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highlight w:val="none"/>
        </w:rPr>
      </w:pPr>
      <w:bookmarkStart w:id="0" w:name="_Toc381081805"/>
      <w:bookmarkStart w:id="1" w:name="_Toc380429933"/>
      <w:r>
        <w:rPr>
          <w:rFonts w:hint="eastAsia" w:ascii="宋体" w:hAnsi="宋体"/>
          <w:highlight w:val="none"/>
        </w:rPr>
        <w:t xml:space="preserve">      </w:t>
      </w:r>
    </w:p>
    <w:p>
      <w:pPr>
        <w:spacing w:before="120" w:beforeLines="50"/>
        <w:jc w:val="center"/>
        <w:rPr>
          <w:rFonts w:hint="eastAsia" w:ascii="宋体" w:hAnsi="宋体" w:eastAsia="宋体"/>
          <w:b/>
          <w:sz w:val="48"/>
          <w:szCs w:val="48"/>
          <w:highlight w:val="none"/>
          <w:lang w:eastAsia="zh-CN"/>
        </w:rPr>
      </w:pPr>
      <w:r>
        <w:rPr>
          <w:rFonts w:hint="eastAsia" w:ascii="宋体" w:hAnsi="宋体"/>
          <w:b/>
          <w:spacing w:val="-20"/>
          <w:sz w:val="48"/>
          <w:szCs w:val="48"/>
          <w:highlight w:val="none"/>
          <w:lang w:eastAsia="zh-CN"/>
        </w:rPr>
        <w:t>2026年嘉兴市南湖区教育体育局下属学校办公计算机、学生机房设备采购安装项目</w:t>
      </w:r>
    </w:p>
    <w:p>
      <w:pPr>
        <w:spacing w:before="120" w:beforeLines="50"/>
        <w:rPr>
          <w:rFonts w:hint="eastAsia" w:ascii="宋体" w:hAnsi="宋体"/>
          <w:b/>
          <w:sz w:val="48"/>
          <w:szCs w:val="48"/>
          <w:highlight w:val="none"/>
        </w:rPr>
      </w:pPr>
    </w:p>
    <w:p>
      <w:pPr>
        <w:spacing w:before="120" w:beforeLines="50"/>
        <w:jc w:val="center"/>
        <w:rPr>
          <w:rFonts w:hint="eastAsia" w:ascii="宋体" w:hAnsi="宋体"/>
          <w:b/>
          <w:sz w:val="48"/>
          <w:szCs w:val="48"/>
          <w:highlight w:val="none"/>
        </w:rPr>
      </w:pPr>
    </w:p>
    <w:p>
      <w:pPr>
        <w:spacing w:before="120" w:beforeLines="50"/>
        <w:jc w:val="center"/>
        <w:rPr>
          <w:rFonts w:hint="eastAsia" w:ascii="宋体" w:hAnsi="宋体"/>
          <w:b/>
          <w:sz w:val="48"/>
          <w:szCs w:val="48"/>
          <w:highlight w:val="none"/>
        </w:rPr>
      </w:pPr>
      <w:r>
        <w:rPr>
          <w:rFonts w:hint="eastAsia" w:ascii="宋体" w:hAnsi="宋体"/>
          <w:b/>
          <w:sz w:val="44"/>
          <w:szCs w:val="44"/>
          <w:highlight w:val="none"/>
        </w:rPr>
        <w:t>招标文件</w:t>
      </w:r>
    </w:p>
    <w:p>
      <w:pPr>
        <w:snapToGrid w:val="0"/>
        <w:spacing w:before="120" w:beforeLines="50" w:line="360" w:lineRule="auto"/>
        <w:rPr>
          <w:rFonts w:hint="eastAsia" w:ascii="宋体" w:hAnsi="宋体"/>
          <w:sz w:val="30"/>
          <w:szCs w:val="72"/>
          <w:highlight w:val="none"/>
        </w:rPr>
      </w:pPr>
    </w:p>
    <w:p>
      <w:pPr>
        <w:pStyle w:val="7"/>
        <w:snapToGrid w:val="0"/>
        <w:spacing w:before="120" w:after="120" w:line="360" w:lineRule="auto"/>
        <w:jc w:val="left"/>
        <w:rPr>
          <w:rFonts w:hint="eastAsia" w:hAnsi="宋体"/>
          <w:b/>
          <w:bCs/>
          <w:w w:val="95"/>
          <w:sz w:val="30"/>
          <w:szCs w:val="30"/>
          <w:highlight w:val="none"/>
        </w:rPr>
      </w:pPr>
    </w:p>
    <w:p>
      <w:pPr>
        <w:pStyle w:val="7"/>
        <w:snapToGrid w:val="0"/>
        <w:spacing w:before="120" w:after="120" w:line="360" w:lineRule="auto"/>
        <w:jc w:val="left"/>
        <w:rPr>
          <w:rFonts w:hint="eastAsia" w:hAnsi="宋体"/>
          <w:b/>
          <w:bCs/>
          <w:w w:val="95"/>
          <w:sz w:val="30"/>
          <w:szCs w:val="30"/>
          <w:highlight w:val="none"/>
        </w:rPr>
      </w:pPr>
    </w:p>
    <w:p>
      <w:pPr>
        <w:spacing w:line="360" w:lineRule="auto"/>
        <w:jc w:val="left"/>
        <w:rPr>
          <w:rFonts w:hint="eastAsia" w:ascii="宋体" w:hAnsi="宋体" w:eastAsia="宋体"/>
          <w:b/>
          <w:sz w:val="30"/>
          <w:szCs w:val="30"/>
          <w:highlight w:val="none"/>
          <w:lang w:eastAsia="zh-CN"/>
        </w:rPr>
      </w:pPr>
      <w:r>
        <w:rPr>
          <w:rFonts w:hint="eastAsia" w:ascii="宋体" w:hAnsi="宋体"/>
          <w:b/>
          <w:sz w:val="30"/>
          <w:szCs w:val="30"/>
          <w:highlight w:val="none"/>
        </w:rPr>
        <w:t>项目编号：</w:t>
      </w:r>
      <w:r>
        <w:rPr>
          <w:rFonts w:hint="eastAsia" w:ascii="宋体" w:hAnsi="宋体"/>
          <w:b/>
          <w:sz w:val="30"/>
          <w:szCs w:val="30"/>
          <w:highlight w:val="none"/>
          <w:lang w:eastAsia="zh-CN"/>
        </w:rPr>
        <w:t>嘉政采招（2026）第72号</w:t>
      </w:r>
    </w:p>
    <w:p>
      <w:pPr>
        <w:spacing w:line="360" w:lineRule="auto"/>
        <w:jc w:val="left"/>
        <w:rPr>
          <w:rFonts w:hint="eastAsia" w:ascii="宋体" w:hAnsi="宋体" w:eastAsia="宋体"/>
          <w:b/>
          <w:sz w:val="30"/>
          <w:szCs w:val="30"/>
          <w:highlight w:val="none"/>
          <w:lang w:eastAsia="zh-CN"/>
        </w:rPr>
      </w:pPr>
      <w:r>
        <w:rPr>
          <w:rFonts w:hint="eastAsia" w:ascii="宋体" w:hAnsi="宋体"/>
          <w:b/>
          <w:sz w:val="30"/>
          <w:szCs w:val="30"/>
          <w:highlight w:val="none"/>
        </w:rPr>
        <w:t>项目名称：</w:t>
      </w:r>
      <w:r>
        <w:rPr>
          <w:rFonts w:hint="eastAsia" w:ascii="宋体" w:hAnsi="宋体"/>
          <w:b/>
          <w:sz w:val="30"/>
          <w:szCs w:val="30"/>
          <w:highlight w:val="none"/>
          <w:lang w:eastAsia="zh-CN"/>
        </w:rPr>
        <w:t>2026年嘉兴市南湖区教育体育局下属学校办公计算机、学生机房设备采购安装项目</w:t>
      </w:r>
    </w:p>
    <w:p>
      <w:pPr>
        <w:spacing w:line="360" w:lineRule="auto"/>
        <w:jc w:val="left"/>
        <w:rPr>
          <w:rFonts w:hint="eastAsia" w:ascii="宋体" w:hAnsi="宋体" w:eastAsia="宋体"/>
          <w:b/>
          <w:sz w:val="30"/>
          <w:szCs w:val="30"/>
          <w:highlight w:val="none"/>
          <w:lang w:eastAsia="zh-CN"/>
        </w:rPr>
      </w:pPr>
      <w:r>
        <w:rPr>
          <w:rFonts w:hint="eastAsia" w:ascii="宋体" w:hAnsi="宋体"/>
          <w:b/>
          <w:sz w:val="30"/>
          <w:szCs w:val="30"/>
          <w:highlight w:val="none"/>
        </w:rPr>
        <w:t>采购人：</w:t>
      </w:r>
      <w:r>
        <w:rPr>
          <w:rFonts w:hint="eastAsia" w:ascii="宋体" w:hAnsi="宋体"/>
          <w:b/>
          <w:sz w:val="30"/>
          <w:szCs w:val="30"/>
          <w:highlight w:val="none"/>
          <w:lang w:eastAsia="zh-CN"/>
        </w:rPr>
        <w:t>嘉兴市南湖区教育体育局</w:t>
      </w:r>
    </w:p>
    <w:p>
      <w:pPr>
        <w:spacing w:line="360" w:lineRule="auto"/>
        <w:jc w:val="left"/>
        <w:rPr>
          <w:rFonts w:hint="eastAsia" w:ascii="宋体" w:hAnsi="宋体"/>
          <w:b/>
          <w:sz w:val="32"/>
          <w:szCs w:val="32"/>
          <w:highlight w:val="none"/>
        </w:rPr>
      </w:pPr>
      <w:r>
        <w:rPr>
          <w:rFonts w:hint="eastAsia" w:ascii="宋体" w:hAnsi="宋体"/>
          <w:b/>
          <w:sz w:val="30"/>
          <w:szCs w:val="30"/>
          <w:highlight w:val="none"/>
        </w:rPr>
        <w:t>集中采购机构：嘉兴市公共资源交易中心</w:t>
      </w:r>
    </w:p>
    <w:p>
      <w:pPr>
        <w:pStyle w:val="7"/>
        <w:snapToGrid w:val="0"/>
        <w:spacing w:before="120" w:after="120" w:line="240" w:lineRule="auto"/>
        <w:ind w:firstLine="613"/>
        <w:jc w:val="left"/>
        <w:rPr>
          <w:rFonts w:hint="eastAsia" w:hAnsi="宋体"/>
          <w:b/>
          <w:bCs/>
          <w:w w:val="95"/>
          <w:sz w:val="32"/>
          <w:szCs w:val="32"/>
          <w:highlight w:val="none"/>
        </w:rPr>
      </w:pPr>
    </w:p>
    <w:p>
      <w:pPr>
        <w:pStyle w:val="7"/>
        <w:snapToGrid w:val="0"/>
        <w:spacing w:before="120" w:after="120" w:line="240" w:lineRule="auto"/>
        <w:ind w:firstLine="613"/>
        <w:jc w:val="left"/>
        <w:rPr>
          <w:rFonts w:hint="eastAsia" w:hAnsi="宋体"/>
          <w:b/>
          <w:bCs/>
          <w:w w:val="95"/>
          <w:sz w:val="32"/>
          <w:szCs w:val="32"/>
          <w:highlight w:val="none"/>
        </w:rPr>
      </w:pPr>
    </w:p>
    <w:p>
      <w:pPr>
        <w:pStyle w:val="7"/>
        <w:spacing w:before="120" w:after="120" w:line="600" w:lineRule="exact"/>
        <w:jc w:val="right"/>
        <w:rPr>
          <w:rFonts w:hint="eastAsia" w:hAnsi="宋体" w:eastAsia="宋体"/>
          <w:b/>
          <w:bCs/>
          <w:w w:val="95"/>
          <w:sz w:val="32"/>
          <w:szCs w:val="32"/>
          <w:highlight w:val="none"/>
          <w:lang w:eastAsia="zh-CN"/>
        </w:rPr>
      </w:pPr>
      <w:r>
        <w:rPr>
          <w:rFonts w:hint="eastAsia" w:hAnsi="宋体"/>
          <w:b/>
          <w:bCs/>
          <w:w w:val="95"/>
          <w:sz w:val="32"/>
          <w:szCs w:val="32"/>
          <w:highlight w:val="none"/>
        </w:rPr>
        <w:t xml:space="preserve"> 　　　　　　　　　</w:t>
      </w:r>
      <w:r>
        <w:rPr>
          <w:rFonts w:hint="eastAsia" w:hAnsi="宋体"/>
          <w:b/>
          <w:bCs/>
          <w:w w:val="95"/>
          <w:sz w:val="32"/>
          <w:szCs w:val="32"/>
          <w:highlight w:val="none"/>
          <w:lang w:eastAsia="zh-CN"/>
        </w:rPr>
        <w:t>2026年7月10日</w:t>
      </w:r>
    </w:p>
    <w:p>
      <w:pPr>
        <w:pStyle w:val="7"/>
        <w:spacing w:before="120" w:after="120" w:line="600" w:lineRule="exact"/>
        <w:jc w:val="center"/>
        <w:rPr>
          <w:rFonts w:hint="eastAsia" w:hAnsi="宋体"/>
          <w:b/>
          <w:sz w:val="52"/>
          <w:szCs w:val="52"/>
          <w:highlight w:val="none"/>
        </w:rPr>
      </w:pPr>
    </w:p>
    <w:p>
      <w:pPr>
        <w:pStyle w:val="3"/>
        <w:rPr>
          <w:highlight w:val="none"/>
        </w:rPr>
      </w:pPr>
    </w:p>
    <w:p>
      <w:pPr>
        <w:pStyle w:val="7"/>
        <w:spacing w:before="240" w:beforeLines="100" w:after="240" w:afterLines="100" w:line="600" w:lineRule="exact"/>
        <w:jc w:val="center"/>
        <w:rPr>
          <w:rFonts w:hint="eastAsia" w:hAnsi="宋体"/>
          <w:b/>
          <w:sz w:val="52"/>
          <w:szCs w:val="52"/>
          <w:highlight w:val="none"/>
        </w:rPr>
      </w:pPr>
      <w:r>
        <w:rPr>
          <w:rFonts w:hint="eastAsia" w:hAnsi="宋体"/>
          <w:b/>
          <w:sz w:val="52"/>
          <w:szCs w:val="52"/>
          <w:highlight w:val="none"/>
        </w:rPr>
        <w:t>目    录</w:t>
      </w:r>
    </w:p>
    <w:p>
      <w:pPr>
        <w:spacing w:line="360" w:lineRule="auto"/>
        <w:ind w:firstLine="360" w:firstLineChars="100"/>
        <w:jc w:val="left"/>
        <w:rPr>
          <w:rFonts w:hint="eastAsia" w:ascii="宋体" w:hAnsi="宋体"/>
          <w:sz w:val="36"/>
          <w:szCs w:val="36"/>
          <w:highlight w:val="none"/>
        </w:rPr>
      </w:pPr>
    </w:p>
    <w:p>
      <w:pPr>
        <w:spacing w:line="360" w:lineRule="auto"/>
        <w:ind w:firstLine="360" w:firstLineChars="100"/>
        <w:jc w:val="left"/>
        <w:rPr>
          <w:rFonts w:hint="eastAsia" w:ascii="宋体" w:hAnsi="宋体"/>
          <w:sz w:val="36"/>
          <w:szCs w:val="36"/>
          <w:highlight w:val="none"/>
        </w:rPr>
      </w:pPr>
      <w:r>
        <w:rPr>
          <w:rFonts w:hint="eastAsia" w:ascii="宋体" w:hAnsi="宋体"/>
          <w:sz w:val="36"/>
          <w:szCs w:val="36"/>
          <w:highlight w:val="none"/>
        </w:rPr>
        <w:t>第一章    公开招标采购公告</w:t>
      </w:r>
    </w:p>
    <w:p>
      <w:pPr>
        <w:spacing w:line="360" w:lineRule="auto"/>
        <w:ind w:firstLine="360" w:firstLineChars="100"/>
        <w:jc w:val="left"/>
        <w:rPr>
          <w:rFonts w:hint="eastAsia" w:ascii="宋体" w:hAnsi="宋体"/>
          <w:sz w:val="36"/>
          <w:szCs w:val="36"/>
          <w:highlight w:val="none"/>
        </w:rPr>
      </w:pPr>
      <w:r>
        <w:rPr>
          <w:rFonts w:hint="eastAsia" w:ascii="宋体" w:hAnsi="宋体"/>
          <w:sz w:val="36"/>
          <w:szCs w:val="36"/>
          <w:highlight w:val="none"/>
        </w:rPr>
        <w:t>第二章    招标需求</w:t>
      </w:r>
    </w:p>
    <w:p>
      <w:pPr>
        <w:spacing w:line="360" w:lineRule="auto"/>
        <w:ind w:firstLine="360" w:firstLineChars="100"/>
        <w:jc w:val="left"/>
        <w:rPr>
          <w:rFonts w:hint="eastAsia" w:ascii="宋体" w:hAnsi="宋体"/>
          <w:sz w:val="36"/>
          <w:szCs w:val="36"/>
          <w:highlight w:val="none"/>
        </w:rPr>
      </w:pPr>
      <w:r>
        <w:rPr>
          <w:rFonts w:hint="eastAsia" w:ascii="宋体" w:hAnsi="宋体"/>
          <w:sz w:val="36"/>
          <w:szCs w:val="36"/>
          <w:highlight w:val="none"/>
        </w:rPr>
        <w:t>第三章    供应商须知</w:t>
      </w:r>
    </w:p>
    <w:p>
      <w:pPr>
        <w:spacing w:line="360" w:lineRule="auto"/>
        <w:ind w:firstLine="360" w:firstLineChars="100"/>
        <w:jc w:val="left"/>
        <w:rPr>
          <w:rFonts w:hint="eastAsia" w:ascii="宋体" w:hAnsi="宋体"/>
          <w:sz w:val="36"/>
          <w:szCs w:val="36"/>
          <w:highlight w:val="none"/>
        </w:rPr>
      </w:pPr>
      <w:r>
        <w:rPr>
          <w:rFonts w:hint="eastAsia" w:ascii="宋体" w:hAnsi="宋体"/>
          <w:sz w:val="36"/>
          <w:szCs w:val="36"/>
          <w:highlight w:val="none"/>
        </w:rPr>
        <w:t>第四章    评标办法及标准</w:t>
      </w:r>
    </w:p>
    <w:p>
      <w:pPr>
        <w:spacing w:line="360" w:lineRule="auto"/>
        <w:ind w:firstLine="360" w:firstLineChars="100"/>
        <w:jc w:val="left"/>
        <w:rPr>
          <w:rFonts w:hint="eastAsia" w:ascii="宋体" w:hAnsi="宋体"/>
          <w:sz w:val="36"/>
          <w:szCs w:val="36"/>
          <w:highlight w:val="none"/>
        </w:rPr>
      </w:pPr>
      <w:r>
        <w:rPr>
          <w:rFonts w:hint="eastAsia" w:ascii="宋体" w:hAnsi="宋体"/>
          <w:sz w:val="36"/>
          <w:szCs w:val="36"/>
          <w:highlight w:val="none"/>
        </w:rPr>
        <w:t>第五章    嘉兴市政府采购合同（指引）</w:t>
      </w:r>
    </w:p>
    <w:p>
      <w:pPr>
        <w:spacing w:line="360" w:lineRule="auto"/>
        <w:ind w:firstLine="360" w:firstLineChars="100"/>
        <w:jc w:val="left"/>
        <w:rPr>
          <w:rFonts w:hint="eastAsia" w:ascii="宋体" w:hAnsi="宋体"/>
          <w:sz w:val="36"/>
          <w:szCs w:val="36"/>
          <w:highlight w:val="none"/>
        </w:rPr>
      </w:pPr>
      <w:r>
        <w:rPr>
          <w:rFonts w:hint="eastAsia" w:ascii="宋体" w:hAnsi="宋体"/>
          <w:sz w:val="36"/>
          <w:szCs w:val="36"/>
          <w:highlight w:val="none"/>
        </w:rPr>
        <w:t>第六章    投标文件格式</w:t>
      </w:r>
    </w:p>
    <w:p>
      <w:pPr>
        <w:widowControl/>
        <w:jc w:val="left"/>
        <w:rPr>
          <w:rFonts w:hint="eastAsia" w:ascii="宋体" w:hAnsi="宋体" w:cs="Times New Roman"/>
          <w:kern w:val="0"/>
          <w:highlight w:val="none"/>
        </w:rPr>
      </w:pPr>
      <w:r>
        <w:rPr>
          <w:rFonts w:hint="eastAsia" w:hAnsi="宋体"/>
          <w:highlight w:val="none"/>
        </w:rPr>
        <w:br w:type="page"/>
      </w:r>
    </w:p>
    <w:p>
      <w:pPr>
        <w:pStyle w:val="2"/>
        <w:ind w:left="240" w:leftChars="100"/>
        <w:rPr>
          <w:rFonts w:hint="eastAsia" w:ascii="宋体" w:hAnsi="宋体" w:eastAsia="宋体"/>
          <w:highlight w:val="none"/>
        </w:rPr>
      </w:pPr>
      <w:bookmarkStart w:id="2" w:name="_Toc26963"/>
      <w:r>
        <w:rPr>
          <w:rFonts w:hint="eastAsia" w:ascii="宋体" w:hAnsi="宋体" w:eastAsia="宋体"/>
          <w:highlight w:val="none"/>
        </w:rPr>
        <w:t>第一章 公开招标采购公告</w:t>
      </w:r>
      <w:bookmarkEnd w:id="2"/>
    </w:p>
    <w:p>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highlight w:val="none"/>
        </w:rPr>
      </w:pPr>
      <w:bookmarkStart w:id="3" w:name="_Toc439666950"/>
      <w:r>
        <w:rPr>
          <w:rFonts w:hint="eastAsia" w:ascii="宋体" w:hAnsi="宋体"/>
          <w:highlight w:val="none"/>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highlight w:val="none"/>
        </w:rPr>
      </w:pPr>
      <w:r>
        <w:rPr>
          <w:rFonts w:hint="eastAsia" w:ascii="宋体" w:hAnsi="宋体"/>
          <w:highlight w:val="none"/>
          <w:u w:val="single"/>
          <w:lang w:eastAsia="zh-CN"/>
        </w:rPr>
        <w:t>2026年嘉兴市南湖区教育体育局下属学校办公计算机、学生机房设备采购安装项目</w:t>
      </w:r>
      <w:r>
        <w:rPr>
          <w:rFonts w:hint="eastAsia" w:ascii="宋体" w:hAnsi="宋体"/>
          <w:highlight w:val="none"/>
        </w:rPr>
        <w:t>的潜在供应商应在</w:t>
      </w:r>
      <w:r>
        <w:rPr>
          <w:rFonts w:hint="eastAsia" w:ascii="宋体" w:hAnsi="宋体"/>
          <w:highlight w:val="none"/>
          <w:u w:val="single"/>
        </w:rPr>
        <w:t>浙江政府采购网</w:t>
      </w:r>
      <w:r>
        <w:rPr>
          <w:rFonts w:hint="eastAsia" w:ascii="宋体" w:hAnsi="宋体"/>
          <w:highlight w:val="none"/>
        </w:rPr>
        <w:t>（</w:t>
      </w:r>
      <w:r>
        <w:rPr>
          <w:highlight w:val="none"/>
        </w:rPr>
        <w:fldChar w:fldCharType="begin"/>
      </w:r>
      <w:r>
        <w:rPr>
          <w:highlight w:val="none"/>
        </w:rPr>
        <w:instrText xml:space="preserve"> HYPERLINK "http://zfcg.czt.zj.gov.cn" </w:instrText>
      </w:r>
      <w:r>
        <w:rPr>
          <w:highlight w:val="none"/>
        </w:rPr>
        <w:fldChar w:fldCharType="separate"/>
      </w:r>
      <w:r>
        <w:rPr>
          <w:rStyle w:val="35"/>
          <w:rFonts w:hint="eastAsia" w:ascii="宋体" w:hAnsi="宋体"/>
          <w:color w:val="auto"/>
          <w:highlight w:val="none"/>
        </w:rPr>
        <w:t>http://zfcg.czt.zj.gov.cn</w:t>
      </w:r>
      <w:r>
        <w:rPr>
          <w:rStyle w:val="35"/>
          <w:rFonts w:hint="eastAsia" w:ascii="宋体" w:hAnsi="宋体"/>
          <w:color w:val="auto"/>
          <w:highlight w:val="none"/>
        </w:rPr>
        <w:fldChar w:fldCharType="end"/>
      </w:r>
      <w:r>
        <w:rPr>
          <w:rFonts w:hint="eastAsia" w:ascii="宋体" w:hAnsi="宋体"/>
          <w:highlight w:val="none"/>
        </w:rPr>
        <w:t>）获取招标文件，并于</w:t>
      </w:r>
      <w:r>
        <w:rPr>
          <w:rFonts w:hint="eastAsia" w:ascii="宋体" w:hAnsi="宋体"/>
          <w:highlight w:val="none"/>
          <w:u w:val="single"/>
          <w:lang w:eastAsia="zh-CN"/>
        </w:rPr>
        <w:t>2026年7月31日</w:t>
      </w:r>
      <w:r>
        <w:rPr>
          <w:rFonts w:hint="eastAsia" w:ascii="宋体" w:hAnsi="宋体"/>
          <w:highlight w:val="none"/>
          <w:u w:val="single"/>
        </w:rPr>
        <w:t>9:30</w:t>
      </w:r>
      <w:r>
        <w:rPr>
          <w:rFonts w:hint="eastAsia" w:ascii="宋体" w:hAnsi="宋体"/>
          <w:bCs/>
          <w:highlight w:val="none"/>
          <w:u w:val="single"/>
        </w:rPr>
        <w:t>（</w:t>
      </w:r>
      <w:r>
        <w:rPr>
          <w:rFonts w:hint="eastAsia" w:ascii="宋体" w:hAnsi="宋体"/>
          <w:bCs/>
          <w:highlight w:val="none"/>
        </w:rPr>
        <w:t>北京时间）前递交投标文件</w:t>
      </w:r>
      <w:r>
        <w:rPr>
          <w:rFonts w:hint="eastAsia" w:ascii="宋体" w:hAnsi="宋体"/>
          <w:highlight w:val="none"/>
        </w:rPr>
        <w:t>。</w:t>
      </w:r>
    </w:p>
    <w:p>
      <w:pPr>
        <w:pStyle w:val="3"/>
        <w:rPr>
          <w:highlight w:val="none"/>
        </w:rPr>
      </w:pPr>
      <w:r>
        <w:rPr>
          <w:rFonts w:hint="eastAsia"/>
          <w:highlight w:val="none"/>
        </w:rPr>
        <w:t>一、项目基本情况</w:t>
      </w:r>
    </w:p>
    <w:p>
      <w:pPr>
        <w:spacing w:after="0" w:line="520" w:lineRule="exact"/>
        <w:ind w:firstLine="480" w:firstLineChars="200"/>
        <w:rPr>
          <w:rFonts w:hint="eastAsia" w:ascii="宋体" w:hAnsi="宋体"/>
          <w:highlight w:val="none"/>
          <w:lang w:eastAsia="zh-CN"/>
        </w:rPr>
      </w:pPr>
      <w:r>
        <w:rPr>
          <w:rFonts w:hint="eastAsia" w:ascii="宋体" w:hAnsi="宋体"/>
          <w:highlight w:val="none"/>
        </w:rPr>
        <w:t>采购计划文号：临[2026]1859号</w:t>
      </w:r>
    </w:p>
    <w:p>
      <w:pPr>
        <w:spacing w:after="0" w:line="520" w:lineRule="exact"/>
        <w:ind w:firstLine="480" w:firstLineChars="200"/>
        <w:rPr>
          <w:rFonts w:hint="eastAsia" w:ascii="宋体" w:hAnsi="宋体"/>
          <w:highlight w:val="none"/>
          <w:lang w:eastAsia="zh-CN"/>
        </w:rPr>
      </w:pPr>
      <w:r>
        <w:rPr>
          <w:rFonts w:hint="eastAsia" w:ascii="宋体" w:hAnsi="宋体"/>
          <w:highlight w:val="none"/>
        </w:rPr>
        <w:t>项目编号：</w:t>
      </w:r>
      <w:r>
        <w:rPr>
          <w:rFonts w:hint="eastAsia" w:ascii="宋体" w:hAnsi="宋体"/>
          <w:highlight w:val="none"/>
          <w:lang w:eastAsia="zh-CN"/>
        </w:rPr>
        <w:t>嘉政采招（2026）第72号</w:t>
      </w:r>
    </w:p>
    <w:p>
      <w:pPr>
        <w:spacing w:after="0" w:line="520" w:lineRule="exact"/>
        <w:ind w:firstLine="480" w:firstLineChars="200"/>
        <w:rPr>
          <w:rFonts w:hint="eastAsia" w:ascii="宋体" w:hAnsi="宋体"/>
          <w:highlight w:val="none"/>
          <w:lang w:eastAsia="zh-CN"/>
        </w:rPr>
      </w:pPr>
      <w:r>
        <w:rPr>
          <w:rFonts w:hint="eastAsia" w:ascii="宋体" w:hAnsi="宋体"/>
          <w:highlight w:val="none"/>
        </w:rPr>
        <w:t>项目名称：</w:t>
      </w:r>
      <w:r>
        <w:rPr>
          <w:rFonts w:hint="eastAsia" w:ascii="宋体" w:hAnsi="宋体"/>
          <w:highlight w:val="none"/>
          <w:lang w:eastAsia="zh-CN"/>
        </w:rPr>
        <w:t>2026年嘉兴市南湖区教育体育局下属学校办公计算机、学生机房设备采购安装项目</w:t>
      </w:r>
    </w:p>
    <w:p>
      <w:pPr>
        <w:spacing w:after="0" w:line="520" w:lineRule="exact"/>
        <w:ind w:firstLine="480" w:firstLineChars="200"/>
        <w:rPr>
          <w:rFonts w:hint="eastAsia" w:ascii="宋体" w:hAnsi="宋体"/>
          <w:highlight w:val="none"/>
        </w:rPr>
      </w:pPr>
      <w:r>
        <w:rPr>
          <w:rFonts w:hint="eastAsia" w:ascii="宋体" w:hAnsi="宋体"/>
          <w:highlight w:val="none"/>
        </w:rPr>
        <w:t>预算金额：</w:t>
      </w:r>
      <w:r>
        <w:rPr>
          <w:rFonts w:hint="eastAsia" w:ascii="宋体" w:hAnsi="宋体"/>
          <w:highlight w:val="none"/>
          <w:lang w:val="en-US" w:eastAsia="zh-CN"/>
        </w:rPr>
        <w:t>43778</w:t>
      </w:r>
      <w:r>
        <w:rPr>
          <w:rFonts w:hint="eastAsia" w:ascii="宋体" w:hAnsi="宋体"/>
          <w:highlight w:val="none"/>
        </w:rPr>
        <w:t>00元</w:t>
      </w:r>
    </w:p>
    <w:p>
      <w:pPr>
        <w:spacing w:after="0" w:line="520" w:lineRule="exact"/>
        <w:ind w:firstLine="480" w:firstLineChars="200"/>
        <w:rPr>
          <w:rFonts w:hint="eastAsia" w:ascii="宋体" w:hAnsi="宋体"/>
          <w:highlight w:val="none"/>
        </w:rPr>
      </w:pPr>
      <w:r>
        <w:rPr>
          <w:rFonts w:hint="eastAsia" w:ascii="宋体" w:hAnsi="宋体"/>
          <w:highlight w:val="none"/>
        </w:rPr>
        <w:t>最高限价：</w:t>
      </w:r>
      <w:r>
        <w:rPr>
          <w:rFonts w:hint="eastAsia" w:ascii="宋体" w:hAnsi="宋体"/>
          <w:highlight w:val="none"/>
          <w:lang w:val="en-US" w:eastAsia="zh-CN"/>
        </w:rPr>
        <w:t>4377800</w:t>
      </w:r>
      <w:r>
        <w:rPr>
          <w:rFonts w:hint="eastAsia" w:ascii="宋体" w:hAnsi="宋体"/>
          <w:highlight w:val="none"/>
        </w:rPr>
        <w:t>元</w:t>
      </w:r>
      <w:bookmarkStart w:id="4" w:name="_Toc35393791"/>
      <w:bookmarkStart w:id="5" w:name="_Toc28359080"/>
      <w:bookmarkStart w:id="6" w:name="_Toc35393622"/>
      <w:bookmarkStart w:id="7" w:name="_Toc28359003"/>
    </w:p>
    <w:p>
      <w:pPr>
        <w:spacing w:after="0" w:line="520" w:lineRule="exact"/>
        <w:ind w:firstLine="480" w:firstLineChars="200"/>
        <w:rPr>
          <w:rFonts w:hint="eastAsia" w:ascii="宋体" w:hAnsi="宋体"/>
          <w:highlight w:val="none"/>
          <w:lang w:eastAsia="zh-CN"/>
        </w:rPr>
      </w:pPr>
      <w:r>
        <w:rPr>
          <w:rFonts w:hint="eastAsia" w:ascii="宋体" w:hAnsi="宋体"/>
          <w:highlight w:val="none"/>
          <w:lang w:eastAsia="zh-CN"/>
        </w:rPr>
        <w:t>采购清单</w:t>
      </w:r>
    </w:p>
    <w:tbl>
      <w:tblPr>
        <w:tblStyle w:val="29"/>
        <w:tblW w:w="7389" w:type="dxa"/>
        <w:jc w:val="center"/>
        <w:tblLayout w:type="fixed"/>
        <w:tblCellMar>
          <w:top w:w="0" w:type="dxa"/>
          <w:left w:w="108" w:type="dxa"/>
          <w:bottom w:w="0" w:type="dxa"/>
          <w:right w:w="108" w:type="dxa"/>
        </w:tblCellMar>
      </w:tblPr>
      <w:tblGrid>
        <w:gridCol w:w="770"/>
        <w:gridCol w:w="3791"/>
        <w:gridCol w:w="1198"/>
        <w:gridCol w:w="1630"/>
      </w:tblGrid>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b/>
                <w:bCs/>
                <w:color w:val="000000"/>
                <w:highlight w:val="none"/>
              </w:rPr>
            </w:pPr>
            <w:r>
              <w:rPr>
                <w:rFonts w:hint="eastAsia" w:ascii="宋体" w:hAnsi="宋体"/>
                <w:b/>
                <w:bCs/>
                <w:color w:val="000000"/>
                <w:kern w:val="0"/>
                <w:highlight w:val="none"/>
                <w:lang w:bidi="ar"/>
              </w:rPr>
              <w:t>序号</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b/>
                <w:bCs/>
                <w:color w:val="000000"/>
                <w:highlight w:val="none"/>
              </w:rPr>
            </w:pPr>
            <w:r>
              <w:rPr>
                <w:rFonts w:hint="eastAsia" w:ascii="宋体" w:hAnsi="宋体"/>
                <w:b/>
                <w:bCs/>
                <w:color w:val="000000"/>
                <w:kern w:val="0"/>
                <w:highlight w:val="none"/>
                <w:lang w:bidi="ar"/>
              </w:rPr>
              <w:t>设备名称</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b/>
                <w:bCs/>
                <w:color w:val="000000"/>
                <w:highlight w:val="none"/>
              </w:rPr>
            </w:pPr>
            <w:r>
              <w:rPr>
                <w:rFonts w:hint="eastAsia" w:ascii="宋体" w:hAnsi="宋体"/>
                <w:b/>
                <w:bCs/>
                <w:color w:val="000000"/>
                <w:kern w:val="0"/>
                <w:highlight w:val="none"/>
                <w:lang w:bidi="ar"/>
              </w:rPr>
              <w:t>单位</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b/>
                <w:bCs/>
                <w:color w:val="000000"/>
                <w:highlight w:val="none"/>
              </w:rPr>
            </w:pPr>
            <w:r>
              <w:rPr>
                <w:rFonts w:hint="eastAsia" w:ascii="宋体" w:hAnsi="宋体"/>
                <w:b/>
                <w:bCs/>
                <w:color w:val="000000"/>
                <w:kern w:val="0"/>
                <w:highlight w:val="none"/>
                <w:lang w:bidi="ar"/>
              </w:rPr>
              <w:t>数量</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highlight w:val="none"/>
                <w:lang w:eastAsia="zh-CN"/>
              </w:rPr>
            </w:pPr>
            <w:r>
              <w:rPr>
                <w:rFonts w:hint="eastAsia" w:ascii="宋体" w:hAnsi="宋体"/>
                <w:color w:val="000000"/>
                <w:kern w:val="0"/>
                <w:highlight w:val="none"/>
                <w:lang w:val="en-US" w:eastAsia="zh-CN" w:bidi="ar"/>
              </w:rPr>
              <w:t>1</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highlight w:val="none"/>
              </w:rPr>
            </w:pPr>
            <w:r>
              <w:rPr>
                <w:rFonts w:hint="eastAsia" w:ascii="宋体" w:hAnsi="宋体"/>
                <w:color w:val="000000"/>
                <w:kern w:val="0"/>
                <w:sz w:val="18"/>
                <w:szCs w:val="18"/>
                <w:highlight w:val="none"/>
                <w:lang w:bidi="ar"/>
              </w:rPr>
              <w:t>★</w:t>
            </w:r>
            <w:r>
              <w:rPr>
                <w:rFonts w:hint="eastAsia" w:ascii="宋体" w:hAnsi="宋体"/>
                <w:color w:val="000000"/>
                <w:kern w:val="0"/>
                <w:highlight w:val="none"/>
                <w:lang w:bidi="ar"/>
              </w:rPr>
              <w:t>台式计算机（办公）</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highlight w:val="none"/>
              </w:rPr>
            </w:pPr>
            <w:r>
              <w:rPr>
                <w:rFonts w:hint="eastAsia" w:ascii="宋体" w:hAnsi="宋体"/>
                <w:color w:val="000000"/>
                <w:kern w:val="0"/>
                <w:highlight w:val="none"/>
                <w:lang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highlight w:val="none"/>
                <w:lang w:val="en-US" w:eastAsia="zh-CN"/>
              </w:rPr>
            </w:pPr>
            <w:r>
              <w:rPr>
                <w:rFonts w:hint="eastAsia" w:ascii="宋体" w:hAnsi="宋体"/>
                <w:color w:val="000000"/>
                <w:kern w:val="0"/>
                <w:highlight w:val="none"/>
                <w:lang w:val="en-US" w:eastAsia="zh-CN" w:bidi="ar"/>
              </w:rPr>
              <w:t>539</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2</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w:t>
            </w:r>
            <w:r>
              <w:rPr>
                <w:rFonts w:hint="eastAsia" w:ascii="宋体" w:hAnsi="宋体"/>
                <w:color w:val="000000"/>
                <w:kern w:val="0"/>
                <w:highlight w:val="none"/>
                <w:lang w:bidi="ar"/>
              </w:rPr>
              <w:t>台式计算机（学生机）</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480</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3</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sz w:val="18"/>
                <w:szCs w:val="18"/>
                <w:highlight w:val="none"/>
                <w:lang w:bidi="ar"/>
              </w:rPr>
            </w:pPr>
            <w:r>
              <w:rPr>
                <w:rFonts w:hint="eastAsia" w:ascii="宋体" w:hAnsi="宋体"/>
                <w:color w:val="000000"/>
                <w:kern w:val="0"/>
                <w:highlight w:val="none"/>
                <w:lang w:bidi="ar"/>
              </w:rPr>
              <w:t>台式计算机（教师机）</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10</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4</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bidi="ar"/>
              </w:rPr>
              <w:t>交换机</w:t>
            </w:r>
            <w:r>
              <w:rPr>
                <w:rFonts w:hint="eastAsia" w:ascii="宋体" w:hAnsi="宋体"/>
                <w:color w:val="000000"/>
                <w:kern w:val="0"/>
                <w:highlight w:val="none"/>
                <w:lang w:val="en-US" w:eastAsia="zh-CN" w:bidi="ar"/>
              </w:rPr>
              <w:t>1</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10</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5</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交换机2</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5</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6</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eastAsia="宋体" w:cs="宋体"/>
                <w:color w:val="000000"/>
                <w:kern w:val="0"/>
                <w:highlight w:val="none"/>
                <w:lang w:val="en-US" w:eastAsia="zh-CN" w:bidi="ar"/>
              </w:rPr>
              <w:t>路由器</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7</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7</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机柜</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个</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6</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8</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val="en-US" w:eastAsia="zh-CN" w:bidi="ar"/>
              </w:rPr>
              <w:t>六</w:t>
            </w:r>
            <w:r>
              <w:rPr>
                <w:rFonts w:hint="eastAsia" w:ascii="宋体" w:hAnsi="宋体"/>
                <w:color w:val="000000"/>
                <w:kern w:val="0"/>
                <w:highlight w:val="none"/>
                <w:lang w:bidi="ar"/>
              </w:rPr>
              <w:t>人位电脑桌</w:t>
            </w:r>
            <w:r>
              <w:rPr>
                <w:rFonts w:hint="eastAsia" w:ascii="宋体" w:hAnsi="宋体"/>
                <w:color w:val="000000"/>
                <w:kern w:val="0"/>
                <w:highlight w:val="none"/>
                <w:lang w:val="en-US" w:eastAsia="zh-CN" w:bidi="ar"/>
              </w:rPr>
              <w:t>凳</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套</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56</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9</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教师桌</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个</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4</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10</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bidi="ar"/>
              </w:rPr>
              <w:t>教师</w:t>
            </w:r>
            <w:r>
              <w:rPr>
                <w:rFonts w:hint="eastAsia" w:ascii="宋体" w:hAnsi="宋体"/>
                <w:color w:val="000000"/>
                <w:kern w:val="0"/>
                <w:highlight w:val="none"/>
                <w:lang w:val="en-US" w:eastAsia="zh-CN" w:bidi="ar"/>
              </w:rPr>
              <w:t>椅</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个</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5</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bidi="ar"/>
              </w:rPr>
              <w:t>1</w:t>
            </w:r>
            <w:r>
              <w:rPr>
                <w:rFonts w:hint="eastAsia" w:ascii="宋体" w:hAnsi="宋体"/>
                <w:color w:val="000000"/>
                <w:kern w:val="0"/>
                <w:highlight w:val="none"/>
                <w:lang w:val="en-US" w:eastAsia="zh-CN" w:bidi="ar"/>
              </w:rPr>
              <w:t>1</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综合布线</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项</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8</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bidi="ar"/>
              </w:rPr>
              <w:t>1</w:t>
            </w:r>
            <w:r>
              <w:rPr>
                <w:rFonts w:hint="eastAsia" w:ascii="宋体" w:hAnsi="宋体"/>
                <w:color w:val="000000"/>
                <w:kern w:val="0"/>
                <w:highlight w:val="none"/>
                <w:lang w:val="en-US" w:eastAsia="zh-CN" w:bidi="ar"/>
              </w:rPr>
              <w:t>2</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静电地板</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466</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color w:val="000000"/>
                <w:kern w:val="0"/>
                <w:highlight w:val="none"/>
                <w:lang w:val="en-US" w:bidi="ar"/>
              </w:rPr>
            </w:pPr>
            <w:r>
              <w:rPr>
                <w:rFonts w:hint="default" w:ascii="宋体" w:hAnsi="宋体"/>
                <w:color w:val="000000"/>
                <w:kern w:val="0"/>
                <w:highlight w:val="none"/>
                <w:lang w:val="en-US" w:bidi="ar"/>
              </w:rPr>
              <w:t>13</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default" w:ascii="宋体" w:hAnsi="宋体"/>
                <w:highlight w:val="none"/>
              </w:rPr>
              <w:t>安装调试</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val="en-US" w:eastAsia="zh-CN" w:bidi="ar"/>
              </w:rPr>
              <w:t>项</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color w:val="000000"/>
                <w:kern w:val="0"/>
                <w:highlight w:val="none"/>
                <w:lang w:val="en-US" w:eastAsia="zh-CN" w:bidi="ar"/>
              </w:rPr>
            </w:pPr>
            <w:r>
              <w:rPr>
                <w:rFonts w:hint="default" w:ascii="宋体" w:hAnsi="宋体"/>
                <w:color w:val="000000"/>
                <w:kern w:val="0"/>
                <w:highlight w:val="none"/>
                <w:lang w:val="en-US" w:eastAsia="zh-CN" w:bidi="ar"/>
              </w:rPr>
              <w:t>1</w:t>
            </w:r>
          </w:p>
        </w:tc>
      </w:tr>
    </w:tbl>
    <w:p>
      <w:pPr>
        <w:spacing w:after="0" w:line="360" w:lineRule="auto"/>
        <w:ind w:firstLine="480" w:firstLineChars="200"/>
        <w:rPr>
          <w:rFonts w:hint="eastAsia" w:ascii="宋体" w:hAnsi="宋体"/>
          <w:highlight w:val="none"/>
        </w:rPr>
      </w:pPr>
      <w:r>
        <w:rPr>
          <w:rFonts w:hint="eastAsia" w:ascii="宋体" w:hAnsi="宋体"/>
          <w:highlight w:val="none"/>
        </w:rPr>
        <w:t>注：1.标★的设备为核心产品。</w:t>
      </w:r>
    </w:p>
    <w:p>
      <w:pPr>
        <w:spacing w:after="0" w:line="360" w:lineRule="auto"/>
        <w:ind w:firstLine="960" w:firstLineChars="400"/>
        <w:rPr>
          <w:rFonts w:ascii="宋体" w:hAnsi="宋体"/>
          <w:highlight w:val="none"/>
        </w:rPr>
      </w:pPr>
      <w:r>
        <w:rPr>
          <w:rFonts w:hint="eastAsia" w:ascii="宋体" w:hAnsi="宋体"/>
          <w:highlight w:val="none"/>
        </w:rPr>
        <w:t>2.▲本项目采购的台式计算机属于政府强制采购节能品目，供应商投标时必须提供所投产品由国家确定的认证机构出具的、处于有效期之内的节能产品认证证书或规定网站证书查询截图。</w:t>
      </w:r>
    </w:p>
    <w:p>
      <w:pPr>
        <w:spacing w:after="0" w:line="520" w:lineRule="exact"/>
        <w:ind w:firstLine="480" w:firstLineChars="200"/>
        <w:rPr>
          <w:rFonts w:hint="eastAsia" w:ascii="宋体" w:hAnsi="宋体"/>
          <w:highlight w:val="none"/>
        </w:rPr>
      </w:pPr>
      <w:r>
        <w:rPr>
          <w:rFonts w:hint="eastAsia" w:ascii="宋体" w:hAnsi="宋体"/>
          <w:highlight w:val="none"/>
        </w:rPr>
        <w:t>合同履约期限：合同签订之日起至质保期（服务期）结束。</w:t>
      </w:r>
    </w:p>
    <w:p>
      <w:pPr>
        <w:spacing w:after="0" w:line="520" w:lineRule="exact"/>
        <w:ind w:firstLine="480" w:firstLineChars="200"/>
        <w:rPr>
          <w:rFonts w:hint="eastAsia" w:ascii="宋体" w:hAnsi="宋体"/>
          <w:highlight w:val="none"/>
        </w:rPr>
      </w:pPr>
      <w:r>
        <w:rPr>
          <w:rFonts w:hint="eastAsia" w:ascii="宋体" w:hAnsi="宋体"/>
          <w:highlight w:val="none"/>
        </w:rPr>
        <w:t>本项目接受联合体投标：</w:t>
      </w:r>
      <w:r>
        <w:rPr>
          <w:rFonts w:hint="eastAsia" w:ascii="宋体" w:hAnsi="宋体"/>
          <w:highlight w:val="none"/>
        </w:rPr>
        <w:sym w:font="Wingdings" w:char="00A8"/>
      </w:r>
      <w:r>
        <w:rPr>
          <w:rFonts w:hint="eastAsia" w:ascii="宋体" w:hAnsi="宋体"/>
          <w:highlight w:val="none"/>
        </w:rPr>
        <w:t xml:space="preserve"> 是，</w:t>
      </w:r>
      <w:r>
        <w:rPr>
          <w:rFonts w:hint="eastAsia" w:ascii="宋体" w:hAnsi="宋体"/>
          <w:highlight w:val="none"/>
        </w:rPr>
        <w:sym w:font="Wingdings" w:char="00FE"/>
      </w:r>
      <w:r>
        <w:rPr>
          <w:rFonts w:hint="eastAsia" w:ascii="宋体" w:hAnsi="宋体"/>
          <w:highlight w:val="none"/>
        </w:rPr>
        <w:t xml:space="preserve"> 否。</w:t>
      </w:r>
    </w:p>
    <w:p>
      <w:pPr>
        <w:pStyle w:val="3"/>
        <w:spacing w:after="0" w:line="520" w:lineRule="exact"/>
        <w:rPr>
          <w:highlight w:val="none"/>
        </w:rPr>
      </w:pPr>
      <w:r>
        <w:rPr>
          <w:rFonts w:hint="eastAsia"/>
          <w:highlight w:val="none"/>
        </w:rPr>
        <w:t>二、申请人的资格要求</w:t>
      </w:r>
      <w:bookmarkEnd w:id="4"/>
      <w:bookmarkEnd w:id="5"/>
      <w:bookmarkEnd w:id="6"/>
      <w:bookmarkEnd w:id="7"/>
    </w:p>
    <w:p>
      <w:pPr>
        <w:spacing w:after="0" w:line="520" w:lineRule="exact"/>
        <w:ind w:firstLine="480" w:firstLineChars="200"/>
        <w:rPr>
          <w:rFonts w:hint="eastAsia" w:ascii="宋体" w:hAnsi="宋体"/>
          <w:highlight w:val="none"/>
        </w:rPr>
      </w:pPr>
      <w:bookmarkStart w:id="8" w:name="_Toc28359004"/>
      <w:bookmarkStart w:id="9" w:name="_Toc28359081"/>
      <w:r>
        <w:rPr>
          <w:rFonts w:hint="eastAsia" w:ascii="宋体" w:hAnsi="宋体"/>
          <w:highlight w:val="none"/>
        </w:rPr>
        <w:t>1. 满足《中华人民共和国政府采购法》第二十二条规定；未被“信用中国”（www.creditchina.gov.cn)、中国政府采购网（www.ccgp.gov.cn）列入失信被执行人、重大税收违法案件当事人名单、政府采购严重违法失信行为记录名单；</w:t>
      </w:r>
    </w:p>
    <w:p>
      <w:pPr>
        <w:spacing w:after="0" w:line="520" w:lineRule="exact"/>
        <w:ind w:firstLine="480" w:firstLineChars="200"/>
        <w:rPr>
          <w:rFonts w:hint="eastAsia" w:ascii="宋体" w:hAnsi="宋体"/>
          <w:highlight w:val="none"/>
        </w:rPr>
      </w:pPr>
      <w:r>
        <w:rPr>
          <w:rFonts w:hint="eastAsia" w:ascii="宋体" w:hAnsi="宋体"/>
          <w:highlight w:val="none"/>
        </w:rPr>
        <w:t>2.落实政府采购支持中小企业政策需满足的资格要求：</w:t>
      </w:r>
    </w:p>
    <w:p>
      <w:pPr>
        <w:spacing w:after="0" w:line="520" w:lineRule="exact"/>
        <w:ind w:firstLine="480" w:firstLineChars="200"/>
        <w:rPr>
          <w:rFonts w:hint="eastAsia" w:ascii="宋体" w:hAnsi="宋体"/>
          <w:highlight w:val="none"/>
        </w:rPr>
      </w:pPr>
      <w:r>
        <w:rPr>
          <w:rFonts w:hint="eastAsia" w:ascii="宋体" w:hAnsi="宋体"/>
          <w:highlight w:val="none"/>
        </w:rPr>
        <w:t>2.1</w:t>
      </w:r>
      <w:r>
        <w:rPr>
          <w:rFonts w:hint="eastAsia" w:ascii="宋体" w:hAnsi="宋体"/>
          <w:highlight w:val="none"/>
        </w:rPr>
        <w:sym w:font="Wingdings" w:char="00FE"/>
      </w:r>
      <w:r>
        <w:rPr>
          <w:rFonts w:hint="eastAsia" w:ascii="宋体" w:hAnsi="宋体"/>
          <w:highlight w:val="none"/>
        </w:rPr>
        <w:t xml:space="preserve"> 无需落实；</w:t>
      </w:r>
    </w:p>
    <w:p>
      <w:pPr>
        <w:spacing w:after="0" w:line="520" w:lineRule="exact"/>
        <w:ind w:firstLine="480" w:firstLineChars="200"/>
        <w:rPr>
          <w:rFonts w:hint="eastAsia" w:ascii="仿宋_GB2312" w:hAnsi="仿宋" w:eastAsia="仿宋_GB2312" w:cs="Arial"/>
          <w:kern w:val="0"/>
          <w:highlight w:val="none"/>
        </w:rPr>
      </w:pPr>
      <w:r>
        <w:rPr>
          <w:rFonts w:hint="eastAsia" w:ascii="宋体" w:hAnsi="宋体"/>
          <w:highlight w:val="none"/>
        </w:rPr>
        <w:t>2.2</w:t>
      </w:r>
      <w:r>
        <w:rPr>
          <w:rFonts w:ascii="仿宋_GB2312" w:hAnsi="仿宋" w:eastAsia="仿宋_GB2312" w:cs="Arial"/>
          <w:kern w:val="0"/>
          <w:highlight w:val="none"/>
        </w:rPr>
        <w:sym w:font="Wingdings" w:char="00A8"/>
      </w:r>
      <w:r>
        <w:rPr>
          <w:rFonts w:ascii="仿宋_GB2312" w:hAnsi="仿宋" w:eastAsia="仿宋_GB2312" w:cs="Arial"/>
          <w:kern w:val="0"/>
          <w:highlight w:val="none"/>
        </w:rPr>
        <w:t xml:space="preserve"> </w:t>
      </w:r>
      <w:r>
        <w:rPr>
          <w:rFonts w:hint="eastAsia" w:ascii="宋体" w:hAnsi="宋体"/>
          <w:highlight w:val="none"/>
        </w:rPr>
        <w:t>需要落实：</w:t>
      </w:r>
    </w:p>
    <w:p>
      <w:pPr>
        <w:spacing w:after="0" w:line="520" w:lineRule="exact"/>
        <w:ind w:firstLine="720" w:firstLineChars="300"/>
        <w:rPr>
          <w:rFonts w:hint="eastAsia" w:ascii="宋体" w:hAnsi="宋体"/>
          <w:highlight w:val="none"/>
        </w:rPr>
      </w:pPr>
      <w:r>
        <w:rPr>
          <w:rFonts w:hint="eastAsia" w:ascii="宋体" w:hAnsi="宋体"/>
          <w:highlight w:val="none"/>
        </w:rPr>
        <w:t>2.2.1专门面向中小企业</w:t>
      </w:r>
    </w:p>
    <w:p>
      <w:pPr>
        <w:spacing w:after="0" w:line="520" w:lineRule="exact"/>
        <w:ind w:firstLine="960" w:firstLineChars="400"/>
        <w:rPr>
          <w:rFonts w:hint="eastAsia" w:ascii="宋体" w:hAnsi="宋体"/>
          <w:highlight w:val="none"/>
        </w:rPr>
      </w:pPr>
      <w:r>
        <w:rPr>
          <w:rFonts w:ascii="仿宋_GB2312" w:hAnsi="仿宋" w:eastAsia="仿宋_GB2312" w:cs="Arial"/>
          <w:kern w:val="0"/>
          <w:highlight w:val="none"/>
        </w:rPr>
        <w:sym w:font="Wingdings" w:char="00A8"/>
      </w:r>
      <w:r>
        <w:rPr>
          <w:rFonts w:ascii="仿宋_GB2312" w:hAnsi="仿宋" w:eastAsia="仿宋_GB2312" w:cs="Arial"/>
          <w:kern w:val="0"/>
          <w:highlight w:val="none"/>
        </w:rPr>
        <w:t xml:space="preserve"> </w:t>
      </w:r>
      <w:r>
        <w:rPr>
          <w:rFonts w:hint="eastAsia" w:ascii="宋体" w:hAnsi="宋体"/>
          <w:highlight w:val="none"/>
        </w:rPr>
        <w:t>货物全部由符合政策要求的中小企业制造，提供中小企业声明函；</w:t>
      </w:r>
    </w:p>
    <w:p>
      <w:pPr>
        <w:spacing w:after="0" w:line="520" w:lineRule="exact"/>
        <w:ind w:firstLine="960" w:firstLineChars="400"/>
        <w:rPr>
          <w:rFonts w:hint="eastAsia" w:ascii="宋体" w:hAnsi="宋体"/>
          <w:highlight w:val="none"/>
        </w:rPr>
      </w:pPr>
      <w:r>
        <w:rPr>
          <w:rFonts w:ascii="仿宋_GB2312" w:hAnsi="仿宋" w:eastAsia="仿宋_GB2312" w:cs="Arial"/>
          <w:kern w:val="0"/>
          <w:highlight w:val="none"/>
        </w:rPr>
        <w:sym w:font="Wingdings" w:char="00A8"/>
      </w:r>
      <w:r>
        <w:rPr>
          <w:rFonts w:ascii="仿宋_GB2312" w:hAnsi="仿宋" w:eastAsia="仿宋_GB2312" w:cs="Arial"/>
          <w:kern w:val="0"/>
          <w:highlight w:val="none"/>
        </w:rPr>
        <w:t xml:space="preserve"> </w:t>
      </w:r>
      <w:r>
        <w:rPr>
          <w:rFonts w:hint="eastAsia" w:ascii="宋体" w:hAnsi="宋体"/>
          <w:highlight w:val="none"/>
        </w:rPr>
        <w:t>货物全部由符合政策要求的小微企业制造，提供中小企业声明函；</w:t>
      </w:r>
    </w:p>
    <w:p>
      <w:pPr>
        <w:spacing w:after="0" w:line="520" w:lineRule="exact"/>
        <w:ind w:firstLine="960" w:firstLineChars="400"/>
        <w:rPr>
          <w:rFonts w:hint="eastAsia" w:ascii="宋体" w:hAnsi="宋体"/>
          <w:highlight w:val="none"/>
        </w:rPr>
      </w:pPr>
      <w:r>
        <w:rPr>
          <w:rFonts w:ascii="仿宋_GB2312" w:hAnsi="仿宋" w:eastAsia="仿宋_GB2312" w:cs="Arial"/>
          <w:kern w:val="0"/>
          <w:highlight w:val="none"/>
        </w:rPr>
        <w:sym w:font="Wingdings" w:char="00A8"/>
      </w:r>
      <w:r>
        <w:rPr>
          <w:rFonts w:ascii="仿宋_GB2312" w:hAnsi="仿宋" w:eastAsia="仿宋_GB2312" w:cs="Arial"/>
          <w:kern w:val="0"/>
          <w:highlight w:val="none"/>
        </w:rPr>
        <w:t xml:space="preserve"> </w:t>
      </w:r>
      <w:r>
        <w:rPr>
          <w:rFonts w:hint="eastAsia" w:ascii="宋体" w:hAnsi="宋体"/>
          <w:highlight w:val="none"/>
        </w:rPr>
        <w:t>服务全部由符合政策要求的中小企业承接，提供中小企业声明函；</w:t>
      </w:r>
    </w:p>
    <w:p>
      <w:pPr>
        <w:tabs>
          <w:tab w:val="left" w:pos="470"/>
        </w:tabs>
        <w:spacing w:after="0" w:line="520" w:lineRule="exact"/>
        <w:ind w:firstLine="480" w:firstLineChars="200"/>
        <w:rPr>
          <w:highlight w:val="none"/>
        </w:rPr>
      </w:pPr>
      <w:r>
        <w:rPr>
          <w:rFonts w:hint="eastAsia" w:ascii="仿宋_GB2312" w:hAnsi="仿宋" w:eastAsia="仿宋_GB2312" w:cs="Arial"/>
          <w:kern w:val="0"/>
          <w:highlight w:val="none"/>
        </w:rPr>
        <w:tab/>
      </w:r>
      <w:r>
        <w:rPr>
          <w:rFonts w:hint="eastAsia" w:ascii="仿宋_GB2312" w:hAnsi="仿宋" w:eastAsia="仿宋_GB2312" w:cs="Arial"/>
          <w:kern w:val="0"/>
          <w:highlight w:val="none"/>
        </w:rPr>
        <w:t xml:space="preserve"> </w:t>
      </w:r>
      <w:r>
        <w:rPr>
          <w:rFonts w:ascii="仿宋_GB2312" w:hAnsi="仿宋" w:eastAsia="仿宋_GB2312" w:cs="Arial"/>
          <w:kern w:val="0"/>
          <w:highlight w:val="none"/>
        </w:rPr>
        <w:sym w:font="Wingdings" w:char="00A8"/>
      </w:r>
      <w:r>
        <w:rPr>
          <w:rFonts w:ascii="仿宋_GB2312" w:hAnsi="仿宋" w:eastAsia="仿宋_GB2312" w:cs="Arial"/>
          <w:kern w:val="0"/>
          <w:highlight w:val="none"/>
        </w:rPr>
        <w:t xml:space="preserve"> </w:t>
      </w:r>
      <w:r>
        <w:rPr>
          <w:rFonts w:hint="eastAsia" w:ascii="宋体" w:hAnsi="宋体"/>
          <w:highlight w:val="none"/>
        </w:rPr>
        <w:t>服务全部由符合政策要求的小微企业承接，提供中小企业声明函；</w:t>
      </w:r>
    </w:p>
    <w:p>
      <w:pPr>
        <w:spacing w:after="0" w:line="520" w:lineRule="exact"/>
        <w:ind w:firstLine="720" w:firstLineChars="300"/>
        <w:rPr>
          <w:rFonts w:hint="eastAsia" w:ascii="宋体" w:hAnsi="宋体"/>
          <w:highlight w:val="none"/>
        </w:rPr>
      </w:pPr>
      <w:r>
        <w:rPr>
          <w:rFonts w:hint="eastAsia" w:ascii="宋体" w:hAnsi="宋体"/>
          <w:highlight w:val="none"/>
        </w:rPr>
        <w:t>2.2.2</w:t>
      </w:r>
      <w:r>
        <w:rPr>
          <w:rFonts w:ascii="仿宋_GB2312" w:hAnsi="仿宋" w:eastAsia="仿宋_GB2312" w:cs="Arial"/>
          <w:kern w:val="0"/>
          <w:highlight w:val="none"/>
        </w:rPr>
        <w:sym w:font="Wingdings" w:char="00A8"/>
      </w:r>
      <w:r>
        <w:rPr>
          <w:rFonts w:ascii="仿宋_GB2312" w:hAnsi="仿宋" w:eastAsia="仿宋_GB2312" w:cs="Arial"/>
          <w:kern w:val="0"/>
          <w:highlight w:val="none"/>
        </w:rPr>
        <w:t xml:space="preserve"> </w:t>
      </w:r>
      <w:r>
        <w:rPr>
          <w:rFonts w:hint="eastAsia" w:ascii="宋体" w:hAnsi="宋体"/>
          <w:highlight w:val="none"/>
        </w:rPr>
        <w:t>要求以联合体形式参加，提供联合协议和中小企业声明函，联合协议中中小企业合同金额应当达到</w:t>
      </w:r>
      <w:r>
        <w:rPr>
          <w:rFonts w:hint="eastAsia" w:ascii="宋体" w:hAnsi="宋体"/>
          <w:highlight w:val="none"/>
          <w:u w:val="single"/>
        </w:rPr>
        <w:t xml:space="preserve"> / </w:t>
      </w:r>
      <w:r>
        <w:rPr>
          <w:rFonts w:hint="eastAsia" w:ascii="宋体" w:hAnsi="宋体"/>
          <w:highlight w:val="none"/>
        </w:rPr>
        <w:t>%（不得低于40%），其中小微企业合同金额应当达到</w:t>
      </w:r>
      <w:r>
        <w:rPr>
          <w:rFonts w:hint="eastAsia" w:ascii="宋体" w:hAnsi="宋体"/>
          <w:highlight w:val="none"/>
          <w:u w:val="single"/>
        </w:rPr>
        <w:t xml:space="preserve"> / </w:t>
      </w:r>
      <w:r>
        <w:rPr>
          <w:rFonts w:hint="eastAsia" w:ascii="宋体" w:hAnsi="宋体"/>
          <w:highlight w:val="none"/>
        </w:rPr>
        <w:t>%（不得低于70%）;如果供应商本身提供所有标的均由中小企业制造、承建或承接，视同符合了资格条件，无需再与其他中小企业组成联合体参加政府采购活动，无需提供联合协议；</w:t>
      </w:r>
    </w:p>
    <w:p>
      <w:pPr>
        <w:spacing w:after="0" w:line="520" w:lineRule="exact"/>
        <w:ind w:firstLine="720" w:firstLineChars="300"/>
        <w:rPr>
          <w:rFonts w:hint="eastAsia" w:ascii="宋体" w:hAnsi="宋体"/>
          <w:highlight w:val="none"/>
        </w:rPr>
      </w:pPr>
      <w:r>
        <w:rPr>
          <w:rFonts w:hint="eastAsia" w:ascii="宋体" w:hAnsi="宋体"/>
          <w:highlight w:val="none"/>
        </w:rPr>
        <w:t>2.2.3</w:t>
      </w:r>
      <w:r>
        <w:rPr>
          <w:rFonts w:hint="eastAsia" w:ascii="宋体" w:hAnsi="宋体"/>
          <w:highlight w:val="none"/>
        </w:rPr>
        <w:sym w:font="Wingdings" w:char="00A8"/>
      </w:r>
      <w:r>
        <w:rPr>
          <w:rFonts w:hint="eastAsia" w:ascii="宋体" w:hAnsi="宋体"/>
          <w:highlight w:val="none"/>
        </w:rPr>
        <w:t>要求合同分包，提供分包意向协议和中小企业声明函，分包意向协议中中小企业合同金额应当达到</w:t>
      </w:r>
      <w:r>
        <w:rPr>
          <w:rFonts w:hint="eastAsia" w:ascii="宋体" w:hAnsi="宋体"/>
          <w:highlight w:val="none"/>
          <w:u w:val="single"/>
        </w:rPr>
        <w:t xml:space="preserve"> / </w:t>
      </w:r>
      <w:r>
        <w:rPr>
          <w:rFonts w:hint="eastAsia" w:ascii="宋体" w:hAnsi="宋体"/>
          <w:highlight w:val="none"/>
        </w:rPr>
        <w:t>% （不得低于40%），其中小微企业合同金额应当达到</w:t>
      </w:r>
      <w:r>
        <w:rPr>
          <w:rFonts w:hint="eastAsia" w:ascii="宋体" w:hAnsi="宋体"/>
          <w:highlight w:val="none"/>
          <w:u w:val="single"/>
        </w:rPr>
        <w:t xml:space="preserve"> /</w:t>
      </w:r>
      <w:r>
        <w:rPr>
          <w:rFonts w:hint="eastAsia" w:ascii="宋体" w:hAnsi="宋体"/>
          <w:highlight w:val="none"/>
        </w:rPr>
        <w:t>% （不得低于70%）;如果供应商本身提供所有标的均由中小企业制造、承建或承接，视同符合了资格条件，无需再向中小企业分包，无需提供分包意向协议；</w:t>
      </w:r>
    </w:p>
    <w:p>
      <w:pPr>
        <w:spacing w:after="0" w:line="520" w:lineRule="exact"/>
        <w:ind w:firstLine="480" w:firstLineChars="200"/>
        <w:rPr>
          <w:rFonts w:hint="eastAsia" w:ascii="宋体" w:hAnsi="宋体"/>
          <w:highlight w:val="none"/>
        </w:rPr>
      </w:pPr>
      <w:r>
        <w:rPr>
          <w:rFonts w:hint="eastAsia" w:ascii="宋体" w:hAnsi="宋体"/>
          <w:highlight w:val="none"/>
        </w:rPr>
        <w:t>3.本项目的特定资格要求：</w:t>
      </w:r>
      <w:r>
        <w:rPr>
          <w:rFonts w:hint="eastAsia" w:ascii="宋体" w:hAnsi="宋体"/>
          <w:highlight w:val="none"/>
          <w:u w:val="single"/>
        </w:rPr>
        <w:t xml:space="preserve">    无    </w:t>
      </w:r>
      <w:r>
        <w:rPr>
          <w:rFonts w:hint="eastAsia" w:ascii="宋体" w:hAnsi="宋体"/>
          <w:highlight w:val="none"/>
        </w:rPr>
        <w:t>；</w:t>
      </w:r>
    </w:p>
    <w:p>
      <w:pPr>
        <w:spacing w:after="0" w:line="520" w:lineRule="exact"/>
        <w:ind w:firstLine="480" w:firstLineChars="200"/>
        <w:rPr>
          <w:rFonts w:hint="eastAsia" w:ascii="宋体" w:hAnsi="宋体"/>
          <w:highlight w:val="none"/>
        </w:rPr>
      </w:pPr>
      <w:r>
        <w:rPr>
          <w:rFonts w:hint="eastAsia" w:ascii="宋体" w:hAnsi="宋体"/>
          <w:highlight w:val="none"/>
        </w:rPr>
        <w:t>4.单位负责人为同一人或者存在直接控股、管理关系的不同供应商，不得参加同一合同项下的政府采购活动；为采购项目提供整体设计、规范编制或者项目管理、监理、检测等服务后不得再参加该采购项目的其他采购活动。</w:t>
      </w:r>
      <w:bookmarkStart w:id="10" w:name="_Toc35393792"/>
      <w:bookmarkStart w:id="11" w:name="_Toc35393623"/>
    </w:p>
    <w:p>
      <w:pPr>
        <w:pStyle w:val="3"/>
        <w:spacing w:after="0" w:line="520" w:lineRule="exact"/>
        <w:rPr>
          <w:highlight w:val="none"/>
        </w:rPr>
      </w:pPr>
      <w:r>
        <w:rPr>
          <w:rFonts w:hint="eastAsia"/>
          <w:highlight w:val="none"/>
        </w:rPr>
        <w:t>三、获取招标文件</w:t>
      </w:r>
      <w:bookmarkEnd w:id="8"/>
      <w:bookmarkEnd w:id="9"/>
      <w:bookmarkEnd w:id="10"/>
      <w:bookmarkEnd w:id="11"/>
    </w:p>
    <w:p>
      <w:pPr>
        <w:spacing w:after="0" w:line="520" w:lineRule="exact"/>
        <w:ind w:firstLine="480" w:firstLineChars="200"/>
        <w:rPr>
          <w:rFonts w:hint="eastAsia" w:ascii="宋体" w:hAnsi="宋体"/>
          <w:highlight w:val="none"/>
        </w:rPr>
      </w:pPr>
      <w:r>
        <w:rPr>
          <w:rFonts w:hint="eastAsia" w:ascii="宋体" w:hAnsi="宋体"/>
          <w:highlight w:val="none"/>
        </w:rPr>
        <w:t>时间：</w:t>
      </w:r>
      <w:r>
        <w:rPr>
          <w:rFonts w:hint="eastAsia" w:ascii="宋体" w:hAnsi="宋体"/>
          <w:highlight w:val="none"/>
          <w:lang w:eastAsia="zh-CN"/>
        </w:rPr>
        <w:t>2026年7月10日</w:t>
      </w:r>
      <w:r>
        <w:rPr>
          <w:rFonts w:hint="eastAsia" w:ascii="宋体" w:hAnsi="宋体"/>
          <w:highlight w:val="none"/>
        </w:rPr>
        <w:t>至</w:t>
      </w:r>
      <w:r>
        <w:rPr>
          <w:rFonts w:hint="eastAsia" w:ascii="宋体" w:hAnsi="宋体"/>
          <w:highlight w:val="none"/>
          <w:lang w:eastAsia="zh-CN"/>
        </w:rPr>
        <w:t>2026年7月31日</w:t>
      </w:r>
      <w:r>
        <w:rPr>
          <w:rFonts w:hint="eastAsia" w:ascii="宋体" w:hAnsi="宋体"/>
          <w:highlight w:val="none"/>
        </w:rPr>
        <w:t>9:30</w:t>
      </w:r>
    </w:p>
    <w:p>
      <w:pPr>
        <w:spacing w:after="0" w:line="520" w:lineRule="exact"/>
        <w:ind w:firstLine="480" w:firstLineChars="200"/>
        <w:rPr>
          <w:rFonts w:hint="eastAsia" w:ascii="宋体" w:hAnsi="宋体"/>
          <w:highlight w:val="none"/>
        </w:rPr>
      </w:pPr>
      <w:r>
        <w:rPr>
          <w:rFonts w:hint="eastAsia" w:ascii="宋体" w:hAnsi="宋体"/>
          <w:highlight w:val="none"/>
        </w:rPr>
        <w:t xml:space="preserve">地点（网址）：政采云平台（https://www.zcygov.cn/） </w:t>
      </w:r>
    </w:p>
    <w:p>
      <w:pPr>
        <w:spacing w:after="0" w:line="520" w:lineRule="exact"/>
        <w:ind w:firstLine="480" w:firstLineChars="200"/>
        <w:rPr>
          <w:rFonts w:hint="eastAsia" w:ascii="宋体" w:hAnsi="宋体"/>
          <w:strike/>
          <w:highlight w:val="none"/>
        </w:rPr>
      </w:pPr>
      <w:r>
        <w:rPr>
          <w:rFonts w:hint="eastAsia" w:ascii="宋体" w:hAnsi="宋体"/>
          <w:highlight w:val="none"/>
        </w:rPr>
        <w:t>方式：供应商登录政采云平台https://www.zcygov.cn/在线申请获取招标文件（进入“项目采购”应用，在获取招标文件菜单中选择项目，申请获取招标文件）。</w:t>
      </w:r>
    </w:p>
    <w:p>
      <w:pPr>
        <w:spacing w:after="0" w:line="520" w:lineRule="exact"/>
        <w:ind w:firstLine="480" w:firstLineChars="200"/>
        <w:rPr>
          <w:rFonts w:hint="eastAsia" w:ascii="宋体" w:hAnsi="宋体"/>
          <w:highlight w:val="none"/>
        </w:rPr>
      </w:pPr>
      <w:r>
        <w:rPr>
          <w:rFonts w:hint="eastAsia" w:ascii="宋体" w:hAnsi="宋体"/>
          <w:highlight w:val="none"/>
        </w:rPr>
        <w:t>售价：免费。</w:t>
      </w:r>
    </w:p>
    <w:p>
      <w:pPr>
        <w:pStyle w:val="3"/>
        <w:spacing w:after="0" w:line="520" w:lineRule="exact"/>
        <w:rPr>
          <w:highlight w:val="none"/>
        </w:rPr>
      </w:pPr>
      <w:bookmarkStart w:id="12" w:name="_Toc28359005"/>
      <w:bookmarkStart w:id="13" w:name="_Toc28359082"/>
      <w:bookmarkStart w:id="14" w:name="_Toc35393793"/>
      <w:bookmarkStart w:id="15" w:name="_Toc35393624"/>
      <w:r>
        <w:rPr>
          <w:rFonts w:hint="eastAsia"/>
          <w:highlight w:val="none"/>
        </w:rPr>
        <w:t>四、提交投标文件</w:t>
      </w:r>
      <w:bookmarkEnd w:id="12"/>
      <w:bookmarkEnd w:id="13"/>
      <w:r>
        <w:rPr>
          <w:rFonts w:hint="eastAsia"/>
          <w:highlight w:val="none"/>
        </w:rPr>
        <w:t>截止时间、开标时间和地点</w:t>
      </w:r>
      <w:bookmarkEnd w:id="14"/>
      <w:bookmarkEnd w:id="15"/>
    </w:p>
    <w:p>
      <w:pPr>
        <w:spacing w:after="0" w:line="520" w:lineRule="exact"/>
        <w:ind w:firstLine="481" w:firstLineChars="200"/>
        <w:rPr>
          <w:rFonts w:hint="eastAsia" w:ascii="宋体" w:hAnsi="宋体"/>
          <w:highlight w:val="none"/>
        </w:rPr>
      </w:pPr>
      <w:r>
        <w:rPr>
          <w:rFonts w:hint="eastAsia" w:ascii="宋体" w:hAnsi="宋体"/>
          <w:b/>
          <w:bCs/>
          <w:highlight w:val="none"/>
        </w:rPr>
        <w:t>提交投标文件截止时间：</w:t>
      </w:r>
      <w:r>
        <w:rPr>
          <w:rFonts w:hint="eastAsia" w:ascii="宋体" w:hAnsi="宋体"/>
          <w:highlight w:val="none"/>
          <w:lang w:eastAsia="zh-CN"/>
        </w:rPr>
        <w:t>2026年7月31日</w:t>
      </w:r>
      <w:r>
        <w:rPr>
          <w:rFonts w:hint="eastAsia" w:ascii="宋体" w:hAnsi="宋体"/>
          <w:highlight w:val="none"/>
        </w:rPr>
        <w:t>9：30（北京时间）</w:t>
      </w:r>
    </w:p>
    <w:p>
      <w:pPr>
        <w:spacing w:after="0" w:line="520" w:lineRule="exact"/>
        <w:ind w:firstLine="481" w:firstLineChars="200"/>
        <w:rPr>
          <w:rFonts w:hint="eastAsia" w:ascii="宋体" w:hAnsi="宋体"/>
          <w:highlight w:val="none"/>
        </w:rPr>
      </w:pPr>
      <w:r>
        <w:rPr>
          <w:rFonts w:hint="eastAsia" w:ascii="宋体" w:hAnsi="宋体"/>
          <w:b/>
          <w:bCs/>
          <w:highlight w:val="none"/>
        </w:rPr>
        <w:t>开标时间：</w:t>
      </w:r>
      <w:r>
        <w:rPr>
          <w:rFonts w:hint="eastAsia" w:ascii="宋体" w:hAnsi="宋体"/>
          <w:highlight w:val="none"/>
          <w:lang w:eastAsia="zh-CN"/>
        </w:rPr>
        <w:t>2026年7月31日</w:t>
      </w:r>
      <w:r>
        <w:rPr>
          <w:rFonts w:hint="eastAsia" w:ascii="宋体" w:hAnsi="宋体"/>
          <w:highlight w:val="none"/>
        </w:rPr>
        <w:t>9：30（北京时间）</w:t>
      </w:r>
    </w:p>
    <w:p>
      <w:pPr>
        <w:spacing w:after="0" w:line="520" w:lineRule="exact"/>
        <w:ind w:firstLine="481" w:firstLineChars="200"/>
        <w:rPr>
          <w:rFonts w:hint="eastAsia" w:ascii="宋体" w:hAnsi="宋体"/>
          <w:highlight w:val="none"/>
        </w:rPr>
      </w:pPr>
      <w:r>
        <w:rPr>
          <w:rFonts w:hint="eastAsia" w:ascii="宋体" w:hAnsi="宋体"/>
          <w:b/>
          <w:bCs/>
          <w:highlight w:val="none"/>
        </w:rPr>
        <w:t>地点（网址）：</w:t>
      </w:r>
      <w:r>
        <w:rPr>
          <w:rFonts w:hint="eastAsia" w:ascii="宋体" w:hAnsi="宋体"/>
          <w:highlight w:val="none"/>
        </w:rPr>
        <w:t>政采云平台（https://www.zcygov.cn/）</w:t>
      </w:r>
    </w:p>
    <w:p>
      <w:pPr>
        <w:pStyle w:val="3"/>
        <w:spacing w:after="0" w:line="520" w:lineRule="exact"/>
        <w:rPr>
          <w:highlight w:val="none"/>
        </w:rPr>
      </w:pPr>
      <w:bookmarkStart w:id="16" w:name="_Toc28359007"/>
      <w:bookmarkStart w:id="17" w:name="_Toc35393625"/>
      <w:bookmarkStart w:id="18" w:name="_Toc35393794"/>
      <w:bookmarkStart w:id="19" w:name="_Toc28359084"/>
      <w:r>
        <w:rPr>
          <w:rFonts w:hint="eastAsia"/>
          <w:highlight w:val="none"/>
        </w:rPr>
        <w:t>五、公告期限</w:t>
      </w:r>
      <w:bookmarkEnd w:id="16"/>
      <w:bookmarkEnd w:id="17"/>
      <w:bookmarkEnd w:id="18"/>
      <w:bookmarkEnd w:id="19"/>
    </w:p>
    <w:p>
      <w:pPr>
        <w:spacing w:after="0" w:line="520" w:lineRule="exact"/>
        <w:ind w:firstLine="480" w:firstLineChars="200"/>
        <w:rPr>
          <w:rFonts w:hint="eastAsia" w:ascii="宋体" w:hAnsi="宋体"/>
          <w:highlight w:val="none"/>
        </w:rPr>
      </w:pPr>
      <w:r>
        <w:rPr>
          <w:rFonts w:hint="eastAsia" w:ascii="宋体" w:hAnsi="宋体"/>
          <w:highlight w:val="none"/>
        </w:rPr>
        <w:t>自本公告发布之日起5个工作日。</w:t>
      </w:r>
    </w:p>
    <w:p>
      <w:pPr>
        <w:pStyle w:val="3"/>
        <w:spacing w:after="0" w:line="520" w:lineRule="exact"/>
        <w:rPr>
          <w:highlight w:val="none"/>
        </w:rPr>
      </w:pPr>
      <w:bookmarkStart w:id="20" w:name="_Toc35393795"/>
      <w:bookmarkStart w:id="21" w:name="_Toc35393626"/>
      <w:r>
        <w:rPr>
          <w:rFonts w:hint="eastAsia"/>
          <w:highlight w:val="none"/>
        </w:rPr>
        <w:t>六、其他补充事宜</w:t>
      </w:r>
      <w:bookmarkEnd w:id="20"/>
      <w:bookmarkEnd w:id="21"/>
    </w:p>
    <w:p>
      <w:pPr>
        <w:spacing w:after="0" w:line="520" w:lineRule="exact"/>
        <w:ind w:firstLine="480" w:firstLineChars="200"/>
        <w:rPr>
          <w:rFonts w:hint="eastAsia" w:ascii="宋体" w:hAnsi="宋体"/>
          <w:szCs w:val="21"/>
          <w:highlight w:val="none"/>
        </w:rPr>
      </w:pPr>
      <w:bookmarkStart w:id="22" w:name="_Toc28359008"/>
      <w:bookmarkStart w:id="23" w:name="_Toc35393796"/>
      <w:bookmarkStart w:id="24" w:name="_Toc35393627"/>
      <w:bookmarkStart w:id="25" w:name="_Toc28359085"/>
      <w:r>
        <w:rPr>
          <w:rFonts w:hint="eastAsia" w:ascii="宋体" w:hAnsi="宋体"/>
          <w:szCs w:val="21"/>
          <w:highlight w:val="none"/>
        </w:rPr>
        <w:t>1.供应商认为招标文件使自己的权益受到损害的，可以自获取招标文件之日或者招标文件公告期限届满之日（公告期限届满后获取招标文件的，以公告期限届满之日为准）起7个工作日内，以书面形式在政采云平台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spacing w:after="0" w:line="520" w:lineRule="exact"/>
        <w:ind w:firstLine="480" w:firstLineChars="200"/>
        <w:rPr>
          <w:rFonts w:hint="eastAsia" w:ascii="宋体" w:hAnsi="宋体"/>
          <w:highlight w:val="none"/>
        </w:rPr>
      </w:pPr>
      <w:r>
        <w:rPr>
          <w:rFonts w:hint="eastAsia" w:ascii="宋体" w:hAnsi="宋体"/>
          <w:highlight w:val="none"/>
        </w:rPr>
        <w:t>2.其他事项：</w:t>
      </w:r>
    </w:p>
    <w:p>
      <w:pPr>
        <w:spacing w:after="0" w:line="520" w:lineRule="exact"/>
        <w:ind w:firstLine="480" w:firstLineChars="200"/>
        <w:rPr>
          <w:rFonts w:hint="eastAsia" w:ascii="宋体" w:hAnsi="宋体"/>
          <w:szCs w:val="21"/>
          <w:highlight w:val="none"/>
        </w:rPr>
      </w:pPr>
      <w:r>
        <w:rPr>
          <w:rFonts w:hint="eastAsia" w:ascii="宋体" w:hAnsi="宋体"/>
          <w:szCs w:val="21"/>
          <w:highlight w:val="none"/>
        </w:rPr>
        <w:t>（1）需要落实的政府采购政策：包括节约资源、保护环境、支持创新、促进中小企业发展等。</w:t>
      </w:r>
    </w:p>
    <w:p>
      <w:pPr>
        <w:spacing w:after="0" w:line="520" w:lineRule="exact"/>
        <w:ind w:firstLine="480" w:firstLineChars="200"/>
        <w:rPr>
          <w:rFonts w:hint="eastAsia" w:ascii="宋体" w:hAnsi="宋体"/>
          <w:szCs w:val="21"/>
          <w:highlight w:val="none"/>
        </w:rPr>
      </w:pPr>
      <w:r>
        <w:rPr>
          <w:rFonts w:hint="eastAsia" w:ascii="宋体" w:hAnsi="宋体"/>
          <w:szCs w:val="21"/>
          <w:highlight w:val="none"/>
        </w:rPr>
        <w:t>（2）电子招投标的说明：</w:t>
      </w:r>
    </w:p>
    <w:p>
      <w:pPr>
        <w:spacing w:after="0" w:line="520" w:lineRule="exact"/>
        <w:ind w:firstLine="480" w:firstLineChars="200"/>
        <w:rPr>
          <w:rFonts w:hint="eastAsia" w:ascii="宋体" w:hAnsi="宋体"/>
          <w:szCs w:val="21"/>
          <w:highlight w:val="none"/>
        </w:rPr>
      </w:pPr>
      <w:r>
        <w:rPr>
          <w:rFonts w:hint="eastAsia" w:ascii="宋体" w:hAnsi="宋体"/>
          <w:szCs w:val="21"/>
          <w:highlight w:val="none"/>
        </w:rPr>
        <w:t>①电子招投标：本项目以数据电文形式，依托“政府采购云平台（www.zcygov.cn）”进行招投标活动，不接受纸质投标文件；</w:t>
      </w:r>
    </w:p>
    <w:p>
      <w:pPr>
        <w:spacing w:after="0" w:line="520" w:lineRule="exact"/>
        <w:ind w:firstLine="480" w:firstLineChars="200"/>
        <w:rPr>
          <w:rFonts w:hint="eastAsia" w:ascii="宋体" w:hAnsi="宋体"/>
          <w:b/>
          <w:bCs/>
          <w:szCs w:val="21"/>
          <w:highlight w:val="none"/>
        </w:rPr>
      </w:pPr>
      <w:r>
        <w:rPr>
          <w:rFonts w:hint="eastAsia" w:ascii="宋体" w:hAnsi="宋体"/>
          <w:szCs w:val="21"/>
          <w:highlight w:val="none"/>
        </w:rPr>
        <w:t>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w:t>
      </w:r>
      <w:r>
        <w:rPr>
          <w:rFonts w:hint="eastAsia" w:ascii="宋体" w:hAnsi="宋体"/>
          <w:b/>
          <w:bCs/>
          <w:szCs w:val="21"/>
          <w:highlight w:val="none"/>
        </w:rPr>
        <w:t>中标供应商在签合同前，如不完成注册，视为放弃；</w:t>
      </w:r>
    </w:p>
    <w:p>
      <w:pPr>
        <w:spacing w:after="0" w:line="520" w:lineRule="exact"/>
        <w:ind w:firstLine="480" w:firstLineChars="200"/>
        <w:rPr>
          <w:rFonts w:hint="eastAsia" w:ascii="宋体" w:hAnsi="宋体"/>
          <w:szCs w:val="21"/>
          <w:highlight w:val="none"/>
        </w:rPr>
      </w:pPr>
      <w:r>
        <w:rPr>
          <w:rFonts w:hint="eastAsia" w:ascii="宋体" w:hAnsi="宋体"/>
          <w:szCs w:val="21"/>
          <w:highlight w:val="none"/>
        </w:rPr>
        <w:t>③招标文件的获取：使用账号登录或者使用CA登录政采云平台；进入“项目采购”应用，在获取招标文件菜单中选择项目，获取招标文件；</w:t>
      </w:r>
    </w:p>
    <w:p>
      <w:pPr>
        <w:spacing w:after="0" w:line="520" w:lineRule="exact"/>
        <w:ind w:firstLine="480" w:firstLineChars="200"/>
        <w:rPr>
          <w:rFonts w:hint="eastAsia" w:ascii="宋体" w:hAnsi="宋体"/>
          <w:szCs w:val="21"/>
          <w:highlight w:val="none"/>
        </w:rPr>
      </w:pPr>
      <w:r>
        <w:rPr>
          <w:rFonts w:hint="eastAsia" w:ascii="宋体" w:hAnsi="宋体"/>
          <w:szCs w:val="21"/>
          <w:highlight w:val="none"/>
        </w:rPr>
        <w:t>④投标文件的制作：在“政采云电子交易客户端”中完成“填写基本信息”、“导入投标文件”、“标书关联”、“标书检查”、“电子签名”、“生成电子标书”等操作；</w:t>
      </w:r>
    </w:p>
    <w:p>
      <w:pPr>
        <w:spacing w:after="0" w:line="520" w:lineRule="exact"/>
        <w:ind w:firstLine="480" w:firstLineChars="200"/>
        <w:rPr>
          <w:rFonts w:hint="eastAsia" w:ascii="宋体" w:hAnsi="宋体"/>
          <w:szCs w:val="21"/>
          <w:highlight w:val="none"/>
        </w:rPr>
      </w:pPr>
      <w:r>
        <w:rPr>
          <w:rFonts w:hint="eastAsia" w:ascii="宋体" w:hAnsi="宋体"/>
          <w:szCs w:val="21"/>
          <w:highlight w:val="none"/>
        </w:rPr>
        <w:t xml:space="preserve">⑤采购人、采购代理机构将依托政采云平台完成本项目的电子交易活动，平台不接受未按上述方式获取招标文件的供应商进行投标活动； </w:t>
      </w:r>
    </w:p>
    <w:p>
      <w:pPr>
        <w:spacing w:after="0" w:line="520" w:lineRule="exact"/>
        <w:ind w:firstLine="480" w:firstLineChars="200"/>
        <w:rPr>
          <w:rFonts w:hint="eastAsia" w:ascii="宋体" w:hAnsi="宋体"/>
          <w:szCs w:val="21"/>
          <w:highlight w:val="none"/>
        </w:rPr>
      </w:pPr>
      <w:r>
        <w:rPr>
          <w:rFonts w:hint="eastAsia" w:ascii="宋体" w:hAnsi="宋体"/>
          <w:szCs w:val="21"/>
          <w:highlight w:val="none"/>
        </w:rPr>
        <w:t>⑥对未按上述方式获取招标文件的供应商对该文件提出的质疑，采购人或采购代理机构将不予处理；</w:t>
      </w:r>
    </w:p>
    <w:p>
      <w:pPr>
        <w:spacing w:after="0" w:line="520" w:lineRule="exact"/>
        <w:ind w:firstLine="480" w:firstLineChars="200"/>
        <w:rPr>
          <w:rFonts w:hint="eastAsia" w:ascii="宋体" w:hAnsi="宋体"/>
          <w:szCs w:val="21"/>
          <w:highlight w:val="none"/>
        </w:rPr>
      </w:pPr>
      <w:r>
        <w:rPr>
          <w:rFonts w:hint="eastAsia" w:ascii="宋体" w:hAnsi="宋体"/>
          <w:szCs w:val="21"/>
          <w:highlight w:val="none"/>
        </w:rPr>
        <w:t>⑦不提供招标文件纸质版；</w:t>
      </w:r>
    </w:p>
    <w:p>
      <w:pPr>
        <w:spacing w:after="0" w:line="520" w:lineRule="exact"/>
        <w:ind w:firstLine="480" w:firstLineChars="200"/>
        <w:rPr>
          <w:rFonts w:hint="eastAsia" w:ascii="宋体" w:hAnsi="宋体"/>
          <w:szCs w:val="21"/>
          <w:highlight w:val="none"/>
        </w:rPr>
      </w:pPr>
      <w:r>
        <w:rPr>
          <w:rFonts w:hint="eastAsia" w:ascii="宋体" w:hAnsi="宋体"/>
          <w:szCs w:val="21"/>
          <w:highlight w:val="none"/>
        </w:rPr>
        <w:t>⑧投标文件的传输递交：供应商在投标截止时间前将加密的投标文件上传至政府采购云平台，同时可在投标截止时间前将政采云平台上最后生成的具备电子签章的备份电子标文件1份下载至U盘，直接提交或者以</w:t>
      </w:r>
      <w:r>
        <w:rPr>
          <w:rFonts w:hint="eastAsia" w:ascii="宋体" w:hAnsi="宋体"/>
          <w:b/>
          <w:bCs/>
          <w:szCs w:val="21"/>
          <w:highlight w:val="none"/>
        </w:rPr>
        <w:t>EMS</w:t>
      </w:r>
      <w:r>
        <w:rPr>
          <w:rFonts w:hint="eastAsia" w:ascii="宋体" w:hAnsi="宋体"/>
          <w:szCs w:val="21"/>
          <w:highlight w:val="none"/>
        </w:rPr>
        <w:t>方式递交【地址：嘉兴市公共资源交易中心307室；收件人：</w:t>
      </w:r>
      <w:r>
        <w:rPr>
          <w:rFonts w:hint="eastAsia" w:ascii="宋体" w:hAnsi="宋体"/>
          <w:szCs w:val="21"/>
          <w:highlight w:val="none"/>
          <w:lang w:eastAsia="zh-CN"/>
        </w:rPr>
        <w:t>多杰次仁</w:t>
      </w:r>
      <w:r>
        <w:rPr>
          <w:rFonts w:hint="eastAsia" w:ascii="宋体" w:hAnsi="宋体"/>
          <w:szCs w:val="21"/>
          <w:highlight w:val="none"/>
        </w:rPr>
        <w:t>；电话：0573-82512032；快递寄出同时，项目被授权代表须以邮件方式将快递单号、项目名称、公司名称、被授权代表姓名及联系方式等内容（邮件格式为：项目编号+快递单号+公司名称+被授权代表姓名及联系方式）发送至集中采购机构联系人邮箱（</w:t>
      </w:r>
      <w:r>
        <w:rPr>
          <w:rFonts w:hint="eastAsia" w:ascii="宋体" w:hAnsi="宋体"/>
          <w:szCs w:val="21"/>
          <w:highlight w:val="none"/>
          <w:lang w:val="en-US" w:eastAsia="zh-CN"/>
        </w:rPr>
        <w:t>2248845638</w:t>
      </w:r>
      <w:r>
        <w:rPr>
          <w:rFonts w:hint="eastAsia" w:ascii="宋体" w:hAnsi="宋体"/>
          <w:szCs w:val="21"/>
          <w:highlight w:val="none"/>
        </w:rPr>
        <w:t>@qq.com）】；</w:t>
      </w:r>
    </w:p>
    <w:p>
      <w:pPr>
        <w:spacing w:after="0" w:line="520" w:lineRule="exact"/>
        <w:ind w:firstLine="480" w:firstLineChars="200"/>
        <w:rPr>
          <w:rFonts w:hint="eastAsia" w:ascii="宋体" w:hAnsi="宋体"/>
          <w:szCs w:val="21"/>
          <w:highlight w:val="none"/>
        </w:rPr>
      </w:pPr>
      <w:r>
        <w:rPr>
          <w:rFonts w:hint="eastAsia" w:ascii="宋体" w:hAnsi="宋体"/>
          <w:szCs w:val="21"/>
          <w:highlight w:val="none"/>
        </w:rPr>
        <w:t>备份投标文件递交须满足：外包装封面上应注明供应商名称、供应商联系方式（授权代表手机）、投标文件名称（备份投标文件）、投标项目名称、项目编号、标项及“开标时启封”字样，并加盖供应商公章。</w:t>
      </w:r>
    </w:p>
    <w:p>
      <w:pPr>
        <w:spacing w:after="0" w:line="520" w:lineRule="exact"/>
        <w:rPr>
          <w:rFonts w:hint="eastAsia" w:ascii="宋体" w:hAnsi="宋体"/>
          <w:highlight w:val="none"/>
        </w:rPr>
      </w:pPr>
      <w:r>
        <w:rPr>
          <w:rFonts w:hint="eastAsia" w:ascii="宋体" w:hAnsi="宋体"/>
          <w:highlight w:val="none"/>
        </w:rPr>
        <w:t xml:space="preserve">    </w:t>
      </w:r>
      <w:r>
        <w:rPr>
          <w:rFonts w:hint="eastAsia" w:ascii="宋体" w:hAnsi="宋体"/>
          <w:b/>
          <w:bCs/>
          <w:highlight w:val="none"/>
        </w:rPr>
        <w:t>供应商递交的备份投标文件，出现下列情况之一的，将被拒收：</w:t>
      </w:r>
    </w:p>
    <w:p>
      <w:pPr>
        <w:spacing w:after="0" w:line="520" w:lineRule="exact"/>
        <w:rPr>
          <w:rFonts w:hint="eastAsia" w:ascii="宋体" w:hAnsi="宋体"/>
          <w:highlight w:val="none"/>
        </w:rPr>
      </w:pPr>
      <w:r>
        <w:rPr>
          <w:rFonts w:hint="eastAsia" w:ascii="宋体" w:hAnsi="宋体"/>
          <w:highlight w:val="none"/>
        </w:rPr>
        <w:t xml:space="preserve">    ·未按规定密封或标记的；</w:t>
      </w:r>
    </w:p>
    <w:p>
      <w:pPr>
        <w:spacing w:after="0" w:line="520" w:lineRule="exact"/>
        <w:ind w:firstLine="480" w:firstLineChars="200"/>
        <w:rPr>
          <w:rFonts w:hint="eastAsia" w:ascii="宋体" w:hAnsi="宋体"/>
          <w:highlight w:val="none"/>
        </w:rPr>
      </w:pPr>
      <w:r>
        <w:rPr>
          <w:rFonts w:hint="eastAsia" w:ascii="宋体" w:hAnsi="宋体"/>
          <w:highlight w:val="none"/>
        </w:rPr>
        <w:t>·由于包装不妥，在送交途中严重破损或失散的；</w:t>
      </w:r>
    </w:p>
    <w:p>
      <w:pPr>
        <w:spacing w:after="0" w:line="520" w:lineRule="exact"/>
        <w:ind w:firstLine="480" w:firstLineChars="200"/>
        <w:rPr>
          <w:rFonts w:hint="eastAsia" w:ascii="宋体" w:hAnsi="宋体"/>
          <w:highlight w:val="none"/>
        </w:rPr>
      </w:pPr>
      <w:r>
        <w:rPr>
          <w:rFonts w:hint="eastAsia" w:ascii="宋体" w:hAnsi="宋体"/>
          <w:highlight w:val="none"/>
        </w:rPr>
        <w:t>·超过响应截止时间送达的；</w:t>
      </w:r>
    </w:p>
    <w:p>
      <w:pPr>
        <w:spacing w:after="0" w:line="520" w:lineRule="exact"/>
        <w:ind w:firstLine="480" w:firstLineChars="200"/>
        <w:rPr>
          <w:rFonts w:hint="eastAsia" w:ascii="宋体" w:hAnsi="宋体"/>
          <w:highlight w:val="none"/>
        </w:rPr>
      </w:pPr>
      <w:r>
        <w:rPr>
          <w:rFonts w:hint="eastAsia" w:ascii="宋体" w:hAnsi="宋体"/>
          <w:highlight w:val="none"/>
        </w:rPr>
        <w:t>·快递方式：快递费到付的。</w:t>
      </w:r>
      <w:bookmarkStart w:id="157" w:name="_GoBack"/>
      <w:bookmarkEnd w:id="157"/>
    </w:p>
    <w:p>
      <w:pPr>
        <w:spacing w:after="0" w:line="520" w:lineRule="exact"/>
        <w:ind w:firstLine="480" w:firstLineChars="200"/>
        <w:rPr>
          <w:rFonts w:hint="eastAsia" w:ascii="宋体" w:hAnsi="宋体"/>
          <w:highlight w:val="none"/>
        </w:rPr>
      </w:pPr>
      <w:r>
        <w:rPr>
          <w:rFonts w:hint="eastAsia" w:ascii="宋体" w:hAnsi="宋体"/>
          <w:highlight w:val="none"/>
        </w:rPr>
        <w:t>⑨投标文件的解密：供应商按照平台提示和招标文件规定在半小时内完成在线解密。通过“政府采购云平台”上传递交的投标文件无法按时解密，供应商递交了备份投标文件的，以备份投标文件为依据，否则视为投标文件撤回。通过“政府采购云平台”上传递交的投标文件已按时解密的，备份投标文件自动失效。供应商仅提交备份投标文件，没有在电子交易平台传输递交投标文件的，投标无效；</w:t>
      </w:r>
    </w:p>
    <w:p>
      <w:pPr>
        <w:spacing w:after="0" w:line="520" w:lineRule="exact"/>
        <w:ind w:firstLine="480" w:firstLineChars="200"/>
        <w:rPr>
          <w:rFonts w:hint="eastAsia" w:ascii="宋体" w:hAnsi="宋体"/>
          <w:highlight w:val="none"/>
        </w:rPr>
      </w:pPr>
      <w:r>
        <w:rPr>
          <w:rFonts w:hint="eastAsia" w:ascii="宋体" w:hAnsi="宋体"/>
          <w:highlight w:val="none"/>
        </w:rPr>
        <w:t>⑩具体操作指南：详见政采云平台“服务中心-帮助文档-项目采购-操作流程-电子招投标-政府采购项目电子交易管理操作指南-供应商”。</w:t>
      </w:r>
    </w:p>
    <w:p>
      <w:pPr>
        <w:pStyle w:val="3"/>
        <w:spacing w:after="0" w:line="520" w:lineRule="exact"/>
        <w:rPr>
          <w:highlight w:val="none"/>
        </w:rPr>
      </w:pPr>
      <w:r>
        <w:rPr>
          <w:rFonts w:hint="eastAsia"/>
          <w:highlight w:val="none"/>
        </w:rPr>
        <w:t>七、对本次招标提出询问，请按以下方式联系</w:t>
      </w:r>
      <w:bookmarkEnd w:id="22"/>
      <w:bookmarkEnd w:id="23"/>
      <w:bookmarkEnd w:id="24"/>
      <w:bookmarkEnd w:id="25"/>
    </w:p>
    <w:p>
      <w:pPr>
        <w:spacing w:after="0" w:line="520" w:lineRule="exact"/>
        <w:ind w:firstLine="481" w:firstLineChars="200"/>
        <w:rPr>
          <w:rFonts w:hint="eastAsia" w:ascii="宋体" w:hAnsi="宋体"/>
          <w:b/>
          <w:bCs/>
          <w:highlight w:val="none"/>
        </w:rPr>
      </w:pPr>
      <w:r>
        <w:rPr>
          <w:rFonts w:hint="eastAsia" w:ascii="宋体" w:hAnsi="宋体"/>
          <w:b/>
          <w:bCs/>
          <w:highlight w:val="none"/>
        </w:rPr>
        <w:t>1.采购人信息</w:t>
      </w:r>
    </w:p>
    <w:p>
      <w:pPr>
        <w:spacing w:after="0" w:line="520" w:lineRule="exact"/>
        <w:ind w:firstLine="480" w:firstLineChars="200"/>
        <w:rPr>
          <w:rFonts w:hint="eastAsia" w:ascii="宋体" w:hAnsi="宋体"/>
          <w:highlight w:val="none"/>
        </w:rPr>
      </w:pPr>
      <w:r>
        <w:rPr>
          <w:rFonts w:hint="eastAsia" w:ascii="宋体" w:hAnsi="宋体"/>
          <w:highlight w:val="none"/>
        </w:rPr>
        <w:t>名 称：</w:t>
      </w:r>
      <w:r>
        <w:rPr>
          <w:rFonts w:hint="eastAsia" w:ascii="宋体" w:hAnsi="宋体"/>
          <w:highlight w:val="none"/>
          <w:lang w:eastAsia="zh-CN"/>
        </w:rPr>
        <w:t>嘉兴市南湖区教育体育局</w:t>
      </w:r>
      <w:r>
        <w:rPr>
          <w:rFonts w:hint="eastAsia" w:ascii="宋体" w:hAnsi="宋体"/>
          <w:highlight w:val="none"/>
        </w:rPr>
        <w:t xml:space="preserve"> </w:t>
      </w:r>
    </w:p>
    <w:p>
      <w:pPr>
        <w:spacing w:after="0" w:line="520" w:lineRule="exact"/>
        <w:ind w:firstLine="480" w:firstLineChars="200"/>
        <w:rPr>
          <w:rFonts w:hint="eastAsia" w:ascii="宋体" w:hAnsi="宋体"/>
          <w:highlight w:val="none"/>
        </w:rPr>
      </w:pPr>
      <w:r>
        <w:rPr>
          <w:rFonts w:hint="eastAsia" w:ascii="宋体" w:hAnsi="宋体"/>
          <w:highlight w:val="none"/>
        </w:rPr>
        <w:t>地址：</w:t>
      </w:r>
      <w:r>
        <w:rPr>
          <w:rFonts w:hint="eastAsia" w:ascii="宋体" w:hAnsi="宋体" w:eastAsia="宋体" w:cs="宋体"/>
          <w:sz w:val="24"/>
          <w:szCs w:val="24"/>
          <w:highlight w:val="none"/>
        </w:rPr>
        <w:t>嘉兴市</w:t>
      </w:r>
      <w:r>
        <w:rPr>
          <w:rFonts w:hint="default" w:ascii="宋体" w:hAnsi="宋体" w:eastAsia="宋体" w:cs="宋体"/>
          <w:sz w:val="24"/>
          <w:szCs w:val="24"/>
          <w:highlight w:val="none"/>
        </w:rPr>
        <w:t>南湖区湘溪路22号</w:t>
      </w:r>
    </w:p>
    <w:p>
      <w:pPr>
        <w:spacing w:after="0" w:line="520" w:lineRule="exact"/>
        <w:ind w:firstLine="480" w:firstLineChars="200"/>
        <w:rPr>
          <w:rFonts w:hint="default" w:ascii="宋体" w:hAnsi="宋体" w:eastAsia="宋体" w:cs="宋体"/>
          <w:highlight w:val="none"/>
        </w:rPr>
      </w:pPr>
      <w:r>
        <w:rPr>
          <w:rFonts w:hint="eastAsia" w:ascii="宋体" w:hAnsi="宋体" w:eastAsia="宋体" w:cs="宋体"/>
          <w:highlight w:val="none"/>
        </w:rPr>
        <w:t>项目联系人（询问）：</w:t>
      </w:r>
      <w:r>
        <w:rPr>
          <w:rFonts w:hint="default" w:ascii="宋体" w:hAnsi="宋体" w:eastAsia="宋体" w:cs="宋体"/>
          <w:highlight w:val="none"/>
        </w:rPr>
        <w:t>钱老师</w:t>
      </w:r>
      <w:r>
        <w:rPr>
          <w:rFonts w:hint="eastAsia" w:ascii="宋体" w:hAnsi="宋体" w:eastAsia="宋体" w:cs="宋体"/>
          <w:highlight w:val="none"/>
          <w:lang w:val="en-US" w:eastAsia="zh-CN"/>
        </w:rPr>
        <w:t xml:space="preserve">   </w:t>
      </w:r>
      <w:r>
        <w:rPr>
          <w:rFonts w:hint="eastAsia" w:ascii="宋体" w:hAnsi="宋体" w:eastAsia="宋体" w:cs="宋体"/>
          <w:highlight w:val="none"/>
        </w:rPr>
        <w:t>项目联系方式（询问）：0573-83</w:t>
      </w:r>
      <w:r>
        <w:rPr>
          <w:rFonts w:hint="default" w:ascii="宋体" w:hAnsi="宋体" w:eastAsia="宋体" w:cs="宋体"/>
          <w:highlight w:val="none"/>
        </w:rPr>
        <w:t>8</w:t>
      </w:r>
      <w:r>
        <w:rPr>
          <w:rFonts w:hint="eastAsia" w:ascii="宋体" w:hAnsi="宋体" w:eastAsia="宋体" w:cs="宋体"/>
          <w:highlight w:val="none"/>
        </w:rPr>
        <w:t>3</w:t>
      </w:r>
      <w:r>
        <w:rPr>
          <w:rFonts w:hint="default" w:ascii="宋体" w:hAnsi="宋体" w:eastAsia="宋体" w:cs="宋体"/>
          <w:highlight w:val="none"/>
        </w:rPr>
        <w:t>9696</w:t>
      </w:r>
    </w:p>
    <w:p>
      <w:pPr>
        <w:spacing w:after="0" w:line="520" w:lineRule="exact"/>
        <w:ind w:firstLine="480" w:firstLineChars="200"/>
        <w:rPr>
          <w:rFonts w:hint="default" w:ascii="宋体" w:hAnsi="宋体" w:eastAsia="宋体" w:cs="宋体"/>
          <w:highlight w:val="none"/>
        </w:rPr>
      </w:pPr>
      <w:r>
        <w:rPr>
          <w:rFonts w:hint="eastAsia" w:ascii="宋体" w:hAnsi="宋体" w:eastAsia="宋体" w:cs="宋体"/>
          <w:highlight w:val="none"/>
        </w:rPr>
        <w:t>质疑联系人：</w:t>
      </w:r>
      <w:r>
        <w:rPr>
          <w:rFonts w:hint="default" w:ascii="宋体" w:hAnsi="宋体" w:eastAsia="宋体" w:cs="宋体"/>
          <w:highlight w:val="none"/>
        </w:rPr>
        <w:t>金</w:t>
      </w:r>
      <w:r>
        <w:rPr>
          <w:rFonts w:hint="eastAsia" w:ascii="宋体" w:hAnsi="宋体" w:eastAsia="宋体" w:cs="宋体"/>
          <w:highlight w:val="none"/>
        </w:rPr>
        <w:t>老师</w:t>
      </w:r>
      <w:r>
        <w:rPr>
          <w:rFonts w:hint="eastAsia" w:ascii="宋体" w:hAnsi="宋体" w:eastAsia="宋体" w:cs="宋体"/>
          <w:highlight w:val="none"/>
          <w:lang w:val="en-US" w:eastAsia="zh-CN"/>
        </w:rPr>
        <w:t xml:space="preserve">           </w:t>
      </w:r>
      <w:r>
        <w:rPr>
          <w:rFonts w:hint="eastAsia" w:ascii="宋体" w:hAnsi="宋体" w:eastAsia="宋体" w:cs="宋体"/>
          <w:highlight w:val="none"/>
        </w:rPr>
        <w:t>质疑联系方式：0573-</w:t>
      </w:r>
      <w:r>
        <w:rPr>
          <w:rFonts w:hint="default" w:ascii="宋体" w:hAnsi="宋体" w:eastAsia="宋体" w:cs="宋体"/>
          <w:highlight w:val="none"/>
        </w:rPr>
        <w:t>82095962</w:t>
      </w:r>
    </w:p>
    <w:p>
      <w:pPr>
        <w:spacing w:after="0" w:line="520" w:lineRule="exact"/>
        <w:ind w:firstLine="481" w:firstLineChars="200"/>
        <w:rPr>
          <w:rFonts w:hint="eastAsia" w:ascii="宋体" w:hAnsi="宋体"/>
          <w:b/>
          <w:bCs/>
          <w:highlight w:val="none"/>
        </w:rPr>
      </w:pPr>
      <w:r>
        <w:rPr>
          <w:rFonts w:hint="eastAsia" w:ascii="宋体" w:hAnsi="宋体"/>
          <w:b/>
          <w:bCs/>
          <w:highlight w:val="none"/>
        </w:rPr>
        <w:t>2.集中采购机构信息</w:t>
      </w:r>
    </w:p>
    <w:p>
      <w:pPr>
        <w:spacing w:after="0" w:line="520" w:lineRule="exact"/>
        <w:ind w:firstLine="480" w:firstLineChars="200"/>
        <w:rPr>
          <w:rFonts w:hint="eastAsia" w:ascii="宋体" w:hAnsi="宋体"/>
          <w:highlight w:val="none"/>
        </w:rPr>
      </w:pPr>
      <w:r>
        <w:rPr>
          <w:rFonts w:hint="eastAsia" w:ascii="宋体" w:hAnsi="宋体"/>
          <w:highlight w:val="none"/>
        </w:rPr>
        <w:t>名称：嘉兴市公共资源交易中心</w:t>
      </w:r>
    </w:p>
    <w:p>
      <w:pPr>
        <w:spacing w:after="0" w:line="520" w:lineRule="exact"/>
        <w:ind w:firstLine="480" w:firstLineChars="200"/>
        <w:rPr>
          <w:rFonts w:hint="eastAsia" w:ascii="宋体" w:hAnsi="宋体"/>
          <w:highlight w:val="none"/>
        </w:rPr>
      </w:pPr>
      <w:r>
        <w:rPr>
          <w:rFonts w:hint="eastAsia" w:ascii="宋体" w:hAnsi="宋体"/>
          <w:highlight w:val="none"/>
        </w:rPr>
        <w:t>地址：嘉兴市广场路350号</w:t>
      </w:r>
    </w:p>
    <w:p>
      <w:pPr>
        <w:spacing w:after="0" w:line="520" w:lineRule="exact"/>
        <w:ind w:firstLine="480" w:firstLineChars="200"/>
        <w:rPr>
          <w:rFonts w:hint="eastAsia" w:ascii="宋体" w:hAnsi="宋体"/>
          <w:highlight w:val="none"/>
        </w:rPr>
      </w:pPr>
      <w:r>
        <w:rPr>
          <w:rFonts w:hint="eastAsia" w:ascii="宋体" w:hAnsi="宋体"/>
          <w:highlight w:val="none"/>
        </w:rPr>
        <w:t>项目联系人（询问）：多杰次仁   项目联系方式（询问）：0573-82512032</w:t>
      </w:r>
    </w:p>
    <w:p>
      <w:pPr>
        <w:spacing w:after="0" w:line="520" w:lineRule="exact"/>
        <w:ind w:firstLine="480" w:firstLineChars="200"/>
        <w:rPr>
          <w:rFonts w:hint="eastAsia" w:ascii="宋体" w:hAnsi="宋体"/>
          <w:highlight w:val="none"/>
        </w:rPr>
      </w:pPr>
      <w:r>
        <w:rPr>
          <w:rFonts w:hint="eastAsia" w:ascii="宋体" w:hAnsi="宋体"/>
          <w:highlight w:val="none"/>
        </w:rPr>
        <w:t xml:space="preserve">质疑联系人：沈妍            </w:t>
      </w:r>
      <w:r>
        <w:rPr>
          <w:rFonts w:ascii="宋体" w:hAnsi="宋体"/>
          <w:highlight w:val="none"/>
        </w:rPr>
        <w:t xml:space="preserve">  </w:t>
      </w:r>
      <w:r>
        <w:rPr>
          <w:rFonts w:hint="eastAsia" w:ascii="宋体" w:hAnsi="宋体"/>
          <w:highlight w:val="none"/>
        </w:rPr>
        <w:t>质疑联系方式：0573-82512933</w:t>
      </w:r>
    </w:p>
    <w:p>
      <w:pPr>
        <w:spacing w:after="0" w:line="520" w:lineRule="exact"/>
        <w:ind w:firstLine="480" w:firstLineChars="200"/>
        <w:rPr>
          <w:rFonts w:hint="eastAsia" w:ascii="宋体" w:hAnsi="宋体"/>
          <w:highlight w:val="none"/>
        </w:rPr>
      </w:pPr>
      <w:r>
        <w:rPr>
          <w:rFonts w:hint="eastAsia" w:ascii="宋体" w:hAnsi="宋体"/>
          <w:highlight w:val="none"/>
        </w:rPr>
        <w:t>政采云驻点（网站系统问题：注册、账号、系统操作等）：0573-82512933</w:t>
      </w:r>
    </w:p>
    <w:p>
      <w:pPr>
        <w:spacing w:after="0" w:line="520" w:lineRule="exact"/>
        <w:ind w:firstLine="481" w:firstLineChars="200"/>
        <w:rPr>
          <w:rFonts w:hint="eastAsia" w:ascii="宋体" w:hAnsi="宋体"/>
          <w:highlight w:val="none"/>
        </w:rPr>
      </w:pPr>
      <w:r>
        <w:rPr>
          <w:rFonts w:hint="eastAsia" w:ascii="宋体" w:hAnsi="宋体"/>
          <w:b/>
          <w:bCs/>
          <w:highlight w:val="none"/>
        </w:rPr>
        <w:t>3.同级政府采购监督管理部门</w:t>
      </w:r>
    </w:p>
    <w:p>
      <w:pPr>
        <w:spacing w:after="0" w:line="520" w:lineRule="exact"/>
        <w:ind w:firstLine="480" w:firstLineChars="200"/>
        <w:rPr>
          <w:rFonts w:hint="eastAsia" w:ascii="宋体" w:hAnsi="宋体" w:eastAsia="宋体" w:cs="宋体"/>
          <w:highlight w:val="none"/>
        </w:rPr>
      </w:pPr>
      <w:r>
        <w:rPr>
          <w:rFonts w:hint="eastAsia" w:ascii="宋体" w:hAnsi="宋体" w:eastAsia="宋体" w:cs="宋体"/>
          <w:highlight w:val="none"/>
        </w:rPr>
        <w:t>政府采购行政监管及投诉受理部门：嘉兴市</w:t>
      </w:r>
      <w:r>
        <w:rPr>
          <w:rFonts w:hint="eastAsia" w:ascii="宋体" w:hAnsi="宋体" w:eastAsia="宋体" w:cs="宋体"/>
          <w:highlight w:val="none"/>
          <w:lang w:val="en-US" w:eastAsia="zh-CN"/>
        </w:rPr>
        <w:t>南湖区</w:t>
      </w:r>
      <w:r>
        <w:rPr>
          <w:rFonts w:hint="eastAsia" w:ascii="宋体" w:hAnsi="宋体" w:eastAsia="宋体" w:cs="宋体"/>
          <w:highlight w:val="none"/>
        </w:rPr>
        <w:t>财政局</w:t>
      </w:r>
    </w:p>
    <w:p>
      <w:pPr>
        <w:spacing w:after="0" w:line="520" w:lineRule="exact"/>
        <w:ind w:firstLine="480" w:firstLineChars="200"/>
        <w:rPr>
          <w:rFonts w:hint="eastAsia" w:ascii="宋体" w:hAnsi="宋体" w:eastAsia="宋体" w:cs="宋体"/>
          <w:highlight w:val="none"/>
        </w:rPr>
      </w:pPr>
      <w:r>
        <w:rPr>
          <w:rFonts w:hint="eastAsia" w:ascii="宋体" w:hAnsi="宋体" w:eastAsia="宋体" w:cs="宋体"/>
          <w:highlight w:val="none"/>
        </w:rPr>
        <w:t>地址：嘉兴市南湖区凌公塘路1260号</w:t>
      </w:r>
    </w:p>
    <w:p>
      <w:pPr>
        <w:spacing w:after="0" w:line="520" w:lineRule="exact"/>
        <w:ind w:firstLine="480" w:firstLineChars="200"/>
        <w:rPr>
          <w:rFonts w:hint="eastAsia" w:ascii="宋体" w:hAnsi="宋体" w:eastAsia="宋体" w:cs="宋体"/>
          <w:highlight w:val="none"/>
        </w:rPr>
      </w:pPr>
      <w:r>
        <w:rPr>
          <w:rFonts w:hint="eastAsia" w:ascii="宋体" w:hAnsi="宋体" w:eastAsia="宋体" w:cs="宋体"/>
          <w:highlight w:val="none"/>
        </w:rPr>
        <w:t>联系人：</w:t>
      </w:r>
      <w:r>
        <w:rPr>
          <w:rFonts w:hint="eastAsia" w:ascii="宋体" w:hAnsi="宋体" w:eastAsia="宋体" w:cs="宋体"/>
          <w:highlight w:val="none"/>
          <w:lang w:val="en-US" w:eastAsia="zh-CN"/>
        </w:rPr>
        <w:t>张</w:t>
      </w:r>
      <w:r>
        <w:rPr>
          <w:rFonts w:hint="eastAsia" w:ascii="宋体" w:hAnsi="宋体" w:eastAsia="宋体" w:cs="宋体"/>
          <w:highlight w:val="none"/>
        </w:rPr>
        <w:t>先生</w:t>
      </w:r>
    </w:p>
    <w:p>
      <w:pPr>
        <w:spacing w:after="0" w:line="520" w:lineRule="exact"/>
        <w:ind w:firstLine="480" w:firstLineChars="200"/>
        <w:rPr>
          <w:rFonts w:hint="eastAsia" w:ascii="宋体" w:hAnsi="宋体" w:eastAsia="宋体" w:cs="宋体"/>
          <w:highlight w:val="none"/>
        </w:rPr>
      </w:pPr>
      <w:r>
        <w:rPr>
          <w:rFonts w:hint="eastAsia" w:ascii="宋体" w:hAnsi="宋体" w:eastAsia="宋体" w:cs="宋体"/>
          <w:highlight w:val="none"/>
        </w:rPr>
        <w:t>联系方式：0573-82832019</w:t>
      </w:r>
    </w:p>
    <w:p>
      <w:pPr>
        <w:spacing w:after="0" w:line="520" w:lineRule="exact"/>
        <w:ind w:firstLine="480" w:firstLineChars="200"/>
        <w:rPr>
          <w:rFonts w:hint="eastAsia" w:ascii="宋体" w:hAnsi="宋体"/>
          <w:highlight w:val="none"/>
        </w:rPr>
      </w:pPr>
      <w:r>
        <w:rPr>
          <w:rFonts w:hint="eastAsia" w:ascii="宋体" w:hAnsi="宋体"/>
          <w:highlight w:val="none"/>
        </w:rPr>
        <w:t>若对项目采购电子交易系统操作有疑问，可登录政采云（https://www.zcygov.cn/），点击右侧咨询小采，获取采小蜜智能服务管家帮助，或拨打政采云服务热线95763获取热线服务帮助。</w:t>
      </w:r>
    </w:p>
    <w:p>
      <w:pPr>
        <w:spacing w:after="0" w:line="520" w:lineRule="exact"/>
        <w:ind w:firstLine="480" w:firstLineChars="200"/>
        <w:rPr>
          <w:rFonts w:hint="eastAsia" w:ascii="宋体" w:hAnsi="宋体"/>
          <w:highlight w:val="none"/>
        </w:rPr>
      </w:pPr>
      <w:r>
        <w:rPr>
          <w:rFonts w:hint="eastAsia" w:ascii="宋体" w:hAnsi="宋体"/>
          <w:highlight w:val="none"/>
        </w:rPr>
        <w:t>CA问题联系电话（人工）：汇信CA 400-888-4636；天谷CA 400-087-8198。</w:t>
      </w:r>
    </w:p>
    <w:p>
      <w:pPr>
        <w:spacing w:after="0" w:line="520" w:lineRule="exact"/>
        <w:rPr>
          <w:rFonts w:hint="eastAsia" w:ascii="宋体" w:hAnsi="宋体"/>
          <w:highlight w:val="none"/>
        </w:rPr>
      </w:pPr>
      <w:r>
        <w:rPr>
          <w:rFonts w:hint="eastAsia" w:ascii="宋体" w:hAnsi="宋体"/>
          <w:highlight w:val="none"/>
        </w:rPr>
        <w:t xml:space="preserve">                     </w:t>
      </w:r>
    </w:p>
    <w:p>
      <w:pPr>
        <w:pStyle w:val="37"/>
        <w:rPr>
          <w:rFonts w:hint="eastAsia"/>
          <w:highlight w:val="none"/>
        </w:rPr>
      </w:pPr>
    </w:p>
    <w:p>
      <w:pPr>
        <w:spacing w:after="0" w:line="520" w:lineRule="exact"/>
        <w:ind w:firstLine="3360" w:firstLineChars="1400"/>
        <w:rPr>
          <w:rFonts w:hint="eastAsia" w:ascii="宋体" w:hAnsi="宋体" w:eastAsia="宋体"/>
          <w:highlight w:val="none"/>
          <w:lang w:eastAsia="zh-CN"/>
        </w:rPr>
      </w:pPr>
      <w:r>
        <w:rPr>
          <w:rFonts w:hint="eastAsia" w:ascii="宋体" w:hAnsi="宋体"/>
          <w:highlight w:val="none"/>
        </w:rPr>
        <w:t>采购人：</w:t>
      </w:r>
      <w:r>
        <w:rPr>
          <w:rFonts w:hint="eastAsia" w:ascii="宋体" w:hAnsi="宋体"/>
          <w:highlight w:val="none"/>
          <w:lang w:eastAsia="zh-CN"/>
        </w:rPr>
        <w:t>嘉兴市南湖区教育体育局</w:t>
      </w:r>
    </w:p>
    <w:p>
      <w:pPr>
        <w:spacing w:after="0" w:line="520" w:lineRule="exact"/>
        <w:jc w:val="center"/>
        <w:rPr>
          <w:rFonts w:hint="eastAsia" w:ascii="宋体" w:hAnsi="宋体"/>
          <w:highlight w:val="none"/>
        </w:rPr>
      </w:pPr>
      <w:r>
        <w:rPr>
          <w:rFonts w:hint="eastAsia" w:ascii="宋体" w:hAnsi="宋体"/>
          <w:highlight w:val="none"/>
        </w:rPr>
        <w:t>　　　　　　　　　　　集中采购机构：嘉兴市公共资源交易中心</w:t>
      </w:r>
    </w:p>
    <w:p>
      <w:pPr>
        <w:spacing w:after="0" w:line="520" w:lineRule="exact"/>
        <w:jc w:val="center"/>
        <w:rPr>
          <w:rFonts w:hint="eastAsia" w:ascii="宋体" w:hAnsi="宋体"/>
          <w:highlight w:val="none"/>
          <w:lang w:eastAsia="zh-CN"/>
        </w:rPr>
      </w:pPr>
      <w:bookmarkStart w:id="26" w:name="_Toc532218222"/>
      <w:r>
        <w:rPr>
          <w:rFonts w:hint="eastAsia" w:ascii="宋体" w:hAnsi="宋体"/>
          <w:highlight w:val="none"/>
        </w:rPr>
        <w:t>　　　　　　　　　　　</w:t>
      </w:r>
      <w:bookmarkStart w:id="27" w:name="_Toc11276"/>
      <w:r>
        <w:rPr>
          <w:rFonts w:hint="eastAsia" w:ascii="宋体" w:hAnsi="宋体"/>
          <w:highlight w:val="none"/>
          <w:lang w:eastAsia="zh-CN"/>
        </w:rPr>
        <w:t>2026年7月10日</w:t>
      </w:r>
    </w:p>
    <w:p>
      <w:pPr>
        <w:rPr>
          <w:rFonts w:hint="eastAsia" w:ascii="宋体" w:hAnsi="宋体"/>
          <w:highlight w:val="none"/>
          <w:lang w:eastAsia="zh-CN"/>
        </w:rPr>
      </w:pPr>
      <w:r>
        <w:rPr>
          <w:rFonts w:hint="eastAsia" w:ascii="宋体" w:hAnsi="宋体"/>
          <w:highlight w:val="none"/>
          <w:lang w:eastAsia="zh-CN"/>
        </w:rPr>
        <w:br w:type="page"/>
      </w:r>
    </w:p>
    <w:bookmarkEnd w:id="26"/>
    <w:bookmarkEnd w:id="27"/>
    <w:p>
      <w:pPr>
        <w:pageBreakBefore w:val="0"/>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b/>
          <w:bCs/>
          <w:sz w:val="48"/>
          <w:szCs w:val="48"/>
          <w:highlight w:val="none"/>
        </w:rPr>
        <w:t>第二章  招标需求</w:t>
      </w:r>
    </w:p>
    <w:p>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一、项目背景</w:t>
      </w:r>
    </w:p>
    <w:p>
      <w:pPr>
        <w:spacing w:line="360" w:lineRule="auto"/>
        <w:ind w:firstLine="480" w:firstLineChars="200"/>
        <w:rPr>
          <w:rFonts w:hint="eastAsia" w:ascii="宋体" w:hAnsi="宋体" w:eastAsia="宋体" w:cs="方正仿宋_GB2312"/>
          <w:bCs/>
          <w:strike/>
          <w:dstrike w:val="0"/>
          <w:color w:val="000000"/>
          <w:highlight w:val="none"/>
          <w:lang w:val="en-US" w:eastAsia="zh-CN"/>
        </w:rPr>
      </w:pPr>
      <w:r>
        <w:rPr>
          <w:rFonts w:hint="eastAsia" w:ascii="宋体" w:hAnsi="宋体" w:cs="方正仿宋_GB2312"/>
          <w:bCs/>
          <w:color w:val="000000"/>
          <w:highlight w:val="none"/>
        </w:rPr>
        <w:t>嘉兴市</w:t>
      </w:r>
      <w:r>
        <w:rPr>
          <w:rFonts w:hint="eastAsia" w:ascii="宋体" w:hAnsi="宋体" w:cs="方正仿宋_GB2312"/>
          <w:bCs/>
          <w:color w:val="000000"/>
          <w:highlight w:val="none"/>
          <w:lang w:val="en-US" w:eastAsia="zh-CN"/>
        </w:rPr>
        <w:t>南湖</w:t>
      </w:r>
      <w:r>
        <w:rPr>
          <w:rFonts w:hint="eastAsia" w:ascii="宋体" w:hAnsi="宋体" w:cs="方正仿宋_GB2312"/>
          <w:bCs/>
          <w:color w:val="000000"/>
          <w:highlight w:val="none"/>
        </w:rPr>
        <w:t>区教育体育局需采购下属学校教师办公用台式计算机</w:t>
      </w:r>
      <w:r>
        <w:rPr>
          <w:rFonts w:hint="eastAsia" w:ascii="宋体" w:hAnsi="宋体" w:cs="方正仿宋_GB2312"/>
          <w:bCs/>
          <w:color w:val="000000"/>
          <w:highlight w:val="none"/>
          <w:lang w:eastAsia="zh-CN"/>
        </w:rPr>
        <w:t>、</w:t>
      </w:r>
      <w:r>
        <w:rPr>
          <w:rFonts w:hint="eastAsia" w:ascii="宋体" w:hAnsi="宋体" w:cs="方正仿宋_GB2312"/>
          <w:bCs/>
          <w:color w:val="000000"/>
          <w:highlight w:val="none"/>
        </w:rPr>
        <w:t>学校学生计算机教室用计算机、机房设备、机房桌凳、网络布线、设备安装</w:t>
      </w:r>
      <w:r>
        <w:rPr>
          <w:rFonts w:hint="eastAsia" w:ascii="宋体" w:hAnsi="宋体" w:cs="方正仿宋_GB2312"/>
          <w:bCs/>
          <w:color w:val="000000"/>
          <w:highlight w:val="none"/>
          <w:lang w:eastAsia="zh-CN"/>
        </w:rPr>
        <w:t>调试</w:t>
      </w:r>
      <w:r>
        <w:rPr>
          <w:rFonts w:hint="eastAsia" w:ascii="宋体" w:hAnsi="宋体" w:cs="方正仿宋_GB2312"/>
          <w:bCs/>
          <w:color w:val="000000"/>
          <w:highlight w:val="none"/>
        </w:rPr>
        <w:t>等机房设备、安装一批（详见采购清单）</w:t>
      </w:r>
      <w:r>
        <w:rPr>
          <w:rFonts w:hint="eastAsia" w:ascii="宋体" w:hAnsi="宋体" w:cs="方正仿宋_GB2312"/>
          <w:bCs/>
          <w:color w:val="000000"/>
          <w:highlight w:val="none"/>
          <w:lang w:eastAsia="zh-CN"/>
        </w:rPr>
        <w:t>。</w:t>
      </w:r>
    </w:p>
    <w:p>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cs="宋体"/>
          <w:b/>
          <w:bCs/>
          <w:sz w:val="24"/>
          <w:szCs w:val="24"/>
          <w:highlight w:val="none"/>
          <w:lang w:eastAsia="zh-CN"/>
        </w:rPr>
        <w:t>二、</w:t>
      </w:r>
      <w:r>
        <w:rPr>
          <w:rFonts w:hint="eastAsia" w:ascii="宋体" w:hAnsi="宋体" w:eastAsia="宋体" w:cs="宋体"/>
          <w:b/>
          <w:bCs/>
          <w:sz w:val="24"/>
          <w:szCs w:val="24"/>
          <w:highlight w:val="none"/>
        </w:rPr>
        <w:t>采购</w:t>
      </w:r>
      <w:r>
        <w:rPr>
          <w:rFonts w:hint="eastAsia" w:ascii="宋体" w:hAnsi="宋体" w:cs="宋体"/>
          <w:b/>
          <w:bCs/>
          <w:sz w:val="24"/>
          <w:szCs w:val="24"/>
          <w:highlight w:val="none"/>
          <w:lang w:eastAsia="zh-CN"/>
        </w:rPr>
        <w:t>清单</w:t>
      </w:r>
    </w:p>
    <w:tbl>
      <w:tblPr>
        <w:tblStyle w:val="29"/>
        <w:tblW w:w="7389" w:type="dxa"/>
        <w:jc w:val="center"/>
        <w:tblLayout w:type="fixed"/>
        <w:tblCellMar>
          <w:top w:w="0" w:type="dxa"/>
          <w:left w:w="108" w:type="dxa"/>
          <w:bottom w:w="0" w:type="dxa"/>
          <w:right w:w="108" w:type="dxa"/>
        </w:tblCellMar>
      </w:tblPr>
      <w:tblGrid>
        <w:gridCol w:w="770"/>
        <w:gridCol w:w="3791"/>
        <w:gridCol w:w="1198"/>
        <w:gridCol w:w="1630"/>
      </w:tblGrid>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b/>
                <w:bCs/>
                <w:color w:val="000000"/>
                <w:highlight w:val="none"/>
              </w:rPr>
            </w:pPr>
            <w:r>
              <w:rPr>
                <w:rFonts w:hint="eastAsia" w:ascii="宋体" w:hAnsi="宋体"/>
                <w:b/>
                <w:bCs/>
                <w:color w:val="000000"/>
                <w:kern w:val="0"/>
                <w:highlight w:val="none"/>
                <w:lang w:bidi="ar"/>
              </w:rPr>
              <w:t>序号</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b/>
                <w:bCs/>
                <w:color w:val="000000"/>
                <w:highlight w:val="none"/>
              </w:rPr>
            </w:pPr>
            <w:r>
              <w:rPr>
                <w:rFonts w:hint="eastAsia" w:ascii="宋体" w:hAnsi="宋体"/>
                <w:b/>
                <w:bCs/>
                <w:color w:val="000000"/>
                <w:kern w:val="0"/>
                <w:highlight w:val="none"/>
                <w:lang w:bidi="ar"/>
              </w:rPr>
              <w:t>设备名称</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b/>
                <w:bCs/>
                <w:color w:val="000000"/>
                <w:highlight w:val="none"/>
              </w:rPr>
            </w:pPr>
            <w:r>
              <w:rPr>
                <w:rFonts w:hint="eastAsia" w:ascii="宋体" w:hAnsi="宋体"/>
                <w:b/>
                <w:bCs/>
                <w:color w:val="000000"/>
                <w:kern w:val="0"/>
                <w:highlight w:val="none"/>
                <w:lang w:bidi="ar"/>
              </w:rPr>
              <w:t>单位</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b/>
                <w:bCs/>
                <w:color w:val="000000"/>
                <w:highlight w:val="none"/>
              </w:rPr>
            </w:pPr>
            <w:r>
              <w:rPr>
                <w:rFonts w:hint="eastAsia" w:ascii="宋体" w:hAnsi="宋体"/>
                <w:b/>
                <w:bCs/>
                <w:color w:val="000000"/>
                <w:kern w:val="0"/>
                <w:highlight w:val="none"/>
                <w:lang w:bidi="ar"/>
              </w:rPr>
              <w:t>数量</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highlight w:val="none"/>
                <w:lang w:eastAsia="zh-CN"/>
              </w:rPr>
            </w:pPr>
            <w:r>
              <w:rPr>
                <w:rFonts w:hint="eastAsia" w:ascii="宋体" w:hAnsi="宋体"/>
                <w:color w:val="000000"/>
                <w:kern w:val="0"/>
                <w:highlight w:val="none"/>
                <w:lang w:val="en-US" w:eastAsia="zh-CN" w:bidi="ar"/>
              </w:rPr>
              <w:t>1</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highlight w:val="none"/>
              </w:rPr>
            </w:pPr>
            <w:r>
              <w:rPr>
                <w:rFonts w:hint="eastAsia" w:ascii="宋体" w:hAnsi="宋体"/>
                <w:color w:val="000000"/>
                <w:kern w:val="0"/>
                <w:sz w:val="18"/>
                <w:szCs w:val="18"/>
                <w:highlight w:val="none"/>
                <w:lang w:bidi="ar"/>
              </w:rPr>
              <w:t>★</w:t>
            </w:r>
            <w:r>
              <w:rPr>
                <w:rFonts w:hint="eastAsia" w:ascii="宋体" w:hAnsi="宋体"/>
                <w:color w:val="000000"/>
                <w:kern w:val="0"/>
                <w:highlight w:val="none"/>
                <w:lang w:bidi="ar"/>
              </w:rPr>
              <w:t>台式计算机（办公）</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highlight w:val="none"/>
              </w:rPr>
            </w:pPr>
            <w:r>
              <w:rPr>
                <w:rFonts w:hint="eastAsia" w:ascii="宋体" w:hAnsi="宋体"/>
                <w:color w:val="000000"/>
                <w:kern w:val="0"/>
                <w:highlight w:val="none"/>
                <w:lang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highlight w:val="none"/>
                <w:lang w:val="en-US" w:eastAsia="zh-CN"/>
              </w:rPr>
            </w:pPr>
            <w:r>
              <w:rPr>
                <w:rFonts w:hint="eastAsia" w:ascii="宋体" w:hAnsi="宋体"/>
                <w:color w:val="000000"/>
                <w:kern w:val="0"/>
                <w:highlight w:val="none"/>
                <w:lang w:val="en-US" w:eastAsia="zh-CN" w:bidi="ar"/>
              </w:rPr>
              <w:t>539</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2</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w:t>
            </w:r>
            <w:r>
              <w:rPr>
                <w:rFonts w:hint="eastAsia" w:ascii="宋体" w:hAnsi="宋体"/>
                <w:color w:val="000000"/>
                <w:kern w:val="0"/>
                <w:highlight w:val="none"/>
                <w:lang w:bidi="ar"/>
              </w:rPr>
              <w:t>台式计算机（学生机）</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480</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3</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sz w:val="18"/>
                <w:szCs w:val="18"/>
                <w:highlight w:val="none"/>
                <w:lang w:bidi="ar"/>
              </w:rPr>
            </w:pPr>
            <w:r>
              <w:rPr>
                <w:rFonts w:hint="eastAsia" w:ascii="宋体" w:hAnsi="宋体"/>
                <w:color w:val="000000"/>
                <w:kern w:val="0"/>
                <w:highlight w:val="none"/>
                <w:lang w:bidi="ar"/>
              </w:rPr>
              <w:t>台式计算机（教师机）</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10</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4</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bidi="ar"/>
              </w:rPr>
              <w:t>交换机</w:t>
            </w:r>
            <w:r>
              <w:rPr>
                <w:rFonts w:hint="eastAsia" w:ascii="宋体" w:hAnsi="宋体"/>
                <w:color w:val="000000"/>
                <w:kern w:val="0"/>
                <w:highlight w:val="none"/>
                <w:lang w:val="en-US" w:eastAsia="zh-CN" w:bidi="ar"/>
              </w:rPr>
              <w:t>1</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10</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5</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交换机2</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5</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6</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eastAsia="宋体" w:cs="宋体"/>
                <w:color w:val="000000"/>
                <w:kern w:val="0"/>
                <w:highlight w:val="none"/>
                <w:lang w:val="en-US" w:eastAsia="zh-CN" w:bidi="ar"/>
              </w:rPr>
              <w:t>路由器</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台</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7</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7</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机柜</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个</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6</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8</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val="en-US" w:eastAsia="zh-CN" w:bidi="ar"/>
              </w:rPr>
              <w:t>六</w:t>
            </w:r>
            <w:r>
              <w:rPr>
                <w:rFonts w:hint="eastAsia" w:ascii="宋体" w:hAnsi="宋体"/>
                <w:color w:val="000000"/>
                <w:kern w:val="0"/>
                <w:highlight w:val="none"/>
                <w:lang w:bidi="ar"/>
              </w:rPr>
              <w:t>人位电脑桌</w:t>
            </w:r>
            <w:r>
              <w:rPr>
                <w:rFonts w:hint="eastAsia" w:ascii="宋体" w:hAnsi="宋体"/>
                <w:color w:val="000000"/>
                <w:kern w:val="0"/>
                <w:highlight w:val="none"/>
                <w:lang w:val="en-US" w:eastAsia="zh-CN" w:bidi="ar"/>
              </w:rPr>
              <w:t>凳</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套</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56</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9</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教师桌</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个</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4</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10</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bidi="ar"/>
              </w:rPr>
              <w:t>教师</w:t>
            </w:r>
            <w:r>
              <w:rPr>
                <w:rFonts w:hint="eastAsia" w:ascii="宋体" w:hAnsi="宋体"/>
                <w:color w:val="000000"/>
                <w:kern w:val="0"/>
                <w:highlight w:val="none"/>
                <w:lang w:val="en-US" w:eastAsia="zh-CN" w:bidi="ar"/>
              </w:rPr>
              <w:t>椅</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个</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5</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bidi="ar"/>
              </w:rPr>
              <w:t>1</w:t>
            </w:r>
            <w:r>
              <w:rPr>
                <w:rFonts w:hint="eastAsia" w:ascii="宋体" w:hAnsi="宋体"/>
                <w:color w:val="000000"/>
                <w:kern w:val="0"/>
                <w:highlight w:val="none"/>
                <w:lang w:val="en-US" w:eastAsia="zh-CN" w:bidi="ar"/>
              </w:rPr>
              <w:t>1</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综合布线</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项</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val="en-US" w:eastAsia="zh-CN" w:bidi="ar"/>
              </w:rPr>
              <w:t>8</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bidi="ar"/>
              </w:rPr>
              <w:t>1</w:t>
            </w:r>
            <w:r>
              <w:rPr>
                <w:rFonts w:hint="eastAsia" w:ascii="宋体" w:hAnsi="宋体"/>
                <w:color w:val="000000"/>
                <w:kern w:val="0"/>
                <w:highlight w:val="none"/>
                <w:lang w:val="en-US" w:eastAsia="zh-CN" w:bidi="ar"/>
              </w:rPr>
              <w:t>2</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静电地板</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color w:val="000000"/>
                <w:kern w:val="0"/>
                <w:highlight w:val="none"/>
                <w:lang w:bidi="ar"/>
              </w:rPr>
            </w:pPr>
            <w:r>
              <w:rPr>
                <w:rFonts w:hint="eastAsia" w:ascii="宋体" w:hAnsi="宋体"/>
                <w:color w:val="000000"/>
                <w:kern w:val="0"/>
                <w:highlight w:val="none"/>
                <w:lang w:bidi="ar"/>
              </w:rPr>
              <w:t>㎡</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466</w:t>
            </w:r>
          </w:p>
        </w:tc>
      </w:tr>
      <w:tr>
        <w:tblPrEx>
          <w:tblCellMar>
            <w:top w:w="0" w:type="dxa"/>
            <w:left w:w="108" w:type="dxa"/>
            <w:bottom w:w="0" w:type="dxa"/>
            <w:right w:w="108" w:type="dxa"/>
          </w:tblCellMar>
        </w:tblPrEx>
        <w:trPr>
          <w:trHeight w:val="510" w:hRule="exac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eastAsia="宋体"/>
                <w:color w:val="000000"/>
                <w:kern w:val="0"/>
                <w:highlight w:val="none"/>
                <w:lang w:val="en-US" w:eastAsia="zh-CN" w:bidi="ar"/>
              </w:rPr>
            </w:pPr>
            <w:r>
              <w:rPr>
                <w:rFonts w:hint="eastAsia" w:ascii="宋体" w:hAnsi="宋体"/>
                <w:color w:val="000000"/>
                <w:kern w:val="0"/>
                <w:highlight w:val="none"/>
                <w:lang w:val="en-US" w:eastAsia="zh-CN" w:bidi="ar"/>
              </w:rPr>
              <w:t>13</w:t>
            </w:r>
          </w:p>
        </w:tc>
        <w:tc>
          <w:tcPr>
            <w:tcW w:w="3791"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eastAsia="zh-CN" w:bidi="ar"/>
              </w:rPr>
              <w:t>安装调试</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eastAsia="宋体"/>
                <w:color w:val="000000"/>
                <w:kern w:val="0"/>
                <w:highlight w:val="none"/>
                <w:lang w:eastAsia="zh-CN" w:bidi="ar"/>
              </w:rPr>
            </w:pPr>
            <w:r>
              <w:rPr>
                <w:rFonts w:hint="eastAsia" w:ascii="宋体" w:hAnsi="宋体"/>
                <w:color w:val="000000"/>
                <w:kern w:val="0"/>
                <w:highlight w:val="none"/>
                <w:lang w:eastAsia="zh-CN" w:bidi="ar"/>
              </w:rPr>
              <w:t>项</w:t>
            </w:r>
          </w:p>
        </w:tc>
        <w:tc>
          <w:tcPr>
            <w:tcW w:w="1630"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default" w:ascii="宋体" w:hAnsi="宋体"/>
                <w:color w:val="000000"/>
                <w:kern w:val="0"/>
                <w:highlight w:val="none"/>
                <w:lang w:val="en-US" w:eastAsia="zh-CN" w:bidi="ar"/>
              </w:rPr>
            </w:pPr>
            <w:r>
              <w:rPr>
                <w:rFonts w:hint="eastAsia" w:ascii="宋体" w:hAnsi="宋体"/>
                <w:color w:val="000000"/>
                <w:kern w:val="0"/>
                <w:highlight w:val="none"/>
                <w:lang w:val="en-US" w:eastAsia="zh-CN" w:bidi="ar"/>
              </w:rPr>
              <w:t>1</w:t>
            </w:r>
          </w:p>
        </w:tc>
      </w:tr>
    </w:tbl>
    <w:p>
      <w:pPr>
        <w:spacing w:after="0" w:line="360" w:lineRule="auto"/>
        <w:ind w:firstLine="480" w:firstLineChars="200"/>
        <w:rPr>
          <w:rFonts w:hint="eastAsia" w:ascii="宋体" w:hAnsi="宋体"/>
          <w:highlight w:val="none"/>
        </w:rPr>
      </w:pPr>
      <w:r>
        <w:rPr>
          <w:rFonts w:hint="eastAsia" w:ascii="宋体" w:hAnsi="宋体"/>
          <w:highlight w:val="none"/>
        </w:rPr>
        <w:t>注：1.标★的设备为核心产品。</w:t>
      </w:r>
    </w:p>
    <w:p>
      <w:pPr>
        <w:spacing w:after="0" w:line="360" w:lineRule="auto"/>
        <w:ind w:firstLine="960" w:firstLineChars="400"/>
        <w:rPr>
          <w:rFonts w:ascii="宋体" w:hAnsi="宋体"/>
          <w:highlight w:val="none"/>
        </w:rPr>
      </w:pPr>
      <w:r>
        <w:rPr>
          <w:rFonts w:hint="eastAsia" w:ascii="宋体" w:hAnsi="宋体"/>
          <w:highlight w:val="none"/>
        </w:rPr>
        <w:t>2.▲本项目采购的台式计算机属于政府强制采购节能品目，供应商投标时必须提供所投产品由国家确定的认证机构出具的、处于有效期之内的节能产品认证证书或规定网站证书查询截图。</w:t>
      </w:r>
    </w:p>
    <w:p>
      <w:pPr>
        <w:pStyle w:val="3"/>
        <w:rPr>
          <w:rFonts w:hint="eastAsia"/>
          <w:highlight w:val="none"/>
        </w:rPr>
      </w:pPr>
      <w:r>
        <w:rPr>
          <w:rFonts w:hint="eastAsia"/>
          <w:highlight w:val="none"/>
          <w:lang w:eastAsia="zh-CN"/>
        </w:rPr>
        <w:t>三</w:t>
      </w:r>
      <w:r>
        <w:rPr>
          <w:rFonts w:hint="eastAsia"/>
          <w:highlight w:val="none"/>
        </w:rPr>
        <w:t>、技术参数要求</w:t>
      </w:r>
    </w:p>
    <w:tbl>
      <w:tblPr>
        <w:tblStyle w:val="29"/>
        <w:tblW w:w="8052" w:type="dxa"/>
        <w:jc w:val="center"/>
        <w:tblLayout w:type="fixed"/>
        <w:tblCellMar>
          <w:top w:w="0" w:type="dxa"/>
          <w:left w:w="108" w:type="dxa"/>
          <w:bottom w:w="0" w:type="dxa"/>
          <w:right w:w="108" w:type="dxa"/>
        </w:tblCellMar>
      </w:tblPr>
      <w:tblGrid>
        <w:gridCol w:w="604"/>
        <w:gridCol w:w="1304"/>
        <w:gridCol w:w="6144"/>
      </w:tblGrid>
      <w:tr>
        <w:tblPrEx>
          <w:tblCellMar>
            <w:top w:w="0" w:type="dxa"/>
            <w:left w:w="108" w:type="dxa"/>
            <w:bottom w:w="0" w:type="dxa"/>
            <w:right w:w="108" w:type="dxa"/>
          </w:tblCellMar>
        </w:tblPrEx>
        <w:trPr>
          <w:trHeight w:val="90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b/>
                <w:bCs/>
                <w:color w:val="000000"/>
                <w:sz w:val="18"/>
                <w:szCs w:val="18"/>
                <w:highlight w:val="none"/>
              </w:rPr>
            </w:pPr>
            <w:bookmarkStart w:id="28" w:name="_Hlk229487355"/>
            <w:r>
              <w:rPr>
                <w:rFonts w:hint="eastAsia" w:ascii="宋体" w:hAnsi="宋体"/>
                <w:b/>
                <w:bCs/>
                <w:color w:val="000000"/>
                <w:kern w:val="0"/>
                <w:sz w:val="18"/>
                <w:szCs w:val="18"/>
                <w:highlight w:val="none"/>
                <w:lang w:bidi="ar"/>
              </w:rPr>
              <w:t>序号</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b/>
                <w:bCs/>
                <w:color w:val="000000"/>
                <w:sz w:val="18"/>
                <w:szCs w:val="18"/>
                <w:highlight w:val="none"/>
              </w:rPr>
            </w:pPr>
            <w:r>
              <w:rPr>
                <w:rFonts w:hint="eastAsia" w:ascii="宋体" w:hAnsi="宋体"/>
                <w:b/>
                <w:bCs/>
                <w:color w:val="000000"/>
                <w:kern w:val="0"/>
                <w:sz w:val="18"/>
                <w:szCs w:val="18"/>
                <w:highlight w:val="none"/>
                <w:lang w:bidi="ar"/>
              </w:rPr>
              <w:t>设备名称</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center"/>
              <w:textAlignment w:val="center"/>
              <w:rPr>
                <w:rFonts w:hint="eastAsia" w:ascii="宋体" w:hAnsi="宋体"/>
                <w:b/>
                <w:bCs/>
                <w:color w:val="000000"/>
                <w:sz w:val="18"/>
                <w:szCs w:val="18"/>
                <w:highlight w:val="none"/>
              </w:rPr>
            </w:pPr>
            <w:r>
              <w:rPr>
                <w:rFonts w:hint="eastAsia" w:ascii="宋体" w:hAnsi="宋体"/>
                <w:b/>
                <w:bCs/>
                <w:color w:val="000000"/>
                <w:kern w:val="0"/>
                <w:sz w:val="18"/>
                <w:szCs w:val="18"/>
                <w:highlight w:val="none"/>
                <w:lang w:bidi="ar"/>
              </w:rPr>
              <w:t>规格、功能、性能要求</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eastAsia" w:ascii="宋体" w:hAnsi="宋体" w:eastAsia="宋体"/>
                <w:color w:val="000000"/>
                <w:sz w:val="18"/>
                <w:szCs w:val="18"/>
                <w:highlight w:val="none"/>
                <w:lang w:eastAsia="zh-CN"/>
              </w:rPr>
            </w:pPr>
            <w:r>
              <w:rPr>
                <w:rFonts w:hint="eastAsia" w:ascii="宋体" w:hAnsi="宋体"/>
                <w:color w:val="000000"/>
                <w:kern w:val="0"/>
                <w:sz w:val="18"/>
                <w:szCs w:val="18"/>
                <w:highlight w:val="none"/>
                <w:lang w:val="en-US" w:eastAsia="zh-CN" w:bidi="ar"/>
              </w:rPr>
              <w:t>1</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eastAsia" w:ascii="宋体" w:hAnsi="宋体"/>
                <w:color w:val="000000"/>
                <w:sz w:val="18"/>
                <w:szCs w:val="18"/>
                <w:highlight w:val="none"/>
              </w:rPr>
            </w:pPr>
            <w:r>
              <w:rPr>
                <w:rFonts w:hint="eastAsia" w:ascii="宋体" w:hAnsi="宋体"/>
                <w:color w:val="000000"/>
                <w:kern w:val="0"/>
                <w:sz w:val="18"/>
                <w:szCs w:val="18"/>
                <w:highlight w:val="none"/>
                <w:lang w:bidi="ar"/>
              </w:rPr>
              <w:t>★台式计算机（办公）</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b/>
                <w:bCs/>
                <w:color w:val="000000"/>
                <w:kern w:val="0"/>
                <w:sz w:val="18"/>
                <w:szCs w:val="18"/>
                <w:highlight w:val="none"/>
                <w:lang w:bidi="ar"/>
              </w:rPr>
              <w:t>▲1.配置要求（投标时请注明计算机品牌及型号）</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 CPU核数：≥8；（投标时请注明CPU品牌及型号）</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 CPU主频（GHz）：≥2.5；</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1.3 显示屏尺寸（英寸）</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≥23.8；</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1.4 显示屏分辨率</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≥1920*1080；</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1.5 显示屏色准</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最大△E ≤4；</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1.6 显示屏响应时间（ms）</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≤8；</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1.7 显示屏可视角度</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水平≥170°；</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1.8 显示器材质</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VA/IPS；</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1.9 显示屏屏幕比例</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16:9；</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1.10 内存配置容量</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≥16GB*1；</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1.11 内存读写速率：≥</w:t>
            </w:r>
            <w:r>
              <w:rPr>
                <w:rFonts w:hint="eastAsia" w:ascii="宋体" w:hAnsi="宋体"/>
                <w:color w:val="000000"/>
                <w:kern w:val="0"/>
                <w:sz w:val="18"/>
                <w:szCs w:val="18"/>
                <w:highlight w:val="none"/>
                <w:lang w:val="en-US" w:eastAsia="zh-CN" w:bidi="ar"/>
              </w:rPr>
              <w:t>32</w:t>
            </w:r>
            <w:r>
              <w:rPr>
                <w:rFonts w:hint="eastAsia" w:ascii="宋体" w:hAnsi="宋体"/>
                <w:color w:val="000000"/>
                <w:kern w:val="0"/>
                <w:sz w:val="18"/>
                <w:szCs w:val="18"/>
                <w:highlight w:val="none"/>
                <w:lang w:bidi="ar"/>
              </w:rPr>
              <w:t>00MT/s；</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 xml:space="preserve">1.12 内存扩展接口 </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板载内存不涉及</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:≥2；</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1.13 硬盘类型</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固态硬盘+机械硬盘；</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1.14 固态存储形态：采用插卡形态；</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1.15 固态存储容量：≥256GB*1；</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1.16 机械硬盘接口方式</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SATA 3.0；</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1.17 机械硬盘转速（RPM）：≥7200；</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1.18 机械硬盘总容量：≥1TB*1；</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1.19 显卡类型：独立显卡（独立显卡显存容量：≥2GB，独立显卡显存类型：≥DDR4，独立显卡显存位宽（bit）：≥64）；</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1.20 预装操作系统：麒麟/统信UOS/中科方德/其他符合安全可靠测评要求的操作系统；（投标时请注明系统名称及版本）</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1.21 显示器和机身颜色：黑色/灰色/银色；</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1.22 内置集成声卡：是；</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1.23 有线网卡：RJ45接口，10/100/1000M自适应≥1；</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1.24 无线网卡：内置天线≥2，支持WiFi6.0及以上协议；</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1.25 鼠标：有线（USB</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1.26 键盘：有线（USB</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1.27 键盘按键数目：104键；</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1.28 有线键盘连接线：≥1.5米；</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1.29 USB 接口：USB接口数量≥8个，其中：USB3.0及以上标准接口数量≥4个；</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1.30 HDMI接口：≥1；</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1.31 VGA接口：≥1；</w:t>
            </w:r>
          </w:p>
          <w:p>
            <w:pPr>
              <w:widowControl/>
              <w:spacing w:after="0" w:line="240" w:lineRule="auto"/>
              <w:jc w:val="left"/>
              <w:textAlignment w:val="center"/>
              <w:rPr>
                <w:rFonts w:hint="eastAsia" w:ascii="宋体" w:hAnsi="宋体"/>
                <w:color w:val="000000"/>
                <w:sz w:val="18"/>
                <w:szCs w:val="18"/>
                <w:highlight w:val="none"/>
              </w:rPr>
            </w:pPr>
            <w:r>
              <w:rPr>
                <w:rFonts w:hint="eastAsia" w:ascii="宋体" w:hAnsi="宋体"/>
                <w:color w:val="000000"/>
                <w:kern w:val="0"/>
                <w:sz w:val="18"/>
                <w:szCs w:val="18"/>
                <w:highlight w:val="none"/>
                <w:lang w:bidi="ar"/>
              </w:rPr>
              <w:t>1.32 关键部件安全要求：CPU和操作系统等关键部件应当符合安全可靠测评要求；</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1.33 其他要求：符合财政部《台式计算机政府采购需求标准》中规定的其他</w:t>
            </w:r>
            <w:r>
              <w:rPr>
                <w:rFonts w:hint="eastAsia" w:ascii="宋体" w:hAnsi="宋体"/>
                <w:color w:val="000000"/>
                <w:kern w:val="0"/>
                <w:sz w:val="18"/>
                <w:szCs w:val="18"/>
                <w:highlight w:val="none"/>
                <w:lang w:eastAsia="zh-CN" w:bidi="ar"/>
              </w:rPr>
              <w:t>标准</w:t>
            </w:r>
            <w:r>
              <w:rPr>
                <w:rFonts w:hint="eastAsia" w:ascii="宋体" w:hAnsi="宋体"/>
                <w:color w:val="000000"/>
                <w:kern w:val="0"/>
                <w:sz w:val="18"/>
                <w:szCs w:val="18"/>
                <w:highlight w:val="none"/>
                <w:lang w:bidi="ar"/>
              </w:rPr>
              <w:t>*内容。</w:t>
            </w:r>
            <w:r>
              <w:rPr>
                <w:rFonts w:hint="eastAsia" w:ascii="宋体" w:hAnsi="宋体"/>
                <w:color w:val="000000"/>
                <w:kern w:val="0"/>
                <w:sz w:val="18"/>
                <w:szCs w:val="18"/>
                <w:highlight w:val="none"/>
                <w:lang w:bidi="ar"/>
              </w:rPr>
              <w:br w:type="textWrapping"/>
            </w:r>
            <w:r>
              <w:rPr>
                <w:rFonts w:hint="eastAsia" w:ascii="宋体" w:hAnsi="宋体"/>
                <w:b/>
                <w:bCs/>
                <w:color w:val="000000"/>
                <w:kern w:val="0"/>
                <w:sz w:val="18"/>
                <w:szCs w:val="18"/>
                <w:highlight w:val="none"/>
                <w:lang w:bidi="ar"/>
              </w:rPr>
              <w:t>2.防病毒软件（投标时请注明软件名称及版本，并对软件功能进行详细描述）</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2</w:t>
            </w:r>
            <w:r>
              <w:rPr>
                <w:rFonts w:hint="eastAsia" w:ascii="宋体" w:hAnsi="宋体"/>
                <w:color w:val="000000"/>
                <w:kern w:val="0"/>
                <w:sz w:val="18"/>
                <w:szCs w:val="18"/>
                <w:highlight w:val="none"/>
                <w:lang w:bidi="ar"/>
              </w:rPr>
              <w:t>.1 软件须支持符合安全可靠测评要求的国产CPU和操作系统；</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2</w:t>
            </w:r>
            <w:r>
              <w:rPr>
                <w:rFonts w:hint="eastAsia" w:ascii="宋体" w:hAnsi="宋体"/>
                <w:color w:val="000000"/>
                <w:kern w:val="0"/>
                <w:sz w:val="18"/>
                <w:szCs w:val="18"/>
                <w:highlight w:val="none"/>
                <w:lang w:bidi="ar"/>
              </w:rPr>
              <w:t>.2 实现实时防护、病毒查杀、隔离区管理、安全日志、安全策略管理、系统漏洞管理；支持在线软件程序、特征库、病毒库自动和手动升级。</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eastAsia" w:ascii="宋体" w:hAnsi="宋体" w:eastAsia="宋体"/>
                <w:color w:val="000000"/>
                <w:kern w:val="0"/>
                <w:sz w:val="18"/>
                <w:szCs w:val="18"/>
                <w:highlight w:val="none"/>
                <w:lang w:eastAsia="zh-CN" w:bidi="ar"/>
              </w:rPr>
            </w:pPr>
            <w:r>
              <w:rPr>
                <w:rFonts w:hint="eastAsia" w:ascii="宋体" w:hAnsi="宋体"/>
                <w:color w:val="000000"/>
                <w:kern w:val="0"/>
                <w:sz w:val="18"/>
                <w:szCs w:val="18"/>
                <w:highlight w:val="none"/>
                <w:lang w:val="en-US" w:eastAsia="zh-CN" w:bidi="ar"/>
              </w:rPr>
              <w:t>2</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★台式计算机（学生机）</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b/>
                <w:bCs/>
                <w:color w:val="000000"/>
                <w:kern w:val="0"/>
                <w:sz w:val="18"/>
                <w:szCs w:val="18"/>
                <w:highlight w:val="none"/>
                <w:lang w:bidi="ar"/>
              </w:rPr>
              <w:t>▲</w:t>
            </w:r>
            <w:r>
              <w:rPr>
                <w:rFonts w:ascii="宋体" w:hAnsi="宋体"/>
                <w:b/>
                <w:bCs/>
                <w:color w:val="000000"/>
                <w:kern w:val="0"/>
                <w:sz w:val="18"/>
                <w:szCs w:val="18"/>
                <w:highlight w:val="none"/>
                <w:lang w:bidi="ar"/>
              </w:rPr>
              <w:t>1.配置要求（投标时请注明计算机品牌及型号）</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1.1 CPU核数：≥8；（投标时请注明CPU品牌及型号）</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1.2 主频（GHz）：≥2.</w:t>
            </w:r>
            <w:r>
              <w:rPr>
                <w:rFonts w:hint="eastAsia" w:ascii="宋体" w:hAnsi="宋体"/>
                <w:color w:val="000000"/>
                <w:kern w:val="0"/>
                <w:sz w:val="18"/>
                <w:szCs w:val="18"/>
                <w:highlight w:val="none"/>
                <w:lang w:bidi="ar"/>
              </w:rPr>
              <w:t>5</w:t>
            </w:r>
            <w:r>
              <w:rPr>
                <w:rFonts w:ascii="宋体" w:hAnsi="宋体"/>
                <w:color w:val="000000"/>
                <w:kern w:val="0"/>
                <w:sz w:val="18"/>
                <w:szCs w:val="18"/>
                <w:highlight w:val="none"/>
                <w:lang w:bidi="ar"/>
              </w:rPr>
              <w:t>；</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1.3 显示屏尺寸（英寸）</w:t>
            </w:r>
            <w:r>
              <w:rPr>
                <w:rFonts w:hint="eastAsia" w:ascii="宋体" w:hAnsi="宋体"/>
                <w:color w:val="000000"/>
                <w:kern w:val="0"/>
                <w:sz w:val="18"/>
                <w:szCs w:val="18"/>
                <w:highlight w:val="none"/>
                <w:lang w:eastAsia="zh-CN" w:bidi="ar"/>
              </w:rPr>
              <w:t>：</w:t>
            </w:r>
            <w:r>
              <w:rPr>
                <w:rFonts w:ascii="宋体" w:hAnsi="宋体"/>
                <w:color w:val="000000"/>
                <w:kern w:val="0"/>
                <w:sz w:val="18"/>
                <w:szCs w:val="18"/>
                <w:highlight w:val="none"/>
                <w:lang w:bidi="ar"/>
              </w:rPr>
              <w:t>≥23.8；</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1.4 显示屏分辨率</w:t>
            </w:r>
            <w:r>
              <w:rPr>
                <w:rFonts w:hint="eastAsia" w:ascii="宋体" w:hAnsi="宋体"/>
                <w:color w:val="000000"/>
                <w:kern w:val="0"/>
                <w:sz w:val="18"/>
                <w:szCs w:val="18"/>
                <w:highlight w:val="none"/>
                <w:lang w:eastAsia="zh-CN" w:bidi="ar"/>
              </w:rPr>
              <w:t>：</w:t>
            </w:r>
            <w:r>
              <w:rPr>
                <w:rFonts w:ascii="宋体" w:hAnsi="宋体"/>
                <w:color w:val="000000"/>
                <w:kern w:val="0"/>
                <w:sz w:val="18"/>
                <w:szCs w:val="18"/>
                <w:highlight w:val="none"/>
                <w:lang w:bidi="ar"/>
              </w:rPr>
              <w:t>≥1920*1080；</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1.5 显示屏色准</w:t>
            </w:r>
            <w:r>
              <w:rPr>
                <w:rFonts w:hint="eastAsia" w:ascii="宋体" w:hAnsi="宋体"/>
                <w:color w:val="000000"/>
                <w:kern w:val="0"/>
                <w:sz w:val="18"/>
                <w:szCs w:val="18"/>
                <w:highlight w:val="none"/>
                <w:lang w:eastAsia="zh-CN" w:bidi="ar"/>
              </w:rPr>
              <w:t>：</w:t>
            </w:r>
            <w:r>
              <w:rPr>
                <w:rFonts w:ascii="宋体" w:hAnsi="宋体"/>
                <w:color w:val="000000"/>
                <w:kern w:val="0"/>
                <w:sz w:val="18"/>
                <w:szCs w:val="18"/>
                <w:highlight w:val="none"/>
                <w:lang w:bidi="ar"/>
              </w:rPr>
              <w:t>最大△E ≤4；</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1.6 显示屏响应时间（ms）</w:t>
            </w:r>
            <w:r>
              <w:rPr>
                <w:rFonts w:hint="eastAsia" w:ascii="宋体" w:hAnsi="宋体"/>
                <w:color w:val="000000"/>
                <w:kern w:val="0"/>
                <w:sz w:val="18"/>
                <w:szCs w:val="18"/>
                <w:highlight w:val="none"/>
                <w:lang w:eastAsia="zh-CN" w:bidi="ar"/>
              </w:rPr>
              <w:t>：</w:t>
            </w:r>
            <w:r>
              <w:rPr>
                <w:rFonts w:ascii="宋体" w:hAnsi="宋体"/>
                <w:color w:val="000000"/>
                <w:kern w:val="0"/>
                <w:sz w:val="18"/>
                <w:szCs w:val="18"/>
                <w:highlight w:val="none"/>
                <w:lang w:bidi="ar"/>
              </w:rPr>
              <w:t>≤8；</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1.7 显示屏可视角度</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水平</w:t>
            </w:r>
            <w:r>
              <w:rPr>
                <w:rFonts w:ascii="宋体" w:hAnsi="宋体"/>
                <w:color w:val="000000"/>
                <w:kern w:val="0"/>
                <w:sz w:val="18"/>
                <w:szCs w:val="18"/>
                <w:highlight w:val="none"/>
                <w:lang w:bidi="ar"/>
              </w:rPr>
              <w:t>≥170°；</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1.8 显示器材质</w:t>
            </w:r>
            <w:r>
              <w:rPr>
                <w:rFonts w:hint="eastAsia" w:ascii="宋体" w:hAnsi="宋体"/>
                <w:color w:val="000000"/>
                <w:kern w:val="0"/>
                <w:sz w:val="18"/>
                <w:szCs w:val="18"/>
                <w:highlight w:val="none"/>
                <w:lang w:eastAsia="zh-CN" w:bidi="ar"/>
              </w:rPr>
              <w:t>：</w:t>
            </w:r>
            <w:r>
              <w:rPr>
                <w:rFonts w:ascii="宋体" w:hAnsi="宋体"/>
                <w:color w:val="000000"/>
                <w:kern w:val="0"/>
                <w:sz w:val="18"/>
                <w:szCs w:val="18"/>
                <w:highlight w:val="none"/>
                <w:lang w:bidi="ar"/>
              </w:rPr>
              <w:t>VA/IPS；</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1.9 显示屏屏幕比例</w:t>
            </w:r>
            <w:r>
              <w:rPr>
                <w:rFonts w:hint="eastAsia" w:ascii="宋体" w:hAnsi="宋体"/>
                <w:color w:val="000000"/>
                <w:kern w:val="0"/>
                <w:sz w:val="18"/>
                <w:szCs w:val="18"/>
                <w:highlight w:val="none"/>
                <w:lang w:eastAsia="zh-CN" w:bidi="ar"/>
              </w:rPr>
              <w:t>：</w:t>
            </w:r>
            <w:r>
              <w:rPr>
                <w:rFonts w:ascii="宋体" w:hAnsi="宋体"/>
                <w:color w:val="000000"/>
                <w:kern w:val="0"/>
                <w:sz w:val="18"/>
                <w:szCs w:val="18"/>
                <w:highlight w:val="none"/>
                <w:lang w:bidi="ar"/>
              </w:rPr>
              <w:t>16:9；</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1.10 内存配置容量</w:t>
            </w:r>
            <w:r>
              <w:rPr>
                <w:rFonts w:hint="eastAsia" w:ascii="宋体" w:hAnsi="宋体"/>
                <w:color w:val="000000"/>
                <w:kern w:val="0"/>
                <w:sz w:val="18"/>
                <w:szCs w:val="18"/>
                <w:highlight w:val="none"/>
                <w:lang w:eastAsia="zh-CN" w:bidi="ar"/>
              </w:rPr>
              <w:t>：</w:t>
            </w:r>
            <w:r>
              <w:rPr>
                <w:rFonts w:ascii="宋体" w:hAnsi="宋体"/>
                <w:color w:val="000000"/>
                <w:kern w:val="0"/>
                <w:sz w:val="18"/>
                <w:szCs w:val="18"/>
                <w:highlight w:val="none"/>
                <w:lang w:bidi="ar"/>
              </w:rPr>
              <w:t>≥16GB</w:t>
            </w:r>
            <w:r>
              <w:rPr>
                <w:rFonts w:hint="eastAsia" w:ascii="宋体" w:hAnsi="宋体"/>
                <w:color w:val="000000"/>
                <w:kern w:val="0"/>
                <w:sz w:val="18"/>
                <w:szCs w:val="18"/>
                <w:highlight w:val="none"/>
                <w:lang w:bidi="ar"/>
              </w:rPr>
              <w:t>*1</w:t>
            </w:r>
            <w:r>
              <w:rPr>
                <w:rFonts w:ascii="宋体" w:hAnsi="宋体"/>
                <w:color w:val="000000"/>
                <w:kern w:val="0"/>
                <w:sz w:val="18"/>
                <w:szCs w:val="18"/>
                <w:highlight w:val="none"/>
                <w:lang w:bidi="ar"/>
              </w:rPr>
              <w:t>；</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1.11 内存读写速率：≥</w:t>
            </w:r>
            <w:r>
              <w:rPr>
                <w:rFonts w:hint="eastAsia" w:ascii="宋体" w:hAnsi="宋体"/>
                <w:color w:val="000000"/>
                <w:kern w:val="0"/>
                <w:sz w:val="18"/>
                <w:szCs w:val="18"/>
                <w:highlight w:val="none"/>
                <w:lang w:val="en-US" w:eastAsia="zh-CN" w:bidi="ar"/>
              </w:rPr>
              <w:t>32</w:t>
            </w:r>
            <w:r>
              <w:rPr>
                <w:rFonts w:hint="eastAsia" w:ascii="宋体" w:hAnsi="宋体"/>
                <w:color w:val="000000"/>
                <w:kern w:val="0"/>
                <w:sz w:val="18"/>
                <w:szCs w:val="18"/>
                <w:highlight w:val="none"/>
                <w:lang w:bidi="ar"/>
              </w:rPr>
              <w:t>00MT/s；</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1.1</w:t>
            </w:r>
            <w:r>
              <w:rPr>
                <w:rFonts w:hint="eastAsia" w:ascii="宋体" w:hAnsi="宋体"/>
                <w:color w:val="000000"/>
                <w:kern w:val="0"/>
                <w:sz w:val="18"/>
                <w:szCs w:val="18"/>
                <w:highlight w:val="none"/>
                <w:lang w:bidi="ar"/>
              </w:rPr>
              <w:t>2</w:t>
            </w:r>
            <w:r>
              <w:rPr>
                <w:rFonts w:ascii="宋体" w:hAnsi="宋体"/>
                <w:color w:val="000000"/>
                <w:kern w:val="0"/>
                <w:sz w:val="18"/>
                <w:szCs w:val="18"/>
                <w:highlight w:val="none"/>
                <w:lang w:bidi="ar"/>
              </w:rPr>
              <w:t xml:space="preserve"> 内存扩展接口 </w:t>
            </w:r>
            <w:r>
              <w:rPr>
                <w:rFonts w:hint="eastAsia" w:ascii="宋体" w:hAnsi="宋体"/>
                <w:color w:val="000000"/>
                <w:kern w:val="0"/>
                <w:sz w:val="18"/>
                <w:szCs w:val="18"/>
                <w:highlight w:val="none"/>
                <w:lang w:eastAsia="zh-CN" w:bidi="ar"/>
              </w:rPr>
              <w:t>（</w:t>
            </w:r>
            <w:r>
              <w:rPr>
                <w:rFonts w:ascii="宋体" w:hAnsi="宋体"/>
                <w:color w:val="000000"/>
                <w:kern w:val="0"/>
                <w:sz w:val="18"/>
                <w:szCs w:val="18"/>
                <w:highlight w:val="none"/>
                <w:lang w:bidi="ar"/>
              </w:rPr>
              <w:t>板载内存不涉及</w:t>
            </w:r>
            <w:r>
              <w:rPr>
                <w:rFonts w:hint="eastAsia" w:ascii="宋体" w:hAnsi="宋体"/>
                <w:color w:val="000000"/>
                <w:kern w:val="0"/>
                <w:sz w:val="18"/>
                <w:szCs w:val="18"/>
                <w:highlight w:val="none"/>
                <w:lang w:eastAsia="zh-CN" w:bidi="ar"/>
              </w:rPr>
              <w:t>）</w:t>
            </w:r>
            <w:r>
              <w:rPr>
                <w:rFonts w:ascii="宋体" w:hAnsi="宋体"/>
                <w:color w:val="000000"/>
                <w:kern w:val="0"/>
                <w:sz w:val="18"/>
                <w:szCs w:val="18"/>
                <w:highlight w:val="none"/>
                <w:lang w:bidi="ar"/>
              </w:rPr>
              <w:t>:≥2；</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1.13 固态存储形态：采用插卡形态；</w:t>
            </w:r>
          </w:p>
          <w:p>
            <w:pPr>
              <w:widowControl/>
              <w:spacing w:after="0" w:line="240" w:lineRule="auto"/>
              <w:jc w:val="left"/>
              <w:textAlignment w:val="center"/>
              <w:rPr>
                <w:rFonts w:hint="eastAsia" w:ascii="宋体" w:hAnsi="宋体"/>
                <w:color w:val="000000"/>
                <w:kern w:val="0"/>
                <w:sz w:val="18"/>
                <w:szCs w:val="18"/>
                <w:highlight w:val="none"/>
                <w:lang w:bidi="ar"/>
              </w:rPr>
            </w:pPr>
            <w:r>
              <w:rPr>
                <w:rFonts w:ascii="宋体" w:hAnsi="宋体"/>
                <w:color w:val="000000"/>
                <w:kern w:val="0"/>
                <w:sz w:val="18"/>
                <w:szCs w:val="18"/>
                <w:highlight w:val="none"/>
                <w:lang w:bidi="ar"/>
              </w:rPr>
              <w:t>1.1</w:t>
            </w:r>
            <w:r>
              <w:rPr>
                <w:rFonts w:hint="eastAsia" w:ascii="宋体" w:hAnsi="宋体"/>
                <w:color w:val="000000"/>
                <w:kern w:val="0"/>
                <w:sz w:val="18"/>
                <w:szCs w:val="18"/>
                <w:highlight w:val="none"/>
                <w:lang w:bidi="ar"/>
              </w:rPr>
              <w:t>4</w:t>
            </w:r>
            <w:r>
              <w:rPr>
                <w:rFonts w:ascii="宋体" w:hAnsi="宋体"/>
                <w:color w:val="000000"/>
                <w:kern w:val="0"/>
                <w:sz w:val="18"/>
                <w:szCs w:val="18"/>
                <w:highlight w:val="none"/>
                <w:lang w:bidi="ar"/>
              </w:rPr>
              <w:t xml:space="preserve"> 固态存储容量：≥256GB</w:t>
            </w:r>
            <w:r>
              <w:rPr>
                <w:rFonts w:hint="eastAsia" w:ascii="宋体" w:hAnsi="宋体"/>
                <w:color w:val="000000"/>
                <w:kern w:val="0"/>
                <w:sz w:val="18"/>
                <w:szCs w:val="18"/>
                <w:highlight w:val="none"/>
                <w:lang w:bidi="ar"/>
              </w:rPr>
              <w:t>*1</w:t>
            </w:r>
            <w:r>
              <w:rPr>
                <w:rFonts w:ascii="宋体" w:hAnsi="宋体"/>
                <w:color w:val="000000"/>
                <w:kern w:val="0"/>
                <w:sz w:val="18"/>
                <w:szCs w:val="18"/>
                <w:highlight w:val="none"/>
                <w:lang w:bidi="ar"/>
              </w:rPr>
              <w:t>；</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1.1</w:t>
            </w:r>
            <w:r>
              <w:rPr>
                <w:rFonts w:hint="eastAsia" w:ascii="宋体" w:hAnsi="宋体"/>
                <w:color w:val="000000"/>
                <w:kern w:val="0"/>
                <w:sz w:val="18"/>
                <w:szCs w:val="18"/>
                <w:highlight w:val="none"/>
                <w:lang w:bidi="ar"/>
              </w:rPr>
              <w:t>5</w:t>
            </w:r>
            <w:r>
              <w:rPr>
                <w:rFonts w:ascii="宋体" w:hAnsi="宋体"/>
                <w:color w:val="000000"/>
                <w:kern w:val="0"/>
                <w:sz w:val="18"/>
                <w:szCs w:val="18"/>
                <w:highlight w:val="none"/>
                <w:lang w:bidi="ar"/>
              </w:rPr>
              <w:t xml:space="preserve"> 显卡类型：独立显卡（独立显卡显存容量：≥2GB，独立显卡显存类型：≥DDR</w:t>
            </w:r>
            <w:r>
              <w:rPr>
                <w:rFonts w:hint="eastAsia" w:ascii="宋体" w:hAnsi="宋体"/>
                <w:color w:val="000000"/>
                <w:kern w:val="0"/>
                <w:sz w:val="18"/>
                <w:szCs w:val="18"/>
                <w:highlight w:val="none"/>
                <w:lang w:bidi="ar"/>
              </w:rPr>
              <w:t>4</w:t>
            </w:r>
            <w:r>
              <w:rPr>
                <w:rFonts w:ascii="宋体" w:hAnsi="宋体"/>
                <w:color w:val="000000"/>
                <w:kern w:val="0"/>
                <w:sz w:val="18"/>
                <w:szCs w:val="18"/>
                <w:highlight w:val="none"/>
                <w:lang w:bidi="ar"/>
              </w:rPr>
              <w:t>，独立显卡显存位宽（bit）：≥64）；</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1.1</w:t>
            </w:r>
            <w:r>
              <w:rPr>
                <w:rFonts w:hint="eastAsia" w:ascii="宋体" w:hAnsi="宋体"/>
                <w:color w:val="000000"/>
                <w:kern w:val="0"/>
                <w:sz w:val="18"/>
                <w:szCs w:val="18"/>
                <w:highlight w:val="none"/>
                <w:lang w:bidi="ar"/>
              </w:rPr>
              <w:t>6</w:t>
            </w:r>
            <w:r>
              <w:rPr>
                <w:rFonts w:ascii="宋体" w:hAnsi="宋体"/>
                <w:color w:val="000000"/>
                <w:kern w:val="0"/>
                <w:sz w:val="18"/>
                <w:szCs w:val="18"/>
                <w:highlight w:val="none"/>
                <w:lang w:bidi="ar"/>
              </w:rPr>
              <w:t xml:space="preserve"> 预装操作系统：麒麟/统信UOS/中科方德/其他符合安全可靠测评要求的操作系统；（投标时请注明系统名称及版本）</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1.1</w:t>
            </w:r>
            <w:r>
              <w:rPr>
                <w:rFonts w:hint="eastAsia" w:ascii="宋体" w:hAnsi="宋体"/>
                <w:color w:val="000000"/>
                <w:kern w:val="0"/>
                <w:sz w:val="18"/>
                <w:szCs w:val="18"/>
                <w:highlight w:val="none"/>
                <w:lang w:bidi="ar"/>
              </w:rPr>
              <w:t>7</w:t>
            </w:r>
            <w:r>
              <w:rPr>
                <w:rFonts w:ascii="宋体" w:hAnsi="宋体"/>
                <w:color w:val="000000"/>
                <w:kern w:val="0"/>
                <w:sz w:val="18"/>
                <w:szCs w:val="18"/>
                <w:highlight w:val="none"/>
                <w:lang w:bidi="ar"/>
              </w:rPr>
              <w:t xml:space="preserve"> 显示器和机身颜色：黑色/灰色/银色；</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1.1</w:t>
            </w:r>
            <w:r>
              <w:rPr>
                <w:rFonts w:hint="eastAsia" w:ascii="宋体" w:hAnsi="宋体"/>
                <w:color w:val="000000"/>
                <w:kern w:val="0"/>
                <w:sz w:val="18"/>
                <w:szCs w:val="18"/>
                <w:highlight w:val="none"/>
                <w:lang w:bidi="ar"/>
              </w:rPr>
              <w:t>8</w:t>
            </w:r>
            <w:r>
              <w:rPr>
                <w:rFonts w:ascii="宋体" w:hAnsi="宋体"/>
                <w:color w:val="000000"/>
                <w:kern w:val="0"/>
                <w:sz w:val="18"/>
                <w:szCs w:val="18"/>
                <w:highlight w:val="none"/>
                <w:lang w:bidi="ar"/>
              </w:rPr>
              <w:t xml:space="preserve"> 内置集成声卡：是；</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1.1</w:t>
            </w:r>
            <w:r>
              <w:rPr>
                <w:rFonts w:hint="eastAsia" w:ascii="宋体" w:hAnsi="宋体"/>
                <w:color w:val="000000"/>
                <w:kern w:val="0"/>
                <w:sz w:val="18"/>
                <w:szCs w:val="18"/>
                <w:highlight w:val="none"/>
                <w:lang w:bidi="ar"/>
              </w:rPr>
              <w:t>9</w:t>
            </w:r>
            <w:r>
              <w:rPr>
                <w:rFonts w:ascii="宋体" w:hAnsi="宋体"/>
                <w:color w:val="000000"/>
                <w:kern w:val="0"/>
                <w:sz w:val="18"/>
                <w:szCs w:val="18"/>
                <w:highlight w:val="none"/>
                <w:lang w:bidi="ar"/>
              </w:rPr>
              <w:t xml:space="preserve"> 有线网卡：</w:t>
            </w:r>
            <w:r>
              <w:rPr>
                <w:rFonts w:hint="eastAsia" w:ascii="宋体" w:hAnsi="宋体"/>
                <w:color w:val="000000"/>
                <w:kern w:val="0"/>
                <w:sz w:val="18"/>
                <w:szCs w:val="18"/>
                <w:highlight w:val="none"/>
                <w:lang w:bidi="ar"/>
              </w:rPr>
              <w:t>RJ45接口，10/100/1000M自适应≥1</w:t>
            </w:r>
            <w:r>
              <w:rPr>
                <w:rFonts w:ascii="宋体" w:hAnsi="宋体"/>
                <w:color w:val="000000"/>
                <w:kern w:val="0"/>
                <w:sz w:val="18"/>
                <w:szCs w:val="18"/>
                <w:highlight w:val="none"/>
                <w:lang w:bidi="ar"/>
              </w:rPr>
              <w:t>；</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w:t>
            </w:r>
            <w:r>
              <w:rPr>
                <w:rFonts w:hint="eastAsia" w:ascii="宋体" w:hAnsi="宋体"/>
                <w:color w:val="000000"/>
                <w:kern w:val="0"/>
                <w:sz w:val="18"/>
                <w:szCs w:val="18"/>
                <w:highlight w:val="none"/>
                <w:lang w:bidi="ar"/>
              </w:rPr>
              <w:t>20</w:t>
            </w:r>
            <w:r>
              <w:rPr>
                <w:rFonts w:ascii="宋体" w:hAnsi="宋体"/>
                <w:color w:val="000000"/>
                <w:kern w:val="0"/>
                <w:sz w:val="18"/>
                <w:szCs w:val="18"/>
                <w:highlight w:val="none"/>
                <w:lang w:bidi="ar"/>
              </w:rPr>
              <w:t xml:space="preserve"> 鼠标：有线（USB</w:t>
            </w:r>
            <w:r>
              <w:rPr>
                <w:rFonts w:hint="eastAsia" w:ascii="宋体" w:hAnsi="宋体"/>
                <w:color w:val="000000"/>
                <w:kern w:val="0"/>
                <w:sz w:val="18"/>
                <w:szCs w:val="18"/>
                <w:highlight w:val="none"/>
                <w:lang w:eastAsia="zh-CN" w:bidi="ar"/>
              </w:rPr>
              <w:t>）</w:t>
            </w:r>
            <w:r>
              <w:rPr>
                <w:rFonts w:ascii="宋体" w:hAnsi="宋体"/>
                <w:color w:val="000000"/>
                <w:kern w:val="0"/>
                <w:sz w:val="18"/>
                <w:szCs w:val="18"/>
                <w:highlight w:val="none"/>
                <w:lang w:bidi="ar"/>
              </w:rPr>
              <w:t>；</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w:t>
            </w:r>
            <w:r>
              <w:rPr>
                <w:rFonts w:hint="eastAsia" w:ascii="宋体" w:hAnsi="宋体"/>
                <w:color w:val="000000"/>
                <w:kern w:val="0"/>
                <w:sz w:val="18"/>
                <w:szCs w:val="18"/>
                <w:highlight w:val="none"/>
                <w:lang w:bidi="ar"/>
              </w:rPr>
              <w:t>21</w:t>
            </w:r>
            <w:r>
              <w:rPr>
                <w:rFonts w:ascii="宋体" w:hAnsi="宋体"/>
                <w:color w:val="000000"/>
                <w:kern w:val="0"/>
                <w:sz w:val="18"/>
                <w:szCs w:val="18"/>
                <w:highlight w:val="none"/>
                <w:lang w:bidi="ar"/>
              </w:rPr>
              <w:t xml:space="preserve"> 键盘：有线（USB</w:t>
            </w:r>
            <w:r>
              <w:rPr>
                <w:rFonts w:hint="eastAsia" w:ascii="宋体" w:hAnsi="宋体"/>
                <w:color w:val="000000"/>
                <w:kern w:val="0"/>
                <w:sz w:val="18"/>
                <w:szCs w:val="18"/>
                <w:highlight w:val="none"/>
                <w:lang w:eastAsia="zh-CN" w:bidi="ar"/>
              </w:rPr>
              <w:t>）</w:t>
            </w:r>
            <w:r>
              <w:rPr>
                <w:rFonts w:ascii="宋体" w:hAnsi="宋体"/>
                <w:color w:val="000000"/>
                <w:kern w:val="0"/>
                <w:sz w:val="18"/>
                <w:szCs w:val="18"/>
                <w:highlight w:val="none"/>
                <w:lang w:bidi="ar"/>
              </w:rPr>
              <w:t>；</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1.2</w:t>
            </w:r>
            <w:r>
              <w:rPr>
                <w:rFonts w:hint="eastAsia" w:ascii="宋体" w:hAnsi="宋体"/>
                <w:color w:val="000000"/>
                <w:kern w:val="0"/>
                <w:sz w:val="18"/>
                <w:szCs w:val="18"/>
                <w:highlight w:val="none"/>
                <w:lang w:bidi="ar"/>
              </w:rPr>
              <w:t>2</w:t>
            </w:r>
            <w:r>
              <w:rPr>
                <w:rFonts w:ascii="宋体" w:hAnsi="宋体"/>
                <w:color w:val="000000"/>
                <w:kern w:val="0"/>
                <w:sz w:val="18"/>
                <w:szCs w:val="18"/>
                <w:highlight w:val="none"/>
                <w:lang w:bidi="ar"/>
              </w:rPr>
              <w:t xml:space="preserve"> 键盘按键数目：104键；</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1.2</w:t>
            </w:r>
            <w:r>
              <w:rPr>
                <w:rFonts w:hint="eastAsia" w:ascii="宋体" w:hAnsi="宋体"/>
                <w:color w:val="000000"/>
                <w:kern w:val="0"/>
                <w:sz w:val="18"/>
                <w:szCs w:val="18"/>
                <w:highlight w:val="none"/>
                <w:lang w:bidi="ar"/>
              </w:rPr>
              <w:t>3</w:t>
            </w:r>
            <w:r>
              <w:rPr>
                <w:rFonts w:ascii="宋体" w:hAnsi="宋体"/>
                <w:color w:val="000000"/>
                <w:kern w:val="0"/>
                <w:sz w:val="18"/>
                <w:szCs w:val="18"/>
                <w:highlight w:val="none"/>
                <w:lang w:bidi="ar"/>
              </w:rPr>
              <w:t xml:space="preserve"> 有线键盘连接线：≥1.5米；</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1.2</w:t>
            </w:r>
            <w:r>
              <w:rPr>
                <w:rFonts w:hint="eastAsia" w:ascii="宋体" w:hAnsi="宋体"/>
                <w:color w:val="000000"/>
                <w:kern w:val="0"/>
                <w:sz w:val="18"/>
                <w:szCs w:val="18"/>
                <w:highlight w:val="none"/>
                <w:lang w:bidi="ar"/>
              </w:rPr>
              <w:t>4</w:t>
            </w:r>
            <w:r>
              <w:rPr>
                <w:rFonts w:ascii="宋体" w:hAnsi="宋体"/>
                <w:color w:val="000000"/>
                <w:kern w:val="0"/>
                <w:sz w:val="18"/>
                <w:szCs w:val="18"/>
                <w:highlight w:val="none"/>
                <w:lang w:bidi="ar"/>
              </w:rPr>
              <w:t xml:space="preserve"> USB</w:t>
            </w:r>
            <w:r>
              <w:rPr>
                <w:rFonts w:hint="eastAsia" w:ascii="宋体" w:hAnsi="宋体"/>
                <w:color w:val="000000"/>
                <w:kern w:val="0"/>
                <w:sz w:val="18"/>
                <w:szCs w:val="18"/>
                <w:highlight w:val="none"/>
                <w:lang w:bidi="ar"/>
              </w:rPr>
              <w:t xml:space="preserve"> </w:t>
            </w:r>
            <w:r>
              <w:rPr>
                <w:rFonts w:ascii="宋体" w:hAnsi="宋体"/>
                <w:color w:val="000000"/>
                <w:kern w:val="0"/>
                <w:sz w:val="18"/>
                <w:szCs w:val="18"/>
                <w:highlight w:val="none"/>
                <w:lang w:bidi="ar"/>
              </w:rPr>
              <w:t>接口：</w:t>
            </w:r>
            <w:r>
              <w:rPr>
                <w:rFonts w:hint="eastAsia" w:ascii="宋体" w:hAnsi="宋体"/>
                <w:color w:val="000000"/>
                <w:kern w:val="0"/>
                <w:sz w:val="18"/>
                <w:szCs w:val="18"/>
                <w:highlight w:val="none"/>
                <w:lang w:bidi="ar"/>
              </w:rPr>
              <w:t>USB接口数量≥8个，其中：USB3.0及以上标准接口数量≥4个；</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1.2</w:t>
            </w:r>
            <w:r>
              <w:rPr>
                <w:rFonts w:hint="eastAsia" w:ascii="宋体" w:hAnsi="宋体"/>
                <w:color w:val="000000"/>
                <w:kern w:val="0"/>
                <w:sz w:val="18"/>
                <w:szCs w:val="18"/>
                <w:highlight w:val="none"/>
                <w:lang w:bidi="ar"/>
              </w:rPr>
              <w:t>5</w:t>
            </w:r>
            <w:r>
              <w:rPr>
                <w:rFonts w:ascii="宋体" w:hAnsi="宋体"/>
                <w:color w:val="000000"/>
                <w:kern w:val="0"/>
                <w:sz w:val="18"/>
                <w:szCs w:val="18"/>
                <w:highlight w:val="none"/>
                <w:lang w:bidi="ar"/>
              </w:rPr>
              <w:t xml:space="preserve"> HDMI接口：≥1；</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1.2</w:t>
            </w:r>
            <w:r>
              <w:rPr>
                <w:rFonts w:hint="eastAsia" w:ascii="宋体" w:hAnsi="宋体"/>
                <w:color w:val="000000"/>
                <w:kern w:val="0"/>
                <w:sz w:val="18"/>
                <w:szCs w:val="18"/>
                <w:highlight w:val="none"/>
                <w:lang w:bidi="ar"/>
              </w:rPr>
              <w:t>6</w:t>
            </w:r>
            <w:r>
              <w:rPr>
                <w:rFonts w:ascii="宋体" w:hAnsi="宋体"/>
                <w:color w:val="000000"/>
                <w:kern w:val="0"/>
                <w:sz w:val="18"/>
                <w:szCs w:val="18"/>
                <w:highlight w:val="none"/>
                <w:lang w:bidi="ar"/>
              </w:rPr>
              <w:t xml:space="preserve"> VGA接口：≥1；</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1.2</w:t>
            </w:r>
            <w:r>
              <w:rPr>
                <w:rFonts w:hint="eastAsia" w:ascii="宋体" w:hAnsi="宋体"/>
                <w:color w:val="000000"/>
                <w:kern w:val="0"/>
                <w:sz w:val="18"/>
                <w:szCs w:val="18"/>
                <w:highlight w:val="none"/>
                <w:lang w:bidi="ar"/>
              </w:rPr>
              <w:t>7</w:t>
            </w:r>
            <w:r>
              <w:rPr>
                <w:rFonts w:ascii="宋体" w:hAnsi="宋体"/>
                <w:color w:val="000000"/>
                <w:kern w:val="0"/>
                <w:sz w:val="18"/>
                <w:szCs w:val="18"/>
                <w:highlight w:val="none"/>
                <w:lang w:bidi="ar"/>
              </w:rPr>
              <w:t xml:space="preserve"> 关键部件安全要求：CPU和操作系统等关键部件应当符合安全可靠测评要求；</w:t>
            </w:r>
            <w:r>
              <w:rPr>
                <w:rFonts w:hint="eastAsia" w:ascii="宋体" w:hAnsi="宋体"/>
                <w:color w:val="000000"/>
                <w:kern w:val="0"/>
                <w:sz w:val="18"/>
                <w:szCs w:val="18"/>
                <w:highlight w:val="none"/>
                <w:lang w:bidi="ar"/>
              </w:rPr>
              <w:br w:type="textWrapping"/>
            </w:r>
            <w:r>
              <w:rPr>
                <w:rFonts w:ascii="宋体" w:hAnsi="宋体"/>
                <w:color w:val="000000"/>
                <w:kern w:val="0"/>
                <w:sz w:val="18"/>
                <w:szCs w:val="18"/>
                <w:highlight w:val="none"/>
                <w:lang w:bidi="ar"/>
              </w:rPr>
              <w:t>1.2</w:t>
            </w:r>
            <w:r>
              <w:rPr>
                <w:rFonts w:hint="eastAsia" w:ascii="宋体" w:hAnsi="宋体"/>
                <w:color w:val="000000"/>
                <w:kern w:val="0"/>
                <w:sz w:val="18"/>
                <w:szCs w:val="18"/>
                <w:highlight w:val="none"/>
                <w:lang w:bidi="ar"/>
              </w:rPr>
              <w:t>8</w:t>
            </w:r>
            <w:r>
              <w:rPr>
                <w:rFonts w:ascii="宋体" w:hAnsi="宋体"/>
                <w:color w:val="000000"/>
                <w:kern w:val="0"/>
                <w:sz w:val="18"/>
                <w:szCs w:val="18"/>
                <w:highlight w:val="none"/>
                <w:lang w:bidi="ar"/>
              </w:rPr>
              <w:t xml:space="preserve"> 其他要求：符合财政部《台式计算机政府采购需求标准》中规定的其他*内容。</w:t>
            </w:r>
            <w:r>
              <w:rPr>
                <w:rFonts w:hint="eastAsia" w:ascii="宋体" w:hAnsi="宋体"/>
                <w:color w:val="000000"/>
                <w:kern w:val="0"/>
                <w:sz w:val="18"/>
                <w:szCs w:val="18"/>
                <w:highlight w:val="none"/>
                <w:lang w:bidi="ar"/>
              </w:rPr>
              <w:br w:type="textWrapping"/>
            </w:r>
            <w:r>
              <w:rPr>
                <w:rFonts w:ascii="宋体" w:hAnsi="宋体"/>
                <w:b/>
                <w:bCs/>
                <w:color w:val="000000"/>
                <w:kern w:val="0"/>
                <w:sz w:val="18"/>
                <w:szCs w:val="18"/>
                <w:highlight w:val="none"/>
                <w:lang w:bidi="ar"/>
              </w:rPr>
              <w:t>2</w:t>
            </w:r>
            <w:r>
              <w:rPr>
                <w:rFonts w:hint="eastAsia" w:ascii="宋体" w:hAnsi="宋体"/>
                <w:b/>
                <w:bCs/>
                <w:color w:val="000000"/>
                <w:kern w:val="0"/>
                <w:sz w:val="18"/>
                <w:szCs w:val="18"/>
                <w:highlight w:val="none"/>
                <w:lang w:val="en-US" w:eastAsia="zh-CN" w:bidi="ar"/>
              </w:rPr>
              <w:t>.</w:t>
            </w:r>
            <w:r>
              <w:rPr>
                <w:rFonts w:ascii="宋体" w:hAnsi="宋体"/>
                <w:b/>
                <w:bCs/>
                <w:color w:val="000000"/>
                <w:kern w:val="0"/>
                <w:sz w:val="18"/>
                <w:szCs w:val="18"/>
                <w:highlight w:val="none"/>
                <w:lang w:bidi="ar"/>
              </w:rPr>
              <w:t>防病毒软件（投标时请注明软件名称及版本，并对软件功能进行详细描述）</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2</w:t>
            </w:r>
            <w:r>
              <w:rPr>
                <w:rFonts w:ascii="宋体" w:hAnsi="宋体"/>
                <w:color w:val="000000"/>
                <w:kern w:val="0"/>
                <w:sz w:val="18"/>
                <w:szCs w:val="18"/>
                <w:highlight w:val="none"/>
                <w:lang w:bidi="ar"/>
              </w:rPr>
              <w:t>.1 软件须支持符合安全可靠测评要求的国产CPU和操作系统；</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2</w:t>
            </w:r>
            <w:r>
              <w:rPr>
                <w:rFonts w:ascii="宋体" w:hAnsi="宋体"/>
                <w:color w:val="000000"/>
                <w:kern w:val="0"/>
                <w:sz w:val="18"/>
                <w:szCs w:val="18"/>
                <w:highlight w:val="none"/>
                <w:lang w:bidi="ar"/>
              </w:rPr>
              <w:t>.2 实现实时防护、病毒查杀、隔离区管理、安全日志、安全策略管理、系统漏洞管理；支持在线软件程序、特征库、病毒库自动和手动升级。</w:t>
            </w:r>
            <w:r>
              <w:rPr>
                <w:rFonts w:hint="eastAsia" w:ascii="宋体" w:hAnsi="宋体"/>
                <w:color w:val="000000"/>
                <w:kern w:val="0"/>
                <w:sz w:val="18"/>
                <w:szCs w:val="18"/>
                <w:highlight w:val="none"/>
                <w:lang w:bidi="ar"/>
              </w:rPr>
              <w:br w:type="textWrapping"/>
            </w:r>
            <w:r>
              <w:rPr>
                <w:rFonts w:hint="eastAsia" w:ascii="宋体" w:hAnsi="宋体"/>
                <w:b/>
                <w:bCs/>
                <w:color w:val="000000"/>
                <w:kern w:val="0"/>
                <w:sz w:val="18"/>
                <w:szCs w:val="18"/>
                <w:highlight w:val="none"/>
                <w:lang w:val="en-US" w:eastAsia="zh-CN" w:bidi="ar"/>
              </w:rPr>
              <w:t>3</w:t>
            </w:r>
            <w:r>
              <w:rPr>
                <w:rFonts w:ascii="宋体" w:hAnsi="宋体"/>
                <w:b/>
                <w:bCs/>
                <w:color w:val="000000"/>
                <w:kern w:val="0"/>
                <w:sz w:val="18"/>
                <w:szCs w:val="18"/>
                <w:highlight w:val="none"/>
                <w:lang w:bidi="ar"/>
              </w:rPr>
              <w:t>.同传还原软件（投标时请注明软件名称及版本</w:t>
            </w:r>
            <w:r>
              <w:rPr>
                <w:rFonts w:hint="eastAsia" w:ascii="宋体" w:hAnsi="宋体"/>
                <w:b/>
                <w:bCs/>
                <w:color w:val="000000"/>
                <w:kern w:val="0"/>
                <w:sz w:val="18"/>
                <w:szCs w:val="18"/>
                <w:highlight w:val="none"/>
                <w:lang w:eastAsia="zh-CN" w:bidi="ar"/>
              </w:rPr>
              <w:t>，</w:t>
            </w:r>
            <w:r>
              <w:rPr>
                <w:rFonts w:ascii="宋体" w:hAnsi="宋体"/>
                <w:b/>
                <w:bCs/>
                <w:color w:val="000000"/>
                <w:kern w:val="0"/>
                <w:sz w:val="18"/>
                <w:szCs w:val="18"/>
                <w:highlight w:val="none"/>
                <w:lang w:bidi="ar"/>
              </w:rPr>
              <w:t>并对软件功能进行详细描述）</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3</w:t>
            </w:r>
            <w:r>
              <w:rPr>
                <w:rFonts w:ascii="宋体" w:hAnsi="宋体"/>
                <w:color w:val="000000"/>
                <w:kern w:val="0"/>
                <w:sz w:val="18"/>
                <w:szCs w:val="18"/>
                <w:highlight w:val="none"/>
                <w:lang w:bidi="ar"/>
              </w:rPr>
              <w:t>.1 软件须支持符合安全可靠测评要求的国产CPU和操作系统；</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3</w:t>
            </w:r>
            <w:r>
              <w:rPr>
                <w:rFonts w:ascii="宋体" w:hAnsi="宋体"/>
                <w:color w:val="000000"/>
                <w:kern w:val="0"/>
                <w:sz w:val="18"/>
                <w:szCs w:val="18"/>
                <w:highlight w:val="none"/>
                <w:lang w:bidi="ar"/>
              </w:rPr>
              <w:t>.2 实现网络同传，教师机指定学生机作为发送端进行分区对拷、有效数据对拷、还原数据对拷，千兆网下对拷速度可达6GB/Min以上；</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3</w:t>
            </w:r>
            <w:r>
              <w:rPr>
                <w:rFonts w:ascii="宋体" w:hAnsi="宋体"/>
                <w:color w:val="000000"/>
                <w:kern w:val="0"/>
                <w:sz w:val="18"/>
                <w:szCs w:val="18"/>
                <w:highlight w:val="none"/>
                <w:lang w:bidi="ar"/>
              </w:rPr>
              <w:t>.3 实现差异同传，自动识别增量对拷数据进行同传，减小传输数据量；</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3</w:t>
            </w:r>
            <w:r>
              <w:rPr>
                <w:rFonts w:ascii="宋体" w:hAnsi="宋体"/>
                <w:color w:val="000000"/>
                <w:kern w:val="0"/>
                <w:sz w:val="18"/>
                <w:szCs w:val="18"/>
                <w:highlight w:val="none"/>
                <w:lang w:bidi="ar"/>
              </w:rPr>
              <w:t>.4 实现异常断网或临时中断计划等特殊情况下断点续传。</w:t>
            </w:r>
            <w:r>
              <w:rPr>
                <w:rFonts w:hint="eastAsia" w:ascii="宋体" w:hAnsi="宋体"/>
                <w:color w:val="000000"/>
                <w:kern w:val="0"/>
                <w:sz w:val="18"/>
                <w:szCs w:val="18"/>
                <w:highlight w:val="none"/>
                <w:lang w:bidi="ar"/>
              </w:rPr>
              <w:br w:type="textWrapping"/>
            </w:r>
            <w:r>
              <w:rPr>
                <w:rFonts w:hint="eastAsia" w:ascii="宋体" w:hAnsi="宋体"/>
                <w:b/>
                <w:bCs/>
                <w:color w:val="000000"/>
                <w:kern w:val="0"/>
                <w:sz w:val="18"/>
                <w:szCs w:val="18"/>
                <w:highlight w:val="none"/>
                <w:lang w:val="en-US" w:eastAsia="zh-CN" w:bidi="ar"/>
              </w:rPr>
              <w:t>4</w:t>
            </w:r>
            <w:r>
              <w:rPr>
                <w:rFonts w:ascii="宋体" w:hAnsi="宋体"/>
                <w:b/>
                <w:bCs/>
                <w:color w:val="000000"/>
                <w:kern w:val="0"/>
                <w:sz w:val="18"/>
                <w:szCs w:val="18"/>
                <w:highlight w:val="none"/>
                <w:lang w:bidi="ar"/>
              </w:rPr>
              <w:t>.电子教室互动教学管理软件（投标时请注明软件名称及版本，并对软件功能进行详细描述）</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4</w:t>
            </w:r>
            <w:r>
              <w:rPr>
                <w:rFonts w:ascii="宋体" w:hAnsi="宋体"/>
                <w:color w:val="000000"/>
                <w:kern w:val="0"/>
                <w:sz w:val="18"/>
                <w:szCs w:val="18"/>
                <w:highlight w:val="none"/>
                <w:lang w:bidi="ar"/>
              </w:rPr>
              <w:t>.1软件须支持符合安全可靠测评要求的国产CPU和操作系统；</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4</w:t>
            </w:r>
            <w:r>
              <w:rPr>
                <w:rFonts w:ascii="宋体" w:hAnsi="宋体"/>
                <w:color w:val="000000"/>
                <w:kern w:val="0"/>
                <w:sz w:val="18"/>
                <w:szCs w:val="18"/>
                <w:highlight w:val="none"/>
                <w:lang w:bidi="ar"/>
              </w:rPr>
              <w:t>.2软件应具备屏幕广播、屏幕监视、学生演示、抢答竞赛、文件分发、作业提交、网络影院、U盘限制、网络限制、屏幕白板笔、编辑试卷生成答题卡并能实现客观题自动评</w:t>
            </w:r>
            <w:r>
              <w:rPr>
                <w:rFonts w:hint="eastAsia" w:ascii="宋体" w:hAnsi="宋体"/>
                <w:color w:val="000000"/>
                <w:kern w:val="0"/>
                <w:sz w:val="18"/>
                <w:szCs w:val="18"/>
                <w:highlight w:val="none"/>
                <w:lang w:eastAsia="zh-CN" w:bidi="ar"/>
              </w:rPr>
              <w:t>分和</w:t>
            </w:r>
            <w:r>
              <w:rPr>
                <w:rFonts w:ascii="宋体" w:hAnsi="宋体"/>
                <w:color w:val="000000"/>
                <w:kern w:val="0"/>
                <w:sz w:val="18"/>
                <w:szCs w:val="18"/>
                <w:highlight w:val="none"/>
                <w:lang w:bidi="ar"/>
              </w:rPr>
              <w:t>主观题手动评分、编辑模型功能。</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eastAsia" w:ascii="宋体" w:hAnsi="宋体" w:eastAsia="宋体"/>
                <w:color w:val="000000"/>
                <w:kern w:val="0"/>
                <w:sz w:val="18"/>
                <w:szCs w:val="18"/>
                <w:highlight w:val="none"/>
                <w:lang w:eastAsia="zh-CN" w:bidi="ar"/>
              </w:rPr>
            </w:pPr>
            <w:r>
              <w:rPr>
                <w:rFonts w:hint="eastAsia" w:ascii="宋体" w:hAnsi="宋体"/>
                <w:color w:val="000000"/>
                <w:kern w:val="0"/>
                <w:sz w:val="18"/>
                <w:szCs w:val="18"/>
                <w:highlight w:val="none"/>
                <w:lang w:val="en-US" w:eastAsia="zh-CN" w:bidi="ar"/>
              </w:rPr>
              <w:t>3</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台式计算机（教师机）</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b/>
                <w:bCs/>
                <w:color w:val="000000"/>
                <w:kern w:val="0"/>
                <w:sz w:val="18"/>
                <w:szCs w:val="18"/>
                <w:highlight w:val="none"/>
                <w:lang w:bidi="ar"/>
              </w:rPr>
              <w:t>▲1.配置要求（投标时请注明计算机品牌及型号）</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 CPU核数：≥8；（投标时请注明CPU品牌及型号）</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 主频（GHz）：≥2.5；</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1.3 显示屏尺寸（英寸）</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≥23.8；</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1.4 显示屏分辨率</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≥1920*1080；</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1.5 显示屏色准</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最大△E ≤4；</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1.6 显示屏响应时间（ms）</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≤8；</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1.7 显示屏可视角度</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水平≥170°；</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1.8 显示器材质</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VA/IPS；</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1.9 显示屏屏幕比例</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16:9；</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1.10 内存配置容量</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≥16GB*1；</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1.11 内存读写速率：≥</w:t>
            </w:r>
            <w:r>
              <w:rPr>
                <w:rFonts w:hint="eastAsia" w:ascii="宋体" w:hAnsi="宋体"/>
                <w:color w:val="000000"/>
                <w:kern w:val="0"/>
                <w:sz w:val="18"/>
                <w:szCs w:val="18"/>
                <w:highlight w:val="none"/>
                <w:lang w:val="en-US" w:eastAsia="zh-CN" w:bidi="ar"/>
              </w:rPr>
              <w:t>32</w:t>
            </w:r>
            <w:r>
              <w:rPr>
                <w:rFonts w:hint="eastAsia" w:ascii="宋体" w:hAnsi="宋体"/>
                <w:color w:val="000000"/>
                <w:kern w:val="0"/>
                <w:sz w:val="18"/>
                <w:szCs w:val="18"/>
                <w:highlight w:val="none"/>
                <w:lang w:bidi="ar"/>
              </w:rPr>
              <w:t>00MT/s；</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 xml:space="preserve">1.12 内存扩展接口 </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板载内存不涉及</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:≥2；</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1.13 硬盘类型</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 xml:space="preserve"> 固态硬盘+机械硬盘；</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1.14 固态存储形态：采用插卡形态；</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1.15 固态存储容量：≥512GB*1；</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1.16 机械硬盘接口方式</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SATA 3.0；</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1.17 机械硬盘转速（RPM）：≥7200；</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1.18 机械硬盘总容量：≥1TB*1；</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1.19 显卡类型：独立显卡（独立显卡显存容量：≥2GB，独立显卡显存类型：≥DDR4，独立显卡显存位宽（bit）：≥64）；</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1.20 预装操作系统：麒麟/统信UOS/中科方德/其他符合安全可靠测评要求的操作系统；（投标时请注明系统名称及版本）</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1.21 显示器和机身颜色：黑色/灰色/银色；</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1.22 是否有刻录光驱：是；</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1.23 内置集成声卡：是；</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1.24 有线网卡：RJ45接口，10/100/1000M自适应≥1；</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1.25 鼠标：有线（USB</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1.26 键盘：有线（USB</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1.27 键盘按键数目：104键；</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1.28 有线键盘连接线：≥1.5米；</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 xml:space="preserve">1.29 </w:t>
            </w:r>
            <w:r>
              <w:rPr>
                <w:rFonts w:ascii="宋体" w:hAnsi="宋体"/>
                <w:color w:val="000000"/>
                <w:kern w:val="0"/>
                <w:sz w:val="18"/>
                <w:szCs w:val="18"/>
                <w:highlight w:val="none"/>
                <w:lang w:bidi="ar"/>
              </w:rPr>
              <w:t>USB</w:t>
            </w:r>
            <w:r>
              <w:rPr>
                <w:rFonts w:hint="eastAsia" w:ascii="宋体" w:hAnsi="宋体"/>
                <w:color w:val="000000"/>
                <w:kern w:val="0"/>
                <w:sz w:val="18"/>
                <w:szCs w:val="18"/>
                <w:highlight w:val="none"/>
                <w:lang w:bidi="ar"/>
              </w:rPr>
              <w:t xml:space="preserve"> </w:t>
            </w:r>
            <w:r>
              <w:rPr>
                <w:rFonts w:ascii="宋体" w:hAnsi="宋体"/>
                <w:color w:val="000000"/>
                <w:kern w:val="0"/>
                <w:sz w:val="18"/>
                <w:szCs w:val="18"/>
                <w:highlight w:val="none"/>
                <w:lang w:bidi="ar"/>
              </w:rPr>
              <w:t>接口：</w:t>
            </w:r>
            <w:r>
              <w:rPr>
                <w:rFonts w:hint="eastAsia" w:ascii="宋体" w:hAnsi="宋体"/>
                <w:color w:val="000000"/>
                <w:kern w:val="0"/>
                <w:sz w:val="18"/>
                <w:szCs w:val="18"/>
                <w:highlight w:val="none"/>
                <w:lang w:bidi="ar"/>
              </w:rPr>
              <w:t>USB接口数量≥8个，其中：USB3.0及以上标准接口数量≥4个；</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1.30 HDMI接口：≥1；</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1.31 VGA接口：≥1；</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1.32 关键部件安全要求：CPU和操作系统等关键部件应当符合安全可靠测评要求；</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1.33 其他要求：符合财政部《台式计算机政府采购需求标准》中规定的其他</w:t>
            </w:r>
            <w:r>
              <w:rPr>
                <w:rFonts w:hint="eastAsia" w:ascii="宋体" w:hAnsi="宋体"/>
                <w:color w:val="000000"/>
                <w:kern w:val="0"/>
                <w:sz w:val="18"/>
                <w:szCs w:val="18"/>
                <w:highlight w:val="none"/>
                <w:lang w:eastAsia="zh-CN" w:bidi="ar"/>
              </w:rPr>
              <w:t>标准</w:t>
            </w:r>
            <w:r>
              <w:rPr>
                <w:rFonts w:hint="eastAsia" w:ascii="宋体" w:hAnsi="宋体"/>
                <w:color w:val="000000"/>
                <w:kern w:val="0"/>
                <w:sz w:val="18"/>
                <w:szCs w:val="18"/>
                <w:highlight w:val="none"/>
                <w:lang w:bidi="ar"/>
              </w:rPr>
              <w:t xml:space="preserve">*内容。 </w:t>
            </w:r>
            <w:r>
              <w:rPr>
                <w:rFonts w:hint="eastAsia" w:ascii="宋体" w:hAnsi="宋体"/>
                <w:color w:val="000000"/>
                <w:kern w:val="0"/>
                <w:sz w:val="18"/>
                <w:szCs w:val="18"/>
                <w:highlight w:val="none"/>
                <w:lang w:bidi="ar"/>
              </w:rPr>
              <w:br w:type="textWrapping"/>
            </w:r>
            <w:r>
              <w:rPr>
                <w:rFonts w:hint="eastAsia" w:ascii="宋体" w:hAnsi="宋体"/>
                <w:b/>
                <w:bCs/>
                <w:color w:val="000000"/>
                <w:kern w:val="0"/>
                <w:sz w:val="18"/>
                <w:szCs w:val="18"/>
                <w:highlight w:val="none"/>
                <w:lang w:bidi="ar"/>
              </w:rPr>
              <w:t>2.防病毒软件（投标时请注明软件名称及版本，并对软件功能进行详细描述）</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2</w:t>
            </w:r>
            <w:r>
              <w:rPr>
                <w:rFonts w:hint="eastAsia" w:ascii="宋体" w:hAnsi="宋体"/>
                <w:color w:val="000000"/>
                <w:kern w:val="0"/>
                <w:sz w:val="18"/>
                <w:szCs w:val="18"/>
                <w:highlight w:val="none"/>
                <w:lang w:bidi="ar"/>
              </w:rPr>
              <w:t>.1 软件须支持符合安全可靠测评要求的国产CPU和操作系统；</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2</w:t>
            </w:r>
            <w:r>
              <w:rPr>
                <w:rFonts w:hint="eastAsia" w:ascii="宋体" w:hAnsi="宋体"/>
                <w:color w:val="000000"/>
                <w:kern w:val="0"/>
                <w:sz w:val="18"/>
                <w:szCs w:val="18"/>
                <w:highlight w:val="none"/>
                <w:lang w:bidi="ar"/>
              </w:rPr>
              <w:t>.2 实现实时防护、病毒查杀、隔离区管理、安全日志、安全策略管理、系统漏洞管理；支持在线软件程序、特征库、病毒库自动和手动升级。</w:t>
            </w:r>
            <w:r>
              <w:rPr>
                <w:rFonts w:hint="eastAsia" w:ascii="宋体" w:hAnsi="宋体"/>
                <w:color w:val="000000"/>
                <w:kern w:val="0"/>
                <w:sz w:val="18"/>
                <w:szCs w:val="18"/>
                <w:highlight w:val="none"/>
                <w:lang w:bidi="ar"/>
              </w:rPr>
              <w:br w:type="textWrapping"/>
            </w:r>
            <w:r>
              <w:rPr>
                <w:rFonts w:hint="eastAsia" w:ascii="宋体" w:hAnsi="宋体"/>
                <w:b/>
                <w:bCs/>
                <w:color w:val="000000"/>
                <w:kern w:val="0"/>
                <w:sz w:val="18"/>
                <w:szCs w:val="18"/>
                <w:highlight w:val="none"/>
                <w:lang w:val="en-US" w:eastAsia="zh-CN" w:bidi="ar"/>
              </w:rPr>
              <w:t>3</w:t>
            </w:r>
            <w:r>
              <w:rPr>
                <w:rFonts w:hint="eastAsia" w:ascii="宋体" w:hAnsi="宋体"/>
                <w:b/>
                <w:bCs/>
                <w:color w:val="000000"/>
                <w:kern w:val="0"/>
                <w:sz w:val="18"/>
                <w:szCs w:val="18"/>
                <w:highlight w:val="none"/>
                <w:lang w:bidi="ar"/>
              </w:rPr>
              <w:t>.同传还原软件（投标时请注明软件名称及版本，并对软件功能进行详细描述）</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3</w:t>
            </w:r>
            <w:r>
              <w:rPr>
                <w:rFonts w:hint="eastAsia" w:ascii="宋体" w:hAnsi="宋体"/>
                <w:color w:val="000000"/>
                <w:kern w:val="0"/>
                <w:sz w:val="18"/>
                <w:szCs w:val="18"/>
                <w:highlight w:val="none"/>
                <w:lang w:bidi="ar"/>
              </w:rPr>
              <w:t>.1 软件须支持符合安全可靠测评要求的国产CPU和操作系统；</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3</w:t>
            </w:r>
            <w:r>
              <w:rPr>
                <w:rFonts w:hint="eastAsia" w:ascii="宋体" w:hAnsi="宋体"/>
                <w:color w:val="000000"/>
                <w:kern w:val="0"/>
                <w:sz w:val="18"/>
                <w:szCs w:val="18"/>
                <w:highlight w:val="none"/>
                <w:lang w:bidi="ar"/>
              </w:rPr>
              <w:t>.2 实现网络同传，教师机指定学生机作为发送端进行分区对拷、有效数据对拷、还原数据对拷，千兆网下对拷速度可达6GB/Min以上；</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3</w:t>
            </w:r>
            <w:r>
              <w:rPr>
                <w:rFonts w:hint="eastAsia" w:ascii="宋体" w:hAnsi="宋体"/>
                <w:color w:val="000000"/>
                <w:kern w:val="0"/>
                <w:sz w:val="18"/>
                <w:szCs w:val="18"/>
                <w:highlight w:val="none"/>
                <w:lang w:bidi="ar"/>
              </w:rPr>
              <w:t>.3 实现差异同传，自动识别增量对拷数据进行同传，减小传输数据量；</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3</w:t>
            </w:r>
            <w:r>
              <w:rPr>
                <w:rFonts w:hint="eastAsia" w:ascii="宋体" w:hAnsi="宋体"/>
                <w:color w:val="000000"/>
                <w:kern w:val="0"/>
                <w:sz w:val="18"/>
                <w:szCs w:val="18"/>
                <w:highlight w:val="none"/>
                <w:lang w:bidi="ar"/>
              </w:rPr>
              <w:t>.4 实现异常断网或临时中断计划等特殊情况下断点续传。</w:t>
            </w:r>
            <w:r>
              <w:rPr>
                <w:rFonts w:hint="eastAsia" w:ascii="宋体" w:hAnsi="宋体"/>
                <w:color w:val="000000"/>
                <w:kern w:val="0"/>
                <w:sz w:val="18"/>
                <w:szCs w:val="18"/>
                <w:highlight w:val="none"/>
                <w:lang w:bidi="ar"/>
              </w:rPr>
              <w:br w:type="textWrapping"/>
            </w:r>
            <w:r>
              <w:rPr>
                <w:rFonts w:hint="eastAsia" w:ascii="宋体" w:hAnsi="宋体"/>
                <w:b/>
                <w:bCs/>
                <w:color w:val="000000"/>
                <w:kern w:val="0"/>
                <w:sz w:val="18"/>
                <w:szCs w:val="18"/>
                <w:highlight w:val="none"/>
                <w:lang w:val="en-US" w:eastAsia="zh-CN" w:bidi="ar"/>
              </w:rPr>
              <w:t>4</w:t>
            </w:r>
            <w:r>
              <w:rPr>
                <w:rFonts w:hint="eastAsia" w:ascii="宋体" w:hAnsi="宋体"/>
                <w:b/>
                <w:bCs/>
                <w:color w:val="000000"/>
                <w:kern w:val="0"/>
                <w:sz w:val="18"/>
                <w:szCs w:val="18"/>
                <w:highlight w:val="none"/>
                <w:lang w:bidi="ar"/>
              </w:rPr>
              <w:t>.电子教室互动教学管理软件（投标时请注明软件名称及版本，并对软件功能进行详细描述）</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4</w:t>
            </w:r>
            <w:r>
              <w:rPr>
                <w:rFonts w:hint="eastAsia" w:ascii="宋体" w:hAnsi="宋体"/>
                <w:color w:val="000000"/>
                <w:kern w:val="0"/>
                <w:sz w:val="18"/>
                <w:szCs w:val="18"/>
                <w:highlight w:val="none"/>
                <w:lang w:bidi="ar"/>
              </w:rPr>
              <w:t>.1软件须支持符合安全可靠测评要求的国产CPU和操作系统；</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val="en-US" w:eastAsia="zh-CN" w:bidi="ar"/>
              </w:rPr>
              <w:t>4</w:t>
            </w:r>
            <w:r>
              <w:rPr>
                <w:rFonts w:hint="eastAsia" w:ascii="宋体" w:hAnsi="宋体"/>
                <w:color w:val="000000"/>
                <w:kern w:val="0"/>
                <w:sz w:val="18"/>
                <w:szCs w:val="18"/>
                <w:highlight w:val="none"/>
                <w:lang w:bidi="ar"/>
              </w:rPr>
              <w:t>.2软件应支持一键统一开关学生机功能，具备屏幕广播、屏幕监视、学生演示、抢答竞赛、文件分发、作业提交、网络影院、U盘限制、网络限制、屏幕白板笔、编辑试卷生成答题卡并能实现客观题自动评</w:t>
            </w:r>
            <w:r>
              <w:rPr>
                <w:rFonts w:hint="eastAsia" w:ascii="宋体" w:hAnsi="宋体"/>
                <w:color w:val="000000"/>
                <w:kern w:val="0"/>
                <w:sz w:val="18"/>
                <w:szCs w:val="18"/>
                <w:highlight w:val="none"/>
                <w:lang w:eastAsia="zh-CN" w:bidi="ar"/>
              </w:rPr>
              <w:t>分和</w:t>
            </w:r>
            <w:r>
              <w:rPr>
                <w:rFonts w:hint="eastAsia" w:ascii="宋体" w:hAnsi="宋体"/>
                <w:color w:val="000000"/>
                <w:kern w:val="0"/>
                <w:sz w:val="18"/>
                <w:szCs w:val="18"/>
                <w:highlight w:val="none"/>
                <w:lang w:bidi="ar"/>
              </w:rPr>
              <w:t>主观题手动评分、编辑模型功能。</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eastAsia" w:ascii="宋体" w:hAnsi="宋体" w:eastAsia="宋体"/>
                <w:color w:val="000000"/>
                <w:kern w:val="0"/>
                <w:sz w:val="18"/>
                <w:szCs w:val="18"/>
                <w:highlight w:val="none"/>
                <w:lang w:val="en-US" w:eastAsia="zh-CN" w:bidi="ar"/>
              </w:rPr>
            </w:pPr>
            <w:r>
              <w:rPr>
                <w:rFonts w:hint="eastAsia" w:ascii="宋体" w:hAnsi="宋体"/>
                <w:color w:val="000000"/>
                <w:kern w:val="0"/>
                <w:sz w:val="18"/>
                <w:szCs w:val="18"/>
                <w:highlight w:val="none"/>
                <w:lang w:val="en-US" w:eastAsia="zh-CN" w:bidi="ar"/>
              </w:rPr>
              <w:t>4</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default" w:ascii="宋体" w:hAnsi="宋体" w:eastAsia="宋体"/>
                <w:color w:val="000000"/>
                <w:kern w:val="0"/>
                <w:sz w:val="18"/>
                <w:szCs w:val="18"/>
                <w:highlight w:val="none"/>
                <w:lang w:val="en-US" w:eastAsia="zh-CN" w:bidi="ar"/>
              </w:rPr>
            </w:pPr>
            <w:r>
              <w:rPr>
                <w:rFonts w:hint="eastAsia" w:ascii="宋体" w:hAnsi="宋体"/>
                <w:color w:val="000000"/>
                <w:kern w:val="0"/>
                <w:sz w:val="18"/>
                <w:szCs w:val="18"/>
                <w:highlight w:val="none"/>
                <w:lang w:val="en-US" w:eastAsia="zh-CN" w:bidi="ar"/>
              </w:rPr>
              <w:t>交换机1</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eastAsia="宋体" w:cs="宋体"/>
                <w:color w:val="000000"/>
                <w:kern w:val="0"/>
                <w:sz w:val="18"/>
                <w:szCs w:val="18"/>
                <w:highlight w:val="none"/>
              </w:rPr>
              <w:t>全千兆机架式交换机，非网管，交流供电，≥</w:t>
            </w:r>
            <w:r>
              <w:rPr>
                <w:rFonts w:hint="eastAsia" w:ascii="宋体" w:hAnsi="宋体" w:cs="宋体"/>
                <w:color w:val="000000"/>
                <w:kern w:val="0"/>
                <w:sz w:val="18"/>
                <w:szCs w:val="18"/>
                <w:highlight w:val="none"/>
                <w:lang w:val="en-US" w:eastAsia="zh-CN"/>
              </w:rPr>
              <w:t>48</w:t>
            </w:r>
            <w:r>
              <w:rPr>
                <w:rFonts w:hint="eastAsia" w:ascii="宋体" w:hAnsi="宋体" w:eastAsia="宋体" w:cs="宋体"/>
                <w:color w:val="000000"/>
                <w:kern w:val="0"/>
                <w:sz w:val="18"/>
                <w:szCs w:val="18"/>
                <w:highlight w:val="none"/>
              </w:rPr>
              <w:t>个10/100/1000Mbps以太网接口；交换容量为</w:t>
            </w:r>
            <w:r>
              <w:rPr>
                <w:rFonts w:hint="eastAsia" w:ascii="宋体" w:hAnsi="宋体"/>
                <w:color w:val="000000"/>
                <w:kern w:val="0"/>
                <w:sz w:val="18"/>
                <w:szCs w:val="18"/>
                <w:highlight w:val="none"/>
                <w:lang w:bidi="ar"/>
              </w:rPr>
              <w:t>≥</w:t>
            </w:r>
            <w:r>
              <w:rPr>
                <w:rFonts w:hint="eastAsia" w:ascii="宋体" w:hAnsi="宋体" w:eastAsia="宋体" w:cs="宋体"/>
                <w:color w:val="000000"/>
                <w:kern w:val="0"/>
                <w:sz w:val="18"/>
                <w:szCs w:val="18"/>
                <w:highlight w:val="none"/>
              </w:rPr>
              <w:t>96Gbps，包转发率为</w:t>
            </w:r>
            <w:r>
              <w:rPr>
                <w:rFonts w:hint="eastAsia" w:ascii="宋体" w:hAnsi="宋体"/>
                <w:color w:val="000000"/>
                <w:kern w:val="0"/>
                <w:sz w:val="18"/>
                <w:szCs w:val="18"/>
                <w:highlight w:val="none"/>
                <w:lang w:bidi="ar"/>
              </w:rPr>
              <w:t>≥</w:t>
            </w:r>
            <w:r>
              <w:rPr>
                <w:rFonts w:hint="eastAsia" w:ascii="宋体" w:hAnsi="宋体" w:eastAsia="宋体" w:cs="宋体"/>
                <w:color w:val="000000"/>
                <w:kern w:val="0"/>
                <w:sz w:val="18"/>
                <w:szCs w:val="18"/>
                <w:highlight w:val="none"/>
              </w:rPr>
              <w:t>71.4Mpps。</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eastAsia" w:ascii="宋体" w:hAnsi="宋体" w:eastAsia="宋体"/>
                <w:color w:val="000000"/>
                <w:kern w:val="0"/>
                <w:sz w:val="18"/>
                <w:szCs w:val="18"/>
                <w:highlight w:val="none"/>
                <w:lang w:eastAsia="zh-CN" w:bidi="ar"/>
              </w:rPr>
            </w:pPr>
            <w:r>
              <w:rPr>
                <w:rFonts w:hint="eastAsia" w:ascii="宋体" w:hAnsi="宋体"/>
                <w:color w:val="000000"/>
                <w:kern w:val="0"/>
                <w:sz w:val="18"/>
                <w:szCs w:val="18"/>
                <w:highlight w:val="none"/>
                <w:lang w:val="en-US" w:eastAsia="zh-CN" w:bidi="ar"/>
              </w:rPr>
              <w:t>5</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eastAsia" w:ascii="宋体" w:hAnsi="宋体" w:eastAsia="宋体"/>
                <w:color w:val="000000"/>
                <w:kern w:val="0"/>
                <w:sz w:val="18"/>
                <w:szCs w:val="18"/>
                <w:highlight w:val="none"/>
                <w:lang w:val="en-US" w:eastAsia="zh-CN" w:bidi="ar"/>
              </w:rPr>
            </w:pPr>
            <w:r>
              <w:rPr>
                <w:rFonts w:hint="eastAsia" w:ascii="宋体" w:hAnsi="宋体"/>
                <w:color w:val="000000"/>
                <w:kern w:val="0"/>
                <w:sz w:val="18"/>
                <w:szCs w:val="18"/>
                <w:highlight w:val="none"/>
                <w:lang w:bidi="ar"/>
              </w:rPr>
              <w:t>交换机</w:t>
            </w:r>
            <w:r>
              <w:rPr>
                <w:rFonts w:hint="eastAsia" w:ascii="宋体" w:hAnsi="宋体"/>
                <w:color w:val="000000"/>
                <w:kern w:val="0"/>
                <w:sz w:val="18"/>
                <w:szCs w:val="18"/>
                <w:highlight w:val="none"/>
                <w:lang w:val="en-US" w:eastAsia="zh-CN" w:bidi="ar"/>
              </w:rPr>
              <w:t>2</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全千兆机架式交换机，非网管，交流供电，≥24个10/100/1000Mbps以太网接口；交换容量≥48Gbps，包转发率≥36Mpps。</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eastAsia" w:ascii="宋体" w:hAnsi="宋体" w:eastAsia="宋体"/>
                <w:color w:val="000000"/>
                <w:kern w:val="0"/>
                <w:sz w:val="18"/>
                <w:szCs w:val="18"/>
                <w:highlight w:val="none"/>
                <w:lang w:val="en-US" w:eastAsia="zh-CN" w:bidi="ar"/>
              </w:rPr>
            </w:pPr>
            <w:r>
              <w:rPr>
                <w:rFonts w:hint="eastAsia" w:ascii="宋体" w:hAnsi="宋体"/>
                <w:color w:val="000000"/>
                <w:kern w:val="0"/>
                <w:sz w:val="18"/>
                <w:szCs w:val="18"/>
                <w:highlight w:val="none"/>
                <w:lang w:val="en-US" w:eastAsia="zh-CN" w:bidi="ar"/>
              </w:rPr>
              <w:t>6</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default" w:ascii="宋体" w:hAnsi="宋体" w:eastAsia="宋体"/>
                <w:color w:val="000000"/>
                <w:kern w:val="0"/>
                <w:sz w:val="18"/>
                <w:szCs w:val="18"/>
                <w:highlight w:val="none"/>
                <w:lang w:val="en-US" w:eastAsia="zh-CN" w:bidi="ar"/>
              </w:rPr>
            </w:pPr>
            <w:r>
              <w:rPr>
                <w:rFonts w:hint="eastAsia" w:ascii="宋体" w:hAnsi="宋体"/>
                <w:color w:val="000000"/>
                <w:kern w:val="0"/>
                <w:sz w:val="18"/>
                <w:szCs w:val="18"/>
                <w:highlight w:val="none"/>
                <w:lang w:val="en-US" w:eastAsia="zh-CN" w:bidi="ar"/>
              </w:rPr>
              <w:t>路由器</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带机量</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150台；适用带宽：1000Mbps；WAN口：2个千兆电口 (GE</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；LAN口： 3个千兆电口 (GE</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；可切换端口：1个WAN口可切换为LAN，2个LAN口可切换为WAN；</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IPSec加密性能：100Mbps；IPSec VPN隧道数：100条；NAT会话数：4万条；NAT映射表项：100项；内存：256MB；外形尺寸：266 x 161 x 43.6 mm (1U机架式</w:t>
            </w:r>
            <w:r>
              <w:rPr>
                <w:rFonts w:hint="eastAsia" w:ascii="宋体" w:hAnsi="宋体"/>
                <w:color w:val="000000"/>
                <w:kern w:val="0"/>
                <w:sz w:val="18"/>
                <w:szCs w:val="18"/>
                <w:highlight w:val="none"/>
                <w:lang w:eastAsia="zh-CN" w:bidi="ar"/>
              </w:rPr>
              <w:t>）</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 xml:space="preserve">最大功耗：10W；电源   AC 100～240V，50/60Hz </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eastAsia" w:ascii="宋体" w:hAnsi="宋体" w:eastAsia="宋体"/>
                <w:color w:val="000000"/>
                <w:kern w:val="0"/>
                <w:sz w:val="18"/>
                <w:szCs w:val="18"/>
                <w:highlight w:val="none"/>
                <w:lang w:eastAsia="zh-CN" w:bidi="ar"/>
              </w:rPr>
            </w:pPr>
            <w:r>
              <w:rPr>
                <w:rFonts w:hint="eastAsia" w:ascii="宋体" w:hAnsi="宋体"/>
                <w:color w:val="000000"/>
                <w:kern w:val="0"/>
                <w:sz w:val="18"/>
                <w:szCs w:val="18"/>
                <w:highlight w:val="none"/>
                <w:lang w:val="en-US" w:eastAsia="zh-CN" w:bidi="ar"/>
              </w:rPr>
              <w:t>7</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机柜</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落地式18U网络标准机柜1000*600*600mm，冷轧钢板方孔条敷铝锌板，前后左右门可拆卸，前门配锁，后门钢板，机柜表面酸洗、脱脂、磷化、塑粉、静电喷塑，机柜配置1组风扇、1个10A  8位PDU机架式电源、4套固定支架及万向脚轮。</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eastAsia" w:ascii="宋体" w:hAnsi="宋体" w:eastAsia="宋体"/>
                <w:color w:val="000000"/>
                <w:kern w:val="0"/>
                <w:sz w:val="18"/>
                <w:szCs w:val="18"/>
                <w:highlight w:val="none"/>
                <w:lang w:eastAsia="zh-CN" w:bidi="ar"/>
              </w:rPr>
            </w:pPr>
            <w:r>
              <w:rPr>
                <w:rFonts w:hint="eastAsia" w:ascii="宋体" w:hAnsi="宋体"/>
                <w:color w:val="000000"/>
                <w:kern w:val="0"/>
                <w:sz w:val="18"/>
                <w:szCs w:val="18"/>
                <w:highlight w:val="none"/>
                <w:lang w:val="en-US" w:eastAsia="zh-CN" w:bidi="ar"/>
              </w:rPr>
              <w:t>8</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val="en-US" w:eastAsia="zh-CN" w:bidi="ar"/>
              </w:rPr>
              <w:t>六</w:t>
            </w:r>
            <w:r>
              <w:rPr>
                <w:rFonts w:hint="eastAsia" w:ascii="宋体" w:hAnsi="宋体"/>
                <w:color w:val="000000"/>
                <w:kern w:val="0"/>
                <w:sz w:val="18"/>
                <w:szCs w:val="18"/>
                <w:highlight w:val="none"/>
                <w:lang w:bidi="ar"/>
              </w:rPr>
              <w:t>人位电脑桌凳</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1.</w:t>
            </w:r>
            <w:r>
              <w:rPr>
                <w:rFonts w:hint="eastAsia" w:ascii="宋体" w:hAnsi="宋体"/>
                <w:color w:val="000000"/>
                <w:kern w:val="0"/>
                <w:sz w:val="18"/>
                <w:szCs w:val="18"/>
                <w:highlight w:val="none"/>
                <w:lang w:val="en-US" w:eastAsia="zh-CN" w:bidi="ar"/>
              </w:rPr>
              <w:t>六</w:t>
            </w:r>
            <w:r>
              <w:rPr>
                <w:rFonts w:hint="eastAsia" w:ascii="宋体" w:hAnsi="宋体"/>
                <w:color w:val="000000"/>
                <w:kern w:val="0"/>
                <w:sz w:val="18"/>
                <w:szCs w:val="18"/>
                <w:highlight w:val="none"/>
                <w:lang w:bidi="ar"/>
              </w:rPr>
              <w:t>人位电脑桌：2</w:t>
            </w:r>
            <w:r>
              <w:rPr>
                <w:rFonts w:hint="eastAsia" w:ascii="宋体" w:hAnsi="宋体"/>
                <w:color w:val="000000"/>
                <w:kern w:val="0"/>
                <w:sz w:val="18"/>
                <w:szCs w:val="18"/>
                <w:highlight w:val="none"/>
                <w:lang w:val="en-US" w:eastAsia="zh-CN" w:bidi="ar"/>
              </w:rPr>
              <w:t>1</w:t>
            </w:r>
            <w:r>
              <w:rPr>
                <w:rFonts w:hint="eastAsia" w:ascii="宋体" w:hAnsi="宋体"/>
                <w:color w:val="000000"/>
                <w:kern w:val="0"/>
                <w:sz w:val="18"/>
                <w:szCs w:val="18"/>
                <w:highlight w:val="none"/>
                <w:lang w:bidi="ar"/>
              </w:rPr>
              <w:t>00*1400*750mm±3mm，钢木结构，钢架采用冷轧型碳焊精抛；钢架厚度≥1.2mm，四根立柱管型之间采用双嵌金属扣件固定，桌面下方使用隐藏式走线架，桌面采用25mm±1mm的实木橡木板+实木橡木围边，符合国家环保标准油漆制成，无封边条，不带键盘拖。</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2.凳子：340*240*420mm±3mm，钢木结构，螺丝内连接凳面，钢脚使用≥25*25mm，厚度≥1.2mm方管，加厚脚套；凳面采用25mm±1mm实木橡木板，符合国家环保标准油漆制成，四边无封边条，优质脚套制成。</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3.凳面颜色与电脑桌同色，1套：1个桌子+</w:t>
            </w:r>
            <w:r>
              <w:rPr>
                <w:rFonts w:hint="eastAsia" w:ascii="宋体" w:hAnsi="宋体"/>
                <w:color w:val="000000"/>
                <w:kern w:val="0"/>
                <w:sz w:val="18"/>
                <w:szCs w:val="18"/>
                <w:highlight w:val="none"/>
                <w:lang w:val="en-US" w:eastAsia="zh-CN" w:bidi="ar"/>
              </w:rPr>
              <w:t>6</w:t>
            </w:r>
            <w:r>
              <w:rPr>
                <w:rFonts w:hint="eastAsia" w:ascii="宋体" w:hAnsi="宋体"/>
                <w:color w:val="000000"/>
                <w:kern w:val="0"/>
                <w:sz w:val="18"/>
                <w:szCs w:val="18"/>
                <w:highlight w:val="none"/>
                <w:lang w:bidi="ar"/>
              </w:rPr>
              <w:t>个凳子。</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所用板材均经国家绿色环保认证，甲醛释放量≤0.05mg/m³；成品甲醛释放量</w:t>
            </w:r>
            <w:r>
              <w:rPr>
                <w:rFonts w:hint="eastAsia" w:ascii="宋体" w:hAnsi="宋体"/>
                <w:color w:val="000000"/>
                <w:kern w:val="0"/>
                <w:sz w:val="18"/>
                <w:szCs w:val="18"/>
                <w:highlight w:val="none"/>
                <w:lang w:eastAsia="zh-CN" w:bidi="ar"/>
              </w:rPr>
              <w:t>达到</w:t>
            </w:r>
            <w:r>
              <w:rPr>
                <w:rFonts w:hint="eastAsia" w:ascii="宋体" w:hAnsi="宋体"/>
                <w:color w:val="000000"/>
                <w:kern w:val="0"/>
                <w:sz w:val="18"/>
                <w:szCs w:val="18"/>
                <w:highlight w:val="none"/>
                <w:lang w:bidi="ar"/>
              </w:rPr>
              <w:t>国家标准。</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eastAsia" w:ascii="宋体" w:hAnsi="宋体" w:eastAsia="宋体"/>
                <w:color w:val="000000"/>
                <w:kern w:val="0"/>
                <w:sz w:val="18"/>
                <w:szCs w:val="18"/>
                <w:highlight w:val="none"/>
                <w:lang w:eastAsia="zh-CN" w:bidi="ar"/>
              </w:rPr>
            </w:pPr>
            <w:r>
              <w:rPr>
                <w:rFonts w:hint="eastAsia" w:ascii="宋体" w:hAnsi="宋体"/>
                <w:color w:val="000000"/>
                <w:kern w:val="0"/>
                <w:sz w:val="18"/>
                <w:szCs w:val="18"/>
                <w:highlight w:val="none"/>
                <w:lang w:val="en-US" w:eastAsia="zh-CN" w:bidi="ar"/>
              </w:rPr>
              <w:t>9</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val="en-US" w:eastAsia="zh-CN" w:bidi="ar"/>
              </w:rPr>
              <w:t>教师</w:t>
            </w:r>
            <w:r>
              <w:rPr>
                <w:rFonts w:hint="eastAsia" w:ascii="宋体" w:hAnsi="宋体"/>
                <w:color w:val="000000"/>
                <w:kern w:val="0"/>
                <w:sz w:val="18"/>
                <w:szCs w:val="18"/>
                <w:highlight w:val="none"/>
                <w:lang w:bidi="ar"/>
              </w:rPr>
              <w:t>桌</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尺寸：1200 *600*750mm±3mm，整体钢木结构，桌面采用25mm±1mm厚实木橡木板，钢脚采用≥40*40mm，≥厚1.2mm方管，焊接拼接而成，桌长边一侧具有冲孔围挡。</w:t>
            </w:r>
          </w:p>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所用板材均经国家绿色环保认证，甲醛释放量≤0.05mg/m³；成品甲醛释放量</w:t>
            </w:r>
            <w:r>
              <w:rPr>
                <w:rFonts w:hint="eastAsia" w:ascii="宋体" w:hAnsi="宋体"/>
                <w:color w:val="000000"/>
                <w:kern w:val="0"/>
                <w:sz w:val="18"/>
                <w:szCs w:val="18"/>
                <w:highlight w:val="none"/>
                <w:lang w:eastAsia="zh-CN" w:bidi="ar"/>
              </w:rPr>
              <w:t>达到</w:t>
            </w:r>
            <w:r>
              <w:rPr>
                <w:rFonts w:hint="eastAsia" w:ascii="宋体" w:hAnsi="宋体"/>
                <w:color w:val="000000"/>
                <w:kern w:val="0"/>
                <w:sz w:val="18"/>
                <w:szCs w:val="18"/>
                <w:highlight w:val="none"/>
                <w:lang w:bidi="ar"/>
              </w:rPr>
              <w:t>国家标准。</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default" w:ascii="宋体" w:hAnsi="宋体" w:eastAsia="宋体"/>
                <w:color w:val="000000"/>
                <w:kern w:val="0"/>
                <w:sz w:val="18"/>
                <w:szCs w:val="18"/>
                <w:highlight w:val="none"/>
                <w:lang w:val="en-US" w:eastAsia="zh-CN" w:bidi="ar"/>
              </w:rPr>
            </w:pPr>
            <w:r>
              <w:rPr>
                <w:rFonts w:hint="eastAsia" w:ascii="宋体" w:hAnsi="宋体"/>
                <w:color w:val="000000"/>
                <w:kern w:val="0"/>
                <w:sz w:val="18"/>
                <w:szCs w:val="18"/>
                <w:highlight w:val="none"/>
                <w:lang w:val="en-US" w:eastAsia="zh-CN" w:bidi="ar"/>
              </w:rPr>
              <w:t>10</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eastAsia" w:ascii="宋体" w:hAnsi="宋体" w:eastAsia="宋体"/>
                <w:color w:val="000000"/>
                <w:kern w:val="0"/>
                <w:sz w:val="18"/>
                <w:szCs w:val="18"/>
                <w:highlight w:val="none"/>
                <w:lang w:eastAsia="zh-CN" w:bidi="ar"/>
              </w:rPr>
            </w:pPr>
            <w:r>
              <w:rPr>
                <w:rFonts w:hint="eastAsia" w:ascii="宋体" w:hAnsi="宋体"/>
                <w:color w:val="000000"/>
                <w:kern w:val="0"/>
                <w:sz w:val="18"/>
                <w:szCs w:val="18"/>
                <w:highlight w:val="none"/>
                <w:lang w:bidi="ar"/>
              </w:rPr>
              <w:t>教师</w:t>
            </w:r>
            <w:r>
              <w:rPr>
                <w:rFonts w:hint="eastAsia" w:ascii="宋体" w:hAnsi="宋体"/>
                <w:color w:val="000000"/>
                <w:kern w:val="0"/>
                <w:sz w:val="18"/>
                <w:szCs w:val="18"/>
                <w:highlight w:val="none"/>
                <w:lang w:val="en-US" w:eastAsia="zh-CN" w:bidi="ar"/>
              </w:rPr>
              <w:t>椅</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座高450-500</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可调节</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.1设计</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符合人体工程学，靠背弧度贴合脊椎曲线2.面料</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网布，透气耐磨，3.气压棒</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采用SGS认证品牌气压棒，升降静音无故障4.底座</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尼龙五星脚，承重&gt;150kg，配静音万向轮。</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eastAsia" w:ascii="宋体" w:hAnsi="宋体" w:eastAsia="宋体"/>
                <w:color w:val="000000"/>
                <w:kern w:val="0"/>
                <w:sz w:val="18"/>
                <w:szCs w:val="18"/>
                <w:highlight w:val="none"/>
                <w:lang w:eastAsia="zh-CN" w:bidi="ar"/>
              </w:rPr>
            </w:pPr>
            <w:r>
              <w:rPr>
                <w:rFonts w:hint="eastAsia" w:ascii="宋体" w:hAnsi="宋体"/>
                <w:color w:val="000000"/>
                <w:kern w:val="0"/>
                <w:sz w:val="18"/>
                <w:szCs w:val="18"/>
                <w:highlight w:val="none"/>
                <w:lang w:bidi="ar"/>
              </w:rPr>
              <w:t>1</w:t>
            </w:r>
            <w:r>
              <w:rPr>
                <w:rFonts w:hint="eastAsia" w:ascii="宋体" w:hAnsi="宋体"/>
                <w:color w:val="000000"/>
                <w:kern w:val="0"/>
                <w:sz w:val="18"/>
                <w:szCs w:val="18"/>
                <w:highlight w:val="none"/>
                <w:lang w:val="en-US" w:eastAsia="zh-CN" w:bidi="ar"/>
              </w:rPr>
              <w:t>1</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综合布线</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电脑室系统集成</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含电源线、地插、机房网络集成所需PVC管槽、空开、配电箱、2.5平</w:t>
            </w:r>
            <w:r>
              <w:rPr>
                <w:rFonts w:hint="eastAsia" w:ascii="宋体" w:hAnsi="宋体"/>
                <w:color w:val="000000"/>
                <w:kern w:val="0"/>
                <w:sz w:val="18"/>
                <w:szCs w:val="18"/>
                <w:highlight w:val="none"/>
                <w:lang w:eastAsia="zh-CN" w:bidi="ar"/>
              </w:rPr>
              <w:t>方米</w:t>
            </w:r>
            <w:r>
              <w:rPr>
                <w:rFonts w:hint="eastAsia" w:ascii="宋体" w:hAnsi="宋体"/>
                <w:color w:val="000000"/>
                <w:kern w:val="0"/>
                <w:sz w:val="18"/>
                <w:szCs w:val="18"/>
                <w:highlight w:val="none"/>
                <w:lang w:bidi="ar"/>
              </w:rPr>
              <w:t>电源线等全部强弱电线材及配件、施工费等）。</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具体要求如下：</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含电源线、六类网络线、PVC线槽、10A插座、 RJ45水晶头等。</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1.强弱电布线应遵循平行布线原则，强弱电分开布线，间距≥20cm，避免强电线缆与网络线缆交叉或直接翻越；</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2.强电线缆和网络线缆应采用PVC全塑阻燃优质线槽进行铺设。强电部分：干路线槽使用40×20mm，支路线槽使用30×15mm；网络部分：干路线槽使用60×40mm，支路线槽使用40×20mm（线槽大小可根据实际情况调整）；</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3.强电线缆为≥3×2.5平方国标线；网络线缆为八芯非屏蔽六类国标双绞线；</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4.学生机分组进行供电，计算机数量根据功率数确定，由一个单独空开（≥C16A）控制；教师机、网络机柜单独一路供电；</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5.教师位布置1路网线，每学生位布置1路网线；</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6.水晶头制作方法应按T568A类或T568B类制作；</w:t>
            </w:r>
            <w:r>
              <w:rPr>
                <w:rFonts w:hint="eastAsia" w:ascii="宋体" w:hAnsi="宋体"/>
                <w:color w:val="000000"/>
                <w:kern w:val="0"/>
                <w:sz w:val="18"/>
                <w:szCs w:val="18"/>
                <w:highlight w:val="none"/>
                <w:lang w:bidi="ar"/>
              </w:rPr>
              <w:br w:type="textWrapping"/>
            </w:r>
            <w:r>
              <w:rPr>
                <w:rFonts w:hint="eastAsia" w:ascii="宋体" w:hAnsi="宋体"/>
                <w:color w:val="000000"/>
                <w:kern w:val="0"/>
                <w:sz w:val="18"/>
                <w:szCs w:val="18"/>
                <w:highlight w:val="none"/>
                <w:lang w:bidi="ar"/>
              </w:rPr>
              <w:t>7.强电、网络布线均使用标签标注，并且理线整齐，机柜中使用线扎分组固定，多余网线盘绕放于静电地板下，线缆需符合国家3C强制认证。</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eastAsia" w:ascii="宋体" w:hAnsi="宋体" w:eastAsia="宋体"/>
                <w:color w:val="000000"/>
                <w:kern w:val="0"/>
                <w:sz w:val="18"/>
                <w:szCs w:val="18"/>
                <w:highlight w:val="none"/>
                <w:lang w:eastAsia="zh-CN" w:bidi="ar"/>
              </w:rPr>
            </w:pPr>
            <w:r>
              <w:rPr>
                <w:rFonts w:hint="eastAsia" w:ascii="宋体" w:hAnsi="宋体"/>
                <w:color w:val="000000"/>
                <w:kern w:val="0"/>
                <w:sz w:val="18"/>
                <w:szCs w:val="18"/>
                <w:highlight w:val="none"/>
                <w:lang w:bidi="ar"/>
              </w:rPr>
              <w:t>1</w:t>
            </w:r>
            <w:r>
              <w:rPr>
                <w:rFonts w:hint="eastAsia" w:ascii="宋体" w:hAnsi="宋体"/>
                <w:color w:val="000000"/>
                <w:kern w:val="0"/>
                <w:sz w:val="18"/>
                <w:szCs w:val="18"/>
                <w:highlight w:val="none"/>
                <w:lang w:val="en-US" w:eastAsia="zh-CN" w:bidi="ar"/>
              </w:rPr>
              <w:t>2</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静电地板</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color w:val="000000"/>
                <w:kern w:val="0"/>
                <w:sz w:val="18"/>
                <w:szCs w:val="18"/>
                <w:highlight w:val="none"/>
                <w:lang w:bidi="ar"/>
              </w:rPr>
            </w:pPr>
            <w:r>
              <w:rPr>
                <w:rFonts w:hint="eastAsia" w:ascii="宋体" w:hAnsi="宋体"/>
                <w:color w:val="000000"/>
                <w:kern w:val="0"/>
                <w:sz w:val="18"/>
                <w:szCs w:val="18"/>
                <w:highlight w:val="none"/>
                <w:lang w:bidi="ar"/>
              </w:rPr>
              <w:t>优质合金冷轧钢板，长600mm×宽600mm×厚≥35mm；外表经磷化后进行静电喷塑处理，内腔填充标准水泥，上表面粘贴高耐磨防火高压层（HPL）或PVC板，四周镶嵌导静电边条；极限集中载荷＞5880N；均布载荷＞9720N；系统电阻：</w:t>
            </w:r>
            <w:r>
              <w:rPr>
                <w:rFonts w:hint="eastAsia" w:ascii="宋体" w:hAnsi="宋体"/>
                <w:color w:val="000000"/>
                <w:kern w:val="0"/>
                <w:sz w:val="18"/>
                <w:szCs w:val="18"/>
                <w:highlight w:val="none"/>
                <w:lang w:eastAsia="zh-CN" w:bidi="ar"/>
              </w:rPr>
              <w:t>10万—1亿</w:t>
            </w:r>
            <w:r>
              <w:rPr>
                <w:rFonts w:hint="eastAsia" w:ascii="宋体" w:hAnsi="宋体"/>
                <w:color w:val="000000"/>
                <w:kern w:val="0"/>
                <w:sz w:val="18"/>
                <w:szCs w:val="18"/>
                <w:highlight w:val="none"/>
                <w:lang w:bidi="ar"/>
              </w:rPr>
              <w:t>；极限偏差＜0.2mm；全钢活动国标钢架厚度≥1.2mm</w:t>
            </w:r>
            <w:r>
              <w:rPr>
                <w:rFonts w:hint="eastAsia" w:ascii="宋体" w:hAnsi="宋体"/>
                <w:color w:val="000000"/>
                <w:kern w:val="0"/>
                <w:sz w:val="18"/>
                <w:szCs w:val="18"/>
                <w:highlight w:val="none"/>
                <w:lang w:eastAsia="zh-CN" w:bidi="ar"/>
              </w:rPr>
              <w:t>；</w:t>
            </w:r>
            <w:r>
              <w:rPr>
                <w:rFonts w:hint="eastAsia" w:ascii="宋体" w:hAnsi="宋体"/>
                <w:color w:val="000000"/>
                <w:kern w:val="0"/>
                <w:sz w:val="18"/>
                <w:szCs w:val="18"/>
                <w:highlight w:val="none"/>
                <w:lang w:bidi="ar"/>
              </w:rPr>
              <w:t>门口位置使用标准铝合金包边，包边光滑，不得出现锋利毛边。</w:t>
            </w:r>
          </w:p>
        </w:tc>
      </w:tr>
      <w:tr>
        <w:tblPrEx>
          <w:tblCellMar>
            <w:top w:w="0" w:type="dxa"/>
            <w:left w:w="108" w:type="dxa"/>
            <w:bottom w:w="0" w:type="dxa"/>
            <w:right w:w="108" w:type="dxa"/>
          </w:tblCellMar>
        </w:tblPrEx>
        <w:trPr>
          <w:trHeight w:val="90" w:hRule="atLeast"/>
          <w:jc w:val="center"/>
        </w:trPr>
        <w:tc>
          <w:tcPr>
            <w:tcW w:w="6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ind w:right="180"/>
              <w:jc w:val="right"/>
              <w:textAlignment w:val="center"/>
              <w:rPr>
                <w:rFonts w:hint="default" w:ascii="宋体" w:hAnsi="宋体" w:eastAsia="宋体"/>
                <w:color w:val="000000"/>
                <w:kern w:val="0"/>
                <w:sz w:val="18"/>
                <w:szCs w:val="18"/>
                <w:highlight w:val="none"/>
                <w:lang w:val="en-US" w:eastAsia="zh-CN" w:bidi="ar"/>
              </w:rPr>
            </w:pPr>
            <w:r>
              <w:rPr>
                <w:rFonts w:hint="eastAsia" w:ascii="宋体" w:hAnsi="宋体"/>
                <w:color w:val="000000"/>
                <w:kern w:val="0"/>
                <w:sz w:val="18"/>
                <w:szCs w:val="18"/>
                <w:highlight w:val="none"/>
                <w:lang w:val="en-US" w:eastAsia="zh-CN" w:bidi="ar"/>
              </w:rPr>
              <w:t>13</w:t>
            </w:r>
          </w:p>
        </w:tc>
        <w:tc>
          <w:tcPr>
            <w:tcW w:w="1304" w:type="dxa"/>
            <w:tcBorders>
              <w:top w:val="single" w:color="000000" w:sz="4" w:space="0"/>
              <w:left w:val="single" w:color="000000" w:sz="4" w:space="0"/>
              <w:bottom w:val="single" w:color="000000" w:sz="4" w:space="0"/>
              <w:right w:val="single" w:color="000000" w:sz="4" w:space="0"/>
            </w:tcBorders>
            <w:noWrap/>
            <w:vAlign w:val="center"/>
          </w:tcPr>
          <w:p>
            <w:pPr>
              <w:widowControl/>
              <w:spacing w:after="0" w:line="240" w:lineRule="auto"/>
              <w:jc w:val="left"/>
              <w:textAlignment w:val="center"/>
              <w:rPr>
                <w:rFonts w:hint="eastAsia" w:ascii="宋体" w:hAnsi="宋体" w:eastAsia="宋体"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eastAsia="zh-CN" w:bidi="ar"/>
              </w:rPr>
              <w:t>安装调试</w:t>
            </w:r>
          </w:p>
        </w:tc>
        <w:tc>
          <w:tcPr>
            <w:tcW w:w="6144"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left"/>
              <w:textAlignment w:val="center"/>
              <w:rPr>
                <w:rFonts w:hint="eastAsia" w:ascii="宋体" w:hAnsi="宋体" w:eastAsia="宋体"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val="en-US" w:eastAsia="zh-CN" w:bidi="ar"/>
              </w:rPr>
              <w:t>1.</w:t>
            </w:r>
            <w:r>
              <w:rPr>
                <w:rFonts w:hint="eastAsia" w:ascii="宋体" w:hAnsi="宋体" w:eastAsia="宋体" w:cs="宋体"/>
                <w:color w:val="000000"/>
                <w:kern w:val="0"/>
                <w:sz w:val="18"/>
                <w:szCs w:val="18"/>
                <w:highlight w:val="none"/>
                <w:lang w:bidi="ar"/>
              </w:rPr>
              <w:t>本项目采购的所有</w:t>
            </w:r>
            <w:r>
              <w:rPr>
                <w:rFonts w:hint="eastAsia" w:ascii="宋体" w:hAnsi="宋体" w:eastAsia="宋体" w:cs="宋体"/>
                <w:color w:val="000000"/>
                <w:kern w:val="0"/>
                <w:sz w:val="18"/>
                <w:szCs w:val="18"/>
                <w:highlight w:val="none"/>
                <w:lang w:eastAsia="zh-CN" w:bidi="ar"/>
              </w:rPr>
              <w:t>设备</w:t>
            </w:r>
            <w:r>
              <w:rPr>
                <w:rFonts w:hint="eastAsia" w:ascii="宋体" w:hAnsi="宋体" w:eastAsia="宋体" w:cs="宋体"/>
                <w:color w:val="000000"/>
                <w:kern w:val="0"/>
                <w:sz w:val="18"/>
                <w:szCs w:val="18"/>
                <w:highlight w:val="none"/>
                <w:lang w:bidi="ar"/>
              </w:rPr>
              <w:t>，均由供应商提供安装、调试服务</w:t>
            </w:r>
            <w:r>
              <w:rPr>
                <w:rFonts w:hint="eastAsia" w:ascii="宋体" w:hAnsi="宋体" w:eastAsia="宋体" w:cs="宋体"/>
                <w:color w:val="000000"/>
                <w:kern w:val="0"/>
                <w:sz w:val="18"/>
                <w:szCs w:val="18"/>
                <w:highlight w:val="none"/>
                <w:lang w:eastAsia="zh-CN" w:bidi="ar"/>
              </w:rPr>
              <w:t>；</w:t>
            </w:r>
          </w:p>
          <w:p>
            <w:pPr>
              <w:widowControl/>
              <w:spacing w:after="0" w:line="240" w:lineRule="auto"/>
              <w:jc w:val="left"/>
              <w:textAlignment w:val="center"/>
              <w:rPr>
                <w:rFonts w:hint="eastAsia" w:ascii="宋体" w:hAnsi="宋体" w:eastAsia="宋体"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val="en-US" w:eastAsia="zh-CN" w:bidi="ar"/>
              </w:rPr>
              <w:t>2.</w:t>
            </w:r>
            <w:r>
              <w:rPr>
                <w:rFonts w:hint="eastAsia" w:ascii="宋体" w:hAnsi="宋体" w:eastAsia="宋体" w:cs="宋体"/>
                <w:color w:val="000000"/>
                <w:kern w:val="0"/>
                <w:sz w:val="18"/>
                <w:szCs w:val="18"/>
                <w:highlight w:val="none"/>
                <w:lang w:bidi="ar"/>
              </w:rPr>
              <w:t>安装调试范围包含：设备拆箱验机、硬件组装固定、电源与网络线路合规连接、符合国家政府采购需求标准的正版操作系统安装与激活、适配对应机型的全套驱动程序调试、办公必备基础软件与机房教学专用软件的部署配置</w:t>
            </w:r>
            <w:r>
              <w:rPr>
                <w:rFonts w:hint="eastAsia" w:ascii="宋体" w:hAnsi="宋体" w:eastAsia="宋体" w:cs="宋体"/>
                <w:color w:val="000000"/>
                <w:kern w:val="0"/>
                <w:sz w:val="18"/>
                <w:szCs w:val="18"/>
                <w:highlight w:val="none"/>
                <w:lang w:eastAsia="zh-CN" w:bidi="ar"/>
              </w:rPr>
              <w:t>；</w:t>
            </w:r>
          </w:p>
          <w:p>
            <w:pPr>
              <w:widowControl/>
              <w:spacing w:after="0" w:line="240" w:lineRule="auto"/>
              <w:jc w:val="left"/>
              <w:textAlignment w:val="center"/>
              <w:rPr>
                <w:rFonts w:hint="eastAsia" w:ascii="宋体" w:hAnsi="宋体" w:eastAsia="宋体"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val="en-US" w:eastAsia="zh-CN" w:bidi="ar"/>
              </w:rPr>
              <w:t>3.</w:t>
            </w:r>
            <w:r>
              <w:rPr>
                <w:rFonts w:hint="eastAsia" w:ascii="宋体" w:hAnsi="宋体" w:eastAsia="宋体" w:cs="宋体"/>
                <w:color w:val="000000"/>
                <w:kern w:val="0"/>
                <w:sz w:val="18"/>
                <w:szCs w:val="18"/>
                <w:highlight w:val="none"/>
                <w:lang w:bidi="ar"/>
              </w:rPr>
              <w:t>所有设备安装调试完成后，需达到开机即可正常投入办公、教学使用的状态</w:t>
            </w:r>
            <w:r>
              <w:rPr>
                <w:rFonts w:hint="eastAsia" w:ascii="宋体" w:hAnsi="宋体" w:eastAsia="宋体" w:cs="宋体"/>
                <w:color w:val="000000"/>
                <w:kern w:val="0"/>
                <w:sz w:val="18"/>
                <w:szCs w:val="18"/>
                <w:highlight w:val="none"/>
                <w:lang w:eastAsia="zh-CN" w:bidi="ar"/>
              </w:rPr>
              <w:t>。</w:t>
            </w:r>
          </w:p>
        </w:tc>
      </w:tr>
      <w:bookmarkEnd w:id="28"/>
    </w:tbl>
    <w:p>
      <w:pPr>
        <w:rPr>
          <w:highlight w:val="none"/>
        </w:rPr>
      </w:pPr>
    </w:p>
    <w:p>
      <w:pPr>
        <w:pStyle w:val="3"/>
        <w:rPr>
          <w:highlight w:val="none"/>
        </w:rPr>
        <w:sectPr>
          <w:footerReference r:id="rId5" w:type="default"/>
          <w:pgSz w:w="11849" w:h="16781"/>
          <w:pgMar w:top="1440" w:right="1797" w:bottom="1440" w:left="1797" w:header="851" w:footer="850" w:gutter="0"/>
          <w:pgBorders>
            <w:top w:val="none" w:sz="0" w:space="0"/>
            <w:left w:val="none" w:sz="0" w:space="0"/>
            <w:bottom w:val="none" w:sz="0" w:space="0"/>
            <w:right w:val="none" w:sz="0" w:space="0"/>
          </w:pgBorders>
          <w:cols w:space="720" w:num="1"/>
          <w:docGrid w:linePitch="312" w:charSpace="0"/>
        </w:sectPr>
      </w:pPr>
    </w:p>
    <w:p>
      <w:pPr>
        <w:pStyle w:val="39"/>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宋体" w:hAnsi="宋体" w:cs="宋体"/>
          <w:highlight w:val="none"/>
        </w:rPr>
      </w:pPr>
      <w:r>
        <w:rPr>
          <w:rFonts w:hint="eastAsia" w:ascii="宋体" w:hAnsi="宋体" w:cs="宋体"/>
          <w:highlight w:val="none"/>
        </w:rPr>
        <w:t>附分校清单</w:t>
      </w:r>
      <w:r>
        <w:rPr>
          <w:rFonts w:hint="default" w:ascii="宋体" w:hAnsi="宋体" w:cs="宋体"/>
          <w:highlight w:val="none"/>
        </w:rPr>
        <w:t>　　</w:t>
      </w:r>
    </w:p>
    <w:tbl>
      <w:tblPr>
        <w:tblStyle w:val="29"/>
        <w:tblW w:w="8968" w:type="dxa"/>
        <w:jc w:val="center"/>
        <w:tblLayout w:type="fixed"/>
        <w:tblCellMar>
          <w:top w:w="0" w:type="dxa"/>
          <w:left w:w="108" w:type="dxa"/>
          <w:bottom w:w="0" w:type="dxa"/>
          <w:right w:w="108" w:type="dxa"/>
        </w:tblCellMar>
      </w:tblPr>
      <w:tblGrid>
        <w:gridCol w:w="452"/>
        <w:gridCol w:w="2584"/>
        <w:gridCol w:w="489"/>
        <w:gridCol w:w="506"/>
        <w:gridCol w:w="438"/>
        <w:gridCol w:w="404"/>
        <w:gridCol w:w="405"/>
        <w:gridCol w:w="404"/>
        <w:gridCol w:w="422"/>
        <w:gridCol w:w="539"/>
        <w:gridCol w:w="539"/>
        <w:gridCol w:w="539"/>
        <w:gridCol w:w="404"/>
        <w:gridCol w:w="522"/>
        <w:gridCol w:w="321"/>
      </w:tblGrid>
      <w:tr>
        <w:tblPrEx>
          <w:tblCellMar>
            <w:top w:w="0" w:type="dxa"/>
            <w:left w:w="108" w:type="dxa"/>
            <w:bottom w:w="0" w:type="dxa"/>
            <w:right w:w="108" w:type="dxa"/>
          </w:tblCellMar>
        </w:tblPrEx>
        <w:trPr>
          <w:trHeight w:val="472" w:hRule="atLeast"/>
          <w:jc w:val="center"/>
        </w:trPr>
        <w:tc>
          <w:tcPr>
            <w:tcW w:w="452" w:type="dxa"/>
            <w:vMerge w:val="restart"/>
            <w:tcBorders>
              <w:top w:val="single" w:color="auto" w:sz="4" w:space="0"/>
              <w:left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序号</w:t>
            </w:r>
          </w:p>
        </w:tc>
        <w:tc>
          <w:tcPr>
            <w:tcW w:w="2584" w:type="dxa"/>
            <w:vMerge w:val="restart"/>
            <w:tcBorders>
              <w:top w:val="single" w:color="auto" w:sz="4" w:space="0"/>
              <w:left w:val="nil"/>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学校</w:t>
            </w:r>
          </w:p>
        </w:tc>
        <w:tc>
          <w:tcPr>
            <w:tcW w:w="489" w:type="dxa"/>
            <w:vMerge w:val="restart"/>
            <w:tcBorders>
              <w:top w:val="single" w:color="auto" w:sz="4" w:space="0"/>
              <w:left w:val="nil"/>
              <w:right w:val="single" w:color="auto" w:sz="4" w:space="0"/>
            </w:tcBorders>
            <w:shd w:val="clear" w:color="auto" w:fill="auto"/>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办公电脑/</w:t>
            </w:r>
            <w:r>
              <w:rPr>
                <w:rFonts w:hint="eastAsia" w:ascii="宋体" w:hAnsi="宋体"/>
                <w:color w:val="000000"/>
                <w:kern w:val="0"/>
                <w:sz w:val="18"/>
                <w:szCs w:val="18"/>
                <w:highlight w:val="none"/>
                <w:lang w:val="en-US" w:eastAsia="zh-CN" w:bidi="ar"/>
              </w:rPr>
              <w:t>台</w:t>
            </w:r>
          </w:p>
        </w:tc>
        <w:tc>
          <w:tcPr>
            <w:tcW w:w="5122" w:type="dxa"/>
            <w:gridSpan w:val="11"/>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机房</w:t>
            </w:r>
          </w:p>
        </w:tc>
        <w:tc>
          <w:tcPr>
            <w:tcW w:w="321" w:type="dxa"/>
            <w:vMerge w:val="restart"/>
            <w:tcBorders>
              <w:top w:val="single" w:color="auto" w:sz="4" w:space="0"/>
              <w:left w:val="nil"/>
              <w:right w:val="single" w:color="auto" w:sz="4" w:space="0"/>
            </w:tcBorders>
            <w:shd w:val="clear" w:color="auto" w:fill="auto"/>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安装调试/项</w:t>
            </w:r>
          </w:p>
        </w:tc>
      </w:tr>
      <w:tr>
        <w:tblPrEx>
          <w:tblCellMar>
            <w:top w:w="0" w:type="dxa"/>
            <w:left w:w="108" w:type="dxa"/>
            <w:bottom w:w="0" w:type="dxa"/>
            <w:right w:w="108" w:type="dxa"/>
          </w:tblCellMar>
        </w:tblPrEx>
        <w:trPr>
          <w:trHeight w:val="1747" w:hRule="atLeast"/>
          <w:jc w:val="center"/>
        </w:trPr>
        <w:tc>
          <w:tcPr>
            <w:tcW w:w="452"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p>
        </w:tc>
        <w:tc>
          <w:tcPr>
            <w:tcW w:w="2584" w:type="dxa"/>
            <w:vMerge w:val="continue"/>
            <w:tcBorders>
              <w:left w:val="nil"/>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p>
        </w:tc>
        <w:tc>
          <w:tcPr>
            <w:tcW w:w="489" w:type="dxa"/>
            <w:vMerge w:val="continue"/>
            <w:tcBorders>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p>
        </w:tc>
        <w:tc>
          <w:tcPr>
            <w:tcW w:w="506" w:type="dxa"/>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学生电脑/</w:t>
            </w:r>
            <w:r>
              <w:rPr>
                <w:rFonts w:hint="eastAsia" w:ascii="宋体" w:hAnsi="宋体"/>
                <w:color w:val="000000"/>
                <w:kern w:val="0"/>
                <w:sz w:val="18"/>
                <w:szCs w:val="18"/>
                <w:highlight w:val="none"/>
                <w:lang w:val="en-US" w:eastAsia="zh-CN" w:bidi="ar"/>
              </w:rPr>
              <w:t>台</w:t>
            </w:r>
          </w:p>
        </w:tc>
        <w:tc>
          <w:tcPr>
            <w:tcW w:w="438" w:type="dxa"/>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教师电脑/</w:t>
            </w:r>
            <w:r>
              <w:rPr>
                <w:rFonts w:hint="eastAsia" w:ascii="宋体" w:hAnsi="宋体"/>
                <w:color w:val="000000"/>
                <w:kern w:val="0"/>
                <w:sz w:val="18"/>
                <w:szCs w:val="18"/>
                <w:highlight w:val="none"/>
                <w:lang w:val="en-US" w:eastAsia="zh-CN" w:bidi="ar"/>
              </w:rPr>
              <w:t>台</w:t>
            </w:r>
          </w:p>
        </w:tc>
        <w:tc>
          <w:tcPr>
            <w:tcW w:w="404" w:type="dxa"/>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交换机1/</w:t>
            </w:r>
            <w:r>
              <w:rPr>
                <w:rFonts w:hint="eastAsia" w:ascii="宋体" w:hAnsi="宋体"/>
                <w:color w:val="000000"/>
                <w:kern w:val="0"/>
                <w:sz w:val="18"/>
                <w:szCs w:val="18"/>
                <w:highlight w:val="none"/>
                <w:lang w:val="en-US" w:eastAsia="zh-CN" w:bidi="ar"/>
              </w:rPr>
              <w:t>台</w:t>
            </w:r>
          </w:p>
        </w:tc>
        <w:tc>
          <w:tcPr>
            <w:tcW w:w="405" w:type="dxa"/>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color w:val="000000"/>
                <w:kern w:val="0"/>
                <w:sz w:val="18"/>
                <w:szCs w:val="18"/>
                <w:highlight w:val="none"/>
                <w:lang w:val="en-US"/>
              </w:rPr>
            </w:pPr>
            <w:r>
              <w:rPr>
                <w:rFonts w:hint="eastAsia" w:ascii="宋体" w:hAnsi="宋体"/>
                <w:color w:val="000000"/>
                <w:kern w:val="0"/>
                <w:sz w:val="18"/>
                <w:szCs w:val="18"/>
                <w:highlight w:val="none"/>
                <w:lang w:val="en-US" w:eastAsia="zh-CN"/>
              </w:rPr>
              <w:t>交换机2/</w:t>
            </w:r>
            <w:r>
              <w:rPr>
                <w:rFonts w:hint="eastAsia" w:ascii="宋体" w:hAnsi="宋体"/>
                <w:color w:val="000000"/>
                <w:kern w:val="0"/>
                <w:sz w:val="18"/>
                <w:szCs w:val="18"/>
                <w:highlight w:val="none"/>
                <w:lang w:val="en-US" w:eastAsia="zh-CN" w:bidi="ar"/>
              </w:rPr>
              <w:t>台</w:t>
            </w:r>
          </w:p>
        </w:tc>
        <w:tc>
          <w:tcPr>
            <w:tcW w:w="404" w:type="dxa"/>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路由器/</w:t>
            </w:r>
            <w:r>
              <w:rPr>
                <w:rFonts w:hint="eastAsia" w:ascii="宋体" w:hAnsi="宋体"/>
                <w:color w:val="000000"/>
                <w:kern w:val="0"/>
                <w:sz w:val="18"/>
                <w:szCs w:val="18"/>
                <w:highlight w:val="none"/>
                <w:lang w:val="en-US" w:eastAsia="zh-CN" w:bidi="ar"/>
              </w:rPr>
              <w:t>台</w:t>
            </w:r>
          </w:p>
        </w:tc>
        <w:tc>
          <w:tcPr>
            <w:tcW w:w="422" w:type="dxa"/>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机柜/个</w:t>
            </w:r>
          </w:p>
        </w:tc>
        <w:tc>
          <w:tcPr>
            <w:tcW w:w="539" w:type="dxa"/>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学生电脑桌椅/</w:t>
            </w:r>
            <w:r>
              <w:rPr>
                <w:rFonts w:hint="eastAsia" w:ascii="宋体" w:hAnsi="宋体"/>
                <w:color w:val="000000"/>
                <w:kern w:val="0"/>
                <w:sz w:val="18"/>
                <w:szCs w:val="18"/>
                <w:highlight w:val="none"/>
                <w:lang w:val="en-US" w:eastAsia="zh-CN" w:bidi="ar"/>
              </w:rPr>
              <w:t>套</w:t>
            </w:r>
          </w:p>
        </w:tc>
        <w:tc>
          <w:tcPr>
            <w:tcW w:w="539" w:type="dxa"/>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教师桌/</w:t>
            </w:r>
            <w:r>
              <w:rPr>
                <w:rFonts w:hint="eastAsia" w:ascii="宋体" w:hAnsi="宋体"/>
                <w:color w:val="000000"/>
                <w:kern w:val="0"/>
                <w:sz w:val="18"/>
                <w:szCs w:val="18"/>
                <w:highlight w:val="none"/>
                <w:lang w:val="en-US" w:eastAsia="zh-CN" w:bidi="ar"/>
              </w:rPr>
              <w:t>个</w:t>
            </w:r>
          </w:p>
        </w:tc>
        <w:tc>
          <w:tcPr>
            <w:tcW w:w="539" w:type="dxa"/>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教师椅/</w:t>
            </w:r>
            <w:r>
              <w:rPr>
                <w:rFonts w:hint="eastAsia" w:ascii="宋体" w:hAnsi="宋体"/>
                <w:color w:val="000000"/>
                <w:kern w:val="0"/>
                <w:sz w:val="18"/>
                <w:szCs w:val="18"/>
                <w:highlight w:val="none"/>
                <w:lang w:val="en-US" w:eastAsia="zh-CN" w:bidi="ar"/>
              </w:rPr>
              <w:t>个</w:t>
            </w:r>
          </w:p>
        </w:tc>
        <w:tc>
          <w:tcPr>
            <w:tcW w:w="404" w:type="dxa"/>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综合布线/</w:t>
            </w:r>
            <w:r>
              <w:rPr>
                <w:rFonts w:hint="eastAsia" w:ascii="宋体" w:hAnsi="宋体"/>
                <w:color w:val="000000"/>
                <w:kern w:val="0"/>
                <w:sz w:val="18"/>
                <w:szCs w:val="18"/>
                <w:highlight w:val="none"/>
                <w:lang w:val="en-US" w:eastAsia="zh-CN" w:bidi="ar"/>
              </w:rPr>
              <w:t>项</w:t>
            </w:r>
          </w:p>
        </w:tc>
        <w:tc>
          <w:tcPr>
            <w:tcW w:w="522" w:type="dxa"/>
            <w:tcBorders>
              <w:top w:val="single" w:color="auto" w:sz="4" w:space="0"/>
              <w:left w:val="nil"/>
              <w:bottom w:val="single" w:color="auto" w:sz="4" w:space="0"/>
              <w:right w:val="single" w:color="auto" w:sz="4" w:space="0"/>
            </w:tcBorders>
            <w:shd w:val="clear" w:color="auto" w:fill="auto"/>
            <w:vAlign w:val="center"/>
          </w:tcPr>
          <w:p>
            <w:pPr>
              <w:widowControl/>
              <w:spacing w:after="0" w:line="240" w:lineRule="auto"/>
              <w:jc w:val="center"/>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静电地板</w:t>
            </w:r>
          </w:p>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w:t>
            </w:r>
            <w:r>
              <w:rPr>
                <w:rFonts w:hint="eastAsia" w:ascii="宋体" w:hAnsi="宋体"/>
                <w:color w:val="000000"/>
                <w:kern w:val="0"/>
                <w:sz w:val="18"/>
                <w:szCs w:val="18"/>
                <w:highlight w:val="none"/>
                <w:lang w:bidi="ar"/>
              </w:rPr>
              <w:t>㎡</w:t>
            </w:r>
          </w:p>
        </w:tc>
        <w:tc>
          <w:tcPr>
            <w:tcW w:w="321" w:type="dxa"/>
            <w:vMerge w:val="continue"/>
            <w:tcBorders>
              <w:left w:val="nil"/>
              <w:bottom w:val="single" w:color="auto" w:sz="4" w:space="0"/>
              <w:right w:val="single" w:color="auto" w:sz="4" w:space="0"/>
            </w:tcBorders>
            <w:shd w:val="clear" w:color="auto" w:fill="auto"/>
            <w:vAlign w:val="center"/>
          </w:tcPr>
          <w:p>
            <w:pPr>
              <w:widowControl/>
              <w:spacing w:after="0" w:line="240" w:lineRule="auto"/>
              <w:jc w:val="center"/>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nil"/>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嘉兴南湖高新区实验学校（小学）</w:t>
            </w:r>
          </w:p>
        </w:tc>
        <w:tc>
          <w:tcPr>
            <w:tcW w:w="48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10</w:t>
            </w:r>
          </w:p>
        </w:tc>
        <w:tc>
          <w:tcPr>
            <w:tcW w:w="50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45</w:t>
            </w:r>
          </w:p>
        </w:tc>
        <w:tc>
          <w:tcPr>
            <w:tcW w:w="43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8</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restart"/>
            <w:tcBorders>
              <w:top w:val="nil"/>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r>
      <w:tr>
        <w:tblPrEx>
          <w:tblCellMar>
            <w:top w:w="0" w:type="dxa"/>
            <w:left w:w="108" w:type="dxa"/>
            <w:bottom w:w="0" w:type="dxa"/>
            <w:right w:w="108" w:type="dxa"/>
          </w:tblCellMar>
        </w:tblPrEx>
        <w:trPr>
          <w:trHeight w:val="291" w:hRule="atLeast"/>
          <w:jc w:val="center"/>
        </w:trPr>
        <w:tc>
          <w:tcPr>
            <w:tcW w:w="452" w:type="dxa"/>
            <w:tcBorders>
              <w:top w:val="nil"/>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嘉兴南湖高新区实验学校（初中）</w:t>
            </w:r>
          </w:p>
        </w:tc>
        <w:tc>
          <w:tcPr>
            <w:tcW w:w="48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50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45</w:t>
            </w:r>
          </w:p>
        </w:tc>
        <w:tc>
          <w:tcPr>
            <w:tcW w:w="43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8</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nil"/>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3</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嘉兴南湖实验学校教育集团中港路校区</w:t>
            </w:r>
          </w:p>
        </w:tc>
        <w:tc>
          <w:tcPr>
            <w:tcW w:w="48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0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45</w:t>
            </w:r>
          </w:p>
        </w:tc>
        <w:tc>
          <w:tcPr>
            <w:tcW w:w="43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nil"/>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嘉兴南湖实验学校教育集团小学部（万兴校区）</w:t>
            </w:r>
          </w:p>
        </w:tc>
        <w:tc>
          <w:tcPr>
            <w:tcW w:w="48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50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75</w:t>
            </w:r>
          </w:p>
        </w:tc>
        <w:tc>
          <w:tcPr>
            <w:tcW w:w="43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3</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nil"/>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5</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嘉兴市省身教育集团</w:t>
            </w:r>
          </w:p>
        </w:tc>
        <w:tc>
          <w:tcPr>
            <w:tcW w:w="48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50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45</w:t>
            </w:r>
          </w:p>
        </w:tc>
        <w:tc>
          <w:tcPr>
            <w:tcW w:w="43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eastAsia="zh-CN"/>
              </w:rPr>
            </w:pPr>
            <w:r>
              <w:rPr>
                <w:rFonts w:hint="eastAsia" w:ascii="宋体" w:hAnsi="宋体"/>
                <w:color w:val="000000"/>
                <w:kern w:val="0"/>
                <w:sz w:val="18"/>
                <w:szCs w:val="18"/>
                <w:highlight w:val="none"/>
                <w:lang w:val="en-US" w:eastAsia="zh-CN"/>
              </w:rPr>
              <w:t>1</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8</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6</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嘉兴市南湖区东栅中心小学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45</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8</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100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7</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嘉兴市南湖区大桥镇中心小学（中心校）</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45</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8</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96</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8</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东北师范大学南湖实验教育集团小学部</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45</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8</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100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9</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嘉兴市秀州中学初中部</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29</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45</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100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10</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left"/>
              <w:rPr>
                <w:rFonts w:hint="eastAsia" w:ascii="宋体" w:hAnsi="宋体"/>
                <w:color w:val="000000"/>
                <w:kern w:val="0"/>
                <w:sz w:val="18"/>
                <w:szCs w:val="18"/>
                <w:highlight w:val="none"/>
              </w:rPr>
            </w:pPr>
            <w:r>
              <w:rPr>
                <w:rFonts w:hint="eastAsia" w:ascii="宋体" w:hAnsi="宋体"/>
                <w:color w:val="000000"/>
                <w:kern w:val="0"/>
                <w:sz w:val="18"/>
                <w:szCs w:val="18"/>
                <w:highlight w:val="none"/>
              </w:rPr>
              <w:t>南湖区余新仁和学校</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45</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8</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70</w:t>
            </w:r>
          </w:p>
        </w:tc>
        <w:tc>
          <w:tcPr>
            <w:tcW w:w="321" w:type="dxa"/>
            <w:vMerge w:val="continue"/>
            <w:tcBorders>
              <w:left w:val="nil"/>
              <w:right w:val="single" w:color="auto" w:sz="4" w:space="0"/>
            </w:tcBorders>
            <w:shd w:val="clear" w:color="auto" w:fill="auto"/>
            <w:noWrap/>
            <w:vAlign w:val="center"/>
          </w:tcPr>
          <w:p>
            <w:pPr>
              <w:widowControl/>
              <w:spacing w:after="0" w:line="240" w:lineRule="auto"/>
              <w:jc w:val="center"/>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nil"/>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11</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嘉兴市南湖区新丰镇中心小学</w:t>
            </w:r>
          </w:p>
        </w:tc>
        <w:tc>
          <w:tcPr>
            <w:tcW w:w="48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19</w:t>
            </w:r>
          </w:p>
        </w:tc>
        <w:tc>
          <w:tcPr>
            <w:tcW w:w="50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nil"/>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12</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嘉兴市艺术小学</w:t>
            </w:r>
          </w:p>
        </w:tc>
        <w:tc>
          <w:tcPr>
            <w:tcW w:w="48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w:t>
            </w:r>
          </w:p>
        </w:tc>
        <w:tc>
          <w:tcPr>
            <w:tcW w:w="50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nil"/>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13</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嘉兴市秀城实验教育集团</w:t>
            </w:r>
          </w:p>
        </w:tc>
        <w:tc>
          <w:tcPr>
            <w:tcW w:w="48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23</w:t>
            </w:r>
          </w:p>
        </w:tc>
        <w:tc>
          <w:tcPr>
            <w:tcW w:w="50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nil"/>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14</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嘉兴市三水湾小学</w:t>
            </w:r>
          </w:p>
        </w:tc>
        <w:tc>
          <w:tcPr>
            <w:tcW w:w="48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50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nil"/>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15</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嘉兴市行知小学</w:t>
            </w:r>
          </w:p>
        </w:tc>
        <w:tc>
          <w:tcPr>
            <w:tcW w:w="48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50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16</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嘉兴市实验小学（东西校区）</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63</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17</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嘉兴市实验小学（科技城校区）</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18</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嘉兴市南湖区余新镇中心小学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19</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嘉兴市南湖区凤桥镇中心小学（中心校）</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20</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嘉兴市南湖区凤桥镇中心小学（新篁校区）</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320"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21</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嘉兴市南湖区七星中心小学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22</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嘉兴市南湖区大桥镇中心小学（步云校区）</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23</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北京师范大学南湖附属学校小学部（庆丰路校区）</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24</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北京师范大学南湖附属学校小学部（中港路校区）</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25</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嘉兴市清河中学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26</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嘉兴市三水湾中学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27</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嘉兴市实验初级中学教育集团</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26</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28</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北京师范大学南湖附属学校初中部</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26</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29</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嘉兴市南湖区七星中学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30</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嘉兴市南溪中学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31</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东北师范大学南湖实验教育集团初中部</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32</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嘉兴南湖实验中学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33</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嘉兴市南湖区大桥镇中学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34</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Fonts w:hint="eastAsia" w:ascii="宋体" w:hAnsi="宋体" w:eastAsia="宋体" w:cs="宋体"/>
                <w:color w:val="000000"/>
                <w:kern w:val="0"/>
                <w:sz w:val="18"/>
                <w:szCs w:val="18"/>
                <w:highlight w:val="none"/>
              </w:rPr>
            </w:pPr>
            <w:r>
              <w:rPr>
                <w:rStyle w:val="45"/>
                <w:rFonts w:hint="eastAsia" w:ascii="宋体" w:hAnsi="宋体" w:eastAsia="宋体" w:cs="宋体"/>
                <w:sz w:val="18"/>
                <w:szCs w:val="18"/>
                <w:highlight w:val="none"/>
                <w:lang w:val="en-US" w:eastAsia="zh-CN" w:bidi="ar"/>
              </w:rPr>
              <w:t>嘉兴市南湖区新丰镇中学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eastAsia" w:ascii="宋体" w:hAnsi="宋体"/>
                <w:color w:val="000000"/>
                <w:kern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35</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Style w:val="45"/>
                <w:rFonts w:hint="eastAsia" w:ascii="宋体" w:hAnsi="宋体" w:eastAsia="宋体" w:cs="宋体"/>
                <w:i w:val="0"/>
                <w:iCs w:val="0"/>
                <w:color w:val="000000"/>
                <w:sz w:val="18"/>
                <w:szCs w:val="18"/>
                <w:highlight w:val="none"/>
                <w:lang w:val="en-US" w:eastAsia="zh-CN" w:bidi="ar"/>
              </w:rPr>
            </w:pPr>
            <w:r>
              <w:rPr>
                <w:rStyle w:val="45"/>
                <w:rFonts w:hint="eastAsia" w:ascii="宋体" w:hAnsi="宋体" w:eastAsia="宋体" w:cs="宋体"/>
                <w:i w:val="0"/>
                <w:iCs w:val="0"/>
                <w:color w:val="000000"/>
                <w:sz w:val="18"/>
                <w:szCs w:val="18"/>
                <w:highlight w:val="none"/>
                <w:lang w:val="en-US" w:eastAsia="zh-CN" w:bidi="ar"/>
              </w:rPr>
              <w:t>嘉兴市南湖区余新镇中学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7</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right w:val="single" w:color="auto" w:sz="4" w:space="0"/>
            </w:tcBorders>
            <w:shd w:val="clear" w:color="auto" w:fill="auto"/>
            <w:noWrap/>
            <w:vAlign w:val="center"/>
          </w:tcPr>
          <w:p>
            <w:pPr>
              <w:widowControl/>
              <w:spacing w:after="0" w:line="240" w:lineRule="auto"/>
              <w:jc w:val="center"/>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291"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36</w:t>
            </w: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bottom"/>
              <w:rPr>
                <w:rStyle w:val="45"/>
                <w:rFonts w:hint="eastAsia" w:ascii="宋体" w:hAnsi="宋体" w:eastAsia="宋体" w:cs="宋体"/>
                <w:i w:val="0"/>
                <w:iCs w:val="0"/>
                <w:color w:val="000000"/>
                <w:sz w:val="18"/>
                <w:szCs w:val="18"/>
                <w:highlight w:val="none"/>
                <w:lang w:val="en-US" w:eastAsia="zh-CN" w:bidi="ar"/>
              </w:rPr>
            </w:pPr>
            <w:r>
              <w:rPr>
                <w:rStyle w:val="45"/>
                <w:rFonts w:hint="eastAsia" w:ascii="宋体" w:hAnsi="宋体" w:eastAsia="宋体" w:cs="宋体"/>
                <w:i w:val="0"/>
                <w:iCs w:val="0"/>
                <w:color w:val="000000"/>
                <w:sz w:val="18"/>
                <w:szCs w:val="18"/>
                <w:highlight w:val="none"/>
                <w:lang w:val="en-US" w:eastAsia="zh-CN" w:bidi="ar"/>
              </w:rPr>
              <w:t>嘉兴市南湖区凤桥镇中学</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5</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widowControl/>
              <w:spacing w:after="0" w:line="240" w:lineRule="auto"/>
              <w:jc w:val="center"/>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0</w:t>
            </w:r>
          </w:p>
        </w:tc>
        <w:tc>
          <w:tcPr>
            <w:tcW w:w="321" w:type="dxa"/>
            <w:vMerge w:val="continue"/>
            <w:tcBorders>
              <w:left w:val="nil"/>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color w:val="000000"/>
                <w:kern w:val="0"/>
                <w:sz w:val="18"/>
                <w:szCs w:val="18"/>
                <w:highlight w:val="none"/>
                <w:lang w:val="en-US" w:eastAsia="zh-CN"/>
              </w:rPr>
            </w:pPr>
          </w:p>
        </w:tc>
      </w:tr>
      <w:tr>
        <w:tblPrEx>
          <w:tblCellMar>
            <w:top w:w="0" w:type="dxa"/>
            <w:left w:w="108" w:type="dxa"/>
            <w:bottom w:w="0" w:type="dxa"/>
            <w:right w:w="108" w:type="dxa"/>
          </w:tblCellMar>
        </w:tblPrEx>
        <w:trPr>
          <w:trHeight w:val="356" w:hRule="atLeast"/>
          <w:jc w:val="center"/>
        </w:trPr>
        <w:tc>
          <w:tcPr>
            <w:tcW w:w="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after="0" w:line="240" w:lineRule="auto"/>
              <w:jc w:val="center"/>
              <w:rPr>
                <w:rFonts w:hint="eastAsia" w:ascii="宋体" w:hAnsi="宋体"/>
                <w:color w:val="000000"/>
                <w:kern w:val="0"/>
                <w:sz w:val="18"/>
                <w:szCs w:val="18"/>
                <w:highlight w:val="none"/>
                <w:lang w:val="en-US" w:eastAsia="zh-CN"/>
              </w:rPr>
            </w:pPr>
          </w:p>
        </w:tc>
        <w:tc>
          <w:tcPr>
            <w:tcW w:w="2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合计</w:t>
            </w:r>
          </w:p>
        </w:tc>
        <w:tc>
          <w:tcPr>
            <w:tcW w:w="4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center"/>
              <w:textAlignment w:val="center"/>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539</w:t>
            </w:r>
          </w:p>
        </w:tc>
        <w:tc>
          <w:tcPr>
            <w:tcW w:w="5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480</w:t>
            </w:r>
          </w:p>
        </w:tc>
        <w:tc>
          <w:tcPr>
            <w:tcW w:w="43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10</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10</w:t>
            </w:r>
          </w:p>
        </w:tc>
        <w:tc>
          <w:tcPr>
            <w:tcW w:w="40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5</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7</w:t>
            </w:r>
          </w:p>
        </w:tc>
        <w:tc>
          <w:tcPr>
            <w:tcW w:w="4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6</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56</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eastAsia"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w:t>
            </w:r>
          </w:p>
        </w:tc>
        <w:tc>
          <w:tcPr>
            <w:tcW w:w="53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5</w:t>
            </w:r>
          </w:p>
        </w:tc>
        <w:tc>
          <w:tcPr>
            <w:tcW w:w="40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8</w:t>
            </w:r>
          </w:p>
        </w:tc>
        <w:tc>
          <w:tcPr>
            <w:tcW w:w="52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eastAsia="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466</w:t>
            </w:r>
          </w:p>
        </w:tc>
        <w:tc>
          <w:tcPr>
            <w:tcW w:w="32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宋体" w:hAnsi="宋体"/>
                <w:color w:val="000000"/>
                <w:kern w:val="0"/>
                <w:sz w:val="18"/>
                <w:szCs w:val="18"/>
                <w:highlight w:val="none"/>
                <w:lang w:val="en-US" w:eastAsia="zh-CN"/>
              </w:rPr>
            </w:pPr>
            <w:r>
              <w:rPr>
                <w:rFonts w:hint="eastAsia" w:ascii="宋体" w:hAnsi="宋体"/>
                <w:color w:val="000000"/>
                <w:kern w:val="0"/>
                <w:sz w:val="18"/>
                <w:szCs w:val="18"/>
                <w:highlight w:val="none"/>
                <w:lang w:val="en-US" w:eastAsia="zh-CN"/>
              </w:rPr>
              <w:t>1</w:t>
            </w:r>
          </w:p>
        </w:tc>
      </w:tr>
    </w:tbl>
    <w:p>
      <w:pPr>
        <w:pStyle w:val="27"/>
        <w:spacing w:line="360" w:lineRule="auto"/>
        <w:ind w:left="480" w:firstLine="464"/>
        <w:rPr>
          <w:sz w:val="24"/>
          <w:szCs w:val="32"/>
          <w:highlight w:val="none"/>
        </w:rPr>
      </w:pPr>
    </w:p>
    <w:p>
      <w:pPr>
        <w:pStyle w:val="39"/>
        <w:ind w:firstLine="0" w:firstLineChars="0"/>
        <w:rPr>
          <w:rFonts w:hint="eastAsia" w:ascii="宋体" w:hAnsi="宋体" w:cs="宋体"/>
          <w:highlight w:val="none"/>
        </w:rPr>
      </w:pPr>
    </w:p>
    <w:p>
      <w:pPr>
        <w:pStyle w:val="39"/>
        <w:ind w:firstLine="0" w:firstLineChars="0"/>
        <w:rPr>
          <w:rFonts w:hint="eastAsia" w:ascii="宋体" w:hAnsi="宋体" w:cs="宋体"/>
          <w:highlight w:val="none"/>
        </w:rPr>
        <w:sectPr>
          <w:pgSz w:w="11849" w:h="16781"/>
          <w:pgMar w:top="1440" w:right="1797" w:bottom="1440" w:left="1797" w:header="851" w:footer="850" w:gutter="0"/>
          <w:pgBorders>
            <w:top w:val="none" w:sz="0" w:space="0"/>
            <w:left w:val="none" w:sz="0" w:space="0"/>
            <w:bottom w:val="none" w:sz="0" w:space="0"/>
            <w:right w:val="none" w:sz="0" w:space="0"/>
          </w:pgBorders>
          <w:cols w:space="0" w:num="1"/>
          <w:rtlGutter w:val="0"/>
          <w:docGrid w:linePitch="326" w:charSpace="0"/>
        </w:sectPr>
      </w:pPr>
    </w:p>
    <w:p>
      <w:pPr>
        <w:pStyle w:val="12"/>
        <w:spacing w:after="0" w:line="360" w:lineRule="auto"/>
        <w:ind w:firstLine="0"/>
        <w:rPr>
          <w:rFonts w:hint="eastAsia" w:ascii="宋体" w:hAnsi="宋体" w:cs="宋体"/>
          <w:sz w:val="24"/>
          <w:highlight w:val="none"/>
          <w:lang w:val="en"/>
        </w:rPr>
      </w:pPr>
      <w:r>
        <w:rPr>
          <w:rFonts w:hint="eastAsia" w:ascii="宋体" w:hAnsi="宋体" w:cs="宋体"/>
          <w:b/>
          <w:bCs/>
          <w:sz w:val="24"/>
          <w:highlight w:val="none"/>
          <w:lang w:val="en"/>
        </w:rPr>
        <w:t>四、总体要求</w:t>
      </w:r>
    </w:p>
    <w:p>
      <w:pPr>
        <w:spacing w:line="360" w:lineRule="auto"/>
        <w:ind w:firstLine="480" w:firstLineChars="200"/>
        <w:rPr>
          <w:rFonts w:hint="eastAsia" w:ascii="宋体" w:hAnsi="宋体" w:cs="宋体"/>
          <w:sz w:val="24"/>
          <w:highlight w:val="none"/>
          <w:lang w:val="en"/>
        </w:rPr>
      </w:pPr>
      <w:r>
        <w:rPr>
          <w:rFonts w:hint="eastAsia" w:ascii="宋体" w:hAnsi="宋体" w:cs="宋体"/>
          <w:sz w:val="24"/>
          <w:highlight w:val="none"/>
          <w:lang w:val="en"/>
        </w:rPr>
        <w:t>1.在质保维修期内，中标供应商负责设备及系统的所有维护、维修、设备更换和系统优化升级等工作，保证采购人能正常使用系统。在质保维修期内，除不可抗力等因素所造成的损害外，中标供应商必须免费提供维修服务。</w:t>
      </w:r>
    </w:p>
    <w:p>
      <w:pPr>
        <w:pStyle w:val="85"/>
        <w:pageBreakBefore w:val="0"/>
        <w:kinsoku/>
        <w:wordWrap/>
        <w:overflowPunct/>
        <w:topLinePunct w:val="0"/>
        <w:bidi w:val="0"/>
        <w:spacing w:line="360" w:lineRule="auto"/>
        <w:ind w:left="0" w:leftChars="0" w:firstLine="480" w:firstLineChars="200"/>
        <w:rPr>
          <w:rFonts w:hint="eastAsia" w:ascii="宋体" w:hAnsi="宋体" w:eastAsia="宋体" w:cs="宋体"/>
          <w:sz w:val="24"/>
          <w:highlight w:val="none"/>
          <w:lang w:val="en" w:eastAsia="zh-CN"/>
        </w:rPr>
      </w:pPr>
      <w:r>
        <w:rPr>
          <w:rFonts w:hint="eastAsia" w:ascii="宋体" w:hAnsi="宋体" w:cs="宋体"/>
          <w:sz w:val="24"/>
          <w:highlight w:val="none"/>
          <w:lang w:val="en"/>
        </w:rPr>
        <w:t>2.供应商应拥有与本项目规模相称的一定数量的技术和施工人员及施工维护设备，供应商自行承担建设、维护过程中的所有安全管理责任；提供专职售后服务团队以提供技术支持服务，包括日常使用设备及相关配套软硬件故障排查、安装调试、系统升级、技术支持、应急处理等情况，确保售后服务的完整性和连续性。</w:t>
      </w:r>
      <w:r>
        <w:rPr>
          <w:rFonts w:hint="eastAsia" w:ascii="宋体" w:hAnsi="宋体" w:eastAsia="宋体" w:cs="宋体"/>
          <w:b/>
          <w:bCs/>
          <w:color w:val="auto"/>
          <w:kern w:val="2"/>
          <w:sz w:val="24"/>
          <w:szCs w:val="24"/>
          <w:highlight w:val="none"/>
          <w:lang w:val="en" w:eastAsia="zh-CN" w:bidi="ar-SA"/>
        </w:rPr>
        <w:t>投标时提供实施方案</w:t>
      </w:r>
      <w:r>
        <w:rPr>
          <w:rFonts w:hint="eastAsia" w:ascii="宋体" w:hAnsi="宋体" w:eastAsia="宋体" w:cs="宋体"/>
          <w:b w:val="0"/>
          <w:bCs w:val="0"/>
          <w:color w:val="auto"/>
          <w:kern w:val="2"/>
          <w:sz w:val="24"/>
          <w:szCs w:val="24"/>
          <w:highlight w:val="none"/>
          <w:lang w:val="en" w:eastAsia="zh-CN" w:bidi="ar-SA"/>
        </w:rPr>
        <w:t>（包括但不限于质量保证措施、各项应急措施、产品供货、安装调试方案等</w:t>
      </w:r>
      <w:r>
        <w:rPr>
          <w:rFonts w:hint="eastAsia" w:ascii="宋体" w:hAnsi="宋体" w:eastAsia="宋体" w:cs="宋体"/>
          <w:b/>
          <w:bCs/>
          <w:color w:val="auto"/>
          <w:kern w:val="2"/>
          <w:sz w:val="24"/>
          <w:szCs w:val="24"/>
          <w:highlight w:val="none"/>
          <w:lang w:val="en" w:eastAsia="zh-CN" w:bidi="ar-SA"/>
        </w:rPr>
        <w:t>）</w:t>
      </w:r>
      <w:r>
        <w:rPr>
          <w:rFonts w:hint="eastAsia" w:ascii="宋体" w:hAnsi="宋体" w:eastAsia="宋体" w:cs="宋体"/>
          <w:sz w:val="24"/>
          <w:highlight w:val="none"/>
          <w:lang w:val="en" w:eastAsia="zh-CN"/>
        </w:rPr>
        <w:t>、</w:t>
      </w:r>
      <w:r>
        <w:rPr>
          <w:rFonts w:hint="eastAsia" w:ascii="宋体" w:hAnsi="宋体" w:eastAsia="宋体" w:cs="宋体"/>
          <w:b/>
          <w:bCs/>
          <w:sz w:val="24"/>
          <w:highlight w:val="none"/>
          <w:lang w:val="en" w:eastAsia="zh-CN"/>
        </w:rPr>
        <w:t>投标时提供</w:t>
      </w:r>
      <w:r>
        <w:rPr>
          <w:rFonts w:hint="eastAsia" w:ascii="宋体" w:hAnsi="宋体" w:cs="宋体"/>
          <w:b/>
          <w:bCs/>
          <w:sz w:val="24"/>
          <w:highlight w:val="none"/>
          <w:lang w:val="en"/>
        </w:rPr>
        <w:t>售后服务方案</w:t>
      </w:r>
      <w:r>
        <w:rPr>
          <w:rFonts w:hint="eastAsia" w:ascii="宋体" w:hAnsi="宋体" w:cs="宋体"/>
          <w:sz w:val="24"/>
          <w:highlight w:val="none"/>
          <w:lang w:val="en"/>
        </w:rPr>
        <w:t>（包</w:t>
      </w:r>
      <w:r>
        <w:rPr>
          <w:rFonts w:hint="eastAsia" w:ascii="宋体" w:hAnsi="宋体" w:eastAsia="宋体" w:cs="宋体"/>
          <w:sz w:val="24"/>
          <w:highlight w:val="none"/>
          <w:lang w:val="en"/>
        </w:rPr>
        <w:t>括但不限于包括免费服务范围、主要服务内容、解决问题方案、排除问题的速度、质保期内专人服务、备品备件库等</w:t>
      </w:r>
      <w:r>
        <w:rPr>
          <w:rFonts w:hint="eastAsia" w:ascii="宋体" w:hAnsi="宋体" w:cs="宋体"/>
          <w:sz w:val="24"/>
          <w:highlight w:val="none"/>
          <w:lang w:val="en"/>
        </w:rPr>
        <w:t>）</w:t>
      </w:r>
      <w:r>
        <w:rPr>
          <w:rFonts w:hint="eastAsia" w:ascii="宋体" w:hAnsi="宋体" w:cs="宋体"/>
          <w:sz w:val="24"/>
          <w:highlight w:val="none"/>
          <w:lang w:val="en" w:eastAsia="zh-CN"/>
        </w:rPr>
        <w:t>。</w:t>
      </w:r>
    </w:p>
    <w:p>
      <w:pPr>
        <w:spacing w:line="360" w:lineRule="auto"/>
        <w:ind w:firstLine="480" w:firstLineChars="200"/>
        <w:rPr>
          <w:rFonts w:hint="eastAsia" w:ascii="宋体" w:hAnsi="宋体" w:cs="宋体"/>
          <w:sz w:val="24"/>
          <w:highlight w:val="none"/>
          <w:lang w:val="en"/>
        </w:rPr>
      </w:pPr>
      <w:r>
        <w:rPr>
          <w:rFonts w:hint="eastAsia" w:ascii="宋体" w:hAnsi="宋体" w:cs="宋体"/>
          <w:sz w:val="24"/>
          <w:highlight w:val="none"/>
          <w:lang w:val="en"/>
        </w:rPr>
        <w:t>3.在质保维修期满后，中标供应商仍需协助采购人对设备的维护保养。</w:t>
      </w:r>
    </w:p>
    <w:p>
      <w:pPr>
        <w:spacing w:line="360" w:lineRule="auto"/>
        <w:ind w:firstLine="480" w:firstLineChars="200"/>
        <w:rPr>
          <w:rFonts w:hint="eastAsia" w:ascii="宋体" w:hAnsi="宋体" w:cs="宋体"/>
          <w:sz w:val="24"/>
          <w:highlight w:val="none"/>
          <w:lang w:val="en"/>
        </w:rPr>
      </w:pPr>
      <w:r>
        <w:rPr>
          <w:rFonts w:hint="eastAsia" w:ascii="宋体" w:hAnsi="宋体" w:cs="宋体"/>
          <w:sz w:val="24"/>
          <w:highlight w:val="none"/>
          <w:lang w:val="en"/>
        </w:rPr>
        <w:t>4.供应商供货、安装、调试过程中的工作人员应遵守采购人的安全管理要求。</w:t>
      </w:r>
    </w:p>
    <w:p>
      <w:pPr>
        <w:pStyle w:val="12"/>
        <w:spacing w:after="0" w:line="360" w:lineRule="auto"/>
        <w:ind w:firstLine="480" w:firstLineChars="200"/>
        <w:rPr>
          <w:rFonts w:ascii="宋体" w:hAnsi="宋体" w:cs="宋体"/>
          <w:sz w:val="24"/>
          <w:highlight w:val="none"/>
          <w:lang w:val="en"/>
        </w:rPr>
      </w:pPr>
      <w:r>
        <w:rPr>
          <w:rFonts w:hint="eastAsia" w:ascii="宋体" w:hAnsi="宋体" w:cs="宋体"/>
          <w:sz w:val="24"/>
          <w:highlight w:val="none"/>
        </w:rPr>
        <w:t>5.</w:t>
      </w:r>
      <w:r>
        <w:rPr>
          <w:rFonts w:ascii="宋体" w:hAnsi="宋体" w:cs="宋体"/>
          <w:sz w:val="24"/>
          <w:highlight w:val="none"/>
          <w:lang w:val="en"/>
        </w:rPr>
        <w:t>所投设备及主要部件均须非停产设备，并提供备件、附件和耗材的供应。</w:t>
      </w:r>
    </w:p>
    <w:p>
      <w:pPr>
        <w:pStyle w:val="12"/>
        <w:spacing w:after="0" w:line="360" w:lineRule="auto"/>
        <w:ind w:firstLine="480" w:firstLineChars="200"/>
        <w:rPr>
          <w:rFonts w:ascii="宋体" w:hAnsi="宋体" w:cs="宋体"/>
          <w:sz w:val="24"/>
          <w:highlight w:val="none"/>
          <w:lang w:val="en"/>
        </w:rPr>
      </w:pPr>
      <w:r>
        <w:rPr>
          <w:rFonts w:hint="eastAsia" w:ascii="宋体" w:hAnsi="宋体" w:cs="宋体"/>
          <w:sz w:val="24"/>
          <w:highlight w:val="none"/>
        </w:rPr>
        <w:t>6.</w:t>
      </w:r>
      <w:r>
        <w:rPr>
          <w:rFonts w:ascii="宋体" w:hAnsi="宋体" w:cs="宋体"/>
          <w:sz w:val="24"/>
          <w:highlight w:val="none"/>
          <w:lang w:val="en"/>
        </w:rPr>
        <w:t>供应商供货产品必须是原厂商、正规渠道的产品，不得用假冒及伪劣产品替代；如出现上述质量问题，采购人有权退货；如造成损失的，采购人可要求供应商给予赔偿。</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eastAsia" w:ascii="宋体" w:hAnsi="宋体" w:cs="宋体"/>
          <w:b/>
          <w:bCs/>
          <w:sz w:val="24"/>
          <w:highlight w:val="none"/>
          <w:lang w:val="en"/>
        </w:rPr>
      </w:pPr>
      <w:r>
        <w:rPr>
          <w:rFonts w:hint="eastAsia" w:ascii="宋体" w:hAnsi="宋体" w:cs="宋体"/>
          <w:b/>
          <w:bCs/>
          <w:sz w:val="24"/>
          <w:highlight w:val="none"/>
          <w:lang w:val="en"/>
        </w:rPr>
        <w:t>五、人员要求</w:t>
      </w:r>
    </w:p>
    <w:p>
      <w:pPr>
        <w:tabs>
          <w:tab w:val="left" w:pos="0"/>
        </w:tabs>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项目负责人：</w:t>
      </w:r>
    </w:p>
    <w:p>
      <w:pPr>
        <w:tabs>
          <w:tab w:val="left" w:pos="0"/>
        </w:tabs>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项目实施技术团队应配备1名项目负责人参与</w:t>
      </w:r>
      <w:r>
        <w:rPr>
          <w:rFonts w:hint="eastAsia" w:ascii="宋体" w:hAnsi="宋体" w:cs="宋体"/>
          <w:sz w:val="24"/>
          <w:highlight w:val="none"/>
          <w:lang w:eastAsia="zh-CN"/>
        </w:rPr>
        <w:t>全过</w:t>
      </w:r>
      <w:r>
        <w:rPr>
          <w:rFonts w:hint="eastAsia" w:ascii="宋体" w:hAnsi="宋体" w:cs="宋体"/>
          <w:sz w:val="24"/>
          <w:highlight w:val="none"/>
        </w:rPr>
        <w:t>程项目管理；</w:t>
      </w:r>
    </w:p>
    <w:p>
      <w:pPr>
        <w:tabs>
          <w:tab w:val="left" w:pos="0"/>
        </w:tabs>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项目团队人员：</w:t>
      </w:r>
    </w:p>
    <w:p>
      <w:pPr>
        <w:tabs>
          <w:tab w:val="left" w:pos="0"/>
        </w:tabs>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1.负责</w:t>
      </w:r>
      <w:r>
        <w:rPr>
          <w:rFonts w:hint="eastAsia" w:ascii="宋体" w:hAnsi="Courier New" w:eastAsia="宋体"/>
          <w:sz w:val="24"/>
          <w:szCs w:val="32"/>
          <w:highlight w:val="none"/>
        </w:rPr>
        <w:t>到嘉兴市</w:t>
      </w:r>
      <w:r>
        <w:rPr>
          <w:rFonts w:hint="eastAsia" w:ascii="宋体" w:hAnsi="Courier New"/>
          <w:sz w:val="24"/>
          <w:szCs w:val="32"/>
          <w:highlight w:val="none"/>
          <w:lang w:val="en-US" w:eastAsia="zh-CN"/>
        </w:rPr>
        <w:t>南湖</w:t>
      </w:r>
      <w:r>
        <w:rPr>
          <w:rFonts w:hint="eastAsia" w:ascii="宋体" w:hAnsi="Courier New" w:eastAsia="宋体"/>
          <w:sz w:val="24"/>
          <w:szCs w:val="32"/>
          <w:highlight w:val="none"/>
        </w:rPr>
        <w:t>区教育体育局下属学校（含村完小）进行产品的安装、调试</w:t>
      </w:r>
      <w:r>
        <w:rPr>
          <w:rFonts w:hint="eastAsia" w:ascii="宋体" w:hAnsi="Courier New"/>
          <w:sz w:val="24"/>
          <w:szCs w:val="32"/>
          <w:highlight w:val="none"/>
          <w:lang w:eastAsia="zh-CN"/>
        </w:rPr>
        <w:t>等</w:t>
      </w:r>
      <w:r>
        <w:rPr>
          <w:rFonts w:hint="eastAsia" w:ascii="宋体" w:hAnsi="宋体" w:cs="宋体"/>
          <w:sz w:val="24"/>
          <w:highlight w:val="none"/>
        </w:rPr>
        <w:t>；</w:t>
      </w:r>
    </w:p>
    <w:p>
      <w:pPr>
        <w:tabs>
          <w:tab w:val="left" w:pos="0"/>
        </w:tabs>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2.具备一定的专业技术水平，具有计算机、网络工程或电气工程等计算机相关专业毕业的专业技术人才。</w:t>
      </w:r>
    </w:p>
    <w:p>
      <w:pPr>
        <w:keepNext w:val="0"/>
        <w:keepLines w:val="0"/>
        <w:pageBreakBefore w:val="0"/>
        <w:widowControl w:val="0"/>
        <w:kinsoku/>
        <w:wordWrap/>
        <w:overflowPunct/>
        <w:topLinePunct w:val="0"/>
        <w:autoSpaceDE/>
        <w:autoSpaceDN/>
        <w:bidi w:val="0"/>
        <w:adjustRightInd w:val="0"/>
        <w:snapToGrid/>
        <w:spacing w:line="540" w:lineRule="exact"/>
        <w:ind w:firstLine="481" w:firstLineChars="200"/>
        <w:textAlignment w:val="auto"/>
        <w:rPr>
          <w:b/>
          <w:bCs/>
          <w:highlight w:val="none"/>
        </w:rPr>
      </w:pPr>
      <w:r>
        <w:rPr>
          <w:rFonts w:hint="eastAsia"/>
          <w:b/>
          <w:bCs/>
          <w:highlight w:val="none"/>
          <w:lang w:eastAsia="zh-CN"/>
        </w:rPr>
        <w:t>六</w:t>
      </w:r>
      <w:r>
        <w:rPr>
          <w:rFonts w:hint="eastAsia"/>
          <w:b/>
          <w:bCs/>
          <w:highlight w:val="none"/>
        </w:rPr>
        <w:t>、商务条款</w:t>
      </w:r>
    </w:p>
    <w:tbl>
      <w:tblPr>
        <w:tblStyle w:val="29"/>
        <w:tblW w:w="878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31"/>
        <w:gridCol w:w="70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12" w:hRule="atLeast"/>
        </w:trPr>
        <w:tc>
          <w:tcPr>
            <w:tcW w:w="1731"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360" w:lineRule="auto"/>
              <w:jc w:val="left"/>
              <w:rPr>
                <w:rFonts w:hint="eastAsia" w:ascii="宋体" w:hAnsi="宋体"/>
                <w:sz w:val="21"/>
                <w:szCs w:val="21"/>
                <w:highlight w:val="none"/>
              </w:rPr>
            </w:pPr>
            <w:r>
              <w:rPr>
                <w:rFonts w:ascii="宋体" w:hAnsi="宋体"/>
                <w:sz w:val="21"/>
                <w:szCs w:val="21"/>
                <w:highlight w:val="none"/>
              </w:rPr>
              <w:t>质保期</w:t>
            </w:r>
          </w:p>
        </w:tc>
        <w:tc>
          <w:tcPr>
            <w:tcW w:w="7053" w:type="dxa"/>
            <w:tcBorders>
              <w:top w:val="single" w:color="auto" w:sz="4" w:space="0"/>
              <w:left w:val="single" w:color="auto" w:sz="4" w:space="0"/>
              <w:bottom w:val="single" w:color="auto" w:sz="4" w:space="0"/>
              <w:right w:val="single" w:color="auto" w:sz="4" w:space="0"/>
            </w:tcBorders>
            <w:vAlign w:val="center"/>
          </w:tcPr>
          <w:p>
            <w:pPr>
              <w:pStyle w:val="17"/>
              <w:spacing w:line="360" w:lineRule="auto"/>
              <w:ind w:left="0" w:leftChars="0"/>
              <w:jc w:val="left"/>
              <w:rPr>
                <w:rFonts w:hint="eastAsia" w:ascii="宋体" w:hAnsi="宋体" w:cs="宋体"/>
                <w:kern w:val="2"/>
                <w:sz w:val="24"/>
                <w:szCs w:val="24"/>
                <w:highlight w:val="none"/>
              </w:rPr>
            </w:pPr>
            <w:r>
              <w:rPr>
                <w:rFonts w:hint="eastAsia" w:ascii="宋体" w:hAnsi="宋体" w:cs="宋体"/>
                <w:kern w:val="2"/>
                <w:sz w:val="24"/>
                <w:szCs w:val="24"/>
                <w:highlight w:val="none"/>
              </w:rPr>
              <w:t>所有设备六年质保，质保期从验收合格之日起算，六年内免费上门服务，六年保修，质保期内的货物免费维修，不能维修的予以调换。</w:t>
            </w:r>
          </w:p>
          <w:p>
            <w:pPr>
              <w:spacing w:line="360" w:lineRule="auto"/>
              <w:rPr>
                <w:rFonts w:hint="eastAsia" w:ascii="宋体" w:hAnsi="宋体"/>
                <w:highlight w:val="none"/>
              </w:rPr>
            </w:pPr>
            <w:r>
              <w:rPr>
                <w:rFonts w:hint="eastAsia" w:ascii="宋体" w:hAnsi="宋体"/>
                <w:highlight w:val="none"/>
              </w:rPr>
              <w:t>所有软件提供</w:t>
            </w:r>
            <w:r>
              <w:rPr>
                <w:rFonts w:hint="eastAsia" w:ascii="宋体" w:hAnsi="宋体"/>
                <w:highlight w:val="none"/>
                <w:lang w:val="en-US" w:eastAsia="zh-CN"/>
              </w:rPr>
              <w:t>三</w:t>
            </w:r>
            <w:r>
              <w:rPr>
                <w:rFonts w:hint="eastAsia" w:ascii="宋体" w:hAnsi="宋体"/>
                <w:highlight w:val="none"/>
              </w:rPr>
              <w:t>年免费服务与升级，免费升级期限满后，原有功能须能继续使用，不可对原有功能作任何限制。</w:t>
            </w:r>
          </w:p>
          <w:p>
            <w:pPr>
              <w:tabs>
                <w:tab w:val="left" w:pos="0"/>
              </w:tabs>
              <w:snapToGrid w:val="0"/>
              <w:spacing w:line="360" w:lineRule="auto"/>
              <w:jc w:val="left"/>
              <w:rPr>
                <w:rFonts w:hint="eastAsia" w:ascii="宋体" w:hAnsi="宋体"/>
                <w:highlight w:val="none"/>
              </w:rPr>
            </w:pPr>
            <w:r>
              <w:rPr>
                <w:rFonts w:hint="eastAsia" w:ascii="宋体" w:hAnsi="宋体"/>
                <w:highlight w:val="none"/>
              </w:rPr>
              <w:t>所有计算机验收时提供原厂商六年质保函原件。</w:t>
            </w:r>
          </w:p>
          <w:p>
            <w:pPr>
              <w:pStyle w:val="27"/>
              <w:spacing w:line="360" w:lineRule="auto"/>
              <w:ind w:left="0" w:leftChars="0" w:firstLine="0" w:firstLineChars="0"/>
              <w:rPr>
                <w:rFonts w:hint="eastAsia" w:hAnsi="宋体" w:cs="宋体"/>
                <w:sz w:val="24"/>
                <w:highlight w:val="none"/>
              </w:rPr>
            </w:pPr>
            <w:r>
              <w:rPr>
                <w:rFonts w:hint="eastAsia" w:hAnsi="宋体" w:cs="宋体"/>
                <w:sz w:val="24"/>
                <w:highlight w:val="none"/>
              </w:rPr>
              <w:t>所有软件验收时提供在原厂商</w:t>
            </w:r>
            <w:r>
              <w:rPr>
                <w:rFonts w:hint="eastAsia" w:hAnsi="宋体" w:cs="宋体"/>
                <w:sz w:val="24"/>
                <w:highlight w:val="none"/>
                <w:lang w:val="en-US" w:eastAsia="zh-CN"/>
              </w:rPr>
              <w:t>三</w:t>
            </w:r>
            <w:r>
              <w:rPr>
                <w:rFonts w:hint="eastAsia" w:hAnsi="宋体" w:cs="宋体"/>
                <w:sz w:val="24"/>
                <w:highlight w:val="none"/>
              </w:rPr>
              <w:t>年免费服务与升级函原件。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731"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360" w:lineRule="auto"/>
              <w:jc w:val="left"/>
              <w:rPr>
                <w:rFonts w:hint="eastAsia" w:ascii="宋体" w:hAnsi="宋体"/>
                <w:sz w:val="21"/>
                <w:szCs w:val="21"/>
                <w:highlight w:val="none"/>
              </w:rPr>
            </w:pPr>
            <w:r>
              <w:rPr>
                <w:rFonts w:ascii="宋体" w:hAnsi="宋体"/>
                <w:sz w:val="21"/>
                <w:szCs w:val="21"/>
                <w:highlight w:val="none"/>
              </w:rPr>
              <w:t>实施要求</w:t>
            </w:r>
          </w:p>
        </w:tc>
        <w:tc>
          <w:tcPr>
            <w:tcW w:w="7053"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360" w:lineRule="auto"/>
              <w:jc w:val="left"/>
              <w:rPr>
                <w:rFonts w:hint="eastAsia" w:ascii="宋体" w:hAnsi="宋体"/>
                <w:highlight w:val="none"/>
              </w:rPr>
            </w:pPr>
            <w:r>
              <w:rPr>
                <w:rFonts w:hint="eastAsia" w:ascii="宋体" w:hAnsi="宋体"/>
                <w:highlight w:val="none"/>
              </w:rPr>
              <w:t>1.合同履行期中标供应商须指定项目负责人承担交货、安装、调试、验收、维保等统筹协调任务。</w:t>
            </w:r>
          </w:p>
          <w:p>
            <w:pPr>
              <w:tabs>
                <w:tab w:val="left" w:pos="0"/>
              </w:tabs>
              <w:snapToGrid w:val="0"/>
              <w:spacing w:line="360" w:lineRule="auto"/>
              <w:jc w:val="left"/>
              <w:rPr>
                <w:rFonts w:hint="eastAsia" w:ascii="宋体" w:hAnsi="宋体"/>
                <w:highlight w:val="none"/>
              </w:rPr>
            </w:pPr>
            <w:r>
              <w:rPr>
                <w:rFonts w:hint="eastAsia" w:ascii="宋体" w:hAnsi="宋体"/>
                <w:highlight w:val="none"/>
              </w:rPr>
              <w:t>2.交付验收同时，中标供应商须向采购人提供完整的文档资料、图集、部署手册、操作手册等（包括电子版）、质保函等各类验收所</w:t>
            </w:r>
            <w:r>
              <w:rPr>
                <w:rFonts w:hint="eastAsia" w:ascii="宋体" w:hAnsi="宋体"/>
                <w:highlight w:val="none"/>
                <w:lang w:eastAsia="zh-CN"/>
              </w:rPr>
              <w:t>需</w:t>
            </w:r>
            <w:r>
              <w:rPr>
                <w:rFonts w:hint="eastAsia" w:ascii="宋体" w:hAnsi="宋体"/>
                <w:highlight w:val="none"/>
              </w:rPr>
              <w:t>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731"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360" w:lineRule="auto"/>
              <w:jc w:val="left"/>
              <w:rPr>
                <w:rFonts w:hint="eastAsia" w:ascii="宋体" w:hAnsi="宋体"/>
                <w:sz w:val="21"/>
                <w:szCs w:val="21"/>
                <w:highlight w:val="none"/>
              </w:rPr>
            </w:pPr>
            <w:r>
              <w:rPr>
                <w:rFonts w:ascii="宋体" w:hAnsi="宋体"/>
                <w:sz w:val="21"/>
                <w:szCs w:val="21"/>
                <w:highlight w:val="none"/>
              </w:rPr>
              <w:t>交货地点、交货时间、安装调试期及验收</w:t>
            </w:r>
          </w:p>
        </w:tc>
        <w:tc>
          <w:tcPr>
            <w:tcW w:w="7053"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pacing w:line="36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eastAsia="zh-CN"/>
              </w:rPr>
              <w:t>供货</w:t>
            </w:r>
            <w:r>
              <w:rPr>
                <w:rFonts w:hint="eastAsia" w:ascii="宋体" w:hAnsi="宋体" w:eastAsia="宋体" w:cs="宋体"/>
                <w:sz w:val="24"/>
                <w:szCs w:val="24"/>
                <w:highlight w:val="none"/>
              </w:rPr>
              <w:t>地点：</w:t>
            </w:r>
            <w:r>
              <w:rPr>
                <w:rFonts w:hint="eastAsia" w:ascii="宋体" w:hAnsi="宋体" w:cs="宋体"/>
                <w:sz w:val="24"/>
                <w:szCs w:val="24"/>
                <w:highlight w:val="none"/>
                <w:lang w:eastAsia="zh-CN"/>
              </w:rPr>
              <w:t>详见</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学校（校区）采购清单</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w:t>
            </w:r>
          </w:p>
          <w:p>
            <w:pPr>
              <w:pageBreakBefore w:val="0"/>
              <w:kinsoku/>
              <w:wordWrap/>
              <w:overflowPunct/>
              <w:topLinePunct w:val="0"/>
              <w:bidi w:val="0"/>
              <w:spacing w:line="360" w:lineRule="auto"/>
              <w:jc w:val="both"/>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供货</w:t>
            </w:r>
            <w:r>
              <w:rPr>
                <w:rFonts w:hint="eastAsia" w:ascii="宋体" w:hAnsi="宋体" w:eastAsia="宋体" w:cs="宋体"/>
                <w:sz w:val="24"/>
                <w:szCs w:val="24"/>
                <w:highlight w:val="none"/>
              </w:rPr>
              <w:t>及安装调试时间：合同签订之日起30日内完成</w:t>
            </w:r>
            <w:r>
              <w:rPr>
                <w:rFonts w:hint="eastAsia" w:ascii="宋体" w:hAnsi="宋体" w:cs="宋体"/>
                <w:sz w:val="24"/>
                <w:szCs w:val="24"/>
                <w:highlight w:val="none"/>
                <w:lang w:eastAsia="zh-CN"/>
              </w:rPr>
              <w:t>供货</w:t>
            </w:r>
            <w:r>
              <w:rPr>
                <w:rFonts w:hint="eastAsia" w:ascii="宋体" w:hAnsi="宋体" w:eastAsia="宋体" w:cs="宋体"/>
                <w:sz w:val="24"/>
                <w:szCs w:val="24"/>
                <w:highlight w:val="none"/>
              </w:rPr>
              <w:t>及安装调试工作，并交付采购人验收。</w:t>
            </w:r>
          </w:p>
          <w:p>
            <w:pPr>
              <w:widowControl/>
              <w:spacing w:line="360" w:lineRule="auto"/>
              <w:jc w:val="left"/>
              <w:rPr>
                <w:rFonts w:hint="eastAsia" w:ascii="宋体" w:hAnsi="宋体"/>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验收：</w:t>
            </w:r>
            <w:r>
              <w:rPr>
                <w:rFonts w:hint="eastAsia" w:ascii="宋体" w:hAnsi="宋体" w:eastAsia="宋体" w:cs="宋体"/>
                <w:sz w:val="24"/>
                <w:szCs w:val="24"/>
                <w:highlight w:val="none"/>
              </w:rPr>
              <w:t>采购人接到验收申请5个工作日内按规定组织验收。</w:t>
            </w:r>
            <w:r>
              <w:rPr>
                <w:rFonts w:hint="eastAsia" w:ascii="宋体" w:hAnsi="宋体"/>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731"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360" w:lineRule="auto"/>
              <w:ind w:firstLine="420" w:firstLineChars="200"/>
              <w:jc w:val="left"/>
              <w:rPr>
                <w:rFonts w:hint="eastAsia" w:ascii="宋体" w:hAnsi="宋体"/>
                <w:sz w:val="21"/>
                <w:szCs w:val="21"/>
                <w:highlight w:val="none"/>
              </w:rPr>
            </w:pPr>
            <w:r>
              <w:rPr>
                <w:rFonts w:ascii="宋体" w:hAnsi="宋体"/>
                <w:sz w:val="21"/>
                <w:szCs w:val="21"/>
                <w:highlight w:val="none"/>
              </w:rPr>
              <w:t>售后要求</w:t>
            </w:r>
          </w:p>
        </w:tc>
        <w:tc>
          <w:tcPr>
            <w:tcW w:w="7053"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360" w:lineRule="auto"/>
              <w:jc w:val="left"/>
              <w:rPr>
                <w:rFonts w:hint="eastAsia" w:ascii="宋体" w:hAnsi="宋体"/>
                <w:highlight w:val="none"/>
              </w:rPr>
            </w:pPr>
            <w:r>
              <w:rPr>
                <w:rFonts w:hint="eastAsia" w:ascii="宋体" w:hAnsi="宋体"/>
                <w:highlight w:val="none"/>
              </w:rPr>
              <w:t>1.当发生故障时，中标供应商在接到采购人通知后，供应商响应时间不超过30分钟，运维人员应在2小时内到达及时排除解决，如故障无法排除，中标供应商应负责使用替代设备，其费用由中标供应商承担。</w:t>
            </w:r>
          </w:p>
          <w:p>
            <w:pPr>
              <w:tabs>
                <w:tab w:val="left" w:pos="0"/>
              </w:tabs>
              <w:snapToGrid w:val="0"/>
              <w:spacing w:line="360" w:lineRule="auto"/>
              <w:jc w:val="left"/>
              <w:rPr>
                <w:rFonts w:hint="eastAsia" w:ascii="宋体" w:hAnsi="宋体"/>
                <w:highlight w:val="none"/>
              </w:rPr>
            </w:pPr>
            <w:r>
              <w:rPr>
                <w:rFonts w:hint="eastAsia" w:ascii="宋体" w:hAnsi="宋体"/>
                <w:highlight w:val="none"/>
              </w:rPr>
              <w:t>2.供应商在产品厂商售后服务之外，提供7*24小时技术支持服务，并提供质保期内专人服务（1人以上），包括日常使用设备及相关配套软硬件故障排查、安装调试、系统升级、技术支持、应急处理等情况，确保运维服务的完整性和连续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1731"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360" w:lineRule="auto"/>
              <w:ind w:firstLine="420" w:firstLineChars="200"/>
              <w:jc w:val="left"/>
              <w:rPr>
                <w:rFonts w:hint="eastAsia" w:ascii="宋体" w:hAnsi="宋体"/>
                <w:sz w:val="21"/>
                <w:szCs w:val="21"/>
                <w:highlight w:val="none"/>
              </w:rPr>
            </w:pPr>
            <w:r>
              <w:rPr>
                <w:rFonts w:hint="eastAsia" w:ascii="宋体" w:hAnsi="宋体"/>
                <w:sz w:val="21"/>
                <w:szCs w:val="21"/>
                <w:highlight w:val="none"/>
              </w:rPr>
              <w:t>报价要求</w:t>
            </w:r>
          </w:p>
        </w:tc>
        <w:tc>
          <w:tcPr>
            <w:tcW w:w="7053"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spacing w:line="360" w:lineRule="auto"/>
              <w:rPr>
                <w:rFonts w:hint="eastAsia" w:ascii="宋体" w:hAnsi="宋体" w:cs="宋体"/>
                <w:sz w:val="24"/>
                <w:highlight w:val="none"/>
              </w:rPr>
            </w:pPr>
            <w:r>
              <w:rPr>
                <w:rFonts w:hint="eastAsia" w:ascii="宋体" w:hAnsi="宋体" w:cs="宋体"/>
                <w:sz w:val="24"/>
                <w:highlight w:val="none"/>
              </w:rPr>
              <w:t>1.包含货物的价格及安装、调试、保修、售后服务、包装和运输、保险等货物伴随服务的费用、所需缴纳的所有税费，采购人不承担由于本项目实施而产生的任何费用。</w:t>
            </w:r>
          </w:p>
          <w:p>
            <w:pPr>
              <w:tabs>
                <w:tab w:val="left" w:pos="0"/>
              </w:tabs>
              <w:snapToGrid w:val="0"/>
              <w:spacing w:line="360" w:lineRule="auto"/>
              <w:rPr>
                <w:rFonts w:hint="eastAsia" w:ascii="宋体" w:hAnsi="宋体" w:cs="宋体"/>
                <w:sz w:val="24"/>
                <w:highlight w:val="none"/>
              </w:rPr>
            </w:pPr>
            <w:r>
              <w:rPr>
                <w:rFonts w:hint="eastAsia" w:ascii="宋体" w:hAnsi="宋体" w:cs="宋体"/>
                <w:sz w:val="24"/>
                <w:highlight w:val="none"/>
              </w:rPr>
              <w:t>2.有关本项目实施所需的所有费用（含税费）均计入报价。开标一览表（报价表）是报价的唯一载体。投标文件中价格全部采用人民币报价。招标文件未列明，而供应商认为必需的费用也需列入报价。</w:t>
            </w:r>
          </w:p>
          <w:p>
            <w:pPr>
              <w:tabs>
                <w:tab w:val="left" w:pos="0"/>
              </w:tabs>
              <w:snapToGrid w:val="0"/>
              <w:spacing w:line="360" w:lineRule="auto"/>
              <w:rPr>
                <w:rFonts w:hint="eastAsia" w:ascii="宋体" w:hAnsi="宋体" w:cs="宋体"/>
                <w:sz w:val="24"/>
                <w:highlight w:val="none"/>
              </w:rPr>
            </w:pPr>
            <w:r>
              <w:rPr>
                <w:rFonts w:hint="eastAsia" w:ascii="宋体" w:hAnsi="宋体" w:cs="宋体"/>
                <w:sz w:val="24"/>
                <w:highlight w:val="none"/>
              </w:rPr>
              <w:t>3.投标（响应）报价低于采购项目最高限价45%的，即投标（响应）报价</w:t>
            </w:r>
            <w:r>
              <w:rPr>
                <w:rFonts w:hint="eastAsia" w:ascii="宋体" w:hAnsi="宋体" w:cs="宋体"/>
                <w:sz w:val="24"/>
                <w:highlight w:val="none"/>
                <w:lang w:eastAsia="zh-CN"/>
              </w:rPr>
              <w:t>〈</w:t>
            </w:r>
            <w:r>
              <w:rPr>
                <w:rFonts w:hint="eastAsia" w:ascii="宋体" w:hAnsi="宋体" w:cs="宋体"/>
                <w:sz w:val="24"/>
                <w:highlight w:val="none"/>
              </w:rPr>
              <w:t>采购项目最高限价×45%；供应商应当随投标文件一并提交相关书面说明及必要的证明材料，如不提供的，投标无效。格式自拟。</w:t>
            </w:r>
          </w:p>
          <w:p>
            <w:pPr>
              <w:tabs>
                <w:tab w:val="left" w:pos="0"/>
              </w:tabs>
              <w:snapToGrid w:val="0"/>
              <w:spacing w:line="360" w:lineRule="auto"/>
              <w:jc w:val="left"/>
              <w:rPr>
                <w:rFonts w:hint="eastAsia" w:ascii="宋体" w:hAnsi="宋体"/>
                <w:highlight w:val="none"/>
              </w:rPr>
            </w:pPr>
            <w:r>
              <w:rPr>
                <w:rFonts w:hint="eastAsia" w:ascii="宋体" w:hAnsi="宋体" w:cs="宋体"/>
                <w:b/>
                <w:bCs/>
                <w:sz w:val="24"/>
                <w:highlight w:val="none"/>
              </w:rPr>
              <w:t>提醒：验收时检测费、专家费等验收所产生的合理费用由采购人承担，不包含在投标总价中，若由供应商原因造成的验收不合格所产生的费用，由供应商承担。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44" w:hRule="atLeast"/>
        </w:trPr>
        <w:tc>
          <w:tcPr>
            <w:tcW w:w="1731" w:type="dxa"/>
            <w:tcBorders>
              <w:top w:val="single" w:color="auto" w:sz="4" w:space="0"/>
              <w:left w:val="single" w:color="auto" w:sz="4" w:space="0"/>
              <w:bottom w:val="single" w:color="auto" w:sz="4" w:space="0"/>
              <w:right w:val="single" w:color="auto" w:sz="4" w:space="0"/>
            </w:tcBorders>
            <w:vAlign w:val="center"/>
          </w:tcPr>
          <w:p>
            <w:pPr>
              <w:spacing w:before="120" w:beforeLines="50"/>
              <w:jc w:val="center"/>
              <w:rPr>
                <w:rFonts w:hint="eastAsia" w:ascii="宋体" w:hAnsi="宋体"/>
                <w:bCs/>
                <w:sz w:val="21"/>
                <w:szCs w:val="21"/>
                <w:highlight w:val="none"/>
              </w:rPr>
            </w:pPr>
            <w:r>
              <w:rPr>
                <w:rFonts w:hint="eastAsia" w:ascii="宋体" w:hAnsi="宋体"/>
                <w:bCs/>
                <w:sz w:val="21"/>
                <w:szCs w:val="21"/>
                <w:highlight w:val="none"/>
              </w:rPr>
              <w:t>付款条件及合同支付</w:t>
            </w:r>
          </w:p>
        </w:tc>
        <w:tc>
          <w:tcPr>
            <w:tcW w:w="7053" w:type="dxa"/>
            <w:tcBorders>
              <w:top w:val="single" w:color="auto" w:sz="4" w:space="0"/>
              <w:left w:val="single" w:color="auto" w:sz="4" w:space="0"/>
              <w:bottom w:val="single" w:color="auto" w:sz="4" w:space="0"/>
              <w:right w:val="single" w:color="auto" w:sz="4" w:space="0"/>
            </w:tcBorders>
            <w:vAlign w:val="center"/>
          </w:tcPr>
          <w:p>
            <w:pPr>
              <w:pStyle w:val="59"/>
              <w:pageBreakBefore w:val="0"/>
              <w:kinsoku/>
              <w:wordWrap/>
              <w:overflowPunct/>
              <w:topLinePunct w:val="0"/>
              <w:bidi w:val="0"/>
              <w:spacing w:after="0"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按浙财采监〔2025〕10号文件执行。</w:t>
            </w:r>
          </w:p>
          <w:p>
            <w:pPr>
              <w:pStyle w:val="59"/>
              <w:spacing w:line="360" w:lineRule="auto"/>
              <w:rPr>
                <w:rFonts w:hint="eastAsia" w:ascii="宋体" w:hAnsi="宋体" w:eastAsia="宋体" w:cs="宋体"/>
                <w:color w:val="auto"/>
                <w:kern w:val="2"/>
                <w:sz w:val="24"/>
                <w:szCs w:val="24"/>
                <w:highlight w:val="none"/>
              </w:rPr>
            </w:pPr>
            <w:r>
              <w:rPr>
                <w:rFonts w:hint="eastAsia" w:ascii="宋体" w:hAnsi="宋体" w:eastAsia="宋体" w:cs="宋体"/>
                <w:sz w:val="24"/>
                <w:szCs w:val="24"/>
                <w:highlight w:val="none"/>
                <w:vertAlign w:val="baseline"/>
                <w:lang w:eastAsia="zh-CN"/>
              </w:rPr>
              <w:t>合同签订且具备实施条件后7个工作日内，向中标供应商支付合同金额的40%作为预付款；项目终验通过且收到发票后7个工作日内支付至合同金额的100%。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09" w:hRule="atLeast"/>
        </w:trPr>
        <w:tc>
          <w:tcPr>
            <w:tcW w:w="173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Cs/>
                <w:sz w:val="21"/>
                <w:szCs w:val="21"/>
                <w:highlight w:val="none"/>
              </w:rPr>
            </w:pPr>
            <w:r>
              <w:rPr>
                <w:rFonts w:hint="eastAsia" w:ascii="宋体" w:hAnsi="宋体"/>
                <w:bCs/>
                <w:sz w:val="21"/>
                <w:szCs w:val="21"/>
                <w:highlight w:val="none"/>
              </w:rPr>
              <w:t>责任认定</w:t>
            </w:r>
          </w:p>
        </w:tc>
        <w:tc>
          <w:tcPr>
            <w:tcW w:w="705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bCs/>
                <w:sz w:val="24"/>
                <w:szCs w:val="24"/>
                <w:highlight w:val="none"/>
              </w:rPr>
            </w:pPr>
            <w:r>
              <w:rPr>
                <w:rFonts w:hint="eastAsia" w:ascii="宋体" w:hAnsi="宋体"/>
                <w:bCs/>
                <w:sz w:val="24"/>
                <w:szCs w:val="24"/>
                <w:highlight w:val="none"/>
              </w:rPr>
              <w:t>在质保期内，因中标供应商的原因，未能完全履行服务承诺，采购人有权追究中标供应商的责任。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73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Cs/>
                <w:sz w:val="21"/>
                <w:szCs w:val="21"/>
                <w:highlight w:val="none"/>
              </w:rPr>
            </w:pPr>
            <w:r>
              <w:rPr>
                <w:rFonts w:hint="eastAsia" w:ascii="宋体" w:hAnsi="宋体"/>
                <w:bCs/>
                <w:sz w:val="21"/>
                <w:szCs w:val="21"/>
                <w:highlight w:val="none"/>
              </w:rPr>
              <w:t>政策性条件</w:t>
            </w:r>
          </w:p>
        </w:tc>
        <w:tc>
          <w:tcPr>
            <w:tcW w:w="7053"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highlight w:val="none"/>
              </w:rPr>
            </w:pPr>
            <w:r>
              <w:rPr>
                <w:rFonts w:hint="eastAsia" w:ascii="宋体" w:hAnsi="宋体"/>
                <w:highlight w:val="none"/>
              </w:rPr>
              <w:t>投标供应商属于监狱企业、残疾人福利性单位视为小型、微型企业，享受中小企业政策扶持。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7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1"/>
                <w:szCs w:val="21"/>
                <w:highlight w:val="none"/>
              </w:rPr>
            </w:pPr>
            <w:r>
              <w:rPr>
                <w:sz w:val="21"/>
                <w:szCs w:val="21"/>
                <w:highlight w:val="none"/>
              </w:rPr>
              <w:t>特殊条款</w:t>
            </w:r>
          </w:p>
        </w:tc>
        <w:tc>
          <w:tcPr>
            <w:tcW w:w="7053"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left"/>
              <w:rPr>
                <w:rFonts w:hint="eastAsia" w:ascii="宋体" w:hAnsi="宋体"/>
                <w:highlight w:val="none"/>
              </w:rPr>
            </w:pPr>
            <w:r>
              <w:rPr>
                <w:rFonts w:hint="eastAsia" w:ascii="宋体" w:hAnsi="宋体"/>
                <w:highlight w:val="none"/>
              </w:rPr>
              <w:t>招标文件中的技术要求（规格）书为原则性要求，并不是详尽的要求，中标供应商有责任对投标文件中提出的技术规范、标准负责。中标供应商对投标内容所涉及的专利承担责任，并负责保护采购人的利益不受任何损害。一切由于文字、商标、技术等专利引起的法律裁决、诉讼和费用均与采购人无关。</w:t>
            </w:r>
          </w:p>
        </w:tc>
      </w:tr>
    </w:tbl>
    <w:p>
      <w:pPr>
        <w:rPr>
          <w:highlight w:val="none"/>
        </w:rPr>
      </w:pPr>
    </w:p>
    <w:p>
      <w:pPr>
        <w:rPr>
          <w:highlight w:val="none"/>
        </w:rPr>
      </w:pPr>
      <w:bookmarkStart w:id="29" w:name="_Toc20654"/>
      <w:bookmarkStart w:id="30" w:name="_Toc29464"/>
      <w:bookmarkStart w:id="31" w:name="_Toc485648402"/>
      <w:bookmarkStart w:id="32" w:name="_Toc82873328"/>
      <w:bookmarkStart w:id="33" w:name="_Toc211745569"/>
      <w:bookmarkStart w:id="34" w:name="_Toc82338245"/>
      <w:r>
        <w:rPr>
          <w:rFonts w:hint="eastAsia"/>
          <w:highlight w:val="none"/>
        </w:rPr>
        <w:br w:type="page"/>
      </w:r>
    </w:p>
    <w:p>
      <w:pPr>
        <w:pStyle w:val="2"/>
        <w:ind w:left="240" w:leftChars="100"/>
        <w:rPr>
          <w:rFonts w:hint="eastAsia" w:ascii="宋体" w:hAnsi="宋体" w:eastAsia="宋体"/>
          <w:sz w:val="28"/>
          <w:szCs w:val="28"/>
          <w:highlight w:val="none"/>
        </w:rPr>
      </w:pPr>
      <w:r>
        <w:rPr>
          <w:rFonts w:hint="eastAsia" w:ascii="宋体" w:hAnsi="宋体" w:eastAsia="宋体"/>
          <w:highlight w:val="none"/>
        </w:rPr>
        <w:t>第三章　供应商须知</w:t>
      </w:r>
      <w:bookmarkEnd w:id="29"/>
    </w:p>
    <w:p>
      <w:pPr>
        <w:spacing w:line="360" w:lineRule="auto"/>
        <w:ind w:firstLine="240" w:firstLineChars="100"/>
        <w:jc w:val="center"/>
        <w:rPr>
          <w:rFonts w:hint="eastAsia" w:ascii="宋体" w:hAnsi="宋体"/>
          <w:b/>
          <w:bCs/>
          <w:sz w:val="28"/>
          <w:szCs w:val="28"/>
          <w:highlight w:val="none"/>
        </w:rPr>
      </w:pPr>
      <w:r>
        <w:rPr>
          <w:rFonts w:hint="eastAsia" w:ascii="宋体" w:hAnsi="宋体"/>
          <w:highlight w:val="none"/>
          <w:shd w:val="clear" w:color="auto" w:fill="FFFFFF"/>
        </w:rPr>
        <w:t>　</w:t>
      </w:r>
      <w:r>
        <w:rPr>
          <w:rFonts w:hint="eastAsia" w:ascii="宋体" w:hAnsi="宋体"/>
          <w:b/>
          <w:bCs/>
          <w:sz w:val="28"/>
          <w:szCs w:val="28"/>
          <w:highlight w:val="none"/>
        </w:rPr>
        <w:t>电子交易注意事项</w:t>
      </w:r>
    </w:p>
    <w:p>
      <w:pPr>
        <w:spacing w:line="360" w:lineRule="auto"/>
        <w:ind w:firstLine="240" w:firstLineChars="100"/>
        <w:jc w:val="left"/>
        <w:rPr>
          <w:rFonts w:hint="eastAsia" w:ascii="宋体" w:hAnsi="宋体"/>
          <w:highlight w:val="none"/>
          <w:shd w:val="clear" w:color="auto" w:fill="FFFFFF"/>
        </w:rPr>
      </w:pPr>
      <w:r>
        <w:rPr>
          <w:rFonts w:hint="eastAsia" w:ascii="宋体" w:hAnsi="宋体"/>
          <w:highlight w:val="none"/>
          <w:shd w:val="clear" w:color="auto" w:fill="FFFFFF"/>
        </w:rPr>
        <w:t>　政府采购项目电子交易活动适用《浙江省政府采购项目电子交易管理暂行办法》，现将相关注意事项告知如下：</w:t>
      </w:r>
    </w:p>
    <w:p>
      <w:pPr>
        <w:spacing w:line="360" w:lineRule="auto"/>
        <w:ind w:firstLine="240" w:firstLineChars="100"/>
        <w:jc w:val="left"/>
        <w:rPr>
          <w:rFonts w:hint="eastAsia" w:ascii="宋体" w:hAnsi="宋体"/>
          <w:highlight w:val="none"/>
        </w:rPr>
      </w:pPr>
      <w:r>
        <w:rPr>
          <w:rFonts w:hint="eastAsia" w:ascii="宋体" w:hAnsi="宋体"/>
          <w:highlight w:val="none"/>
        </w:rPr>
        <w:t>　1.集中采购机构按照招标文件规定的时间通过电子交易平台组织开标、开启投标文件，所有供应商均应当准时在线参加，直至评审结束。</w:t>
      </w:r>
    </w:p>
    <w:p>
      <w:pPr>
        <w:pStyle w:val="24"/>
        <w:spacing w:beforeAutospacing="0" w:afterAutospacing="0" w:line="360" w:lineRule="auto"/>
        <w:ind w:firstLine="240" w:firstLineChars="100"/>
        <w:rPr>
          <w:rFonts w:hint="eastAsia"/>
          <w:kern w:val="2"/>
          <w:highlight w:val="none"/>
        </w:rPr>
      </w:pPr>
      <w:r>
        <w:rPr>
          <w:rFonts w:hint="eastAsia"/>
          <w:kern w:val="2"/>
          <w:highlight w:val="none"/>
        </w:rPr>
        <w:t>　2. 投标文件未按时解密，供应商如提供备份投标文件的，以符合要求的备份投标文件作为依据，否则视为投标文件撤回。投标文件已按时解密的，备份投标文件自动失效。</w:t>
      </w:r>
    </w:p>
    <w:p>
      <w:pPr>
        <w:pStyle w:val="24"/>
        <w:spacing w:beforeAutospacing="0" w:afterAutospacing="0" w:line="360" w:lineRule="auto"/>
        <w:ind w:firstLine="240" w:firstLineChars="100"/>
        <w:rPr>
          <w:rFonts w:hint="eastAsia"/>
          <w:kern w:val="2"/>
          <w:highlight w:val="none"/>
        </w:rPr>
      </w:pPr>
      <w:r>
        <w:rPr>
          <w:rFonts w:hint="eastAsia"/>
          <w:kern w:val="2"/>
          <w:highlight w:val="none"/>
        </w:rPr>
        <w:t>　3. 采购过程中出现以下情形，导致电子交易平台无法正常运行，或者无法保证电子交易的公平、公正和安全时，集中采购机构可中止电子交易活动：</w:t>
      </w:r>
    </w:p>
    <w:p>
      <w:pPr>
        <w:pStyle w:val="24"/>
        <w:spacing w:beforeAutospacing="0" w:afterAutospacing="0" w:line="360" w:lineRule="auto"/>
        <w:ind w:firstLine="645"/>
        <w:rPr>
          <w:rFonts w:hint="eastAsia"/>
          <w:kern w:val="2"/>
          <w:highlight w:val="none"/>
        </w:rPr>
      </w:pPr>
      <w:r>
        <w:rPr>
          <w:rFonts w:hint="eastAsia"/>
          <w:kern w:val="2"/>
          <w:highlight w:val="none"/>
        </w:rPr>
        <w:t>（一）电子交易平台发生故障而无法登录访问的。</w:t>
      </w:r>
    </w:p>
    <w:p>
      <w:pPr>
        <w:pStyle w:val="24"/>
        <w:spacing w:beforeAutospacing="0" w:afterAutospacing="0" w:line="360" w:lineRule="auto"/>
        <w:ind w:firstLine="645"/>
        <w:rPr>
          <w:rFonts w:hint="eastAsia"/>
          <w:kern w:val="2"/>
          <w:highlight w:val="none"/>
        </w:rPr>
      </w:pPr>
      <w:r>
        <w:rPr>
          <w:rFonts w:hint="eastAsia"/>
          <w:kern w:val="2"/>
          <w:highlight w:val="none"/>
        </w:rPr>
        <w:t>（二）电子交易平台应用或数据库出现错误，不能进行正常操作的。</w:t>
      </w:r>
    </w:p>
    <w:p>
      <w:pPr>
        <w:pStyle w:val="24"/>
        <w:spacing w:beforeAutospacing="0" w:afterAutospacing="0" w:line="360" w:lineRule="auto"/>
        <w:ind w:firstLine="645"/>
        <w:rPr>
          <w:rFonts w:hint="eastAsia"/>
          <w:kern w:val="2"/>
          <w:highlight w:val="none"/>
        </w:rPr>
      </w:pPr>
      <w:r>
        <w:rPr>
          <w:rFonts w:hint="eastAsia"/>
          <w:kern w:val="2"/>
          <w:highlight w:val="none"/>
        </w:rPr>
        <w:t>（三）电子交易平台发现严重安全漏洞，有潜在泄密危险的。</w:t>
      </w:r>
    </w:p>
    <w:p>
      <w:pPr>
        <w:pStyle w:val="24"/>
        <w:spacing w:beforeAutospacing="0" w:afterAutospacing="0" w:line="360" w:lineRule="auto"/>
        <w:ind w:firstLine="645"/>
        <w:rPr>
          <w:rFonts w:hint="eastAsia"/>
          <w:kern w:val="2"/>
          <w:highlight w:val="none"/>
        </w:rPr>
      </w:pPr>
      <w:r>
        <w:rPr>
          <w:rFonts w:hint="eastAsia"/>
          <w:kern w:val="2"/>
          <w:highlight w:val="none"/>
        </w:rPr>
        <w:t>（四）病毒发作导致不能进行正常操作的。 </w:t>
      </w:r>
    </w:p>
    <w:p>
      <w:pPr>
        <w:pStyle w:val="24"/>
        <w:spacing w:beforeAutospacing="0" w:afterAutospacing="0" w:line="360" w:lineRule="auto"/>
        <w:ind w:firstLine="645"/>
        <w:rPr>
          <w:rFonts w:hint="eastAsia"/>
          <w:kern w:val="2"/>
          <w:highlight w:val="none"/>
        </w:rPr>
      </w:pPr>
      <w:r>
        <w:rPr>
          <w:rFonts w:hint="eastAsia"/>
          <w:kern w:val="2"/>
          <w:highlight w:val="none"/>
        </w:rPr>
        <w:t>（五）其他无法保证电子交易的公平、公正和安全的情况。</w:t>
      </w:r>
    </w:p>
    <w:p>
      <w:pPr>
        <w:pStyle w:val="24"/>
        <w:spacing w:beforeAutospacing="0" w:afterAutospacing="0" w:line="360" w:lineRule="auto"/>
        <w:ind w:firstLine="480"/>
        <w:rPr>
          <w:rFonts w:hint="eastAsia"/>
          <w:kern w:val="2"/>
          <w:highlight w:val="none"/>
        </w:rPr>
      </w:pPr>
      <w:r>
        <w:rPr>
          <w:rFonts w:hint="eastAsia"/>
          <w:kern w:val="2"/>
          <w:highlight w:val="none"/>
        </w:rPr>
        <w:t>出现前款规定情形，不影响采购公平、公正性的，集中采购机构可以待上述情形消除后继续组织电子交易活动，也可以决定某些环节以纸质形式进行；影响或可能影响采购公平、公正性的，应当重新采购。</w:t>
      </w:r>
    </w:p>
    <w:p>
      <w:pPr>
        <w:pStyle w:val="24"/>
        <w:numPr>
          <w:ilvl w:val="0"/>
          <w:numId w:val="2"/>
        </w:numPr>
        <w:spacing w:beforeAutospacing="0" w:afterAutospacing="0" w:line="360" w:lineRule="auto"/>
        <w:ind w:firstLine="480"/>
        <w:rPr>
          <w:rFonts w:hint="eastAsia"/>
          <w:highlight w:val="none"/>
          <w:shd w:val="clear" w:color="auto" w:fill="FFFFFF"/>
        </w:rPr>
      </w:pPr>
      <w:r>
        <w:rPr>
          <w:rFonts w:hint="eastAsia"/>
          <w:highlight w:val="none"/>
          <w:shd w:val="clear" w:color="auto" w:fill="FFFFFF"/>
        </w:rPr>
        <w:t>评审中需要供应商对投标文件作出澄清、说明或者补正的，评审小组和供应商应当通过电子交易平台交换数据电文。供应商需在半小时内提交澄清说明或补正，供应商已经明确表示澄清说明或补正完毕的除外。</w:t>
      </w:r>
    </w:p>
    <w:p>
      <w:pPr>
        <w:pStyle w:val="24"/>
        <w:spacing w:beforeAutospacing="0" w:afterAutospacing="0" w:line="360" w:lineRule="auto"/>
        <w:ind w:firstLine="480"/>
        <w:jc w:val="center"/>
        <w:rPr>
          <w:rFonts w:hint="eastAsia"/>
          <w:highlight w:val="none"/>
          <w:shd w:val="clear" w:color="auto" w:fill="FFFFFF"/>
        </w:rPr>
      </w:pPr>
      <w:r>
        <w:rPr>
          <w:rFonts w:hint="eastAsia"/>
          <w:highlight w:val="none"/>
          <w:shd w:val="clear" w:color="auto" w:fill="FFFFFF"/>
        </w:rPr>
        <w:br w:type="page"/>
      </w:r>
    </w:p>
    <w:p>
      <w:pPr>
        <w:pStyle w:val="24"/>
        <w:spacing w:beforeAutospacing="0" w:afterAutospacing="0" w:line="360" w:lineRule="auto"/>
        <w:ind w:firstLine="480"/>
        <w:jc w:val="center"/>
        <w:rPr>
          <w:rFonts w:hint="eastAsia"/>
          <w:b/>
          <w:sz w:val="32"/>
          <w:szCs w:val="32"/>
          <w:highlight w:val="none"/>
          <w:shd w:val="clear" w:color="auto" w:fill="FFFFFF"/>
        </w:rPr>
      </w:pPr>
      <w:r>
        <w:rPr>
          <w:rFonts w:hint="eastAsia"/>
          <w:b/>
          <w:sz w:val="32"/>
          <w:szCs w:val="32"/>
          <w:highlight w:val="none"/>
          <w:shd w:val="clear" w:color="auto" w:fill="FFFFFF"/>
        </w:rPr>
        <w:t>前　附　表</w:t>
      </w:r>
    </w:p>
    <w:tbl>
      <w:tblPr>
        <w:tblStyle w:val="29"/>
        <w:tblW w:w="856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90" w:hRule="atLeast"/>
          <w:jc w:val="center"/>
        </w:trPr>
        <w:tc>
          <w:tcPr>
            <w:tcW w:w="629"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9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项目名称</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2026年嘉兴市南湖区教育体育局下属学校办公计算机、学生机房设备采购安装项目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9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采购内容</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详见第二章招标需求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2663"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1.包含货物的价格及安装、调试、保修、售后服务、包装和运输、保险等货物伴随服务的费用、所需缴纳的所有税费，采购人不承担由于本项目实施而产生的任何费用。</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2.有关本项目实施所需的所有费用（含税费）均计入报价。开标一览表（报价表）是报价的唯一载体。投标文件中价格全部采用人民币报价。招标文件未列明，而供应商认为必需的费用也需列入报价。</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3.投标（响应）报价低于采购项目最高限价45%的，即投标（响应）报价&lt;采购项目最高限价×45%；供应商应当随投标文件一并提交相关书面说明及必要的证明材料，如不提供的，投标无效。格式自拟。</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提醒：验收时检测费、专家费等验收所产生的合理费用由采购人承担，不包含在投标总价中，若由供应商原因造成的验收不合格所产生的费用，由供应商承担。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1342"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val="zh-CN" w:eastAsia="zh-CN"/>
              </w:rPr>
            </w:pPr>
            <w:r>
              <w:rPr>
                <w:rFonts w:hint="eastAsia" w:ascii="宋体" w:hAnsi="宋体" w:eastAsia="宋体" w:cs="宋体"/>
                <w:b w:val="0"/>
                <w:bCs w:val="0"/>
                <w:sz w:val="24"/>
                <w:szCs w:val="24"/>
                <w:highlight w:val="none"/>
                <w:vertAlign w:val="baseline"/>
                <w:lang w:eastAsia="zh-CN"/>
              </w:rPr>
              <w:sym w:font="Wingdings" w:char="00A8"/>
            </w:r>
            <w:r>
              <w:rPr>
                <w:rFonts w:hint="eastAsia" w:ascii="宋体" w:hAnsi="宋体" w:eastAsia="宋体" w:cs="宋体"/>
                <w:b w:val="0"/>
                <w:bCs w:val="0"/>
                <w:sz w:val="24"/>
                <w:szCs w:val="24"/>
                <w:highlight w:val="none"/>
                <w:vertAlign w:val="baseline"/>
                <w:lang w:eastAsia="zh-CN"/>
              </w:rPr>
              <w:t xml:space="preserve"> </w:t>
            </w:r>
            <w:r>
              <w:rPr>
                <w:rFonts w:hint="eastAsia" w:ascii="宋体" w:hAnsi="宋体" w:eastAsia="宋体" w:cs="宋体"/>
                <w:b w:val="0"/>
                <w:bCs w:val="0"/>
                <w:sz w:val="24"/>
                <w:szCs w:val="24"/>
                <w:highlight w:val="none"/>
                <w:vertAlign w:val="baseline"/>
                <w:lang w:val="zh-CN" w:eastAsia="zh-CN"/>
              </w:rPr>
              <w:t>A同意将非主体、非关键性的</w:t>
            </w:r>
            <w:r>
              <w:rPr>
                <w:rFonts w:hint="eastAsia" w:ascii="宋体" w:hAnsi="宋体" w:eastAsia="宋体" w:cs="宋体"/>
                <w:b w:val="0"/>
                <w:bCs w:val="0"/>
                <w:sz w:val="24"/>
                <w:szCs w:val="24"/>
                <w:highlight w:val="none"/>
                <w:u w:val="single"/>
                <w:vertAlign w:val="baseline"/>
                <w:lang w:val="zh-CN" w:eastAsia="zh-CN"/>
              </w:rPr>
              <w:t xml:space="preserve">             </w:t>
            </w:r>
            <w:r>
              <w:rPr>
                <w:rFonts w:hint="eastAsia" w:ascii="宋体" w:hAnsi="宋体" w:eastAsia="宋体" w:cs="宋体"/>
                <w:b w:val="0"/>
                <w:bCs w:val="0"/>
                <w:sz w:val="24"/>
                <w:szCs w:val="24"/>
                <w:highlight w:val="none"/>
                <w:vertAlign w:val="baseline"/>
                <w:lang w:val="zh-CN" w:eastAsia="zh-CN"/>
              </w:rPr>
              <w:t>工作分包。</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sym w:font="Wingdings" w:char="00FE"/>
            </w:r>
            <w:r>
              <w:rPr>
                <w:rFonts w:hint="eastAsia" w:ascii="宋体" w:hAnsi="宋体" w:eastAsia="宋体" w:cs="宋体"/>
                <w:b w:val="0"/>
                <w:bCs w:val="0"/>
                <w:sz w:val="24"/>
                <w:szCs w:val="24"/>
                <w:highlight w:val="none"/>
                <w:vertAlign w:val="baseline"/>
                <w:lang w:eastAsia="zh-CN"/>
              </w:rPr>
              <w:t xml:space="preserve"> </w:t>
            </w:r>
            <w:r>
              <w:rPr>
                <w:rFonts w:hint="eastAsia" w:ascii="宋体" w:hAnsi="宋体" w:eastAsia="宋体" w:cs="宋体"/>
                <w:b w:val="0"/>
                <w:bCs w:val="0"/>
                <w:sz w:val="24"/>
                <w:szCs w:val="24"/>
                <w:highlight w:val="none"/>
                <w:vertAlign w:val="baseline"/>
                <w:lang w:val="zh-CN" w:eastAsia="zh-CN"/>
              </w:rPr>
              <w:t>B不同意分包。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97"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开标前答疑会或现场踏勘</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sym w:font="Wingdings" w:char="00FE"/>
            </w:r>
            <w:r>
              <w:rPr>
                <w:rFonts w:hint="eastAsia" w:ascii="宋体" w:hAnsi="宋体" w:eastAsia="宋体" w:cs="宋体"/>
                <w:b w:val="0"/>
                <w:bCs w:val="0"/>
                <w:sz w:val="24"/>
                <w:szCs w:val="24"/>
                <w:highlight w:val="none"/>
                <w:vertAlign w:val="baseline"/>
                <w:lang w:val="zh-CN" w:eastAsia="zh-CN"/>
              </w:rPr>
              <w:t>A不组织。</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sym w:font="Wingdings" w:char="00A8"/>
            </w:r>
            <w:r>
              <w:rPr>
                <w:rFonts w:hint="eastAsia" w:ascii="宋体" w:hAnsi="宋体" w:eastAsia="宋体" w:cs="宋体"/>
                <w:b w:val="0"/>
                <w:bCs w:val="0"/>
                <w:sz w:val="24"/>
                <w:szCs w:val="24"/>
                <w:highlight w:val="none"/>
                <w:vertAlign w:val="baseline"/>
                <w:lang w:val="zh-CN" w:eastAsia="zh-CN"/>
              </w:rPr>
              <w:t>B组织，时间：</w:t>
            </w:r>
            <w:r>
              <w:rPr>
                <w:rFonts w:hint="eastAsia" w:ascii="宋体" w:hAnsi="宋体" w:eastAsia="宋体" w:cs="宋体"/>
                <w:b w:val="0"/>
                <w:bCs w:val="0"/>
                <w:sz w:val="24"/>
                <w:szCs w:val="24"/>
                <w:highlight w:val="none"/>
                <w:u w:val="single"/>
                <w:vertAlign w:val="baseline"/>
                <w:lang w:eastAsia="zh-CN"/>
              </w:rPr>
              <w:t xml:space="preserve">      ,</w:t>
            </w:r>
            <w:r>
              <w:rPr>
                <w:rFonts w:hint="eastAsia" w:ascii="宋体" w:hAnsi="宋体" w:eastAsia="宋体" w:cs="宋体"/>
                <w:b w:val="0"/>
                <w:bCs w:val="0"/>
                <w:sz w:val="24"/>
                <w:szCs w:val="24"/>
                <w:highlight w:val="none"/>
                <w:vertAlign w:val="baseline"/>
                <w:lang w:val="zh-CN" w:eastAsia="zh-CN"/>
              </w:rPr>
              <w:t>地点：</w:t>
            </w:r>
            <w:r>
              <w:rPr>
                <w:rFonts w:hint="eastAsia" w:ascii="宋体" w:hAnsi="宋体" w:eastAsia="宋体" w:cs="宋体"/>
                <w:b w:val="0"/>
                <w:bCs w:val="0"/>
                <w:sz w:val="24"/>
                <w:szCs w:val="24"/>
                <w:highlight w:val="none"/>
                <w:vertAlign w:val="baseline"/>
                <w:lang w:eastAsia="zh-CN"/>
              </w:rPr>
              <w:t>嘉兴市区路号室</w:t>
            </w:r>
            <w:r>
              <w:rPr>
                <w:rFonts w:hint="eastAsia" w:ascii="宋体" w:hAnsi="宋体" w:eastAsia="宋体" w:cs="宋体"/>
                <w:b w:val="0"/>
                <w:bCs w:val="0"/>
                <w:sz w:val="24"/>
                <w:szCs w:val="24"/>
                <w:highlight w:val="none"/>
                <w:vertAlign w:val="baseline"/>
                <w:lang w:val="zh-CN" w:eastAsia="zh-CN"/>
              </w:rPr>
              <w:t>，联系人：</w:t>
            </w:r>
            <w:r>
              <w:rPr>
                <w:rFonts w:hint="eastAsia" w:ascii="宋体" w:hAnsi="宋体" w:eastAsia="宋体" w:cs="宋体"/>
                <w:b w:val="0"/>
                <w:bCs w:val="0"/>
                <w:sz w:val="24"/>
                <w:szCs w:val="24"/>
                <w:highlight w:val="none"/>
                <w:u w:val="single"/>
                <w:vertAlign w:val="baseline"/>
                <w:lang w:eastAsia="zh-CN"/>
              </w:rPr>
              <w:t xml:space="preserve">      ，</w:t>
            </w:r>
            <w:r>
              <w:rPr>
                <w:rFonts w:hint="eastAsia" w:ascii="宋体" w:hAnsi="宋体" w:eastAsia="宋体" w:cs="宋体"/>
                <w:b w:val="0"/>
                <w:bCs w:val="0"/>
                <w:sz w:val="24"/>
                <w:szCs w:val="24"/>
                <w:highlight w:val="none"/>
                <w:vertAlign w:val="baseline"/>
                <w:lang w:val="zh-CN" w:eastAsia="zh-CN"/>
              </w:rPr>
              <w:t>联系方式：</w:t>
            </w:r>
            <w:r>
              <w:rPr>
                <w:rFonts w:hint="eastAsia" w:ascii="宋体" w:hAnsi="宋体" w:eastAsia="宋体" w:cs="宋体"/>
                <w:b w:val="0"/>
                <w:bCs w:val="0"/>
                <w:sz w:val="24"/>
                <w:szCs w:val="24"/>
                <w:highlight w:val="none"/>
                <w:u w:val="single"/>
                <w:vertAlign w:val="baseline"/>
                <w:lang w:eastAsia="zh-CN"/>
              </w:rPr>
              <w:t xml:space="preserve">      。</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val="zh-CN" w:eastAsia="zh-CN"/>
              </w:rPr>
              <w:t>本项目须进行现场踏勘（招标文件中不能详细表述的不可预见费用、招标需求等，投标供应商需通过现场踏勘后考虑在最终报价内，否则后果由中标供应商自负）；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97"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投标</w:t>
            </w:r>
            <w:r>
              <w:rPr>
                <w:rFonts w:hint="eastAsia" w:ascii="宋体" w:hAnsi="宋体" w:eastAsia="宋体" w:cs="宋体"/>
                <w:b/>
                <w:bCs/>
                <w:sz w:val="24"/>
                <w:szCs w:val="24"/>
                <w:highlight w:val="none"/>
                <w:vertAlign w:val="baseline"/>
                <w:lang w:val="zh-CN" w:eastAsia="zh-CN"/>
              </w:rPr>
              <w:t>文件组成</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val="zh-CN" w:eastAsia="zh-CN"/>
              </w:rPr>
            </w:pPr>
            <w:r>
              <w:rPr>
                <w:rFonts w:hint="eastAsia" w:ascii="宋体" w:hAnsi="宋体" w:eastAsia="宋体" w:cs="宋体"/>
                <w:b w:val="0"/>
                <w:bCs w:val="0"/>
                <w:sz w:val="24"/>
                <w:szCs w:val="24"/>
                <w:highlight w:val="none"/>
                <w:vertAlign w:val="baseline"/>
                <w:lang w:val="zh-CN" w:eastAsia="zh-CN"/>
              </w:rPr>
              <w:t>电子</w:t>
            </w:r>
            <w:r>
              <w:rPr>
                <w:rFonts w:hint="eastAsia" w:ascii="宋体" w:hAnsi="宋体" w:eastAsia="宋体" w:cs="宋体"/>
                <w:b w:val="0"/>
                <w:bCs w:val="0"/>
                <w:sz w:val="24"/>
                <w:szCs w:val="24"/>
                <w:highlight w:val="none"/>
                <w:vertAlign w:val="baseline"/>
                <w:lang w:eastAsia="zh-CN"/>
              </w:rPr>
              <w:t>投标</w:t>
            </w:r>
            <w:r>
              <w:rPr>
                <w:rFonts w:hint="eastAsia" w:ascii="宋体" w:hAnsi="宋体" w:eastAsia="宋体" w:cs="宋体"/>
                <w:b w:val="0"/>
                <w:bCs w:val="0"/>
                <w:sz w:val="24"/>
                <w:szCs w:val="24"/>
                <w:highlight w:val="none"/>
                <w:vertAlign w:val="baseline"/>
                <w:lang w:val="zh-CN" w:eastAsia="zh-CN"/>
              </w:rPr>
              <w:t>文件和备份</w:t>
            </w:r>
            <w:r>
              <w:rPr>
                <w:rFonts w:hint="eastAsia" w:ascii="宋体" w:hAnsi="宋体" w:eastAsia="宋体" w:cs="宋体"/>
                <w:b w:val="0"/>
                <w:bCs w:val="0"/>
                <w:sz w:val="24"/>
                <w:szCs w:val="24"/>
                <w:highlight w:val="none"/>
                <w:vertAlign w:val="baseline"/>
                <w:lang w:eastAsia="zh-CN"/>
              </w:rPr>
              <w:t>投标</w:t>
            </w:r>
            <w:r>
              <w:rPr>
                <w:rFonts w:hint="eastAsia" w:ascii="宋体" w:hAnsi="宋体" w:eastAsia="宋体" w:cs="宋体"/>
                <w:b w:val="0"/>
                <w:bCs w:val="0"/>
                <w:sz w:val="24"/>
                <w:szCs w:val="24"/>
                <w:highlight w:val="none"/>
                <w:vertAlign w:val="baseline"/>
                <w:lang w:val="zh-CN" w:eastAsia="zh-CN"/>
              </w:rPr>
              <w:t>文件均由</w:t>
            </w:r>
            <w:r>
              <w:rPr>
                <w:rFonts w:hint="eastAsia" w:ascii="宋体" w:hAnsi="宋体" w:eastAsia="宋体" w:cs="宋体"/>
                <w:b w:val="0"/>
                <w:bCs w:val="0"/>
                <w:sz w:val="24"/>
                <w:szCs w:val="24"/>
                <w:highlight w:val="none"/>
                <w:vertAlign w:val="baseline"/>
                <w:lang w:eastAsia="zh-CN"/>
              </w:rPr>
              <w:t>资格</w:t>
            </w:r>
            <w:r>
              <w:rPr>
                <w:rFonts w:hint="eastAsia" w:ascii="宋体" w:hAnsi="宋体" w:eastAsia="宋体" w:cs="宋体"/>
                <w:b w:val="0"/>
                <w:bCs w:val="0"/>
                <w:sz w:val="24"/>
                <w:szCs w:val="24"/>
                <w:highlight w:val="none"/>
                <w:vertAlign w:val="baseline"/>
                <w:lang w:val="zh-CN" w:eastAsia="zh-CN"/>
              </w:rPr>
              <w:t>文件、</w:t>
            </w:r>
            <w:r>
              <w:rPr>
                <w:rFonts w:hint="eastAsia" w:ascii="宋体" w:hAnsi="宋体" w:eastAsia="宋体" w:cs="宋体"/>
                <w:b w:val="0"/>
                <w:bCs w:val="0"/>
                <w:sz w:val="24"/>
                <w:szCs w:val="24"/>
                <w:highlight w:val="none"/>
                <w:vertAlign w:val="baseline"/>
                <w:lang w:eastAsia="zh-CN"/>
              </w:rPr>
              <w:t>商务</w:t>
            </w:r>
            <w:r>
              <w:rPr>
                <w:rFonts w:hint="eastAsia" w:ascii="宋体" w:hAnsi="宋体" w:eastAsia="宋体" w:cs="宋体"/>
                <w:b w:val="0"/>
                <w:bCs w:val="0"/>
                <w:sz w:val="24"/>
                <w:szCs w:val="24"/>
                <w:highlight w:val="none"/>
                <w:vertAlign w:val="baseline"/>
                <w:lang w:val="zh-CN" w:eastAsia="zh-CN"/>
              </w:rPr>
              <w:t>技术文件及投标报价文件</w:t>
            </w:r>
            <w:r>
              <w:rPr>
                <w:rFonts w:hint="eastAsia" w:ascii="宋体" w:hAnsi="宋体" w:eastAsia="宋体" w:cs="宋体"/>
                <w:b w:val="0"/>
                <w:bCs w:val="0"/>
                <w:sz w:val="24"/>
                <w:szCs w:val="24"/>
                <w:highlight w:val="none"/>
                <w:vertAlign w:val="baseline"/>
                <w:lang w:eastAsia="zh-CN"/>
              </w:rPr>
              <w:t>三</w:t>
            </w:r>
            <w:r>
              <w:rPr>
                <w:rFonts w:hint="eastAsia" w:ascii="宋体" w:hAnsi="宋体" w:eastAsia="宋体" w:cs="宋体"/>
                <w:b w:val="0"/>
                <w:bCs w:val="0"/>
                <w:sz w:val="24"/>
                <w:szCs w:val="24"/>
                <w:highlight w:val="none"/>
                <w:vertAlign w:val="baseline"/>
                <w:lang w:val="zh-CN" w:eastAsia="zh-CN"/>
              </w:rPr>
              <w:t>部分组成。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97"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val="zh-CN" w:eastAsia="zh-CN"/>
              </w:rPr>
              <w:t>开标时间及地点</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val="zh-CN" w:eastAsia="zh-CN"/>
              </w:rPr>
            </w:pPr>
            <w:r>
              <w:rPr>
                <w:rFonts w:hint="eastAsia" w:ascii="宋体" w:hAnsi="宋体" w:eastAsia="宋体" w:cs="宋体"/>
                <w:b w:val="0"/>
                <w:bCs w:val="0"/>
                <w:sz w:val="24"/>
                <w:szCs w:val="24"/>
                <w:highlight w:val="none"/>
                <w:vertAlign w:val="baseline"/>
                <w:lang w:eastAsia="zh-CN"/>
              </w:rPr>
              <w:t>时间：</w:t>
            </w:r>
            <w:r>
              <w:rPr>
                <w:rFonts w:hint="eastAsia" w:ascii="宋体" w:hAnsi="宋体" w:cs="宋体"/>
                <w:b w:val="0"/>
                <w:bCs w:val="0"/>
                <w:sz w:val="24"/>
                <w:szCs w:val="24"/>
                <w:highlight w:val="none"/>
                <w:vertAlign w:val="baseline"/>
                <w:lang w:val="zh-CN" w:eastAsia="zh-CN"/>
              </w:rPr>
              <w:t>2026年7月31日</w:t>
            </w:r>
            <w:r>
              <w:rPr>
                <w:rFonts w:hint="eastAsia" w:ascii="宋体" w:hAnsi="宋体" w:eastAsia="宋体" w:cs="宋体"/>
                <w:b w:val="0"/>
                <w:bCs w:val="0"/>
                <w:sz w:val="24"/>
                <w:szCs w:val="24"/>
                <w:highlight w:val="none"/>
                <w:vertAlign w:val="baseline"/>
                <w:lang w:val="zh-CN" w:eastAsia="zh-CN"/>
              </w:rPr>
              <w:t>9时30分</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地点：政采云平台</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val="zh-CN" w:eastAsia="zh-CN"/>
              </w:rPr>
            </w:pPr>
            <w:r>
              <w:rPr>
                <w:rFonts w:hint="eastAsia" w:ascii="宋体" w:hAnsi="宋体" w:eastAsia="宋体" w:cs="宋体"/>
                <w:b w:val="0"/>
                <w:bCs w:val="0"/>
                <w:sz w:val="24"/>
                <w:szCs w:val="24"/>
                <w:highlight w:val="none"/>
                <w:vertAlign w:val="baseline"/>
                <w:lang w:val="zh-CN" w:eastAsia="zh-CN"/>
              </w:rPr>
              <w:t>供应商无需到开标现场，但须准时在线参加，直至评审结束。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90"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8</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sym w:font="Wingdings" w:char="00FE"/>
            </w:r>
            <w:r>
              <w:rPr>
                <w:rFonts w:hint="eastAsia" w:ascii="宋体" w:hAnsi="宋体" w:eastAsia="宋体" w:cs="宋体"/>
                <w:b w:val="0"/>
                <w:bCs w:val="0"/>
                <w:sz w:val="24"/>
                <w:szCs w:val="24"/>
                <w:highlight w:val="none"/>
                <w:vertAlign w:val="baseline"/>
                <w:lang w:val="zh-CN" w:eastAsia="zh-CN"/>
              </w:rPr>
              <w:t>A不组织。</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val="zh-CN" w:eastAsia="zh-CN"/>
              </w:rPr>
            </w:pPr>
            <w:r>
              <w:rPr>
                <w:rFonts w:hint="eastAsia" w:ascii="宋体" w:hAnsi="宋体" w:eastAsia="宋体" w:cs="宋体"/>
                <w:b w:val="0"/>
                <w:bCs w:val="0"/>
                <w:sz w:val="24"/>
                <w:szCs w:val="24"/>
                <w:highlight w:val="none"/>
                <w:vertAlign w:val="baseline"/>
                <w:lang w:eastAsia="zh-CN"/>
              </w:rPr>
              <w:sym w:font="Wingdings" w:char="00A8"/>
            </w:r>
            <w:r>
              <w:rPr>
                <w:rFonts w:hint="eastAsia" w:ascii="宋体" w:hAnsi="宋体" w:eastAsia="宋体" w:cs="宋体"/>
                <w:b w:val="0"/>
                <w:bCs w:val="0"/>
                <w:sz w:val="24"/>
                <w:szCs w:val="24"/>
                <w:highlight w:val="none"/>
                <w:vertAlign w:val="baseline"/>
                <w:lang w:val="zh-CN" w:eastAsia="zh-CN"/>
              </w:rPr>
              <w:t>B组织。</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val="zh-CN" w:eastAsia="zh-CN"/>
              </w:rPr>
            </w:pPr>
            <w:r>
              <w:rPr>
                <w:rFonts w:hint="eastAsia" w:ascii="宋体" w:hAnsi="宋体" w:eastAsia="宋体" w:cs="宋体"/>
                <w:b w:val="0"/>
                <w:bCs w:val="0"/>
                <w:sz w:val="24"/>
                <w:szCs w:val="24"/>
                <w:highlight w:val="none"/>
                <w:vertAlign w:val="baseline"/>
                <w:lang w:val="zh-CN" w:eastAsia="zh-CN"/>
              </w:rPr>
              <w:t>（1）在评标时安排每个投标供应商进行方案讲解演示。每个投标供应商时间不超过分钟（</w:t>
            </w:r>
            <w:r>
              <w:rPr>
                <w:rFonts w:hint="eastAsia" w:ascii="宋体" w:hAnsi="宋体" w:eastAsia="宋体" w:cs="宋体"/>
                <w:b w:val="0"/>
                <w:bCs w:val="0"/>
                <w:sz w:val="24"/>
                <w:szCs w:val="24"/>
                <w:highlight w:val="none"/>
                <w:vertAlign w:val="baseline"/>
                <w:lang w:eastAsia="zh-CN"/>
              </w:rPr>
              <w:t>不含专家提问时间）</w:t>
            </w:r>
            <w:r>
              <w:rPr>
                <w:rFonts w:hint="eastAsia" w:ascii="宋体" w:hAnsi="宋体" w:eastAsia="宋体" w:cs="宋体"/>
                <w:b w:val="0"/>
                <w:bCs w:val="0"/>
                <w:sz w:val="24"/>
                <w:szCs w:val="24"/>
                <w:highlight w:val="none"/>
                <w:vertAlign w:val="baseline"/>
                <w:lang w:val="zh-CN" w:eastAsia="zh-CN"/>
              </w:rPr>
              <w:t>，讲解次序以投标文件解密时间先后次序为准。讲解演示结束后按要求解答评标委员会提问。</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val="zh-CN" w:eastAsia="zh-CN"/>
              </w:rPr>
            </w:pPr>
            <w:r>
              <w:rPr>
                <w:rFonts w:hint="eastAsia" w:ascii="宋体" w:hAnsi="宋体" w:eastAsia="宋体" w:cs="宋体"/>
                <w:b w:val="0"/>
                <w:bCs w:val="0"/>
                <w:sz w:val="24"/>
                <w:szCs w:val="24"/>
                <w:highlight w:val="none"/>
                <w:vertAlign w:val="baseline"/>
                <w:lang w:val="zh-CN" w:eastAsia="zh-CN"/>
              </w:rPr>
              <w:t>（2）</w:t>
            </w:r>
            <w:r>
              <w:rPr>
                <w:rFonts w:hint="eastAsia" w:ascii="宋体" w:hAnsi="宋体" w:eastAsia="宋体" w:cs="宋体"/>
                <w:b w:val="0"/>
                <w:bCs w:val="0"/>
                <w:sz w:val="24"/>
                <w:szCs w:val="24"/>
                <w:highlight w:val="none"/>
                <w:vertAlign w:val="baseline"/>
                <w:lang w:eastAsia="zh-CN"/>
              </w:rPr>
              <w:t>演示</w:t>
            </w:r>
            <w:r>
              <w:rPr>
                <w:rFonts w:hint="eastAsia" w:ascii="宋体" w:hAnsi="宋体" w:eastAsia="宋体" w:cs="宋体"/>
                <w:b w:val="0"/>
                <w:bCs w:val="0"/>
                <w:sz w:val="24"/>
                <w:szCs w:val="24"/>
                <w:highlight w:val="none"/>
                <w:vertAlign w:val="baseline"/>
                <w:lang w:val="zh-CN" w:eastAsia="zh-CN"/>
              </w:rPr>
              <w:t>方式：</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val="zh-CN" w:eastAsia="zh-CN"/>
              </w:rPr>
              <w:t>政采云平台在线讲解演示。政采云平台在线讲解需投标供应商根据政采云平台操作要求做好准备工作，确保网络、摄像头、麦克风、演示环境等演示所需设备和系统正常稳定，并提前熟悉操作和使用。</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val="zh-CN" w:eastAsia="zh-CN"/>
              </w:rPr>
            </w:pPr>
            <w:r>
              <w:rPr>
                <w:rFonts w:hint="eastAsia" w:ascii="宋体" w:hAnsi="宋体" w:eastAsia="宋体" w:cs="宋体"/>
                <w:b w:val="0"/>
                <w:bCs w:val="0"/>
                <w:sz w:val="24"/>
                <w:szCs w:val="24"/>
                <w:highlight w:val="none"/>
                <w:vertAlign w:val="baseline"/>
                <w:lang w:val="zh-CN" w:eastAsia="zh-CN"/>
              </w:rPr>
              <w:t>注：因投标供应商自身原因导致无法演示或者演示效果不理想的，责任自负。因平台原因导致本项目方案讲解演示环节无法顺利开展，按照《浙江省政府采购项目电子交易管理暂行办法》相关规定执行。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sym w:font="Wingdings" w:char="00FE"/>
            </w:r>
            <w:r>
              <w:rPr>
                <w:rFonts w:hint="eastAsia" w:ascii="宋体" w:hAnsi="宋体" w:eastAsia="宋体" w:cs="宋体"/>
                <w:b w:val="0"/>
                <w:bCs w:val="0"/>
                <w:sz w:val="24"/>
                <w:szCs w:val="24"/>
                <w:highlight w:val="none"/>
                <w:vertAlign w:val="baseline"/>
                <w:lang w:val="zh-CN" w:eastAsia="zh-CN"/>
              </w:rPr>
              <w:t>本项目不允许采购进口产品。</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sym w:font="Wingdings" w:char="00A8"/>
            </w:r>
            <w:r>
              <w:rPr>
                <w:rFonts w:hint="eastAsia" w:ascii="宋体" w:hAnsi="宋体" w:eastAsia="宋体" w:cs="宋体"/>
                <w:b w:val="0"/>
                <w:bCs w:val="0"/>
                <w:sz w:val="24"/>
                <w:szCs w:val="24"/>
                <w:highlight w:val="none"/>
                <w:vertAlign w:val="baseline"/>
                <w:lang w:val="zh-CN" w:eastAsia="zh-CN"/>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本国产品</w:t>
            </w:r>
          </w:p>
        </w:tc>
        <w:tc>
          <w:tcPr>
            <w:tcW w:w="6095" w:type="dxa"/>
            <w:tcBorders>
              <w:top w:val="single" w:color="000000" w:sz="8" w:space="0"/>
              <w:left w:val="single" w:color="000000" w:sz="2" w:space="0"/>
              <w:bottom w:val="single" w:color="000000" w:sz="8" w:space="0"/>
              <w:right w:val="single" w:color="000000" w:sz="8" w:space="0"/>
            </w:tcBorders>
            <w:vAlign w:val="top"/>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sym w:font="Wingdings" w:char="00A8"/>
            </w:r>
            <w:r>
              <w:rPr>
                <w:rFonts w:hint="eastAsia" w:ascii="宋体" w:hAnsi="宋体" w:eastAsia="宋体" w:cs="宋体"/>
                <w:b w:val="0"/>
                <w:bCs w:val="0"/>
                <w:sz w:val="24"/>
                <w:szCs w:val="24"/>
                <w:highlight w:val="none"/>
                <w:vertAlign w:val="baseline"/>
                <w:lang w:eastAsia="zh-CN"/>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sym w:font="Wingdings" w:char="00FE"/>
            </w:r>
            <w:r>
              <w:rPr>
                <w:rFonts w:hint="eastAsia" w:ascii="宋体" w:hAnsi="宋体" w:eastAsia="宋体" w:cs="宋体"/>
                <w:b w:val="0"/>
                <w:bCs w:val="0"/>
                <w:sz w:val="24"/>
                <w:szCs w:val="24"/>
                <w:highlight w:val="none"/>
                <w:vertAlign w:val="baseline"/>
                <w:lang w:eastAsia="zh-CN"/>
              </w:rPr>
              <w:t>不适用。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11</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项目属性与核心产品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sym w:font="Wingdings" w:char="00FE"/>
            </w:r>
            <w:r>
              <w:rPr>
                <w:rFonts w:hint="eastAsia" w:ascii="宋体" w:hAnsi="宋体" w:eastAsia="宋体" w:cs="宋体"/>
                <w:b w:val="0"/>
                <w:bCs w:val="0"/>
                <w:sz w:val="24"/>
                <w:szCs w:val="24"/>
                <w:highlight w:val="none"/>
                <w:vertAlign w:val="baseline"/>
                <w:lang w:val="zh-CN" w:eastAsia="zh-CN"/>
              </w:rPr>
              <w:t>A货物类，核心产品为：</w:t>
            </w:r>
            <w:r>
              <w:rPr>
                <w:rFonts w:hint="eastAsia" w:ascii="宋体" w:hAnsi="宋体" w:eastAsia="宋体" w:cs="宋体"/>
                <w:b w:val="0"/>
                <w:bCs w:val="0"/>
                <w:sz w:val="24"/>
                <w:szCs w:val="24"/>
                <w:highlight w:val="none"/>
                <w:u w:val="single"/>
                <w:vertAlign w:val="baseline"/>
                <w:lang w:eastAsia="zh-CN"/>
              </w:rPr>
              <w:t>序号</w:t>
            </w:r>
            <w:r>
              <w:rPr>
                <w:rFonts w:hint="eastAsia" w:ascii="宋体" w:hAnsi="宋体" w:eastAsia="宋体" w:cs="宋体"/>
                <w:b w:val="0"/>
                <w:bCs w:val="0"/>
                <w:sz w:val="24"/>
                <w:szCs w:val="24"/>
                <w:highlight w:val="none"/>
                <w:u w:val="single"/>
                <w:vertAlign w:val="baseline"/>
                <w:lang w:val="en-US" w:eastAsia="zh-CN"/>
              </w:rPr>
              <w:t>1.</w:t>
            </w:r>
            <w:r>
              <w:rPr>
                <w:rFonts w:hint="eastAsia" w:ascii="宋体" w:hAnsi="宋体" w:eastAsia="宋体" w:cs="宋体"/>
                <w:b w:val="0"/>
                <w:bCs w:val="0"/>
                <w:sz w:val="24"/>
                <w:szCs w:val="24"/>
                <w:highlight w:val="none"/>
                <w:u w:val="single"/>
                <w:vertAlign w:val="baseline"/>
                <w:lang w:eastAsia="zh-CN"/>
              </w:rPr>
              <w:t>台式计算机（办公）、序号</w:t>
            </w:r>
            <w:r>
              <w:rPr>
                <w:rFonts w:hint="eastAsia" w:ascii="宋体" w:hAnsi="宋体" w:eastAsia="宋体" w:cs="宋体"/>
                <w:b w:val="0"/>
                <w:bCs w:val="0"/>
                <w:sz w:val="24"/>
                <w:szCs w:val="24"/>
                <w:highlight w:val="none"/>
                <w:u w:val="single"/>
                <w:vertAlign w:val="baseline"/>
                <w:lang w:val="en-US" w:eastAsia="zh-CN"/>
              </w:rPr>
              <w:t>2.</w:t>
            </w:r>
            <w:r>
              <w:rPr>
                <w:rFonts w:hint="eastAsia" w:ascii="宋体" w:hAnsi="宋体" w:eastAsia="宋体" w:cs="宋体"/>
                <w:b w:val="0"/>
                <w:bCs w:val="0"/>
                <w:sz w:val="24"/>
                <w:szCs w:val="24"/>
                <w:highlight w:val="none"/>
                <w:u w:val="single"/>
                <w:vertAlign w:val="baseline"/>
                <w:lang w:eastAsia="zh-CN"/>
              </w:rPr>
              <w:t>台式计算机（学生机）。</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sym w:font="Wingdings" w:char="00A8"/>
            </w:r>
            <w:r>
              <w:rPr>
                <w:rFonts w:hint="eastAsia" w:ascii="宋体" w:hAnsi="宋体" w:eastAsia="宋体" w:cs="宋体"/>
                <w:b w:val="0"/>
                <w:bCs w:val="0"/>
                <w:sz w:val="24"/>
                <w:szCs w:val="24"/>
                <w:highlight w:val="none"/>
                <w:vertAlign w:val="baseline"/>
                <w:lang w:val="zh-CN" w:eastAsia="zh-CN"/>
              </w:rPr>
              <w:t>B服务类。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12</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采购标的对应的中小企业划分标准所属行业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val="zh-CN" w:eastAsia="zh-CN"/>
              </w:rPr>
              <w:t>标的：</w:t>
            </w:r>
            <w:r>
              <w:rPr>
                <w:rFonts w:hint="eastAsia" w:ascii="宋体" w:hAnsi="宋体" w:eastAsia="宋体" w:cs="宋体"/>
                <w:b w:val="0"/>
                <w:bCs w:val="0"/>
                <w:sz w:val="24"/>
                <w:szCs w:val="24"/>
                <w:highlight w:val="none"/>
                <w:u w:val="single"/>
                <w:vertAlign w:val="baseline"/>
                <w:lang w:eastAsia="zh-CN"/>
              </w:rPr>
              <w:t xml:space="preserve"> </w:t>
            </w:r>
            <w:r>
              <w:rPr>
                <w:rFonts w:hint="eastAsia" w:ascii="宋体" w:hAnsi="宋体" w:eastAsia="宋体" w:cs="宋体"/>
                <w:b w:val="0"/>
                <w:bCs w:val="0"/>
                <w:sz w:val="24"/>
                <w:szCs w:val="24"/>
                <w:highlight w:val="none"/>
                <w:u w:val="single"/>
                <w:vertAlign w:val="baseline"/>
                <w:lang w:val="zh-CN" w:eastAsia="zh-CN"/>
              </w:rPr>
              <w:t xml:space="preserve">计算机设备 </w:t>
            </w:r>
            <w:r>
              <w:rPr>
                <w:rFonts w:hint="eastAsia" w:ascii="宋体" w:hAnsi="宋体" w:eastAsia="宋体" w:cs="宋体"/>
                <w:b w:val="0"/>
                <w:bCs w:val="0"/>
                <w:sz w:val="24"/>
                <w:szCs w:val="24"/>
                <w:highlight w:val="none"/>
                <w:vertAlign w:val="baseline"/>
                <w:lang w:eastAsia="zh-CN"/>
              </w:rPr>
              <w:t>，</w:t>
            </w:r>
            <w:r>
              <w:rPr>
                <w:rFonts w:hint="eastAsia" w:ascii="宋体" w:hAnsi="宋体" w:eastAsia="宋体" w:cs="宋体"/>
                <w:b w:val="0"/>
                <w:bCs w:val="0"/>
                <w:sz w:val="24"/>
                <w:szCs w:val="24"/>
                <w:highlight w:val="none"/>
                <w:vertAlign w:val="baseline"/>
                <w:lang w:val="zh-CN" w:eastAsia="zh-CN"/>
              </w:rPr>
              <w:t>属于</w:t>
            </w:r>
            <w:r>
              <w:rPr>
                <w:rFonts w:hint="eastAsia" w:ascii="宋体" w:hAnsi="宋体" w:eastAsia="宋体" w:cs="宋体"/>
                <w:b w:val="0"/>
                <w:bCs w:val="0"/>
                <w:sz w:val="24"/>
                <w:szCs w:val="24"/>
                <w:highlight w:val="none"/>
                <w:u w:val="single"/>
                <w:vertAlign w:val="baseline"/>
                <w:lang w:eastAsia="zh-CN"/>
              </w:rPr>
              <w:t xml:space="preserve"> 工业  </w:t>
            </w:r>
            <w:r>
              <w:rPr>
                <w:rFonts w:hint="eastAsia" w:ascii="宋体" w:hAnsi="宋体" w:eastAsia="宋体" w:cs="宋体"/>
                <w:b w:val="0"/>
                <w:bCs w:val="0"/>
                <w:sz w:val="24"/>
                <w:szCs w:val="24"/>
                <w:highlight w:val="none"/>
                <w:vertAlign w:val="baseline"/>
                <w:lang w:val="zh-CN" w:eastAsia="zh-CN"/>
              </w:rPr>
              <w:t>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13</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按《节能产品政府采购品目清单》财库〔2019〕19号执行；政府采购节能产品、环境标志产品实施品目清单管理：投标产品符合财库〔2019〕9号《关于调整优化节能产品、环境标志产品政府采购执行机制的通知》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1855" w:hRule="atLeast"/>
          <w:jc w:val="center"/>
        </w:trPr>
        <w:tc>
          <w:tcPr>
            <w:tcW w:w="629" w:type="dxa"/>
            <w:tcBorders>
              <w:left w:val="single" w:color="000000" w:sz="8"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14</w:t>
            </w:r>
          </w:p>
        </w:tc>
        <w:tc>
          <w:tcPr>
            <w:tcW w:w="1843" w:type="dxa"/>
            <w:tcBorders>
              <w:left w:val="single" w:color="000000" w:sz="2"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评标结果公告及中标通知书</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评标结束后2个工作日内，评标结果公告于浙江政府采购网(http://www.zjzfcg.gov.cn/new/)</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中标公告期限为1个工作日（中标供应商为小微企业的，其中小企业声明函将随中标结果同时公告）。在公告中标结果的同时，集中采购机构在政采云系统向中标供应商发出中标通知书。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737"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15</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履约保证金</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val="zh-CN" w:eastAsia="zh-CN"/>
              </w:rPr>
              <w:t>无</w:t>
            </w:r>
            <w:r>
              <w:rPr>
                <w:rFonts w:hint="eastAsia" w:ascii="宋体" w:hAnsi="宋体" w:eastAsia="宋体" w:cs="宋体"/>
                <w:b w:val="0"/>
                <w:bCs w:val="0"/>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1209"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16</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签订合同时间</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中标通知书发出后30日内。建议采购人在对采购结果质疑期（自采购结果公告之日起七个工作日）后与中标供应商签订政府采购合同。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1209"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17</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合同公告</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本项目政府采购合同将于签订之日起2个工作日内发布于浙江政府采购网，但政府采购合同中涉及国家秘密、商业秘密的内容除外。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1052"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18</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本项目预算金额</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预算金额：4377800元，最高限价为预算价，超预算价的投标文件无效。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154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19</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付款条件</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根据浙财采监[2025]10号文件执行；</w:t>
            </w:r>
          </w:p>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合同签订且具备实施条件后7个工作日内，向中标供应商支付合同金额的40%作为预付款；项目终验通过且收到发票后7个工作日内支付至合同金额的100%。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234"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20</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投标文件有效期</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90天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1239"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21</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中小企业预留份额情况</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val="0"/>
                <w:bCs w:val="0"/>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根据《政府采购促进中小企业发展管理办法》财库〔2020〕46号文件的规定，本项目不属于预留份额专门面向中小企业采购的项目。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1734"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22</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政策优惠</w:t>
            </w:r>
          </w:p>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left"/>
              <w:rPr>
                <w:rFonts w:hint="eastAsia" w:ascii="宋体" w:hAnsi="宋体" w:eastAsia="宋体" w:cs="宋体"/>
                <w:b/>
                <w:bCs/>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1.根据财库〔2020〕46号、财库〔2022〕19号等相关规定，在评审时对于未预留份额专门面向中小企业的政府采购货物或服务项目，以及预留份额政府采购货物或服务项目中的非预留部分标项，对小型和微型企业的投标报价给予10%的扣除，用扣除后的价格参与评审。接受大中型企业与小微企业组成联合体或者允许大中型企业向一家或者多家小微企业分包的政府采购货物或服务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属于小微企业的，投标文件必须提供《中小企业声明函》（模板见第六章）。</w:t>
            </w:r>
            <w:r>
              <w:rPr>
                <w:rFonts w:hint="eastAsia" w:ascii="宋体" w:hAnsi="宋体" w:eastAsia="宋体" w:cs="宋体"/>
                <w:b w:val="0"/>
                <w:bCs w:val="0"/>
                <w:sz w:val="24"/>
                <w:szCs w:val="24"/>
                <w:highlight w:val="none"/>
                <w:vertAlign w:val="baseline"/>
                <w:lang w:eastAsia="zh-CN"/>
              </w:rPr>
              <w:br w:type="textWrapping"/>
            </w:r>
            <w:r>
              <w:rPr>
                <w:rFonts w:hint="eastAsia" w:ascii="宋体" w:hAnsi="宋体" w:eastAsia="宋体" w:cs="宋体"/>
                <w:b w:val="0"/>
                <w:bCs w:val="0"/>
                <w:sz w:val="24"/>
                <w:szCs w:val="24"/>
                <w:highlight w:val="none"/>
                <w:vertAlign w:val="baseline"/>
                <w:lang w:eastAsia="zh-CN"/>
              </w:rPr>
              <w:t>2.根据财库〔2017〕141号的相关规定，在政府采购活动中，残疾人福利性单位视同小型、微型企业，享受评审中价格扣除政策。属于享受政府采购支持政策的残疾人福利性单位，应满足财库〔2017〕141号文件第一条的规定，并在投标文件中提供残疾人福利性单位声明函（见附件）。</w:t>
            </w:r>
            <w:r>
              <w:rPr>
                <w:rFonts w:hint="eastAsia" w:ascii="宋体" w:hAnsi="宋体" w:eastAsia="宋体" w:cs="宋体"/>
                <w:b w:val="0"/>
                <w:bCs w:val="0"/>
                <w:sz w:val="24"/>
                <w:szCs w:val="24"/>
                <w:highlight w:val="none"/>
                <w:vertAlign w:val="baseline"/>
                <w:lang w:eastAsia="zh-CN"/>
              </w:rPr>
              <w:br w:type="textWrapping"/>
            </w:r>
            <w:r>
              <w:rPr>
                <w:rFonts w:hint="eastAsia" w:ascii="宋体" w:hAnsi="宋体" w:eastAsia="宋体" w:cs="宋体"/>
                <w:b w:val="0"/>
                <w:bCs w:val="0"/>
                <w:sz w:val="24"/>
                <w:szCs w:val="24"/>
                <w:highlight w:val="none"/>
                <w:vertAlign w:val="baseline"/>
                <w:lang w:eastAsia="zh-CN"/>
              </w:rPr>
              <w:t>3.监狱企业同视为小型、微型企业，享受中小企业政策扶持。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cantSplit/>
          <w:trHeight w:val="1104"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pageBreakBefore w:val="0"/>
              <w:kinsoku/>
              <w:wordWrap/>
              <w:overflowPunct/>
              <w:topLinePunct w:val="0"/>
              <w:bidi w:val="0"/>
              <w:spacing w:line="360" w:lineRule="auto"/>
              <w:jc w:val="center"/>
              <w:rPr>
                <w:rFonts w:hint="default"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23</w:t>
            </w:r>
          </w:p>
        </w:tc>
        <w:tc>
          <w:tcPr>
            <w:tcW w:w="1843"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bCs/>
                <w:sz w:val="24"/>
                <w:szCs w:val="24"/>
                <w:highlight w:val="none"/>
                <w:vertAlign w:val="baseline"/>
                <w:lang w:eastAsia="zh-CN"/>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pPr>
              <w:pageBreakBefore w:val="0"/>
              <w:kinsoku/>
              <w:wordWrap/>
              <w:overflowPunct/>
              <w:topLinePunct w:val="0"/>
              <w:bidi w:val="0"/>
              <w:spacing w:line="360" w:lineRule="auto"/>
              <w:jc w:val="center"/>
              <w:rPr>
                <w:rFonts w:hint="eastAsia" w:ascii="宋体" w:hAnsi="宋体" w:eastAsia="宋体" w:cs="宋体"/>
                <w:b/>
                <w:bCs/>
                <w:sz w:val="24"/>
                <w:szCs w:val="24"/>
                <w:highlight w:val="none"/>
                <w:vertAlign w:val="baseline"/>
                <w:lang w:eastAsia="zh-CN"/>
              </w:rPr>
            </w:pPr>
            <w:r>
              <w:rPr>
                <w:rFonts w:hint="eastAsia" w:ascii="宋体" w:hAnsi="宋体" w:eastAsia="宋体" w:cs="宋体"/>
                <w:b w:val="0"/>
                <w:bCs w:val="0"/>
                <w:sz w:val="24"/>
                <w:szCs w:val="24"/>
                <w:highlight w:val="none"/>
                <w:vertAlign w:val="baseline"/>
                <w:lang w:eastAsia="zh-CN"/>
              </w:rPr>
              <w:t>本招标文件的解释权属于采购人</w:t>
            </w:r>
          </w:p>
        </w:tc>
      </w:tr>
    </w:tbl>
    <w:p>
      <w:pPr>
        <w:pageBreakBefore w:val="0"/>
        <w:kinsoku/>
        <w:wordWrap/>
        <w:overflowPunct/>
        <w:topLinePunct w:val="0"/>
        <w:bidi w:val="0"/>
        <w:spacing w:line="360" w:lineRule="auto"/>
        <w:jc w:val="center"/>
        <w:rPr>
          <w:rFonts w:hint="eastAsia" w:hAnsi="宋体"/>
          <w:highlight w:val="none"/>
          <w:shd w:val="clear" w:color="auto" w:fill="FFFFFF"/>
        </w:rPr>
      </w:pPr>
      <w:r>
        <w:rPr>
          <w:rFonts w:hint="eastAsia" w:ascii="宋体" w:hAnsi="宋体" w:eastAsia="宋体" w:cs="宋体"/>
          <w:b/>
          <w:bCs/>
          <w:sz w:val="24"/>
          <w:szCs w:val="24"/>
          <w:highlight w:val="none"/>
          <w:vertAlign w:val="baseline"/>
          <w:lang w:eastAsia="zh-CN"/>
        </w:rPr>
        <w:br w:type="page"/>
      </w:r>
    </w:p>
    <w:p>
      <w:pPr>
        <w:pStyle w:val="3"/>
        <w:jc w:val="center"/>
        <w:rPr>
          <w:highlight w:val="none"/>
        </w:rPr>
      </w:pPr>
      <w:bookmarkStart w:id="35" w:name="_Toc380429945"/>
      <w:bookmarkStart w:id="36" w:name="_Toc439666965"/>
      <w:bookmarkStart w:id="37" w:name="_Toc384730989"/>
      <w:r>
        <w:rPr>
          <w:rFonts w:hint="eastAsia"/>
          <w:highlight w:val="none"/>
        </w:rPr>
        <w:t>一、总  则</w:t>
      </w:r>
    </w:p>
    <w:p>
      <w:pPr>
        <w:ind w:firstLine="481" w:firstLineChars="200"/>
        <w:rPr>
          <w:rFonts w:hint="eastAsia"/>
          <w:b/>
          <w:bCs/>
          <w:highlight w:val="none"/>
        </w:rPr>
      </w:pPr>
      <w:bookmarkStart w:id="38" w:name="_Toc397670919"/>
      <w:bookmarkStart w:id="39" w:name="_Toc397670948"/>
      <w:r>
        <w:rPr>
          <w:rFonts w:hint="eastAsia"/>
          <w:b/>
          <w:bCs/>
          <w:highlight w:val="none"/>
        </w:rPr>
        <w:t>（一）适用范围</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本招标文件适用于该项目的招标、投标、评标、定标、验收、合同履约、付款等行为（法律、法规另有规定的，从其规定）。</w:t>
      </w:r>
    </w:p>
    <w:p>
      <w:pPr>
        <w:ind w:firstLine="481" w:firstLineChars="200"/>
        <w:rPr>
          <w:rFonts w:hint="eastAsia"/>
          <w:b/>
          <w:bCs/>
          <w:highlight w:val="none"/>
        </w:rPr>
      </w:pPr>
      <w:r>
        <w:rPr>
          <w:rFonts w:hint="eastAsia"/>
          <w:b/>
          <w:bCs/>
          <w:highlight w:val="none"/>
        </w:rPr>
        <w:t>（二）定义</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1.“采购人”系指招标公告中载明的本项目的采购人。</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2.“采购代理机构”系指招标公告中载明的本项目的采购代理机构</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3.“供应商”系指是指响应招标、参加投标竞争的法人、其他组织或者自然人。</w:t>
      </w:r>
    </w:p>
    <w:p>
      <w:pPr>
        <w:snapToGrid w:val="0"/>
        <w:spacing w:line="360" w:lineRule="auto"/>
        <w:ind w:firstLine="480" w:firstLineChars="200"/>
        <w:jc w:val="left"/>
        <w:rPr>
          <w:highlight w:val="none"/>
        </w:rPr>
      </w:pPr>
      <w:r>
        <w:rPr>
          <w:rFonts w:hint="eastAsia" w:ascii="宋体" w:hAnsi="宋体"/>
          <w:highlight w:val="none"/>
        </w:rPr>
        <w:t>4.“负责人”系指法人企业的法定负责人，或其他组织为法律、行政法规规定代表单位行使职权的主要负责人，或自然人本人。</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5.“产品”系指供方按招标文件规定，须向采购人提供的一切设备、保险、税金、备品备件、工具、手册及其他有关技术资料和材料。</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6.“服务”系指招标文件规定投标供应商须承担的安装、调试、技术协助、校准、培训、技术指导以及其他类似的义务。</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7.“项目”系指投标供应商按招标文件规定向采购人提供的产品和服务。</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8.“书面形式”包括信函、传真、电报等。</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9.“电子签名”系指数据电文中以电子形式所含、所附用于识别签名人身份并表明签名人认可其中内容的数据；“公章”系指单位法定名称章。</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10.“电子交易平台”是指本项目政府采购活动所依托的政府采购云平台（https://www.zcygov.cn/）。</w:t>
      </w:r>
    </w:p>
    <w:p>
      <w:pPr>
        <w:snapToGrid w:val="0"/>
        <w:spacing w:line="360" w:lineRule="auto"/>
        <w:ind w:left="240" w:leftChars="100" w:firstLine="240" w:firstLineChars="100"/>
        <w:jc w:val="left"/>
        <w:rPr>
          <w:rFonts w:hint="eastAsia" w:ascii="宋体" w:hAnsi="宋体"/>
          <w:highlight w:val="none"/>
        </w:rPr>
      </w:pPr>
      <w:r>
        <w:rPr>
          <w:rFonts w:hint="eastAsia" w:ascii="宋体" w:hAnsi="宋体"/>
          <w:highlight w:val="none"/>
        </w:rPr>
        <w:t>11.“▲”系指实质性要求条款，不满足实行性要求条款的投标文件无效。“★”系指产品采购项目中核心产品。</w:t>
      </w:r>
      <w:r>
        <w:rPr>
          <w:rFonts w:hint="eastAsia" w:ascii="仿宋_GB2312" w:hAnsi="仿宋" w:eastAsia="仿宋_GB2312"/>
          <w:highlight w:val="none"/>
        </w:rPr>
        <w:t>“</w:t>
      </w:r>
      <w:r>
        <w:rPr>
          <w:rFonts w:ascii="Wingdings" w:hAnsi="Wingdings" w:eastAsia="仿宋_GB2312" w:cs="Arial"/>
          <w:kern w:val="0"/>
          <w:highlight w:val="none"/>
        </w:rPr>
        <w:t></w:t>
      </w:r>
      <w:r>
        <w:rPr>
          <w:rFonts w:hint="eastAsia" w:ascii="仿宋_GB2312" w:hAnsi="仿宋" w:eastAsia="仿宋_GB2312"/>
          <w:highlight w:val="none"/>
        </w:rPr>
        <w:t>”</w:t>
      </w:r>
      <w:r>
        <w:rPr>
          <w:rFonts w:ascii="仿宋_GB2312" w:hAnsi="仿宋" w:eastAsia="仿宋_GB2312"/>
          <w:highlight w:val="none"/>
        </w:rPr>
        <w:t xml:space="preserve"> </w:t>
      </w:r>
      <w:r>
        <w:rPr>
          <w:rFonts w:hint="eastAsia" w:ascii="宋体" w:hAnsi="宋体"/>
          <w:highlight w:val="none"/>
        </w:rPr>
        <w:t>系指适用本项目的要求，“</w:t>
      </w:r>
      <w:r>
        <w:rPr>
          <w:rFonts w:hint="eastAsia" w:ascii="宋体" w:hAnsi="宋体"/>
          <w:highlight w:val="none"/>
        </w:rPr>
        <w:sym w:font="Wingdings" w:char="00A8"/>
      </w:r>
      <w:r>
        <w:rPr>
          <w:rFonts w:hint="eastAsia" w:ascii="宋体" w:hAnsi="宋体"/>
          <w:highlight w:val="none"/>
        </w:rPr>
        <w:t>” 系指不适用本项目的要求。标“☆”系指为重要指标。</w:t>
      </w:r>
    </w:p>
    <w:bookmarkEnd w:id="38"/>
    <w:bookmarkEnd w:id="39"/>
    <w:p>
      <w:pPr>
        <w:ind w:firstLine="481" w:firstLineChars="200"/>
        <w:rPr>
          <w:rFonts w:hint="eastAsia"/>
          <w:b/>
          <w:bCs/>
          <w:highlight w:val="none"/>
        </w:rPr>
      </w:pPr>
      <w:bookmarkStart w:id="40" w:name="_Toc397670920"/>
      <w:bookmarkStart w:id="41" w:name="_Toc397670949"/>
      <w:r>
        <w:rPr>
          <w:rFonts w:hint="eastAsia"/>
          <w:b/>
          <w:bCs/>
          <w:highlight w:val="none"/>
        </w:rPr>
        <w:t>（三）采购方式</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本次招标采用公开采购方式进行。</w:t>
      </w:r>
    </w:p>
    <w:bookmarkEnd w:id="40"/>
    <w:bookmarkEnd w:id="41"/>
    <w:p>
      <w:pPr>
        <w:ind w:firstLine="481" w:firstLineChars="200"/>
        <w:rPr>
          <w:rFonts w:hint="eastAsia"/>
          <w:b/>
          <w:bCs/>
          <w:highlight w:val="none"/>
        </w:rPr>
      </w:pPr>
      <w:bookmarkStart w:id="42" w:name="_Toc397670950"/>
      <w:bookmarkStart w:id="43" w:name="_Toc397670921"/>
      <w:r>
        <w:rPr>
          <w:rFonts w:hint="eastAsia"/>
          <w:b/>
          <w:bCs/>
          <w:highlight w:val="none"/>
        </w:rPr>
        <w:t>（四）投标费用</w:t>
      </w:r>
      <w:bookmarkEnd w:id="42"/>
      <w:bookmarkEnd w:id="43"/>
    </w:p>
    <w:p>
      <w:pPr>
        <w:snapToGrid w:val="0"/>
        <w:spacing w:line="360" w:lineRule="auto"/>
        <w:ind w:firstLine="480" w:firstLineChars="200"/>
        <w:jc w:val="left"/>
        <w:rPr>
          <w:rFonts w:hint="eastAsia" w:ascii="宋体" w:hAnsi="宋体"/>
          <w:highlight w:val="none"/>
        </w:rPr>
      </w:pPr>
      <w:r>
        <w:rPr>
          <w:rFonts w:hint="eastAsia" w:ascii="宋体" w:hAnsi="宋体"/>
          <w:highlight w:val="none"/>
        </w:rPr>
        <w:t>不论投标结果如何，投标供应商均应自行承担所有与投标有关的全部费用（招标文件有相反规定除外）。</w:t>
      </w:r>
    </w:p>
    <w:p>
      <w:pPr>
        <w:ind w:firstLine="481" w:firstLineChars="200"/>
        <w:rPr>
          <w:rFonts w:hint="eastAsia"/>
          <w:b/>
          <w:bCs/>
          <w:highlight w:val="none"/>
        </w:rPr>
      </w:pPr>
      <w:r>
        <w:rPr>
          <w:rFonts w:hint="eastAsia"/>
          <w:b/>
          <w:bCs/>
          <w:highlight w:val="none"/>
        </w:rPr>
        <w:t>（五）相关政府采购政策</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2.支持绿色发展</w:t>
      </w:r>
    </w:p>
    <w:p>
      <w:pPr>
        <w:snapToGrid w:val="0"/>
        <w:spacing w:line="360" w:lineRule="auto"/>
        <w:ind w:firstLine="480" w:firstLineChars="200"/>
        <w:jc w:val="left"/>
        <w:rPr>
          <w:rFonts w:hint="eastAsia" w:ascii="仿宋_GB2312" w:hAnsi="仿宋" w:eastAsia="仿宋_GB2312"/>
          <w:b/>
          <w:highlight w:val="none"/>
        </w:rPr>
      </w:pPr>
      <w:r>
        <w:rPr>
          <w:rFonts w:hint="eastAsia" w:ascii="宋体" w:hAnsi="宋体"/>
          <w:highlight w:val="none"/>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投标供应商须按招标文件要求提供相关产品认证证书。</w:t>
      </w:r>
      <w:r>
        <w:rPr>
          <w:rFonts w:ascii="仿宋_GB2312" w:hAnsi="仿宋" w:eastAsia="仿宋_GB2312"/>
          <w:highlight w:val="none"/>
        </w:rPr>
        <w:t>▲</w:t>
      </w:r>
      <w:r>
        <w:rPr>
          <w:rFonts w:hint="eastAsia" w:ascii="仿宋_GB2312" w:hAnsi="仿宋" w:eastAsia="仿宋_GB2312"/>
          <w:b/>
          <w:highlight w:val="none"/>
        </w:rPr>
        <w:t>采购人拟采购的产品属于政府强制采购的节能产品品目清单范围的，投标供应商未按招标文件要求提供国家确定的认证机构出具的、处于有效期之内的节能产品认证证书的，投标无效。</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2.2 修缮、装修类项目采购建材的，采购人应将绿色建筑和绿色建材性能、指标等作为实质性条件纳入招标文件和合同。</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3.支持中小企业发展</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3.1中小企业，是指在中华人民共和国境内依法设立，依据国务院批准的中小企业划分标准确定的中型企业、小型企业和微型企业，但与大企业的负责人为同一人，或者与大企业存在直接控股、管理关系的除外。</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符合中小企业划分标准的个体工商户，在政府采购活动中视同中小企业。</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3.2在政府采购活动中，投标供应商提供的货物、工程或者服务符合下列情形的，享受中小企业扶持政策：</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3.2.1在货物采购项目中，货物由中小企业制造，即货物由中小企业生产且使用该中小企业商号或者注册商标；</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3.2.2在工程采购项目中，工程由中小企业承建，即工程施工单位为中小企业；</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3.2.3在服务采购项目中，服务由中小企业承接，即提供服务的人员为中小企业依照《中华人民共和国劳动合同法》订立劳动合同的从业人员。</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在货物采购项目中，投标供应商提供的货物既有中小企业制造货物，也有大型企业制造货物的，不享受中小企业扶持政策。</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以联合体形式参加政府采购活动，联合体各方均为中小企业的，联合体视同中小企业。其中，联合体各方均为小微企业的，联合体视同小微企业。</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3.3符合《关于促进残疾人就业政府采购政策的通知》（财库〔2017〕141号）规定的条件并提供《残疾人福利性单位声明函》（附件1）的残疾人福利性单位视同小型、微型企业；</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3.4符合《关于政府采购支持监狱企业发展有关问题的通知》（财库[2014]68号）规定的监狱企业并提供由省级以上监狱管理局、戒毒管理局（含新疆生产建设兵团）出具的属于监狱企业证明文件的，视同为小型、微型企业。</w:t>
      </w:r>
    </w:p>
    <w:p>
      <w:pPr>
        <w:snapToGrid w:val="0"/>
        <w:spacing w:line="360" w:lineRule="auto"/>
        <w:ind w:firstLine="480" w:firstLineChars="200"/>
        <w:jc w:val="left"/>
        <w:rPr>
          <w:rFonts w:hint="eastAsia" w:ascii="仿宋_GB2312" w:hAnsi="仿宋" w:eastAsia="仿宋_GB2312"/>
          <w:b/>
          <w:bCs/>
          <w:highlight w:val="none"/>
        </w:rPr>
      </w:pPr>
      <w:r>
        <w:rPr>
          <w:rFonts w:hint="eastAsia" w:ascii="宋体" w:hAnsi="宋体"/>
          <w:highlight w:val="none"/>
        </w:rPr>
        <w:t>3.5可享受中小企业扶持政策的投标供应商应按照招标文件格式要求提供《中小企业声明函》，投标供应商提供的《中小企业声明函》与实际情况不符的，不享受中小企业扶持政策。</w:t>
      </w:r>
      <w:r>
        <w:rPr>
          <w:rFonts w:hint="eastAsia" w:ascii="仿宋_GB2312" w:hAnsi="仿宋" w:eastAsia="仿宋_GB2312"/>
          <w:b/>
          <w:bCs/>
          <w:highlight w:val="none"/>
        </w:rPr>
        <w:t>声明内容不实的，属于提供虚假材料谋取中标、成交的，依法承担法律责任。</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3.6中小企业享受扶持政策获得政府采购合同的，小微企业不得将合同分包给大中型企业，中型企业不得将合同分包给大型企业。</w:t>
      </w:r>
    </w:p>
    <w:p>
      <w:pPr>
        <w:spacing w:line="360" w:lineRule="auto"/>
        <w:ind w:firstLine="480" w:firstLineChars="200"/>
        <w:rPr>
          <w:rFonts w:hint="eastAsia" w:ascii="宋体" w:hAnsi="宋体"/>
          <w:highlight w:val="none"/>
        </w:rPr>
      </w:pPr>
      <w:r>
        <w:rPr>
          <w:rFonts w:hint="eastAsia" w:ascii="宋体" w:hAnsi="宋体"/>
          <w:highlight w:val="none"/>
        </w:rPr>
        <w:t>3.7本国产品的支持政策</w:t>
      </w:r>
    </w:p>
    <w:p>
      <w:pPr>
        <w:spacing w:line="360" w:lineRule="auto"/>
        <w:ind w:firstLine="480" w:firstLineChars="200"/>
        <w:rPr>
          <w:rFonts w:hint="eastAsia" w:ascii="宋体" w:hAnsi="宋体"/>
          <w:highlight w:val="none"/>
        </w:rPr>
      </w:pPr>
      <w:r>
        <w:rPr>
          <w:rFonts w:hint="eastAsia" w:ascii="宋体" w:hAnsi="宋体"/>
          <w:highlight w:val="none"/>
        </w:rPr>
        <w:t>3.7.1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rPr>
          <w:rFonts w:hint="eastAsia" w:ascii="宋体" w:hAnsi="宋体"/>
          <w:highlight w:val="none"/>
        </w:rPr>
      </w:pPr>
      <w:r>
        <w:rPr>
          <w:rFonts w:hint="eastAsia" w:ascii="宋体" w:hAnsi="宋体"/>
          <w:highlight w:val="none"/>
        </w:rPr>
        <w:t>3.7.2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pPr>
        <w:spacing w:line="360" w:lineRule="auto"/>
        <w:ind w:firstLine="480" w:firstLineChars="200"/>
        <w:rPr>
          <w:rFonts w:hint="eastAsia" w:ascii="宋体" w:hAnsi="宋体"/>
          <w:highlight w:val="none"/>
        </w:rPr>
      </w:pPr>
      <w:r>
        <w:rPr>
          <w:rFonts w:hint="eastAsia" w:ascii="宋体" w:hAnsi="宋体"/>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line="360" w:lineRule="auto"/>
        <w:ind w:firstLine="480" w:firstLineChars="200"/>
        <w:rPr>
          <w:rFonts w:hint="eastAsia" w:ascii="宋体" w:hAnsi="宋体"/>
          <w:highlight w:val="none"/>
        </w:rPr>
      </w:pPr>
      <w:r>
        <w:rPr>
          <w:rFonts w:hint="eastAsia" w:ascii="宋体" w:hAnsi="宋体"/>
          <w:highlight w:val="none"/>
        </w:rPr>
        <w:t>3.7.3供应商对其提供的产品出具《关于符合本国产品标准的声明函》或财政部会同有关部门规定的有关证明文件，《关于符合本国产品标准的声明函》或有关证明文件符合要求的，该产品视为本国产品。</w:t>
      </w:r>
    </w:p>
    <w:p>
      <w:pPr>
        <w:spacing w:line="360" w:lineRule="auto"/>
        <w:ind w:firstLine="480" w:firstLineChars="200"/>
        <w:rPr>
          <w:rFonts w:hint="eastAsia" w:ascii="宋体" w:hAnsi="宋体"/>
          <w:highlight w:val="none"/>
        </w:rPr>
      </w:pPr>
      <w:r>
        <w:rPr>
          <w:rFonts w:hint="eastAsia" w:ascii="宋体" w:hAnsi="宋体"/>
          <w:highlight w:val="none"/>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pPr>
        <w:spacing w:line="360" w:lineRule="auto"/>
        <w:ind w:firstLine="480" w:firstLineChars="200"/>
        <w:rPr>
          <w:rFonts w:hint="eastAsia" w:ascii="宋体" w:hAnsi="宋体"/>
          <w:highlight w:val="none"/>
        </w:rPr>
      </w:pPr>
      <w:r>
        <w:rPr>
          <w:rFonts w:hint="eastAsia" w:ascii="宋体" w:hAnsi="宋体"/>
          <w:highlight w:val="none"/>
        </w:rPr>
        <w:t>3.7.4供应商提供虚假《关于符合本国产品标准的声明函》、虚假证明文件谋取中标、成交的，依照《中华人民共和国政府采购法》等法律法规规定追究相应责任。</w:t>
      </w:r>
    </w:p>
    <w:p>
      <w:pPr>
        <w:spacing w:line="360" w:lineRule="auto"/>
        <w:ind w:firstLine="480" w:firstLineChars="200"/>
        <w:rPr>
          <w:rFonts w:hint="eastAsia" w:ascii="宋体" w:hAnsi="宋体"/>
          <w:highlight w:val="none"/>
        </w:rPr>
      </w:pPr>
      <w:r>
        <w:rPr>
          <w:rFonts w:hint="eastAsia" w:ascii="宋体" w:hAnsi="宋体"/>
          <w:highlight w:val="none"/>
        </w:rPr>
        <w:t>3.7.5采购人、采购代理机构按规定随中标、成交结果同时公告中标、成交供应商提供的《关于符合本国产品标准的声明函》或有关证明文件、《关于符合本国产品标准的成本占比的承诺函》。</w:t>
      </w:r>
    </w:p>
    <w:p>
      <w:pPr>
        <w:spacing w:line="360" w:lineRule="auto"/>
        <w:ind w:firstLine="480" w:firstLineChars="200"/>
        <w:rPr>
          <w:rFonts w:hint="eastAsia" w:ascii="宋体" w:hAnsi="宋体"/>
          <w:highlight w:val="none"/>
        </w:rPr>
      </w:pPr>
      <w:r>
        <w:rPr>
          <w:rFonts w:hint="eastAsia" w:ascii="宋体" w:hAnsi="宋体"/>
          <w:highlight w:val="none"/>
        </w:rPr>
        <w:t>3.8本国产品价格扣除与小微企业价格扣除叠加。具体计算公式为：参加评审价格=产品报价-产品报价*（小微企业价格扣除率+本国产品价格扣除率）。</w:t>
      </w:r>
    </w:p>
    <w:p>
      <w:pPr>
        <w:ind w:firstLine="481" w:firstLineChars="200"/>
        <w:rPr>
          <w:rFonts w:hint="eastAsia"/>
          <w:b/>
          <w:bCs/>
          <w:highlight w:val="none"/>
        </w:rPr>
      </w:pPr>
      <w:r>
        <w:rPr>
          <w:rFonts w:hint="eastAsia"/>
          <w:b/>
          <w:bCs/>
          <w:highlight w:val="none"/>
        </w:rPr>
        <w:t>（六）特别说明</w:t>
      </w:r>
    </w:p>
    <w:p>
      <w:pPr>
        <w:pStyle w:val="7"/>
        <w:snapToGrid w:val="0"/>
        <w:spacing w:beforeLines="0" w:afterLines="0" w:line="360" w:lineRule="auto"/>
        <w:ind w:left="2" w:leftChars="1" w:firstLine="480" w:firstLineChars="200"/>
        <w:rPr>
          <w:rFonts w:hint="eastAsia" w:hAnsi="宋体" w:cs="宋体"/>
          <w:highlight w:val="none"/>
        </w:rPr>
      </w:pPr>
      <w:r>
        <w:rPr>
          <w:rFonts w:hint="eastAsia" w:hAnsi="宋体" w:cs="宋体"/>
          <w:highlight w:val="none"/>
        </w:rPr>
        <w:t>1.采用最低评标价法的采购项目，提供相同品牌产品的不同投标供应商参加同一合同项下投标的，以其中通过资格审查、符合性审查且报价最低的参加评标；报价相同的，由采购人或者采购人委托评标委员会按照招标文件规定的方式确定一个参加评标的投标供应商，招标文件未规定的采取随机抽取方式确定，其他投标无效。</w:t>
      </w:r>
    </w:p>
    <w:p>
      <w:pPr>
        <w:pStyle w:val="7"/>
        <w:snapToGrid w:val="0"/>
        <w:spacing w:beforeLines="0" w:afterLines="0" w:line="360" w:lineRule="auto"/>
        <w:ind w:left="2" w:leftChars="1" w:firstLine="480" w:firstLineChars="200"/>
        <w:rPr>
          <w:rFonts w:hint="eastAsia" w:hAnsi="宋体" w:cs="宋体"/>
          <w:highlight w:val="none"/>
        </w:rPr>
      </w:pPr>
      <w:r>
        <w:rPr>
          <w:rFonts w:hint="eastAsia" w:hAnsi="宋体" w:cs="宋体"/>
          <w:highlight w:val="none"/>
        </w:rPr>
        <w:t>使用综合评分法的采购项目，提供相同品牌产品且通过资格审查、符合性审查的不同投标供应商参加同一合同项下投标的，按一家投标供应商计算，评审后得分最高的同品牌投标供应商获得中标供应商推荐资格；评审得分相同的，由采购人或者采购人委托评标委员会按照招标文件规定的方式确定一个投标供应商获得中标供应商推荐资格，招标文件未规定的采取随机抽取方式确定，其他同品牌投标供应商不作为中标候选人。</w:t>
      </w:r>
    </w:p>
    <w:p>
      <w:pPr>
        <w:pStyle w:val="7"/>
        <w:snapToGrid w:val="0"/>
        <w:spacing w:beforeLines="0" w:afterLines="0" w:line="360" w:lineRule="auto"/>
        <w:ind w:left="2" w:leftChars="1" w:firstLine="480" w:firstLineChars="200"/>
        <w:rPr>
          <w:rFonts w:hint="eastAsia" w:hAnsi="宋体"/>
          <w:highlight w:val="none"/>
        </w:rPr>
      </w:pPr>
      <w:r>
        <w:rPr>
          <w:rFonts w:hint="eastAsia" w:hAnsi="宋体" w:cs="宋体"/>
          <w:highlight w:val="none"/>
        </w:rPr>
        <w:t>非单一产品采购项目，采购人应当根据采购项目技术构成、产品价格比重等合理确定核心产品，并在招标文件中载明。多家投标供应商提供的核心产品品牌相同的，按前两款规定处理。</w:t>
      </w:r>
    </w:p>
    <w:p>
      <w:pPr>
        <w:pStyle w:val="7"/>
        <w:snapToGrid w:val="0"/>
        <w:spacing w:before="120" w:after="120" w:line="360" w:lineRule="auto"/>
        <w:ind w:left="2" w:leftChars="1" w:firstLine="480" w:firstLineChars="200"/>
        <w:rPr>
          <w:rFonts w:hint="eastAsia" w:hAnsi="宋体"/>
          <w:highlight w:val="none"/>
        </w:rPr>
      </w:pPr>
      <w:r>
        <w:rPr>
          <w:rFonts w:hint="eastAsia" w:hAnsi="宋体"/>
          <w:highlight w:val="none"/>
        </w:rPr>
        <w:t>2.投标供应商投标所使用的资格、信誉、荣誉、业绩与企业认证必须为本法人所拥有。投标供应商投标所使用的采购项目实施人员必须为本法人员工（或必须为本法人或控股投标供应商正式员工）。</w:t>
      </w:r>
    </w:p>
    <w:p>
      <w:pPr>
        <w:pStyle w:val="7"/>
        <w:snapToGrid w:val="0"/>
        <w:spacing w:before="120" w:after="120" w:line="360" w:lineRule="auto"/>
        <w:ind w:left="2" w:leftChars="1" w:firstLine="480" w:firstLineChars="200"/>
        <w:rPr>
          <w:rFonts w:hint="eastAsia" w:hAnsi="宋体"/>
          <w:highlight w:val="none"/>
        </w:rPr>
      </w:pPr>
      <w:r>
        <w:rPr>
          <w:rFonts w:hint="eastAsia" w:hAnsi="宋体"/>
          <w:highlight w:val="none"/>
        </w:rPr>
        <w:t>3.投标供应商应仔细阅读招标文件的所有内容，按照招标文件的要求提交投标文件，并对所提供的全部资料的真实性承担法律责任。</w:t>
      </w:r>
    </w:p>
    <w:p>
      <w:pPr>
        <w:pStyle w:val="7"/>
        <w:snapToGrid w:val="0"/>
        <w:spacing w:before="120" w:after="120" w:line="360" w:lineRule="auto"/>
        <w:ind w:left="2" w:leftChars="1" w:firstLine="480" w:firstLineChars="200"/>
        <w:rPr>
          <w:rFonts w:hint="eastAsia" w:hAnsi="宋体"/>
          <w:highlight w:val="none"/>
        </w:rPr>
      </w:pPr>
      <w:r>
        <w:rPr>
          <w:rFonts w:hint="eastAsia" w:hAnsi="宋体"/>
          <w:highlight w:val="none"/>
        </w:rPr>
        <w:t>4.投标供应商在投标活动中提供任何虚假材料，其投标无效，并报监管部门查处；中标后发现的，中标供应商须依照《中华人民共和国消费者权益保护法》第49条之规定双倍赔偿采购人，且民事赔偿并不免除违法投标供应商的行政与刑事责任。</w:t>
      </w:r>
    </w:p>
    <w:p>
      <w:pPr>
        <w:spacing w:line="360" w:lineRule="auto"/>
        <w:rPr>
          <w:rFonts w:hint="eastAsia" w:hAnsi="宋体"/>
          <w:b/>
          <w:bCs/>
          <w:highlight w:val="none"/>
        </w:rPr>
      </w:pPr>
      <w:r>
        <w:rPr>
          <w:rFonts w:hint="eastAsia" w:hAnsi="宋体"/>
          <w:b/>
          <w:bCs/>
          <w:highlight w:val="none"/>
        </w:rPr>
        <w:t>（七）质疑和投诉</w:t>
      </w:r>
    </w:p>
    <w:p>
      <w:pPr>
        <w:spacing w:line="360" w:lineRule="auto"/>
        <w:ind w:firstLine="480" w:firstLineChars="200"/>
        <w:rPr>
          <w:rFonts w:hint="eastAsia" w:ascii="宋体" w:hAnsi="宋体"/>
          <w:highlight w:val="none"/>
        </w:rPr>
      </w:pPr>
      <w:bookmarkStart w:id="44" w:name="_Toc406402943"/>
      <w:bookmarkStart w:id="45" w:name="_Toc532218224"/>
      <w:bookmarkStart w:id="46" w:name="_Toc406402987"/>
      <w:r>
        <w:rPr>
          <w:rFonts w:hint="eastAsia" w:ascii="宋体" w:hAnsi="宋体"/>
          <w:highlight w:val="none"/>
        </w:rPr>
        <w:t>1.质疑和投诉应当满足《政府采购质疑和投诉办法》（中华人民共和国财政部令第94号）要求。</w:t>
      </w:r>
    </w:p>
    <w:p>
      <w:pPr>
        <w:spacing w:line="360" w:lineRule="auto"/>
        <w:ind w:firstLine="480" w:firstLineChars="200"/>
        <w:rPr>
          <w:rFonts w:hint="eastAsia" w:ascii="宋体" w:hAnsi="宋体"/>
          <w:highlight w:val="none"/>
        </w:rPr>
      </w:pPr>
      <w:r>
        <w:rPr>
          <w:rFonts w:hint="eastAsia" w:ascii="宋体" w:hAnsi="宋体"/>
          <w:highlight w:val="none"/>
        </w:rPr>
        <w:t>2.招标文件质疑：供应商可在获取招标文件之日或者招标文件公告期限届满之日（公告期限届满后获取招标文件的，以公告期限届满之日为准）起7个工作日内发起；采购过程质疑：投标（响应）供应商可在投标（响应）截止时间后，采购结果公告发布时间起7个工作日内发起；采购结果质疑：投标（响应）供应商可在采购结果公告期限届满之日起7个工作日内发起。</w:t>
      </w:r>
    </w:p>
    <w:p>
      <w:pPr>
        <w:spacing w:line="360" w:lineRule="auto"/>
        <w:ind w:firstLine="480" w:firstLineChars="200"/>
        <w:rPr>
          <w:rFonts w:hint="eastAsia" w:ascii="宋体" w:hAnsi="宋体"/>
          <w:highlight w:val="none"/>
        </w:rPr>
      </w:pPr>
      <w:r>
        <w:rPr>
          <w:rFonts w:hint="eastAsia" w:ascii="宋体" w:hAnsi="宋体"/>
          <w:highlight w:val="none"/>
        </w:rPr>
        <w:t>3.供应商须在法定质疑期内一次性提出针对同一采购程序环节的质疑。</w:t>
      </w:r>
    </w:p>
    <w:p>
      <w:pPr>
        <w:spacing w:line="360" w:lineRule="auto"/>
        <w:ind w:firstLine="480" w:firstLineChars="200"/>
        <w:rPr>
          <w:highlight w:val="none"/>
        </w:rPr>
      </w:pPr>
      <w:r>
        <w:rPr>
          <w:rFonts w:hint="eastAsia" w:ascii="宋体" w:hAnsi="宋体"/>
          <w:highlight w:val="none"/>
        </w:rPr>
        <w:t>4.供应商须按上述规定，在政采云系统里提出质疑。询问路径为：政采云-项目采购-询问质疑投诉-询问列表；质疑路径为：政采云-项目采购-询问质疑投诉-质疑列表。质疑供应商对在线质疑答复不满意的，可在线提起投诉，投诉路径为：浙江政府服务网-政府采购投诉处理-在线办理。</w:t>
      </w:r>
    </w:p>
    <w:p>
      <w:pPr>
        <w:pStyle w:val="7"/>
        <w:snapToGrid w:val="0"/>
        <w:spacing w:before="120" w:after="120" w:line="360" w:lineRule="auto"/>
        <w:ind w:firstLine="472" w:firstLineChars="196"/>
        <w:jc w:val="center"/>
        <w:outlineLvl w:val="1"/>
        <w:rPr>
          <w:rFonts w:hint="eastAsia" w:hAnsi="宋体"/>
          <w:b/>
          <w:highlight w:val="none"/>
        </w:rPr>
      </w:pPr>
      <w:r>
        <w:rPr>
          <w:rFonts w:hint="eastAsia" w:hAnsi="宋体"/>
          <w:b/>
          <w:highlight w:val="none"/>
        </w:rPr>
        <w:t>二、招标文件</w:t>
      </w:r>
      <w:bookmarkEnd w:id="44"/>
      <w:bookmarkEnd w:id="45"/>
      <w:bookmarkEnd w:id="46"/>
    </w:p>
    <w:p>
      <w:pPr>
        <w:snapToGrid w:val="0"/>
        <w:spacing w:line="360" w:lineRule="auto"/>
        <w:ind w:firstLine="472" w:firstLineChars="196"/>
        <w:jc w:val="left"/>
        <w:rPr>
          <w:rFonts w:hint="eastAsia" w:ascii="宋体" w:hAnsi="宋体"/>
          <w:b/>
          <w:highlight w:val="none"/>
        </w:rPr>
      </w:pPr>
      <w:r>
        <w:rPr>
          <w:rFonts w:hint="eastAsia" w:ascii="宋体" w:hAnsi="宋体"/>
          <w:b/>
          <w:highlight w:val="none"/>
        </w:rPr>
        <w:t>（一）招标文件的构成。本招标文件由以下部分组成：</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1.招标公告</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2.招标需求</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3.投标供应商须知</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4.评标办法及标准</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5.合同主要条款</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6.投标文件格式</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7.本项目招标文件的澄清、答复、修改、补充的内容</w:t>
      </w:r>
    </w:p>
    <w:p>
      <w:pPr>
        <w:snapToGrid w:val="0"/>
        <w:spacing w:line="360" w:lineRule="auto"/>
        <w:ind w:firstLine="472" w:firstLineChars="196"/>
        <w:jc w:val="left"/>
        <w:rPr>
          <w:rFonts w:hint="eastAsia" w:ascii="宋体" w:hAnsi="宋体"/>
          <w:b/>
          <w:highlight w:val="none"/>
        </w:rPr>
      </w:pPr>
      <w:r>
        <w:rPr>
          <w:rFonts w:hint="eastAsia" w:ascii="宋体" w:hAnsi="宋体"/>
          <w:b/>
          <w:highlight w:val="none"/>
        </w:rPr>
        <w:t>（二）投标供应商的风险</w:t>
      </w:r>
    </w:p>
    <w:p>
      <w:pPr>
        <w:pStyle w:val="22"/>
        <w:spacing w:line="360" w:lineRule="auto"/>
        <w:rPr>
          <w:rFonts w:hint="eastAsia" w:ascii="宋体" w:eastAsia="宋体"/>
          <w:color w:val="auto"/>
          <w:highlight w:val="none"/>
        </w:rPr>
      </w:pPr>
      <w:r>
        <w:rPr>
          <w:rFonts w:hint="eastAsia" w:ascii="宋体" w:eastAsia="宋体"/>
          <w:color w:val="auto"/>
          <w:highlight w:val="none"/>
        </w:rPr>
        <w:t>投标供应商没有按照招标文件要求提供全部资料，或者投标供应商没有对招标文件在各方面做出实质性响应是投标供应商的风险，并可能导致其投标为无效标。</w:t>
      </w:r>
    </w:p>
    <w:p>
      <w:pPr>
        <w:pStyle w:val="61"/>
        <w:snapToGrid w:val="0"/>
        <w:spacing w:before="0"/>
        <w:ind w:left="480" w:firstLine="0" w:firstLineChars="0"/>
        <w:rPr>
          <w:rFonts w:hint="eastAsia" w:ascii="宋体" w:hAnsi="宋体"/>
          <w:b/>
          <w:highlight w:val="none"/>
        </w:rPr>
      </w:pPr>
      <w:r>
        <w:rPr>
          <w:rFonts w:hint="eastAsia" w:ascii="宋体" w:hAnsi="宋体"/>
          <w:b/>
          <w:highlight w:val="none"/>
        </w:rPr>
        <w:t>（三）招标文件的澄清与修改</w:t>
      </w:r>
    </w:p>
    <w:p>
      <w:pPr>
        <w:pStyle w:val="7"/>
        <w:snapToGrid w:val="0"/>
        <w:spacing w:before="120" w:after="120" w:line="360" w:lineRule="auto"/>
        <w:ind w:firstLine="480" w:firstLineChars="200"/>
        <w:rPr>
          <w:rFonts w:hint="eastAsia" w:hAnsi="宋体"/>
          <w:highlight w:val="none"/>
        </w:rPr>
      </w:pPr>
      <w:r>
        <w:rPr>
          <w:rFonts w:hint="eastAsia" w:hAnsi="宋体"/>
          <w:highlight w:val="none"/>
        </w:rPr>
        <w:t>1.投标供应商应认真阅读本招标文件，发现其中有误或有不合理要求的，可要求招标采购人澄清。招标采购人对已发出的招标文件进行必要澄清或者修改的，应当在招标文件要求提交投标文件截止十五日前，在财政部门指定的政府采购信息发布媒体上发布更正公告，并以书面形式通知所有招标文件获取人。</w:t>
      </w:r>
    </w:p>
    <w:p>
      <w:pPr>
        <w:pStyle w:val="7"/>
        <w:snapToGrid w:val="0"/>
        <w:spacing w:before="120" w:after="120" w:line="360" w:lineRule="auto"/>
        <w:ind w:firstLine="480" w:firstLineChars="200"/>
        <w:rPr>
          <w:rFonts w:hint="eastAsia" w:hAnsi="宋体"/>
          <w:highlight w:val="none"/>
        </w:rPr>
      </w:pPr>
      <w:r>
        <w:rPr>
          <w:rFonts w:hint="eastAsia" w:hAnsi="宋体"/>
          <w:highlight w:val="none"/>
        </w:rPr>
        <w:t>2.招标文件澄清或者修改的内容为招标文件的组成部分。当招标文件与澄清或者修改就同一内容的表述不一致时，以最后发出的书面文件为准。</w:t>
      </w:r>
    </w:p>
    <w:p>
      <w:pPr>
        <w:pStyle w:val="7"/>
        <w:snapToGrid w:val="0"/>
        <w:spacing w:before="120" w:after="120" w:line="360" w:lineRule="auto"/>
        <w:ind w:firstLine="480" w:firstLineChars="200"/>
        <w:rPr>
          <w:rFonts w:hint="eastAsia" w:hAnsi="宋体"/>
          <w:highlight w:val="none"/>
        </w:rPr>
      </w:pPr>
      <w:r>
        <w:rPr>
          <w:rFonts w:hint="eastAsia" w:hAnsi="宋体"/>
          <w:highlight w:val="none"/>
        </w:rPr>
        <w:t>3.对招标文件的澄清、答复、修改或补充都应该通过集中采购机构以法定形式发布，采购人非通过本机构，不得擅自澄清、答复、修改或补充招标文件。</w:t>
      </w:r>
    </w:p>
    <w:p>
      <w:pPr>
        <w:pStyle w:val="7"/>
        <w:snapToGrid w:val="0"/>
        <w:spacing w:before="120" w:after="120" w:line="360" w:lineRule="auto"/>
        <w:ind w:firstLine="472" w:firstLineChars="196"/>
        <w:jc w:val="center"/>
        <w:outlineLvl w:val="1"/>
        <w:rPr>
          <w:rFonts w:hint="eastAsia" w:hAnsi="宋体" w:cs="宋体"/>
          <w:b/>
          <w:bCs/>
          <w:kern w:val="2"/>
          <w:highlight w:val="none"/>
        </w:rPr>
      </w:pPr>
      <w:r>
        <w:rPr>
          <w:rFonts w:hint="eastAsia" w:hAnsi="宋体" w:cs="宋体"/>
          <w:b/>
          <w:bCs/>
          <w:kern w:val="2"/>
          <w:highlight w:val="none"/>
        </w:rPr>
        <w:t>三、投标文件的编制</w:t>
      </w:r>
    </w:p>
    <w:p>
      <w:pPr>
        <w:ind w:firstLine="481" w:firstLineChars="200"/>
        <w:rPr>
          <w:rFonts w:hint="eastAsia" w:ascii="宋体" w:hAnsi="宋体"/>
          <w:b/>
          <w:bCs/>
          <w:highlight w:val="none"/>
        </w:rPr>
      </w:pPr>
      <w:bookmarkStart w:id="47" w:name="_Toc14074"/>
      <w:bookmarkStart w:id="48" w:name="_Toc21392"/>
      <w:bookmarkStart w:id="49" w:name="_Toc406402944"/>
      <w:bookmarkStart w:id="50" w:name="_Toc532218225"/>
      <w:bookmarkStart w:id="51" w:name="_Toc406402988"/>
      <w:r>
        <w:rPr>
          <w:rFonts w:hint="eastAsia" w:ascii="宋体" w:hAnsi="宋体"/>
          <w:b/>
          <w:bCs/>
          <w:highlight w:val="none"/>
        </w:rPr>
        <w:t>本项目所涉投标文件格式请详见第六章，未给出的格式请自拟。商务、资信及其他及技术文件中不得出现报价，否则投标文件将被视为无效。</w:t>
      </w:r>
    </w:p>
    <w:p>
      <w:pPr>
        <w:ind w:firstLine="481" w:firstLineChars="200"/>
        <w:rPr>
          <w:rFonts w:hint="eastAsia" w:ascii="宋体" w:hAnsi="宋体"/>
          <w:b/>
          <w:bCs/>
          <w:highlight w:val="none"/>
        </w:rPr>
      </w:pPr>
      <w:r>
        <w:rPr>
          <w:rFonts w:hint="eastAsia" w:ascii="宋体" w:hAnsi="宋体"/>
          <w:b/>
          <w:bCs/>
          <w:highlight w:val="none"/>
        </w:rPr>
        <w:t xml:space="preserve">    注：电子投标文件按政采云平台供应商电子招投标操作指南及本招标文件规定的格式和顺序编制电子投标文件并进行关联。建议根据招标文件合格供应商的资格要求、投标文件的编制及评分标准等内容一一关联。</w:t>
      </w:r>
    </w:p>
    <w:p>
      <w:pPr>
        <w:spacing w:line="360" w:lineRule="auto"/>
        <w:ind w:firstLine="481" w:firstLineChars="200"/>
        <w:rPr>
          <w:rFonts w:hint="eastAsia" w:ascii="宋体" w:hAnsi="宋体"/>
          <w:b/>
          <w:bCs/>
          <w:highlight w:val="none"/>
        </w:rPr>
      </w:pPr>
      <w:r>
        <w:rPr>
          <w:rFonts w:hint="eastAsia" w:ascii="宋体" w:hAnsi="宋体"/>
          <w:b/>
          <w:bCs/>
          <w:highlight w:val="none"/>
        </w:rPr>
        <w:t>电子投标文件按政采云平台供应商项目采购-电子招投标操作指南（网址：https://helpcenter.zcygov.cn/document/#/document/dashboard?siteCode=beijing）</w:t>
      </w:r>
    </w:p>
    <w:p>
      <w:pPr>
        <w:spacing w:line="360" w:lineRule="auto"/>
        <w:ind w:firstLine="481" w:firstLineChars="200"/>
        <w:rPr>
          <w:b/>
          <w:bCs/>
          <w:highlight w:val="none"/>
        </w:rPr>
      </w:pPr>
      <w:r>
        <w:rPr>
          <w:rFonts w:hint="eastAsia"/>
          <w:b/>
          <w:bCs/>
          <w:highlight w:val="none"/>
        </w:rPr>
        <w:t>总体要求：</w:t>
      </w:r>
    </w:p>
    <w:p>
      <w:pPr>
        <w:spacing w:line="360" w:lineRule="auto"/>
        <w:ind w:firstLine="480" w:firstLineChars="200"/>
        <w:rPr>
          <w:rFonts w:hint="eastAsia" w:ascii="宋体" w:hAnsi="宋体"/>
          <w:highlight w:val="none"/>
        </w:rPr>
      </w:pPr>
      <w:r>
        <w:rPr>
          <w:rFonts w:hint="eastAsia" w:ascii="宋体" w:hAnsi="宋体"/>
          <w:highlight w:val="none"/>
        </w:rPr>
        <w:t xml:space="preserve">1.供应商应仔细阅读招标文件的所有内容，按本文件的要求提供投标文件，并保证所提供的全部资料的真实性，以使其投标文件对招标文件作出实质性响应，否则，投标文件可能视为无效投标文件。 </w:t>
      </w:r>
    </w:p>
    <w:p>
      <w:pPr>
        <w:spacing w:line="360" w:lineRule="auto"/>
        <w:ind w:firstLine="480" w:firstLineChars="200"/>
        <w:rPr>
          <w:rFonts w:hint="eastAsia" w:ascii="宋体" w:hAnsi="宋体"/>
          <w:highlight w:val="none"/>
        </w:rPr>
      </w:pPr>
      <w:r>
        <w:rPr>
          <w:rFonts w:hint="eastAsia" w:ascii="宋体" w:hAnsi="宋体"/>
          <w:highlight w:val="none"/>
        </w:rPr>
        <w:t>2.投标文件及供应商与采购有关的来往通知，函件和文件均应使用中文。</w:t>
      </w:r>
    </w:p>
    <w:p>
      <w:pPr>
        <w:ind w:firstLine="480" w:firstLineChars="200"/>
        <w:rPr>
          <w:rFonts w:hint="eastAsia" w:ascii="宋体" w:hAnsi="宋体"/>
          <w:b/>
          <w:highlight w:val="none"/>
          <w:u w:val="single"/>
        </w:rPr>
      </w:pPr>
      <w:r>
        <w:rPr>
          <w:rFonts w:hint="eastAsia" w:ascii="宋体" w:hAnsi="宋体"/>
          <w:highlight w:val="none"/>
        </w:rPr>
        <w:t>3.供应商应按本文件中提供的文件格式、内容和要求制作投标文件</w:t>
      </w:r>
      <w:r>
        <w:rPr>
          <w:rFonts w:hint="eastAsia" w:ascii="宋体" w:hAnsi="宋体"/>
          <w:b/>
          <w:highlight w:val="none"/>
        </w:rPr>
        <w:t>。</w:t>
      </w:r>
    </w:p>
    <w:p>
      <w:pPr>
        <w:ind w:firstLine="481" w:firstLineChars="200"/>
        <w:rPr>
          <w:b/>
          <w:bCs/>
          <w:highlight w:val="none"/>
        </w:rPr>
      </w:pPr>
      <w:r>
        <w:rPr>
          <w:rFonts w:hint="eastAsia"/>
          <w:b/>
          <w:bCs/>
          <w:highlight w:val="none"/>
        </w:rPr>
        <w:t>（一）投标文件的组成</w:t>
      </w:r>
      <w:bookmarkEnd w:id="47"/>
      <w:bookmarkEnd w:id="48"/>
    </w:p>
    <w:p>
      <w:pPr>
        <w:snapToGrid w:val="0"/>
        <w:spacing w:line="360" w:lineRule="auto"/>
        <w:ind w:firstLine="480" w:firstLineChars="200"/>
        <w:jc w:val="left"/>
        <w:rPr>
          <w:rFonts w:hint="eastAsia" w:ascii="宋体" w:hAnsi="宋体"/>
          <w:highlight w:val="none"/>
        </w:rPr>
      </w:pPr>
      <w:r>
        <w:rPr>
          <w:rFonts w:hint="eastAsia" w:ascii="宋体" w:hAnsi="宋体"/>
          <w:highlight w:val="none"/>
        </w:rPr>
        <w:t>电子投标文件和备份投标文件均由</w:t>
      </w:r>
      <w:r>
        <w:rPr>
          <w:rFonts w:hint="eastAsia" w:ascii="宋体" w:hAnsi="宋体"/>
          <w:highlight w:val="none"/>
          <w:lang w:val="zh-CN"/>
        </w:rPr>
        <w:t>资格文件、商务技术文件、报价</w:t>
      </w:r>
      <w:r>
        <w:rPr>
          <w:rFonts w:hint="eastAsia" w:ascii="宋体" w:hAnsi="宋体"/>
          <w:highlight w:val="none"/>
        </w:rPr>
        <w:t>文件三部分组成。投标文件中所须加盖公章部分均采用CA签章。</w:t>
      </w:r>
    </w:p>
    <w:bookmarkEnd w:id="49"/>
    <w:bookmarkEnd w:id="50"/>
    <w:bookmarkEnd w:id="51"/>
    <w:p>
      <w:pPr>
        <w:ind w:firstLine="481" w:firstLineChars="200"/>
        <w:rPr>
          <w:rFonts w:hint="eastAsia"/>
          <w:b/>
          <w:bCs/>
          <w:highlight w:val="none"/>
        </w:rPr>
      </w:pPr>
      <w:r>
        <w:rPr>
          <w:rFonts w:hint="eastAsia"/>
          <w:b/>
          <w:bCs/>
          <w:highlight w:val="none"/>
        </w:rPr>
        <w:t>（二）投标文件的编制</w:t>
      </w:r>
    </w:p>
    <w:p>
      <w:pPr>
        <w:snapToGrid w:val="0"/>
        <w:spacing w:line="360" w:lineRule="auto"/>
        <w:ind w:firstLine="480" w:firstLineChars="200"/>
        <w:rPr>
          <w:rFonts w:hint="eastAsia" w:ascii="宋体" w:hAnsi="宋体"/>
          <w:highlight w:val="none"/>
        </w:rPr>
      </w:pPr>
      <w:r>
        <w:rPr>
          <w:rFonts w:hint="eastAsia" w:ascii="宋体" w:hAnsi="宋体"/>
          <w:highlight w:val="none"/>
          <w:lang w:val="zh-CN"/>
        </w:rPr>
        <w:t>1</w:t>
      </w:r>
      <w:r>
        <w:rPr>
          <w:rFonts w:hint="eastAsia" w:ascii="宋体" w:hAnsi="宋体"/>
          <w:highlight w:val="none"/>
        </w:rPr>
        <w:t>.</w:t>
      </w:r>
      <w:r>
        <w:rPr>
          <w:rFonts w:hint="eastAsia" w:ascii="宋体" w:hAnsi="宋体"/>
          <w:highlight w:val="none"/>
          <w:lang w:val="zh-CN"/>
        </w:rPr>
        <w:t>投标文件分为资格文件、商务技术文件、报价文件三部分。各投标供应商在编制投标文件时请按照招标文件规定的格式进行，混乱的编排导致投标文件被误读或评标委员会查找不到有效文件是投标供应商的风险。</w:t>
      </w:r>
    </w:p>
    <w:p>
      <w:pPr>
        <w:snapToGrid w:val="0"/>
        <w:spacing w:line="360" w:lineRule="auto"/>
        <w:ind w:firstLine="480" w:firstLineChars="200"/>
        <w:rPr>
          <w:rFonts w:hint="eastAsia" w:ascii="宋体" w:hAnsi="宋体"/>
          <w:highlight w:val="none"/>
          <w:lang w:val="zh-CN"/>
        </w:rPr>
      </w:pPr>
      <w:r>
        <w:rPr>
          <w:rFonts w:hint="eastAsia" w:ascii="宋体" w:hAnsi="宋体"/>
          <w:highlight w:val="none"/>
          <w:lang w:val="zh-CN"/>
        </w:rPr>
        <w:t>2</w:t>
      </w:r>
      <w:r>
        <w:rPr>
          <w:rFonts w:hint="eastAsia" w:ascii="宋体" w:hAnsi="宋体"/>
          <w:highlight w:val="none"/>
        </w:rPr>
        <w:t>.</w:t>
      </w:r>
      <w:r>
        <w:rPr>
          <w:rFonts w:hint="eastAsia" w:ascii="宋体" w:hAnsi="宋体"/>
          <w:highlight w:val="none"/>
          <w:lang w:val="zh-CN"/>
        </w:rPr>
        <w:t>投标供应商进行电子投标应安装客户端软件—“政采云电子交易客户端”，并按照招标文件和电子交易平台的要求编制并加密投标文件。投标供应商未按规定加密的投标文件，电子交易平台将拒收并提示。</w:t>
      </w:r>
    </w:p>
    <w:p>
      <w:pPr>
        <w:snapToGrid w:val="0"/>
        <w:spacing w:line="360" w:lineRule="auto"/>
        <w:ind w:firstLine="480" w:firstLineChars="200"/>
        <w:rPr>
          <w:rFonts w:hint="eastAsia" w:ascii="宋体" w:hAnsi="宋体"/>
          <w:highlight w:val="none"/>
          <w:lang w:val="zh-CN"/>
        </w:rPr>
      </w:pPr>
      <w:r>
        <w:rPr>
          <w:rFonts w:hint="eastAsia" w:ascii="宋体" w:hAnsi="宋体"/>
          <w:highlight w:val="none"/>
          <w:lang w:val="zh-CN"/>
        </w:rPr>
        <w:t>3</w:t>
      </w:r>
      <w:r>
        <w:rPr>
          <w:rFonts w:hint="eastAsia" w:ascii="宋体" w:hAnsi="宋体"/>
          <w:highlight w:val="none"/>
        </w:rPr>
        <w:t>.</w:t>
      </w:r>
      <w:r>
        <w:rPr>
          <w:rFonts w:hint="eastAsia" w:ascii="宋体" w:hAnsi="宋体"/>
          <w:highlight w:val="none"/>
          <w:lang w:val="zh-CN"/>
        </w:rPr>
        <w:t>使用“政采云电子交易客户端”需要提前申领CA数字证书，申领流程请自行前往“浙江政府采购网-下载专区-电子交易客户端-CA驱动和申领流程”进行查阅。</w:t>
      </w:r>
    </w:p>
    <w:p>
      <w:pPr>
        <w:snapToGrid w:val="0"/>
        <w:spacing w:line="360" w:lineRule="auto"/>
        <w:ind w:firstLine="480" w:firstLineChars="200"/>
        <w:rPr>
          <w:rFonts w:hint="eastAsia" w:ascii="宋体" w:hAnsi="宋体"/>
          <w:highlight w:val="none"/>
        </w:rPr>
      </w:pPr>
      <w:r>
        <w:rPr>
          <w:rFonts w:hint="eastAsia" w:ascii="宋体" w:hAnsi="宋体"/>
          <w:highlight w:val="none"/>
        </w:rPr>
        <w:t>4.投标文件按照招标文件要求进行签署、盖章。</w:t>
      </w:r>
    </w:p>
    <w:p>
      <w:pPr>
        <w:snapToGrid w:val="0"/>
        <w:spacing w:line="360" w:lineRule="auto"/>
        <w:ind w:firstLine="480" w:firstLineChars="200"/>
        <w:rPr>
          <w:rFonts w:hint="eastAsia" w:ascii="宋体" w:hAnsi="宋体"/>
          <w:highlight w:val="none"/>
        </w:rPr>
      </w:pPr>
      <w:r>
        <w:rPr>
          <w:rFonts w:hint="eastAsia" w:ascii="宋体" w:hAnsi="宋体"/>
          <w:highlight w:val="none"/>
        </w:rPr>
        <w:t>5.为确保网上操作合法、有效和安全，投标供应商应当在投标截止时间前完成在“政府采购云平台”的身份认证，确保在电子投标过程中能够对相关数据电文进行加密和使用电子签名。</w:t>
      </w:r>
    </w:p>
    <w:p>
      <w:pPr>
        <w:snapToGrid w:val="0"/>
        <w:spacing w:line="360" w:lineRule="auto"/>
        <w:ind w:firstLine="480" w:firstLineChars="200"/>
        <w:rPr>
          <w:rFonts w:hint="eastAsia" w:ascii="宋体" w:hAnsi="宋体"/>
          <w:highlight w:val="none"/>
        </w:rPr>
      </w:pPr>
      <w:r>
        <w:rPr>
          <w:rFonts w:hint="eastAsia" w:ascii="宋体" w:hAnsi="宋体"/>
          <w:highlight w:val="none"/>
        </w:rPr>
        <w:t>6.招标文件对投标文件签署、盖章的要求适用于电子签名。</w:t>
      </w:r>
    </w:p>
    <w:p>
      <w:pPr>
        <w:ind w:firstLine="481" w:firstLineChars="200"/>
        <w:rPr>
          <w:rFonts w:hint="eastAsia"/>
          <w:b/>
          <w:bCs/>
          <w:highlight w:val="none"/>
        </w:rPr>
      </w:pPr>
      <w:bookmarkStart w:id="52" w:name="_Toc406402990"/>
      <w:bookmarkStart w:id="53" w:name="_Toc385854146"/>
      <w:bookmarkStart w:id="54" w:name="_Toc385854100"/>
      <w:bookmarkStart w:id="55" w:name="_Toc402963117"/>
      <w:bookmarkStart w:id="56" w:name="_Toc532218227"/>
      <w:bookmarkStart w:id="57" w:name="_Toc406402946"/>
      <w:bookmarkStart w:id="58" w:name="_Toc402963084"/>
      <w:r>
        <w:rPr>
          <w:rFonts w:hint="eastAsia"/>
          <w:b/>
          <w:bCs/>
          <w:highlight w:val="none"/>
        </w:rPr>
        <w:t>（三）投标文件的语言及计量</w:t>
      </w:r>
      <w:bookmarkEnd w:id="52"/>
      <w:bookmarkEnd w:id="53"/>
      <w:bookmarkEnd w:id="54"/>
      <w:bookmarkEnd w:id="55"/>
      <w:bookmarkEnd w:id="56"/>
      <w:bookmarkEnd w:id="57"/>
      <w:bookmarkEnd w:id="58"/>
    </w:p>
    <w:p>
      <w:pPr>
        <w:snapToGrid w:val="0"/>
        <w:spacing w:line="360" w:lineRule="auto"/>
        <w:ind w:firstLine="480" w:firstLineChars="200"/>
        <w:jc w:val="left"/>
        <w:rPr>
          <w:rFonts w:hint="eastAsia" w:ascii="宋体" w:hAnsi="宋体"/>
          <w:highlight w:val="none"/>
        </w:rPr>
      </w:pPr>
      <w:r>
        <w:rPr>
          <w:rFonts w:hint="eastAsia" w:ascii="宋体" w:hAnsi="宋体"/>
          <w:highlight w:val="none"/>
        </w:rPr>
        <w:t>1.投标文件以及投标方与采购人就有关投标事宜的所有来往函电，均应以中文汉语书写。除签名、盖章、专用名称等特殊情形外，以中文汉语以外的文字表述的投标文件视同未提供。</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2.投标计量单位，招标文件已有明确规定的，使用招标文件规定的计量单位；招标文件没有规定的，应采用中华人民共和国法定计量单位（货币单位：人民币元），否则视同未响应。</w:t>
      </w:r>
    </w:p>
    <w:p>
      <w:pPr>
        <w:ind w:firstLine="481" w:firstLineChars="200"/>
        <w:rPr>
          <w:rFonts w:hint="eastAsia"/>
          <w:b/>
          <w:bCs/>
          <w:highlight w:val="none"/>
        </w:rPr>
      </w:pPr>
      <w:r>
        <w:rPr>
          <w:rFonts w:hint="eastAsia"/>
          <w:b/>
          <w:bCs/>
          <w:highlight w:val="none"/>
        </w:rPr>
        <w:t>（四）投标文件的提交、补充、修改、撤回</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1.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2.电子交易平台收到投标文件，将妥善保存并即时向供应商发出确认回执通知。在投标截止时间前，除供应商补充、修改或者撤回投标文件外，任何单位和个人不得解密或提取投标文件。</w:t>
      </w:r>
    </w:p>
    <w:p>
      <w:pPr>
        <w:snapToGrid w:val="0"/>
        <w:spacing w:line="360" w:lineRule="auto"/>
        <w:ind w:firstLine="480" w:firstLineChars="200"/>
        <w:jc w:val="left"/>
        <w:rPr>
          <w:rFonts w:hint="eastAsia" w:ascii="宋体" w:hAnsi="宋体"/>
          <w:highlight w:val="none"/>
        </w:rPr>
      </w:pPr>
      <w:r>
        <w:rPr>
          <w:rFonts w:hint="eastAsia" w:ascii="宋体" w:hAnsi="宋体"/>
          <w:highlight w:val="none"/>
        </w:rPr>
        <w:t>3.采购人、采购机构可以视情况延长投标文件提交的截止时间。在上述情况下，采购机构与投标供应商以前在投标截止期方面的全部权利、责任和义务，将适用于延长至新的投标截止期。</w:t>
      </w:r>
    </w:p>
    <w:p>
      <w:pPr>
        <w:ind w:firstLine="481" w:firstLineChars="200"/>
        <w:rPr>
          <w:rFonts w:hint="eastAsia"/>
          <w:b/>
          <w:bCs/>
          <w:highlight w:val="none"/>
        </w:rPr>
      </w:pPr>
      <w:bookmarkStart w:id="59" w:name="_Toc385854101"/>
      <w:bookmarkStart w:id="60" w:name="_Toc406402947"/>
      <w:bookmarkStart w:id="61" w:name="_Toc385854147"/>
      <w:bookmarkStart w:id="62" w:name="_Toc402963118"/>
      <w:bookmarkStart w:id="63" w:name="_Toc402963085"/>
      <w:bookmarkStart w:id="64" w:name="_Toc406402991"/>
      <w:bookmarkStart w:id="65" w:name="_Toc532218228"/>
      <w:r>
        <w:rPr>
          <w:rFonts w:hint="eastAsia"/>
          <w:b/>
          <w:bCs/>
          <w:highlight w:val="none"/>
        </w:rPr>
        <w:t>（五）投标报价</w:t>
      </w:r>
      <w:bookmarkEnd w:id="59"/>
      <w:bookmarkEnd w:id="60"/>
      <w:bookmarkEnd w:id="61"/>
      <w:bookmarkEnd w:id="62"/>
      <w:bookmarkEnd w:id="63"/>
      <w:bookmarkEnd w:id="64"/>
      <w:bookmarkEnd w:id="65"/>
    </w:p>
    <w:p>
      <w:pPr>
        <w:pStyle w:val="7"/>
        <w:snapToGrid w:val="0"/>
        <w:spacing w:before="120" w:after="120" w:line="360" w:lineRule="auto"/>
        <w:ind w:firstLine="480" w:firstLineChars="200"/>
        <w:jc w:val="left"/>
        <w:rPr>
          <w:rFonts w:hint="eastAsia" w:hAnsi="宋体"/>
          <w:highlight w:val="none"/>
        </w:rPr>
      </w:pPr>
      <w:r>
        <w:rPr>
          <w:rFonts w:hint="eastAsia" w:hAnsi="宋体"/>
          <w:highlight w:val="none"/>
        </w:rPr>
        <w:t>1.投标报价应按招标文件中相关附表格式填写。</w:t>
      </w:r>
    </w:p>
    <w:p>
      <w:pPr>
        <w:pStyle w:val="7"/>
        <w:snapToGrid w:val="0"/>
        <w:spacing w:before="120" w:after="120" w:line="360" w:lineRule="auto"/>
        <w:ind w:firstLine="480" w:firstLineChars="200"/>
        <w:jc w:val="left"/>
        <w:rPr>
          <w:rFonts w:hint="eastAsia" w:hAnsi="宋体"/>
          <w:highlight w:val="none"/>
        </w:rPr>
      </w:pPr>
      <w:r>
        <w:rPr>
          <w:rFonts w:hint="eastAsia" w:hAnsi="宋体"/>
          <w:highlight w:val="none"/>
        </w:rPr>
        <w:t>2.投标报价是履行合同的最终价格，应包括货款、标准附件、备品备件、专用工具、包装、运输、装卸、保险、税金、货到就位以及安装、调试、培训、保修和前期方案编制、招投标等一切税金和费用。</w:t>
      </w:r>
    </w:p>
    <w:p>
      <w:pPr>
        <w:tabs>
          <w:tab w:val="left" w:pos="525"/>
        </w:tabs>
        <w:snapToGrid w:val="0"/>
        <w:spacing w:line="360" w:lineRule="auto"/>
        <w:ind w:firstLine="480" w:firstLineChars="200"/>
        <w:jc w:val="left"/>
        <w:rPr>
          <w:highlight w:val="none"/>
        </w:rPr>
      </w:pPr>
      <w:r>
        <w:rPr>
          <w:rFonts w:hint="eastAsia" w:ascii="宋体" w:hAnsi="宋体"/>
          <w:highlight w:val="none"/>
        </w:rPr>
        <w:t>3.投标文件只允许有一个报价，有选择的或有条件的报价将不予接受。</w:t>
      </w:r>
    </w:p>
    <w:p>
      <w:pPr>
        <w:ind w:firstLine="481" w:firstLineChars="200"/>
        <w:rPr>
          <w:rFonts w:hint="eastAsia"/>
          <w:b/>
          <w:bCs/>
          <w:highlight w:val="none"/>
        </w:rPr>
      </w:pPr>
      <w:r>
        <w:rPr>
          <w:rFonts w:hint="eastAsia"/>
          <w:b/>
          <w:bCs/>
          <w:highlight w:val="none"/>
        </w:rPr>
        <w:t>（六）投标文件的有效期</w:t>
      </w:r>
    </w:p>
    <w:p>
      <w:pPr>
        <w:pStyle w:val="5"/>
        <w:numPr>
          <w:ilvl w:val="0"/>
          <w:numId w:val="0"/>
        </w:numPr>
        <w:tabs>
          <w:tab w:val="left" w:pos="720"/>
        </w:tabs>
        <w:snapToGrid w:val="0"/>
        <w:spacing w:after="120" w:line="360" w:lineRule="auto"/>
        <w:ind w:left="480" w:leftChars="200"/>
        <w:rPr>
          <w:rFonts w:hint="eastAsia" w:ascii="宋体" w:hAnsi="宋体"/>
          <w:highlight w:val="none"/>
        </w:rPr>
      </w:pPr>
      <w:r>
        <w:rPr>
          <w:rFonts w:hint="eastAsia" w:ascii="宋体" w:hAnsi="宋体"/>
          <w:highlight w:val="none"/>
        </w:rPr>
        <w:t>1.自投标截止日起</w:t>
      </w:r>
      <w:r>
        <w:rPr>
          <w:rFonts w:hint="eastAsia" w:ascii="宋体" w:hAnsi="宋体"/>
          <w:highlight w:val="none"/>
          <w:u w:val="single"/>
        </w:rPr>
        <w:t>90</w:t>
      </w:r>
      <w:r>
        <w:rPr>
          <w:rFonts w:hint="eastAsia" w:ascii="宋体" w:hAnsi="宋体"/>
          <w:highlight w:val="none"/>
        </w:rPr>
        <w:t>天投标文件应保持有效。有效期不足的投标文件将被拒绝。</w:t>
      </w:r>
    </w:p>
    <w:p>
      <w:pPr>
        <w:pStyle w:val="5"/>
        <w:numPr>
          <w:ilvl w:val="0"/>
          <w:numId w:val="0"/>
        </w:numPr>
        <w:tabs>
          <w:tab w:val="left" w:pos="720"/>
        </w:tabs>
        <w:snapToGrid w:val="0"/>
        <w:spacing w:after="120" w:line="360" w:lineRule="auto"/>
        <w:ind w:firstLine="480" w:firstLineChars="200"/>
        <w:rPr>
          <w:rFonts w:hint="eastAsia" w:ascii="宋体" w:hAnsi="宋体"/>
          <w:highlight w:val="none"/>
        </w:rPr>
      </w:pPr>
      <w:r>
        <w:rPr>
          <w:rFonts w:hint="eastAsia" w:ascii="宋体" w:hAnsi="宋体"/>
          <w:highlight w:val="none"/>
        </w:rPr>
        <w:t>2.在特殊情况下，采购人可与投标供应商协商延长投标书的有效期，这种要求和答复均以书面形式进行。</w:t>
      </w:r>
    </w:p>
    <w:p>
      <w:pPr>
        <w:pStyle w:val="5"/>
        <w:numPr>
          <w:ilvl w:val="0"/>
          <w:numId w:val="0"/>
        </w:numPr>
        <w:tabs>
          <w:tab w:val="left" w:pos="720"/>
        </w:tabs>
        <w:snapToGrid w:val="0"/>
        <w:spacing w:after="120" w:line="360" w:lineRule="auto"/>
        <w:ind w:firstLine="480" w:firstLineChars="200"/>
        <w:rPr>
          <w:rFonts w:hint="eastAsia" w:ascii="宋体" w:hAnsi="宋体"/>
          <w:highlight w:val="none"/>
        </w:rPr>
      </w:pPr>
      <w:bookmarkStart w:id="66" w:name="_Toc385854149"/>
      <w:bookmarkStart w:id="67" w:name="_Toc402963087"/>
      <w:bookmarkStart w:id="68" w:name="_Toc406402993"/>
      <w:bookmarkStart w:id="69" w:name="_Toc532218229"/>
      <w:bookmarkStart w:id="70" w:name="_Toc385854103"/>
      <w:bookmarkStart w:id="71" w:name="_Toc402963120"/>
      <w:bookmarkStart w:id="72" w:name="_Toc406402949"/>
      <w:r>
        <w:rPr>
          <w:rFonts w:hint="eastAsia" w:ascii="宋体" w:hAnsi="宋体"/>
          <w:highlight w:val="none"/>
        </w:rPr>
        <w:t>3.中标供应商的投标文件自开标之日起至合同履行完毕止均应保持有效。</w:t>
      </w:r>
      <w:bookmarkEnd w:id="66"/>
      <w:bookmarkEnd w:id="67"/>
      <w:bookmarkEnd w:id="68"/>
      <w:bookmarkEnd w:id="69"/>
      <w:bookmarkEnd w:id="70"/>
      <w:bookmarkEnd w:id="71"/>
      <w:bookmarkEnd w:id="72"/>
    </w:p>
    <w:p>
      <w:pPr>
        <w:pStyle w:val="61"/>
        <w:spacing w:before="0"/>
        <w:ind w:firstLine="480"/>
        <w:rPr>
          <w:rFonts w:hint="eastAsia" w:ascii="宋体" w:hAnsi="宋体"/>
          <w:highlight w:val="none"/>
        </w:rPr>
      </w:pPr>
      <w:r>
        <w:rPr>
          <w:rFonts w:hint="eastAsia" w:ascii="宋体" w:hAnsi="宋体" w:cs="Times New Roman"/>
          <w:szCs w:val="24"/>
          <w:highlight w:val="none"/>
        </w:rPr>
        <w:t>4.在原定投标有效期满之前，如果出现特殊情况，采购机构可以以书面形式通知投标供应商延长投标有效期。投标供应商同意延长的，不得要求或被允许修改其投标文件，投标供应商拒绝延长的，其投标无效。</w:t>
      </w:r>
    </w:p>
    <w:p>
      <w:pPr>
        <w:ind w:firstLine="481" w:firstLineChars="200"/>
        <w:rPr>
          <w:rFonts w:hint="eastAsia"/>
          <w:b/>
          <w:bCs/>
          <w:highlight w:val="none"/>
        </w:rPr>
      </w:pPr>
      <w:r>
        <w:rPr>
          <w:rFonts w:hint="eastAsia"/>
          <w:b/>
          <w:bCs/>
          <w:highlight w:val="none"/>
        </w:rPr>
        <w:t>（七）投标无效的情形</w:t>
      </w:r>
    </w:p>
    <w:p>
      <w:pPr>
        <w:snapToGrid w:val="0"/>
        <w:spacing w:line="480" w:lineRule="exact"/>
        <w:ind w:firstLine="481" w:firstLineChars="200"/>
        <w:rPr>
          <w:rFonts w:hint="eastAsia" w:ascii="宋体" w:hAnsi="宋体"/>
          <w:b/>
          <w:highlight w:val="none"/>
        </w:rPr>
      </w:pPr>
      <w:r>
        <w:rPr>
          <w:rFonts w:hint="eastAsia" w:ascii="宋体" w:hAnsi="宋体"/>
          <w:b/>
          <w:highlight w:val="none"/>
        </w:rPr>
        <w:t>1.电子投标文件解密失败的，且未在规定时间内提交有效备份投标文件的。电子投标文件解密失败，虽然在规定时间内提交了备份投标文件，但是备份投标文件无法导入或者无法读取或者不符合本招标文件和电子交易平台要求的。</w:t>
      </w:r>
    </w:p>
    <w:p>
      <w:pPr>
        <w:snapToGrid w:val="0"/>
        <w:spacing w:line="480" w:lineRule="exact"/>
        <w:ind w:firstLine="481" w:firstLineChars="200"/>
        <w:rPr>
          <w:highlight w:val="none"/>
        </w:rPr>
      </w:pPr>
      <w:r>
        <w:rPr>
          <w:rFonts w:hint="eastAsia" w:ascii="宋体" w:hAnsi="宋体"/>
          <w:b/>
          <w:highlight w:val="none"/>
        </w:rPr>
        <w:t>2.仅提交备份投标文件，没有在电子交易平台传输递交投标文件的。</w:t>
      </w:r>
    </w:p>
    <w:p>
      <w:pPr>
        <w:snapToGrid w:val="0"/>
        <w:spacing w:line="480" w:lineRule="exact"/>
        <w:ind w:firstLine="472" w:firstLineChars="196"/>
        <w:rPr>
          <w:rFonts w:hint="eastAsia" w:ascii="宋体" w:hAnsi="宋体"/>
          <w:b/>
          <w:highlight w:val="none"/>
        </w:rPr>
      </w:pPr>
      <w:r>
        <w:rPr>
          <w:rFonts w:hint="eastAsia" w:ascii="宋体" w:hAnsi="宋体"/>
          <w:b/>
          <w:highlight w:val="none"/>
        </w:rPr>
        <w:t>3.在资格审查时，</w:t>
      </w:r>
      <w:r>
        <w:rPr>
          <w:rFonts w:hint="eastAsia" w:ascii="宋体" w:hAnsi="宋体"/>
          <w:b/>
          <w:bCs/>
          <w:highlight w:val="none"/>
        </w:rPr>
        <w:t>如发现下列情形之一的，</w:t>
      </w:r>
      <w:r>
        <w:rPr>
          <w:rFonts w:hint="eastAsia" w:ascii="宋体" w:hAnsi="宋体"/>
          <w:b/>
          <w:highlight w:val="none"/>
        </w:rPr>
        <w:t>投标文件将被视为无效：</w:t>
      </w:r>
    </w:p>
    <w:p>
      <w:pPr>
        <w:pStyle w:val="14"/>
        <w:snapToGrid w:val="0"/>
        <w:spacing w:line="480" w:lineRule="exact"/>
        <w:ind w:firstLine="454" w:firstLineChars="196"/>
        <w:rPr>
          <w:rFonts w:hint="eastAsia" w:hAnsi="宋体" w:cs="宋体"/>
          <w:sz w:val="24"/>
          <w:szCs w:val="24"/>
          <w:highlight w:val="none"/>
        </w:rPr>
      </w:pPr>
      <w:r>
        <w:rPr>
          <w:rFonts w:hint="eastAsia" w:hAnsi="宋体" w:cs="宋体"/>
          <w:sz w:val="24"/>
          <w:szCs w:val="24"/>
          <w:highlight w:val="none"/>
        </w:rPr>
        <w:t>3.1采购人在采购文件中明确规定参与同一个采购包（标段）的供应商存在下列情形之一且无法合理解释的，其投标（响应）文件无效：</w:t>
      </w:r>
    </w:p>
    <w:p>
      <w:pPr>
        <w:pStyle w:val="14"/>
        <w:snapToGrid w:val="0"/>
        <w:spacing w:line="480" w:lineRule="exact"/>
        <w:ind w:firstLine="454" w:firstLineChars="196"/>
        <w:rPr>
          <w:rFonts w:hint="eastAsia" w:hAnsi="宋体" w:cs="宋体"/>
          <w:sz w:val="24"/>
          <w:szCs w:val="24"/>
          <w:highlight w:val="none"/>
        </w:rPr>
      </w:pPr>
      <w:r>
        <w:rPr>
          <w:rFonts w:hint="eastAsia" w:hAnsi="宋体" w:cs="宋体"/>
          <w:sz w:val="24"/>
          <w:szCs w:val="24"/>
          <w:highlight w:val="none"/>
        </w:rPr>
        <w:t>3.</w:t>
      </w:r>
      <w:r>
        <w:rPr>
          <w:rFonts w:hint="eastAsia" w:hAnsi="宋体" w:cs="宋体"/>
          <w:sz w:val="24"/>
          <w:szCs w:val="24"/>
          <w:highlight w:val="none"/>
          <w:lang w:eastAsia="zh"/>
        </w:rPr>
        <w:t>1.1</w:t>
      </w:r>
      <w:r>
        <w:rPr>
          <w:rFonts w:hint="eastAsia" w:hAnsi="宋体" w:cs="宋体"/>
          <w:sz w:val="24"/>
          <w:szCs w:val="24"/>
          <w:highlight w:val="none"/>
        </w:rPr>
        <w:t>不同供应商的电子投标（响应）文件上传计算机的网卡MAC地址或硬盘序列号等硬件信息相同的；</w:t>
      </w:r>
    </w:p>
    <w:p>
      <w:pPr>
        <w:pStyle w:val="14"/>
        <w:snapToGrid w:val="0"/>
        <w:spacing w:line="480" w:lineRule="exact"/>
        <w:ind w:firstLine="454" w:firstLineChars="196"/>
        <w:rPr>
          <w:rFonts w:hint="eastAsia" w:hAnsi="宋体" w:cs="宋体"/>
          <w:sz w:val="24"/>
          <w:szCs w:val="24"/>
          <w:highlight w:val="none"/>
        </w:rPr>
      </w:pPr>
      <w:r>
        <w:rPr>
          <w:rFonts w:hint="eastAsia" w:hAnsi="宋体" w:cs="宋体"/>
          <w:sz w:val="24"/>
          <w:szCs w:val="24"/>
          <w:highlight w:val="none"/>
        </w:rPr>
        <w:t>3.</w:t>
      </w:r>
      <w:r>
        <w:rPr>
          <w:rFonts w:hint="eastAsia" w:hAnsi="宋体" w:cs="宋体"/>
          <w:sz w:val="24"/>
          <w:szCs w:val="24"/>
          <w:highlight w:val="none"/>
          <w:lang w:eastAsia="zh"/>
        </w:rPr>
        <w:t>1.2</w:t>
      </w:r>
      <w:r>
        <w:rPr>
          <w:rFonts w:hint="eastAsia" w:hAnsi="宋体" w:cs="宋体"/>
          <w:sz w:val="24"/>
          <w:szCs w:val="24"/>
          <w:highlight w:val="none"/>
        </w:rPr>
        <w:t>上传的电子投标（响应）文件若出现使用本项目其他投标（响应）供应商的数字证书加密的，或者加盖本项目其他投标（响应）供应商的电子印章的；</w:t>
      </w:r>
    </w:p>
    <w:p>
      <w:pPr>
        <w:pStyle w:val="14"/>
        <w:snapToGrid w:val="0"/>
        <w:spacing w:line="480" w:lineRule="exact"/>
        <w:ind w:firstLine="454" w:firstLineChars="196"/>
        <w:rPr>
          <w:rFonts w:hint="eastAsia" w:hAnsi="宋体" w:cs="宋体"/>
          <w:sz w:val="24"/>
          <w:szCs w:val="24"/>
          <w:highlight w:val="none"/>
        </w:rPr>
      </w:pPr>
      <w:r>
        <w:rPr>
          <w:rFonts w:hint="eastAsia" w:hAnsi="宋体" w:cs="宋体"/>
          <w:sz w:val="24"/>
          <w:szCs w:val="24"/>
          <w:highlight w:val="none"/>
        </w:rPr>
        <w:t>3.</w:t>
      </w:r>
      <w:r>
        <w:rPr>
          <w:rFonts w:hint="eastAsia" w:hAnsi="宋体" w:cs="宋体"/>
          <w:sz w:val="24"/>
          <w:szCs w:val="24"/>
          <w:highlight w:val="none"/>
          <w:lang w:eastAsia="zh"/>
        </w:rPr>
        <w:t>1.3</w:t>
      </w:r>
      <w:r>
        <w:rPr>
          <w:rFonts w:hint="eastAsia" w:hAnsi="宋体" w:cs="宋体"/>
          <w:sz w:val="24"/>
          <w:szCs w:val="24"/>
          <w:highlight w:val="none"/>
        </w:rPr>
        <w:t>不同供应商的投标（响应）文件的内容存在3处（含）以上错误一致的；</w:t>
      </w:r>
    </w:p>
    <w:p>
      <w:pPr>
        <w:pStyle w:val="14"/>
        <w:snapToGrid w:val="0"/>
        <w:spacing w:line="480" w:lineRule="exact"/>
        <w:ind w:firstLine="454" w:firstLineChars="196"/>
        <w:rPr>
          <w:rFonts w:hint="eastAsia" w:hAnsi="宋体" w:cs="宋体"/>
          <w:sz w:val="24"/>
          <w:szCs w:val="24"/>
          <w:highlight w:val="none"/>
        </w:rPr>
      </w:pPr>
      <w:r>
        <w:rPr>
          <w:rFonts w:hint="eastAsia" w:hAnsi="宋体" w:cs="宋体"/>
          <w:sz w:val="24"/>
          <w:szCs w:val="24"/>
          <w:highlight w:val="none"/>
        </w:rPr>
        <w:t>3.</w:t>
      </w:r>
      <w:r>
        <w:rPr>
          <w:rFonts w:hint="eastAsia" w:hAnsi="宋体" w:cs="宋体"/>
          <w:sz w:val="24"/>
          <w:szCs w:val="24"/>
          <w:highlight w:val="none"/>
          <w:lang w:eastAsia="zh"/>
        </w:rPr>
        <w:t>1.4</w:t>
      </w:r>
      <w:r>
        <w:rPr>
          <w:rFonts w:hint="eastAsia" w:hAnsi="宋体" w:cs="宋体"/>
          <w:sz w:val="24"/>
          <w:szCs w:val="24"/>
          <w:highlight w:val="none"/>
        </w:rPr>
        <w:t>不同供应商联系人为同一人或不同联系人的联系电话一致的。</w:t>
      </w:r>
    </w:p>
    <w:p>
      <w:pPr>
        <w:pStyle w:val="14"/>
        <w:snapToGrid w:val="0"/>
        <w:spacing w:line="480" w:lineRule="exact"/>
        <w:ind w:firstLine="454" w:firstLineChars="196"/>
        <w:rPr>
          <w:rFonts w:hint="eastAsia" w:hAnsi="宋体"/>
          <w:b/>
          <w:highlight w:val="none"/>
        </w:rPr>
      </w:pPr>
      <w:r>
        <w:rPr>
          <w:rFonts w:hint="eastAsia" w:hAnsi="宋体" w:cs="宋体"/>
          <w:sz w:val="24"/>
          <w:szCs w:val="24"/>
          <w:highlight w:val="none"/>
        </w:rPr>
        <w:t>3.</w:t>
      </w:r>
      <w:r>
        <w:rPr>
          <w:rFonts w:hint="eastAsia" w:hAnsi="宋体" w:cs="宋体"/>
          <w:sz w:val="24"/>
          <w:szCs w:val="24"/>
          <w:highlight w:val="none"/>
          <w:lang w:eastAsia="zh"/>
        </w:rPr>
        <w:t>2</w:t>
      </w:r>
      <w:r>
        <w:rPr>
          <w:rFonts w:hint="eastAsia" w:hAnsi="宋体" w:cs="宋体"/>
          <w:sz w:val="24"/>
          <w:szCs w:val="24"/>
          <w:highlight w:val="none"/>
        </w:rPr>
        <w:t>不符合本招标文件中的实质性要求条款和资格条件所必须提供相关资料。</w:t>
      </w:r>
    </w:p>
    <w:p>
      <w:pPr>
        <w:snapToGrid w:val="0"/>
        <w:spacing w:line="480" w:lineRule="exact"/>
        <w:ind w:firstLine="472" w:firstLineChars="196"/>
        <w:rPr>
          <w:rFonts w:hint="eastAsia" w:ascii="宋体" w:hAnsi="宋体"/>
          <w:b/>
          <w:bCs/>
          <w:highlight w:val="none"/>
        </w:rPr>
      </w:pPr>
      <w:r>
        <w:rPr>
          <w:rFonts w:hint="eastAsia" w:ascii="宋体" w:hAnsi="宋体"/>
          <w:b/>
          <w:bCs/>
          <w:highlight w:val="none"/>
        </w:rPr>
        <w:t>4.在符合性审查和商务评审时，如发现下列情形之一的，投标文件将被视为无效：</w:t>
      </w:r>
    </w:p>
    <w:p>
      <w:pPr>
        <w:snapToGrid w:val="0"/>
        <w:spacing w:line="480" w:lineRule="exact"/>
        <w:ind w:firstLine="470" w:firstLineChars="196"/>
        <w:rPr>
          <w:rFonts w:hint="eastAsia" w:ascii="宋体" w:hAnsi="宋体"/>
          <w:highlight w:val="none"/>
        </w:rPr>
      </w:pPr>
      <w:r>
        <w:rPr>
          <w:rFonts w:hint="eastAsia" w:ascii="宋体" w:hAnsi="宋体"/>
          <w:bCs/>
          <w:highlight w:val="none"/>
        </w:rPr>
        <w:t>4.1</w:t>
      </w:r>
      <w:r>
        <w:rPr>
          <w:rFonts w:hint="eastAsia" w:ascii="宋体" w:hAnsi="宋体"/>
          <w:highlight w:val="none"/>
        </w:rPr>
        <w:t>电子投标文件未按规定要求提供电子签章的。</w:t>
      </w:r>
    </w:p>
    <w:p>
      <w:pPr>
        <w:snapToGrid w:val="0"/>
        <w:spacing w:line="480" w:lineRule="exact"/>
        <w:ind w:firstLine="480" w:firstLineChars="200"/>
        <w:rPr>
          <w:rFonts w:hint="eastAsia" w:ascii="宋体" w:hAnsi="宋体"/>
          <w:bCs/>
          <w:highlight w:val="none"/>
        </w:rPr>
      </w:pPr>
      <w:r>
        <w:rPr>
          <w:rFonts w:hint="eastAsia" w:ascii="宋体" w:hAnsi="宋体"/>
          <w:highlight w:val="none"/>
        </w:rPr>
        <w:t>4.2</w:t>
      </w:r>
      <w:r>
        <w:rPr>
          <w:rFonts w:hint="eastAsia" w:ascii="宋体" w:hAnsi="宋体"/>
          <w:bCs/>
          <w:highlight w:val="none"/>
        </w:rPr>
        <w:t>在资信商务技术文件中出现报价的。</w:t>
      </w:r>
    </w:p>
    <w:p>
      <w:pPr>
        <w:snapToGrid w:val="0"/>
        <w:spacing w:line="480" w:lineRule="exact"/>
        <w:ind w:firstLine="480" w:firstLineChars="200"/>
        <w:rPr>
          <w:rFonts w:hint="eastAsia" w:ascii="宋体" w:hAnsi="宋体"/>
          <w:highlight w:val="none"/>
        </w:rPr>
      </w:pPr>
      <w:r>
        <w:rPr>
          <w:rFonts w:hint="eastAsia" w:ascii="宋体" w:hAnsi="宋体"/>
          <w:highlight w:val="none"/>
        </w:rPr>
        <w:t>4.3未按要求对资格文件进行承诺，或虚假承诺的。</w:t>
      </w:r>
    </w:p>
    <w:p>
      <w:pPr>
        <w:pStyle w:val="14"/>
        <w:snapToGrid w:val="0"/>
        <w:spacing w:line="480" w:lineRule="exact"/>
        <w:ind w:firstLine="470" w:firstLineChars="196"/>
        <w:rPr>
          <w:rFonts w:hint="eastAsia" w:hAnsi="宋体" w:cs="宋体"/>
          <w:spacing w:val="0"/>
          <w:kern w:val="2"/>
          <w:sz w:val="24"/>
          <w:szCs w:val="24"/>
          <w:highlight w:val="none"/>
        </w:rPr>
      </w:pPr>
      <w:r>
        <w:rPr>
          <w:rFonts w:hint="eastAsia" w:hAnsi="宋体" w:cs="宋体"/>
          <w:spacing w:val="0"/>
          <w:kern w:val="2"/>
          <w:sz w:val="24"/>
          <w:szCs w:val="24"/>
          <w:highlight w:val="none"/>
        </w:rPr>
        <w:t>4.4未提供授权委托书、投标函或者填写项目不齐全的。</w:t>
      </w:r>
    </w:p>
    <w:p>
      <w:pPr>
        <w:pStyle w:val="14"/>
        <w:snapToGrid w:val="0"/>
        <w:spacing w:line="480" w:lineRule="exact"/>
        <w:ind w:firstLine="454" w:firstLineChars="196"/>
        <w:rPr>
          <w:rFonts w:hint="eastAsia" w:hAnsi="宋体"/>
          <w:snapToGrid w:val="0"/>
          <w:sz w:val="24"/>
          <w:szCs w:val="24"/>
          <w:highlight w:val="none"/>
        </w:rPr>
      </w:pPr>
      <w:r>
        <w:rPr>
          <w:rFonts w:hint="eastAsia" w:hAnsi="宋体"/>
          <w:sz w:val="24"/>
          <w:szCs w:val="24"/>
          <w:highlight w:val="none"/>
        </w:rPr>
        <w:t>4.5投标文件格式不规范、项目不齐全或者内容虚假的。</w:t>
      </w:r>
    </w:p>
    <w:p>
      <w:pPr>
        <w:pStyle w:val="14"/>
        <w:snapToGrid w:val="0"/>
        <w:spacing w:line="480" w:lineRule="exact"/>
        <w:ind w:firstLine="454" w:firstLineChars="196"/>
        <w:rPr>
          <w:rFonts w:hint="eastAsia" w:hAnsi="宋体"/>
          <w:snapToGrid w:val="0"/>
          <w:sz w:val="24"/>
          <w:szCs w:val="24"/>
          <w:highlight w:val="none"/>
        </w:rPr>
      </w:pPr>
      <w:r>
        <w:rPr>
          <w:rFonts w:hint="eastAsia" w:hAnsi="宋体"/>
          <w:sz w:val="24"/>
          <w:szCs w:val="24"/>
          <w:highlight w:val="none"/>
        </w:rPr>
        <w:t>4.6投标文件的实质性内容未使用中文表述、意思表述不明确、前后矛盾或者使用计量单位不符合招标文件要求的（经评标委员会认定并允许其当场更正的笔误除外）。</w:t>
      </w:r>
    </w:p>
    <w:p>
      <w:pPr>
        <w:pStyle w:val="14"/>
        <w:snapToGrid w:val="0"/>
        <w:spacing w:line="480" w:lineRule="exact"/>
        <w:ind w:firstLine="454" w:firstLineChars="196"/>
        <w:rPr>
          <w:rFonts w:hint="eastAsia" w:hAnsi="宋体"/>
          <w:snapToGrid w:val="0"/>
          <w:sz w:val="24"/>
          <w:szCs w:val="24"/>
          <w:highlight w:val="none"/>
        </w:rPr>
      </w:pPr>
      <w:r>
        <w:rPr>
          <w:rFonts w:hint="eastAsia" w:hAnsi="宋体"/>
          <w:sz w:val="24"/>
          <w:szCs w:val="24"/>
          <w:highlight w:val="none"/>
        </w:rPr>
        <w:t>4.7</w:t>
      </w:r>
      <w:r>
        <w:rPr>
          <w:rFonts w:hint="eastAsia" w:hAnsi="宋体"/>
          <w:snapToGrid w:val="0"/>
          <w:sz w:val="24"/>
          <w:szCs w:val="24"/>
          <w:highlight w:val="none"/>
        </w:rPr>
        <w:t>投标有效期、服务承诺等商务条款不能满足招标文件要求的。</w:t>
      </w:r>
    </w:p>
    <w:p>
      <w:pPr>
        <w:pStyle w:val="14"/>
        <w:snapToGrid w:val="0"/>
        <w:spacing w:line="480" w:lineRule="exact"/>
        <w:ind w:firstLine="454" w:firstLineChars="196"/>
        <w:rPr>
          <w:rFonts w:hint="eastAsia" w:hAnsi="宋体"/>
          <w:sz w:val="24"/>
          <w:szCs w:val="24"/>
          <w:highlight w:val="none"/>
        </w:rPr>
      </w:pPr>
      <w:r>
        <w:rPr>
          <w:rFonts w:hint="eastAsia" w:hAnsi="宋体"/>
          <w:sz w:val="24"/>
          <w:szCs w:val="24"/>
          <w:highlight w:val="none"/>
        </w:rPr>
        <w:t>4.8未实质性响应招标文件要求或者投标文件有采购人不能接受的附加条件的。</w:t>
      </w:r>
    </w:p>
    <w:p>
      <w:pPr>
        <w:pStyle w:val="14"/>
        <w:snapToGrid w:val="0"/>
        <w:spacing w:line="480" w:lineRule="exact"/>
        <w:ind w:firstLine="454" w:firstLineChars="196"/>
        <w:rPr>
          <w:rFonts w:hint="eastAsia" w:hAnsi="宋体"/>
          <w:sz w:val="24"/>
          <w:szCs w:val="24"/>
          <w:highlight w:val="none"/>
        </w:rPr>
      </w:pPr>
      <w:r>
        <w:rPr>
          <w:rFonts w:hint="eastAsia" w:hAnsi="宋体"/>
          <w:sz w:val="24"/>
          <w:szCs w:val="24"/>
          <w:highlight w:val="none"/>
        </w:rPr>
        <w:t>4.9不符合本招标文件中的实质性要求条款。</w:t>
      </w:r>
    </w:p>
    <w:p>
      <w:pPr>
        <w:pStyle w:val="14"/>
        <w:snapToGrid w:val="0"/>
        <w:spacing w:line="360" w:lineRule="auto"/>
        <w:ind w:firstLine="456" w:firstLineChars="196"/>
        <w:rPr>
          <w:rFonts w:hint="eastAsia" w:hAnsi="宋体"/>
          <w:b/>
          <w:bCs/>
          <w:sz w:val="24"/>
          <w:szCs w:val="24"/>
          <w:highlight w:val="none"/>
        </w:rPr>
      </w:pPr>
      <w:r>
        <w:rPr>
          <w:rFonts w:hint="eastAsia" w:hAnsi="宋体"/>
          <w:b/>
          <w:bCs/>
          <w:sz w:val="24"/>
          <w:szCs w:val="24"/>
          <w:highlight w:val="none"/>
        </w:rPr>
        <w:t>5.在技术评审时，如发现下列情形之一的，投标文件将被视为无效：</w:t>
      </w:r>
    </w:p>
    <w:p>
      <w:pPr>
        <w:pStyle w:val="14"/>
        <w:snapToGrid w:val="0"/>
        <w:spacing w:line="480" w:lineRule="exact"/>
        <w:ind w:firstLine="454" w:firstLineChars="196"/>
        <w:rPr>
          <w:rFonts w:hint="eastAsia" w:hAnsi="宋体"/>
          <w:sz w:val="24"/>
          <w:szCs w:val="24"/>
          <w:highlight w:val="none"/>
        </w:rPr>
      </w:pPr>
      <w:r>
        <w:rPr>
          <w:rFonts w:hint="eastAsia" w:hAnsi="宋体"/>
          <w:sz w:val="24"/>
          <w:szCs w:val="24"/>
          <w:highlight w:val="none"/>
        </w:rPr>
        <w:t>5.1未提供或未如实提供投标货物的技术参数，或者投标文件标明的响应或偏离与事实不符或虚假投标的。</w:t>
      </w:r>
    </w:p>
    <w:p>
      <w:pPr>
        <w:pStyle w:val="14"/>
        <w:snapToGrid w:val="0"/>
        <w:spacing w:line="480" w:lineRule="exact"/>
        <w:ind w:firstLine="454" w:firstLineChars="196"/>
        <w:rPr>
          <w:rFonts w:hint="eastAsia" w:hAnsi="宋体"/>
          <w:sz w:val="24"/>
          <w:szCs w:val="24"/>
          <w:highlight w:val="none"/>
        </w:rPr>
      </w:pPr>
      <w:r>
        <w:rPr>
          <w:rFonts w:hint="eastAsia" w:hAnsi="宋体"/>
          <w:sz w:val="24"/>
          <w:szCs w:val="24"/>
          <w:highlight w:val="none"/>
        </w:rPr>
        <w:t>5.2</w:t>
      </w:r>
      <w:r>
        <w:rPr>
          <w:rFonts w:hint="eastAsia" w:hAnsi="宋体"/>
          <w:snapToGrid w:val="0"/>
          <w:sz w:val="24"/>
          <w:szCs w:val="24"/>
          <w:highlight w:val="none"/>
        </w:rPr>
        <w:t>明显不符合招标文件要求的规格型号、质量标准，或者与</w:t>
      </w:r>
      <w:r>
        <w:rPr>
          <w:rFonts w:hint="eastAsia" w:hAnsi="宋体"/>
          <w:sz w:val="24"/>
          <w:szCs w:val="24"/>
          <w:highlight w:val="none"/>
        </w:rPr>
        <w:t>招标文件中标“▲”的技术指标、主要功能项目发生实质性偏离的。</w:t>
      </w:r>
    </w:p>
    <w:p>
      <w:pPr>
        <w:pStyle w:val="14"/>
        <w:snapToGrid w:val="0"/>
        <w:spacing w:line="480" w:lineRule="exact"/>
        <w:ind w:firstLine="454" w:firstLineChars="196"/>
        <w:rPr>
          <w:rFonts w:hint="eastAsia" w:hAnsi="宋体"/>
          <w:sz w:val="24"/>
          <w:szCs w:val="24"/>
          <w:highlight w:val="none"/>
        </w:rPr>
      </w:pPr>
      <w:r>
        <w:rPr>
          <w:rFonts w:hint="eastAsia" w:hAnsi="宋体"/>
          <w:snapToGrid w:val="0"/>
          <w:sz w:val="24"/>
          <w:szCs w:val="24"/>
          <w:highlight w:val="none"/>
        </w:rPr>
        <w:t>5.3</w:t>
      </w:r>
      <w:r>
        <w:rPr>
          <w:rFonts w:hint="eastAsia" w:hAnsi="宋体"/>
          <w:sz w:val="24"/>
          <w:szCs w:val="24"/>
          <w:highlight w:val="none"/>
        </w:rPr>
        <w:t>投标技术方案不明确，存在一个或一个以上备选（替代）投标方案的。</w:t>
      </w:r>
    </w:p>
    <w:p>
      <w:pPr>
        <w:pStyle w:val="14"/>
        <w:snapToGrid w:val="0"/>
        <w:spacing w:line="480" w:lineRule="exact"/>
        <w:ind w:firstLine="456" w:firstLineChars="196"/>
        <w:rPr>
          <w:rFonts w:hint="eastAsia" w:hAnsi="宋体"/>
          <w:b/>
          <w:bCs/>
          <w:sz w:val="24"/>
          <w:szCs w:val="24"/>
          <w:highlight w:val="none"/>
        </w:rPr>
      </w:pPr>
      <w:r>
        <w:rPr>
          <w:rFonts w:hint="eastAsia" w:hAnsi="宋体"/>
          <w:b/>
          <w:bCs/>
          <w:sz w:val="24"/>
          <w:szCs w:val="24"/>
          <w:highlight w:val="none"/>
        </w:rPr>
        <w:t>6.在报价评审时，如发现下列情形之一的，投标文件将被视为无效：</w:t>
      </w:r>
    </w:p>
    <w:p>
      <w:pPr>
        <w:pStyle w:val="14"/>
        <w:snapToGrid w:val="0"/>
        <w:spacing w:line="480" w:lineRule="exact"/>
        <w:ind w:firstLine="454" w:firstLineChars="196"/>
        <w:rPr>
          <w:rFonts w:hint="eastAsia" w:hAnsi="宋体"/>
          <w:color w:val="000000"/>
          <w:sz w:val="24"/>
          <w:szCs w:val="24"/>
          <w:highlight w:val="none"/>
        </w:rPr>
      </w:pPr>
      <w:r>
        <w:rPr>
          <w:rFonts w:hint="eastAsia" w:hAnsi="宋体"/>
          <w:color w:val="000000"/>
          <w:sz w:val="24"/>
          <w:szCs w:val="24"/>
          <w:highlight w:val="none"/>
        </w:rPr>
        <w:t>6.1未按要求提供《开标一览表》。</w:t>
      </w:r>
    </w:p>
    <w:p>
      <w:pPr>
        <w:pStyle w:val="14"/>
        <w:snapToGrid w:val="0"/>
        <w:spacing w:line="480" w:lineRule="exact"/>
        <w:ind w:firstLine="454" w:firstLineChars="196"/>
        <w:rPr>
          <w:rFonts w:hint="eastAsia" w:hAnsi="宋体"/>
          <w:color w:val="000000"/>
          <w:sz w:val="24"/>
          <w:szCs w:val="24"/>
          <w:highlight w:val="none"/>
        </w:rPr>
      </w:pPr>
      <w:r>
        <w:rPr>
          <w:rFonts w:hint="eastAsia" w:hAnsi="宋体"/>
          <w:color w:val="000000"/>
          <w:sz w:val="24"/>
          <w:szCs w:val="24"/>
          <w:highlight w:val="none"/>
        </w:rPr>
        <w:t>6.2未采用人民币报价或者未按照招标文件标明的币种报价的。</w:t>
      </w:r>
    </w:p>
    <w:p>
      <w:pPr>
        <w:pStyle w:val="14"/>
        <w:snapToGrid w:val="0"/>
        <w:spacing w:line="480" w:lineRule="exact"/>
        <w:ind w:firstLine="454" w:firstLineChars="196"/>
        <w:rPr>
          <w:rFonts w:hint="eastAsia" w:hAnsi="宋体"/>
          <w:color w:val="000000"/>
          <w:sz w:val="24"/>
          <w:szCs w:val="24"/>
          <w:highlight w:val="none"/>
        </w:rPr>
      </w:pPr>
      <w:r>
        <w:rPr>
          <w:rFonts w:hint="eastAsia" w:hAnsi="宋体"/>
          <w:color w:val="000000"/>
          <w:sz w:val="24"/>
          <w:szCs w:val="24"/>
          <w:highlight w:val="none"/>
        </w:rPr>
        <w:t>6.3报价超出最高限价的；报价低于项目预算45%，未在报价文件中详细阐述不影响产品质量或者诚信履约的具体原因的。</w:t>
      </w:r>
    </w:p>
    <w:p>
      <w:pPr>
        <w:pStyle w:val="14"/>
        <w:snapToGrid w:val="0"/>
        <w:spacing w:line="480" w:lineRule="exact"/>
        <w:ind w:firstLine="464" w:firstLineChars="200"/>
        <w:rPr>
          <w:rFonts w:hint="eastAsia" w:hAnsi="宋体"/>
          <w:color w:val="000000"/>
          <w:sz w:val="24"/>
          <w:szCs w:val="24"/>
          <w:highlight w:val="none"/>
        </w:rPr>
      </w:pPr>
      <w:r>
        <w:rPr>
          <w:rFonts w:hint="eastAsia" w:hAnsi="宋体"/>
          <w:color w:val="000000"/>
          <w:sz w:val="24"/>
          <w:szCs w:val="24"/>
          <w:highlight w:val="none"/>
        </w:rPr>
        <w:t xml:space="preserve">6.4投标报价具有选择性，或者开标价格与投标文件承诺的优惠（折扣）价格不一致的。   </w:t>
      </w:r>
    </w:p>
    <w:p>
      <w:pPr>
        <w:spacing w:line="360" w:lineRule="auto"/>
        <w:ind w:firstLine="464" w:firstLineChars="200"/>
        <w:rPr>
          <w:rFonts w:hint="eastAsia" w:ascii="宋体" w:hAnsi="宋体" w:cs="Times New Roman"/>
          <w:color w:val="000000"/>
          <w:spacing w:val="-4"/>
          <w:kern w:val="0"/>
          <w:highlight w:val="none"/>
        </w:rPr>
      </w:pPr>
      <w:r>
        <w:rPr>
          <w:rFonts w:hint="eastAsia" w:ascii="宋体" w:hAnsi="宋体" w:cs="Times New Roman"/>
          <w:color w:val="000000"/>
          <w:spacing w:val="-4"/>
          <w:kern w:val="0"/>
          <w:highlight w:val="none"/>
        </w:rPr>
        <w:t xml:space="preserve">6.5报价明显低于其他通过符合性审查投标供应商的报价，有可能影响产品质量或者不能诚信履约的，未能按要求提供书面说明或者提交相关证明材料，不能证明其报价合理性的; </w:t>
      </w:r>
    </w:p>
    <w:p>
      <w:pPr>
        <w:spacing w:line="360" w:lineRule="auto"/>
        <w:ind w:firstLine="464" w:firstLineChars="200"/>
        <w:rPr>
          <w:rFonts w:hint="eastAsia" w:ascii="宋体" w:hAnsi="宋体" w:cs="Times New Roman"/>
          <w:color w:val="000000"/>
          <w:spacing w:val="-4"/>
          <w:kern w:val="0"/>
          <w:highlight w:val="none"/>
        </w:rPr>
      </w:pPr>
      <w:r>
        <w:rPr>
          <w:rFonts w:hint="eastAsia" w:ascii="宋体" w:hAnsi="宋体" w:cs="Times New Roman"/>
          <w:color w:val="000000"/>
          <w:spacing w:val="-4"/>
          <w:kern w:val="0"/>
          <w:highlight w:val="none"/>
        </w:rPr>
        <w:t xml:space="preserve">6.6报价一经涂改，应在涂改处加盖单位公章或者由法定代表人或被授权人签字（或盖章），否则其投标作无效标处理；   </w:t>
      </w:r>
    </w:p>
    <w:p>
      <w:pPr>
        <w:spacing w:line="360" w:lineRule="auto"/>
        <w:ind w:firstLine="480" w:firstLineChars="200"/>
        <w:rPr>
          <w:rFonts w:hint="eastAsia" w:hAnsi="宋体"/>
          <w:highlight w:val="none"/>
        </w:rPr>
      </w:pPr>
      <w:r>
        <w:rPr>
          <w:rFonts w:hint="eastAsia" w:hAnsi="宋体"/>
          <w:highlight w:val="none"/>
        </w:rPr>
        <w:t>7.</w:t>
      </w:r>
      <w:r>
        <w:rPr>
          <w:rFonts w:hint="eastAsia" w:hAnsi="宋体"/>
          <w:b/>
          <w:bCs/>
          <w:highlight w:val="none"/>
        </w:rPr>
        <w:t>投标供应商有恶意串通、妨碍其他投标供应商的竞争行为、损害采购人或者其他投标供应商的合法权益情形的，投标文件将被视为无效</w:t>
      </w:r>
      <w:r>
        <w:rPr>
          <w:rFonts w:ascii="仿宋_GB2312" w:hAnsi="仿宋" w:eastAsia="仿宋_GB2312" w:cs="Arial"/>
          <w:kern w:val="0"/>
          <w:highlight w:val="none"/>
        </w:rPr>
        <w:t>；</w:t>
      </w:r>
      <w:r>
        <w:rPr>
          <w:rFonts w:hint="eastAsia" w:hAnsi="宋体"/>
          <w:highlight w:val="none"/>
        </w:rPr>
        <w:t xml:space="preserve"> </w:t>
      </w:r>
    </w:p>
    <w:p>
      <w:pPr>
        <w:pStyle w:val="14"/>
        <w:snapToGrid w:val="0"/>
        <w:spacing w:line="480" w:lineRule="exact"/>
        <w:ind w:firstLine="456" w:firstLineChars="196"/>
        <w:rPr>
          <w:rFonts w:hint="eastAsia" w:hAnsi="宋体"/>
          <w:sz w:val="24"/>
          <w:szCs w:val="24"/>
          <w:highlight w:val="none"/>
        </w:rPr>
      </w:pPr>
      <w:r>
        <w:rPr>
          <w:rFonts w:hint="eastAsia" w:hAnsi="宋体"/>
          <w:b/>
          <w:bCs/>
          <w:sz w:val="24"/>
          <w:szCs w:val="24"/>
          <w:highlight w:val="none"/>
        </w:rPr>
        <w:t>8.法律、法规、规章（适用本市的）及省级以上规范性文件（适用本市的）规定的其他无效情形。</w:t>
      </w:r>
    </w:p>
    <w:p>
      <w:pPr>
        <w:pStyle w:val="14"/>
        <w:snapToGrid w:val="0"/>
        <w:spacing w:line="480" w:lineRule="exact"/>
        <w:ind w:firstLine="465" w:firstLineChars="200"/>
        <w:rPr>
          <w:rFonts w:hint="eastAsia" w:hAnsi="宋体"/>
          <w:b/>
          <w:sz w:val="24"/>
          <w:szCs w:val="24"/>
          <w:highlight w:val="none"/>
        </w:rPr>
      </w:pPr>
      <w:r>
        <w:rPr>
          <w:rFonts w:hint="eastAsia" w:hAnsi="宋体"/>
          <w:b/>
          <w:sz w:val="24"/>
          <w:szCs w:val="24"/>
          <w:highlight w:val="none"/>
        </w:rPr>
        <w:t>9.被拒绝的投标文件为无效。</w:t>
      </w:r>
    </w:p>
    <w:p>
      <w:pPr>
        <w:pStyle w:val="14"/>
        <w:snapToGrid w:val="0"/>
        <w:spacing w:line="480" w:lineRule="exact"/>
        <w:ind w:firstLine="232" w:firstLineChars="100"/>
        <w:rPr>
          <w:rFonts w:hint="eastAsia" w:hAnsi="宋体"/>
          <w:b/>
          <w:sz w:val="24"/>
          <w:szCs w:val="24"/>
          <w:highlight w:val="none"/>
        </w:rPr>
      </w:pPr>
      <w:r>
        <w:rPr>
          <w:rFonts w:hint="eastAsia" w:hAnsi="宋体"/>
          <w:b/>
          <w:sz w:val="24"/>
          <w:szCs w:val="24"/>
          <w:highlight w:val="none"/>
        </w:rPr>
        <w:t>（八）废标的情形</w:t>
      </w:r>
    </w:p>
    <w:p>
      <w:pPr>
        <w:pStyle w:val="14"/>
        <w:snapToGrid w:val="0"/>
        <w:spacing w:line="480" w:lineRule="exact"/>
        <w:ind w:firstLine="464" w:firstLineChars="200"/>
        <w:rPr>
          <w:rFonts w:hint="eastAsia" w:hAnsi="宋体"/>
          <w:sz w:val="24"/>
          <w:szCs w:val="24"/>
          <w:highlight w:val="none"/>
        </w:rPr>
      </w:pPr>
      <w:r>
        <w:rPr>
          <w:rFonts w:hint="eastAsia" w:hAnsi="宋体"/>
          <w:sz w:val="24"/>
          <w:szCs w:val="24"/>
          <w:highlight w:val="none"/>
        </w:rPr>
        <w:t>根据《中华人民共和国政府采购法》第三十六条之规定，在采购中，出现下列情形之一的，应予废标：</w:t>
      </w:r>
    </w:p>
    <w:p>
      <w:pPr>
        <w:pStyle w:val="14"/>
        <w:snapToGrid w:val="0"/>
        <w:spacing w:line="480" w:lineRule="exact"/>
        <w:ind w:firstLine="464" w:firstLineChars="200"/>
        <w:rPr>
          <w:rFonts w:hint="eastAsia" w:hAnsi="宋体"/>
          <w:sz w:val="24"/>
          <w:szCs w:val="24"/>
          <w:highlight w:val="none"/>
        </w:rPr>
      </w:pPr>
      <w:r>
        <w:rPr>
          <w:rFonts w:hint="eastAsia" w:hAnsi="宋体"/>
          <w:sz w:val="24"/>
          <w:szCs w:val="24"/>
          <w:highlight w:val="none"/>
        </w:rPr>
        <w:t>1.符合专业条件的供应商或者对招标文件作实质响应的供应商不足3家的；</w:t>
      </w:r>
    </w:p>
    <w:p>
      <w:pPr>
        <w:pStyle w:val="14"/>
        <w:snapToGrid w:val="0"/>
        <w:spacing w:line="480" w:lineRule="exact"/>
        <w:ind w:firstLine="464" w:firstLineChars="200"/>
        <w:rPr>
          <w:rFonts w:hint="eastAsia" w:hAnsi="宋体"/>
          <w:sz w:val="24"/>
          <w:szCs w:val="24"/>
          <w:highlight w:val="none"/>
        </w:rPr>
      </w:pPr>
      <w:r>
        <w:rPr>
          <w:rFonts w:hint="eastAsia" w:hAnsi="宋体"/>
          <w:sz w:val="24"/>
          <w:szCs w:val="24"/>
          <w:highlight w:val="none"/>
        </w:rPr>
        <w:t>2.出现影响采购公正的违法、违规行为的；</w:t>
      </w:r>
    </w:p>
    <w:p>
      <w:pPr>
        <w:pStyle w:val="14"/>
        <w:snapToGrid w:val="0"/>
        <w:spacing w:line="480" w:lineRule="exact"/>
        <w:ind w:firstLine="464" w:firstLineChars="200"/>
        <w:rPr>
          <w:rFonts w:hint="eastAsia" w:hAnsi="宋体"/>
          <w:sz w:val="24"/>
          <w:szCs w:val="24"/>
          <w:highlight w:val="none"/>
        </w:rPr>
      </w:pPr>
      <w:r>
        <w:rPr>
          <w:rFonts w:hint="eastAsia" w:hAnsi="宋体"/>
          <w:sz w:val="24"/>
          <w:szCs w:val="24"/>
          <w:highlight w:val="none"/>
        </w:rPr>
        <w:t>3.投标供应商的报价均超过了采购预算，采购人不能支付的；</w:t>
      </w:r>
    </w:p>
    <w:p>
      <w:pPr>
        <w:pStyle w:val="14"/>
        <w:snapToGrid w:val="0"/>
        <w:spacing w:line="480" w:lineRule="exact"/>
        <w:ind w:firstLine="464" w:firstLineChars="200"/>
        <w:rPr>
          <w:rFonts w:hint="eastAsia" w:hAnsi="宋体"/>
          <w:sz w:val="24"/>
          <w:szCs w:val="24"/>
          <w:highlight w:val="none"/>
        </w:rPr>
      </w:pPr>
      <w:r>
        <w:rPr>
          <w:rFonts w:hint="eastAsia" w:hAnsi="宋体"/>
          <w:sz w:val="24"/>
          <w:szCs w:val="24"/>
          <w:highlight w:val="none"/>
        </w:rPr>
        <w:t>4.因重大变故，采购任务取消的。</w:t>
      </w:r>
    </w:p>
    <w:p>
      <w:pPr>
        <w:pStyle w:val="14"/>
        <w:snapToGrid w:val="0"/>
        <w:spacing w:line="480" w:lineRule="exact"/>
        <w:ind w:firstLine="464" w:firstLineChars="200"/>
        <w:rPr>
          <w:rFonts w:hint="eastAsia" w:hAnsi="宋体"/>
          <w:sz w:val="24"/>
          <w:szCs w:val="24"/>
          <w:highlight w:val="none"/>
        </w:rPr>
      </w:pPr>
      <w:r>
        <w:rPr>
          <w:rFonts w:hint="eastAsia" w:hAnsi="宋体"/>
          <w:sz w:val="24"/>
          <w:szCs w:val="24"/>
          <w:highlight w:val="none"/>
        </w:rPr>
        <w:t>废标后，采购机构应当将废标理由通知所有投标供应商。</w:t>
      </w:r>
    </w:p>
    <w:p>
      <w:pPr>
        <w:rPr>
          <w:highlight w:val="none"/>
        </w:rPr>
      </w:pPr>
    </w:p>
    <w:p>
      <w:pPr>
        <w:pStyle w:val="7"/>
        <w:snapToGrid w:val="0"/>
        <w:spacing w:before="120" w:after="120" w:line="360" w:lineRule="auto"/>
        <w:ind w:firstLine="472" w:firstLineChars="196"/>
        <w:jc w:val="center"/>
        <w:outlineLvl w:val="1"/>
        <w:rPr>
          <w:rFonts w:hint="eastAsia" w:hAnsi="宋体"/>
          <w:b/>
          <w:strike/>
          <w:highlight w:val="none"/>
        </w:rPr>
      </w:pPr>
      <w:r>
        <w:rPr>
          <w:rFonts w:hint="eastAsia" w:hAnsi="宋体"/>
          <w:b/>
          <w:highlight w:val="none"/>
        </w:rPr>
        <w:t>四、开标</w:t>
      </w:r>
    </w:p>
    <w:p>
      <w:pPr>
        <w:pStyle w:val="14"/>
        <w:snapToGrid w:val="0"/>
        <w:spacing w:line="480" w:lineRule="exact"/>
        <w:ind w:firstLine="454" w:firstLineChars="196"/>
        <w:rPr>
          <w:rFonts w:hint="eastAsia" w:hAnsi="宋体"/>
          <w:sz w:val="24"/>
          <w:szCs w:val="24"/>
          <w:highlight w:val="none"/>
        </w:rPr>
      </w:pPr>
      <w:r>
        <w:rPr>
          <w:rFonts w:hint="eastAsia" w:hAnsi="宋体"/>
          <w:sz w:val="24"/>
          <w:szCs w:val="24"/>
          <w:highlight w:val="none"/>
        </w:rPr>
        <w:t>1.本项目实行电子开评标，供应商无需到开标现场，但须准时在线参加，直至评审结束。投标供应商不足3家的，不得开标。</w:t>
      </w:r>
    </w:p>
    <w:p>
      <w:pPr>
        <w:pStyle w:val="14"/>
        <w:snapToGrid w:val="0"/>
        <w:spacing w:line="480" w:lineRule="exact"/>
        <w:ind w:firstLine="454" w:firstLineChars="196"/>
        <w:rPr>
          <w:rFonts w:hint="eastAsia" w:hAnsi="宋体"/>
          <w:sz w:val="24"/>
          <w:szCs w:val="24"/>
          <w:highlight w:val="none"/>
        </w:rPr>
      </w:pPr>
      <w:r>
        <w:rPr>
          <w:rFonts w:hint="eastAsia" w:hAnsi="宋体"/>
          <w:sz w:val="24"/>
          <w:szCs w:val="24"/>
          <w:highlight w:val="none"/>
        </w:rPr>
        <w:t>2.投标截止时间后的半小时内，由各供应商自行对电子投标文件进行解密请各供应商务必在规定时间内完成电子投标文件的解密工作；开启报价环节，供应商须在15分钟内在系统里CA签字确认。</w:t>
      </w:r>
    </w:p>
    <w:p>
      <w:pPr>
        <w:pStyle w:val="14"/>
        <w:snapToGrid w:val="0"/>
        <w:spacing w:line="480" w:lineRule="exact"/>
        <w:ind w:firstLine="454" w:firstLineChars="196"/>
        <w:rPr>
          <w:rFonts w:hint="eastAsia" w:hAnsi="宋体"/>
          <w:sz w:val="24"/>
          <w:szCs w:val="24"/>
          <w:highlight w:val="none"/>
        </w:rPr>
      </w:pPr>
      <w:r>
        <w:rPr>
          <w:rFonts w:hint="eastAsia" w:hAnsi="宋体"/>
          <w:sz w:val="24"/>
          <w:szCs w:val="24"/>
          <w:highlight w:val="none"/>
        </w:rPr>
        <w:t>3.投标文件未按时解密，投标供应商提供了备份投标文件的，以备份投标文件作为依据，否则视为投标文件撤回。投标文件已按时解密的，备份投标文件自动失效。</w:t>
      </w:r>
    </w:p>
    <w:p>
      <w:pPr>
        <w:pStyle w:val="14"/>
        <w:snapToGrid w:val="0"/>
        <w:spacing w:line="480" w:lineRule="exact"/>
        <w:ind w:firstLine="454" w:firstLineChars="196"/>
        <w:rPr>
          <w:rFonts w:hint="eastAsia" w:hAnsi="宋体"/>
          <w:sz w:val="24"/>
          <w:szCs w:val="24"/>
          <w:highlight w:val="none"/>
        </w:rPr>
      </w:pPr>
    </w:p>
    <w:p>
      <w:pPr>
        <w:pStyle w:val="7"/>
        <w:snapToGrid w:val="0"/>
        <w:spacing w:before="120" w:after="120" w:line="360" w:lineRule="auto"/>
        <w:ind w:firstLine="472" w:firstLineChars="196"/>
        <w:jc w:val="center"/>
        <w:outlineLvl w:val="1"/>
        <w:rPr>
          <w:rFonts w:hint="eastAsia" w:hAnsi="宋体"/>
          <w:b/>
          <w:highlight w:val="none"/>
        </w:rPr>
      </w:pPr>
      <w:r>
        <w:rPr>
          <w:rFonts w:hint="eastAsia" w:hAnsi="宋体"/>
          <w:b/>
          <w:highlight w:val="none"/>
        </w:rPr>
        <w:t>五、评标</w:t>
      </w:r>
    </w:p>
    <w:p>
      <w:pPr>
        <w:pStyle w:val="7"/>
        <w:snapToGrid w:val="0"/>
        <w:spacing w:before="120" w:after="120" w:line="360" w:lineRule="auto"/>
        <w:ind w:left="787" w:leftChars="228" w:hanging="240" w:hangingChars="100"/>
        <w:rPr>
          <w:rFonts w:hint="eastAsia" w:hAnsi="宋体"/>
          <w:b/>
          <w:highlight w:val="none"/>
        </w:rPr>
      </w:pPr>
      <w:r>
        <w:rPr>
          <w:rFonts w:hint="eastAsia" w:hAnsi="宋体"/>
          <w:b/>
          <w:highlight w:val="none"/>
        </w:rPr>
        <w:t>（一）组建评标委员会</w:t>
      </w:r>
    </w:p>
    <w:p>
      <w:pPr>
        <w:pStyle w:val="7"/>
        <w:snapToGrid w:val="0"/>
        <w:spacing w:before="120" w:after="120" w:line="360" w:lineRule="auto"/>
        <w:ind w:firstLine="480" w:firstLineChars="200"/>
        <w:rPr>
          <w:rFonts w:hint="eastAsia" w:hAnsi="宋体"/>
          <w:highlight w:val="none"/>
        </w:rPr>
      </w:pPr>
      <w:r>
        <w:rPr>
          <w:rFonts w:hint="eastAsia" w:hAnsi="宋体"/>
          <w:highlight w:val="none"/>
        </w:rPr>
        <w:t>评标委员会由采购人代表和评审专家组成，政府采购评审专家</w:t>
      </w:r>
      <w:r>
        <w:rPr>
          <w:rFonts w:hint="eastAsia" w:hAnsi="宋体"/>
          <w:highlight w:val="none"/>
          <w:u w:val="single"/>
        </w:rPr>
        <w:t xml:space="preserve"> 4 </w:t>
      </w:r>
      <w:r>
        <w:rPr>
          <w:rFonts w:hint="eastAsia" w:hAnsi="宋体"/>
          <w:highlight w:val="none"/>
        </w:rPr>
        <w:t>人和采购人代表</w:t>
      </w:r>
      <w:r>
        <w:rPr>
          <w:rFonts w:hint="eastAsia" w:hAnsi="宋体"/>
          <w:highlight w:val="none"/>
          <w:u w:val="single"/>
        </w:rPr>
        <w:t xml:space="preserve"> 1 </w:t>
      </w:r>
      <w:r>
        <w:rPr>
          <w:rFonts w:hint="eastAsia" w:hAnsi="宋体"/>
          <w:highlight w:val="none"/>
        </w:rPr>
        <w:t>人，共</w:t>
      </w:r>
      <w:r>
        <w:rPr>
          <w:rFonts w:hint="eastAsia" w:hAnsi="宋体"/>
          <w:highlight w:val="none"/>
          <w:u w:val="single"/>
        </w:rPr>
        <w:t xml:space="preserve"> 5 </w:t>
      </w:r>
      <w:r>
        <w:rPr>
          <w:rFonts w:hint="eastAsia" w:hAnsi="宋体"/>
          <w:highlight w:val="none"/>
        </w:rPr>
        <w:t>人组成。</w:t>
      </w:r>
    </w:p>
    <w:p>
      <w:pPr>
        <w:widowControl/>
        <w:shd w:val="clear" w:color="auto" w:fill="FFFFFF"/>
        <w:spacing w:line="360" w:lineRule="auto"/>
        <w:ind w:firstLine="480" w:firstLineChars="200"/>
        <w:jc w:val="left"/>
        <w:rPr>
          <w:rFonts w:hint="eastAsia" w:ascii="宋体" w:hAnsi="宋体"/>
          <w:kern w:val="0"/>
          <w:highlight w:val="none"/>
        </w:rPr>
      </w:pPr>
      <w:r>
        <w:rPr>
          <w:rFonts w:hint="eastAsia" w:ascii="宋体" w:hAnsi="宋体"/>
          <w:kern w:val="0"/>
          <w:highlight w:val="none"/>
        </w:rPr>
        <w:t>评标委员会负责具体评标事务，并独立履行下列职责：</w:t>
      </w:r>
    </w:p>
    <w:p>
      <w:pPr>
        <w:widowControl/>
        <w:shd w:val="clear" w:color="auto" w:fill="FFFFFF"/>
        <w:spacing w:line="360" w:lineRule="auto"/>
        <w:ind w:firstLine="480" w:firstLineChars="200"/>
        <w:jc w:val="left"/>
        <w:rPr>
          <w:rFonts w:hint="eastAsia" w:ascii="宋体" w:hAnsi="宋体"/>
          <w:kern w:val="0"/>
          <w:highlight w:val="none"/>
        </w:rPr>
      </w:pPr>
      <w:r>
        <w:rPr>
          <w:rFonts w:hint="eastAsia" w:ascii="宋体" w:hAnsi="宋体"/>
          <w:kern w:val="0"/>
          <w:highlight w:val="none"/>
        </w:rPr>
        <w:t>1.审查、评价投标文件是否符合招标文件的商务、技术等实质性要求。</w:t>
      </w:r>
    </w:p>
    <w:p>
      <w:pPr>
        <w:widowControl/>
        <w:shd w:val="clear" w:color="auto" w:fill="FFFFFF"/>
        <w:spacing w:line="360" w:lineRule="auto"/>
        <w:ind w:firstLine="480" w:firstLineChars="200"/>
        <w:jc w:val="left"/>
        <w:rPr>
          <w:rFonts w:hint="eastAsia" w:ascii="宋体" w:hAnsi="宋体"/>
          <w:kern w:val="0"/>
          <w:highlight w:val="none"/>
        </w:rPr>
      </w:pPr>
      <w:r>
        <w:rPr>
          <w:rFonts w:hint="eastAsia" w:ascii="宋体" w:hAnsi="宋体"/>
          <w:kern w:val="0"/>
          <w:highlight w:val="none"/>
        </w:rPr>
        <w:t>2.要求投标供应商对投标文件有关事项做出澄清或者说明。</w:t>
      </w:r>
    </w:p>
    <w:p>
      <w:pPr>
        <w:widowControl/>
        <w:shd w:val="clear" w:color="auto" w:fill="FFFFFF"/>
        <w:spacing w:line="360" w:lineRule="auto"/>
        <w:ind w:firstLine="480" w:firstLineChars="200"/>
        <w:jc w:val="left"/>
        <w:rPr>
          <w:rFonts w:hint="eastAsia" w:ascii="宋体" w:hAnsi="宋体"/>
          <w:kern w:val="0"/>
          <w:highlight w:val="none"/>
        </w:rPr>
      </w:pPr>
      <w:r>
        <w:rPr>
          <w:rFonts w:hint="eastAsia" w:ascii="宋体" w:hAnsi="宋体"/>
          <w:kern w:val="0"/>
          <w:highlight w:val="none"/>
        </w:rPr>
        <w:t>3.对投标文件进行比较和评价。</w:t>
      </w:r>
    </w:p>
    <w:p>
      <w:pPr>
        <w:widowControl/>
        <w:shd w:val="clear" w:color="auto" w:fill="FFFFFF"/>
        <w:spacing w:line="360" w:lineRule="auto"/>
        <w:ind w:firstLine="480" w:firstLineChars="200"/>
        <w:jc w:val="left"/>
        <w:rPr>
          <w:rFonts w:hint="eastAsia" w:ascii="宋体" w:hAnsi="宋体"/>
          <w:kern w:val="0"/>
          <w:highlight w:val="none"/>
        </w:rPr>
      </w:pPr>
      <w:r>
        <w:rPr>
          <w:rFonts w:hint="eastAsia" w:ascii="宋体" w:hAnsi="宋体"/>
          <w:kern w:val="0"/>
          <w:highlight w:val="none"/>
        </w:rPr>
        <w:t>4.确定中标供应商名单，以及根据采购人委托直接确定中标供应商。</w:t>
      </w:r>
    </w:p>
    <w:p>
      <w:pPr>
        <w:widowControl/>
        <w:shd w:val="clear" w:color="auto" w:fill="FFFFFF"/>
        <w:spacing w:line="360" w:lineRule="auto"/>
        <w:ind w:firstLine="480" w:firstLineChars="200"/>
        <w:jc w:val="left"/>
        <w:rPr>
          <w:rFonts w:hint="eastAsia" w:ascii="宋体" w:hAnsi="宋体"/>
          <w:kern w:val="0"/>
          <w:highlight w:val="none"/>
        </w:rPr>
      </w:pPr>
      <w:r>
        <w:rPr>
          <w:rFonts w:hint="eastAsia" w:ascii="宋体" w:hAnsi="宋体"/>
          <w:kern w:val="0"/>
          <w:highlight w:val="none"/>
        </w:rPr>
        <w:t>5.向采购人、集中采购机构或者有关部门报告评标中发现的违法行为。</w:t>
      </w:r>
    </w:p>
    <w:p>
      <w:pPr>
        <w:widowControl/>
        <w:shd w:val="clear" w:color="auto" w:fill="FFFFFF"/>
        <w:spacing w:line="360" w:lineRule="auto"/>
        <w:ind w:firstLine="481" w:firstLineChars="200"/>
        <w:jc w:val="left"/>
        <w:rPr>
          <w:rFonts w:hint="eastAsia" w:ascii="宋体" w:hAnsi="宋体"/>
          <w:b/>
          <w:kern w:val="0"/>
          <w:highlight w:val="none"/>
        </w:rPr>
      </w:pPr>
      <w:r>
        <w:rPr>
          <w:rFonts w:hint="eastAsia" w:ascii="宋体" w:hAnsi="宋体"/>
          <w:b/>
          <w:kern w:val="0"/>
          <w:highlight w:val="none"/>
        </w:rPr>
        <w:t>除采购人代表及所派纪检监察人员、评标现场组织人员外，采购人的其他工作人员以及与评标工作无关的人员不得进入评标现场。</w:t>
      </w:r>
    </w:p>
    <w:p>
      <w:pPr>
        <w:pStyle w:val="7"/>
        <w:snapToGrid w:val="0"/>
        <w:spacing w:before="120" w:after="120" w:line="360" w:lineRule="auto"/>
        <w:ind w:left="787" w:leftChars="228" w:hanging="240" w:hangingChars="100"/>
        <w:rPr>
          <w:rFonts w:hint="eastAsia" w:hAnsi="宋体"/>
          <w:b/>
          <w:highlight w:val="none"/>
        </w:rPr>
      </w:pPr>
      <w:r>
        <w:rPr>
          <w:rFonts w:hint="eastAsia" w:hAnsi="宋体"/>
          <w:b/>
          <w:highlight w:val="none"/>
        </w:rPr>
        <w:t>（二）评标的方式</w:t>
      </w:r>
    </w:p>
    <w:p>
      <w:pPr>
        <w:pStyle w:val="7"/>
        <w:snapToGrid w:val="0"/>
        <w:spacing w:before="120" w:after="120" w:line="360" w:lineRule="auto"/>
        <w:ind w:left="787" w:leftChars="228" w:hanging="240" w:hangingChars="100"/>
        <w:rPr>
          <w:rFonts w:hint="eastAsia" w:hAnsi="宋体"/>
          <w:highlight w:val="none"/>
        </w:rPr>
      </w:pPr>
      <w:r>
        <w:rPr>
          <w:rFonts w:hint="eastAsia" w:hAnsi="宋体"/>
          <w:highlight w:val="none"/>
        </w:rPr>
        <w:t>本项目采用不公开方式评标，评标的依据为招标文件和投标文件。</w:t>
      </w:r>
    </w:p>
    <w:p>
      <w:pPr>
        <w:pStyle w:val="7"/>
        <w:snapToGrid w:val="0"/>
        <w:spacing w:before="120" w:after="120" w:line="360" w:lineRule="auto"/>
        <w:ind w:left="787" w:leftChars="228" w:hanging="240" w:hangingChars="100"/>
        <w:rPr>
          <w:rFonts w:hint="eastAsia" w:hAnsi="宋体"/>
          <w:b/>
          <w:bCs/>
          <w:highlight w:val="none"/>
        </w:rPr>
      </w:pPr>
      <w:r>
        <w:rPr>
          <w:rFonts w:hint="eastAsia" w:hAnsi="宋体"/>
          <w:b/>
          <w:highlight w:val="none"/>
        </w:rPr>
        <w:t>（三）</w:t>
      </w:r>
      <w:r>
        <w:rPr>
          <w:rFonts w:hint="eastAsia" w:hAnsi="宋体"/>
          <w:b/>
          <w:bCs/>
          <w:highlight w:val="none"/>
        </w:rPr>
        <w:t>评标程序</w:t>
      </w:r>
    </w:p>
    <w:p>
      <w:pPr>
        <w:pStyle w:val="7"/>
        <w:snapToGrid w:val="0"/>
        <w:spacing w:before="120" w:after="120" w:line="360" w:lineRule="auto"/>
        <w:ind w:firstLine="480" w:firstLineChars="200"/>
        <w:rPr>
          <w:rFonts w:hint="eastAsia" w:hAnsi="宋体"/>
          <w:bCs/>
          <w:highlight w:val="none"/>
        </w:rPr>
      </w:pPr>
      <w:r>
        <w:rPr>
          <w:rFonts w:hint="eastAsia" w:hAnsi="宋体"/>
          <w:bCs/>
          <w:highlight w:val="none"/>
        </w:rPr>
        <w:t>采购人可以在评标前说明项目背景和采购需求，说明内容不得含有歧视性、倾向性意见，不得超出招标文件所述范围。说明应当提交书面材料，并随招标文件一并存档。</w:t>
      </w:r>
    </w:p>
    <w:p>
      <w:pPr>
        <w:snapToGrid w:val="0"/>
        <w:spacing w:line="360" w:lineRule="auto"/>
        <w:ind w:firstLine="472" w:firstLineChars="196"/>
        <w:rPr>
          <w:rFonts w:hint="eastAsia" w:ascii="宋体" w:hAnsi="宋体"/>
          <w:b/>
          <w:bCs/>
          <w:highlight w:val="none"/>
        </w:rPr>
      </w:pPr>
      <w:r>
        <w:rPr>
          <w:rFonts w:hint="eastAsia" w:ascii="宋体" w:hAnsi="宋体"/>
          <w:b/>
          <w:bCs/>
          <w:highlight w:val="none"/>
        </w:rPr>
        <w:t>1.形式审查</w:t>
      </w:r>
    </w:p>
    <w:p>
      <w:pPr>
        <w:snapToGrid w:val="0"/>
        <w:spacing w:line="360" w:lineRule="auto"/>
        <w:ind w:firstLine="480" w:firstLineChars="200"/>
        <w:rPr>
          <w:rFonts w:hint="eastAsia" w:ascii="宋体" w:hAnsi="宋体"/>
          <w:bCs/>
          <w:highlight w:val="none"/>
        </w:rPr>
      </w:pPr>
      <w:r>
        <w:rPr>
          <w:rFonts w:hint="eastAsia" w:ascii="宋体" w:hAnsi="宋体"/>
          <w:bCs/>
          <w:highlight w:val="none"/>
        </w:rPr>
        <w:t>1.1形式审查包括资格审查（除符合性审查以外的关于投标供应商资格条件等内容）和符合性审查，即对投标供应商的资格和投标文件的完整性、合法性等进行审查。投标文件形式审查未通过的投标供应商，其投标文件将不再评审。合格投标供应商不足3家的，不再评标。</w:t>
      </w:r>
    </w:p>
    <w:p>
      <w:pPr>
        <w:snapToGrid w:val="0"/>
        <w:spacing w:line="360" w:lineRule="auto"/>
        <w:ind w:firstLine="480" w:firstLineChars="200"/>
        <w:rPr>
          <w:rFonts w:hint="eastAsia" w:ascii="宋体" w:hAnsi="宋体"/>
          <w:bCs/>
          <w:highlight w:val="none"/>
        </w:rPr>
      </w:pPr>
      <w:r>
        <w:rPr>
          <w:rFonts w:hint="eastAsia" w:ascii="宋体" w:hAnsi="宋体"/>
          <w:bCs/>
          <w:highlight w:val="none"/>
        </w:rPr>
        <w:t>1.2信用信息查询</w:t>
      </w:r>
    </w:p>
    <w:p>
      <w:pPr>
        <w:snapToGrid w:val="0"/>
        <w:spacing w:line="360" w:lineRule="auto"/>
        <w:ind w:firstLine="480" w:firstLineChars="200"/>
        <w:rPr>
          <w:rFonts w:hint="eastAsia" w:ascii="宋体" w:hAnsi="宋体"/>
          <w:bCs/>
          <w:highlight w:val="none"/>
        </w:rPr>
      </w:pPr>
      <w:r>
        <w:rPr>
          <w:rFonts w:hint="eastAsia" w:ascii="宋体" w:hAnsi="宋体"/>
          <w:bCs/>
          <w:highlight w:val="none"/>
        </w:rPr>
        <w:t>1.2.1信用信息查询渠道及截止时间：采购人将通过“信用中国”网站(www.creditchina.gov.cn)、中国政府采购网(www.ccgp.gov.cn)渠道查询投标供应商投标截止时间当天的信用记录。</w:t>
      </w:r>
    </w:p>
    <w:p>
      <w:pPr>
        <w:snapToGrid w:val="0"/>
        <w:spacing w:line="360" w:lineRule="auto"/>
        <w:ind w:firstLine="480" w:firstLineChars="200"/>
        <w:rPr>
          <w:rFonts w:hint="eastAsia" w:ascii="宋体" w:hAnsi="宋体"/>
          <w:bCs/>
          <w:highlight w:val="none"/>
        </w:rPr>
      </w:pPr>
      <w:r>
        <w:rPr>
          <w:rFonts w:hint="eastAsia" w:ascii="宋体" w:hAnsi="宋体"/>
          <w:bCs/>
          <w:highlight w:val="none"/>
        </w:rPr>
        <w:t>1.2.2信用信息查询记录和证据留存的具体方式：现场查询的投标供应商的信用记录、查询结果经确认后将与招标文件一起存档。</w:t>
      </w:r>
    </w:p>
    <w:p>
      <w:pPr>
        <w:snapToGrid w:val="0"/>
        <w:spacing w:line="360" w:lineRule="auto"/>
        <w:ind w:firstLine="480" w:firstLineChars="200"/>
        <w:rPr>
          <w:rFonts w:hint="eastAsia" w:ascii="宋体" w:hAnsi="宋体"/>
          <w:bCs/>
          <w:highlight w:val="none"/>
        </w:rPr>
      </w:pPr>
      <w:r>
        <w:rPr>
          <w:rFonts w:hint="eastAsia" w:ascii="宋体" w:hAnsi="宋体"/>
          <w:bCs/>
          <w:highlight w:val="none"/>
        </w:rPr>
        <w:t>1.2.3信用信息的使用规则：经查询列入失信被执行人名单、重大税收违法案件当事人名单、政府采购严重违法失信行为记录名单的投标供应商将被拒绝参与政府采购活动。</w:t>
      </w:r>
    </w:p>
    <w:p>
      <w:pPr>
        <w:snapToGrid w:val="0"/>
        <w:spacing w:line="360" w:lineRule="auto"/>
        <w:ind w:firstLine="480" w:firstLineChars="200"/>
        <w:rPr>
          <w:highlight w:val="none"/>
        </w:rPr>
      </w:pPr>
      <w:r>
        <w:rPr>
          <w:rFonts w:hint="eastAsia" w:ascii="宋体" w:hAnsi="宋体"/>
          <w:bCs/>
          <w:highlight w:val="none"/>
        </w:rPr>
        <w:t>1.2.4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napToGrid w:val="0"/>
        <w:spacing w:line="360" w:lineRule="auto"/>
        <w:ind w:firstLine="472" w:firstLineChars="196"/>
        <w:rPr>
          <w:rFonts w:hint="eastAsia" w:ascii="宋体" w:hAnsi="宋体"/>
          <w:b/>
          <w:bCs/>
          <w:highlight w:val="none"/>
        </w:rPr>
      </w:pPr>
      <w:r>
        <w:rPr>
          <w:rFonts w:hint="eastAsia" w:ascii="宋体" w:hAnsi="宋体"/>
          <w:b/>
          <w:bCs/>
          <w:highlight w:val="none"/>
        </w:rPr>
        <w:t>2.实质审查</w:t>
      </w:r>
    </w:p>
    <w:p>
      <w:pPr>
        <w:snapToGrid w:val="0"/>
        <w:spacing w:line="360" w:lineRule="auto"/>
        <w:ind w:firstLine="480" w:firstLineChars="200"/>
        <w:rPr>
          <w:rFonts w:hint="eastAsia" w:ascii="宋体" w:hAnsi="宋体"/>
          <w:highlight w:val="none"/>
        </w:rPr>
      </w:pPr>
      <w:r>
        <w:rPr>
          <w:rFonts w:hint="eastAsia" w:ascii="宋体" w:hAnsi="宋体"/>
          <w:highlight w:val="none"/>
        </w:rPr>
        <w:t>2.1评标委员会审查投标文件的实质性内容是否符合招标文件的实质性要求。</w:t>
      </w:r>
    </w:p>
    <w:p>
      <w:pPr>
        <w:snapToGrid w:val="0"/>
        <w:spacing w:line="360" w:lineRule="auto"/>
        <w:ind w:firstLine="480" w:firstLineChars="200"/>
        <w:rPr>
          <w:rFonts w:hint="eastAsia" w:ascii="宋体" w:hAnsi="宋体"/>
          <w:highlight w:val="none"/>
        </w:rPr>
      </w:pPr>
      <w:r>
        <w:rPr>
          <w:rFonts w:hint="eastAsia" w:ascii="宋体" w:hAnsi="宋体"/>
          <w:highlight w:val="none"/>
        </w:rPr>
        <w:t>2.2评标委员会将根据投标供应商的投标文件进行审查、核对，如有疑问，将对投标供应商进行询标，投标供应商要向评标委员会澄清有关问题，并最终以书面形式进行答复。</w:t>
      </w:r>
    </w:p>
    <w:p>
      <w:pPr>
        <w:snapToGrid w:val="0"/>
        <w:spacing w:line="360" w:lineRule="auto"/>
        <w:ind w:firstLine="480" w:firstLineChars="200"/>
        <w:rPr>
          <w:rFonts w:hint="eastAsia" w:ascii="宋体" w:hAnsi="宋体"/>
          <w:highlight w:val="none"/>
        </w:rPr>
      </w:pPr>
      <w:r>
        <w:rPr>
          <w:rFonts w:hint="eastAsia" w:ascii="宋体" w:hAnsi="宋体"/>
          <w:highlight w:val="none"/>
        </w:rPr>
        <w:t>询标时，投标供应商代表未到场或者拒绝澄清或者澄清的内容改变了投标文件的实质性内容的，评标委员会有权对该投标文件做出不利于投标供应商的评判。</w:t>
      </w:r>
    </w:p>
    <w:p>
      <w:pPr>
        <w:snapToGrid w:val="0"/>
        <w:spacing w:line="360" w:lineRule="auto"/>
        <w:ind w:firstLine="480" w:firstLineChars="200"/>
        <w:rPr>
          <w:rFonts w:hint="eastAsia" w:ascii="宋体" w:hAnsi="宋体"/>
          <w:strike/>
          <w:highlight w:val="none"/>
        </w:rPr>
      </w:pPr>
      <w:r>
        <w:rPr>
          <w:rFonts w:hint="eastAsia" w:ascii="仿宋_GB2312" w:hAnsi="仿宋" w:eastAsia="仿宋_GB2312" w:cs="Arial"/>
          <w:kern w:val="0"/>
          <w:highlight w:val="none"/>
        </w:rPr>
        <w:t>2.3</w:t>
      </w:r>
      <w:r>
        <w:rPr>
          <w:rFonts w:hint="eastAsia" w:ascii="宋体" w:hAnsi="宋体"/>
          <w:highlight w:val="none"/>
        </w:rPr>
        <w:t>评标委员会各成员应当独立对每个投标供应商的商务和技术文件进行评价，并汇总商务技术得分情况。</w:t>
      </w:r>
    </w:p>
    <w:p>
      <w:pPr>
        <w:snapToGrid w:val="0"/>
        <w:spacing w:line="360" w:lineRule="auto"/>
        <w:ind w:firstLine="472" w:firstLineChars="196"/>
        <w:rPr>
          <w:rFonts w:hint="eastAsia" w:ascii="宋体" w:hAnsi="宋体"/>
          <w:b/>
          <w:bCs/>
          <w:highlight w:val="none"/>
        </w:rPr>
      </w:pPr>
      <w:r>
        <w:rPr>
          <w:rFonts w:hint="eastAsia" w:ascii="宋体" w:hAnsi="宋体"/>
          <w:b/>
          <w:bCs/>
          <w:highlight w:val="none"/>
        </w:rPr>
        <w:t>3.报价审查</w:t>
      </w:r>
    </w:p>
    <w:p>
      <w:pPr>
        <w:spacing w:line="360" w:lineRule="auto"/>
        <w:ind w:firstLine="480" w:firstLineChars="200"/>
        <w:rPr>
          <w:rFonts w:hint="eastAsia" w:ascii="宋体" w:hAnsi="宋体"/>
          <w:highlight w:val="none"/>
        </w:rPr>
      </w:pPr>
      <w:r>
        <w:rPr>
          <w:rFonts w:hint="eastAsia" w:ascii="宋体" w:hAnsi="宋体"/>
          <w:highlight w:val="none"/>
        </w:rPr>
        <w:t>3.1投标文件报价如果出现计算或表达上的错误，修正错误的原则如下：</w:t>
      </w:r>
    </w:p>
    <w:p>
      <w:pPr>
        <w:spacing w:line="360" w:lineRule="auto"/>
        <w:ind w:firstLine="480" w:firstLineChars="200"/>
        <w:rPr>
          <w:rFonts w:hint="eastAsia" w:ascii="宋体" w:hAnsi="宋体"/>
          <w:highlight w:val="none"/>
        </w:rPr>
      </w:pPr>
      <w:r>
        <w:rPr>
          <w:rFonts w:hint="eastAsia" w:ascii="宋体" w:hAnsi="宋体"/>
          <w:highlight w:val="none"/>
        </w:rPr>
        <w:t>3.1.1开标一览表总价与投标报价明细表汇总数不一致的，以开标一览表为准。</w:t>
      </w:r>
    </w:p>
    <w:p>
      <w:pPr>
        <w:spacing w:line="360" w:lineRule="auto"/>
        <w:ind w:firstLine="480" w:firstLineChars="200"/>
        <w:rPr>
          <w:rFonts w:hint="eastAsia" w:ascii="宋体" w:hAnsi="宋体"/>
          <w:highlight w:val="none"/>
        </w:rPr>
      </w:pPr>
      <w:r>
        <w:rPr>
          <w:rFonts w:hint="eastAsia" w:ascii="宋体" w:hAnsi="宋体"/>
          <w:highlight w:val="none"/>
        </w:rPr>
        <w:t>3.1.2投标文件的大写金额和小写金额不一致的，以大写金额为准。</w:t>
      </w:r>
    </w:p>
    <w:p>
      <w:pPr>
        <w:spacing w:line="360" w:lineRule="auto"/>
        <w:ind w:firstLine="480" w:firstLineChars="200"/>
        <w:rPr>
          <w:rFonts w:hint="eastAsia" w:ascii="宋体" w:hAnsi="宋体"/>
          <w:highlight w:val="none"/>
        </w:rPr>
      </w:pPr>
      <w:r>
        <w:rPr>
          <w:rFonts w:hint="eastAsia" w:ascii="宋体" w:hAnsi="宋体"/>
          <w:highlight w:val="none"/>
        </w:rPr>
        <w:t>3.1.3总价金额与按单价汇总金额不一致的，以单价金额计算结果为准。</w:t>
      </w:r>
    </w:p>
    <w:p>
      <w:pPr>
        <w:spacing w:line="360" w:lineRule="auto"/>
        <w:ind w:firstLine="480" w:firstLineChars="200"/>
        <w:rPr>
          <w:rFonts w:hint="eastAsia" w:ascii="宋体" w:hAnsi="宋体"/>
          <w:highlight w:val="none"/>
        </w:rPr>
      </w:pPr>
      <w:r>
        <w:rPr>
          <w:rFonts w:hint="eastAsia" w:ascii="宋体" w:hAnsi="宋体"/>
          <w:highlight w:val="none"/>
        </w:rPr>
        <w:t>3.1.4对不同文字文本投标文件的解释发生异议的，以中文文本为准。</w:t>
      </w:r>
    </w:p>
    <w:p>
      <w:pPr>
        <w:spacing w:line="360" w:lineRule="auto"/>
        <w:ind w:firstLine="481" w:firstLineChars="200"/>
        <w:rPr>
          <w:rFonts w:hint="eastAsia" w:ascii="宋体" w:hAnsi="宋体"/>
          <w:highlight w:val="none"/>
        </w:rPr>
      </w:pPr>
      <w:r>
        <w:rPr>
          <w:rFonts w:hint="eastAsia" w:ascii="宋体" w:hAnsi="宋体"/>
          <w:b/>
          <w:bCs/>
          <w:highlight w:val="none"/>
        </w:rPr>
        <w:t>按上述修正错误的原则及方法调整或修正投标文件的投标报价，供应商同意并签字确认后，调整后的投标报价对供应商具有约束作用。如果供应商不接受修正后的报价，则其投标将作为无效投标处理。</w:t>
      </w:r>
    </w:p>
    <w:p>
      <w:pPr>
        <w:spacing w:line="360" w:lineRule="auto"/>
        <w:ind w:firstLine="480" w:firstLineChars="200"/>
        <w:rPr>
          <w:rFonts w:hint="eastAsia" w:ascii="宋体" w:hAnsi="宋体"/>
          <w:highlight w:val="none"/>
        </w:rPr>
      </w:pPr>
      <w:r>
        <w:rPr>
          <w:rFonts w:hint="eastAsia" w:ascii="宋体" w:hAnsi="宋体"/>
          <w:highlight w:val="none"/>
        </w:rPr>
        <w:t>3.2按照《关于推动解决政府采购异常低价问题的通知》财库〔2026〕2号要求，政府采购评审中出现下列情形之一的，评审委员会应当启动异常低价投标（响应）审查程序：</w:t>
      </w:r>
    </w:p>
    <w:p>
      <w:pPr>
        <w:spacing w:line="360" w:lineRule="auto"/>
        <w:ind w:firstLine="480" w:firstLineChars="200"/>
        <w:rPr>
          <w:rFonts w:hint="eastAsia" w:ascii="宋体" w:hAnsi="宋体"/>
          <w:highlight w:val="none"/>
        </w:rPr>
      </w:pPr>
      <w:r>
        <w:rPr>
          <w:rFonts w:hint="eastAsia" w:ascii="宋体" w:hAnsi="宋体"/>
          <w:highlight w:val="none"/>
        </w:rPr>
        <w:t>3.2.1投标（响应）报价低于全部通过符合性审查供应商投标（响应）报价平均值50%的，即投标（响应）报价&lt;全部通过符合性审查供应商投标（响应）报价平均值×50%；</w:t>
      </w:r>
    </w:p>
    <w:p>
      <w:pPr>
        <w:spacing w:line="360" w:lineRule="auto"/>
        <w:ind w:firstLine="480" w:firstLineChars="200"/>
        <w:rPr>
          <w:rFonts w:hint="eastAsia" w:ascii="宋体" w:hAnsi="宋体"/>
          <w:highlight w:val="none"/>
        </w:rPr>
      </w:pPr>
      <w:r>
        <w:rPr>
          <w:rFonts w:hint="eastAsia" w:ascii="宋体" w:hAnsi="宋体"/>
          <w:highlight w:val="none"/>
        </w:rPr>
        <w:t>3.2.2投标（响应）报价低于通过符合性审查的次低报价供应商投标（响应）报价50%的，即投标（响应）报价&lt;通过符合性审查的次低报价供应商投标（响应）报价×50%；</w:t>
      </w:r>
    </w:p>
    <w:p>
      <w:pPr>
        <w:spacing w:line="360" w:lineRule="auto"/>
        <w:ind w:firstLine="480" w:firstLineChars="200"/>
        <w:rPr>
          <w:rFonts w:hint="eastAsia" w:ascii="宋体" w:hAnsi="宋体"/>
          <w:highlight w:val="none"/>
        </w:rPr>
      </w:pPr>
      <w:r>
        <w:rPr>
          <w:rFonts w:hint="eastAsia" w:ascii="宋体" w:hAnsi="宋体"/>
          <w:highlight w:val="none"/>
        </w:rPr>
        <w:t>3.2.3投标（响应）报价低于采购项目最高限价45%的，即投标（响应）报价&lt;采购项目最高限价×45%；</w:t>
      </w:r>
    </w:p>
    <w:p>
      <w:pPr>
        <w:spacing w:line="360" w:lineRule="auto"/>
        <w:ind w:firstLine="480" w:firstLineChars="200"/>
        <w:rPr>
          <w:rFonts w:hint="eastAsia" w:ascii="宋体" w:hAnsi="宋体"/>
          <w:highlight w:val="none"/>
        </w:rPr>
      </w:pPr>
      <w:r>
        <w:rPr>
          <w:rFonts w:hint="eastAsia" w:ascii="宋体" w:hAnsi="宋体"/>
          <w:highlight w:val="none"/>
        </w:rPr>
        <w:t>3.2.4评审委员会基于专业判断，认为供应商报价过低，有可能影响产品质量或者不能诚信履约的其他情形。</w:t>
      </w:r>
    </w:p>
    <w:p>
      <w:pPr>
        <w:spacing w:line="360" w:lineRule="auto"/>
        <w:ind w:firstLine="480" w:firstLineChars="200"/>
        <w:rPr>
          <w:rFonts w:hint="eastAsia" w:ascii="宋体" w:hAnsi="宋体"/>
          <w:highlight w:val="none"/>
        </w:rPr>
      </w:pPr>
      <w:r>
        <w:rPr>
          <w:rFonts w:hint="eastAsia" w:ascii="宋体" w:hAnsi="宋体"/>
          <w:highlight w:val="none"/>
        </w:rPr>
        <w:t>采购人可以结合具体项目实际情况，提高上述第1项至第3项中启动异常低价投标（响应）审查的数值标准，但是最高不得超过65%。</w:t>
      </w:r>
    </w:p>
    <w:p>
      <w:pPr>
        <w:spacing w:line="360" w:lineRule="auto"/>
        <w:ind w:firstLine="480" w:firstLineChars="200"/>
        <w:rPr>
          <w:rFonts w:hint="eastAsia" w:ascii="宋体" w:hAnsi="宋体"/>
          <w:highlight w:val="none"/>
        </w:rPr>
      </w:pPr>
      <w:r>
        <w:rPr>
          <w:rFonts w:hint="eastAsia" w:ascii="宋体" w:hAnsi="宋体"/>
          <w:highlight w:val="none"/>
        </w:rPr>
        <w:t>相关法律法规对供应商报价有规定的，从其规定。</w:t>
      </w:r>
    </w:p>
    <w:p>
      <w:pPr>
        <w:spacing w:line="360" w:lineRule="auto"/>
        <w:ind w:firstLine="480" w:firstLineChars="200"/>
        <w:rPr>
          <w:rFonts w:hint="eastAsia" w:ascii="宋体" w:hAnsi="宋体"/>
          <w:highlight w:val="none"/>
        </w:rPr>
      </w:pPr>
      <w:r>
        <w:rPr>
          <w:rFonts w:hint="eastAsia" w:ascii="宋体" w:hAnsi="宋体"/>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应当随投标文件一并提交相关书面说明及必要的证明材料，如不提供的，投标无效。</w:t>
      </w:r>
    </w:p>
    <w:p>
      <w:pPr>
        <w:spacing w:line="360" w:lineRule="auto"/>
        <w:ind w:firstLine="480" w:firstLineChars="200"/>
        <w:rPr>
          <w:rFonts w:hint="eastAsia" w:ascii="宋体" w:hAnsi="宋体"/>
          <w:highlight w:val="none"/>
        </w:rPr>
      </w:pPr>
      <w:r>
        <w:rPr>
          <w:rFonts w:hint="eastAsia" w:ascii="宋体" w:hAnsi="宋体"/>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spacing w:line="360" w:lineRule="auto"/>
        <w:ind w:firstLine="480" w:firstLineChars="200"/>
        <w:rPr>
          <w:rFonts w:hint="eastAsia" w:ascii="宋体" w:hAnsi="宋体"/>
          <w:highlight w:val="none"/>
        </w:rPr>
      </w:pPr>
      <w:r>
        <w:rPr>
          <w:rFonts w:hint="eastAsia" w:ascii="宋体" w:hAnsi="宋体"/>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spacing w:line="360" w:lineRule="auto"/>
        <w:ind w:firstLine="480" w:firstLineChars="200"/>
        <w:rPr>
          <w:rFonts w:hint="eastAsia" w:ascii="宋体" w:hAnsi="宋体"/>
          <w:highlight w:val="none"/>
        </w:rPr>
      </w:pPr>
      <w:r>
        <w:rPr>
          <w:rFonts w:hint="eastAsia" w:ascii="宋体" w:hAnsi="宋体"/>
          <w:highlight w:val="none"/>
        </w:rPr>
        <w:t>异常低价投标（响应）审查的启动原因、审查意见和审查结果应当在评审报告中记录，并随供应商提供的相关书面说明及证明材料，以及评审委员会有关互联网浏览、查询历史一并归档。</w:t>
      </w:r>
    </w:p>
    <w:p>
      <w:pPr>
        <w:spacing w:line="360" w:lineRule="auto"/>
        <w:ind w:firstLine="480" w:firstLineChars="200"/>
        <w:rPr>
          <w:rFonts w:hint="eastAsia" w:ascii="宋体" w:hAnsi="宋体"/>
          <w:highlight w:val="none"/>
        </w:rPr>
      </w:pPr>
      <w:r>
        <w:rPr>
          <w:rFonts w:hint="eastAsia" w:ascii="宋体" w:hAnsi="宋体"/>
          <w:highlight w:val="none"/>
        </w:rPr>
        <w:t>3.3评审委员会根据合格供应商报价得出得分汇总。</w:t>
      </w:r>
    </w:p>
    <w:p>
      <w:pPr>
        <w:snapToGrid w:val="0"/>
        <w:spacing w:line="360" w:lineRule="auto"/>
        <w:ind w:firstLine="472" w:firstLineChars="196"/>
        <w:rPr>
          <w:rFonts w:hint="eastAsia" w:ascii="宋体" w:hAnsi="宋体"/>
          <w:b/>
          <w:bCs/>
          <w:highlight w:val="none"/>
        </w:rPr>
      </w:pPr>
      <w:r>
        <w:rPr>
          <w:rFonts w:hint="eastAsia" w:ascii="宋体" w:hAnsi="宋体"/>
          <w:b/>
          <w:bCs/>
          <w:highlight w:val="none"/>
        </w:rPr>
        <w:t>4.比较和推荐</w:t>
      </w:r>
    </w:p>
    <w:p>
      <w:pPr>
        <w:snapToGrid w:val="0"/>
        <w:spacing w:line="360" w:lineRule="auto"/>
        <w:ind w:firstLine="480" w:firstLineChars="200"/>
        <w:rPr>
          <w:rFonts w:hint="eastAsia" w:ascii="仿宋_GB2312" w:hAnsi="仿宋" w:eastAsia="仿宋_GB2312" w:cs="Arial"/>
          <w:kern w:val="0"/>
          <w:highlight w:val="none"/>
        </w:rPr>
      </w:pPr>
      <w:r>
        <w:rPr>
          <w:rFonts w:hint="eastAsia" w:ascii="宋体" w:hAnsi="宋体"/>
          <w:highlight w:val="none"/>
        </w:rPr>
        <w:t>评标委员会按评标原则推荐中标供应商同时起草评标报告。</w:t>
      </w:r>
    </w:p>
    <w:p>
      <w:pPr>
        <w:snapToGrid w:val="0"/>
        <w:spacing w:line="360" w:lineRule="auto"/>
        <w:ind w:firstLine="481" w:firstLineChars="200"/>
        <w:rPr>
          <w:rFonts w:hint="eastAsia" w:ascii="宋体" w:hAnsi="宋体"/>
          <w:b/>
          <w:highlight w:val="none"/>
        </w:rPr>
      </w:pPr>
      <w:r>
        <w:rPr>
          <w:rFonts w:hint="eastAsia" w:ascii="宋体" w:hAnsi="宋体"/>
          <w:b/>
          <w:highlight w:val="none"/>
        </w:rPr>
        <w:t>（四）澄清问题的形式</w:t>
      </w:r>
    </w:p>
    <w:p>
      <w:pPr>
        <w:snapToGrid w:val="0"/>
        <w:spacing w:line="360" w:lineRule="auto"/>
        <w:ind w:firstLine="480" w:firstLineChars="200"/>
        <w:rPr>
          <w:rFonts w:hint="eastAsia" w:ascii="宋体" w:hAnsi="宋体"/>
          <w:highlight w:val="none"/>
        </w:rPr>
      </w:pPr>
      <w:r>
        <w:rPr>
          <w:rFonts w:hint="eastAsia" w:ascii="宋体" w:hAnsi="宋体"/>
          <w:highlight w:val="none"/>
        </w:rPr>
        <w:t>对投标文件中含义不明确、同类问题表述不一致或者有明显文字和计算错误的内容，评标委员会可要求供应商作出必要的澄清、说明或者纠正。</w:t>
      </w:r>
    </w:p>
    <w:p>
      <w:pPr>
        <w:snapToGrid w:val="0"/>
        <w:spacing w:line="360" w:lineRule="auto"/>
        <w:ind w:firstLine="480" w:firstLineChars="200"/>
        <w:rPr>
          <w:rFonts w:hint="eastAsia" w:ascii="宋体" w:hAnsi="宋体"/>
          <w:highlight w:val="none"/>
        </w:rPr>
      </w:pPr>
      <w:r>
        <w:rPr>
          <w:rFonts w:hint="eastAsia" w:ascii="宋体" w:hAnsi="宋体"/>
          <w:highlight w:val="none"/>
        </w:rPr>
        <w:t>1.评标委员会可以在“政采云”平台在线询标或其他有效形式要求供应商对同一份投标文件含义不明确或同类问题表述不一致的内容（招标文件其他地方有规定处理方法的除外）作必要的澄清或说明。供应商应采用在线回复或其他有效形式在询标规定时间内进行澄清或说明，但不得超出投标文件的范围或改变投标文件的实质性内容。凡属于评标委员会在评标中发现的计算错误并进行核实的修改不在此列。</w:t>
      </w:r>
    </w:p>
    <w:p>
      <w:pPr>
        <w:snapToGrid w:val="0"/>
        <w:spacing w:line="360" w:lineRule="auto"/>
        <w:ind w:firstLine="480" w:firstLineChars="200"/>
        <w:rPr>
          <w:rFonts w:hint="eastAsia" w:ascii="宋体" w:hAnsi="宋体"/>
          <w:highlight w:val="none"/>
        </w:rPr>
      </w:pPr>
      <w:r>
        <w:rPr>
          <w:rFonts w:hint="eastAsia" w:ascii="宋体" w:hAnsi="宋体"/>
          <w:highlight w:val="none"/>
        </w:rPr>
        <w:t>2.如果供应商代表拒绝或未按评标委员会要求在“政采云”平台作出在线回复且无其他有效回复方式的，评标委员会可以对其作出无效标处理。</w:t>
      </w:r>
    </w:p>
    <w:p>
      <w:pPr>
        <w:pStyle w:val="7"/>
        <w:tabs>
          <w:tab w:val="left" w:pos="630"/>
        </w:tabs>
        <w:snapToGrid w:val="0"/>
        <w:spacing w:before="120" w:after="120" w:line="360" w:lineRule="auto"/>
        <w:ind w:firstLine="472" w:firstLineChars="196"/>
        <w:rPr>
          <w:rFonts w:hint="eastAsia" w:hAnsi="宋体"/>
          <w:b/>
          <w:highlight w:val="none"/>
        </w:rPr>
      </w:pPr>
      <w:r>
        <w:rPr>
          <w:rFonts w:hint="eastAsia" w:hAnsi="宋体"/>
          <w:b/>
          <w:highlight w:val="none"/>
        </w:rPr>
        <w:t>（五）评标原则和评标办法</w:t>
      </w:r>
    </w:p>
    <w:p>
      <w:pPr>
        <w:pStyle w:val="7"/>
        <w:snapToGrid w:val="0"/>
        <w:spacing w:before="120" w:after="120" w:line="360" w:lineRule="auto"/>
        <w:ind w:firstLine="480" w:firstLineChars="200"/>
        <w:rPr>
          <w:rFonts w:hint="eastAsia" w:hAnsi="宋体"/>
          <w:highlight w:val="none"/>
        </w:rPr>
      </w:pPr>
      <w:r>
        <w:rPr>
          <w:rFonts w:hint="eastAsia" w:hAnsi="宋体"/>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供应商接触。</w:t>
      </w:r>
    </w:p>
    <w:p>
      <w:pPr>
        <w:pStyle w:val="7"/>
        <w:snapToGrid w:val="0"/>
        <w:spacing w:before="120" w:after="120" w:line="360" w:lineRule="auto"/>
        <w:ind w:firstLine="480" w:firstLineChars="200"/>
        <w:rPr>
          <w:rFonts w:hint="eastAsia" w:hAnsi="宋体"/>
          <w:highlight w:val="none"/>
        </w:rPr>
      </w:pPr>
      <w:r>
        <w:rPr>
          <w:rFonts w:hint="eastAsia" w:hAnsi="宋体"/>
          <w:highlight w:val="none"/>
        </w:rPr>
        <w:t>2.评标办法。本项目评标办法是 综合评分法，具体评标内容及评分标准等详见《第四章：评标办法及评分标准》。</w:t>
      </w:r>
    </w:p>
    <w:p>
      <w:pPr>
        <w:pStyle w:val="7"/>
        <w:snapToGrid w:val="0"/>
        <w:spacing w:before="120" w:after="120" w:line="360" w:lineRule="auto"/>
        <w:ind w:firstLine="472" w:firstLineChars="196"/>
        <w:rPr>
          <w:rFonts w:hint="eastAsia" w:hAnsi="宋体"/>
          <w:b/>
          <w:highlight w:val="none"/>
        </w:rPr>
      </w:pPr>
      <w:r>
        <w:rPr>
          <w:rFonts w:hint="eastAsia" w:hAnsi="宋体"/>
          <w:b/>
          <w:highlight w:val="none"/>
        </w:rPr>
        <w:t>（六）评标过程的监控</w:t>
      </w:r>
    </w:p>
    <w:p>
      <w:pPr>
        <w:pStyle w:val="7"/>
        <w:snapToGrid w:val="0"/>
        <w:spacing w:before="120" w:after="120" w:line="360" w:lineRule="auto"/>
        <w:ind w:firstLine="480" w:firstLineChars="200"/>
        <w:rPr>
          <w:rFonts w:hint="eastAsia" w:hAnsi="宋体"/>
          <w:highlight w:val="none"/>
        </w:rPr>
      </w:pPr>
      <w:r>
        <w:rPr>
          <w:rFonts w:hint="eastAsia" w:hAnsi="宋体"/>
          <w:highlight w:val="none"/>
        </w:rPr>
        <w:t>本项目评标过程实行全程录音、录像监控。投标供应商在评标过程中所进行的试图影响评标结果的不公正活动，可能导致其投标被拒绝。</w:t>
      </w:r>
    </w:p>
    <w:p>
      <w:pPr>
        <w:rPr>
          <w:rFonts w:hint="eastAsia" w:hAnsi="宋体"/>
          <w:highlight w:val="none"/>
        </w:rPr>
      </w:pPr>
    </w:p>
    <w:p>
      <w:pPr>
        <w:pStyle w:val="7"/>
        <w:snapToGrid w:val="0"/>
        <w:spacing w:before="120" w:after="120" w:line="360" w:lineRule="auto"/>
        <w:ind w:firstLine="472" w:firstLineChars="196"/>
        <w:jc w:val="center"/>
        <w:outlineLvl w:val="1"/>
        <w:rPr>
          <w:rFonts w:hint="eastAsia" w:hAnsi="宋体"/>
          <w:b/>
          <w:highlight w:val="none"/>
        </w:rPr>
      </w:pPr>
      <w:r>
        <w:rPr>
          <w:rFonts w:hint="eastAsia" w:hAnsi="宋体"/>
          <w:b/>
          <w:highlight w:val="none"/>
        </w:rPr>
        <w:t>六、定标</w:t>
      </w:r>
    </w:p>
    <w:p>
      <w:pPr>
        <w:spacing w:line="360" w:lineRule="auto"/>
        <w:ind w:firstLine="481" w:firstLineChars="200"/>
        <w:rPr>
          <w:rFonts w:hint="eastAsia" w:ascii="宋体" w:hAnsi="宋体"/>
          <w:b/>
          <w:bCs/>
          <w:highlight w:val="none"/>
        </w:rPr>
      </w:pPr>
      <w:r>
        <w:rPr>
          <w:rFonts w:hint="eastAsia" w:ascii="宋体" w:hAnsi="宋体"/>
          <w:b/>
          <w:bCs/>
          <w:highlight w:val="none"/>
        </w:rPr>
        <w:t>1.确定中标供应商</w:t>
      </w:r>
    </w:p>
    <w:p>
      <w:pPr>
        <w:spacing w:line="360" w:lineRule="auto"/>
        <w:ind w:firstLine="480" w:firstLineChars="200"/>
        <w:rPr>
          <w:rFonts w:hint="eastAsia" w:ascii="宋体" w:hAnsi="宋体"/>
          <w:highlight w:val="none"/>
        </w:rPr>
      </w:pPr>
      <w:r>
        <w:rPr>
          <w:rFonts w:hint="eastAsia" w:ascii="宋体" w:hAnsi="宋体"/>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中标、成交通知书和中标、成交结果公告应当在规定时间内同时发出。</w:t>
      </w:r>
    </w:p>
    <w:p>
      <w:pPr>
        <w:spacing w:line="360" w:lineRule="auto"/>
        <w:ind w:firstLine="481" w:firstLineChars="200"/>
        <w:rPr>
          <w:rFonts w:hint="eastAsia" w:ascii="宋体" w:hAnsi="宋体"/>
          <w:b/>
          <w:bCs/>
          <w:highlight w:val="none"/>
        </w:rPr>
      </w:pPr>
      <w:r>
        <w:rPr>
          <w:rFonts w:hint="eastAsia" w:ascii="宋体" w:hAnsi="宋体"/>
          <w:b/>
          <w:bCs/>
          <w:highlight w:val="none"/>
        </w:rPr>
        <w:t>2.中标通知与中标结果公告</w:t>
      </w:r>
    </w:p>
    <w:p>
      <w:pPr>
        <w:spacing w:line="360" w:lineRule="auto"/>
        <w:ind w:firstLine="480" w:firstLineChars="200"/>
        <w:rPr>
          <w:rFonts w:hint="eastAsia" w:ascii="宋体" w:hAnsi="宋体"/>
          <w:highlight w:val="none"/>
        </w:rPr>
      </w:pPr>
      <w:r>
        <w:rPr>
          <w:rFonts w:hint="eastAsia" w:ascii="宋体" w:hAnsi="宋体"/>
          <w:highlight w:val="none"/>
        </w:rPr>
        <w:t>2.1自中标人确定之日起2个工作日内，采购代理机构通过电子交易平台向中标人发出中标通知书，同时编制发布采购结果公告。采购代理机构也可以以纸质形式进行中标通知。</w:t>
      </w:r>
    </w:p>
    <w:p>
      <w:pPr>
        <w:spacing w:line="360" w:lineRule="auto"/>
        <w:ind w:firstLine="480" w:firstLineChars="200"/>
        <w:rPr>
          <w:rFonts w:hint="eastAsia" w:ascii="宋体" w:hAnsi="宋体"/>
          <w:highlight w:val="none"/>
        </w:rPr>
      </w:pPr>
      <w:r>
        <w:rPr>
          <w:rFonts w:hint="eastAsia" w:ascii="宋体" w:hAnsi="宋体"/>
          <w:highlight w:val="none"/>
        </w:rPr>
        <w:t>2.2中标结果公告内容包括采购人及其委托的采购代理机构的名称、地址、联系方式，项目名称和项目编号，中标供应商名称、地址和中标金额，主要中标标的的名称、规格型号、数量、单价、服务要求，开标记录、资格审查情况、评审专家抽取规则、符合性审查情况、未中标情况说明、中标公告期限以及评审专家名单、评分汇总及明细。</w:t>
      </w:r>
    </w:p>
    <w:p>
      <w:pPr>
        <w:spacing w:line="360" w:lineRule="auto"/>
        <w:ind w:firstLine="480" w:firstLineChars="200"/>
        <w:rPr>
          <w:rFonts w:hint="eastAsia" w:ascii="宋体" w:hAnsi="宋体"/>
          <w:highlight w:val="none"/>
        </w:rPr>
      </w:pPr>
      <w:r>
        <w:rPr>
          <w:rFonts w:hint="eastAsia" w:ascii="宋体" w:hAnsi="宋体"/>
          <w:highlight w:val="none"/>
        </w:rPr>
        <w:t>2.3公告期限为1个工作日。</w:t>
      </w:r>
    </w:p>
    <w:p>
      <w:pPr>
        <w:pStyle w:val="7"/>
        <w:snapToGrid w:val="0"/>
        <w:spacing w:before="120" w:after="120" w:line="360" w:lineRule="auto"/>
        <w:ind w:firstLine="472" w:firstLineChars="196"/>
        <w:jc w:val="center"/>
        <w:outlineLvl w:val="1"/>
        <w:rPr>
          <w:rFonts w:hint="eastAsia" w:hAnsi="宋体"/>
          <w:b/>
          <w:highlight w:val="none"/>
        </w:rPr>
      </w:pPr>
      <w:r>
        <w:rPr>
          <w:rFonts w:hint="eastAsia" w:hAnsi="宋体"/>
          <w:b/>
          <w:highlight w:val="none"/>
        </w:rPr>
        <w:t>七、合同授予</w:t>
      </w:r>
    </w:p>
    <w:bookmarkEnd w:id="35"/>
    <w:bookmarkEnd w:id="36"/>
    <w:bookmarkEnd w:id="37"/>
    <w:p>
      <w:pPr>
        <w:spacing w:line="360" w:lineRule="auto"/>
        <w:ind w:firstLine="480" w:firstLineChars="200"/>
        <w:rPr>
          <w:rFonts w:hint="eastAsia" w:ascii="宋体" w:hAnsi="宋体"/>
          <w:highlight w:val="none"/>
        </w:rPr>
      </w:pPr>
      <w:r>
        <w:rPr>
          <w:rFonts w:hint="eastAsia" w:ascii="宋体" w:hAnsi="宋体"/>
          <w:highlight w:val="none"/>
        </w:rPr>
        <w:t>1.采购人与中标供应商应当在中标通知书发出之日起30日内签订政府采购合同。</w:t>
      </w:r>
    </w:p>
    <w:p>
      <w:pPr>
        <w:spacing w:line="360" w:lineRule="auto"/>
        <w:ind w:firstLine="480" w:firstLineChars="200"/>
        <w:rPr>
          <w:rFonts w:hint="eastAsia" w:ascii="宋体" w:hAnsi="宋体"/>
          <w:highlight w:val="none"/>
        </w:rPr>
      </w:pPr>
      <w:r>
        <w:rPr>
          <w:rFonts w:hint="eastAsia" w:ascii="宋体" w:hAnsi="宋体"/>
          <w:highlight w:val="none"/>
        </w:rPr>
        <w:t>2.采购人及时复核供应商材料。根据浙财采监〔2025〕2号文件、浙财采监〔2025〕10号文件规定，在评审结束后、合同签订前，采购人应及时通过网站查询、原件核对等方式对中标供应商在投标文件中涉及客观分评审内容的检测报告、认证证书等资料的真实性进行复核，复核情况详细记录，并纳入采购档案。发现供应商提供虚假材料的，应及时书面报告本级财政部门。</w:t>
      </w:r>
    </w:p>
    <w:p>
      <w:pPr>
        <w:spacing w:line="360" w:lineRule="auto"/>
        <w:ind w:firstLine="480" w:firstLineChars="200"/>
        <w:rPr>
          <w:rFonts w:hint="eastAsia" w:ascii="宋体" w:hAnsi="宋体"/>
          <w:highlight w:val="none"/>
        </w:rPr>
      </w:pPr>
      <w:r>
        <w:rPr>
          <w:rFonts w:hint="eastAsia" w:ascii="宋体" w:hAnsi="宋体"/>
          <w:highlight w:val="none"/>
        </w:rPr>
        <w:t>3.中标供应商拖延、拒签合同的，将被取消中标资格，并报监督管理部门依法处理。</w:t>
      </w:r>
    </w:p>
    <w:p>
      <w:pPr>
        <w:spacing w:line="360" w:lineRule="auto"/>
        <w:ind w:firstLine="480" w:firstLineChars="200"/>
        <w:rPr>
          <w:rFonts w:hint="eastAsia" w:ascii="宋体" w:hAnsi="宋体"/>
          <w:highlight w:val="none"/>
        </w:rPr>
      </w:pPr>
      <w:r>
        <w:rPr>
          <w:rFonts w:hint="eastAsia" w:ascii="宋体" w:hAnsi="宋体"/>
          <w:highlight w:val="none"/>
        </w:rPr>
        <w:t>4.采购人须在本项目政府采购合同签订之日起2个工作日内将合同发布于浙江政府采购网，但政府采购合同中涉及国家秘密、商业秘密的内容除外。</w:t>
      </w:r>
    </w:p>
    <w:p>
      <w:pPr>
        <w:spacing w:line="360" w:lineRule="auto"/>
        <w:ind w:firstLine="480" w:firstLineChars="200"/>
        <w:rPr>
          <w:highlight w:val="none"/>
        </w:rPr>
      </w:pPr>
      <w:r>
        <w:rPr>
          <w:rFonts w:hint="eastAsia"/>
          <w:highlight w:val="none"/>
        </w:rPr>
        <w:br w:type="page"/>
      </w:r>
    </w:p>
    <w:p>
      <w:pPr>
        <w:pStyle w:val="7"/>
        <w:snapToGrid w:val="0"/>
        <w:spacing w:before="120" w:after="120" w:line="360" w:lineRule="auto"/>
        <w:ind w:firstLine="472" w:firstLineChars="196"/>
        <w:jc w:val="center"/>
        <w:outlineLvl w:val="1"/>
        <w:rPr>
          <w:rFonts w:hint="eastAsia" w:hAnsi="宋体"/>
          <w:b/>
          <w:highlight w:val="none"/>
        </w:rPr>
      </w:pPr>
      <w:r>
        <w:rPr>
          <w:rFonts w:hint="eastAsia" w:hAnsi="宋体"/>
          <w:b/>
          <w:highlight w:val="none"/>
        </w:rPr>
        <w:t>八、验收</w:t>
      </w:r>
    </w:p>
    <w:p>
      <w:pPr>
        <w:snapToGrid w:val="0"/>
        <w:spacing w:line="360" w:lineRule="auto"/>
        <w:ind w:firstLine="480" w:firstLineChars="200"/>
        <w:rPr>
          <w:rFonts w:hint="eastAsia" w:ascii="宋体" w:hAnsi="宋体"/>
          <w:highlight w:val="none"/>
        </w:rPr>
      </w:pPr>
      <w:r>
        <w:rPr>
          <w:rFonts w:hint="eastAsia" w:ascii="宋体" w:hAnsi="宋体"/>
          <w:highlight w:val="none"/>
        </w:rPr>
        <w:t>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snapToGrid w:val="0"/>
        <w:spacing w:line="360" w:lineRule="auto"/>
        <w:ind w:firstLine="480" w:firstLineChars="200"/>
        <w:rPr>
          <w:rFonts w:hint="eastAsia" w:ascii="宋体" w:hAnsi="宋体"/>
          <w:highlight w:val="none"/>
        </w:rPr>
      </w:pPr>
      <w:r>
        <w:rPr>
          <w:rFonts w:hint="eastAsia" w:ascii="宋体" w:hAnsi="宋体"/>
          <w:highlight w:val="none"/>
        </w:rPr>
        <w:t>2.采购人可以邀请参加本项目的其他投标供应商或者第三方机构参与验收。参与验收的投标供应商或者第三方机构的意见作为验收书的参考资料一并存档。</w:t>
      </w:r>
    </w:p>
    <w:p>
      <w:pPr>
        <w:snapToGrid w:val="0"/>
        <w:spacing w:line="360" w:lineRule="auto"/>
        <w:ind w:firstLine="480" w:firstLineChars="200"/>
        <w:rPr>
          <w:rFonts w:hint="eastAsia" w:ascii="宋体" w:hAnsi="宋体"/>
          <w:highlight w:val="none"/>
        </w:rPr>
      </w:pPr>
      <w:r>
        <w:rPr>
          <w:rFonts w:hint="eastAsia" w:ascii="宋体" w:hAnsi="宋体"/>
          <w:highlight w:val="none"/>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返还条件挂钩。履约验收的各项资料应当存档备查。</w:t>
      </w:r>
    </w:p>
    <w:p>
      <w:pPr>
        <w:snapToGrid w:val="0"/>
        <w:spacing w:line="360" w:lineRule="auto"/>
        <w:ind w:firstLine="480" w:firstLineChars="200"/>
        <w:rPr>
          <w:rFonts w:hint="eastAsia" w:ascii="宋体" w:hAnsi="宋体"/>
          <w:highlight w:val="none"/>
        </w:rPr>
        <w:sectPr>
          <w:footerReference r:id="rId6" w:type="default"/>
          <w:pgSz w:w="11849" w:h="16781"/>
          <w:pgMar w:top="1440" w:right="1797" w:bottom="1440" w:left="1797" w:header="851" w:footer="850" w:gutter="0"/>
          <w:cols w:space="720" w:num="1"/>
          <w:docGrid w:linePitch="312" w:charSpace="0"/>
        </w:sectPr>
      </w:pPr>
      <w:r>
        <w:rPr>
          <w:rFonts w:hint="eastAsia" w:ascii="宋体" w:hAnsi="宋体"/>
          <w:highlight w:val="none"/>
        </w:rPr>
        <w:t>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w:t>
      </w:r>
      <w:bookmarkStart w:id="73" w:name="_Hlt74714665"/>
      <w:bookmarkEnd w:id="73"/>
      <w:bookmarkStart w:id="74" w:name="_Hlt68072990"/>
      <w:bookmarkEnd w:id="74"/>
      <w:bookmarkStart w:id="75" w:name="_Hlt68057669"/>
      <w:bookmarkEnd w:id="75"/>
      <w:bookmarkStart w:id="76" w:name="_Hlt68073093"/>
      <w:bookmarkEnd w:id="76"/>
      <w:bookmarkStart w:id="77" w:name="_Hlt75236101"/>
      <w:bookmarkEnd w:id="77"/>
      <w:bookmarkStart w:id="78" w:name="_Hlt74730295"/>
      <w:bookmarkEnd w:id="78"/>
      <w:bookmarkStart w:id="79" w:name="_Hlt75236011"/>
      <w:bookmarkEnd w:id="79"/>
      <w:bookmarkStart w:id="80" w:name="_Hlt68072998"/>
      <w:bookmarkEnd w:id="80"/>
      <w:bookmarkStart w:id="81" w:name="_Hlt74729768"/>
      <w:bookmarkEnd w:id="81"/>
      <w:bookmarkStart w:id="82" w:name="_Hlt74707468"/>
      <w:bookmarkEnd w:id="82"/>
      <w:bookmarkStart w:id="83" w:name="_Hlt75236290"/>
      <w:bookmarkEnd w:id="83"/>
      <w:bookmarkStart w:id="84" w:name="_Hlt68403820"/>
      <w:bookmarkEnd w:id="84"/>
      <w:r>
        <w:rPr>
          <w:rFonts w:hint="eastAsia" w:ascii="宋体" w:hAnsi="宋体"/>
          <w:highlight w:val="none"/>
        </w:rPr>
        <w:t>部门。</w:t>
      </w:r>
    </w:p>
    <w:bookmarkEnd w:id="30"/>
    <w:p>
      <w:pPr>
        <w:pStyle w:val="2"/>
        <w:snapToGrid w:val="0"/>
        <w:spacing w:line="300" w:lineRule="auto"/>
        <w:rPr>
          <w:rFonts w:hint="eastAsia" w:ascii="宋体" w:hAnsi="宋体" w:eastAsia="宋体"/>
          <w:highlight w:val="none"/>
        </w:rPr>
      </w:pPr>
      <w:r>
        <w:rPr>
          <w:rFonts w:hint="eastAsia" w:ascii="宋体" w:hAnsi="宋体" w:eastAsia="宋体"/>
          <w:highlight w:val="none"/>
        </w:rPr>
        <w:t>第四章 评标办法及标准</w:t>
      </w:r>
    </w:p>
    <w:p>
      <w:pPr>
        <w:spacing w:before="120" w:beforeLines="50" w:after="120" w:afterLines="50" w:line="360" w:lineRule="auto"/>
        <w:ind w:firstLine="420"/>
        <w:rPr>
          <w:rFonts w:hint="eastAsia" w:ascii="宋体" w:hAnsi="宋体"/>
          <w:highlight w:val="none"/>
        </w:rPr>
      </w:pPr>
      <w:r>
        <w:rPr>
          <w:rFonts w:hint="eastAsia" w:ascii="宋体" w:hAnsi="宋体"/>
          <w:highlight w:val="none"/>
        </w:rPr>
        <w:t>为公正、公平、科学地选择中标供应商，根据《中华人民共和国政府采购法》等有关法律法规的规定，并结合本项目的实际，制定本办法。</w:t>
      </w:r>
    </w:p>
    <w:p>
      <w:pPr>
        <w:spacing w:before="120" w:beforeLines="50" w:after="120" w:afterLines="50" w:line="360" w:lineRule="auto"/>
        <w:ind w:firstLine="420"/>
        <w:rPr>
          <w:rFonts w:hint="eastAsia" w:ascii="宋体" w:hAnsi="宋体"/>
          <w:highlight w:val="none"/>
        </w:rPr>
      </w:pPr>
      <w:r>
        <w:rPr>
          <w:rFonts w:hint="eastAsia" w:ascii="宋体" w:hAnsi="宋体"/>
          <w:highlight w:val="none"/>
        </w:rPr>
        <w:t>本办法适用于本项目的评标。</w:t>
      </w:r>
    </w:p>
    <w:p>
      <w:pPr>
        <w:pStyle w:val="3"/>
        <w:ind w:firstLine="481" w:firstLineChars="200"/>
        <w:jc w:val="both"/>
        <w:rPr>
          <w:rFonts w:hint="eastAsia"/>
          <w:highlight w:val="none"/>
        </w:rPr>
      </w:pPr>
      <w:r>
        <w:rPr>
          <w:rFonts w:hint="eastAsia"/>
          <w:highlight w:val="none"/>
        </w:rPr>
        <w:t>一、总则</w:t>
      </w:r>
    </w:p>
    <w:p>
      <w:pPr>
        <w:spacing w:before="120" w:beforeLines="50" w:after="120" w:afterLines="50" w:line="360" w:lineRule="auto"/>
        <w:ind w:firstLine="480" w:firstLineChars="200"/>
        <w:rPr>
          <w:rFonts w:hint="eastAsia" w:ascii="宋体" w:hAnsi="宋体"/>
          <w:highlight w:val="none"/>
        </w:rPr>
      </w:pPr>
      <w:r>
        <w:rPr>
          <w:rFonts w:hint="eastAsia" w:ascii="宋体" w:hAnsi="宋体"/>
          <w:highlight w:val="none"/>
        </w:rPr>
        <w:t>本次评标采用综合评分法，总分为100分。合格供应商的评标得分为各项目汇总得分，中标候选资格按评标得分由高到低顺序排列，得分相同的，按投标报价由低到高顺序排列；得分且投标报价相同的，按商务技术得分由高到低顺序排列，仍不能分出前后的，以投标解密先后顺序确定中标候选供应商。中标候选供应商数量：2家，采购人应从评审报告确定的中标候选供应商名单中按顺序确定中标供应商，中标供应商拒绝与采购人签订合同的，确定下一候选供应商为中标供应商，也可以重新开展政府采购活动。评分过程中采用四舍五入法，并保留小数2位。</w:t>
      </w:r>
    </w:p>
    <w:p>
      <w:pPr>
        <w:spacing w:before="120" w:beforeLines="50" w:after="120" w:afterLines="50" w:line="360" w:lineRule="auto"/>
        <w:ind w:firstLine="480" w:firstLineChars="200"/>
        <w:rPr>
          <w:rFonts w:hint="eastAsia" w:ascii="宋体" w:hAnsi="宋体"/>
          <w:highlight w:val="none"/>
        </w:rPr>
      </w:pPr>
      <w:r>
        <w:rPr>
          <w:rFonts w:hint="eastAsia" w:ascii="宋体" w:hAnsi="宋体"/>
          <w:highlight w:val="none"/>
        </w:rPr>
        <w:t>供应商评标综合得分=价格分+</w:t>
      </w:r>
      <w:r>
        <w:rPr>
          <w:rFonts w:hint="eastAsia" w:ascii="宋体" w:hAnsi="宋体"/>
          <w:highlight w:val="none"/>
          <w:lang w:eastAsia="zh-CN"/>
        </w:rPr>
        <w:t>商务</w:t>
      </w:r>
      <w:r>
        <w:rPr>
          <w:rFonts w:hint="eastAsia" w:ascii="宋体" w:hAnsi="宋体"/>
          <w:highlight w:val="none"/>
        </w:rPr>
        <w:t>技术分</w:t>
      </w:r>
    </w:p>
    <w:p>
      <w:pPr>
        <w:pStyle w:val="3"/>
        <w:ind w:firstLine="481" w:firstLineChars="200"/>
        <w:jc w:val="both"/>
        <w:rPr>
          <w:rFonts w:hint="eastAsia"/>
          <w:highlight w:val="none"/>
        </w:rPr>
      </w:pPr>
      <w:r>
        <w:rPr>
          <w:rFonts w:hint="eastAsia"/>
          <w:highlight w:val="none"/>
        </w:rPr>
        <w:t>二、评标内容及标准</w:t>
      </w:r>
    </w:p>
    <w:p>
      <w:pPr>
        <w:pStyle w:val="14"/>
        <w:spacing w:before="120" w:beforeLines="50" w:after="120" w:afterLines="50" w:line="360" w:lineRule="auto"/>
        <w:ind w:firstLine="465" w:firstLineChars="200"/>
        <w:rPr>
          <w:rFonts w:hint="eastAsia" w:hAnsi="宋体"/>
          <w:b/>
          <w:bCs/>
          <w:sz w:val="24"/>
          <w:szCs w:val="24"/>
          <w:highlight w:val="none"/>
        </w:rPr>
      </w:pPr>
      <w:r>
        <w:rPr>
          <w:rFonts w:hint="eastAsia" w:hAnsi="宋体"/>
          <w:b/>
          <w:sz w:val="24"/>
          <w:szCs w:val="24"/>
          <w:highlight w:val="none"/>
        </w:rPr>
        <w:t>（一）</w:t>
      </w:r>
      <w:r>
        <w:rPr>
          <w:rFonts w:hint="eastAsia" w:hAnsi="宋体"/>
          <w:b/>
          <w:bCs/>
          <w:sz w:val="24"/>
          <w:szCs w:val="24"/>
          <w:highlight w:val="none"/>
        </w:rPr>
        <w:t>价格分（30分）</w:t>
      </w:r>
    </w:p>
    <w:p>
      <w:pPr>
        <w:pStyle w:val="14"/>
        <w:spacing w:before="120" w:beforeLines="50" w:after="120" w:afterLines="50" w:line="360" w:lineRule="auto"/>
        <w:ind w:firstLine="464" w:firstLineChars="200"/>
        <w:rPr>
          <w:rFonts w:hint="eastAsia" w:hAnsi="宋体"/>
          <w:bCs/>
          <w:sz w:val="24"/>
          <w:szCs w:val="24"/>
          <w:highlight w:val="none"/>
        </w:rPr>
      </w:pPr>
      <w:r>
        <w:rPr>
          <w:rFonts w:hint="eastAsia" w:hAnsi="宋体"/>
          <w:bCs/>
          <w:sz w:val="24"/>
          <w:szCs w:val="24"/>
          <w:highlight w:val="none"/>
        </w:rPr>
        <w:t>1.价格分采用低价优先法计算，即满足招标文件要求且投标价格最低的投标报价为评标基准价，其他供应商的价格分按照下列公式计算：</w:t>
      </w:r>
    </w:p>
    <w:p>
      <w:pPr>
        <w:spacing w:before="120" w:beforeLines="50" w:after="120" w:afterLines="50" w:line="360" w:lineRule="auto"/>
        <w:ind w:firstLine="480" w:firstLineChars="200"/>
        <w:rPr>
          <w:rFonts w:hint="eastAsia" w:ascii="宋体" w:hAnsi="宋体"/>
          <w:highlight w:val="none"/>
        </w:rPr>
      </w:pPr>
      <w:r>
        <w:rPr>
          <w:rFonts w:hint="eastAsia" w:ascii="宋体" w:hAnsi="宋体"/>
          <w:highlight w:val="none"/>
        </w:rPr>
        <w:t>价格分=（评标基准价/投标报价）×30%×100</w:t>
      </w:r>
    </w:p>
    <w:p>
      <w:pPr>
        <w:pStyle w:val="14"/>
        <w:spacing w:before="120" w:beforeLines="50" w:after="120" w:afterLines="50" w:line="360" w:lineRule="auto"/>
        <w:ind w:firstLine="464" w:firstLineChars="200"/>
        <w:rPr>
          <w:rFonts w:hint="eastAsia" w:hAnsi="宋体"/>
          <w:bCs/>
          <w:sz w:val="24"/>
          <w:szCs w:val="24"/>
          <w:highlight w:val="none"/>
        </w:rPr>
      </w:pPr>
      <w:r>
        <w:rPr>
          <w:rFonts w:hint="eastAsia" w:hAnsi="宋体"/>
          <w:bCs/>
          <w:sz w:val="24"/>
          <w:szCs w:val="24"/>
          <w:highlight w:val="none"/>
        </w:rPr>
        <w:t>2.供应商的投标报价超过采购人设定的最高限价，将作为无效标。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pPr>
        <w:rPr>
          <w:rFonts w:hint="eastAsia" w:ascii="宋体" w:hAnsi="宋体"/>
          <w:b/>
          <w:highlight w:val="none"/>
        </w:rPr>
      </w:pPr>
      <w:r>
        <w:rPr>
          <w:rFonts w:hint="eastAsia" w:ascii="宋体" w:hAnsi="宋体"/>
          <w:highlight w:val="none"/>
        </w:rPr>
        <w:t xml:space="preserve">   </w:t>
      </w:r>
      <w:r>
        <w:rPr>
          <w:rFonts w:hint="eastAsia" w:ascii="宋体" w:hAnsi="宋体"/>
          <w:b/>
          <w:highlight w:val="none"/>
        </w:rPr>
        <w:t>（二）商务技术分（70分）</w:t>
      </w:r>
    </w:p>
    <w:tbl>
      <w:tblPr>
        <w:tblStyle w:val="29"/>
        <w:tblpPr w:leftFromText="180" w:rightFromText="180" w:vertAnchor="text" w:horzAnchor="page" w:tblpXSpec="center" w:tblpY="344"/>
        <w:tblOverlap w:val="never"/>
        <w:tblW w:w="89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513"/>
        <w:gridCol w:w="1589"/>
        <w:gridCol w:w="5103"/>
        <w:gridCol w:w="10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gridSpan w:val="3"/>
            <w:vAlign w:val="center"/>
          </w:tcPr>
          <w:p>
            <w:pPr>
              <w:spacing w:line="360" w:lineRule="auto"/>
              <w:jc w:val="center"/>
              <w:rPr>
                <w:rFonts w:hint="eastAsia" w:ascii="宋体" w:hAnsi="宋体"/>
                <w:sz w:val="21"/>
                <w:szCs w:val="21"/>
                <w:highlight w:val="none"/>
              </w:rPr>
            </w:pPr>
            <w:bookmarkStart w:id="85" w:name="_Hlk201316556"/>
            <w:r>
              <w:rPr>
                <w:rFonts w:hint="eastAsia" w:ascii="宋体" w:hAnsi="宋体"/>
                <w:sz w:val="21"/>
                <w:szCs w:val="21"/>
                <w:highlight w:val="none"/>
              </w:rPr>
              <w:t>评分项目</w:t>
            </w:r>
          </w:p>
        </w:tc>
        <w:tc>
          <w:tcPr>
            <w:tcW w:w="5103" w:type="dxa"/>
            <w:vAlign w:val="center"/>
          </w:tcPr>
          <w:p>
            <w:pPr>
              <w:spacing w:line="360" w:lineRule="auto"/>
              <w:jc w:val="center"/>
              <w:rPr>
                <w:rFonts w:hint="eastAsia" w:ascii="宋体" w:hAnsi="宋体"/>
                <w:sz w:val="21"/>
                <w:szCs w:val="21"/>
                <w:highlight w:val="none"/>
              </w:rPr>
            </w:pPr>
            <w:r>
              <w:rPr>
                <w:rFonts w:hint="eastAsia" w:ascii="宋体" w:hAnsi="宋体"/>
                <w:sz w:val="21"/>
                <w:szCs w:val="21"/>
                <w:highlight w:val="none"/>
              </w:rPr>
              <w:t>评分标准</w:t>
            </w:r>
          </w:p>
        </w:tc>
        <w:tc>
          <w:tcPr>
            <w:tcW w:w="1045" w:type="dxa"/>
            <w:vAlign w:val="center"/>
          </w:tcPr>
          <w:p>
            <w:pPr>
              <w:spacing w:line="360" w:lineRule="auto"/>
              <w:jc w:val="center"/>
              <w:rPr>
                <w:rFonts w:hint="eastAsia" w:ascii="宋体" w:hAnsi="宋体"/>
                <w:sz w:val="21"/>
                <w:szCs w:val="21"/>
                <w:highlight w:val="none"/>
              </w:rPr>
            </w:pPr>
            <w:r>
              <w:rPr>
                <w:rFonts w:hint="eastAsia" w:ascii="宋体" w:hAnsi="宋体"/>
                <w:sz w:val="21"/>
                <w:szCs w:val="21"/>
                <w:highlight w:val="no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 w:hRule="atLeast"/>
        </w:trPr>
        <w:tc>
          <w:tcPr>
            <w:tcW w:w="700" w:type="dxa"/>
            <w:vMerge w:val="restart"/>
            <w:vAlign w:val="center"/>
          </w:tcPr>
          <w:p>
            <w:pPr>
              <w:spacing w:line="360" w:lineRule="auto"/>
              <w:jc w:val="center"/>
              <w:rPr>
                <w:rFonts w:hint="eastAsia" w:ascii="宋体" w:hAnsi="宋体"/>
                <w:sz w:val="21"/>
                <w:szCs w:val="21"/>
                <w:highlight w:val="none"/>
              </w:rPr>
            </w:pPr>
            <w:r>
              <w:rPr>
                <w:rFonts w:hint="eastAsia" w:ascii="宋体" w:hAnsi="宋体"/>
                <w:sz w:val="21"/>
                <w:szCs w:val="21"/>
                <w:highlight w:val="none"/>
              </w:rPr>
              <w:t>技术分</w:t>
            </w:r>
          </w:p>
        </w:tc>
        <w:tc>
          <w:tcPr>
            <w:tcW w:w="513" w:type="dxa"/>
            <w:vAlign w:val="center"/>
          </w:tcPr>
          <w:p>
            <w:pPr>
              <w:spacing w:line="360" w:lineRule="auto"/>
              <w:jc w:val="center"/>
              <w:rPr>
                <w:rFonts w:hint="eastAsia" w:ascii="宋体" w:hAnsi="宋体"/>
                <w:sz w:val="21"/>
                <w:szCs w:val="21"/>
                <w:highlight w:val="none"/>
              </w:rPr>
            </w:pPr>
            <w:r>
              <w:rPr>
                <w:rFonts w:hint="eastAsia" w:ascii="宋体" w:hAnsi="宋体"/>
                <w:sz w:val="21"/>
                <w:szCs w:val="21"/>
                <w:highlight w:val="none"/>
              </w:rPr>
              <w:t>1</w:t>
            </w:r>
          </w:p>
        </w:tc>
        <w:tc>
          <w:tcPr>
            <w:tcW w:w="1589" w:type="dxa"/>
            <w:vAlign w:val="center"/>
          </w:tcPr>
          <w:p>
            <w:pPr>
              <w:spacing w:line="360" w:lineRule="auto"/>
              <w:jc w:val="center"/>
              <w:rPr>
                <w:rFonts w:hint="eastAsia" w:ascii="宋体" w:hAnsi="宋体"/>
                <w:sz w:val="21"/>
                <w:szCs w:val="21"/>
                <w:highlight w:val="none"/>
              </w:rPr>
            </w:pPr>
            <w:r>
              <w:rPr>
                <w:rFonts w:hint="eastAsia" w:ascii="宋体" w:hAnsi="宋体"/>
                <w:kern w:val="0"/>
                <w:sz w:val="21"/>
                <w:szCs w:val="21"/>
                <w:highlight w:val="none"/>
              </w:rPr>
              <w:t>满足招标货物的性能及技术指标要求</w:t>
            </w:r>
            <w:r>
              <w:rPr>
                <w:rFonts w:hint="eastAsia" w:ascii="宋体" w:hAnsi="宋体"/>
                <w:b/>
                <w:bCs/>
                <w:kern w:val="0"/>
                <w:sz w:val="21"/>
                <w:szCs w:val="21"/>
                <w:highlight w:val="none"/>
              </w:rPr>
              <w:t>（核心产品★台式计算机（办公）</w:t>
            </w:r>
            <w:r>
              <w:rPr>
                <w:rFonts w:ascii="宋体" w:hAnsi="宋体"/>
                <w:b/>
                <w:bCs/>
                <w:kern w:val="0"/>
                <w:sz w:val="21"/>
                <w:szCs w:val="21"/>
                <w:highlight w:val="none"/>
              </w:rPr>
              <w:t>）</w:t>
            </w:r>
          </w:p>
        </w:tc>
        <w:tc>
          <w:tcPr>
            <w:tcW w:w="5103" w:type="dxa"/>
            <w:vAlign w:val="center"/>
          </w:tcPr>
          <w:p>
            <w:pPr>
              <w:pStyle w:val="3"/>
              <w:spacing w:line="380" w:lineRule="exact"/>
              <w:rPr>
                <w:rFonts w:hint="eastAsia" w:ascii="宋体" w:hAnsi="宋体" w:cs="宋体"/>
                <w:b w:val="0"/>
                <w:kern w:val="2"/>
                <w:sz w:val="21"/>
                <w:szCs w:val="21"/>
                <w:highlight w:val="none"/>
              </w:rPr>
            </w:pPr>
            <w:r>
              <w:rPr>
                <w:rFonts w:hint="eastAsia" w:ascii="宋体" w:hAnsi="宋体" w:cs="宋体"/>
                <w:b w:val="0"/>
                <w:kern w:val="2"/>
                <w:sz w:val="21"/>
                <w:szCs w:val="21"/>
                <w:highlight w:val="none"/>
              </w:rPr>
              <w:t>1.1满足核心产品的参数技术指标，得8分。</w:t>
            </w:r>
          </w:p>
          <w:p>
            <w:pPr>
              <w:pStyle w:val="3"/>
              <w:spacing w:line="380" w:lineRule="exact"/>
              <w:rPr>
                <w:rFonts w:hint="eastAsia" w:ascii="宋体" w:hAnsi="宋体" w:cs="宋体"/>
                <w:b w:val="0"/>
                <w:kern w:val="2"/>
                <w:sz w:val="21"/>
                <w:szCs w:val="21"/>
                <w:highlight w:val="none"/>
              </w:rPr>
            </w:pPr>
            <w:r>
              <w:rPr>
                <w:rFonts w:ascii="宋体" w:hAnsi="宋体" w:cs="宋体"/>
                <w:b w:val="0"/>
                <w:kern w:val="2"/>
                <w:sz w:val="21"/>
                <w:szCs w:val="21"/>
                <w:highlight w:val="none"/>
              </w:rPr>
              <w:t>注：第二章</w:t>
            </w:r>
            <w:r>
              <w:rPr>
                <w:rFonts w:hint="eastAsia" w:ascii="宋体" w:hAnsi="宋体" w:cs="宋体"/>
                <w:b w:val="0"/>
                <w:kern w:val="2"/>
                <w:sz w:val="21"/>
                <w:szCs w:val="21"/>
                <w:highlight w:val="none"/>
              </w:rPr>
              <w:t>参数技术要求▲1.配置要求中33项均为实质性要求，存在负偏离的，作无效标处理；</w:t>
            </w:r>
            <w:r>
              <w:rPr>
                <w:rFonts w:hint="eastAsia" w:ascii="宋体" w:hAnsi="宋体" w:cs="宋体"/>
                <w:b w:val="0"/>
                <w:kern w:val="2"/>
                <w:sz w:val="21"/>
                <w:szCs w:val="21"/>
                <w:highlight w:val="none"/>
                <w:lang w:val="en-US" w:eastAsia="zh-CN"/>
              </w:rPr>
              <w:t>2</w:t>
            </w:r>
            <w:r>
              <w:rPr>
                <w:rFonts w:hint="eastAsia" w:ascii="宋体" w:hAnsi="宋体" w:cs="宋体"/>
                <w:b w:val="0"/>
                <w:kern w:val="2"/>
                <w:sz w:val="21"/>
                <w:szCs w:val="21"/>
                <w:highlight w:val="none"/>
              </w:rPr>
              <w:t>.防病毒软件参数技术要求的，共</w:t>
            </w:r>
            <w:r>
              <w:rPr>
                <w:rFonts w:hint="eastAsia" w:ascii="宋体" w:hAnsi="宋体" w:cs="宋体"/>
                <w:b w:val="0"/>
                <w:kern w:val="2"/>
                <w:sz w:val="21"/>
                <w:szCs w:val="21"/>
                <w:highlight w:val="none"/>
                <w:lang w:val="en-US" w:eastAsia="zh-CN"/>
              </w:rPr>
              <w:t>2</w:t>
            </w:r>
            <w:r>
              <w:rPr>
                <w:rFonts w:hint="eastAsia" w:ascii="宋体" w:hAnsi="宋体" w:cs="宋体"/>
                <w:b w:val="0"/>
                <w:kern w:val="2"/>
                <w:sz w:val="21"/>
                <w:szCs w:val="21"/>
                <w:highlight w:val="none"/>
              </w:rPr>
              <w:t>条指标（每个二级序号为一条指标），每一条扣</w:t>
            </w:r>
            <w:r>
              <w:rPr>
                <w:rFonts w:hint="eastAsia" w:ascii="宋体" w:hAnsi="宋体" w:cs="宋体"/>
                <w:b w:val="0"/>
                <w:kern w:val="2"/>
                <w:sz w:val="21"/>
                <w:szCs w:val="21"/>
                <w:highlight w:val="none"/>
                <w:lang w:val="en-US" w:eastAsia="zh-CN"/>
              </w:rPr>
              <w:t>4</w:t>
            </w:r>
            <w:r>
              <w:rPr>
                <w:rFonts w:hint="eastAsia" w:ascii="宋体" w:hAnsi="宋体" w:cs="宋体"/>
                <w:b w:val="0"/>
                <w:kern w:val="2"/>
                <w:sz w:val="21"/>
                <w:szCs w:val="21"/>
                <w:highlight w:val="none"/>
              </w:rPr>
              <w:t>分；</w:t>
            </w:r>
          </w:p>
          <w:p>
            <w:pPr>
              <w:pStyle w:val="3"/>
              <w:spacing w:line="380" w:lineRule="exact"/>
              <w:rPr>
                <w:rFonts w:hint="eastAsia" w:ascii="宋体" w:hAnsi="宋体" w:cs="宋体"/>
                <w:b w:val="0"/>
                <w:kern w:val="2"/>
                <w:sz w:val="21"/>
                <w:szCs w:val="21"/>
                <w:highlight w:val="none"/>
                <w:lang w:eastAsia="zh-CN"/>
              </w:rPr>
            </w:pPr>
            <w:r>
              <w:rPr>
                <w:rFonts w:hint="eastAsia" w:ascii="宋体" w:hAnsi="宋体" w:cs="宋体"/>
                <w:b w:val="0"/>
                <w:kern w:val="2"/>
                <w:sz w:val="21"/>
                <w:szCs w:val="21"/>
                <w:highlight w:val="none"/>
              </w:rPr>
              <w:t>1.2 内存配置容量:≥32GB，加1分</w:t>
            </w:r>
            <w:r>
              <w:rPr>
                <w:rFonts w:hint="eastAsia" w:ascii="宋体" w:hAnsi="宋体" w:cs="宋体"/>
                <w:b w:val="0"/>
                <w:kern w:val="2"/>
                <w:sz w:val="21"/>
                <w:szCs w:val="21"/>
                <w:highlight w:val="none"/>
                <w:lang w:eastAsia="zh-CN"/>
              </w:rPr>
              <w:t>；</w:t>
            </w:r>
          </w:p>
          <w:p>
            <w:pPr>
              <w:pStyle w:val="3"/>
              <w:spacing w:line="380" w:lineRule="exact"/>
              <w:rPr>
                <w:rFonts w:hint="eastAsia" w:ascii="宋体" w:hAnsi="宋体" w:cs="宋体"/>
                <w:b w:val="0"/>
                <w:kern w:val="2"/>
                <w:sz w:val="21"/>
                <w:szCs w:val="21"/>
                <w:highlight w:val="none"/>
              </w:rPr>
            </w:pPr>
            <w:r>
              <w:rPr>
                <w:rFonts w:hint="eastAsia" w:ascii="宋体" w:hAnsi="宋体" w:cs="宋体"/>
                <w:b w:val="0"/>
                <w:kern w:val="2"/>
                <w:sz w:val="21"/>
                <w:szCs w:val="21"/>
                <w:highlight w:val="none"/>
              </w:rPr>
              <w:t>1.3 固态存储容量：≥512GB，加1分；</w:t>
            </w:r>
          </w:p>
          <w:p>
            <w:pPr>
              <w:pStyle w:val="39"/>
              <w:ind w:firstLine="0" w:firstLineChars="0"/>
              <w:rPr>
                <w:rFonts w:hint="eastAsia" w:ascii="宋体" w:hAnsi="宋体"/>
                <w:sz w:val="21"/>
                <w:szCs w:val="21"/>
                <w:highlight w:val="none"/>
              </w:rPr>
            </w:pPr>
            <w:r>
              <w:rPr>
                <w:rFonts w:hint="eastAsia" w:ascii="宋体" w:hAnsi="宋体" w:cs="宋体"/>
                <w:sz w:val="21"/>
                <w:szCs w:val="21"/>
                <w:highlight w:val="none"/>
              </w:rPr>
              <w:t>1.4机械硬盘总容量：≥2TB，加1分。</w:t>
            </w:r>
          </w:p>
        </w:tc>
        <w:tc>
          <w:tcPr>
            <w:tcW w:w="1045" w:type="dxa"/>
            <w:vAlign w:val="center"/>
          </w:tcPr>
          <w:p>
            <w:pPr>
              <w:spacing w:line="360" w:lineRule="auto"/>
              <w:jc w:val="center"/>
              <w:rPr>
                <w:rFonts w:hint="eastAsia" w:ascii="宋体" w:hAnsi="宋体"/>
                <w:kern w:val="0"/>
                <w:sz w:val="21"/>
                <w:szCs w:val="21"/>
                <w:highlight w:val="none"/>
              </w:rPr>
            </w:pPr>
            <w:r>
              <w:rPr>
                <w:rFonts w:hint="eastAsia" w:ascii="宋体" w:hAnsi="宋体"/>
                <w:kern w:val="0"/>
                <w:sz w:val="21"/>
                <w:szCs w:val="21"/>
                <w:highlight w:val="none"/>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 w:hRule="atLeast"/>
        </w:trPr>
        <w:tc>
          <w:tcPr>
            <w:tcW w:w="700" w:type="dxa"/>
            <w:vMerge w:val="continue"/>
            <w:vAlign w:val="center"/>
          </w:tcPr>
          <w:p>
            <w:pPr>
              <w:spacing w:line="360" w:lineRule="auto"/>
              <w:jc w:val="center"/>
              <w:rPr>
                <w:rFonts w:hint="eastAsia" w:ascii="宋体" w:hAnsi="宋体"/>
                <w:sz w:val="21"/>
                <w:szCs w:val="21"/>
                <w:highlight w:val="none"/>
              </w:rPr>
            </w:pPr>
          </w:p>
        </w:tc>
        <w:tc>
          <w:tcPr>
            <w:tcW w:w="513" w:type="dxa"/>
            <w:vAlign w:val="center"/>
          </w:tcPr>
          <w:p>
            <w:pPr>
              <w:spacing w:line="360" w:lineRule="auto"/>
              <w:jc w:val="center"/>
              <w:rPr>
                <w:rFonts w:hint="eastAsia" w:ascii="宋体" w:hAnsi="宋体"/>
                <w:sz w:val="21"/>
                <w:szCs w:val="21"/>
                <w:highlight w:val="none"/>
              </w:rPr>
            </w:pPr>
            <w:r>
              <w:rPr>
                <w:rFonts w:hint="eastAsia" w:ascii="宋体" w:hAnsi="宋体"/>
                <w:sz w:val="21"/>
                <w:szCs w:val="21"/>
                <w:highlight w:val="none"/>
              </w:rPr>
              <w:t>2</w:t>
            </w:r>
          </w:p>
        </w:tc>
        <w:tc>
          <w:tcPr>
            <w:tcW w:w="1589" w:type="dxa"/>
            <w:vAlign w:val="center"/>
          </w:tcPr>
          <w:p>
            <w:pPr>
              <w:spacing w:line="360" w:lineRule="auto"/>
              <w:jc w:val="center"/>
              <w:rPr>
                <w:rFonts w:hint="eastAsia" w:ascii="宋体" w:hAnsi="宋体"/>
                <w:kern w:val="0"/>
                <w:sz w:val="21"/>
                <w:szCs w:val="21"/>
                <w:highlight w:val="none"/>
              </w:rPr>
            </w:pPr>
            <w:r>
              <w:rPr>
                <w:rFonts w:hint="eastAsia" w:ascii="宋体" w:hAnsi="宋体"/>
                <w:kern w:val="0"/>
                <w:sz w:val="21"/>
                <w:szCs w:val="21"/>
                <w:highlight w:val="none"/>
              </w:rPr>
              <w:t>满足招标货物的性能及技术指标要求</w:t>
            </w:r>
            <w:r>
              <w:rPr>
                <w:rFonts w:hint="eastAsia" w:ascii="宋体" w:hAnsi="宋体"/>
                <w:b/>
                <w:bCs/>
                <w:kern w:val="0"/>
                <w:sz w:val="21"/>
                <w:szCs w:val="21"/>
                <w:highlight w:val="none"/>
              </w:rPr>
              <w:t>（核心产品★台式计算机（学生机）</w:t>
            </w:r>
            <w:r>
              <w:rPr>
                <w:rFonts w:hint="eastAsia" w:ascii="宋体" w:hAnsi="宋体"/>
                <w:kern w:val="0"/>
                <w:sz w:val="21"/>
                <w:szCs w:val="21"/>
                <w:highlight w:val="none"/>
              </w:rPr>
              <w:t>）</w:t>
            </w:r>
          </w:p>
        </w:tc>
        <w:tc>
          <w:tcPr>
            <w:tcW w:w="5103" w:type="dxa"/>
            <w:vAlign w:val="center"/>
          </w:tcPr>
          <w:p>
            <w:pPr>
              <w:pStyle w:val="3"/>
              <w:spacing w:after="0" w:line="360" w:lineRule="auto"/>
              <w:rPr>
                <w:rFonts w:hint="eastAsia" w:ascii="宋体" w:hAnsi="宋体" w:cs="宋体"/>
                <w:b w:val="0"/>
                <w:kern w:val="2"/>
                <w:sz w:val="21"/>
                <w:szCs w:val="21"/>
                <w:highlight w:val="none"/>
              </w:rPr>
            </w:pPr>
            <w:r>
              <w:rPr>
                <w:rFonts w:hint="eastAsia" w:ascii="宋体" w:hAnsi="宋体" w:cs="宋体"/>
                <w:b w:val="0"/>
                <w:kern w:val="2"/>
                <w:sz w:val="21"/>
                <w:szCs w:val="21"/>
                <w:highlight w:val="none"/>
                <w:lang w:val="en-US" w:eastAsia="zh-CN"/>
              </w:rPr>
              <w:t>2</w:t>
            </w:r>
            <w:r>
              <w:rPr>
                <w:rFonts w:hint="eastAsia" w:ascii="宋体" w:hAnsi="宋体" w:cs="宋体"/>
                <w:b w:val="0"/>
                <w:kern w:val="2"/>
                <w:sz w:val="21"/>
                <w:szCs w:val="21"/>
                <w:highlight w:val="none"/>
              </w:rPr>
              <w:t>.1满足核心产品的参数技术指标，得8分。</w:t>
            </w:r>
          </w:p>
          <w:p>
            <w:pPr>
              <w:pStyle w:val="3"/>
              <w:spacing w:after="0" w:line="360" w:lineRule="auto"/>
              <w:rPr>
                <w:rFonts w:hint="eastAsia" w:ascii="宋体" w:hAnsi="宋体" w:cs="宋体"/>
                <w:b w:val="0"/>
                <w:kern w:val="2"/>
                <w:sz w:val="21"/>
                <w:szCs w:val="21"/>
                <w:highlight w:val="none"/>
              </w:rPr>
            </w:pPr>
            <w:r>
              <w:rPr>
                <w:rFonts w:ascii="宋体" w:hAnsi="宋体" w:cs="宋体"/>
                <w:b w:val="0"/>
                <w:kern w:val="2"/>
                <w:sz w:val="21"/>
                <w:szCs w:val="21"/>
                <w:highlight w:val="none"/>
              </w:rPr>
              <w:t>注：第二章</w:t>
            </w:r>
            <w:r>
              <w:rPr>
                <w:rFonts w:hint="eastAsia" w:ascii="宋体" w:hAnsi="宋体" w:cs="宋体"/>
                <w:b w:val="0"/>
                <w:kern w:val="2"/>
                <w:sz w:val="21"/>
                <w:szCs w:val="21"/>
                <w:highlight w:val="none"/>
              </w:rPr>
              <w:t>参数技术要求▲1.配置要求中28项均为实质性要求，存在负偏离的，作无效标处理；未满足2.防病毒软件、</w:t>
            </w:r>
            <w:r>
              <w:rPr>
                <w:rFonts w:hint="eastAsia" w:ascii="宋体" w:hAnsi="宋体" w:cs="宋体"/>
                <w:b w:val="0"/>
                <w:kern w:val="2"/>
                <w:sz w:val="21"/>
                <w:szCs w:val="21"/>
                <w:highlight w:val="none"/>
                <w:lang w:val="en-US" w:eastAsia="zh-CN"/>
              </w:rPr>
              <w:t>3</w:t>
            </w:r>
            <w:r>
              <w:rPr>
                <w:rFonts w:hint="eastAsia" w:ascii="宋体" w:hAnsi="宋体" w:cs="宋体"/>
                <w:b w:val="0"/>
                <w:kern w:val="2"/>
                <w:sz w:val="21"/>
                <w:szCs w:val="21"/>
                <w:highlight w:val="none"/>
              </w:rPr>
              <w:t>.同传还原软件、</w:t>
            </w:r>
            <w:r>
              <w:rPr>
                <w:rFonts w:hint="eastAsia" w:ascii="宋体" w:hAnsi="宋体" w:cs="宋体"/>
                <w:b w:val="0"/>
                <w:kern w:val="2"/>
                <w:sz w:val="21"/>
                <w:szCs w:val="21"/>
                <w:highlight w:val="none"/>
                <w:lang w:val="en-US" w:eastAsia="zh-CN"/>
              </w:rPr>
              <w:t>4</w:t>
            </w:r>
            <w:r>
              <w:rPr>
                <w:rFonts w:hint="eastAsia" w:ascii="宋体" w:hAnsi="宋体" w:cs="宋体"/>
                <w:b w:val="0"/>
                <w:kern w:val="2"/>
                <w:sz w:val="21"/>
                <w:szCs w:val="21"/>
                <w:highlight w:val="none"/>
              </w:rPr>
              <w:t>.电子教室互动教学管理软件参数技术要求的，共</w:t>
            </w:r>
            <w:r>
              <w:rPr>
                <w:rFonts w:hint="eastAsia" w:ascii="宋体" w:hAnsi="宋体" w:cs="宋体"/>
                <w:b w:val="0"/>
                <w:kern w:val="2"/>
                <w:sz w:val="21"/>
                <w:szCs w:val="21"/>
                <w:highlight w:val="none"/>
                <w:lang w:val="en-US" w:eastAsia="zh-CN"/>
              </w:rPr>
              <w:t>8</w:t>
            </w:r>
            <w:r>
              <w:rPr>
                <w:rFonts w:hint="eastAsia" w:ascii="宋体" w:hAnsi="宋体" w:cs="宋体"/>
                <w:b w:val="0"/>
                <w:kern w:val="2"/>
                <w:sz w:val="21"/>
                <w:szCs w:val="21"/>
                <w:highlight w:val="none"/>
              </w:rPr>
              <w:t>条指标（每个二级序号为一条指标），每一条扣1分，扣至0分为止。</w:t>
            </w:r>
          </w:p>
          <w:p>
            <w:pPr>
              <w:pStyle w:val="3"/>
              <w:spacing w:line="380" w:lineRule="exact"/>
              <w:rPr>
                <w:rFonts w:hint="eastAsia" w:ascii="宋体" w:hAnsi="宋体" w:cs="宋体"/>
                <w:b w:val="0"/>
                <w:kern w:val="2"/>
                <w:sz w:val="21"/>
                <w:szCs w:val="21"/>
                <w:highlight w:val="none"/>
              </w:rPr>
            </w:pPr>
            <w:r>
              <w:rPr>
                <w:rFonts w:hint="eastAsia" w:ascii="宋体" w:hAnsi="宋体" w:cs="宋体"/>
                <w:b w:val="0"/>
                <w:kern w:val="2"/>
                <w:sz w:val="21"/>
                <w:szCs w:val="21"/>
                <w:highlight w:val="none"/>
                <w:lang w:val="en-US" w:eastAsia="zh-CN"/>
              </w:rPr>
              <w:t>2</w:t>
            </w:r>
            <w:r>
              <w:rPr>
                <w:rFonts w:hint="eastAsia" w:ascii="宋体" w:hAnsi="宋体" w:cs="宋体"/>
                <w:b w:val="0"/>
                <w:kern w:val="2"/>
                <w:sz w:val="21"/>
                <w:szCs w:val="21"/>
                <w:highlight w:val="none"/>
              </w:rPr>
              <w:t>.2 内存配置容量:≥32GB，加1分。</w:t>
            </w:r>
          </w:p>
          <w:p>
            <w:pPr>
              <w:pStyle w:val="3"/>
              <w:spacing w:line="380" w:lineRule="exact"/>
              <w:rPr>
                <w:rFonts w:hint="eastAsia" w:ascii="宋体" w:hAnsi="宋体" w:cs="宋体"/>
                <w:b w:val="0"/>
                <w:kern w:val="2"/>
                <w:sz w:val="21"/>
                <w:szCs w:val="21"/>
                <w:highlight w:val="none"/>
              </w:rPr>
            </w:pPr>
            <w:r>
              <w:rPr>
                <w:rFonts w:hint="eastAsia" w:ascii="宋体" w:hAnsi="宋体" w:cs="宋体"/>
                <w:b w:val="0"/>
                <w:kern w:val="2"/>
                <w:sz w:val="21"/>
                <w:szCs w:val="21"/>
                <w:highlight w:val="none"/>
                <w:lang w:val="en-US" w:eastAsia="zh-CN"/>
              </w:rPr>
              <w:t>2</w:t>
            </w:r>
            <w:r>
              <w:rPr>
                <w:rFonts w:hint="eastAsia" w:ascii="宋体" w:hAnsi="宋体" w:cs="宋体"/>
                <w:b w:val="0"/>
                <w:kern w:val="2"/>
                <w:sz w:val="21"/>
                <w:szCs w:val="21"/>
                <w:highlight w:val="none"/>
              </w:rPr>
              <w:t>.3 固态存储容量：≥512GB，加1分；</w:t>
            </w:r>
          </w:p>
          <w:p>
            <w:pPr>
              <w:pStyle w:val="3"/>
              <w:spacing w:line="380" w:lineRule="exact"/>
              <w:rPr>
                <w:rFonts w:hint="eastAsia"/>
                <w:highlight w:val="none"/>
              </w:rPr>
            </w:pPr>
            <w:r>
              <w:rPr>
                <w:rFonts w:hint="eastAsia" w:ascii="宋体" w:hAnsi="宋体" w:cs="宋体"/>
                <w:b w:val="0"/>
                <w:kern w:val="2"/>
                <w:sz w:val="21"/>
                <w:szCs w:val="21"/>
                <w:highlight w:val="none"/>
                <w:lang w:val="en-US" w:eastAsia="zh-CN"/>
              </w:rPr>
              <w:t>2</w:t>
            </w:r>
            <w:r>
              <w:rPr>
                <w:rFonts w:hint="eastAsia" w:ascii="宋体" w:hAnsi="宋体" w:cs="宋体"/>
                <w:b w:val="0"/>
                <w:kern w:val="2"/>
                <w:sz w:val="21"/>
                <w:szCs w:val="21"/>
                <w:highlight w:val="none"/>
              </w:rPr>
              <w:t>.4机械硬盘总容量：≥2TB，加1分。</w:t>
            </w:r>
          </w:p>
        </w:tc>
        <w:tc>
          <w:tcPr>
            <w:tcW w:w="1045" w:type="dxa"/>
            <w:vAlign w:val="center"/>
          </w:tcPr>
          <w:p>
            <w:pPr>
              <w:spacing w:line="360" w:lineRule="auto"/>
              <w:jc w:val="center"/>
              <w:rPr>
                <w:rFonts w:hint="eastAsia" w:ascii="宋体" w:hAnsi="宋体" w:eastAsia="宋体"/>
                <w:kern w:val="0"/>
                <w:sz w:val="21"/>
                <w:szCs w:val="21"/>
                <w:highlight w:val="none"/>
                <w:lang w:eastAsia="zh-CN"/>
              </w:rPr>
            </w:pPr>
            <w:r>
              <w:rPr>
                <w:rFonts w:hint="eastAsia" w:ascii="宋体" w:hAnsi="宋体"/>
                <w:kern w:val="0"/>
                <w:sz w:val="21"/>
                <w:szCs w:val="21"/>
                <w:highlight w:val="none"/>
              </w:rPr>
              <w:t>1</w:t>
            </w:r>
            <w:r>
              <w:rPr>
                <w:rFonts w:hint="eastAsia" w:ascii="宋体" w:hAnsi="宋体"/>
                <w:kern w:val="0"/>
                <w:sz w:val="21"/>
                <w:szCs w:val="21"/>
                <w:highlight w:val="none"/>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 w:hRule="atLeast"/>
        </w:trPr>
        <w:tc>
          <w:tcPr>
            <w:tcW w:w="700" w:type="dxa"/>
            <w:vMerge w:val="continue"/>
            <w:vAlign w:val="center"/>
          </w:tcPr>
          <w:p>
            <w:pPr>
              <w:spacing w:line="360" w:lineRule="auto"/>
              <w:rPr>
                <w:rFonts w:hint="eastAsia" w:ascii="宋体" w:hAnsi="宋体"/>
                <w:sz w:val="21"/>
                <w:szCs w:val="21"/>
                <w:highlight w:val="none"/>
              </w:rPr>
            </w:pPr>
          </w:p>
        </w:tc>
        <w:tc>
          <w:tcPr>
            <w:tcW w:w="513" w:type="dxa"/>
            <w:vAlign w:val="center"/>
          </w:tcPr>
          <w:p>
            <w:pPr>
              <w:spacing w:line="360" w:lineRule="auto"/>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3</w:t>
            </w:r>
          </w:p>
        </w:tc>
        <w:tc>
          <w:tcPr>
            <w:tcW w:w="1589" w:type="dxa"/>
            <w:vAlign w:val="center"/>
          </w:tcPr>
          <w:p>
            <w:pPr>
              <w:spacing w:line="360" w:lineRule="auto"/>
              <w:jc w:val="center"/>
              <w:rPr>
                <w:rFonts w:hint="eastAsia" w:ascii="宋体" w:hAnsi="宋体"/>
                <w:sz w:val="21"/>
                <w:szCs w:val="21"/>
                <w:highlight w:val="none"/>
              </w:rPr>
            </w:pPr>
            <w:r>
              <w:rPr>
                <w:rFonts w:hint="eastAsia" w:ascii="宋体" w:hAnsi="宋体"/>
                <w:kern w:val="0"/>
                <w:sz w:val="21"/>
                <w:szCs w:val="21"/>
                <w:highlight w:val="none"/>
              </w:rPr>
              <w:t>满足招标货物的性能及技术指标要求（非核心产品台式计算机（教师机））</w:t>
            </w:r>
          </w:p>
        </w:tc>
        <w:tc>
          <w:tcPr>
            <w:tcW w:w="5103" w:type="dxa"/>
            <w:vAlign w:val="center"/>
          </w:tcPr>
          <w:p>
            <w:pPr>
              <w:pStyle w:val="3"/>
              <w:spacing w:after="0" w:line="380" w:lineRule="exact"/>
              <w:rPr>
                <w:rFonts w:hint="eastAsia" w:ascii="宋体" w:hAnsi="宋体" w:cs="宋体"/>
                <w:b w:val="0"/>
                <w:kern w:val="2"/>
                <w:sz w:val="21"/>
                <w:szCs w:val="21"/>
                <w:highlight w:val="none"/>
              </w:rPr>
            </w:pPr>
            <w:r>
              <w:rPr>
                <w:rFonts w:hint="eastAsia" w:ascii="宋体" w:hAnsi="宋体" w:cs="宋体"/>
                <w:b w:val="0"/>
                <w:kern w:val="2"/>
                <w:sz w:val="21"/>
                <w:szCs w:val="21"/>
                <w:highlight w:val="none"/>
                <w:lang w:val="en-US" w:eastAsia="zh-CN"/>
              </w:rPr>
              <w:t>3.1</w:t>
            </w:r>
            <w:r>
              <w:rPr>
                <w:rFonts w:hint="eastAsia" w:ascii="宋体" w:hAnsi="宋体" w:cs="宋体"/>
                <w:b w:val="0"/>
                <w:kern w:val="2"/>
                <w:sz w:val="21"/>
                <w:szCs w:val="21"/>
                <w:highlight w:val="none"/>
              </w:rPr>
              <w:t>满足非核心产品的参数技术指标，得4分。</w:t>
            </w:r>
          </w:p>
          <w:p>
            <w:pPr>
              <w:pStyle w:val="3"/>
              <w:spacing w:after="0" w:line="360" w:lineRule="auto"/>
              <w:rPr>
                <w:rFonts w:hint="eastAsia" w:ascii="宋体" w:hAnsi="宋体" w:cs="宋体"/>
                <w:b w:val="0"/>
                <w:kern w:val="2"/>
                <w:sz w:val="21"/>
                <w:szCs w:val="21"/>
                <w:highlight w:val="none"/>
              </w:rPr>
            </w:pPr>
            <w:r>
              <w:rPr>
                <w:rFonts w:ascii="宋体" w:hAnsi="宋体" w:cs="宋体"/>
                <w:b w:val="0"/>
                <w:kern w:val="2"/>
                <w:sz w:val="21"/>
                <w:szCs w:val="21"/>
                <w:highlight w:val="none"/>
              </w:rPr>
              <w:t>注：第二章</w:t>
            </w:r>
            <w:r>
              <w:rPr>
                <w:rFonts w:hint="eastAsia" w:ascii="宋体" w:hAnsi="宋体" w:cs="宋体"/>
                <w:b w:val="0"/>
                <w:kern w:val="2"/>
                <w:sz w:val="21"/>
                <w:szCs w:val="21"/>
                <w:highlight w:val="none"/>
              </w:rPr>
              <w:t>参数技术要求▲1.配置要求中33项均为实质性要求，存在负偏离的，作无效标处理；未满足2.防病毒软件、</w:t>
            </w:r>
            <w:r>
              <w:rPr>
                <w:rFonts w:hint="eastAsia" w:ascii="宋体" w:hAnsi="宋体" w:cs="宋体"/>
                <w:b w:val="0"/>
                <w:kern w:val="2"/>
                <w:sz w:val="21"/>
                <w:szCs w:val="21"/>
                <w:highlight w:val="none"/>
                <w:lang w:val="en-US" w:eastAsia="zh-CN"/>
              </w:rPr>
              <w:t>3</w:t>
            </w:r>
            <w:r>
              <w:rPr>
                <w:rFonts w:hint="eastAsia" w:ascii="宋体" w:hAnsi="宋体" w:cs="宋体"/>
                <w:b w:val="0"/>
                <w:kern w:val="2"/>
                <w:sz w:val="21"/>
                <w:szCs w:val="21"/>
                <w:highlight w:val="none"/>
              </w:rPr>
              <w:t>.同传还原软件、</w:t>
            </w:r>
            <w:r>
              <w:rPr>
                <w:rFonts w:hint="eastAsia" w:ascii="宋体" w:hAnsi="宋体" w:cs="宋体"/>
                <w:b w:val="0"/>
                <w:kern w:val="2"/>
                <w:sz w:val="21"/>
                <w:szCs w:val="21"/>
                <w:highlight w:val="none"/>
                <w:lang w:val="en-US" w:eastAsia="zh-CN"/>
              </w:rPr>
              <w:t>4</w:t>
            </w:r>
            <w:r>
              <w:rPr>
                <w:rFonts w:hint="eastAsia" w:ascii="宋体" w:hAnsi="宋体" w:cs="宋体"/>
                <w:b w:val="0"/>
                <w:kern w:val="2"/>
                <w:sz w:val="21"/>
                <w:szCs w:val="21"/>
                <w:highlight w:val="none"/>
              </w:rPr>
              <w:t>.电子教室互动教学管理软件参数技术要求的，共</w:t>
            </w:r>
            <w:r>
              <w:rPr>
                <w:rFonts w:hint="eastAsia" w:ascii="宋体" w:hAnsi="宋体" w:cs="宋体"/>
                <w:b w:val="0"/>
                <w:kern w:val="2"/>
                <w:sz w:val="21"/>
                <w:szCs w:val="21"/>
                <w:highlight w:val="none"/>
                <w:lang w:val="en-US" w:eastAsia="zh-CN"/>
              </w:rPr>
              <w:t>8</w:t>
            </w:r>
            <w:r>
              <w:rPr>
                <w:rFonts w:hint="eastAsia" w:ascii="宋体" w:hAnsi="宋体" w:cs="宋体"/>
                <w:b w:val="0"/>
                <w:kern w:val="2"/>
                <w:sz w:val="21"/>
                <w:szCs w:val="21"/>
                <w:highlight w:val="none"/>
              </w:rPr>
              <w:t>条指标（每个二级序号为一条指标），每一条扣0.5分。</w:t>
            </w:r>
          </w:p>
          <w:p>
            <w:pPr>
              <w:pStyle w:val="3"/>
              <w:spacing w:after="0" w:line="360" w:lineRule="auto"/>
              <w:rPr>
                <w:rFonts w:hint="eastAsia" w:ascii="宋体" w:hAnsi="宋体" w:cs="宋体"/>
                <w:b w:val="0"/>
                <w:kern w:val="2"/>
                <w:sz w:val="21"/>
                <w:szCs w:val="21"/>
                <w:highlight w:val="none"/>
              </w:rPr>
            </w:pPr>
            <w:r>
              <w:rPr>
                <w:rFonts w:hint="eastAsia" w:ascii="宋体" w:hAnsi="宋体" w:cs="宋体"/>
                <w:b w:val="0"/>
                <w:kern w:val="2"/>
                <w:sz w:val="21"/>
                <w:szCs w:val="21"/>
                <w:highlight w:val="none"/>
                <w:lang w:val="en-US" w:eastAsia="zh-CN"/>
              </w:rPr>
              <w:t>3</w:t>
            </w:r>
            <w:r>
              <w:rPr>
                <w:rFonts w:hint="eastAsia" w:ascii="宋体" w:hAnsi="宋体" w:cs="宋体"/>
                <w:b w:val="0"/>
                <w:kern w:val="2"/>
                <w:sz w:val="21"/>
                <w:szCs w:val="21"/>
                <w:highlight w:val="none"/>
              </w:rPr>
              <w:t>.2 内存配置容量:≥32GB，加0.5分；</w:t>
            </w:r>
          </w:p>
          <w:p>
            <w:pPr>
              <w:pStyle w:val="3"/>
              <w:spacing w:after="0" w:line="360" w:lineRule="auto"/>
              <w:rPr>
                <w:rFonts w:hint="eastAsia" w:ascii="宋体" w:hAnsi="宋体" w:cs="宋体"/>
                <w:b w:val="0"/>
                <w:kern w:val="2"/>
                <w:sz w:val="21"/>
                <w:szCs w:val="21"/>
                <w:highlight w:val="none"/>
              </w:rPr>
            </w:pPr>
            <w:r>
              <w:rPr>
                <w:rFonts w:hint="eastAsia" w:ascii="宋体" w:hAnsi="宋体" w:cs="宋体"/>
                <w:b w:val="0"/>
                <w:kern w:val="2"/>
                <w:sz w:val="21"/>
                <w:szCs w:val="21"/>
                <w:highlight w:val="none"/>
                <w:lang w:val="en-US" w:eastAsia="zh-CN"/>
              </w:rPr>
              <w:t>3</w:t>
            </w:r>
            <w:r>
              <w:rPr>
                <w:rFonts w:hint="eastAsia" w:ascii="宋体" w:hAnsi="宋体" w:cs="宋体"/>
                <w:b w:val="0"/>
                <w:kern w:val="2"/>
                <w:sz w:val="21"/>
                <w:szCs w:val="21"/>
                <w:highlight w:val="none"/>
              </w:rPr>
              <w:t>.3 固态存储容量：≥1TB，加0.5分；</w:t>
            </w:r>
          </w:p>
          <w:p>
            <w:pPr>
              <w:spacing w:after="0" w:line="360" w:lineRule="auto"/>
              <w:rPr>
                <w:rFonts w:hint="eastAsia" w:ascii="宋体" w:hAnsi="宋体"/>
                <w:sz w:val="21"/>
                <w:szCs w:val="21"/>
                <w:highlight w:val="none"/>
              </w:rPr>
            </w:pPr>
            <w:r>
              <w:rPr>
                <w:rFonts w:hint="eastAsia" w:ascii="宋体" w:hAnsi="宋体"/>
                <w:bCs/>
                <w:sz w:val="21"/>
                <w:szCs w:val="21"/>
                <w:highlight w:val="none"/>
                <w:lang w:val="en-US" w:eastAsia="zh-CN"/>
              </w:rPr>
              <w:t>3</w:t>
            </w:r>
            <w:r>
              <w:rPr>
                <w:rFonts w:hint="eastAsia" w:ascii="宋体" w:hAnsi="宋体"/>
                <w:bCs/>
                <w:sz w:val="21"/>
                <w:szCs w:val="21"/>
                <w:highlight w:val="none"/>
              </w:rPr>
              <w:t>.4机械硬盘总容量：≥2TB，加0.5分。</w:t>
            </w:r>
          </w:p>
        </w:tc>
        <w:tc>
          <w:tcPr>
            <w:tcW w:w="1045" w:type="dxa"/>
            <w:vAlign w:val="center"/>
          </w:tcPr>
          <w:p>
            <w:pPr>
              <w:spacing w:line="360" w:lineRule="auto"/>
              <w:jc w:val="center"/>
              <w:rPr>
                <w:rFonts w:hint="default" w:ascii="宋体" w:hAnsi="宋体" w:eastAsia="宋体"/>
                <w:kern w:val="0"/>
                <w:sz w:val="21"/>
                <w:szCs w:val="21"/>
                <w:highlight w:val="none"/>
                <w:lang w:val="en-US" w:eastAsia="zh-CN"/>
              </w:rPr>
            </w:pPr>
            <w:r>
              <w:rPr>
                <w:rFonts w:hint="eastAsia" w:ascii="宋体" w:hAnsi="宋体"/>
                <w:kern w:val="0"/>
                <w:sz w:val="21"/>
                <w:szCs w:val="21"/>
                <w:highlight w:val="none"/>
                <w:lang w:val="en-US" w:eastAsia="zh-CN"/>
              </w:rPr>
              <w:t>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 w:hRule="atLeast"/>
        </w:trPr>
        <w:tc>
          <w:tcPr>
            <w:tcW w:w="700" w:type="dxa"/>
            <w:vMerge w:val="continue"/>
            <w:vAlign w:val="center"/>
          </w:tcPr>
          <w:p>
            <w:pPr>
              <w:spacing w:line="360" w:lineRule="auto"/>
              <w:rPr>
                <w:rFonts w:hint="eastAsia" w:ascii="宋体" w:hAnsi="宋体"/>
                <w:sz w:val="21"/>
                <w:szCs w:val="21"/>
                <w:highlight w:val="none"/>
              </w:rPr>
            </w:pPr>
          </w:p>
        </w:tc>
        <w:tc>
          <w:tcPr>
            <w:tcW w:w="513" w:type="dxa"/>
            <w:vAlign w:val="center"/>
          </w:tcPr>
          <w:p>
            <w:pPr>
              <w:spacing w:line="360" w:lineRule="auto"/>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4</w:t>
            </w:r>
          </w:p>
        </w:tc>
        <w:tc>
          <w:tcPr>
            <w:tcW w:w="1589" w:type="dxa"/>
            <w:vAlign w:val="center"/>
          </w:tcPr>
          <w:p>
            <w:pPr>
              <w:spacing w:line="360" w:lineRule="auto"/>
              <w:jc w:val="center"/>
              <w:rPr>
                <w:rFonts w:hint="eastAsia" w:ascii="宋体" w:hAnsi="宋体"/>
                <w:kern w:val="0"/>
                <w:sz w:val="21"/>
                <w:szCs w:val="21"/>
                <w:highlight w:val="none"/>
              </w:rPr>
            </w:pPr>
            <w:r>
              <w:rPr>
                <w:rFonts w:hint="eastAsia" w:ascii="宋体" w:hAnsi="宋体"/>
                <w:kern w:val="0"/>
                <w:sz w:val="21"/>
                <w:szCs w:val="21"/>
                <w:highlight w:val="none"/>
              </w:rPr>
              <w:t>满足招标货物的性能及技术指标要求（其他非核心产品）</w:t>
            </w:r>
          </w:p>
        </w:tc>
        <w:tc>
          <w:tcPr>
            <w:tcW w:w="5103" w:type="dxa"/>
            <w:vAlign w:val="center"/>
          </w:tcPr>
          <w:p>
            <w:pPr>
              <w:widowControl/>
              <w:adjustRightInd w:val="0"/>
              <w:snapToGrid w:val="0"/>
              <w:spacing w:after="0" w:line="336" w:lineRule="auto"/>
              <w:textAlignment w:val="center"/>
              <w:rPr>
                <w:rFonts w:hint="eastAsia" w:ascii="宋体" w:hAnsi="宋体"/>
                <w:bCs/>
                <w:sz w:val="21"/>
                <w:szCs w:val="21"/>
                <w:highlight w:val="none"/>
              </w:rPr>
            </w:pPr>
            <w:r>
              <w:rPr>
                <w:rFonts w:hint="eastAsia" w:ascii="宋体" w:hAnsi="宋体" w:cs="宋体"/>
                <w:b w:val="0"/>
                <w:kern w:val="2"/>
                <w:sz w:val="21"/>
                <w:szCs w:val="21"/>
                <w:highlight w:val="none"/>
              </w:rPr>
              <w:t>满足</w:t>
            </w:r>
            <w:r>
              <w:rPr>
                <w:rFonts w:hint="eastAsia" w:ascii="宋体" w:hAnsi="宋体" w:cs="宋体"/>
                <w:b w:val="0"/>
                <w:kern w:val="2"/>
                <w:sz w:val="21"/>
                <w:szCs w:val="21"/>
                <w:highlight w:val="none"/>
                <w:lang w:eastAsia="zh-CN"/>
              </w:rPr>
              <w:t>其他</w:t>
            </w:r>
            <w:r>
              <w:rPr>
                <w:rFonts w:hint="eastAsia" w:ascii="宋体" w:hAnsi="宋体" w:cs="宋体"/>
                <w:b w:val="0"/>
                <w:kern w:val="2"/>
                <w:sz w:val="21"/>
                <w:szCs w:val="21"/>
                <w:highlight w:val="none"/>
              </w:rPr>
              <w:t>非核心产品的参数技术指标，得</w:t>
            </w:r>
            <w:r>
              <w:rPr>
                <w:rFonts w:hint="eastAsia" w:ascii="宋体" w:hAnsi="宋体" w:cs="宋体"/>
                <w:b w:val="0"/>
                <w:kern w:val="2"/>
                <w:sz w:val="21"/>
                <w:szCs w:val="21"/>
                <w:highlight w:val="none"/>
                <w:lang w:val="en-US" w:eastAsia="zh-CN"/>
              </w:rPr>
              <w:t>10</w:t>
            </w:r>
            <w:r>
              <w:rPr>
                <w:rFonts w:hint="eastAsia" w:ascii="宋体" w:hAnsi="宋体" w:cs="宋体"/>
                <w:b w:val="0"/>
                <w:kern w:val="2"/>
                <w:sz w:val="21"/>
                <w:szCs w:val="21"/>
                <w:highlight w:val="none"/>
              </w:rPr>
              <w:t>分。</w:t>
            </w:r>
          </w:p>
          <w:p>
            <w:pPr>
              <w:widowControl/>
              <w:adjustRightInd w:val="0"/>
              <w:snapToGrid w:val="0"/>
              <w:spacing w:after="0" w:line="336" w:lineRule="auto"/>
              <w:textAlignment w:val="center"/>
              <w:rPr>
                <w:highlight w:val="none"/>
              </w:rPr>
            </w:pPr>
            <w:r>
              <w:rPr>
                <w:rFonts w:hint="eastAsia" w:ascii="宋体" w:hAnsi="宋体" w:cs="宋体"/>
                <w:b w:val="0"/>
                <w:bCs w:val="0"/>
                <w:kern w:val="2"/>
                <w:sz w:val="21"/>
                <w:szCs w:val="21"/>
                <w:highlight w:val="none"/>
              </w:rPr>
              <w:t>非核心产品：</w:t>
            </w:r>
            <w:r>
              <w:rPr>
                <w:rFonts w:hint="eastAsia" w:ascii="宋体" w:hAnsi="宋体" w:cs="宋体"/>
                <w:b w:val="0"/>
                <w:kern w:val="2"/>
                <w:sz w:val="21"/>
                <w:szCs w:val="21"/>
                <w:highlight w:val="none"/>
              </w:rPr>
              <w:t>交换机</w:t>
            </w:r>
            <w:r>
              <w:rPr>
                <w:rFonts w:hint="eastAsia" w:ascii="宋体" w:hAnsi="宋体" w:cs="宋体"/>
                <w:b w:val="0"/>
                <w:kern w:val="2"/>
                <w:sz w:val="21"/>
                <w:szCs w:val="21"/>
                <w:highlight w:val="none"/>
                <w:lang w:val="en-US" w:eastAsia="zh-CN"/>
              </w:rPr>
              <w:t>1、</w:t>
            </w:r>
            <w:r>
              <w:rPr>
                <w:rFonts w:hint="eastAsia" w:ascii="宋体" w:hAnsi="宋体" w:cs="宋体"/>
                <w:b w:val="0"/>
                <w:kern w:val="2"/>
                <w:sz w:val="21"/>
                <w:szCs w:val="21"/>
                <w:highlight w:val="none"/>
              </w:rPr>
              <w:t>交换机</w:t>
            </w:r>
            <w:r>
              <w:rPr>
                <w:rFonts w:hint="eastAsia" w:ascii="宋体" w:hAnsi="宋体" w:cs="宋体"/>
                <w:b w:val="0"/>
                <w:kern w:val="2"/>
                <w:sz w:val="21"/>
                <w:szCs w:val="21"/>
                <w:highlight w:val="none"/>
                <w:lang w:val="en-US" w:eastAsia="zh-CN"/>
              </w:rPr>
              <w:t>2</w:t>
            </w:r>
            <w:r>
              <w:rPr>
                <w:rFonts w:hint="eastAsia" w:ascii="宋体" w:hAnsi="宋体" w:cs="宋体"/>
                <w:b w:val="0"/>
                <w:kern w:val="2"/>
                <w:sz w:val="21"/>
                <w:szCs w:val="21"/>
                <w:highlight w:val="none"/>
              </w:rPr>
              <w:t>、</w:t>
            </w:r>
            <w:r>
              <w:rPr>
                <w:rFonts w:hint="eastAsia" w:ascii="宋体" w:hAnsi="宋体" w:cs="宋体"/>
                <w:b w:val="0"/>
                <w:kern w:val="2"/>
                <w:sz w:val="21"/>
                <w:szCs w:val="21"/>
                <w:highlight w:val="none"/>
                <w:lang w:val="en-US" w:eastAsia="zh-CN"/>
              </w:rPr>
              <w:t>路由器、</w:t>
            </w:r>
            <w:r>
              <w:rPr>
                <w:rFonts w:hint="eastAsia" w:ascii="宋体" w:hAnsi="宋体" w:cs="宋体"/>
                <w:b w:val="0"/>
                <w:kern w:val="2"/>
                <w:sz w:val="21"/>
                <w:szCs w:val="21"/>
                <w:highlight w:val="none"/>
              </w:rPr>
              <w:t>机柜、</w:t>
            </w:r>
            <w:r>
              <w:rPr>
                <w:rFonts w:hint="eastAsia" w:ascii="宋体" w:hAnsi="宋体" w:cs="宋体"/>
                <w:b w:val="0"/>
                <w:kern w:val="2"/>
                <w:sz w:val="21"/>
                <w:szCs w:val="21"/>
                <w:highlight w:val="none"/>
                <w:lang w:val="en-US" w:eastAsia="zh-CN"/>
              </w:rPr>
              <w:t>六</w:t>
            </w:r>
            <w:r>
              <w:rPr>
                <w:rFonts w:hint="eastAsia" w:ascii="宋体" w:hAnsi="宋体" w:cs="宋体"/>
                <w:b w:val="0"/>
                <w:kern w:val="2"/>
                <w:sz w:val="21"/>
                <w:szCs w:val="21"/>
                <w:highlight w:val="none"/>
              </w:rPr>
              <w:t>人位电脑桌凳、教师桌</w:t>
            </w:r>
            <w:r>
              <w:rPr>
                <w:rFonts w:hint="eastAsia" w:ascii="宋体" w:hAnsi="宋体" w:cs="宋体"/>
                <w:b w:val="0"/>
                <w:kern w:val="2"/>
                <w:sz w:val="21"/>
                <w:szCs w:val="21"/>
                <w:highlight w:val="none"/>
                <w:lang w:eastAsia="zh-CN"/>
              </w:rPr>
              <w:t>、</w:t>
            </w:r>
            <w:r>
              <w:rPr>
                <w:rFonts w:hint="eastAsia" w:ascii="宋体" w:hAnsi="宋体" w:cs="宋体"/>
                <w:b w:val="0"/>
                <w:kern w:val="2"/>
                <w:sz w:val="21"/>
                <w:szCs w:val="21"/>
                <w:highlight w:val="none"/>
                <w:lang w:val="en-US" w:eastAsia="zh-CN"/>
              </w:rPr>
              <w:t>教师椅</w:t>
            </w:r>
            <w:r>
              <w:rPr>
                <w:rFonts w:hint="eastAsia" w:ascii="宋体" w:hAnsi="宋体" w:cs="宋体"/>
                <w:b w:val="0"/>
                <w:kern w:val="2"/>
                <w:sz w:val="21"/>
                <w:szCs w:val="21"/>
                <w:highlight w:val="none"/>
              </w:rPr>
              <w:t>、综合布线、静电地板</w:t>
            </w:r>
            <w:r>
              <w:rPr>
                <w:rFonts w:hint="eastAsia" w:ascii="宋体" w:hAnsi="宋体" w:cs="宋体"/>
                <w:b w:val="0"/>
                <w:kern w:val="2"/>
                <w:sz w:val="21"/>
                <w:szCs w:val="21"/>
                <w:highlight w:val="none"/>
                <w:lang w:eastAsia="zh-CN"/>
              </w:rPr>
              <w:t>、安装调试</w:t>
            </w:r>
            <w:r>
              <w:rPr>
                <w:rFonts w:hint="eastAsia" w:ascii="宋体" w:hAnsi="宋体" w:cs="宋体"/>
                <w:b w:val="0"/>
                <w:bCs w:val="0"/>
                <w:kern w:val="2"/>
                <w:sz w:val="21"/>
                <w:szCs w:val="21"/>
                <w:highlight w:val="none"/>
              </w:rPr>
              <w:t>，合计</w:t>
            </w:r>
            <w:r>
              <w:rPr>
                <w:rFonts w:hint="eastAsia" w:ascii="宋体" w:hAnsi="宋体" w:cs="宋体"/>
                <w:b w:val="0"/>
                <w:bCs w:val="0"/>
                <w:kern w:val="2"/>
                <w:sz w:val="21"/>
                <w:szCs w:val="21"/>
                <w:highlight w:val="none"/>
                <w:lang w:eastAsia="zh-CN"/>
              </w:rPr>
              <w:t>十</w:t>
            </w:r>
            <w:r>
              <w:rPr>
                <w:rFonts w:hint="eastAsia" w:ascii="宋体" w:hAnsi="宋体" w:cs="宋体"/>
                <w:b w:val="0"/>
                <w:bCs w:val="0"/>
                <w:kern w:val="2"/>
                <w:sz w:val="21"/>
                <w:szCs w:val="21"/>
                <w:highlight w:val="none"/>
              </w:rPr>
              <w:t>大项，所有技术指标满足要求的</w:t>
            </w:r>
            <w:r>
              <w:rPr>
                <w:rFonts w:hint="eastAsia" w:ascii="宋体" w:hAnsi="宋体" w:cs="宋体"/>
                <w:b w:val="0"/>
                <w:bCs w:val="0"/>
                <w:kern w:val="2"/>
                <w:sz w:val="21"/>
                <w:szCs w:val="21"/>
                <w:highlight w:val="none"/>
                <w:lang w:eastAsia="zh-CN"/>
              </w:rPr>
              <w:t>，</w:t>
            </w:r>
            <w:r>
              <w:rPr>
                <w:rFonts w:hint="eastAsia" w:ascii="宋体" w:hAnsi="宋体" w:cs="宋体"/>
                <w:b w:val="0"/>
                <w:bCs w:val="0"/>
                <w:kern w:val="2"/>
                <w:sz w:val="21"/>
                <w:szCs w:val="21"/>
                <w:highlight w:val="none"/>
              </w:rPr>
              <w:t>得</w:t>
            </w:r>
            <w:r>
              <w:rPr>
                <w:rFonts w:hint="eastAsia" w:ascii="宋体" w:hAnsi="宋体" w:cs="宋体"/>
                <w:b w:val="0"/>
                <w:bCs w:val="0"/>
                <w:kern w:val="2"/>
                <w:sz w:val="21"/>
                <w:szCs w:val="21"/>
                <w:highlight w:val="none"/>
                <w:lang w:val="en-US" w:eastAsia="zh-CN"/>
              </w:rPr>
              <w:t>10</w:t>
            </w:r>
            <w:r>
              <w:rPr>
                <w:rFonts w:hint="eastAsia" w:ascii="宋体" w:hAnsi="宋体" w:cs="宋体"/>
                <w:b w:val="0"/>
                <w:bCs w:val="0"/>
                <w:kern w:val="2"/>
                <w:sz w:val="21"/>
                <w:szCs w:val="21"/>
                <w:highlight w:val="none"/>
              </w:rPr>
              <w:t>分（每个产品为一个大项，一个大项</w:t>
            </w:r>
            <w:r>
              <w:rPr>
                <w:rFonts w:hint="eastAsia" w:ascii="宋体" w:hAnsi="宋体" w:cs="宋体"/>
                <w:b w:val="0"/>
                <w:bCs w:val="0"/>
                <w:kern w:val="2"/>
                <w:sz w:val="21"/>
                <w:szCs w:val="21"/>
                <w:highlight w:val="none"/>
                <w:lang w:val="en-US" w:eastAsia="zh-CN"/>
              </w:rPr>
              <w:t>1</w:t>
            </w:r>
            <w:r>
              <w:rPr>
                <w:rFonts w:hint="eastAsia" w:ascii="宋体" w:hAnsi="宋体" w:cs="宋体"/>
                <w:b w:val="0"/>
                <w:bCs w:val="0"/>
                <w:kern w:val="2"/>
                <w:sz w:val="21"/>
                <w:szCs w:val="21"/>
                <w:highlight w:val="none"/>
              </w:rPr>
              <w:t>分，总计</w:t>
            </w:r>
            <w:r>
              <w:rPr>
                <w:rFonts w:hint="eastAsia" w:ascii="宋体" w:hAnsi="宋体" w:cs="宋体"/>
                <w:b w:val="0"/>
                <w:bCs w:val="0"/>
                <w:kern w:val="2"/>
                <w:sz w:val="21"/>
                <w:szCs w:val="21"/>
                <w:highlight w:val="none"/>
                <w:lang w:val="en-US" w:eastAsia="zh-CN"/>
              </w:rPr>
              <w:t>10</w:t>
            </w:r>
            <w:r>
              <w:rPr>
                <w:rFonts w:hint="eastAsia" w:ascii="宋体" w:hAnsi="宋体" w:cs="宋体"/>
                <w:b w:val="0"/>
                <w:bCs w:val="0"/>
                <w:kern w:val="2"/>
                <w:sz w:val="21"/>
                <w:szCs w:val="21"/>
                <w:highlight w:val="none"/>
              </w:rPr>
              <w:t>分）；每个大项有不满足的，本大项不得分</w:t>
            </w:r>
            <w:r>
              <w:rPr>
                <w:rFonts w:hint="eastAsia" w:ascii="宋体" w:hAnsi="宋体" w:cs="宋体"/>
                <w:b w:val="0"/>
                <w:bCs w:val="0"/>
                <w:kern w:val="2"/>
                <w:sz w:val="21"/>
                <w:szCs w:val="21"/>
                <w:highlight w:val="none"/>
                <w:lang w:eastAsia="zh-CN"/>
              </w:rPr>
              <w:t>，</w:t>
            </w:r>
            <w:r>
              <w:rPr>
                <w:rFonts w:hint="eastAsia" w:ascii="宋体" w:hAnsi="宋体" w:cs="宋体"/>
                <w:b w:val="0"/>
                <w:kern w:val="2"/>
                <w:sz w:val="21"/>
                <w:szCs w:val="21"/>
                <w:highlight w:val="none"/>
              </w:rPr>
              <w:t>每一条扣</w:t>
            </w:r>
            <w:r>
              <w:rPr>
                <w:rFonts w:hint="eastAsia" w:ascii="宋体" w:hAnsi="宋体" w:cs="宋体"/>
                <w:b w:val="0"/>
                <w:kern w:val="2"/>
                <w:sz w:val="21"/>
                <w:szCs w:val="21"/>
                <w:highlight w:val="none"/>
                <w:lang w:val="en-US" w:eastAsia="zh-CN"/>
              </w:rPr>
              <w:t>1</w:t>
            </w:r>
            <w:r>
              <w:rPr>
                <w:rFonts w:hint="eastAsia" w:ascii="宋体" w:hAnsi="宋体" w:cs="宋体"/>
                <w:b w:val="0"/>
                <w:kern w:val="2"/>
                <w:sz w:val="21"/>
                <w:szCs w:val="21"/>
                <w:highlight w:val="none"/>
              </w:rPr>
              <w:t>分，扣至0分为止。</w:t>
            </w:r>
          </w:p>
        </w:tc>
        <w:tc>
          <w:tcPr>
            <w:tcW w:w="1045" w:type="dxa"/>
            <w:vAlign w:val="center"/>
          </w:tcPr>
          <w:p>
            <w:pPr>
              <w:spacing w:line="360" w:lineRule="auto"/>
              <w:jc w:val="center"/>
              <w:rPr>
                <w:rFonts w:hint="default" w:ascii="宋体" w:hAnsi="宋体" w:eastAsia="宋体"/>
                <w:kern w:val="0"/>
                <w:sz w:val="21"/>
                <w:szCs w:val="21"/>
                <w:highlight w:val="none"/>
                <w:lang w:val="en-US" w:eastAsia="zh-CN"/>
              </w:rPr>
            </w:pPr>
            <w:r>
              <w:rPr>
                <w:rFonts w:hint="eastAsia" w:ascii="宋体" w:hAnsi="宋体"/>
                <w:kern w:val="0"/>
                <w:sz w:val="21"/>
                <w:szCs w:val="21"/>
                <w:highlight w:val="none"/>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 w:hRule="atLeast"/>
        </w:trPr>
        <w:tc>
          <w:tcPr>
            <w:tcW w:w="700" w:type="dxa"/>
            <w:vMerge w:val="continue"/>
            <w:vAlign w:val="center"/>
          </w:tcPr>
          <w:p>
            <w:pPr>
              <w:spacing w:line="360" w:lineRule="auto"/>
              <w:rPr>
                <w:rFonts w:hint="eastAsia" w:ascii="宋体" w:hAnsi="宋体"/>
                <w:sz w:val="21"/>
                <w:szCs w:val="21"/>
                <w:highlight w:val="none"/>
              </w:rPr>
            </w:pPr>
          </w:p>
        </w:tc>
        <w:tc>
          <w:tcPr>
            <w:tcW w:w="513" w:type="dxa"/>
            <w:vAlign w:val="center"/>
          </w:tcPr>
          <w:p>
            <w:pPr>
              <w:spacing w:line="360" w:lineRule="auto"/>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5</w:t>
            </w:r>
          </w:p>
        </w:tc>
        <w:tc>
          <w:tcPr>
            <w:tcW w:w="1589" w:type="dxa"/>
            <w:vAlign w:val="center"/>
          </w:tcPr>
          <w:p>
            <w:pPr>
              <w:widowControl/>
              <w:adjustRightInd w:val="0"/>
              <w:snapToGrid w:val="0"/>
              <w:spacing w:line="288" w:lineRule="auto"/>
              <w:jc w:val="center"/>
              <w:textAlignment w:val="center"/>
              <w:rPr>
                <w:rFonts w:hint="eastAsia" w:ascii="宋体" w:hAnsi="宋体"/>
                <w:kern w:val="0"/>
                <w:sz w:val="21"/>
                <w:szCs w:val="21"/>
                <w:highlight w:val="none"/>
              </w:rPr>
            </w:pPr>
            <w:r>
              <w:rPr>
                <w:rFonts w:hint="eastAsia" w:ascii="宋体" w:hAnsi="宋体"/>
                <w:bCs/>
                <w:sz w:val="21"/>
                <w:szCs w:val="21"/>
                <w:highlight w:val="none"/>
                <w:lang w:eastAsia="zh-CN"/>
              </w:rPr>
              <w:t>实施方案</w:t>
            </w:r>
            <w:r>
              <w:rPr>
                <w:rFonts w:hint="eastAsia" w:ascii="宋体" w:hAnsi="宋体"/>
                <w:bCs/>
                <w:sz w:val="21"/>
                <w:szCs w:val="21"/>
                <w:highlight w:val="none"/>
              </w:rPr>
              <w:t>方案</w:t>
            </w:r>
          </w:p>
        </w:tc>
        <w:tc>
          <w:tcPr>
            <w:tcW w:w="510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textAlignment w:val="center"/>
              <w:rPr>
                <w:rFonts w:hint="eastAsia" w:eastAsia="宋体" w:asciiTheme="minorEastAsia" w:hAnsiTheme="minorEastAsia" w:cstheme="minorEastAsia"/>
                <w:sz w:val="21"/>
                <w:szCs w:val="21"/>
                <w:highlight w:val="none"/>
                <w:lang w:val="en-US" w:eastAsia="zh-CN"/>
              </w:rPr>
            </w:pPr>
            <w:r>
              <w:rPr>
                <w:rFonts w:hint="eastAsia" w:ascii="宋体" w:hAnsi="宋体" w:cs="宋体"/>
                <w:sz w:val="18"/>
                <w:szCs w:val="18"/>
                <w:highlight w:val="none"/>
                <w:vertAlign w:val="baseline"/>
                <w:lang w:eastAsia="zh-CN"/>
              </w:rPr>
              <w:t>针对本项目的实施方案打分，包括①</w:t>
            </w:r>
            <w:r>
              <w:rPr>
                <w:rFonts w:hint="eastAsia" w:ascii="宋体" w:hAnsi="宋体" w:eastAsia="宋体" w:cs="宋体"/>
                <w:sz w:val="18"/>
                <w:szCs w:val="18"/>
                <w:highlight w:val="none"/>
                <w:vertAlign w:val="baseline"/>
              </w:rPr>
              <w:t>质量保证措施</w:t>
            </w:r>
            <w:r>
              <w:rPr>
                <w:rFonts w:hint="eastAsia" w:ascii="宋体" w:hAnsi="宋体" w:cs="宋体"/>
                <w:sz w:val="18"/>
                <w:szCs w:val="18"/>
                <w:highlight w:val="none"/>
                <w:vertAlign w:val="baseline"/>
                <w:lang w:val="en-US" w:eastAsia="zh-CN"/>
              </w:rPr>
              <w:t>0-1分；②</w:t>
            </w:r>
            <w:r>
              <w:rPr>
                <w:rFonts w:hint="eastAsia" w:ascii="宋体" w:hAnsi="宋体" w:eastAsia="宋体" w:cs="宋体"/>
                <w:sz w:val="18"/>
                <w:szCs w:val="18"/>
                <w:highlight w:val="none"/>
                <w:vertAlign w:val="baseline"/>
              </w:rPr>
              <w:t>各项应急措施</w:t>
            </w:r>
            <w:r>
              <w:rPr>
                <w:rFonts w:hint="eastAsia" w:ascii="宋体" w:hAnsi="宋体" w:cs="宋体"/>
                <w:sz w:val="18"/>
                <w:szCs w:val="18"/>
                <w:highlight w:val="none"/>
                <w:vertAlign w:val="baseline"/>
                <w:lang w:val="en-US" w:eastAsia="zh-CN"/>
              </w:rPr>
              <w:t>0-2分；③</w:t>
            </w:r>
            <w:r>
              <w:rPr>
                <w:rFonts w:hint="eastAsia" w:ascii="宋体" w:hAnsi="宋体" w:cs="宋体"/>
                <w:kern w:val="0"/>
                <w:sz w:val="21"/>
                <w:szCs w:val="21"/>
                <w:highlight w:val="none"/>
                <w:lang w:eastAsia="zh-CN"/>
              </w:rPr>
              <w:t>产品</w:t>
            </w:r>
            <w:r>
              <w:rPr>
                <w:rFonts w:hint="eastAsia" w:ascii="宋体" w:hAnsi="宋体" w:eastAsia="宋体" w:cs="宋体"/>
                <w:kern w:val="0"/>
                <w:sz w:val="21"/>
                <w:szCs w:val="21"/>
                <w:highlight w:val="none"/>
              </w:rPr>
              <w:t>供货、安装调试</w:t>
            </w:r>
            <w:r>
              <w:rPr>
                <w:rFonts w:hint="eastAsia" w:ascii="宋体" w:hAnsi="宋体" w:eastAsia="宋体" w:cs="宋体"/>
                <w:kern w:val="0"/>
                <w:sz w:val="21"/>
                <w:szCs w:val="21"/>
                <w:highlight w:val="none"/>
                <w:lang w:val="en-US" w:eastAsia="zh-CN"/>
              </w:rPr>
              <w:t>0-</w:t>
            </w:r>
            <w:r>
              <w:rPr>
                <w:rFonts w:hint="eastAsia" w:ascii="宋体" w:hAnsi="宋体" w:cs="宋体"/>
                <w:kern w:val="0"/>
                <w:sz w:val="21"/>
                <w:szCs w:val="21"/>
                <w:highlight w:val="none"/>
                <w:lang w:val="en-US" w:eastAsia="zh-CN"/>
              </w:rPr>
              <w:t>2</w:t>
            </w:r>
            <w:r>
              <w:rPr>
                <w:rFonts w:hint="eastAsia" w:ascii="宋体" w:hAnsi="宋体" w:eastAsia="宋体" w:cs="宋体"/>
                <w:kern w:val="0"/>
                <w:sz w:val="21"/>
                <w:szCs w:val="21"/>
                <w:highlight w:val="none"/>
                <w:lang w:val="en-US" w:eastAsia="zh-CN"/>
              </w:rPr>
              <w:t>分，</w:t>
            </w:r>
            <w:r>
              <w:rPr>
                <w:rFonts w:hint="eastAsia" w:ascii="宋体" w:hAnsi="宋体" w:cs="宋体"/>
                <w:sz w:val="18"/>
                <w:szCs w:val="18"/>
                <w:highlight w:val="none"/>
                <w:vertAlign w:val="baseline"/>
                <w:lang w:val="en-US" w:eastAsia="zh-CN"/>
              </w:rPr>
              <w:t>共5分，不提供方案不得分。</w:t>
            </w:r>
          </w:p>
        </w:tc>
        <w:tc>
          <w:tcPr>
            <w:tcW w:w="1045" w:type="dxa"/>
            <w:vAlign w:val="center"/>
          </w:tcPr>
          <w:p>
            <w:pPr>
              <w:spacing w:line="360" w:lineRule="auto"/>
              <w:jc w:val="center"/>
              <w:rPr>
                <w:rFonts w:hint="eastAsia" w:ascii="宋体" w:hAnsi="宋体" w:eastAsia="宋体"/>
                <w:kern w:val="0"/>
                <w:sz w:val="21"/>
                <w:szCs w:val="21"/>
                <w:highlight w:val="none"/>
                <w:lang w:eastAsia="zh-CN"/>
              </w:rPr>
            </w:pPr>
            <w:r>
              <w:rPr>
                <w:rFonts w:hint="eastAsia" w:ascii="宋体" w:hAnsi="宋体"/>
                <w:kern w:val="0"/>
                <w:sz w:val="21"/>
                <w:szCs w:val="21"/>
                <w:highlight w:val="none"/>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0" w:type="dxa"/>
            <w:vMerge w:val="continue"/>
            <w:vAlign w:val="center"/>
          </w:tcPr>
          <w:p>
            <w:pPr>
              <w:spacing w:line="360" w:lineRule="auto"/>
              <w:rPr>
                <w:rFonts w:hint="eastAsia" w:ascii="宋体" w:hAnsi="宋体"/>
                <w:sz w:val="21"/>
                <w:szCs w:val="21"/>
                <w:highlight w:val="none"/>
              </w:rPr>
            </w:pPr>
          </w:p>
        </w:tc>
        <w:tc>
          <w:tcPr>
            <w:tcW w:w="513" w:type="dxa"/>
            <w:vAlign w:val="center"/>
          </w:tcPr>
          <w:p>
            <w:pPr>
              <w:spacing w:line="360" w:lineRule="auto"/>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6</w:t>
            </w:r>
          </w:p>
        </w:tc>
        <w:tc>
          <w:tcPr>
            <w:tcW w:w="1589" w:type="dxa"/>
            <w:vAlign w:val="center"/>
          </w:tcPr>
          <w:p>
            <w:pPr>
              <w:spacing w:line="360" w:lineRule="auto"/>
              <w:jc w:val="center"/>
              <w:rPr>
                <w:rFonts w:hint="eastAsia" w:ascii="宋体" w:hAnsi="宋体"/>
                <w:bCs/>
                <w:sz w:val="21"/>
                <w:szCs w:val="21"/>
                <w:highlight w:val="none"/>
              </w:rPr>
            </w:pPr>
            <w:r>
              <w:rPr>
                <w:rFonts w:hint="eastAsia" w:ascii="宋体" w:hAnsi="宋体"/>
                <w:kern w:val="0"/>
                <w:sz w:val="21"/>
                <w:szCs w:val="21"/>
                <w:highlight w:val="none"/>
                <w:lang w:bidi="ar"/>
              </w:rPr>
              <w:t>项目实施人员</w:t>
            </w:r>
          </w:p>
        </w:tc>
        <w:tc>
          <w:tcPr>
            <w:tcW w:w="5103" w:type="dxa"/>
            <w:vAlign w:val="center"/>
          </w:tcPr>
          <w:p>
            <w:pPr>
              <w:spacing w:line="360" w:lineRule="auto"/>
              <w:rPr>
                <w:rFonts w:hint="eastAsia" w:ascii="宋体" w:hAnsi="宋体" w:eastAsia="宋体"/>
                <w:kern w:val="0"/>
                <w:sz w:val="21"/>
                <w:szCs w:val="21"/>
                <w:highlight w:val="none"/>
                <w:lang w:eastAsia="zh-CN"/>
              </w:rPr>
            </w:pPr>
            <w:r>
              <w:rPr>
                <w:rFonts w:hint="eastAsia" w:ascii="宋体" w:hAnsi="宋体"/>
                <w:kern w:val="0"/>
                <w:sz w:val="21"/>
                <w:szCs w:val="21"/>
                <w:highlight w:val="none"/>
                <w:lang w:bidi="ar"/>
              </w:rPr>
              <w:t>根据投标供应商拟派往本项目的项目团队人员的数量、人员配备的合理性、人员职称、学历、荣誉、类似项目经验、履职经历进行综合评分，得0-</w:t>
            </w:r>
            <w:r>
              <w:rPr>
                <w:rFonts w:hint="eastAsia" w:ascii="宋体" w:hAnsi="宋体"/>
                <w:kern w:val="0"/>
                <w:sz w:val="21"/>
                <w:szCs w:val="21"/>
                <w:highlight w:val="none"/>
                <w:lang w:val="en-US" w:eastAsia="zh-CN" w:bidi="ar"/>
              </w:rPr>
              <w:t>3.5</w:t>
            </w:r>
            <w:r>
              <w:rPr>
                <w:rFonts w:hint="eastAsia" w:ascii="宋体" w:hAnsi="宋体"/>
                <w:kern w:val="0"/>
                <w:sz w:val="21"/>
                <w:szCs w:val="21"/>
                <w:highlight w:val="none"/>
                <w:lang w:bidi="ar"/>
              </w:rPr>
              <w:t>分（附有效期内相关证书和在投标单位近三个月社会保险参保证明复印件等证明材料）。</w:t>
            </w:r>
          </w:p>
        </w:tc>
        <w:tc>
          <w:tcPr>
            <w:tcW w:w="1045" w:type="dxa"/>
            <w:vAlign w:val="center"/>
          </w:tcPr>
          <w:p>
            <w:pPr>
              <w:spacing w:line="360" w:lineRule="auto"/>
              <w:jc w:val="center"/>
              <w:rPr>
                <w:rFonts w:hint="default" w:ascii="宋体" w:hAnsi="宋体" w:eastAsia="宋体"/>
                <w:kern w:val="0"/>
                <w:sz w:val="21"/>
                <w:szCs w:val="21"/>
                <w:highlight w:val="none"/>
                <w:lang w:val="en-US" w:eastAsia="zh-CN"/>
              </w:rPr>
            </w:pPr>
            <w:r>
              <w:rPr>
                <w:rFonts w:hint="eastAsia" w:ascii="宋体" w:hAnsi="宋体"/>
                <w:sz w:val="21"/>
                <w:szCs w:val="21"/>
                <w:highlight w:val="none"/>
                <w:lang w:val="en-US" w:eastAsia="zh-CN"/>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0" w:type="dxa"/>
            <w:vMerge w:val="continue"/>
            <w:vAlign w:val="center"/>
          </w:tcPr>
          <w:p>
            <w:pPr>
              <w:spacing w:line="360" w:lineRule="auto"/>
              <w:rPr>
                <w:rFonts w:hint="eastAsia" w:ascii="宋体" w:hAnsi="宋体"/>
                <w:sz w:val="21"/>
                <w:szCs w:val="21"/>
                <w:highlight w:val="none"/>
              </w:rPr>
            </w:pPr>
          </w:p>
        </w:tc>
        <w:tc>
          <w:tcPr>
            <w:tcW w:w="513" w:type="dxa"/>
            <w:vAlign w:val="center"/>
          </w:tcPr>
          <w:p>
            <w:pPr>
              <w:spacing w:line="360" w:lineRule="auto"/>
              <w:jc w:val="center"/>
              <w:rPr>
                <w:rFonts w:hint="eastAsia" w:ascii="宋体" w:hAnsi="宋体" w:eastAsia="宋体"/>
                <w:sz w:val="21"/>
                <w:szCs w:val="21"/>
                <w:highlight w:val="none"/>
                <w:lang w:eastAsia="zh-CN"/>
              </w:rPr>
            </w:pPr>
            <w:r>
              <w:rPr>
                <w:rFonts w:hint="eastAsia" w:ascii="宋体" w:hAnsi="宋体"/>
                <w:kern w:val="0"/>
                <w:sz w:val="21"/>
                <w:szCs w:val="21"/>
                <w:highlight w:val="none"/>
                <w:lang w:val="en-US" w:eastAsia="zh-CN"/>
              </w:rPr>
              <w:t>7</w:t>
            </w:r>
          </w:p>
        </w:tc>
        <w:tc>
          <w:tcPr>
            <w:tcW w:w="1589" w:type="dxa"/>
            <w:vAlign w:val="center"/>
          </w:tcPr>
          <w:p>
            <w:pPr>
              <w:widowControl/>
              <w:adjustRightInd w:val="0"/>
              <w:snapToGrid w:val="0"/>
              <w:spacing w:line="288" w:lineRule="auto"/>
              <w:jc w:val="center"/>
              <w:textAlignment w:val="center"/>
              <w:rPr>
                <w:rFonts w:hint="eastAsia" w:ascii="宋体" w:hAnsi="宋体"/>
                <w:kern w:val="0"/>
                <w:sz w:val="21"/>
                <w:szCs w:val="21"/>
                <w:highlight w:val="none"/>
                <w:lang w:bidi="ar"/>
              </w:rPr>
            </w:pPr>
            <w:r>
              <w:rPr>
                <w:rFonts w:hint="eastAsia" w:ascii="宋体" w:hAnsi="宋体"/>
                <w:bCs/>
                <w:sz w:val="21"/>
                <w:szCs w:val="21"/>
                <w:highlight w:val="none"/>
              </w:rPr>
              <w:t>软件功能描述</w:t>
            </w:r>
          </w:p>
        </w:tc>
        <w:tc>
          <w:tcPr>
            <w:tcW w:w="510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center"/>
              <w:rPr>
                <w:rFonts w:hint="default" w:ascii="宋体" w:hAnsi="宋体" w:eastAsia="宋体" w:cs="宋体"/>
                <w:bCs/>
                <w:sz w:val="21"/>
                <w:szCs w:val="21"/>
                <w:highlight w:val="none"/>
                <w:lang w:val="en-US" w:eastAsia="zh-CN"/>
              </w:rPr>
            </w:pPr>
            <w:r>
              <w:rPr>
                <w:rFonts w:hint="eastAsia" w:ascii="宋体" w:hAnsi="宋体"/>
                <w:bCs/>
                <w:sz w:val="21"/>
                <w:szCs w:val="21"/>
                <w:highlight w:val="none"/>
              </w:rPr>
              <w:t>根据投标供应商提供的软件（防病毒软件、同传还原软件、电子教室互动教学管理软件及其他软件）功能详细描述（包括但不限于软件的实用性、新颖性、完整性、成熟性等）进行综合打分，得0-</w:t>
            </w:r>
            <w:r>
              <w:rPr>
                <w:rFonts w:hint="eastAsia" w:ascii="宋体" w:hAnsi="宋体"/>
                <w:bCs/>
                <w:sz w:val="21"/>
                <w:szCs w:val="21"/>
                <w:highlight w:val="none"/>
                <w:lang w:val="en-US" w:eastAsia="zh-CN"/>
              </w:rPr>
              <w:t>4</w:t>
            </w:r>
            <w:r>
              <w:rPr>
                <w:rFonts w:hint="eastAsia" w:ascii="宋体" w:hAnsi="宋体"/>
                <w:bCs/>
                <w:sz w:val="21"/>
                <w:szCs w:val="21"/>
                <w:highlight w:val="none"/>
              </w:rPr>
              <w:t>分。</w:t>
            </w:r>
          </w:p>
        </w:tc>
        <w:tc>
          <w:tcPr>
            <w:tcW w:w="1045" w:type="dxa"/>
            <w:vAlign w:val="center"/>
          </w:tcPr>
          <w:p>
            <w:pPr>
              <w:spacing w:line="360" w:lineRule="auto"/>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0" w:type="dxa"/>
            <w:vMerge w:val="continue"/>
            <w:vAlign w:val="center"/>
          </w:tcPr>
          <w:p>
            <w:pPr>
              <w:spacing w:line="360" w:lineRule="auto"/>
              <w:rPr>
                <w:rFonts w:hint="eastAsia" w:ascii="宋体" w:hAnsi="宋体"/>
                <w:sz w:val="21"/>
                <w:szCs w:val="21"/>
                <w:highlight w:val="none"/>
              </w:rPr>
            </w:pPr>
          </w:p>
        </w:tc>
        <w:tc>
          <w:tcPr>
            <w:tcW w:w="513" w:type="dxa"/>
            <w:vAlign w:val="center"/>
          </w:tcPr>
          <w:p>
            <w:pPr>
              <w:spacing w:line="360" w:lineRule="auto"/>
              <w:jc w:val="center"/>
              <w:rPr>
                <w:rFonts w:hint="eastAsia" w:ascii="宋体" w:hAnsi="宋体" w:eastAsia="宋体"/>
                <w:kern w:val="0"/>
                <w:sz w:val="21"/>
                <w:szCs w:val="21"/>
                <w:highlight w:val="none"/>
                <w:lang w:eastAsia="zh-CN"/>
              </w:rPr>
            </w:pPr>
            <w:r>
              <w:rPr>
                <w:rFonts w:hint="eastAsia" w:ascii="宋体" w:hAnsi="宋体"/>
                <w:kern w:val="0"/>
                <w:sz w:val="21"/>
                <w:szCs w:val="21"/>
                <w:highlight w:val="none"/>
                <w:lang w:val="en-US" w:eastAsia="zh-CN"/>
              </w:rPr>
              <w:t>8</w:t>
            </w:r>
          </w:p>
        </w:tc>
        <w:tc>
          <w:tcPr>
            <w:tcW w:w="1589" w:type="dxa"/>
            <w:vAlign w:val="center"/>
          </w:tcPr>
          <w:p>
            <w:pPr>
              <w:widowControl/>
              <w:adjustRightInd w:val="0"/>
              <w:snapToGrid w:val="0"/>
              <w:spacing w:line="288" w:lineRule="auto"/>
              <w:jc w:val="center"/>
              <w:textAlignment w:val="center"/>
              <w:rPr>
                <w:rFonts w:hint="eastAsia" w:ascii="宋体" w:hAnsi="宋体"/>
                <w:bCs/>
                <w:sz w:val="21"/>
                <w:szCs w:val="21"/>
                <w:highlight w:val="none"/>
              </w:rPr>
            </w:pPr>
            <w:r>
              <w:rPr>
                <w:rFonts w:hint="eastAsia" w:ascii="宋体" w:hAnsi="宋体"/>
                <w:bCs/>
                <w:sz w:val="21"/>
                <w:szCs w:val="21"/>
                <w:highlight w:val="none"/>
              </w:rPr>
              <w:t>投标产品适配情况</w:t>
            </w:r>
          </w:p>
        </w:tc>
        <w:tc>
          <w:tcPr>
            <w:tcW w:w="5103" w:type="dxa"/>
            <w:vAlign w:val="center"/>
          </w:tcPr>
          <w:p>
            <w:pPr>
              <w:pStyle w:val="37"/>
              <w:keepNext w:val="0"/>
              <w:keepLines w:val="0"/>
              <w:pageBreakBefore w:val="0"/>
              <w:numPr>
                <w:ilvl w:val="0"/>
                <w:numId w:val="0"/>
              </w:numPr>
              <w:kinsoku/>
              <w:wordWrap/>
              <w:overflowPunct/>
              <w:topLinePunct w:val="0"/>
              <w:autoSpaceDE/>
              <w:autoSpaceDN/>
              <w:bidi w:val="0"/>
              <w:snapToGrid w:val="0"/>
              <w:spacing w:after="0" w:line="240" w:lineRule="auto"/>
              <w:rPr>
                <w:rFonts w:hint="eastAsia" w:ascii="宋体" w:hAnsi="宋体"/>
                <w:bCs/>
                <w:sz w:val="21"/>
                <w:szCs w:val="21"/>
                <w:highlight w:val="none"/>
              </w:rPr>
            </w:pPr>
            <w:r>
              <w:rPr>
                <w:rFonts w:hint="eastAsia" w:ascii="宋体" w:hAnsi="宋体" w:eastAsia="宋体" w:cs="宋体"/>
                <w:sz w:val="21"/>
                <w:szCs w:val="21"/>
                <w:highlight w:val="none"/>
                <w:lang w:val="en-US" w:eastAsia="zh-CN"/>
              </w:rPr>
              <w:t>根据投标产品及软件适配教育教学情况，得0-2分；具有教育教学应用场景的，得0-2分。</w:t>
            </w:r>
          </w:p>
        </w:tc>
        <w:tc>
          <w:tcPr>
            <w:tcW w:w="1045" w:type="dxa"/>
            <w:vAlign w:val="center"/>
          </w:tcPr>
          <w:p>
            <w:pPr>
              <w:spacing w:line="360" w:lineRule="auto"/>
              <w:jc w:val="center"/>
              <w:rPr>
                <w:rFonts w:hint="eastAsia" w:ascii="宋体" w:hAnsi="宋体" w:eastAsia="宋体"/>
                <w:sz w:val="21"/>
                <w:szCs w:val="21"/>
                <w:highlight w:val="none"/>
                <w:lang w:val="en" w:eastAsia="zh-CN"/>
              </w:rPr>
            </w:pPr>
            <w:r>
              <w:rPr>
                <w:rFonts w:hint="eastAsia" w:ascii="宋体" w:hAnsi="宋体"/>
                <w:sz w:val="21"/>
                <w:szCs w:val="21"/>
                <w:highlight w:val="none"/>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0" w:type="dxa"/>
            <w:vMerge w:val="continue"/>
            <w:vAlign w:val="center"/>
          </w:tcPr>
          <w:p>
            <w:pPr>
              <w:spacing w:line="360" w:lineRule="auto"/>
              <w:rPr>
                <w:rFonts w:hint="eastAsia" w:ascii="宋体" w:hAnsi="宋体"/>
                <w:sz w:val="21"/>
                <w:szCs w:val="21"/>
                <w:highlight w:val="none"/>
              </w:rPr>
            </w:pPr>
          </w:p>
        </w:tc>
        <w:tc>
          <w:tcPr>
            <w:tcW w:w="513" w:type="dxa"/>
            <w:vAlign w:val="center"/>
          </w:tcPr>
          <w:p>
            <w:pPr>
              <w:spacing w:line="360" w:lineRule="auto"/>
              <w:jc w:val="center"/>
              <w:rPr>
                <w:rFonts w:hint="default" w:ascii="宋体" w:hAnsi="宋体" w:eastAsia="宋体"/>
                <w:kern w:val="0"/>
                <w:sz w:val="21"/>
                <w:szCs w:val="21"/>
                <w:highlight w:val="none"/>
                <w:lang w:val="en-US" w:eastAsia="zh-CN"/>
              </w:rPr>
            </w:pPr>
            <w:r>
              <w:rPr>
                <w:rFonts w:hint="eastAsia" w:ascii="宋体" w:hAnsi="宋体"/>
                <w:kern w:val="0"/>
                <w:sz w:val="21"/>
                <w:szCs w:val="21"/>
                <w:highlight w:val="none"/>
                <w:lang w:val="en-US" w:eastAsia="zh-CN"/>
              </w:rPr>
              <w:t>9</w:t>
            </w:r>
          </w:p>
        </w:tc>
        <w:tc>
          <w:tcPr>
            <w:tcW w:w="1589" w:type="dxa"/>
            <w:vAlign w:val="center"/>
          </w:tcPr>
          <w:p>
            <w:pPr>
              <w:widowControl/>
              <w:adjustRightInd w:val="0"/>
              <w:snapToGrid w:val="0"/>
              <w:spacing w:line="288" w:lineRule="auto"/>
              <w:jc w:val="center"/>
              <w:textAlignment w:val="center"/>
              <w:rPr>
                <w:rFonts w:hint="eastAsia" w:ascii="宋体" w:hAnsi="宋体"/>
                <w:bCs/>
                <w:sz w:val="21"/>
                <w:szCs w:val="21"/>
                <w:highlight w:val="none"/>
              </w:rPr>
            </w:pPr>
            <w:r>
              <w:rPr>
                <w:rFonts w:hint="eastAsia" w:ascii="宋体" w:hAnsi="宋体"/>
                <w:bCs/>
                <w:sz w:val="21"/>
                <w:szCs w:val="21"/>
                <w:highlight w:val="none"/>
              </w:rPr>
              <w:t>售后服务</w:t>
            </w:r>
            <w:r>
              <w:rPr>
                <w:rFonts w:hint="eastAsia" w:ascii="宋体" w:hAnsi="宋体"/>
                <w:bCs/>
                <w:sz w:val="21"/>
                <w:szCs w:val="21"/>
                <w:highlight w:val="none"/>
                <w:lang w:eastAsia="zh-CN"/>
              </w:rPr>
              <w:t>方案</w:t>
            </w:r>
          </w:p>
        </w:tc>
        <w:tc>
          <w:tcPr>
            <w:tcW w:w="5103" w:type="dxa"/>
            <w:vAlign w:val="center"/>
          </w:tcPr>
          <w:p>
            <w:pPr>
              <w:pStyle w:val="12"/>
              <w:keepNext w:val="0"/>
              <w:keepLines w:val="0"/>
              <w:pageBreakBefore w:val="0"/>
              <w:widowControl w:val="0"/>
              <w:kinsoku/>
              <w:wordWrap/>
              <w:overflowPunct/>
              <w:topLinePunct w:val="0"/>
              <w:autoSpaceDE/>
              <w:autoSpaceDN/>
              <w:bidi w:val="0"/>
              <w:adjustRightInd/>
              <w:snapToGrid/>
              <w:spacing w:after="0" w:line="240" w:lineRule="auto"/>
              <w:ind w:firstLine="0"/>
              <w:textAlignment w:val="auto"/>
              <w:rPr>
                <w:rFonts w:hint="eastAsia" w:ascii="宋体" w:hAnsi="宋体"/>
                <w:bCs/>
                <w:sz w:val="21"/>
                <w:szCs w:val="21"/>
                <w:highlight w:val="none"/>
              </w:rPr>
            </w:pPr>
            <w:r>
              <w:rPr>
                <w:rFonts w:hint="eastAsia" w:ascii="宋体" w:hAnsi="宋体"/>
                <w:bCs/>
                <w:sz w:val="21"/>
                <w:szCs w:val="21"/>
                <w:highlight w:val="none"/>
              </w:rPr>
              <w:t>售后服务方案（包括免费服务范围、主要服务内容、解决问题方案，得0-3分；排除问题的速度、</w:t>
            </w:r>
            <w:r>
              <w:rPr>
                <w:rFonts w:hint="eastAsia" w:ascii="宋体" w:hAnsi="宋体"/>
                <w:sz w:val="21"/>
                <w:szCs w:val="21"/>
                <w:highlight w:val="none"/>
              </w:rPr>
              <w:t>质保期内</w:t>
            </w:r>
            <w:r>
              <w:rPr>
                <w:rFonts w:hint="eastAsia" w:ascii="宋体" w:hAnsi="宋体"/>
                <w:bCs/>
                <w:sz w:val="21"/>
                <w:szCs w:val="21"/>
                <w:highlight w:val="none"/>
              </w:rPr>
              <w:t>专人服务、备品备件库，得0-3分）</w:t>
            </w:r>
          </w:p>
          <w:p>
            <w:pPr>
              <w:pStyle w:val="13"/>
              <w:keepNext w:val="0"/>
              <w:keepLines w:val="0"/>
              <w:pageBreakBefore w:val="0"/>
              <w:widowControl w:val="0"/>
              <w:kinsoku/>
              <w:wordWrap/>
              <w:overflowPunct/>
              <w:topLinePunct w:val="0"/>
              <w:autoSpaceDE/>
              <w:autoSpaceDN/>
              <w:bidi w:val="0"/>
              <w:adjustRightInd/>
              <w:snapToGrid/>
              <w:spacing w:after="0" w:line="240" w:lineRule="auto"/>
              <w:ind w:left="0" w:leftChars="0"/>
              <w:jc w:val="left"/>
              <w:textAlignment w:val="auto"/>
              <w:rPr>
                <w:rFonts w:hint="eastAsia"/>
                <w:sz w:val="21"/>
                <w:szCs w:val="21"/>
                <w:highlight w:val="none"/>
              </w:rPr>
            </w:pPr>
          </w:p>
        </w:tc>
        <w:tc>
          <w:tcPr>
            <w:tcW w:w="1045" w:type="dxa"/>
            <w:vAlign w:val="center"/>
          </w:tcPr>
          <w:p>
            <w:pPr>
              <w:spacing w:line="360" w:lineRule="auto"/>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0" w:type="dxa"/>
            <w:vMerge w:val="continue"/>
            <w:vAlign w:val="center"/>
          </w:tcPr>
          <w:p>
            <w:pPr>
              <w:spacing w:line="360" w:lineRule="auto"/>
              <w:rPr>
                <w:rFonts w:hint="eastAsia" w:ascii="宋体" w:hAnsi="宋体"/>
                <w:sz w:val="21"/>
                <w:szCs w:val="21"/>
                <w:highlight w:val="none"/>
              </w:rPr>
            </w:pPr>
          </w:p>
        </w:tc>
        <w:tc>
          <w:tcPr>
            <w:tcW w:w="513" w:type="dxa"/>
            <w:vAlign w:val="center"/>
          </w:tcPr>
          <w:p>
            <w:pPr>
              <w:spacing w:line="360" w:lineRule="auto"/>
              <w:jc w:val="center"/>
              <w:rPr>
                <w:rFonts w:hint="default" w:ascii="宋体" w:hAnsi="宋体" w:eastAsia="宋体"/>
                <w:kern w:val="0"/>
                <w:sz w:val="21"/>
                <w:szCs w:val="21"/>
                <w:highlight w:val="none"/>
                <w:lang w:val="en-US" w:eastAsia="zh-CN"/>
              </w:rPr>
            </w:pPr>
            <w:r>
              <w:rPr>
                <w:rFonts w:hint="eastAsia" w:ascii="宋体" w:hAnsi="宋体"/>
                <w:kern w:val="0"/>
                <w:sz w:val="21"/>
                <w:szCs w:val="21"/>
                <w:highlight w:val="none"/>
                <w:lang w:val="en-US" w:eastAsia="zh-CN"/>
              </w:rPr>
              <w:t>10</w:t>
            </w:r>
          </w:p>
        </w:tc>
        <w:tc>
          <w:tcPr>
            <w:tcW w:w="1589" w:type="dxa"/>
            <w:vAlign w:val="center"/>
          </w:tcPr>
          <w:p>
            <w:pPr>
              <w:widowControl/>
              <w:adjustRightInd w:val="0"/>
              <w:snapToGrid w:val="0"/>
              <w:spacing w:line="288" w:lineRule="auto"/>
              <w:jc w:val="center"/>
              <w:textAlignment w:val="center"/>
              <w:rPr>
                <w:rFonts w:hint="eastAsia" w:ascii="宋体" w:hAnsi="宋体" w:eastAsia="宋体"/>
                <w:bCs/>
                <w:sz w:val="21"/>
                <w:szCs w:val="21"/>
                <w:highlight w:val="none"/>
                <w:lang w:val="en" w:eastAsia="zh-CN"/>
              </w:rPr>
            </w:pPr>
            <w:r>
              <w:rPr>
                <w:rFonts w:hint="eastAsia" w:ascii="宋体" w:hAnsi="宋体"/>
                <w:bCs/>
                <w:sz w:val="21"/>
                <w:szCs w:val="21"/>
                <w:highlight w:val="none"/>
              </w:rPr>
              <w:t>合理化建议</w:t>
            </w:r>
          </w:p>
        </w:tc>
        <w:tc>
          <w:tcPr>
            <w:tcW w:w="5103" w:type="dxa"/>
            <w:vAlign w:val="center"/>
          </w:tcPr>
          <w:p>
            <w:pPr>
              <w:widowControl/>
              <w:jc w:val="left"/>
              <w:rPr>
                <w:rFonts w:hint="eastAsia" w:ascii="宋体" w:hAnsi="宋体" w:eastAsia="宋体"/>
                <w:sz w:val="21"/>
                <w:szCs w:val="21"/>
                <w:highlight w:val="none"/>
                <w:lang w:eastAsia="zh-CN"/>
              </w:rPr>
            </w:pPr>
            <w:r>
              <w:rPr>
                <w:rFonts w:ascii="宋体" w:hAnsi="宋体"/>
                <w:bCs/>
                <w:sz w:val="21"/>
                <w:szCs w:val="21"/>
                <w:highlight w:val="none"/>
              </w:rPr>
              <w:t>根据本项目采购需求要求，提出有利于合同履约的合理化建议，经专家组认可后每条建议得</w:t>
            </w:r>
            <w:r>
              <w:rPr>
                <w:rFonts w:hint="eastAsia" w:ascii="宋体" w:hAnsi="宋体"/>
                <w:bCs/>
                <w:sz w:val="21"/>
                <w:szCs w:val="21"/>
                <w:highlight w:val="none"/>
                <w:lang w:val="en-US" w:eastAsia="zh-CN"/>
              </w:rPr>
              <w:t>1</w:t>
            </w:r>
            <w:r>
              <w:rPr>
                <w:rFonts w:ascii="宋体" w:hAnsi="宋体"/>
                <w:bCs/>
                <w:sz w:val="21"/>
                <w:szCs w:val="21"/>
                <w:highlight w:val="none"/>
              </w:rPr>
              <w:t>分，最高得</w:t>
            </w:r>
            <w:r>
              <w:rPr>
                <w:rFonts w:hint="eastAsia" w:ascii="宋体" w:hAnsi="宋体"/>
                <w:bCs/>
                <w:sz w:val="21"/>
                <w:szCs w:val="21"/>
                <w:highlight w:val="none"/>
                <w:lang w:val="en-US" w:eastAsia="zh-CN"/>
              </w:rPr>
              <w:t>2</w:t>
            </w:r>
            <w:r>
              <w:rPr>
                <w:rFonts w:ascii="宋体" w:hAnsi="宋体"/>
                <w:bCs/>
                <w:sz w:val="21"/>
                <w:szCs w:val="21"/>
                <w:highlight w:val="none"/>
              </w:rPr>
              <w:t>分。</w:t>
            </w:r>
          </w:p>
        </w:tc>
        <w:tc>
          <w:tcPr>
            <w:tcW w:w="1045" w:type="dxa"/>
            <w:vAlign w:val="center"/>
          </w:tcPr>
          <w:p>
            <w:pPr>
              <w:spacing w:line="360" w:lineRule="auto"/>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0" w:type="dxa"/>
            <w:vMerge w:val="continue"/>
            <w:vAlign w:val="center"/>
          </w:tcPr>
          <w:p>
            <w:pPr>
              <w:spacing w:line="360" w:lineRule="auto"/>
              <w:rPr>
                <w:rFonts w:hint="eastAsia" w:ascii="宋体" w:hAnsi="宋体"/>
                <w:sz w:val="21"/>
                <w:szCs w:val="21"/>
                <w:highlight w:val="none"/>
              </w:rPr>
            </w:pPr>
          </w:p>
        </w:tc>
        <w:tc>
          <w:tcPr>
            <w:tcW w:w="513" w:type="dxa"/>
            <w:vAlign w:val="center"/>
          </w:tcPr>
          <w:p>
            <w:pPr>
              <w:spacing w:line="360" w:lineRule="auto"/>
              <w:jc w:val="center"/>
              <w:rPr>
                <w:rFonts w:hint="default" w:ascii="宋体" w:hAnsi="宋体" w:eastAsia="宋体"/>
                <w:kern w:val="0"/>
                <w:sz w:val="21"/>
                <w:szCs w:val="21"/>
                <w:highlight w:val="none"/>
                <w:lang w:val="en-US" w:eastAsia="zh-CN"/>
              </w:rPr>
            </w:pPr>
            <w:r>
              <w:rPr>
                <w:rFonts w:hint="eastAsia" w:ascii="宋体" w:hAnsi="宋体"/>
                <w:kern w:val="0"/>
                <w:sz w:val="21"/>
                <w:szCs w:val="21"/>
                <w:highlight w:val="none"/>
                <w:lang w:val="en-US" w:eastAsia="zh-CN"/>
              </w:rPr>
              <w:t>11</w:t>
            </w:r>
          </w:p>
        </w:tc>
        <w:tc>
          <w:tcPr>
            <w:tcW w:w="1589" w:type="dxa"/>
            <w:vAlign w:val="center"/>
          </w:tcPr>
          <w:p>
            <w:pPr>
              <w:widowControl/>
              <w:adjustRightInd w:val="0"/>
              <w:snapToGrid w:val="0"/>
              <w:spacing w:line="288" w:lineRule="auto"/>
              <w:jc w:val="center"/>
              <w:textAlignment w:val="center"/>
              <w:rPr>
                <w:rFonts w:hint="eastAsia" w:ascii="宋体" w:hAnsi="宋体"/>
                <w:bCs/>
                <w:sz w:val="21"/>
                <w:szCs w:val="21"/>
                <w:highlight w:val="none"/>
              </w:rPr>
            </w:pPr>
            <w:r>
              <w:rPr>
                <w:rFonts w:hint="eastAsia" w:ascii="宋体" w:hAnsi="宋体"/>
                <w:bCs/>
                <w:sz w:val="21"/>
                <w:szCs w:val="21"/>
                <w:highlight w:val="none"/>
              </w:rPr>
              <w:t>供应商综合评价</w:t>
            </w:r>
          </w:p>
        </w:tc>
        <w:tc>
          <w:tcPr>
            <w:tcW w:w="5103" w:type="dxa"/>
            <w:vAlign w:val="center"/>
          </w:tcPr>
          <w:p>
            <w:pPr>
              <w:widowControl/>
              <w:adjustRightInd w:val="0"/>
              <w:snapToGrid w:val="0"/>
              <w:spacing w:line="288" w:lineRule="auto"/>
              <w:textAlignment w:val="center"/>
              <w:rPr>
                <w:rFonts w:hint="eastAsia" w:ascii="宋体" w:hAnsi="宋体"/>
                <w:bCs/>
                <w:sz w:val="21"/>
                <w:szCs w:val="21"/>
                <w:highlight w:val="none"/>
              </w:rPr>
            </w:pPr>
            <w:r>
              <w:rPr>
                <w:rFonts w:hint="eastAsia" w:ascii="宋体" w:hAnsi="宋体"/>
                <w:bCs/>
                <w:sz w:val="21"/>
                <w:szCs w:val="21"/>
                <w:highlight w:val="none"/>
              </w:rPr>
              <w:t>根据供应商具有其他与本项目采购需求相符且有利于项目实施的专业资质证书、荣誉证书、用户反馈表等情况综合打分，得 0-2分。</w:t>
            </w:r>
          </w:p>
        </w:tc>
        <w:tc>
          <w:tcPr>
            <w:tcW w:w="1045" w:type="dxa"/>
            <w:vAlign w:val="center"/>
          </w:tcPr>
          <w:p>
            <w:pPr>
              <w:spacing w:line="360" w:lineRule="auto"/>
              <w:jc w:val="center"/>
              <w:rPr>
                <w:rFonts w:hint="eastAsia" w:ascii="宋体" w:hAnsi="宋体" w:eastAsia="宋体"/>
                <w:sz w:val="21"/>
                <w:szCs w:val="21"/>
                <w:highlight w:val="none"/>
                <w:lang w:eastAsia="zh-CN"/>
              </w:rPr>
            </w:pPr>
            <w:r>
              <w:rPr>
                <w:rFonts w:hint="eastAsia" w:ascii="宋体" w:hAnsi="宋体"/>
                <w:sz w:val="21"/>
                <w:szCs w:val="21"/>
                <w:highlight w:val="none"/>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0" w:type="dxa"/>
            <w:vMerge w:val="continue"/>
            <w:tcBorders>
              <w:bottom w:val="single" w:color="auto" w:sz="4" w:space="0"/>
            </w:tcBorders>
            <w:vAlign w:val="center"/>
          </w:tcPr>
          <w:p>
            <w:pPr>
              <w:spacing w:line="360" w:lineRule="auto"/>
              <w:rPr>
                <w:rFonts w:hint="eastAsia" w:ascii="宋体" w:hAnsi="宋体"/>
                <w:sz w:val="21"/>
                <w:szCs w:val="21"/>
                <w:highlight w:val="none"/>
              </w:rPr>
            </w:pPr>
          </w:p>
        </w:tc>
        <w:tc>
          <w:tcPr>
            <w:tcW w:w="513" w:type="dxa"/>
            <w:vAlign w:val="center"/>
          </w:tcPr>
          <w:p>
            <w:pPr>
              <w:spacing w:line="360" w:lineRule="auto"/>
              <w:jc w:val="center"/>
              <w:rPr>
                <w:rFonts w:hint="default" w:ascii="宋体" w:hAnsi="宋体" w:eastAsia="宋体"/>
                <w:kern w:val="0"/>
                <w:sz w:val="21"/>
                <w:szCs w:val="21"/>
                <w:highlight w:val="none"/>
                <w:lang w:val="en-US" w:eastAsia="zh-CN"/>
              </w:rPr>
            </w:pPr>
            <w:r>
              <w:rPr>
                <w:rFonts w:hint="eastAsia" w:ascii="宋体" w:hAnsi="宋体"/>
                <w:sz w:val="21"/>
                <w:szCs w:val="21"/>
                <w:highlight w:val="none"/>
                <w:lang w:val="en-US" w:eastAsia="zh-CN"/>
              </w:rPr>
              <w:t>12</w:t>
            </w:r>
          </w:p>
        </w:tc>
        <w:tc>
          <w:tcPr>
            <w:tcW w:w="1589" w:type="dxa"/>
            <w:vAlign w:val="center"/>
          </w:tcPr>
          <w:p>
            <w:pPr>
              <w:spacing w:line="360" w:lineRule="auto"/>
              <w:jc w:val="center"/>
              <w:rPr>
                <w:rFonts w:hint="eastAsia" w:ascii="宋体" w:hAnsi="宋体"/>
                <w:bCs/>
                <w:sz w:val="21"/>
                <w:szCs w:val="21"/>
                <w:highlight w:val="none"/>
              </w:rPr>
            </w:pPr>
            <w:r>
              <w:rPr>
                <w:rFonts w:hint="eastAsia" w:ascii="宋体" w:hAnsi="宋体"/>
                <w:sz w:val="21"/>
                <w:szCs w:val="21"/>
                <w:highlight w:val="none"/>
              </w:rPr>
              <w:t>同类项目业绩</w:t>
            </w:r>
          </w:p>
        </w:tc>
        <w:tc>
          <w:tcPr>
            <w:tcW w:w="5103" w:type="dxa"/>
            <w:vAlign w:val="center"/>
          </w:tcPr>
          <w:p>
            <w:pPr>
              <w:spacing w:line="360" w:lineRule="auto"/>
              <w:rPr>
                <w:rFonts w:hint="eastAsia" w:ascii="宋体" w:hAnsi="宋体"/>
                <w:bCs/>
                <w:sz w:val="21"/>
                <w:szCs w:val="21"/>
                <w:highlight w:val="none"/>
              </w:rPr>
            </w:pPr>
            <w:r>
              <w:rPr>
                <w:rFonts w:hint="eastAsia" w:cs="Times New Roman"/>
                <w:kern w:val="0"/>
                <w:sz w:val="21"/>
                <w:szCs w:val="21"/>
                <w:highlight w:val="none"/>
                <w:lang w:bidi="ar"/>
              </w:rPr>
              <w:t>追溯投标截止时间前三年（以合同签订时间为准）的同类项目，同时提供合同和验收报告复印件并加盖公章，每个得1分，最高得3分</w:t>
            </w:r>
            <w:r>
              <w:rPr>
                <w:rFonts w:cs="Times New Roman"/>
                <w:sz w:val="21"/>
                <w:szCs w:val="21"/>
                <w:highlight w:val="none"/>
              </w:rPr>
              <w:t>，不满足不得分</w:t>
            </w:r>
            <w:r>
              <w:rPr>
                <w:rFonts w:hint="eastAsia" w:cs="Times New Roman"/>
                <w:kern w:val="0"/>
                <w:sz w:val="21"/>
                <w:szCs w:val="21"/>
                <w:highlight w:val="none"/>
                <w:lang w:bidi="ar"/>
              </w:rPr>
              <w:t>。（注：根据浙财采监〔2022〕8号文规定，对省级以上主管部门认定的首台套产品，自纳入《省推广应用指导目录》起三年内参加政府采购活动，视同已具备相应销售业绩，业绩分为满分。投标时提供相关证明材料）</w:t>
            </w:r>
          </w:p>
        </w:tc>
        <w:tc>
          <w:tcPr>
            <w:tcW w:w="1045" w:type="dxa"/>
            <w:vAlign w:val="center"/>
          </w:tcPr>
          <w:p>
            <w:pPr>
              <w:spacing w:line="360" w:lineRule="auto"/>
              <w:jc w:val="center"/>
              <w:rPr>
                <w:rFonts w:hint="eastAsia" w:ascii="宋体" w:hAnsi="宋体"/>
                <w:sz w:val="21"/>
                <w:szCs w:val="21"/>
                <w:highlight w:val="none"/>
              </w:rPr>
            </w:pPr>
            <w:r>
              <w:rPr>
                <w:rFonts w:hint="eastAsia" w:ascii="宋体" w:hAnsi="宋体"/>
                <w:sz w:val="21"/>
                <w:szCs w:val="21"/>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0" w:type="dxa"/>
            <w:vAlign w:val="center"/>
          </w:tcPr>
          <w:p>
            <w:pPr>
              <w:spacing w:line="360" w:lineRule="auto"/>
              <w:rPr>
                <w:rFonts w:hint="eastAsia" w:ascii="宋体" w:hAnsi="宋体" w:eastAsia="宋体"/>
                <w:sz w:val="21"/>
                <w:szCs w:val="21"/>
                <w:highlight w:val="none"/>
                <w:lang w:eastAsia="zh-CN"/>
              </w:rPr>
            </w:pPr>
            <w:r>
              <w:rPr>
                <w:rFonts w:hint="eastAsia" w:ascii="宋体" w:hAnsi="宋体"/>
                <w:kern w:val="0"/>
                <w:sz w:val="21"/>
                <w:szCs w:val="21"/>
                <w:highlight w:val="none"/>
                <w:lang w:eastAsia="zh-CN" w:bidi="ar"/>
              </w:rPr>
              <w:t>商务分</w:t>
            </w:r>
          </w:p>
        </w:tc>
        <w:tc>
          <w:tcPr>
            <w:tcW w:w="513" w:type="dxa"/>
            <w:vAlign w:val="center"/>
          </w:tcPr>
          <w:p>
            <w:pPr>
              <w:spacing w:line="360" w:lineRule="auto"/>
              <w:jc w:val="center"/>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13</w:t>
            </w:r>
          </w:p>
        </w:tc>
        <w:tc>
          <w:tcPr>
            <w:tcW w:w="1589" w:type="dxa"/>
            <w:vAlign w:val="center"/>
          </w:tcPr>
          <w:p>
            <w:pPr>
              <w:spacing w:line="400" w:lineRule="exact"/>
              <w:jc w:val="center"/>
              <w:rPr>
                <w:rFonts w:hint="eastAsia" w:ascii="宋体" w:hAnsi="宋体"/>
                <w:sz w:val="21"/>
                <w:szCs w:val="21"/>
                <w:highlight w:val="none"/>
              </w:rPr>
            </w:pPr>
            <w:r>
              <w:rPr>
                <w:rFonts w:hint="eastAsia" w:ascii="宋体" w:hAnsi="宋体"/>
                <w:kern w:val="0"/>
                <w:sz w:val="21"/>
                <w:szCs w:val="21"/>
                <w:highlight w:val="none"/>
              </w:rPr>
              <w:t>相关认证证书</w:t>
            </w:r>
          </w:p>
        </w:tc>
        <w:tc>
          <w:tcPr>
            <w:tcW w:w="5103" w:type="dxa"/>
          </w:tcPr>
          <w:p>
            <w:pPr>
              <w:widowControl/>
              <w:jc w:val="left"/>
              <w:rPr>
                <w:rFonts w:hint="eastAsia" w:ascii="宋体" w:hAnsi="宋体"/>
                <w:sz w:val="21"/>
                <w:szCs w:val="21"/>
                <w:highlight w:val="none"/>
              </w:rPr>
            </w:pPr>
            <w:r>
              <w:rPr>
                <w:rFonts w:hint="eastAsia" w:ascii="宋体" w:hAnsi="宋体"/>
                <w:kern w:val="0"/>
                <w:sz w:val="21"/>
                <w:szCs w:val="21"/>
                <w:highlight w:val="none"/>
                <w:shd w:val="clear" w:color="auto" w:fill="FFFFFF"/>
                <w:lang w:bidi="ar"/>
              </w:rPr>
              <w:t>供应商具有有效期内的IS0系列质量管理体系认证证书、ISO系列信息技术服务管理体系认证证书和ISO系列信息安全管理体系认证证书，每项得1分，最高3分。（投标文件中须提供有效期内的证书复印件和</w:t>
            </w:r>
            <w:r>
              <w:rPr>
                <w:highlight w:val="none"/>
              </w:rPr>
              <w:fldChar w:fldCharType="begin"/>
            </w:r>
            <w:r>
              <w:rPr>
                <w:highlight w:val="none"/>
              </w:rPr>
              <w:instrText xml:space="preserve"> HYPERLINK "http://www.cnca.gov.cn" </w:instrText>
            </w:r>
            <w:r>
              <w:rPr>
                <w:highlight w:val="none"/>
              </w:rPr>
              <w:fldChar w:fldCharType="separate"/>
            </w:r>
            <w:r>
              <w:rPr>
                <w:rStyle w:val="35"/>
                <w:rFonts w:ascii="宋体" w:hAnsi="宋体" w:cs="宋体"/>
                <w:kern w:val="0"/>
                <w:sz w:val="21"/>
                <w:szCs w:val="21"/>
                <w:highlight w:val="none"/>
                <w:shd w:val="clear" w:color="auto" w:fill="FFFFFF"/>
                <w:lang w:bidi="ar"/>
              </w:rPr>
              <w:t>www.cnca.gov.cn</w:t>
            </w:r>
            <w:r>
              <w:rPr>
                <w:rStyle w:val="35"/>
                <w:rFonts w:ascii="宋体" w:hAnsi="宋体" w:cs="宋体"/>
                <w:kern w:val="0"/>
                <w:sz w:val="21"/>
                <w:szCs w:val="21"/>
                <w:highlight w:val="none"/>
                <w:shd w:val="clear" w:color="auto" w:fill="FFFFFF"/>
                <w:lang w:bidi="ar"/>
              </w:rPr>
              <w:fldChar w:fldCharType="end"/>
            </w:r>
            <w:r>
              <w:rPr>
                <w:rFonts w:hint="eastAsia" w:ascii="宋体" w:hAnsi="宋体"/>
                <w:kern w:val="0"/>
                <w:sz w:val="21"/>
                <w:szCs w:val="21"/>
                <w:highlight w:val="none"/>
                <w:shd w:val="clear" w:color="auto" w:fill="FFFFFF"/>
                <w:lang w:bidi="ar"/>
              </w:rPr>
              <w:t>网站查询截图，缺一不可，否则不得分）</w:t>
            </w:r>
          </w:p>
        </w:tc>
        <w:tc>
          <w:tcPr>
            <w:tcW w:w="1045" w:type="dxa"/>
            <w:vAlign w:val="center"/>
          </w:tcPr>
          <w:p>
            <w:pPr>
              <w:spacing w:line="400" w:lineRule="exact"/>
              <w:jc w:val="center"/>
              <w:rPr>
                <w:rFonts w:hint="eastAsia" w:ascii="宋体" w:hAnsi="宋体"/>
                <w:sz w:val="21"/>
                <w:szCs w:val="21"/>
                <w:highlight w:val="none"/>
              </w:rPr>
            </w:pPr>
            <w:r>
              <w:rPr>
                <w:rFonts w:hint="eastAsia" w:ascii="宋体" w:hAnsi="宋体"/>
                <w:kern w:val="0"/>
                <w:sz w:val="21"/>
                <w:szCs w:val="21"/>
                <w:highlight w:val="none"/>
              </w:rPr>
              <w:t>3</w:t>
            </w:r>
          </w:p>
        </w:tc>
      </w:tr>
      <w:bookmarkEnd w:id="85"/>
    </w:tbl>
    <w:p>
      <w:pPr>
        <w:rPr>
          <w:highlight w:val="none"/>
        </w:rPr>
      </w:pPr>
    </w:p>
    <w:p>
      <w:pPr>
        <w:rPr>
          <w:highlight w:val="none"/>
        </w:rPr>
      </w:pPr>
      <w:r>
        <w:rPr>
          <w:highlight w:val="none"/>
        </w:rPr>
        <w:br w:type="page"/>
      </w:r>
    </w:p>
    <w:p>
      <w:pPr>
        <w:rPr>
          <w:highlight w:val="none"/>
        </w:rPr>
      </w:pPr>
    </w:p>
    <w:p>
      <w:pPr>
        <w:pStyle w:val="2"/>
        <w:numPr>
          <w:ilvl w:val="0"/>
          <w:numId w:val="3"/>
        </w:numPr>
        <w:snapToGrid w:val="0"/>
        <w:spacing w:line="300" w:lineRule="auto"/>
        <w:rPr>
          <w:rStyle w:val="35"/>
          <w:rFonts w:hint="eastAsia" w:ascii="宋体" w:hAnsi="宋体"/>
          <w:color w:val="auto"/>
          <w:highlight w:val="none"/>
          <w:u w:val="none"/>
        </w:rPr>
      </w:pPr>
      <w:bookmarkStart w:id="86" w:name="_Toc24160"/>
      <w:bookmarkStart w:id="87" w:name="_Hlk78982992"/>
      <w:r>
        <w:rPr>
          <w:rStyle w:val="35"/>
          <w:rFonts w:hint="eastAsia" w:ascii="宋体" w:hAnsi="宋体"/>
          <w:color w:val="auto"/>
          <w:highlight w:val="none"/>
          <w:u w:val="none"/>
        </w:rPr>
        <w:t>嘉兴市政府采购合同（指引）</w:t>
      </w:r>
      <w:bookmarkEnd w:id="86"/>
    </w:p>
    <w:bookmarkEnd w:id="0"/>
    <w:bookmarkEnd w:id="1"/>
    <w:bookmarkEnd w:id="3"/>
    <w:bookmarkEnd w:id="31"/>
    <w:bookmarkEnd w:id="32"/>
    <w:bookmarkEnd w:id="33"/>
    <w:bookmarkEnd w:id="34"/>
    <w:bookmarkEnd w:id="87"/>
    <w:p>
      <w:pPr>
        <w:spacing w:line="360" w:lineRule="auto"/>
        <w:jc w:val="center"/>
        <w:rPr>
          <w:rFonts w:hint="eastAsia" w:ascii="宋体" w:hAnsi="宋体"/>
          <w:highlight w:val="none"/>
        </w:rPr>
      </w:pPr>
      <w:r>
        <w:rPr>
          <w:rFonts w:hint="eastAsia" w:ascii="宋体" w:hAnsi="宋体"/>
          <w:b/>
          <w:bCs/>
          <w:highlight w:val="none"/>
        </w:rPr>
        <w:t>一、通用必备条款部分</w:t>
      </w:r>
    </w:p>
    <w:p>
      <w:pPr>
        <w:spacing w:line="360" w:lineRule="auto"/>
        <w:rPr>
          <w:rFonts w:hint="eastAsia" w:ascii="宋体" w:hAnsi="宋体" w:eastAsia="宋体"/>
          <w:highlight w:val="none"/>
          <w:lang w:eastAsia="zh-CN"/>
        </w:rPr>
      </w:pPr>
      <w:r>
        <w:rPr>
          <w:rFonts w:hint="eastAsia" w:ascii="宋体" w:hAnsi="宋体"/>
          <w:highlight w:val="none"/>
        </w:rPr>
        <w:t>合同（项目）编号：</w:t>
      </w:r>
      <w:r>
        <w:rPr>
          <w:rFonts w:hint="eastAsia" w:ascii="宋体" w:hAnsi="宋体"/>
          <w:highlight w:val="none"/>
          <w:lang w:eastAsia="zh-CN"/>
        </w:rPr>
        <w:t>嘉政采招（2026）第72号</w:t>
      </w:r>
    </w:p>
    <w:p>
      <w:pPr>
        <w:spacing w:line="360" w:lineRule="auto"/>
        <w:rPr>
          <w:rFonts w:hint="eastAsia" w:ascii="宋体" w:hAnsi="宋体" w:eastAsia="宋体"/>
          <w:highlight w:val="none"/>
          <w:lang w:eastAsia="zh-CN"/>
        </w:rPr>
      </w:pPr>
      <w:r>
        <w:rPr>
          <w:rFonts w:hint="eastAsia" w:ascii="宋体" w:hAnsi="宋体"/>
          <w:highlight w:val="none"/>
        </w:rPr>
        <w:t>政府采购计划（预算）确认书号：</w:t>
      </w:r>
      <w:r>
        <w:rPr>
          <w:rFonts w:hint="eastAsia" w:ascii="宋体" w:hAnsi="宋体"/>
          <w:highlight w:val="none"/>
          <w:lang w:eastAsia="zh-CN"/>
        </w:rPr>
        <w:t>临[2026]1859号</w:t>
      </w:r>
    </w:p>
    <w:p>
      <w:pPr>
        <w:spacing w:line="360" w:lineRule="auto"/>
        <w:rPr>
          <w:rFonts w:hint="eastAsia" w:ascii="宋体" w:hAnsi="宋体" w:eastAsia="宋体"/>
          <w:highlight w:val="none"/>
          <w:lang w:eastAsia="zh-CN"/>
        </w:rPr>
      </w:pPr>
      <w:r>
        <w:rPr>
          <w:rFonts w:hint="eastAsia" w:ascii="宋体" w:hAnsi="宋体"/>
          <w:highlight w:val="none"/>
        </w:rPr>
        <w:t>采购人（以下称甲方）：</w:t>
      </w:r>
      <w:r>
        <w:rPr>
          <w:rFonts w:hint="eastAsia" w:ascii="宋体" w:hAnsi="宋体"/>
          <w:highlight w:val="none"/>
          <w:lang w:eastAsia="zh-CN"/>
        </w:rPr>
        <w:t>嘉兴市南湖区教育体育局</w:t>
      </w:r>
    </w:p>
    <w:p>
      <w:pPr>
        <w:spacing w:line="360" w:lineRule="auto"/>
        <w:rPr>
          <w:rFonts w:hint="eastAsia" w:ascii="宋体" w:hAnsi="宋体"/>
          <w:highlight w:val="none"/>
        </w:rPr>
      </w:pPr>
      <w:r>
        <w:rPr>
          <w:rFonts w:hint="eastAsia" w:ascii="宋体" w:hAnsi="宋体"/>
          <w:highlight w:val="none"/>
        </w:rPr>
        <w:t>供应商（以下称乙方）：</w:t>
      </w:r>
    </w:p>
    <w:p>
      <w:pPr>
        <w:spacing w:line="360" w:lineRule="auto"/>
        <w:rPr>
          <w:rFonts w:hint="eastAsia" w:ascii="宋体" w:hAnsi="宋体"/>
          <w:highlight w:val="none"/>
        </w:rPr>
      </w:pPr>
      <w:r>
        <w:rPr>
          <w:rFonts w:hint="eastAsia" w:ascii="宋体" w:hAnsi="宋体"/>
          <w:highlight w:val="none"/>
        </w:rPr>
        <w:t>采购代理机构：</w:t>
      </w:r>
    </w:p>
    <w:p>
      <w:pPr>
        <w:spacing w:line="360" w:lineRule="auto"/>
        <w:rPr>
          <w:rFonts w:hint="eastAsia" w:ascii="宋体" w:hAnsi="宋体"/>
          <w:highlight w:val="none"/>
        </w:rPr>
      </w:pPr>
      <w:r>
        <w:rPr>
          <w:rFonts w:hint="eastAsia" w:ascii="宋体" w:hAnsi="宋体"/>
          <w:highlight w:val="none"/>
        </w:rPr>
        <w:t>采购方式：</w:t>
      </w:r>
    </w:p>
    <w:p>
      <w:pPr>
        <w:spacing w:line="360" w:lineRule="auto"/>
        <w:ind w:firstLine="480" w:firstLineChars="200"/>
        <w:rPr>
          <w:rFonts w:hint="eastAsia" w:ascii="宋体" w:hAnsi="宋体"/>
          <w:highlight w:val="none"/>
        </w:rPr>
      </w:pPr>
      <w:r>
        <w:rPr>
          <w:rFonts w:hint="eastAsia" w:ascii="宋体" w:hAnsi="宋体"/>
          <w:highlight w:val="none"/>
        </w:rPr>
        <w:t>根据《中华人民共和国政府采购法》、《中华人民共和国民法典》等法律法规的规定，甲乙双方按照</w:t>
      </w:r>
      <w:r>
        <w:rPr>
          <w:rFonts w:hint="eastAsia" w:ascii="宋体" w:hAnsi="宋体"/>
          <w:highlight w:val="none"/>
          <w:u w:val="single"/>
        </w:rPr>
        <w:t xml:space="preserve">                    </w:t>
      </w:r>
      <w:r>
        <w:rPr>
          <w:rFonts w:hint="eastAsia" w:ascii="宋体" w:hAnsi="宋体"/>
          <w:highlight w:val="none"/>
        </w:rPr>
        <w:t>项目采购结果签订本合同。</w:t>
      </w:r>
    </w:p>
    <w:p>
      <w:pPr>
        <w:spacing w:line="360" w:lineRule="auto"/>
        <w:rPr>
          <w:rFonts w:hint="eastAsia" w:ascii="宋体" w:hAnsi="宋体"/>
          <w:b/>
          <w:bCs/>
          <w:highlight w:val="none"/>
        </w:rPr>
      </w:pPr>
      <w:r>
        <w:rPr>
          <w:rFonts w:hint="eastAsia" w:ascii="宋体" w:hAnsi="宋体"/>
          <w:b/>
          <w:bCs/>
          <w:highlight w:val="none"/>
        </w:rPr>
        <w:t>第一条 合同组成</w:t>
      </w:r>
    </w:p>
    <w:p>
      <w:pPr>
        <w:spacing w:line="360" w:lineRule="auto"/>
        <w:ind w:firstLine="480" w:firstLineChars="200"/>
        <w:rPr>
          <w:rFonts w:hint="eastAsia" w:ascii="宋体" w:hAnsi="宋体"/>
          <w:highlight w:val="none"/>
        </w:rPr>
      </w:pPr>
      <w:r>
        <w:rPr>
          <w:rFonts w:hint="eastAsia" w:ascii="宋体" w:hAnsi="宋体"/>
          <w:highlight w:val="none"/>
        </w:rPr>
        <w:t>本次政府采购活动相关文件为本合同组成部分，这些文件包括但不限于：</w:t>
      </w:r>
    </w:p>
    <w:p>
      <w:pPr>
        <w:spacing w:line="360" w:lineRule="auto"/>
        <w:ind w:firstLine="480" w:firstLineChars="200"/>
        <w:rPr>
          <w:rFonts w:hint="eastAsia" w:ascii="宋体" w:hAnsi="宋体"/>
          <w:highlight w:val="none"/>
        </w:rPr>
      </w:pPr>
      <w:r>
        <w:rPr>
          <w:rFonts w:hint="eastAsia" w:ascii="宋体" w:hAnsi="宋体"/>
          <w:highlight w:val="none"/>
        </w:rPr>
        <w:t>（1）本合同文本；</w:t>
      </w:r>
    </w:p>
    <w:p>
      <w:pPr>
        <w:spacing w:line="360" w:lineRule="auto"/>
        <w:ind w:firstLine="480" w:firstLineChars="200"/>
        <w:rPr>
          <w:rFonts w:hint="eastAsia" w:ascii="宋体" w:hAnsi="宋体"/>
          <w:highlight w:val="none"/>
        </w:rPr>
      </w:pPr>
      <w:r>
        <w:rPr>
          <w:rFonts w:hint="eastAsia" w:ascii="宋体" w:hAnsi="宋体"/>
          <w:highlight w:val="none"/>
        </w:rPr>
        <w:t>（2）采购文件与采购响应文件；</w:t>
      </w:r>
    </w:p>
    <w:p>
      <w:pPr>
        <w:spacing w:line="360" w:lineRule="auto"/>
        <w:ind w:firstLine="480" w:firstLineChars="200"/>
        <w:rPr>
          <w:rFonts w:hint="eastAsia" w:ascii="宋体" w:hAnsi="宋体"/>
          <w:highlight w:val="none"/>
        </w:rPr>
      </w:pPr>
      <w:r>
        <w:rPr>
          <w:rFonts w:hint="eastAsia" w:ascii="宋体" w:hAnsi="宋体"/>
          <w:highlight w:val="none"/>
        </w:rPr>
        <w:t>（3）中标或成交通知书；</w:t>
      </w:r>
    </w:p>
    <w:p>
      <w:pPr>
        <w:spacing w:line="360" w:lineRule="auto"/>
        <w:ind w:firstLine="480" w:firstLineChars="200"/>
        <w:rPr>
          <w:rFonts w:hint="eastAsia" w:ascii="宋体" w:hAnsi="宋体"/>
          <w:highlight w:val="none"/>
        </w:rPr>
      </w:pPr>
      <w:r>
        <w:rPr>
          <w:rFonts w:hint="eastAsia" w:ascii="宋体" w:hAnsi="宋体"/>
          <w:highlight w:val="none"/>
        </w:rPr>
        <w:t>组成本合同的所有文件必须为书面形式。政府采购合同备案时，须提供以上（1）、（3）两项，如由社会中介机构代理，须提供代理协议，合同如有变更的，须提供变更协议。</w:t>
      </w:r>
    </w:p>
    <w:p>
      <w:pPr>
        <w:spacing w:line="360" w:lineRule="auto"/>
        <w:rPr>
          <w:rFonts w:hint="eastAsia" w:ascii="宋体" w:hAnsi="宋体"/>
          <w:b/>
          <w:bCs/>
          <w:highlight w:val="none"/>
        </w:rPr>
      </w:pPr>
      <w:r>
        <w:rPr>
          <w:rFonts w:hint="eastAsia" w:ascii="宋体" w:hAnsi="宋体"/>
          <w:b/>
          <w:bCs/>
          <w:highlight w:val="none"/>
        </w:rPr>
        <w:t>第二条 合同标的</w:t>
      </w:r>
    </w:p>
    <w:p>
      <w:pPr>
        <w:spacing w:line="360" w:lineRule="auto"/>
        <w:rPr>
          <w:rFonts w:hint="eastAsia" w:ascii="宋体" w:hAnsi="宋体"/>
          <w:highlight w:val="none"/>
        </w:rPr>
      </w:pPr>
      <w:r>
        <w:rPr>
          <w:rFonts w:hint="eastAsia" w:ascii="宋体" w:hAnsi="宋体"/>
          <w:highlight w:val="none"/>
        </w:rPr>
        <w:t>本次采购</w:t>
      </w:r>
      <w:r>
        <w:rPr>
          <w:rFonts w:hint="eastAsia" w:ascii="宋体" w:hAnsi="宋体"/>
          <w:highlight w:val="none"/>
          <w:u w:val="single"/>
        </w:rPr>
        <w:t xml:space="preserve">                                                       </w:t>
      </w:r>
      <w:r>
        <w:rPr>
          <w:rFonts w:hint="eastAsia" w:ascii="宋体" w:hAnsi="宋体"/>
          <w:highlight w:val="none"/>
        </w:rPr>
        <w:t>。</w:t>
      </w:r>
    </w:p>
    <w:tbl>
      <w:tblPr>
        <w:tblStyle w:val="29"/>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185"/>
        <w:gridCol w:w="1515"/>
        <w:gridCol w:w="1125"/>
        <w:gridCol w:w="977"/>
        <w:gridCol w:w="652"/>
        <w:gridCol w:w="1467"/>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pPr>
              <w:spacing w:before="156" w:after="156" w:line="360" w:lineRule="auto"/>
              <w:jc w:val="center"/>
              <w:rPr>
                <w:rFonts w:hint="eastAsia" w:ascii="宋体" w:hAnsi="宋体"/>
                <w:b/>
                <w:color w:val="000000"/>
                <w:sz w:val="18"/>
                <w:szCs w:val="18"/>
                <w:highlight w:val="none"/>
              </w:rPr>
            </w:pPr>
            <w:r>
              <w:rPr>
                <w:rFonts w:hint="eastAsia" w:ascii="宋体" w:hAnsi="宋体"/>
                <w:b/>
                <w:color w:val="000000"/>
                <w:sz w:val="18"/>
                <w:szCs w:val="18"/>
                <w:highlight w:val="none"/>
              </w:rPr>
              <w:t>序号</w:t>
            </w:r>
          </w:p>
        </w:tc>
        <w:tc>
          <w:tcPr>
            <w:tcW w:w="1185" w:type="dxa"/>
            <w:tcBorders>
              <w:top w:val="single" w:color="auto" w:sz="4" w:space="0"/>
              <w:left w:val="single" w:color="auto" w:sz="4" w:space="0"/>
              <w:bottom w:val="single" w:color="auto" w:sz="4" w:space="0"/>
              <w:right w:val="single" w:color="auto" w:sz="4" w:space="0"/>
            </w:tcBorders>
            <w:vAlign w:val="center"/>
          </w:tcPr>
          <w:p>
            <w:pPr>
              <w:spacing w:before="156" w:after="156" w:line="360" w:lineRule="auto"/>
              <w:jc w:val="center"/>
              <w:rPr>
                <w:rFonts w:hint="eastAsia" w:ascii="宋体" w:hAnsi="宋体"/>
                <w:b/>
                <w:color w:val="000000"/>
                <w:sz w:val="18"/>
                <w:szCs w:val="18"/>
                <w:highlight w:val="none"/>
              </w:rPr>
            </w:pPr>
            <w:r>
              <w:rPr>
                <w:rFonts w:hint="eastAsia" w:ascii="宋体" w:hAnsi="宋体"/>
                <w:b/>
                <w:color w:val="000000"/>
                <w:sz w:val="18"/>
                <w:szCs w:val="18"/>
                <w:highlight w:val="none"/>
              </w:rPr>
              <w:t>设备名称</w:t>
            </w:r>
          </w:p>
        </w:tc>
        <w:tc>
          <w:tcPr>
            <w:tcW w:w="1515" w:type="dxa"/>
            <w:tcBorders>
              <w:top w:val="single" w:color="auto" w:sz="4" w:space="0"/>
              <w:left w:val="single" w:color="auto" w:sz="4" w:space="0"/>
              <w:bottom w:val="single" w:color="auto" w:sz="4" w:space="0"/>
              <w:right w:val="single" w:color="auto" w:sz="4" w:space="0"/>
            </w:tcBorders>
            <w:vAlign w:val="center"/>
          </w:tcPr>
          <w:p>
            <w:pPr>
              <w:spacing w:before="156" w:after="156" w:line="360" w:lineRule="auto"/>
              <w:jc w:val="center"/>
              <w:rPr>
                <w:rFonts w:hint="eastAsia" w:ascii="宋体" w:hAnsi="宋体"/>
                <w:b/>
                <w:color w:val="000000"/>
                <w:sz w:val="18"/>
                <w:szCs w:val="18"/>
                <w:highlight w:val="none"/>
              </w:rPr>
            </w:pPr>
            <w:r>
              <w:rPr>
                <w:rFonts w:hint="eastAsia" w:ascii="宋体" w:hAnsi="宋体"/>
                <w:b/>
                <w:color w:val="000000"/>
                <w:sz w:val="18"/>
                <w:szCs w:val="18"/>
                <w:highlight w:val="none"/>
              </w:rPr>
              <w:t>品牌、型号</w:t>
            </w:r>
          </w:p>
        </w:tc>
        <w:tc>
          <w:tcPr>
            <w:tcW w:w="1125" w:type="dxa"/>
            <w:tcBorders>
              <w:top w:val="single" w:color="auto" w:sz="4" w:space="0"/>
              <w:left w:val="single" w:color="auto" w:sz="4" w:space="0"/>
              <w:bottom w:val="single" w:color="auto" w:sz="4" w:space="0"/>
              <w:right w:val="single" w:color="auto" w:sz="4" w:space="0"/>
            </w:tcBorders>
            <w:vAlign w:val="center"/>
          </w:tcPr>
          <w:p>
            <w:pPr>
              <w:spacing w:before="156" w:after="156" w:line="360" w:lineRule="auto"/>
              <w:jc w:val="center"/>
              <w:rPr>
                <w:rFonts w:hint="eastAsia" w:ascii="宋体" w:hAnsi="宋体"/>
                <w:b/>
                <w:color w:val="000000"/>
                <w:sz w:val="18"/>
                <w:szCs w:val="18"/>
                <w:highlight w:val="none"/>
              </w:rPr>
            </w:pPr>
            <w:r>
              <w:rPr>
                <w:rFonts w:hint="eastAsia" w:ascii="宋体" w:hAnsi="宋体"/>
                <w:b/>
                <w:color w:val="000000"/>
                <w:sz w:val="18"/>
                <w:szCs w:val="18"/>
                <w:highlight w:val="none"/>
              </w:rPr>
              <w:t>规格</w:t>
            </w:r>
          </w:p>
        </w:tc>
        <w:tc>
          <w:tcPr>
            <w:tcW w:w="977" w:type="dxa"/>
            <w:tcBorders>
              <w:top w:val="single" w:color="auto" w:sz="4" w:space="0"/>
              <w:left w:val="single" w:color="auto" w:sz="4" w:space="0"/>
              <w:bottom w:val="single" w:color="auto" w:sz="4" w:space="0"/>
              <w:right w:val="single" w:color="auto" w:sz="4" w:space="0"/>
            </w:tcBorders>
            <w:vAlign w:val="center"/>
          </w:tcPr>
          <w:p>
            <w:pPr>
              <w:spacing w:before="156" w:after="156" w:line="360" w:lineRule="auto"/>
              <w:jc w:val="center"/>
              <w:rPr>
                <w:rFonts w:hint="eastAsia" w:ascii="宋体" w:hAnsi="宋体"/>
                <w:b/>
                <w:color w:val="000000"/>
                <w:sz w:val="18"/>
                <w:szCs w:val="18"/>
                <w:highlight w:val="none"/>
              </w:rPr>
            </w:pPr>
            <w:r>
              <w:rPr>
                <w:rFonts w:hint="eastAsia" w:ascii="宋体" w:hAnsi="宋体"/>
                <w:b/>
                <w:color w:val="000000"/>
                <w:sz w:val="18"/>
                <w:szCs w:val="18"/>
                <w:highlight w:val="none"/>
              </w:rPr>
              <w:t>单位</w:t>
            </w:r>
          </w:p>
        </w:tc>
        <w:tc>
          <w:tcPr>
            <w:tcW w:w="652" w:type="dxa"/>
            <w:tcBorders>
              <w:top w:val="single" w:color="auto" w:sz="4" w:space="0"/>
              <w:left w:val="single" w:color="auto" w:sz="4" w:space="0"/>
              <w:bottom w:val="single" w:color="auto" w:sz="4" w:space="0"/>
              <w:right w:val="single" w:color="auto" w:sz="4" w:space="0"/>
            </w:tcBorders>
            <w:vAlign w:val="center"/>
          </w:tcPr>
          <w:p>
            <w:pPr>
              <w:spacing w:before="156" w:after="156" w:line="360" w:lineRule="auto"/>
              <w:jc w:val="center"/>
              <w:rPr>
                <w:rFonts w:hint="eastAsia" w:ascii="宋体" w:hAnsi="宋体"/>
                <w:b/>
                <w:color w:val="000000"/>
                <w:sz w:val="18"/>
                <w:szCs w:val="18"/>
                <w:highlight w:val="none"/>
              </w:rPr>
            </w:pPr>
            <w:r>
              <w:rPr>
                <w:rFonts w:hint="eastAsia" w:ascii="宋体" w:hAnsi="宋体"/>
                <w:b/>
                <w:color w:val="000000"/>
                <w:sz w:val="18"/>
                <w:szCs w:val="18"/>
                <w:highlight w:val="none"/>
              </w:rPr>
              <w:t>数量</w:t>
            </w:r>
          </w:p>
        </w:tc>
        <w:tc>
          <w:tcPr>
            <w:tcW w:w="1467" w:type="dxa"/>
            <w:tcBorders>
              <w:top w:val="single" w:color="auto" w:sz="4" w:space="0"/>
              <w:left w:val="single" w:color="auto" w:sz="4" w:space="0"/>
              <w:bottom w:val="single" w:color="auto" w:sz="4" w:space="0"/>
              <w:right w:val="single" w:color="auto" w:sz="4" w:space="0"/>
            </w:tcBorders>
            <w:vAlign w:val="center"/>
          </w:tcPr>
          <w:p>
            <w:pPr>
              <w:spacing w:before="156" w:after="156" w:line="360" w:lineRule="auto"/>
              <w:jc w:val="center"/>
              <w:rPr>
                <w:rFonts w:hint="eastAsia" w:ascii="宋体" w:hAnsi="宋体"/>
                <w:b/>
                <w:color w:val="000000"/>
                <w:sz w:val="18"/>
                <w:szCs w:val="18"/>
                <w:highlight w:val="none"/>
              </w:rPr>
            </w:pPr>
            <w:r>
              <w:rPr>
                <w:rFonts w:hint="eastAsia" w:ascii="宋体" w:hAnsi="宋体"/>
                <w:b/>
                <w:color w:val="000000"/>
                <w:sz w:val="18"/>
                <w:szCs w:val="18"/>
                <w:highlight w:val="none"/>
              </w:rPr>
              <w:t>单价</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56" w:after="156" w:line="360" w:lineRule="auto"/>
              <w:jc w:val="center"/>
              <w:rPr>
                <w:rFonts w:hint="eastAsia" w:ascii="宋体" w:hAnsi="宋体"/>
                <w:b/>
                <w:color w:val="000000"/>
                <w:sz w:val="18"/>
                <w:szCs w:val="18"/>
                <w:highlight w:val="none"/>
              </w:rPr>
            </w:pPr>
            <w:r>
              <w:rPr>
                <w:rFonts w:hint="eastAsia" w:ascii="宋体" w:hAnsi="宋体"/>
                <w:b/>
                <w:color w:val="000000"/>
                <w:sz w:val="18"/>
                <w:szCs w:val="18"/>
                <w:highlight w:val="none"/>
              </w:rPr>
              <w:t>采购金额(元)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46" w:type="dxa"/>
            <w:tcBorders>
              <w:top w:val="single" w:color="auto" w:sz="4" w:space="0"/>
              <w:left w:val="single" w:color="auto" w:sz="4" w:space="0"/>
              <w:bottom w:val="single" w:color="auto" w:sz="4" w:space="0"/>
              <w:right w:val="single" w:color="auto" w:sz="4" w:space="0"/>
            </w:tcBorders>
          </w:tcPr>
          <w:p>
            <w:pPr>
              <w:spacing w:before="156" w:after="156" w:line="360" w:lineRule="auto"/>
              <w:rPr>
                <w:rFonts w:hint="eastAsia" w:ascii="宋体" w:hAnsi="宋体"/>
                <w:color w:val="000000"/>
                <w:sz w:val="18"/>
                <w:szCs w:val="18"/>
                <w:highlight w:val="none"/>
              </w:rPr>
            </w:pPr>
          </w:p>
        </w:tc>
        <w:tc>
          <w:tcPr>
            <w:tcW w:w="1185" w:type="dxa"/>
            <w:tcBorders>
              <w:top w:val="single" w:color="auto" w:sz="4" w:space="0"/>
              <w:left w:val="single" w:color="auto" w:sz="4" w:space="0"/>
              <w:bottom w:val="single" w:color="auto" w:sz="4" w:space="0"/>
              <w:right w:val="single" w:color="auto" w:sz="4" w:space="0"/>
            </w:tcBorders>
          </w:tcPr>
          <w:p>
            <w:pPr>
              <w:spacing w:before="156" w:after="156" w:line="360" w:lineRule="auto"/>
              <w:rPr>
                <w:rFonts w:hint="eastAsia" w:ascii="宋体" w:hAnsi="宋体"/>
                <w:color w:val="000000"/>
                <w:sz w:val="18"/>
                <w:szCs w:val="18"/>
                <w:highlight w:val="none"/>
              </w:rPr>
            </w:pPr>
          </w:p>
        </w:tc>
        <w:tc>
          <w:tcPr>
            <w:tcW w:w="1515" w:type="dxa"/>
            <w:tcBorders>
              <w:top w:val="single" w:color="auto" w:sz="4" w:space="0"/>
              <w:left w:val="single" w:color="auto" w:sz="4" w:space="0"/>
              <w:bottom w:val="single" w:color="auto" w:sz="4" w:space="0"/>
              <w:right w:val="single" w:color="auto" w:sz="4" w:space="0"/>
            </w:tcBorders>
          </w:tcPr>
          <w:p>
            <w:pPr>
              <w:spacing w:before="156" w:after="156" w:line="360" w:lineRule="auto"/>
              <w:rPr>
                <w:rFonts w:hint="eastAsia" w:ascii="宋体" w:hAnsi="宋体"/>
                <w:color w:val="000000"/>
                <w:sz w:val="18"/>
                <w:szCs w:val="18"/>
                <w:highlight w:val="none"/>
              </w:rPr>
            </w:pPr>
          </w:p>
        </w:tc>
        <w:tc>
          <w:tcPr>
            <w:tcW w:w="1125" w:type="dxa"/>
            <w:tcBorders>
              <w:top w:val="single" w:color="auto" w:sz="4" w:space="0"/>
              <w:left w:val="single" w:color="auto" w:sz="4" w:space="0"/>
              <w:bottom w:val="single" w:color="auto" w:sz="4" w:space="0"/>
              <w:right w:val="single" w:color="auto" w:sz="4" w:space="0"/>
            </w:tcBorders>
          </w:tcPr>
          <w:p>
            <w:pPr>
              <w:spacing w:before="156" w:after="156" w:line="360" w:lineRule="auto"/>
              <w:rPr>
                <w:rFonts w:hint="eastAsia" w:ascii="宋体" w:hAnsi="宋体"/>
                <w:color w:val="000000"/>
                <w:sz w:val="18"/>
                <w:szCs w:val="18"/>
                <w:highlight w:val="none"/>
              </w:rPr>
            </w:pPr>
          </w:p>
        </w:tc>
        <w:tc>
          <w:tcPr>
            <w:tcW w:w="977" w:type="dxa"/>
            <w:tcBorders>
              <w:top w:val="single" w:color="auto" w:sz="4" w:space="0"/>
              <w:left w:val="single" w:color="auto" w:sz="4" w:space="0"/>
              <w:bottom w:val="single" w:color="auto" w:sz="4" w:space="0"/>
              <w:right w:val="single" w:color="auto" w:sz="4" w:space="0"/>
            </w:tcBorders>
          </w:tcPr>
          <w:p>
            <w:pPr>
              <w:spacing w:before="156" w:after="156" w:line="360" w:lineRule="auto"/>
              <w:rPr>
                <w:rFonts w:hint="eastAsia" w:ascii="宋体" w:hAnsi="宋体"/>
                <w:color w:val="000000"/>
                <w:sz w:val="18"/>
                <w:szCs w:val="18"/>
                <w:highlight w:val="none"/>
              </w:rPr>
            </w:pPr>
          </w:p>
        </w:tc>
        <w:tc>
          <w:tcPr>
            <w:tcW w:w="652" w:type="dxa"/>
            <w:tcBorders>
              <w:top w:val="single" w:color="auto" w:sz="4" w:space="0"/>
              <w:left w:val="single" w:color="auto" w:sz="4" w:space="0"/>
              <w:bottom w:val="single" w:color="auto" w:sz="4" w:space="0"/>
              <w:right w:val="single" w:color="auto" w:sz="4" w:space="0"/>
            </w:tcBorders>
          </w:tcPr>
          <w:p>
            <w:pPr>
              <w:spacing w:before="156" w:after="156" w:line="360" w:lineRule="auto"/>
              <w:rPr>
                <w:rFonts w:hint="eastAsia" w:ascii="宋体" w:hAnsi="宋体"/>
                <w:color w:val="000000"/>
                <w:sz w:val="18"/>
                <w:szCs w:val="18"/>
                <w:highlight w:val="none"/>
              </w:rPr>
            </w:pPr>
          </w:p>
        </w:tc>
        <w:tc>
          <w:tcPr>
            <w:tcW w:w="1467" w:type="dxa"/>
            <w:tcBorders>
              <w:top w:val="single" w:color="auto" w:sz="4" w:space="0"/>
              <w:left w:val="single" w:color="auto" w:sz="4" w:space="0"/>
              <w:bottom w:val="single" w:color="auto" w:sz="4" w:space="0"/>
              <w:right w:val="single" w:color="auto" w:sz="4" w:space="0"/>
            </w:tcBorders>
          </w:tcPr>
          <w:p>
            <w:pPr>
              <w:spacing w:before="156" w:after="156" w:line="360" w:lineRule="auto"/>
              <w:rPr>
                <w:rFonts w:hint="eastAsia" w:ascii="宋体" w:hAnsi="宋体"/>
                <w:color w:val="000000"/>
                <w:sz w:val="18"/>
                <w:szCs w:val="18"/>
                <w:highlight w:val="none"/>
              </w:rPr>
            </w:pPr>
          </w:p>
        </w:tc>
        <w:tc>
          <w:tcPr>
            <w:tcW w:w="1461" w:type="dxa"/>
            <w:tcBorders>
              <w:top w:val="single" w:color="auto" w:sz="4" w:space="0"/>
              <w:left w:val="single" w:color="auto" w:sz="4" w:space="0"/>
              <w:bottom w:val="single" w:color="auto" w:sz="4" w:space="0"/>
              <w:right w:val="single" w:color="auto" w:sz="4" w:space="0"/>
            </w:tcBorders>
          </w:tcPr>
          <w:p>
            <w:pPr>
              <w:spacing w:before="156" w:after="156" w:line="360" w:lineRule="auto"/>
              <w:rPr>
                <w:rFonts w:hint="eastAsia" w:ascii="宋体" w:hAnsi="宋体"/>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6" w:type="dxa"/>
            <w:tcBorders>
              <w:top w:val="single" w:color="auto" w:sz="4" w:space="0"/>
              <w:left w:val="single" w:color="auto" w:sz="4" w:space="0"/>
              <w:bottom w:val="single" w:color="auto" w:sz="4" w:space="0"/>
              <w:right w:val="single" w:color="auto" w:sz="4" w:space="0"/>
            </w:tcBorders>
          </w:tcPr>
          <w:p>
            <w:pPr>
              <w:spacing w:before="156" w:after="156" w:line="360" w:lineRule="auto"/>
              <w:jc w:val="center"/>
              <w:rPr>
                <w:rFonts w:hint="eastAsia" w:ascii="宋体" w:hAnsi="宋体"/>
                <w:b/>
                <w:color w:val="000000"/>
                <w:sz w:val="18"/>
                <w:szCs w:val="18"/>
                <w:highlight w:val="none"/>
              </w:rPr>
            </w:pPr>
          </w:p>
        </w:tc>
        <w:tc>
          <w:tcPr>
            <w:tcW w:w="4802" w:type="dxa"/>
            <w:gridSpan w:val="4"/>
            <w:tcBorders>
              <w:top w:val="single" w:color="auto" w:sz="4" w:space="0"/>
              <w:left w:val="single" w:color="auto" w:sz="4" w:space="0"/>
              <w:bottom w:val="single" w:color="auto" w:sz="4" w:space="0"/>
              <w:right w:val="single" w:color="auto" w:sz="4" w:space="0"/>
            </w:tcBorders>
          </w:tcPr>
          <w:p>
            <w:pPr>
              <w:spacing w:before="156" w:after="156" w:line="360" w:lineRule="auto"/>
              <w:jc w:val="center"/>
              <w:rPr>
                <w:rFonts w:hint="eastAsia" w:ascii="宋体" w:hAnsi="宋体"/>
                <w:b/>
                <w:color w:val="000000"/>
                <w:sz w:val="18"/>
                <w:szCs w:val="18"/>
                <w:highlight w:val="none"/>
              </w:rPr>
            </w:pPr>
            <w:r>
              <w:rPr>
                <w:rFonts w:hint="eastAsia" w:ascii="宋体" w:hAnsi="宋体"/>
                <w:b/>
                <w:color w:val="000000"/>
                <w:sz w:val="18"/>
                <w:szCs w:val="18"/>
                <w:highlight w:val="none"/>
              </w:rPr>
              <w:t>合 计</w:t>
            </w:r>
          </w:p>
        </w:tc>
        <w:tc>
          <w:tcPr>
            <w:tcW w:w="652" w:type="dxa"/>
            <w:tcBorders>
              <w:top w:val="single" w:color="auto" w:sz="4" w:space="0"/>
              <w:left w:val="single" w:color="auto" w:sz="4" w:space="0"/>
              <w:bottom w:val="single" w:color="auto" w:sz="4" w:space="0"/>
              <w:right w:val="single" w:color="auto" w:sz="4" w:space="0"/>
            </w:tcBorders>
          </w:tcPr>
          <w:p>
            <w:pPr>
              <w:spacing w:before="156" w:after="156" w:line="360" w:lineRule="auto"/>
              <w:rPr>
                <w:rFonts w:hint="eastAsia" w:ascii="宋体" w:hAnsi="宋体"/>
                <w:color w:val="000000"/>
                <w:sz w:val="18"/>
                <w:szCs w:val="18"/>
                <w:highlight w:val="none"/>
              </w:rPr>
            </w:pPr>
          </w:p>
        </w:tc>
        <w:tc>
          <w:tcPr>
            <w:tcW w:w="1467" w:type="dxa"/>
            <w:tcBorders>
              <w:top w:val="single" w:color="auto" w:sz="4" w:space="0"/>
              <w:left w:val="single" w:color="auto" w:sz="4" w:space="0"/>
              <w:bottom w:val="single" w:color="auto" w:sz="4" w:space="0"/>
              <w:right w:val="single" w:color="auto" w:sz="4" w:space="0"/>
            </w:tcBorders>
          </w:tcPr>
          <w:p>
            <w:pPr>
              <w:spacing w:before="156" w:after="156" w:line="360" w:lineRule="auto"/>
              <w:rPr>
                <w:rFonts w:hint="eastAsia" w:ascii="宋体" w:hAnsi="宋体"/>
                <w:color w:val="000000"/>
                <w:sz w:val="18"/>
                <w:szCs w:val="18"/>
                <w:highlight w:val="none"/>
              </w:rPr>
            </w:pPr>
          </w:p>
        </w:tc>
        <w:tc>
          <w:tcPr>
            <w:tcW w:w="1461" w:type="dxa"/>
            <w:tcBorders>
              <w:top w:val="single" w:color="auto" w:sz="4" w:space="0"/>
              <w:left w:val="single" w:color="auto" w:sz="4" w:space="0"/>
              <w:bottom w:val="single" w:color="auto" w:sz="4" w:space="0"/>
              <w:right w:val="single" w:color="auto" w:sz="4" w:space="0"/>
            </w:tcBorders>
          </w:tcPr>
          <w:p>
            <w:pPr>
              <w:spacing w:before="156" w:after="156" w:line="360" w:lineRule="auto"/>
              <w:rPr>
                <w:rFonts w:hint="eastAsia" w:ascii="宋体" w:hAnsi="宋体"/>
                <w:color w:val="000000"/>
                <w:sz w:val="18"/>
                <w:szCs w:val="18"/>
                <w:highlight w:val="none"/>
              </w:rPr>
            </w:pPr>
          </w:p>
        </w:tc>
      </w:tr>
    </w:tbl>
    <w:p>
      <w:pPr>
        <w:spacing w:line="360" w:lineRule="auto"/>
        <w:rPr>
          <w:rFonts w:hint="eastAsia" w:ascii="宋体" w:hAnsi="宋体"/>
          <w:b/>
          <w:bCs/>
          <w:highlight w:val="none"/>
        </w:rPr>
      </w:pPr>
      <w:r>
        <w:rPr>
          <w:rFonts w:hint="eastAsia" w:ascii="宋体" w:hAnsi="宋体"/>
          <w:b/>
          <w:bCs/>
          <w:highlight w:val="none"/>
        </w:rPr>
        <w:t>第三条 合同价款及付款方式</w:t>
      </w:r>
    </w:p>
    <w:p>
      <w:pPr>
        <w:spacing w:line="360" w:lineRule="auto"/>
        <w:ind w:firstLine="480" w:firstLineChars="200"/>
        <w:rPr>
          <w:rFonts w:hint="eastAsia" w:ascii="宋体" w:hAnsi="宋体"/>
          <w:highlight w:val="none"/>
        </w:rPr>
      </w:pPr>
      <w:r>
        <w:rPr>
          <w:rFonts w:hint="eastAsia" w:ascii="宋体" w:hAnsi="宋体"/>
          <w:highlight w:val="none"/>
        </w:rPr>
        <w:t>1、本合同项下总价款为（大写）人民币</w:t>
      </w:r>
      <w:r>
        <w:rPr>
          <w:rFonts w:hint="eastAsia" w:ascii="宋体" w:hAnsi="宋体"/>
          <w:highlight w:val="none"/>
          <w:u w:val="single"/>
        </w:rPr>
        <w:t xml:space="preserve">         </w:t>
      </w:r>
      <w:r>
        <w:rPr>
          <w:rFonts w:hint="eastAsia" w:ascii="宋体" w:hAnsi="宋体"/>
          <w:highlight w:val="none"/>
        </w:rPr>
        <w:t>，分项价款在“投标报价表”中明确。</w:t>
      </w:r>
    </w:p>
    <w:p>
      <w:pPr>
        <w:spacing w:line="360" w:lineRule="auto"/>
        <w:ind w:firstLine="480" w:firstLineChars="200"/>
        <w:rPr>
          <w:rFonts w:hint="eastAsia" w:ascii="宋体" w:hAnsi="宋体"/>
          <w:highlight w:val="none"/>
        </w:rPr>
      </w:pPr>
      <w:r>
        <w:rPr>
          <w:rFonts w:hint="eastAsia" w:ascii="宋体" w:hAnsi="宋体"/>
          <w:highlight w:val="none"/>
        </w:rPr>
        <w:t>2、本合同总价款包括货物设计、材料、制造、包装、运输、安装、调试、检测、售后服务、税费等全部费用。</w:t>
      </w:r>
    </w:p>
    <w:p>
      <w:pPr>
        <w:spacing w:line="360" w:lineRule="auto"/>
        <w:ind w:firstLine="480" w:firstLineChars="200"/>
        <w:rPr>
          <w:rFonts w:hint="eastAsia" w:ascii="宋体" w:hAnsi="宋体"/>
          <w:highlight w:val="none"/>
        </w:rPr>
      </w:pPr>
      <w:r>
        <w:rPr>
          <w:rFonts w:hint="eastAsia" w:ascii="宋体" w:hAnsi="宋体"/>
          <w:highlight w:val="none"/>
        </w:rPr>
        <w:t>3、本合同付款方式为以下第</w:t>
      </w:r>
      <w:r>
        <w:rPr>
          <w:rFonts w:hint="eastAsia" w:ascii="宋体" w:hAnsi="宋体"/>
          <w:highlight w:val="none"/>
          <w:u w:val="single"/>
        </w:rPr>
        <w:t xml:space="preserve">        </w:t>
      </w:r>
      <w:r>
        <w:rPr>
          <w:rFonts w:hint="eastAsia" w:ascii="宋体" w:hAnsi="宋体"/>
          <w:highlight w:val="none"/>
        </w:rPr>
        <w:t>项：</w:t>
      </w:r>
    </w:p>
    <w:p>
      <w:pPr>
        <w:spacing w:line="360" w:lineRule="auto"/>
        <w:ind w:firstLine="480" w:firstLineChars="200"/>
        <w:rPr>
          <w:rFonts w:hint="eastAsia" w:ascii="宋体" w:hAnsi="宋体"/>
          <w:highlight w:val="none"/>
        </w:rPr>
      </w:pPr>
      <w:r>
        <w:rPr>
          <w:rFonts w:hint="eastAsia" w:ascii="宋体" w:hAnsi="宋体"/>
          <w:highlight w:val="none"/>
        </w:rPr>
        <w:t>（1）本合同项下的采购资金系甲方自行支付，付款程序为</w:t>
      </w:r>
      <w:r>
        <w:rPr>
          <w:rFonts w:hint="eastAsia" w:ascii="宋体" w:hAnsi="宋体"/>
          <w:highlight w:val="none"/>
          <w:u w:val="single"/>
        </w:rPr>
        <w:t xml:space="preserve">        </w:t>
      </w: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（2）本合同项下的采购资金须财政直接支付，付款程序为</w:t>
      </w:r>
      <w:r>
        <w:rPr>
          <w:rFonts w:hint="eastAsia" w:ascii="宋体" w:hAnsi="宋体"/>
          <w:highlight w:val="none"/>
          <w:u w:val="single"/>
        </w:rPr>
        <w:t xml:space="preserve">        </w:t>
      </w: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（3）其他方式：</w:t>
      </w:r>
      <w:r>
        <w:rPr>
          <w:rFonts w:hint="eastAsia" w:ascii="宋体" w:hAnsi="宋体"/>
          <w:highlight w:val="none"/>
          <w:u w:val="single"/>
        </w:rPr>
        <w:t xml:space="preserve">                                            </w:t>
      </w: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4、本合同项下的采购资金付款进度按招投标文件规定，未规定时按以下</w:t>
      </w:r>
    </w:p>
    <w:p>
      <w:pPr>
        <w:spacing w:line="360" w:lineRule="auto"/>
        <w:rPr>
          <w:rFonts w:hint="eastAsia" w:ascii="宋体" w:hAnsi="宋体"/>
          <w:highlight w:val="none"/>
        </w:rPr>
      </w:pPr>
      <w:r>
        <w:rPr>
          <w:rFonts w:hint="eastAsia" w:ascii="宋体" w:hAnsi="宋体"/>
          <w:highlight w:val="none"/>
        </w:rPr>
        <w:t>第</w:t>
      </w:r>
      <w:r>
        <w:rPr>
          <w:rFonts w:hint="eastAsia" w:ascii="宋体" w:hAnsi="宋体"/>
          <w:highlight w:val="none"/>
          <w:u w:val="single"/>
        </w:rPr>
        <w:t xml:space="preserve">      </w:t>
      </w:r>
      <w:r>
        <w:rPr>
          <w:rFonts w:hint="eastAsia" w:ascii="宋体" w:hAnsi="宋体"/>
          <w:highlight w:val="none"/>
        </w:rPr>
        <w:t>项支付：</w:t>
      </w:r>
    </w:p>
    <w:p>
      <w:pPr>
        <w:spacing w:line="360" w:lineRule="auto"/>
        <w:ind w:firstLine="480" w:firstLineChars="200"/>
        <w:rPr>
          <w:rFonts w:hint="eastAsia" w:ascii="宋体" w:hAnsi="宋体"/>
          <w:highlight w:val="none"/>
        </w:rPr>
      </w:pPr>
      <w:r>
        <w:rPr>
          <w:rFonts w:hint="eastAsia" w:ascii="宋体" w:hAnsi="宋体"/>
          <w:highlight w:val="none"/>
        </w:rPr>
        <w:t>（1）一次性付款：乙方合同履行达到</w:t>
      </w:r>
      <w:r>
        <w:rPr>
          <w:rFonts w:hint="eastAsia" w:ascii="宋体" w:hAnsi="宋体"/>
          <w:highlight w:val="none"/>
          <w:u w:val="single"/>
        </w:rPr>
        <w:t xml:space="preserve">      </w:t>
      </w:r>
      <w:r>
        <w:rPr>
          <w:rFonts w:hint="eastAsia" w:ascii="宋体" w:hAnsi="宋体"/>
          <w:highlight w:val="none"/>
        </w:rPr>
        <w:t>（条件）时，一次性付款；</w:t>
      </w:r>
    </w:p>
    <w:p>
      <w:pPr>
        <w:spacing w:line="360" w:lineRule="auto"/>
        <w:ind w:firstLine="480" w:firstLineChars="200"/>
        <w:rPr>
          <w:rFonts w:hint="eastAsia" w:ascii="宋体" w:hAnsi="宋体"/>
          <w:highlight w:val="none"/>
        </w:rPr>
      </w:pPr>
      <w:r>
        <w:rPr>
          <w:rFonts w:hint="eastAsia" w:ascii="宋体" w:hAnsi="宋体"/>
          <w:highlight w:val="none"/>
        </w:rPr>
        <w:t>（2）分期付款：</w:t>
      </w:r>
      <w:r>
        <w:rPr>
          <w:rFonts w:hint="eastAsia" w:ascii="宋体" w:hAnsi="宋体"/>
          <w:highlight w:val="none"/>
          <w:u w:val="single"/>
        </w:rPr>
        <w:t xml:space="preserve">      </w:t>
      </w:r>
      <w:r>
        <w:rPr>
          <w:rFonts w:hint="eastAsia" w:ascii="宋体" w:hAnsi="宋体"/>
          <w:highlight w:val="none"/>
        </w:rPr>
        <w:t>时支付</w:t>
      </w:r>
      <w:r>
        <w:rPr>
          <w:rFonts w:hint="eastAsia" w:ascii="宋体" w:hAnsi="宋体"/>
          <w:highlight w:val="none"/>
          <w:u w:val="single"/>
        </w:rPr>
        <w:t xml:space="preserve">      </w:t>
      </w:r>
      <w:r>
        <w:rPr>
          <w:rFonts w:hint="eastAsia" w:ascii="宋体" w:hAnsi="宋体"/>
          <w:highlight w:val="none"/>
        </w:rPr>
        <w:t>；</w:t>
      </w:r>
      <w:r>
        <w:rPr>
          <w:rFonts w:hint="eastAsia" w:ascii="宋体" w:hAnsi="宋体"/>
          <w:highlight w:val="none"/>
          <w:u w:val="single"/>
        </w:rPr>
        <w:t xml:space="preserve">      </w:t>
      </w:r>
      <w:r>
        <w:rPr>
          <w:rFonts w:hint="eastAsia" w:ascii="宋体" w:hAnsi="宋体"/>
          <w:highlight w:val="none"/>
        </w:rPr>
        <w:t>时支付</w:t>
      </w:r>
      <w:r>
        <w:rPr>
          <w:rFonts w:hint="eastAsia" w:ascii="宋体" w:hAnsi="宋体"/>
          <w:highlight w:val="none"/>
          <w:u w:val="single"/>
        </w:rPr>
        <w:t xml:space="preserve">      </w:t>
      </w:r>
      <w:r>
        <w:rPr>
          <w:rFonts w:hint="eastAsia" w:ascii="宋体" w:hAnsi="宋体"/>
          <w:highlight w:val="none"/>
        </w:rPr>
        <w:t>；</w:t>
      </w:r>
      <w:r>
        <w:rPr>
          <w:rFonts w:hint="eastAsia" w:ascii="宋体" w:hAnsi="宋体"/>
          <w:highlight w:val="none"/>
          <w:u w:val="single"/>
        </w:rPr>
        <w:t xml:space="preserve">      </w:t>
      </w:r>
      <w:r>
        <w:rPr>
          <w:rFonts w:hint="eastAsia" w:ascii="宋体" w:hAnsi="宋体"/>
          <w:highlight w:val="none"/>
        </w:rPr>
        <w:t>时支付</w:t>
      </w:r>
      <w:r>
        <w:rPr>
          <w:rFonts w:hint="eastAsia" w:ascii="宋体" w:hAnsi="宋体"/>
          <w:highlight w:val="none"/>
          <w:u w:val="single"/>
        </w:rPr>
        <w:t xml:space="preserve">      </w:t>
      </w: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若收取了履约保证金，则不应重复设置尾款支付条件。</w:t>
      </w:r>
    </w:p>
    <w:p>
      <w:pPr>
        <w:spacing w:line="360" w:lineRule="auto"/>
        <w:rPr>
          <w:rFonts w:hint="eastAsia" w:ascii="宋体" w:hAnsi="宋体"/>
          <w:b/>
          <w:bCs/>
          <w:highlight w:val="none"/>
        </w:rPr>
      </w:pPr>
      <w:r>
        <w:rPr>
          <w:rFonts w:hint="eastAsia" w:ascii="宋体" w:hAnsi="宋体"/>
          <w:b/>
          <w:bCs/>
          <w:highlight w:val="none"/>
        </w:rPr>
        <w:t>第四条 履约保证金</w:t>
      </w:r>
    </w:p>
    <w:p>
      <w:pPr>
        <w:spacing w:line="360" w:lineRule="auto"/>
        <w:ind w:firstLine="480" w:firstLineChars="200"/>
        <w:rPr>
          <w:rFonts w:hint="eastAsia" w:ascii="宋体" w:hAnsi="宋体"/>
          <w:highlight w:val="none"/>
        </w:rPr>
      </w:pPr>
      <w:r>
        <w:rPr>
          <w:rFonts w:hint="eastAsia" w:ascii="宋体" w:hAnsi="宋体"/>
          <w:highlight w:val="none"/>
        </w:rPr>
        <w:t>按以下第</w:t>
      </w:r>
      <w:r>
        <w:rPr>
          <w:rFonts w:hint="eastAsia" w:ascii="宋体" w:hAnsi="宋体"/>
          <w:highlight w:val="none"/>
          <w:u w:val="single"/>
        </w:rPr>
        <w:t xml:space="preserve">      </w:t>
      </w:r>
      <w:r>
        <w:rPr>
          <w:rFonts w:hint="eastAsia" w:ascii="宋体" w:hAnsi="宋体"/>
          <w:highlight w:val="none"/>
        </w:rPr>
        <w:t>项处理：</w:t>
      </w:r>
    </w:p>
    <w:p>
      <w:pPr>
        <w:numPr>
          <w:ilvl w:val="0"/>
          <w:numId w:val="4"/>
        </w:numPr>
        <w:suppressAutoHyphens/>
        <w:spacing w:line="360" w:lineRule="auto"/>
        <w:ind w:firstLine="480" w:firstLineChars="200"/>
        <w:rPr>
          <w:rFonts w:hint="eastAsia" w:ascii="宋体" w:hAnsi="宋体"/>
          <w:highlight w:val="none"/>
        </w:rPr>
      </w:pPr>
      <w:r>
        <w:rPr>
          <w:rFonts w:hint="eastAsia" w:ascii="宋体" w:hAnsi="宋体"/>
          <w:highlight w:val="none"/>
        </w:rPr>
        <w:t>本项目设置履约保证金，乙方应于</w:t>
      </w:r>
      <w:r>
        <w:rPr>
          <w:rFonts w:hint="eastAsia" w:ascii="宋体" w:hAnsi="宋体"/>
          <w:highlight w:val="none"/>
          <w:u w:val="single"/>
        </w:rPr>
        <w:t xml:space="preserve">      </w:t>
      </w:r>
      <w:r>
        <w:rPr>
          <w:rFonts w:hint="eastAsia" w:ascii="宋体" w:hAnsi="宋体"/>
          <w:highlight w:val="none"/>
        </w:rPr>
        <w:t>（时间）向甲方提交履约保证</w:t>
      </w:r>
    </w:p>
    <w:p>
      <w:pPr>
        <w:spacing w:line="360" w:lineRule="auto"/>
        <w:rPr>
          <w:rFonts w:hint="eastAsia" w:ascii="宋体" w:hAnsi="宋体"/>
          <w:highlight w:val="none"/>
        </w:rPr>
      </w:pPr>
      <w:r>
        <w:rPr>
          <w:rFonts w:hint="eastAsia" w:ascii="宋体" w:hAnsi="宋体"/>
          <w:highlight w:val="none"/>
        </w:rPr>
        <w:t>金</w:t>
      </w:r>
      <w:r>
        <w:rPr>
          <w:rFonts w:hint="eastAsia" w:ascii="宋体" w:hAnsi="宋体"/>
          <w:highlight w:val="none"/>
          <w:u w:val="single"/>
        </w:rPr>
        <w:t xml:space="preserve">      </w:t>
      </w:r>
      <w:r>
        <w:rPr>
          <w:rFonts w:hint="eastAsia" w:ascii="宋体" w:hAnsi="宋体"/>
          <w:highlight w:val="none"/>
        </w:rPr>
        <w:t>元（不得高于本合同金额的1%）。履约保证金在</w:t>
      </w:r>
      <w:r>
        <w:rPr>
          <w:rFonts w:hint="eastAsia" w:ascii="宋体" w:hAnsi="宋体"/>
          <w:highlight w:val="none"/>
          <w:u w:val="single"/>
        </w:rPr>
        <w:t xml:space="preserve">      </w:t>
      </w:r>
      <w:r>
        <w:rPr>
          <w:rFonts w:hint="eastAsia" w:ascii="宋体" w:hAnsi="宋体"/>
          <w:highlight w:val="none"/>
        </w:rPr>
        <w:t>（时间）退还乙方。</w:t>
      </w:r>
    </w:p>
    <w:p>
      <w:pPr>
        <w:spacing w:line="360" w:lineRule="auto"/>
        <w:ind w:firstLine="480" w:firstLineChars="200"/>
        <w:rPr>
          <w:rFonts w:hint="eastAsia" w:ascii="宋体" w:hAnsi="宋体"/>
          <w:highlight w:val="none"/>
        </w:rPr>
      </w:pPr>
      <w:r>
        <w:rPr>
          <w:rFonts w:hint="eastAsia" w:ascii="宋体" w:hAnsi="宋体"/>
          <w:highlight w:val="none"/>
        </w:rPr>
        <w:t>2、本项目不设置履约保证金</w:t>
      </w:r>
    </w:p>
    <w:p>
      <w:pPr>
        <w:spacing w:line="360" w:lineRule="auto"/>
        <w:rPr>
          <w:rFonts w:hint="eastAsia" w:ascii="宋体" w:hAnsi="宋体"/>
          <w:b/>
          <w:bCs/>
          <w:highlight w:val="none"/>
        </w:rPr>
      </w:pPr>
      <w:r>
        <w:rPr>
          <w:rFonts w:hint="eastAsia" w:ascii="宋体" w:hAnsi="宋体"/>
          <w:b/>
          <w:bCs/>
          <w:highlight w:val="none"/>
        </w:rPr>
        <w:t>第五条 质量保证及售后服务</w:t>
      </w:r>
    </w:p>
    <w:p>
      <w:pPr>
        <w:spacing w:line="360" w:lineRule="auto"/>
        <w:ind w:firstLine="480" w:firstLineChars="200"/>
        <w:rPr>
          <w:rFonts w:hint="eastAsia" w:ascii="宋体" w:hAnsi="宋体"/>
          <w:highlight w:val="none"/>
        </w:rPr>
      </w:pPr>
      <w:r>
        <w:rPr>
          <w:rFonts w:hint="eastAsia" w:ascii="宋体" w:hAnsi="宋体"/>
          <w:highlight w:val="none"/>
        </w:rPr>
        <w:t>1、乙方应按招标文件规定的货物性能、技术要求、质量标准向甲方提供未经使用的全新合格产品。乙方保证所交付的货物的所有权完全属于乙方而无任何抵押、查封等产权瑕疵，且所提供的货物或其任何一部分均不会侵犯任何第三方的知识产权。</w:t>
      </w:r>
    </w:p>
    <w:p>
      <w:pPr>
        <w:spacing w:line="360" w:lineRule="auto"/>
        <w:ind w:firstLine="480" w:firstLineChars="200"/>
        <w:rPr>
          <w:rFonts w:hint="eastAsia" w:ascii="宋体" w:hAnsi="宋体"/>
          <w:highlight w:val="none"/>
        </w:rPr>
      </w:pPr>
      <w:r>
        <w:rPr>
          <w:rFonts w:hint="eastAsia" w:ascii="宋体" w:hAnsi="宋体"/>
          <w:highlight w:val="none"/>
        </w:rPr>
        <w:t>2、上述的货物免费保修期为</w:t>
      </w:r>
      <w:r>
        <w:rPr>
          <w:rFonts w:hint="eastAsia" w:ascii="宋体" w:hAnsi="宋体"/>
          <w:highlight w:val="none"/>
          <w:u w:val="single"/>
        </w:rPr>
        <w:t xml:space="preserve">      </w:t>
      </w:r>
      <w:r>
        <w:rPr>
          <w:rFonts w:hint="eastAsia" w:ascii="宋体" w:hAnsi="宋体"/>
          <w:highlight w:val="none"/>
        </w:rPr>
        <w:t>年，人为因素出现的故障不在免费保修范围内。超过保修期的机器设备实行终生维修，维修时只收部件成本费。</w:t>
      </w:r>
    </w:p>
    <w:p>
      <w:pPr>
        <w:spacing w:line="360" w:lineRule="auto"/>
        <w:ind w:firstLine="480" w:firstLineChars="200"/>
        <w:rPr>
          <w:rFonts w:hint="eastAsia" w:ascii="宋体" w:hAnsi="宋体"/>
          <w:highlight w:val="none"/>
        </w:rPr>
      </w:pPr>
      <w:r>
        <w:rPr>
          <w:rFonts w:hint="eastAsia" w:ascii="宋体" w:hAnsi="宋体"/>
          <w:highlight w:val="none"/>
        </w:rPr>
        <w:t>3、乙方提供的货物在质保期内因货物本身的质量问题发生故障，乙方应负责免费更换。对达不到技术要求者，根据实际情况，经双方协商，可按以下办法处理：</w:t>
      </w:r>
    </w:p>
    <w:p>
      <w:pPr>
        <w:spacing w:line="360" w:lineRule="auto"/>
        <w:ind w:firstLine="480" w:firstLineChars="200"/>
        <w:rPr>
          <w:rFonts w:hint="eastAsia" w:ascii="宋体" w:hAnsi="宋体"/>
          <w:highlight w:val="none"/>
        </w:rPr>
      </w:pPr>
      <w:r>
        <w:rPr>
          <w:rFonts w:hint="eastAsia" w:ascii="宋体" w:hAnsi="宋体"/>
          <w:highlight w:val="none"/>
        </w:rPr>
        <w:t>⑴更换：由乙方承担所发生的全部费用。</w:t>
      </w:r>
    </w:p>
    <w:p>
      <w:pPr>
        <w:spacing w:line="360" w:lineRule="auto"/>
        <w:ind w:firstLine="480" w:firstLineChars="200"/>
        <w:rPr>
          <w:rFonts w:hint="eastAsia" w:ascii="宋体" w:hAnsi="宋体"/>
          <w:highlight w:val="none"/>
        </w:rPr>
      </w:pPr>
      <w:r>
        <w:rPr>
          <w:rFonts w:hint="eastAsia" w:ascii="宋体" w:hAnsi="宋体"/>
          <w:highlight w:val="none"/>
        </w:rPr>
        <w:t>⑵贬值处理：由甲乙双方合议定价。</w:t>
      </w:r>
    </w:p>
    <w:p>
      <w:pPr>
        <w:spacing w:line="360" w:lineRule="auto"/>
        <w:ind w:firstLine="480" w:firstLineChars="200"/>
        <w:rPr>
          <w:rFonts w:hint="eastAsia" w:ascii="宋体" w:hAnsi="宋体"/>
          <w:highlight w:val="none"/>
        </w:rPr>
      </w:pPr>
      <w:r>
        <w:rPr>
          <w:rFonts w:hint="eastAsia" w:ascii="宋体" w:hAnsi="宋体"/>
          <w:highlight w:val="none"/>
        </w:rPr>
        <w:t>⑶退货处理：乙方应退还甲方支付的合同款，同时应承担该货物的直接费用（运输、保险、检验、货款利息及银行手续费等）。</w:t>
      </w:r>
    </w:p>
    <w:p>
      <w:pPr>
        <w:spacing w:line="360" w:lineRule="auto"/>
        <w:ind w:firstLine="480" w:firstLineChars="200"/>
        <w:rPr>
          <w:rFonts w:hint="eastAsia" w:ascii="宋体" w:hAnsi="宋体"/>
          <w:highlight w:val="none"/>
        </w:rPr>
      </w:pPr>
      <w:r>
        <w:rPr>
          <w:rFonts w:hint="eastAsia" w:ascii="宋体" w:hAnsi="宋体"/>
          <w:highlight w:val="none"/>
        </w:rPr>
        <w:t>4、使用过程中发生质量问题，乙方在接到甲方通知后</w:t>
      </w:r>
      <w:r>
        <w:rPr>
          <w:rFonts w:hint="eastAsia" w:ascii="宋体" w:hAnsi="宋体"/>
          <w:highlight w:val="none"/>
          <w:u w:val="single"/>
        </w:rPr>
        <w:t xml:space="preserve">      </w:t>
      </w:r>
      <w:r>
        <w:rPr>
          <w:rFonts w:hint="eastAsia" w:ascii="宋体" w:hAnsi="宋体"/>
          <w:highlight w:val="none"/>
        </w:rPr>
        <w:t>小时内到达甲方现场。</w:t>
      </w:r>
    </w:p>
    <w:p>
      <w:pPr>
        <w:spacing w:line="360" w:lineRule="auto"/>
        <w:ind w:firstLine="480" w:firstLineChars="200"/>
        <w:rPr>
          <w:rFonts w:hint="eastAsia" w:ascii="宋体" w:hAnsi="宋体"/>
          <w:highlight w:val="none"/>
        </w:rPr>
      </w:pPr>
      <w:r>
        <w:rPr>
          <w:rFonts w:hint="eastAsia" w:ascii="宋体" w:hAnsi="宋体"/>
          <w:highlight w:val="none"/>
        </w:rPr>
        <w:t>5、质保期</w:t>
      </w:r>
      <w:r>
        <w:rPr>
          <w:rFonts w:hint="eastAsia" w:ascii="宋体" w:hAnsi="宋体"/>
          <w:highlight w:val="none"/>
          <w:u w:val="single"/>
        </w:rPr>
        <w:t xml:space="preserve">      </w:t>
      </w:r>
      <w:r>
        <w:rPr>
          <w:rFonts w:hint="eastAsia" w:ascii="宋体" w:hAnsi="宋体"/>
          <w:highlight w:val="none"/>
        </w:rPr>
        <w:t>年。质保期内，乙方对货物出现的质量及安全问题负责处理解决并承担一切费用。</w:t>
      </w:r>
    </w:p>
    <w:p>
      <w:pPr>
        <w:spacing w:line="360" w:lineRule="auto"/>
        <w:rPr>
          <w:rFonts w:hint="eastAsia" w:ascii="宋体" w:hAnsi="宋体"/>
          <w:b/>
          <w:bCs/>
          <w:highlight w:val="none"/>
        </w:rPr>
      </w:pPr>
      <w:r>
        <w:rPr>
          <w:rFonts w:hint="eastAsia" w:ascii="宋体" w:hAnsi="宋体"/>
          <w:b/>
          <w:bCs/>
          <w:highlight w:val="none"/>
        </w:rPr>
        <w:t>第六条 交货（服务期）</w:t>
      </w:r>
    </w:p>
    <w:p>
      <w:pPr>
        <w:spacing w:line="360" w:lineRule="auto"/>
        <w:ind w:firstLine="480" w:firstLineChars="200"/>
        <w:rPr>
          <w:rFonts w:hint="eastAsia" w:ascii="宋体" w:hAnsi="宋体"/>
          <w:highlight w:val="none"/>
        </w:rPr>
      </w:pPr>
      <w:r>
        <w:rPr>
          <w:rFonts w:hint="eastAsia" w:ascii="宋体" w:hAnsi="宋体"/>
          <w:highlight w:val="none"/>
        </w:rPr>
        <w:t>1、交货期（服务期）：</w:t>
      </w:r>
      <w:r>
        <w:rPr>
          <w:rFonts w:hint="eastAsia" w:ascii="宋体" w:hAnsi="宋体"/>
          <w:highlight w:val="none"/>
          <w:u w:val="single"/>
        </w:rPr>
        <w:t xml:space="preserve">        </w:t>
      </w:r>
      <w:r>
        <w:rPr>
          <w:rFonts w:hint="eastAsia" w:ascii="宋体" w:hAnsi="宋体"/>
          <w:highlight w:val="none"/>
        </w:rPr>
        <w:t>年</w:t>
      </w:r>
      <w:r>
        <w:rPr>
          <w:rFonts w:hint="eastAsia" w:ascii="宋体" w:hAnsi="宋体"/>
          <w:highlight w:val="none"/>
          <w:u w:val="single"/>
        </w:rPr>
        <w:t xml:space="preserve">        </w:t>
      </w:r>
      <w:r>
        <w:rPr>
          <w:rFonts w:hint="eastAsia" w:ascii="宋体" w:hAnsi="宋体"/>
          <w:highlight w:val="none"/>
        </w:rPr>
        <w:t>月</w:t>
      </w:r>
      <w:r>
        <w:rPr>
          <w:rFonts w:hint="eastAsia" w:ascii="宋体" w:hAnsi="宋体"/>
          <w:highlight w:val="none"/>
          <w:u w:val="single"/>
        </w:rPr>
        <w:t xml:space="preserve">        </w:t>
      </w:r>
      <w:r>
        <w:rPr>
          <w:rFonts w:hint="eastAsia" w:ascii="宋体" w:hAnsi="宋体"/>
          <w:highlight w:val="none"/>
        </w:rPr>
        <w:t>日前交货；</w:t>
      </w:r>
    </w:p>
    <w:p>
      <w:pPr>
        <w:spacing w:line="360" w:lineRule="auto"/>
        <w:ind w:firstLine="480" w:firstLineChars="200"/>
        <w:rPr>
          <w:rFonts w:hint="eastAsia" w:ascii="宋体" w:hAnsi="宋体"/>
          <w:highlight w:val="none"/>
          <w:u w:val="single"/>
        </w:rPr>
      </w:pPr>
      <w:r>
        <w:rPr>
          <w:rFonts w:hint="eastAsia" w:ascii="宋体" w:hAnsi="宋体"/>
          <w:highlight w:val="none"/>
        </w:rPr>
        <w:t>2、交货（服务）地点：</w:t>
      </w:r>
      <w:r>
        <w:rPr>
          <w:rFonts w:hint="eastAsia" w:ascii="宋体" w:hAnsi="宋体"/>
          <w:highlight w:val="none"/>
          <w:u w:val="single"/>
        </w:rPr>
        <w:t xml:space="preserve">                                        </w:t>
      </w:r>
    </w:p>
    <w:p>
      <w:pPr>
        <w:spacing w:line="360" w:lineRule="auto"/>
        <w:ind w:firstLine="480" w:firstLineChars="200"/>
        <w:rPr>
          <w:rFonts w:hint="eastAsia" w:ascii="宋体" w:hAnsi="宋体"/>
          <w:highlight w:val="none"/>
        </w:rPr>
      </w:pPr>
      <w:r>
        <w:rPr>
          <w:rFonts w:hint="eastAsia" w:ascii="宋体" w:hAnsi="宋体"/>
          <w:highlight w:val="none"/>
        </w:rPr>
        <w:t>3、安装、调试事宜：</w:t>
      </w:r>
      <w:r>
        <w:rPr>
          <w:rFonts w:hint="eastAsia" w:ascii="宋体" w:hAnsi="宋体"/>
          <w:highlight w:val="none"/>
          <w:u w:val="single"/>
        </w:rPr>
        <w:t xml:space="preserve">                                        </w:t>
      </w:r>
      <w:r>
        <w:rPr>
          <w:rFonts w:hint="eastAsia" w:ascii="宋体" w:hAnsi="宋体"/>
          <w:highlight w:val="none"/>
        </w:rPr>
        <w:t xml:space="preserve">                                                    </w:t>
      </w:r>
    </w:p>
    <w:p>
      <w:pPr>
        <w:spacing w:line="360" w:lineRule="auto"/>
        <w:ind w:firstLine="480" w:firstLineChars="200"/>
        <w:rPr>
          <w:rFonts w:hint="eastAsia" w:ascii="宋体" w:hAnsi="宋体"/>
          <w:highlight w:val="none"/>
        </w:rPr>
      </w:pPr>
      <w:r>
        <w:rPr>
          <w:rFonts w:hint="eastAsia" w:ascii="宋体" w:hAnsi="宋体"/>
          <w:highlight w:val="none"/>
        </w:rPr>
        <w:t>4、乙方在交货同时，应向甲方提供使用货物的有关技术资料。</w:t>
      </w:r>
    </w:p>
    <w:p>
      <w:pPr>
        <w:spacing w:line="360" w:lineRule="auto"/>
        <w:rPr>
          <w:rFonts w:hint="eastAsia" w:ascii="宋体" w:hAnsi="宋体"/>
          <w:b/>
          <w:bCs/>
          <w:highlight w:val="none"/>
        </w:rPr>
      </w:pPr>
      <w:r>
        <w:rPr>
          <w:rFonts w:hint="eastAsia" w:ascii="宋体" w:hAnsi="宋体"/>
          <w:b/>
          <w:bCs/>
          <w:highlight w:val="none"/>
        </w:rPr>
        <w:t>第七条 调试和验收</w:t>
      </w:r>
    </w:p>
    <w:p>
      <w:pPr>
        <w:spacing w:line="360" w:lineRule="auto"/>
        <w:ind w:firstLine="480" w:firstLineChars="200"/>
        <w:rPr>
          <w:rFonts w:hint="eastAsia" w:ascii="宋体" w:hAnsi="宋体"/>
          <w:highlight w:val="none"/>
        </w:rPr>
      </w:pPr>
      <w:r>
        <w:rPr>
          <w:rFonts w:hint="eastAsia" w:ascii="宋体" w:hAnsi="宋体"/>
          <w:highlight w:val="none"/>
        </w:rPr>
        <w:t>1、乙方交货前应对产品作出全面检查，对验收文件进行整理，并列出清单，作为甲方收货验收和使用的技术条件依据，检验的结果应随货物交甲方。</w:t>
      </w:r>
    </w:p>
    <w:p>
      <w:pPr>
        <w:spacing w:line="360" w:lineRule="auto"/>
        <w:ind w:firstLine="480" w:firstLineChars="200"/>
        <w:rPr>
          <w:rFonts w:hint="eastAsia" w:ascii="宋体" w:hAnsi="宋体"/>
          <w:highlight w:val="none"/>
        </w:rPr>
      </w:pPr>
      <w:r>
        <w:rPr>
          <w:rFonts w:hint="eastAsia" w:ascii="宋体" w:hAnsi="宋体"/>
          <w:highlight w:val="none"/>
        </w:rPr>
        <w:t>2、提供的货物在使用前需进行调试的，乙方需负责安装并培训甲方的使用操作人员，并协助甲方一起调试，直到符合技术要求，甲方才做最终验收。</w:t>
      </w:r>
    </w:p>
    <w:p>
      <w:pPr>
        <w:spacing w:line="360" w:lineRule="auto"/>
        <w:ind w:firstLine="480" w:firstLineChars="200"/>
        <w:rPr>
          <w:rFonts w:hint="eastAsia" w:ascii="宋体" w:hAnsi="宋体"/>
          <w:highlight w:val="none"/>
        </w:rPr>
      </w:pPr>
      <w:r>
        <w:rPr>
          <w:rFonts w:hint="eastAsia" w:ascii="宋体" w:hAnsi="宋体"/>
          <w:highlight w:val="none"/>
        </w:rPr>
        <w:t>3、甲方对乙方提交的货物需在五个工作日内，依据招标文件上的技术规格要求和国家有关质量标准进行现场验收。对技术复杂的货物，甲方应请国家认可的专业检测机构参与初步验收及最终验收，并由其出具质量检测报告，验收费用由甲方负责。</w:t>
      </w:r>
    </w:p>
    <w:p>
      <w:pPr>
        <w:spacing w:line="360" w:lineRule="auto"/>
        <w:ind w:firstLine="480" w:firstLineChars="200"/>
        <w:rPr>
          <w:rFonts w:hint="eastAsia" w:ascii="宋体" w:hAnsi="宋体"/>
          <w:highlight w:val="none"/>
        </w:rPr>
      </w:pPr>
      <w:r>
        <w:rPr>
          <w:rFonts w:hint="eastAsia" w:ascii="宋体" w:hAnsi="宋体"/>
          <w:highlight w:val="none"/>
        </w:rPr>
        <w:t>4、验收完毕甲方应出具验收结果报告。</w:t>
      </w:r>
    </w:p>
    <w:p>
      <w:pPr>
        <w:spacing w:line="360" w:lineRule="auto"/>
        <w:rPr>
          <w:rFonts w:hint="eastAsia" w:ascii="宋体" w:hAnsi="宋体"/>
          <w:b/>
          <w:bCs/>
          <w:highlight w:val="none"/>
        </w:rPr>
      </w:pPr>
      <w:r>
        <w:rPr>
          <w:rFonts w:hint="eastAsia" w:ascii="宋体" w:hAnsi="宋体"/>
          <w:b/>
          <w:bCs/>
          <w:highlight w:val="none"/>
        </w:rPr>
        <w:t>第八条 合同的变更和终止</w:t>
      </w:r>
    </w:p>
    <w:p>
      <w:pPr>
        <w:spacing w:line="360" w:lineRule="auto"/>
        <w:ind w:firstLine="480" w:firstLineChars="200"/>
        <w:rPr>
          <w:rFonts w:hint="eastAsia" w:ascii="宋体" w:hAnsi="宋体"/>
          <w:highlight w:val="none"/>
        </w:rPr>
      </w:pPr>
      <w:r>
        <w:rPr>
          <w:rFonts w:hint="eastAsia" w:ascii="宋体" w:hAnsi="宋体"/>
          <w:highlight w:val="none"/>
        </w:rPr>
        <w:t>除《政府采购法》第49条、第50条第二款规定的情形外，本合同一经签订，甲乙双方不得擅自终止合同或对合同实质性条款进行变更。确有特殊情况的，须经同级财政部门批准。</w:t>
      </w:r>
    </w:p>
    <w:p>
      <w:pPr>
        <w:spacing w:line="360" w:lineRule="auto"/>
        <w:rPr>
          <w:rFonts w:hint="eastAsia" w:ascii="宋体" w:hAnsi="宋体"/>
          <w:b/>
          <w:bCs/>
          <w:highlight w:val="none"/>
        </w:rPr>
      </w:pPr>
      <w:r>
        <w:rPr>
          <w:rFonts w:hint="eastAsia" w:ascii="宋体" w:hAnsi="宋体"/>
          <w:b/>
          <w:bCs/>
          <w:highlight w:val="none"/>
        </w:rPr>
        <w:t>第九条 合同的转让与分包</w:t>
      </w:r>
    </w:p>
    <w:p>
      <w:pPr>
        <w:spacing w:line="360" w:lineRule="auto"/>
        <w:ind w:firstLine="480" w:firstLineChars="200"/>
        <w:rPr>
          <w:rFonts w:hint="eastAsia" w:ascii="宋体" w:hAnsi="宋体"/>
          <w:highlight w:val="none"/>
        </w:rPr>
      </w:pPr>
      <w:r>
        <w:rPr>
          <w:rFonts w:hint="eastAsia" w:ascii="宋体" w:hAnsi="宋体"/>
          <w:highlight w:val="none"/>
        </w:rPr>
        <w:t>乙方不得擅自部分或全部转让其应履行的合同义务。乙方分包的，应经过甲方书面同意。</w:t>
      </w:r>
    </w:p>
    <w:p>
      <w:pPr>
        <w:spacing w:line="360" w:lineRule="auto"/>
        <w:rPr>
          <w:rFonts w:hint="eastAsia" w:ascii="宋体" w:hAnsi="宋体"/>
          <w:b/>
          <w:bCs/>
          <w:highlight w:val="none"/>
        </w:rPr>
      </w:pPr>
      <w:r>
        <w:rPr>
          <w:rFonts w:hint="eastAsia" w:ascii="宋体" w:hAnsi="宋体"/>
          <w:b/>
          <w:bCs/>
          <w:highlight w:val="none"/>
        </w:rPr>
        <w:t>第十条 违约责任</w:t>
      </w:r>
    </w:p>
    <w:p>
      <w:pPr>
        <w:spacing w:line="360" w:lineRule="auto"/>
        <w:ind w:firstLine="480" w:firstLineChars="200"/>
        <w:rPr>
          <w:rFonts w:hint="eastAsia" w:ascii="宋体" w:hAnsi="宋体"/>
          <w:highlight w:val="none"/>
        </w:rPr>
      </w:pPr>
      <w:r>
        <w:rPr>
          <w:rFonts w:hint="eastAsia" w:ascii="宋体" w:hAnsi="宋体"/>
          <w:highlight w:val="none"/>
        </w:rPr>
        <w:t>1、甲方无正当理由拒收货物的，甲方应向乙方偿付拒收货款总值的百分之五违约金。</w:t>
      </w:r>
    </w:p>
    <w:p>
      <w:pPr>
        <w:spacing w:line="360" w:lineRule="auto"/>
        <w:ind w:firstLine="480" w:firstLineChars="200"/>
        <w:rPr>
          <w:rFonts w:hint="eastAsia" w:ascii="宋体" w:hAnsi="宋体"/>
          <w:highlight w:val="none"/>
        </w:rPr>
      </w:pPr>
      <w:r>
        <w:rPr>
          <w:rFonts w:hint="eastAsia" w:ascii="宋体" w:hAnsi="宋体"/>
          <w:highlight w:val="none"/>
        </w:rPr>
        <w:t>2、甲方无故逾期验收和办理货款支付手续的，甲方应按逾期付款总额每日万分之五向乙方支付违约金。</w:t>
      </w:r>
    </w:p>
    <w:p>
      <w:pPr>
        <w:spacing w:line="360" w:lineRule="auto"/>
        <w:ind w:firstLine="480" w:firstLineChars="200"/>
        <w:rPr>
          <w:rFonts w:hint="eastAsia" w:ascii="宋体" w:hAnsi="宋体"/>
          <w:highlight w:val="none"/>
        </w:rPr>
      </w:pPr>
      <w:r>
        <w:rPr>
          <w:rFonts w:hint="eastAsia" w:ascii="宋体" w:hAnsi="宋体"/>
          <w:highlight w:val="none"/>
        </w:rPr>
        <w:t xml:space="preserve">3、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若造成甲方损失超过违约金的，超出部分由乙方继续承担赔偿责任。 </w:t>
      </w:r>
    </w:p>
    <w:p>
      <w:pPr>
        <w:spacing w:line="360" w:lineRule="auto"/>
        <w:ind w:firstLine="480" w:firstLineChars="200"/>
        <w:rPr>
          <w:rFonts w:hint="eastAsia" w:ascii="宋体" w:hAnsi="宋体"/>
          <w:highlight w:val="none"/>
        </w:rPr>
      </w:pPr>
      <w:r>
        <w:rPr>
          <w:rFonts w:hint="eastAsia" w:ascii="宋体" w:hAnsi="宋体"/>
          <w:highlight w:val="none"/>
        </w:rPr>
        <w:t>4、乙方所交的货物品种、型号、规格、技术参数、质量不符合合同规定及招标（或竞争性谈判、询价）文件规定标准的，甲方有权拒收该货物，乙方愿意更换货物但逾期交货的，按乙方逾期交货处理。乙方拒绝更换货物的，甲方可单方面解除合同。</w:t>
      </w:r>
    </w:p>
    <w:p>
      <w:pPr>
        <w:spacing w:line="360" w:lineRule="auto"/>
        <w:rPr>
          <w:rFonts w:hint="eastAsia" w:ascii="宋体" w:hAnsi="宋体"/>
          <w:b/>
          <w:bCs/>
          <w:highlight w:val="none"/>
        </w:rPr>
      </w:pPr>
      <w:r>
        <w:rPr>
          <w:rFonts w:hint="eastAsia" w:ascii="宋体" w:hAnsi="宋体"/>
          <w:b/>
          <w:bCs/>
          <w:highlight w:val="none"/>
        </w:rPr>
        <w:t>第十一条 不可抗力事件处理</w:t>
      </w:r>
    </w:p>
    <w:p>
      <w:pPr>
        <w:spacing w:line="360" w:lineRule="auto"/>
        <w:ind w:firstLine="480" w:firstLineChars="200"/>
        <w:rPr>
          <w:rFonts w:hint="eastAsia" w:ascii="宋体" w:hAnsi="宋体"/>
          <w:highlight w:val="none"/>
        </w:rPr>
      </w:pPr>
      <w:r>
        <w:rPr>
          <w:rFonts w:hint="eastAsia" w:ascii="宋体" w:hAnsi="宋体"/>
          <w:highlight w:val="none"/>
        </w:rPr>
        <w:t>1、在合同有效期内，任何一方因不可抗力事件导致不能履行合同的，合同履行期可延长，其延长期与不可抗力影响期相同。</w:t>
      </w:r>
    </w:p>
    <w:p>
      <w:pPr>
        <w:spacing w:line="360" w:lineRule="auto"/>
        <w:ind w:firstLine="480" w:firstLineChars="200"/>
        <w:rPr>
          <w:rFonts w:hint="eastAsia" w:ascii="宋体" w:hAnsi="宋体"/>
          <w:highlight w:val="none"/>
        </w:rPr>
      </w:pPr>
      <w:r>
        <w:rPr>
          <w:rFonts w:hint="eastAsia" w:ascii="宋体" w:hAnsi="宋体"/>
          <w:highlight w:val="none"/>
        </w:rPr>
        <w:t>2、不可抗力事件发生后，应立即通知对方，并寄送有关权威机构出具的证明。</w:t>
      </w:r>
    </w:p>
    <w:p>
      <w:pPr>
        <w:spacing w:line="360" w:lineRule="auto"/>
        <w:ind w:firstLine="480" w:firstLineChars="200"/>
        <w:rPr>
          <w:rFonts w:hint="eastAsia" w:ascii="宋体" w:hAnsi="宋体"/>
          <w:highlight w:val="none"/>
        </w:rPr>
      </w:pPr>
      <w:r>
        <w:rPr>
          <w:rFonts w:hint="eastAsia" w:ascii="宋体" w:hAnsi="宋体"/>
          <w:highlight w:val="none"/>
        </w:rPr>
        <w:t>3、不可抗力事件延续120天以上，双方应通过友好协商，确定是否继续履行合同。</w:t>
      </w:r>
    </w:p>
    <w:p>
      <w:pPr>
        <w:spacing w:line="360" w:lineRule="auto"/>
        <w:rPr>
          <w:rFonts w:hint="eastAsia" w:ascii="宋体" w:hAnsi="宋体"/>
          <w:b/>
          <w:bCs/>
          <w:highlight w:val="none"/>
        </w:rPr>
      </w:pPr>
      <w:r>
        <w:rPr>
          <w:rFonts w:hint="eastAsia" w:ascii="宋体" w:hAnsi="宋体"/>
          <w:b/>
          <w:bCs/>
          <w:highlight w:val="none"/>
        </w:rPr>
        <w:t>第十二条 争议的解决</w:t>
      </w:r>
    </w:p>
    <w:p>
      <w:pPr>
        <w:spacing w:line="360" w:lineRule="auto"/>
        <w:ind w:firstLine="480" w:firstLineChars="200"/>
        <w:rPr>
          <w:rFonts w:hint="eastAsia" w:ascii="宋体" w:hAnsi="宋体"/>
          <w:highlight w:val="none"/>
        </w:rPr>
      </w:pPr>
      <w:r>
        <w:rPr>
          <w:rFonts w:hint="eastAsia" w:ascii="宋体" w:hAnsi="宋体"/>
          <w:highlight w:val="none"/>
        </w:rPr>
        <w:t>因履行本合同引起的或与本合同有关的争议，甲、乙双方应首先通过友好协商解决，如果协商不能解决争议，则采取以下第</w:t>
      </w:r>
      <w:r>
        <w:rPr>
          <w:rFonts w:hint="eastAsia" w:ascii="宋体" w:hAnsi="宋体"/>
          <w:highlight w:val="none"/>
          <w:u w:val="single"/>
        </w:rPr>
        <w:t xml:space="preserve">      </w:t>
      </w:r>
      <w:r>
        <w:rPr>
          <w:rFonts w:hint="eastAsia" w:ascii="宋体" w:hAnsi="宋体"/>
          <w:highlight w:val="none"/>
        </w:rPr>
        <w:t>种方式解决争议：</w:t>
      </w:r>
    </w:p>
    <w:p>
      <w:pPr>
        <w:spacing w:line="360" w:lineRule="auto"/>
        <w:ind w:firstLine="480" w:firstLineChars="200"/>
        <w:rPr>
          <w:rFonts w:hint="eastAsia" w:ascii="宋体" w:hAnsi="宋体"/>
          <w:highlight w:val="none"/>
        </w:rPr>
      </w:pPr>
      <w:r>
        <w:rPr>
          <w:rFonts w:hint="eastAsia" w:ascii="宋体" w:hAnsi="宋体"/>
          <w:highlight w:val="none"/>
        </w:rPr>
        <w:t>（1）向甲方所在地有管辖权的人民法院提起诉讼；</w:t>
      </w:r>
    </w:p>
    <w:p>
      <w:pPr>
        <w:spacing w:line="360" w:lineRule="auto"/>
        <w:ind w:firstLine="480" w:firstLineChars="200"/>
        <w:rPr>
          <w:rFonts w:hint="eastAsia" w:ascii="宋体" w:hAnsi="宋体"/>
          <w:highlight w:val="none"/>
        </w:rPr>
      </w:pPr>
      <w:r>
        <w:rPr>
          <w:rFonts w:hint="eastAsia" w:ascii="宋体" w:hAnsi="宋体"/>
          <w:highlight w:val="none"/>
        </w:rPr>
        <w:t>（2）向</w:t>
      </w:r>
      <w:r>
        <w:rPr>
          <w:rFonts w:hint="eastAsia" w:ascii="宋体" w:hAnsi="宋体"/>
          <w:highlight w:val="none"/>
          <w:u w:val="single"/>
        </w:rPr>
        <w:t xml:space="preserve">      </w:t>
      </w:r>
      <w:r>
        <w:rPr>
          <w:rFonts w:hint="eastAsia" w:ascii="宋体" w:hAnsi="宋体"/>
          <w:highlight w:val="none"/>
        </w:rPr>
        <w:t>仲裁委员申请仲裁。</w:t>
      </w:r>
    </w:p>
    <w:p>
      <w:pPr>
        <w:spacing w:line="360" w:lineRule="auto"/>
        <w:rPr>
          <w:rFonts w:hint="eastAsia" w:ascii="宋体" w:hAnsi="宋体"/>
          <w:highlight w:val="none"/>
        </w:rPr>
      </w:pPr>
      <w:r>
        <w:rPr>
          <w:rFonts w:hint="eastAsia" w:ascii="宋体" w:hAnsi="宋体"/>
          <w:b/>
          <w:bCs/>
          <w:highlight w:val="none"/>
        </w:rPr>
        <w:t>第十三条 合同公告、合同生效及备案</w:t>
      </w:r>
    </w:p>
    <w:p>
      <w:pPr>
        <w:spacing w:line="360" w:lineRule="auto"/>
        <w:ind w:firstLine="480" w:firstLineChars="200"/>
        <w:rPr>
          <w:rFonts w:hint="eastAsia" w:ascii="宋体" w:hAnsi="宋体"/>
          <w:highlight w:val="none"/>
        </w:rPr>
      </w:pPr>
      <w:r>
        <w:rPr>
          <w:rFonts w:hint="eastAsia" w:ascii="宋体" w:hAnsi="宋体"/>
          <w:highlight w:val="none"/>
        </w:rPr>
        <w:t>1、合同公告：本项目政府采购合同将于签订之日起2个工作日内发布于浙江政府采购网，但政府采购合同中涉及国家秘密、商业秘密的内容除外。</w:t>
      </w:r>
    </w:p>
    <w:p>
      <w:pPr>
        <w:spacing w:line="360" w:lineRule="auto"/>
        <w:ind w:firstLine="480" w:firstLineChars="200"/>
        <w:rPr>
          <w:rFonts w:hint="eastAsia" w:ascii="宋体" w:hAnsi="宋体"/>
          <w:highlight w:val="none"/>
        </w:rPr>
      </w:pPr>
      <w:r>
        <w:rPr>
          <w:rFonts w:hint="eastAsia" w:ascii="宋体" w:hAnsi="宋体"/>
          <w:highlight w:val="none"/>
        </w:rPr>
        <w:t>2、合同经双方法定代表人或被授权人签字并加盖单位公章后生效。</w:t>
      </w:r>
    </w:p>
    <w:p>
      <w:pPr>
        <w:spacing w:line="360" w:lineRule="auto"/>
        <w:ind w:firstLine="480" w:firstLineChars="200"/>
        <w:rPr>
          <w:rFonts w:hint="eastAsia" w:ascii="宋体" w:hAnsi="宋体"/>
          <w:highlight w:val="none"/>
        </w:rPr>
      </w:pPr>
      <w:r>
        <w:rPr>
          <w:rFonts w:hint="eastAsia" w:ascii="宋体" w:hAnsi="宋体"/>
          <w:highlight w:val="none"/>
        </w:rPr>
        <w:t>3、合同执行中涉及采购资金和采购内容修改或补充的，须经财政部门审批，并签书面补充协议报政府部门备案，方可作为主合同不可分割的一部分。</w:t>
      </w:r>
    </w:p>
    <w:p>
      <w:pPr>
        <w:spacing w:line="360" w:lineRule="auto"/>
        <w:ind w:firstLine="480" w:firstLineChars="200"/>
        <w:rPr>
          <w:rFonts w:hint="eastAsia" w:ascii="宋体" w:hAnsi="宋体"/>
          <w:highlight w:val="none"/>
        </w:rPr>
      </w:pPr>
      <w:r>
        <w:rPr>
          <w:rFonts w:hint="eastAsia" w:ascii="宋体" w:hAnsi="宋体"/>
          <w:highlight w:val="none"/>
        </w:rPr>
        <w:t>4、本合同未尽事宜，遵照《民法典》有关条文执行。</w:t>
      </w:r>
    </w:p>
    <w:p>
      <w:pPr>
        <w:spacing w:line="360" w:lineRule="auto"/>
        <w:ind w:firstLine="480" w:firstLineChars="200"/>
        <w:rPr>
          <w:rFonts w:hint="eastAsia" w:ascii="宋体" w:hAnsi="宋体"/>
          <w:highlight w:val="none"/>
        </w:rPr>
      </w:pPr>
      <w:r>
        <w:rPr>
          <w:rFonts w:hint="eastAsia" w:ascii="宋体" w:hAnsi="宋体"/>
          <w:highlight w:val="none"/>
        </w:rPr>
        <w:t>5、本合同一式</w:t>
      </w:r>
      <w:r>
        <w:rPr>
          <w:rFonts w:hint="eastAsia" w:ascii="宋体" w:hAnsi="宋体"/>
          <w:highlight w:val="none"/>
          <w:u w:val="single"/>
        </w:rPr>
        <w:t xml:space="preserve">    </w:t>
      </w:r>
      <w:r>
        <w:rPr>
          <w:rFonts w:hint="eastAsia" w:ascii="宋体" w:hAnsi="宋体"/>
          <w:highlight w:val="none"/>
        </w:rPr>
        <w:t>份，甲乙双方各执</w:t>
      </w:r>
      <w:r>
        <w:rPr>
          <w:rFonts w:hint="eastAsia" w:ascii="宋体" w:hAnsi="宋体"/>
          <w:highlight w:val="none"/>
          <w:u w:val="single"/>
        </w:rPr>
        <w:t xml:space="preserve">    </w:t>
      </w:r>
      <w:r>
        <w:rPr>
          <w:rFonts w:hint="eastAsia" w:ascii="宋体" w:hAnsi="宋体"/>
          <w:highlight w:val="none"/>
        </w:rPr>
        <w:t>份。若执行政采贷，另加</w:t>
      </w:r>
      <w:r>
        <w:rPr>
          <w:rFonts w:hint="eastAsia" w:ascii="宋体" w:hAnsi="宋体"/>
          <w:highlight w:val="none"/>
          <w:u w:val="single"/>
        </w:rPr>
        <w:t xml:space="preserve"> 贰 </w:t>
      </w:r>
      <w:r>
        <w:rPr>
          <w:rFonts w:hint="eastAsia" w:ascii="宋体" w:hAnsi="宋体"/>
          <w:highlight w:val="none"/>
        </w:rPr>
        <w:t>份。</w:t>
      </w:r>
    </w:p>
    <w:p>
      <w:pPr>
        <w:spacing w:line="360" w:lineRule="auto"/>
        <w:jc w:val="center"/>
        <w:rPr>
          <w:rFonts w:hint="eastAsia" w:ascii="宋体" w:hAnsi="宋体"/>
          <w:highlight w:val="none"/>
        </w:rPr>
      </w:pPr>
      <w:r>
        <w:rPr>
          <w:rFonts w:hint="eastAsia" w:ascii="宋体" w:hAnsi="宋体"/>
          <w:highlight w:val="none"/>
        </w:rPr>
        <w:br w:type="page"/>
      </w:r>
      <w:r>
        <w:rPr>
          <w:rFonts w:hint="eastAsia" w:ascii="宋体" w:hAnsi="宋体"/>
          <w:b/>
          <w:bCs/>
          <w:highlight w:val="none"/>
        </w:rPr>
        <w:t>二、特殊专用条款部分</w:t>
      </w:r>
    </w:p>
    <w:p>
      <w:pPr>
        <w:spacing w:line="360" w:lineRule="auto"/>
        <w:rPr>
          <w:rFonts w:hint="eastAsia" w:ascii="宋体" w:hAnsi="宋体"/>
          <w:highlight w:val="none"/>
          <w:u w:val="single"/>
        </w:rPr>
      </w:pPr>
      <w:r>
        <w:rPr>
          <w:rFonts w:hint="eastAsia" w:ascii="宋体" w:hAnsi="宋体"/>
          <w:highlight w:val="none"/>
          <w:u w:val="single"/>
        </w:rPr>
        <w:t xml:space="preserve">                                                                   </w:t>
      </w:r>
    </w:p>
    <w:p>
      <w:pPr>
        <w:spacing w:line="360" w:lineRule="auto"/>
        <w:rPr>
          <w:rFonts w:hint="eastAsia" w:ascii="宋体" w:hAnsi="宋体"/>
          <w:highlight w:val="none"/>
          <w:u w:val="single"/>
        </w:rPr>
      </w:pPr>
      <w:r>
        <w:rPr>
          <w:rFonts w:hint="eastAsia" w:ascii="宋体" w:hAnsi="宋体"/>
          <w:highlight w:val="none"/>
          <w:u w:val="single"/>
        </w:rPr>
        <w:t xml:space="preserve">                                                                   </w:t>
      </w:r>
    </w:p>
    <w:p>
      <w:pPr>
        <w:spacing w:line="360" w:lineRule="auto"/>
        <w:rPr>
          <w:rFonts w:hint="eastAsia" w:ascii="宋体" w:hAnsi="宋体"/>
          <w:highlight w:val="none"/>
          <w:u w:val="single"/>
        </w:rPr>
      </w:pPr>
      <w:r>
        <w:rPr>
          <w:rFonts w:hint="eastAsia" w:ascii="宋体" w:hAnsi="宋体"/>
          <w:highlight w:val="none"/>
          <w:u w:val="single"/>
        </w:rPr>
        <w:t xml:space="preserve">                                                                   </w:t>
      </w:r>
      <w:r>
        <w:rPr>
          <w:rFonts w:hint="eastAsia" w:ascii="宋体" w:hAnsi="宋体"/>
          <w:highlight w:val="none"/>
        </w:rPr>
        <w:t>。</w:t>
      </w:r>
    </w:p>
    <w:p>
      <w:pPr>
        <w:spacing w:line="360" w:lineRule="auto"/>
        <w:rPr>
          <w:rFonts w:hint="eastAsia" w:ascii="宋体" w:hAnsi="宋体"/>
          <w:highlight w:val="none"/>
        </w:rPr>
      </w:pPr>
    </w:p>
    <w:p>
      <w:pPr>
        <w:spacing w:line="360" w:lineRule="auto"/>
        <w:rPr>
          <w:rFonts w:hint="eastAsia" w:ascii="宋体" w:hAnsi="宋体"/>
          <w:highlight w:val="none"/>
        </w:rPr>
      </w:pPr>
      <w:r>
        <w:rPr>
          <w:rFonts w:hint="eastAsia" w:ascii="宋体" w:hAnsi="宋体"/>
          <w:highlight w:val="none"/>
        </w:rPr>
        <w:t xml:space="preserve">甲方（采购人）：（盖章）              </w:t>
      </w:r>
    </w:p>
    <w:p>
      <w:pPr>
        <w:spacing w:line="360" w:lineRule="auto"/>
        <w:rPr>
          <w:rFonts w:hint="eastAsia" w:ascii="宋体" w:hAnsi="宋体"/>
          <w:highlight w:val="none"/>
        </w:rPr>
      </w:pPr>
      <w:r>
        <w:rPr>
          <w:rFonts w:hint="eastAsia" w:ascii="宋体" w:hAnsi="宋体"/>
          <w:highlight w:val="none"/>
        </w:rPr>
        <w:t xml:space="preserve">法定（授权）代表：            </w:t>
      </w:r>
    </w:p>
    <w:p>
      <w:pPr>
        <w:spacing w:line="360" w:lineRule="auto"/>
        <w:rPr>
          <w:rFonts w:hint="eastAsia" w:ascii="宋体" w:hAnsi="宋体"/>
          <w:highlight w:val="none"/>
        </w:rPr>
      </w:pPr>
      <w:r>
        <w:rPr>
          <w:rFonts w:hint="eastAsia" w:ascii="宋体" w:hAnsi="宋体"/>
          <w:highlight w:val="none"/>
        </w:rPr>
        <w:t xml:space="preserve">电话：                  </w:t>
      </w:r>
    </w:p>
    <w:p>
      <w:pPr>
        <w:spacing w:line="360" w:lineRule="auto"/>
        <w:rPr>
          <w:rFonts w:hint="eastAsia" w:ascii="宋体" w:hAnsi="宋体"/>
          <w:highlight w:val="none"/>
        </w:rPr>
      </w:pPr>
      <w:r>
        <w:rPr>
          <w:rFonts w:hint="eastAsia" w:ascii="宋体" w:hAnsi="宋体"/>
          <w:highlight w:val="none"/>
        </w:rPr>
        <w:t xml:space="preserve">单位地址：         </w:t>
      </w:r>
    </w:p>
    <w:p>
      <w:pPr>
        <w:spacing w:line="360" w:lineRule="auto"/>
        <w:rPr>
          <w:rFonts w:hint="eastAsia" w:ascii="宋体" w:hAnsi="宋体"/>
          <w:highlight w:val="none"/>
        </w:rPr>
      </w:pPr>
    </w:p>
    <w:p>
      <w:pPr>
        <w:spacing w:line="360" w:lineRule="auto"/>
        <w:rPr>
          <w:rFonts w:hint="eastAsia" w:ascii="宋体" w:hAnsi="宋体"/>
          <w:highlight w:val="none"/>
        </w:rPr>
      </w:pPr>
      <w:r>
        <w:rPr>
          <w:rFonts w:hint="eastAsia" w:ascii="宋体" w:hAnsi="宋体"/>
          <w:highlight w:val="none"/>
        </w:rPr>
        <w:t>乙方（供应商）：（盖章）</w:t>
      </w:r>
    </w:p>
    <w:p>
      <w:pPr>
        <w:spacing w:line="360" w:lineRule="auto"/>
        <w:rPr>
          <w:rFonts w:hint="eastAsia" w:ascii="宋体" w:hAnsi="宋体"/>
          <w:highlight w:val="none"/>
        </w:rPr>
      </w:pPr>
      <w:r>
        <w:rPr>
          <w:rFonts w:hint="eastAsia" w:ascii="宋体" w:hAnsi="宋体"/>
          <w:highlight w:val="none"/>
        </w:rPr>
        <w:t>法定（授权）代表：</w:t>
      </w:r>
    </w:p>
    <w:p>
      <w:pPr>
        <w:spacing w:line="360" w:lineRule="auto"/>
        <w:rPr>
          <w:rFonts w:hint="eastAsia" w:ascii="宋体" w:hAnsi="宋体"/>
          <w:highlight w:val="none"/>
        </w:rPr>
      </w:pPr>
      <w:r>
        <w:rPr>
          <w:rFonts w:hint="eastAsia" w:ascii="宋体" w:hAnsi="宋体"/>
          <w:highlight w:val="none"/>
        </w:rPr>
        <w:t>电话：</w:t>
      </w:r>
    </w:p>
    <w:p>
      <w:pPr>
        <w:spacing w:line="360" w:lineRule="auto"/>
        <w:rPr>
          <w:rFonts w:hint="eastAsia" w:ascii="宋体" w:hAnsi="宋体"/>
          <w:highlight w:val="none"/>
        </w:rPr>
      </w:pPr>
      <w:r>
        <w:rPr>
          <w:rFonts w:hint="eastAsia" w:ascii="宋体" w:hAnsi="宋体"/>
          <w:highlight w:val="none"/>
        </w:rPr>
        <w:t>单位地址：</w:t>
      </w:r>
    </w:p>
    <w:p>
      <w:pPr>
        <w:spacing w:line="360" w:lineRule="auto"/>
        <w:rPr>
          <w:rFonts w:hint="eastAsia" w:ascii="宋体" w:hAnsi="宋体"/>
          <w:highlight w:val="none"/>
        </w:rPr>
      </w:pPr>
    </w:p>
    <w:p>
      <w:pPr>
        <w:spacing w:line="360" w:lineRule="auto"/>
        <w:rPr>
          <w:rFonts w:hint="eastAsia" w:ascii="宋体" w:hAnsi="宋体"/>
          <w:highlight w:val="none"/>
        </w:rPr>
      </w:pPr>
      <w:r>
        <w:rPr>
          <w:rFonts w:hint="eastAsia" w:ascii="宋体" w:hAnsi="宋体"/>
          <w:highlight w:val="none"/>
        </w:rPr>
        <w:t>签约日期：      年      月      日</w:t>
      </w:r>
    </w:p>
    <w:p>
      <w:pPr>
        <w:spacing w:line="360" w:lineRule="auto"/>
        <w:rPr>
          <w:rFonts w:hint="eastAsia" w:ascii="宋体" w:hAnsi="宋体"/>
          <w:highlight w:val="none"/>
        </w:rPr>
      </w:pPr>
      <w:r>
        <w:rPr>
          <w:rFonts w:hint="eastAsia" w:ascii="宋体" w:hAnsi="宋体"/>
          <w:highlight w:val="none"/>
        </w:rPr>
        <w:t>签约地点：</w:t>
      </w:r>
    </w:p>
    <w:p>
      <w:pPr>
        <w:rPr>
          <w:bCs/>
          <w:highlight w:val="none"/>
        </w:rPr>
      </w:pPr>
    </w:p>
    <w:p>
      <w:pPr>
        <w:pStyle w:val="3"/>
        <w:rPr>
          <w:highlight w:val="none"/>
        </w:rPr>
        <w:sectPr>
          <w:pgSz w:w="11906" w:h="16838"/>
          <w:pgMar w:top="1440" w:right="1797" w:bottom="1440" w:left="1797" w:header="851" w:footer="851" w:gutter="0"/>
          <w:cols w:space="720" w:num="1"/>
          <w:docGrid w:linePitch="312" w:charSpace="0"/>
        </w:sectPr>
      </w:pPr>
    </w:p>
    <w:tbl>
      <w:tblPr>
        <w:tblStyle w:val="29"/>
        <w:tblW w:w="14080" w:type="dxa"/>
        <w:tblInd w:w="93" w:type="dxa"/>
        <w:tblLayout w:type="fixed"/>
        <w:tblCellMar>
          <w:top w:w="0" w:type="dxa"/>
          <w:left w:w="108" w:type="dxa"/>
          <w:bottom w:w="0" w:type="dxa"/>
          <w:right w:w="108" w:type="dxa"/>
        </w:tblCellMar>
      </w:tblPr>
      <w:tblGrid>
        <w:gridCol w:w="4620"/>
        <w:gridCol w:w="4840"/>
        <w:gridCol w:w="1280"/>
        <w:gridCol w:w="1600"/>
        <w:gridCol w:w="1740"/>
      </w:tblGrid>
      <w:tr>
        <w:tblPrEx>
          <w:tblCellMar>
            <w:top w:w="0" w:type="dxa"/>
            <w:left w:w="108" w:type="dxa"/>
            <w:bottom w:w="0" w:type="dxa"/>
            <w:right w:w="108" w:type="dxa"/>
          </w:tblCellMar>
        </w:tblPrEx>
        <w:trPr>
          <w:trHeight w:val="735" w:hRule="atLeast"/>
        </w:trPr>
        <w:tc>
          <w:tcPr>
            <w:tcW w:w="14080" w:type="dxa"/>
            <w:gridSpan w:val="5"/>
            <w:tcBorders>
              <w:top w:val="nil"/>
              <w:left w:val="nil"/>
              <w:bottom w:val="nil"/>
              <w:right w:val="nil"/>
            </w:tcBorders>
            <w:vAlign w:val="center"/>
          </w:tcPr>
          <w:p>
            <w:pPr>
              <w:widowControl/>
              <w:jc w:val="center"/>
              <w:rPr>
                <w:b/>
                <w:bCs/>
                <w:kern w:val="0"/>
                <w:sz w:val="48"/>
                <w:szCs w:val="48"/>
                <w:highlight w:val="none"/>
              </w:rPr>
            </w:pPr>
            <w:r>
              <w:rPr>
                <w:b/>
                <w:bCs/>
                <w:kern w:val="0"/>
                <w:sz w:val="48"/>
                <w:szCs w:val="48"/>
                <w:highlight w:val="none"/>
              </w:rPr>
              <w:t>政 府 采 购 项 目 验 收 单</w:t>
            </w:r>
          </w:p>
        </w:tc>
      </w:tr>
      <w:tr>
        <w:tblPrEx>
          <w:tblCellMar>
            <w:top w:w="0" w:type="dxa"/>
            <w:left w:w="108" w:type="dxa"/>
            <w:bottom w:w="0" w:type="dxa"/>
            <w:right w:w="108" w:type="dxa"/>
          </w:tblCellMar>
        </w:tblPrEx>
        <w:trPr>
          <w:trHeight w:val="570" w:hRule="atLeast"/>
        </w:trPr>
        <w:tc>
          <w:tcPr>
            <w:tcW w:w="14080" w:type="dxa"/>
            <w:gridSpan w:val="5"/>
            <w:tcBorders>
              <w:top w:val="nil"/>
              <w:left w:val="nil"/>
              <w:bottom w:val="nil"/>
              <w:right w:val="nil"/>
            </w:tcBorders>
            <w:vAlign w:val="center"/>
          </w:tcPr>
          <w:p>
            <w:pPr>
              <w:widowControl/>
              <w:jc w:val="left"/>
              <w:rPr>
                <w:kern w:val="0"/>
                <w:sz w:val="21"/>
                <w:szCs w:val="21"/>
                <w:highlight w:val="none"/>
              </w:rPr>
            </w:pPr>
            <w:r>
              <w:rPr>
                <w:kern w:val="0"/>
                <w:sz w:val="21"/>
                <w:szCs w:val="21"/>
                <w:highlight w:val="none"/>
              </w:rPr>
              <w:t>按照</w:t>
            </w:r>
            <w:r>
              <w:rPr>
                <w:rFonts w:hint="eastAsia"/>
                <w:kern w:val="0"/>
                <w:sz w:val="21"/>
                <w:szCs w:val="21"/>
                <w:highlight w:val="none"/>
              </w:rPr>
              <w:t>采购计划文号：</w:t>
            </w:r>
            <w:r>
              <w:rPr>
                <w:rFonts w:hint="eastAsia" w:ascii="宋体" w:hAnsi="宋体"/>
                <w:sz w:val="21"/>
                <w:szCs w:val="21"/>
                <w:highlight w:val="none"/>
                <w:lang w:eastAsia="zh-CN"/>
              </w:rPr>
              <w:t>临[2026]1859号</w:t>
            </w:r>
            <w:r>
              <w:rPr>
                <w:kern w:val="0"/>
                <w:sz w:val="21"/>
                <w:szCs w:val="21"/>
                <w:highlight w:val="none"/>
              </w:rPr>
              <w:t>，</w:t>
            </w:r>
            <w:r>
              <w:rPr>
                <w:rFonts w:hint="eastAsia"/>
                <w:kern w:val="0"/>
                <w:sz w:val="21"/>
                <w:szCs w:val="21"/>
                <w:highlight w:val="none"/>
              </w:rPr>
              <w:t>项目编号</w:t>
            </w:r>
            <w:r>
              <w:rPr>
                <w:kern w:val="0"/>
                <w:sz w:val="21"/>
                <w:szCs w:val="21"/>
                <w:highlight w:val="none"/>
              </w:rPr>
              <w:t>：</w:t>
            </w:r>
            <w:r>
              <w:rPr>
                <w:rFonts w:hint="eastAsia"/>
                <w:kern w:val="0"/>
                <w:sz w:val="21"/>
                <w:szCs w:val="21"/>
                <w:highlight w:val="none"/>
                <w:lang w:eastAsia="zh-CN"/>
              </w:rPr>
              <w:t>嘉政采招（2026）第72号</w:t>
            </w:r>
            <w:r>
              <w:rPr>
                <w:kern w:val="0"/>
                <w:sz w:val="21"/>
                <w:szCs w:val="21"/>
                <w:highlight w:val="none"/>
              </w:rPr>
              <w:t xml:space="preserve"> ,合同号：</w:t>
            </w:r>
            <w:r>
              <w:rPr>
                <w:rFonts w:hint="eastAsia"/>
                <w:kern w:val="0"/>
                <w:sz w:val="21"/>
                <w:szCs w:val="21"/>
                <w:highlight w:val="none"/>
                <w:lang w:eastAsia="zh-CN"/>
              </w:rPr>
              <w:t>嘉政采招（2026）第72号</w:t>
            </w:r>
            <w:r>
              <w:rPr>
                <w:kern w:val="0"/>
                <w:sz w:val="21"/>
                <w:szCs w:val="21"/>
                <w:highlight w:val="none"/>
              </w:rPr>
              <w:t>以下项目已采购到位并验收合格。</w:t>
            </w:r>
          </w:p>
        </w:tc>
      </w:tr>
      <w:tr>
        <w:tblPrEx>
          <w:tblCellMar>
            <w:top w:w="0" w:type="dxa"/>
            <w:left w:w="108" w:type="dxa"/>
            <w:bottom w:w="0" w:type="dxa"/>
            <w:right w:w="108" w:type="dxa"/>
          </w:tblCellMar>
        </w:tblPrEx>
        <w:trPr>
          <w:trHeight w:val="870" w:hRule="atLeast"/>
        </w:trPr>
        <w:tc>
          <w:tcPr>
            <w:tcW w:w="4620" w:type="dxa"/>
            <w:tcBorders>
              <w:top w:val="single" w:color="auto" w:sz="4" w:space="0"/>
              <w:left w:val="single" w:color="auto" w:sz="4" w:space="0"/>
              <w:bottom w:val="nil"/>
              <w:right w:val="single" w:color="auto" w:sz="4" w:space="0"/>
            </w:tcBorders>
            <w:vAlign w:val="center"/>
          </w:tcPr>
          <w:p>
            <w:pPr>
              <w:widowControl/>
              <w:jc w:val="center"/>
              <w:rPr>
                <w:kern w:val="0"/>
                <w:sz w:val="28"/>
                <w:szCs w:val="28"/>
                <w:highlight w:val="none"/>
              </w:rPr>
            </w:pPr>
            <w:r>
              <w:rPr>
                <w:kern w:val="0"/>
                <w:sz w:val="28"/>
                <w:szCs w:val="28"/>
                <w:highlight w:val="none"/>
              </w:rPr>
              <w:t>采购货物名称</w:t>
            </w:r>
          </w:p>
        </w:tc>
        <w:tc>
          <w:tcPr>
            <w:tcW w:w="4840" w:type="dxa"/>
            <w:tcBorders>
              <w:top w:val="single" w:color="auto" w:sz="4" w:space="0"/>
              <w:left w:val="nil"/>
              <w:bottom w:val="nil"/>
              <w:right w:val="single" w:color="auto" w:sz="4" w:space="0"/>
            </w:tcBorders>
            <w:vAlign w:val="center"/>
          </w:tcPr>
          <w:p>
            <w:pPr>
              <w:widowControl/>
              <w:jc w:val="center"/>
              <w:rPr>
                <w:kern w:val="0"/>
                <w:sz w:val="28"/>
                <w:szCs w:val="28"/>
                <w:highlight w:val="none"/>
              </w:rPr>
            </w:pPr>
            <w:r>
              <w:rPr>
                <w:kern w:val="0"/>
                <w:sz w:val="28"/>
                <w:szCs w:val="28"/>
                <w:highlight w:val="none"/>
              </w:rPr>
              <w:t>规格、型号</w:t>
            </w:r>
          </w:p>
        </w:tc>
        <w:tc>
          <w:tcPr>
            <w:tcW w:w="1280" w:type="dxa"/>
            <w:tcBorders>
              <w:top w:val="single" w:color="auto" w:sz="4" w:space="0"/>
              <w:left w:val="nil"/>
              <w:bottom w:val="nil"/>
              <w:right w:val="single" w:color="auto" w:sz="4" w:space="0"/>
            </w:tcBorders>
            <w:vAlign w:val="center"/>
          </w:tcPr>
          <w:p>
            <w:pPr>
              <w:widowControl/>
              <w:jc w:val="center"/>
              <w:rPr>
                <w:kern w:val="0"/>
                <w:sz w:val="28"/>
                <w:szCs w:val="28"/>
                <w:highlight w:val="none"/>
              </w:rPr>
            </w:pPr>
            <w:r>
              <w:rPr>
                <w:kern w:val="0"/>
                <w:sz w:val="28"/>
                <w:szCs w:val="28"/>
                <w:highlight w:val="none"/>
              </w:rPr>
              <w:t>数量</w:t>
            </w:r>
          </w:p>
        </w:tc>
        <w:tc>
          <w:tcPr>
            <w:tcW w:w="1600" w:type="dxa"/>
            <w:tcBorders>
              <w:top w:val="single" w:color="auto" w:sz="4" w:space="0"/>
              <w:left w:val="nil"/>
              <w:bottom w:val="nil"/>
              <w:right w:val="single" w:color="auto" w:sz="4" w:space="0"/>
            </w:tcBorders>
            <w:vAlign w:val="center"/>
          </w:tcPr>
          <w:p>
            <w:pPr>
              <w:widowControl/>
              <w:jc w:val="center"/>
              <w:rPr>
                <w:kern w:val="0"/>
                <w:sz w:val="28"/>
                <w:szCs w:val="28"/>
                <w:highlight w:val="none"/>
              </w:rPr>
            </w:pPr>
            <w:r>
              <w:rPr>
                <w:kern w:val="0"/>
                <w:sz w:val="28"/>
                <w:szCs w:val="28"/>
                <w:highlight w:val="none"/>
              </w:rPr>
              <w:t>核定总价</w:t>
            </w:r>
          </w:p>
        </w:tc>
        <w:tc>
          <w:tcPr>
            <w:tcW w:w="1740" w:type="dxa"/>
            <w:tcBorders>
              <w:top w:val="single" w:color="auto" w:sz="4" w:space="0"/>
              <w:left w:val="nil"/>
              <w:bottom w:val="single" w:color="auto" w:sz="4" w:space="0"/>
              <w:right w:val="single" w:color="auto" w:sz="4" w:space="0"/>
            </w:tcBorders>
            <w:vAlign w:val="center"/>
          </w:tcPr>
          <w:p>
            <w:pPr>
              <w:widowControl/>
              <w:jc w:val="center"/>
              <w:rPr>
                <w:kern w:val="0"/>
                <w:sz w:val="28"/>
                <w:szCs w:val="28"/>
                <w:highlight w:val="none"/>
              </w:rPr>
            </w:pPr>
            <w:r>
              <w:rPr>
                <w:kern w:val="0"/>
                <w:sz w:val="28"/>
                <w:szCs w:val="28"/>
                <w:highlight w:val="none"/>
              </w:rPr>
              <w:t>采购人</w:t>
            </w:r>
          </w:p>
          <w:p>
            <w:pPr>
              <w:widowControl/>
              <w:jc w:val="center"/>
              <w:rPr>
                <w:kern w:val="0"/>
                <w:sz w:val="28"/>
                <w:szCs w:val="28"/>
                <w:highlight w:val="none"/>
              </w:rPr>
            </w:pPr>
            <w:r>
              <w:rPr>
                <w:kern w:val="0"/>
                <w:sz w:val="28"/>
                <w:szCs w:val="28"/>
                <w:highlight w:val="none"/>
              </w:rPr>
              <w:t>验收意见</w:t>
            </w:r>
          </w:p>
        </w:tc>
      </w:tr>
      <w:tr>
        <w:tblPrEx>
          <w:tblCellMar>
            <w:top w:w="0" w:type="dxa"/>
            <w:left w:w="108" w:type="dxa"/>
            <w:bottom w:w="0" w:type="dxa"/>
            <w:right w:w="108" w:type="dxa"/>
          </w:tblCellMar>
        </w:tblPrEx>
        <w:trPr>
          <w:trHeight w:val="708" w:hRule="atLeast"/>
        </w:trPr>
        <w:tc>
          <w:tcPr>
            <w:tcW w:w="4620"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 w:val="28"/>
                <w:szCs w:val="28"/>
                <w:highlight w:val="none"/>
              </w:rPr>
            </w:pPr>
            <w:r>
              <w:rPr>
                <w:kern w:val="0"/>
                <w:sz w:val="28"/>
                <w:szCs w:val="28"/>
                <w:highlight w:val="none"/>
              </w:rPr>
              <w:t>　</w:t>
            </w:r>
          </w:p>
        </w:tc>
        <w:tc>
          <w:tcPr>
            <w:tcW w:w="4840" w:type="dxa"/>
            <w:tcBorders>
              <w:top w:val="single" w:color="auto" w:sz="4" w:space="0"/>
              <w:left w:val="nil"/>
              <w:bottom w:val="single" w:color="auto" w:sz="4" w:space="0"/>
              <w:right w:val="single" w:color="auto" w:sz="4" w:space="0"/>
            </w:tcBorders>
            <w:vAlign w:val="center"/>
          </w:tcPr>
          <w:p>
            <w:pPr>
              <w:widowControl/>
              <w:jc w:val="center"/>
              <w:rPr>
                <w:kern w:val="0"/>
                <w:sz w:val="26"/>
                <w:szCs w:val="26"/>
                <w:highlight w:val="none"/>
              </w:rPr>
            </w:pPr>
            <w:r>
              <w:rPr>
                <w:kern w:val="0"/>
                <w:sz w:val="26"/>
                <w:szCs w:val="26"/>
                <w:highlight w:val="none"/>
              </w:rPr>
              <w:t>　</w:t>
            </w:r>
          </w:p>
        </w:tc>
        <w:tc>
          <w:tcPr>
            <w:tcW w:w="1280" w:type="dxa"/>
            <w:tcBorders>
              <w:top w:val="single" w:color="auto" w:sz="4" w:space="0"/>
              <w:left w:val="nil"/>
              <w:bottom w:val="single" w:color="auto" w:sz="4" w:space="0"/>
              <w:right w:val="single" w:color="auto" w:sz="4" w:space="0"/>
            </w:tcBorders>
            <w:vAlign w:val="center"/>
          </w:tcPr>
          <w:p>
            <w:pPr>
              <w:widowControl/>
              <w:jc w:val="center"/>
              <w:rPr>
                <w:kern w:val="0"/>
                <w:sz w:val="26"/>
                <w:szCs w:val="26"/>
                <w:highlight w:val="none"/>
              </w:rPr>
            </w:pPr>
            <w:r>
              <w:rPr>
                <w:kern w:val="0"/>
                <w:sz w:val="26"/>
                <w:szCs w:val="26"/>
                <w:highlight w:val="none"/>
              </w:rPr>
              <w:t>　</w:t>
            </w:r>
          </w:p>
        </w:tc>
        <w:tc>
          <w:tcPr>
            <w:tcW w:w="1600" w:type="dxa"/>
            <w:tcBorders>
              <w:top w:val="single" w:color="auto" w:sz="4" w:space="0"/>
              <w:left w:val="nil"/>
              <w:bottom w:val="single" w:color="auto" w:sz="4" w:space="0"/>
              <w:right w:val="single" w:color="auto" w:sz="4" w:space="0"/>
            </w:tcBorders>
            <w:vAlign w:val="center"/>
          </w:tcPr>
          <w:p>
            <w:pPr>
              <w:widowControl/>
              <w:jc w:val="center"/>
              <w:rPr>
                <w:kern w:val="0"/>
                <w:sz w:val="26"/>
                <w:szCs w:val="26"/>
                <w:highlight w:val="none"/>
              </w:rPr>
            </w:pPr>
            <w:r>
              <w:rPr>
                <w:kern w:val="0"/>
                <w:sz w:val="26"/>
                <w:szCs w:val="26"/>
                <w:highlight w:val="none"/>
              </w:rPr>
              <w:t>　</w:t>
            </w:r>
          </w:p>
        </w:tc>
        <w:tc>
          <w:tcPr>
            <w:tcW w:w="1740" w:type="dxa"/>
            <w:tcBorders>
              <w:top w:val="nil"/>
              <w:left w:val="nil"/>
              <w:bottom w:val="single" w:color="auto" w:sz="4" w:space="0"/>
              <w:right w:val="single" w:color="auto" w:sz="4" w:space="0"/>
            </w:tcBorders>
            <w:vAlign w:val="bottom"/>
          </w:tcPr>
          <w:p>
            <w:pPr>
              <w:widowControl/>
              <w:jc w:val="left"/>
              <w:rPr>
                <w:kern w:val="0"/>
                <w:sz w:val="26"/>
                <w:szCs w:val="26"/>
                <w:highlight w:val="none"/>
              </w:rPr>
            </w:pPr>
            <w:r>
              <w:rPr>
                <w:kern w:val="0"/>
                <w:sz w:val="26"/>
                <w:szCs w:val="26"/>
                <w:highlight w:val="none"/>
              </w:rPr>
              <w:t>　</w:t>
            </w:r>
          </w:p>
        </w:tc>
      </w:tr>
      <w:tr>
        <w:tblPrEx>
          <w:tblCellMar>
            <w:top w:w="0" w:type="dxa"/>
            <w:left w:w="108" w:type="dxa"/>
            <w:bottom w:w="0" w:type="dxa"/>
            <w:right w:w="108" w:type="dxa"/>
          </w:tblCellMar>
        </w:tblPrEx>
        <w:trPr>
          <w:trHeight w:val="750" w:hRule="atLeast"/>
        </w:trPr>
        <w:tc>
          <w:tcPr>
            <w:tcW w:w="4620" w:type="dxa"/>
            <w:tcBorders>
              <w:top w:val="nil"/>
              <w:left w:val="single" w:color="auto" w:sz="4" w:space="0"/>
              <w:bottom w:val="single" w:color="auto" w:sz="4" w:space="0"/>
              <w:right w:val="single" w:color="auto" w:sz="4" w:space="0"/>
            </w:tcBorders>
            <w:vAlign w:val="center"/>
          </w:tcPr>
          <w:p>
            <w:pPr>
              <w:widowControl/>
              <w:jc w:val="center"/>
              <w:rPr>
                <w:kern w:val="0"/>
                <w:sz w:val="26"/>
                <w:szCs w:val="26"/>
                <w:highlight w:val="none"/>
              </w:rPr>
            </w:pPr>
            <w:r>
              <w:rPr>
                <w:kern w:val="0"/>
                <w:sz w:val="26"/>
                <w:szCs w:val="26"/>
                <w:highlight w:val="none"/>
              </w:rPr>
              <w:t>合计总价款（人民币）</w:t>
            </w:r>
          </w:p>
        </w:tc>
        <w:tc>
          <w:tcPr>
            <w:tcW w:w="9460" w:type="dxa"/>
            <w:gridSpan w:val="4"/>
            <w:tcBorders>
              <w:top w:val="nil"/>
              <w:left w:val="nil"/>
              <w:bottom w:val="single" w:color="auto" w:sz="4" w:space="0"/>
              <w:right w:val="single" w:color="000000" w:sz="4" w:space="0"/>
            </w:tcBorders>
            <w:vAlign w:val="center"/>
          </w:tcPr>
          <w:p>
            <w:pPr>
              <w:widowControl/>
              <w:jc w:val="left"/>
              <w:rPr>
                <w:kern w:val="0"/>
                <w:sz w:val="26"/>
                <w:szCs w:val="26"/>
                <w:highlight w:val="none"/>
              </w:rPr>
            </w:pPr>
            <w:r>
              <w:rPr>
                <w:kern w:val="0"/>
                <w:sz w:val="26"/>
                <w:szCs w:val="26"/>
                <w:highlight w:val="none"/>
              </w:rPr>
              <w:t>人民币</w:t>
            </w:r>
            <w:r>
              <w:rPr>
                <w:kern w:val="0"/>
                <w:sz w:val="26"/>
                <w:szCs w:val="26"/>
                <w:highlight w:val="none"/>
                <w:u w:val="single"/>
              </w:rPr>
              <w:t xml:space="preserve">                 </w:t>
            </w:r>
            <w:r>
              <w:rPr>
                <w:kern w:val="0"/>
                <w:sz w:val="26"/>
                <w:szCs w:val="26"/>
                <w:highlight w:val="none"/>
              </w:rPr>
              <w:t xml:space="preserve">元整。       ￥: </w:t>
            </w:r>
            <w:r>
              <w:rPr>
                <w:kern w:val="0"/>
                <w:sz w:val="26"/>
                <w:szCs w:val="26"/>
                <w:highlight w:val="none"/>
                <w:u w:val="single"/>
              </w:rPr>
              <w:t xml:space="preserve">             </w:t>
            </w:r>
          </w:p>
        </w:tc>
      </w:tr>
      <w:tr>
        <w:tblPrEx>
          <w:tblCellMar>
            <w:top w:w="0" w:type="dxa"/>
            <w:left w:w="108" w:type="dxa"/>
            <w:bottom w:w="0" w:type="dxa"/>
            <w:right w:w="108" w:type="dxa"/>
          </w:tblCellMar>
        </w:tblPrEx>
        <w:trPr>
          <w:trHeight w:val="690" w:hRule="atLeast"/>
        </w:trPr>
        <w:tc>
          <w:tcPr>
            <w:tcW w:w="4620" w:type="dxa"/>
            <w:tcBorders>
              <w:top w:val="nil"/>
              <w:left w:val="single" w:color="auto" w:sz="4" w:space="0"/>
              <w:bottom w:val="nil"/>
              <w:right w:val="nil"/>
            </w:tcBorders>
            <w:vAlign w:val="bottom"/>
          </w:tcPr>
          <w:p>
            <w:pPr>
              <w:widowControl/>
              <w:jc w:val="left"/>
              <w:rPr>
                <w:kern w:val="0"/>
                <w:highlight w:val="none"/>
              </w:rPr>
            </w:pPr>
            <w:r>
              <w:rPr>
                <w:kern w:val="0"/>
                <w:highlight w:val="none"/>
              </w:rPr>
              <w:t xml:space="preserve">供货单位（盖章）：                     </w:t>
            </w:r>
          </w:p>
        </w:tc>
        <w:tc>
          <w:tcPr>
            <w:tcW w:w="4840" w:type="dxa"/>
            <w:tcBorders>
              <w:top w:val="nil"/>
              <w:left w:val="nil"/>
              <w:bottom w:val="nil"/>
              <w:right w:val="nil"/>
            </w:tcBorders>
            <w:vAlign w:val="center"/>
          </w:tcPr>
          <w:p>
            <w:pPr>
              <w:widowControl/>
              <w:jc w:val="right"/>
              <w:rPr>
                <w:kern w:val="0"/>
                <w:highlight w:val="none"/>
              </w:rPr>
            </w:pPr>
            <w:r>
              <w:rPr>
                <w:kern w:val="0"/>
                <w:highlight w:val="none"/>
              </w:rPr>
              <w:t>采购人（盖章）:</w:t>
            </w:r>
          </w:p>
        </w:tc>
        <w:tc>
          <w:tcPr>
            <w:tcW w:w="2880" w:type="dxa"/>
            <w:gridSpan w:val="2"/>
            <w:tcBorders>
              <w:top w:val="nil"/>
              <w:left w:val="nil"/>
              <w:bottom w:val="nil"/>
              <w:right w:val="nil"/>
            </w:tcBorders>
            <w:vAlign w:val="bottom"/>
          </w:tcPr>
          <w:p>
            <w:pPr>
              <w:widowControl/>
              <w:jc w:val="left"/>
              <w:rPr>
                <w:kern w:val="0"/>
                <w:highlight w:val="none"/>
              </w:rPr>
            </w:pPr>
          </w:p>
        </w:tc>
        <w:tc>
          <w:tcPr>
            <w:tcW w:w="1740" w:type="dxa"/>
            <w:tcBorders>
              <w:top w:val="nil"/>
              <w:left w:val="nil"/>
              <w:bottom w:val="nil"/>
              <w:right w:val="single" w:color="auto" w:sz="4" w:space="0"/>
            </w:tcBorders>
            <w:vAlign w:val="bottom"/>
          </w:tcPr>
          <w:p>
            <w:pPr>
              <w:widowControl/>
              <w:jc w:val="left"/>
              <w:rPr>
                <w:kern w:val="0"/>
                <w:highlight w:val="none"/>
              </w:rPr>
            </w:pPr>
            <w:r>
              <w:rPr>
                <w:kern w:val="0"/>
                <w:highlight w:val="none"/>
              </w:rPr>
              <w:t>　</w:t>
            </w:r>
          </w:p>
        </w:tc>
      </w:tr>
      <w:tr>
        <w:tblPrEx>
          <w:tblCellMar>
            <w:top w:w="0" w:type="dxa"/>
            <w:left w:w="108" w:type="dxa"/>
            <w:bottom w:w="0" w:type="dxa"/>
            <w:right w:w="108" w:type="dxa"/>
          </w:tblCellMar>
        </w:tblPrEx>
        <w:trPr>
          <w:trHeight w:val="525" w:hRule="atLeast"/>
        </w:trPr>
        <w:tc>
          <w:tcPr>
            <w:tcW w:w="4620" w:type="dxa"/>
            <w:tcBorders>
              <w:top w:val="nil"/>
              <w:left w:val="single" w:color="auto" w:sz="4" w:space="0"/>
              <w:bottom w:val="nil"/>
              <w:right w:val="nil"/>
            </w:tcBorders>
            <w:vAlign w:val="bottom"/>
          </w:tcPr>
          <w:p>
            <w:pPr>
              <w:widowControl/>
              <w:jc w:val="left"/>
              <w:rPr>
                <w:kern w:val="0"/>
                <w:highlight w:val="none"/>
              </w:rPr>
            </w:pPr>
            <w:r>
              <w:rPr>
                <w:kern w:val="0"/>
                <w:highlight w:val="none"/>
              </w:rPr>
              <w:t>经办项目负责人：</w:t>
            </w:r>
          </w:p>
        </w:tc>
        <w:tc>
          <w:tcPr>
            <w:tcW w:w="4840" w:type="dxa"/>
            <w:tcBorders>
              <w:top w:val="nil"/>
              <w:left w:val="nil"/>
              <w:bottom w:val="nil"/>
              <w:right w:val="nil"/>
            </w:tcBorders>
            <w:vAlign w:val="center"/>
          </w:tcPr>
          <w:p>
            <w:pPr>
              <w:widowControl/>
              <w:jc w:val="right"/>
              <w:rPr>
                <w:kern w:val="0"/>
                <w:highlight w:val="none"/>
              </w:rPr>
            </w:pPr>
            <w:r>
              <w:rPr>
                <w:kern w:val="0"/>
                <w:highlight w:val="none"/>
              </w:rPr>
              <w:t>项目验收组组长：</w:t>
            </w:r>
          </w:p>
        </w:tc>
        <w:tc>
          <w:tcPr>
            <w:tcW w:w="2880" w:type="dxa"/>
            <w:gridSpan w:val="2"/>
            <w:tcBorders>
              <w:top w:val="nil"/>
              <w:left w:val="nil"/>
              <w:bottom w:val="nil"/>
              <w:right w:val="nil"/>
            </w:tcBorders>
            <w:vAlign w:val="bottom"/>
          </w:tcPr>
          <w:p>
            <w:pPr>
              <w:widowControl/>
              <w:jc w:val="left"/>
              <w:rPr>
                <w:kern w:val="0"/>
                <w:highlight w:val="none"/>
              </w:rPr>
            </w:pPr>
          </w:p>
        </w:tc>
        <w:tc>
          <w:tcPr>
            <w:tcW w:w="1740" w:type="dxa"/>
            <w:tcBorders>
              <w:top w:val="nil"/>
              <w:left w:val="nil"/>
              <w:bottom w:val="nil"/>
              <w:right w:val="single" w:color="auto" w:sz="4" w:space="0"/>
            </w:tcBorders>
            <w:vAlign w:val="bottom"/>
          </w:tcPr>
          <w:p>
            <w:pPr>
              <w:widowControl/>
              <w:jc w:val="left"/>
              <w:rPr>
                <w:kern w:val="0"/>
                <w:highlight w:val="none"/>
              </w:rPr>
            </w:pPr>
            <w:r>
              <w:rPr>
                <w:kern w:val="0"/>
                <w:highlight w:val="none"/>
              </w:rPr>
              <w:t>　</w:t>
            </w:r>
          </w:p>
        </w:tc>
      </w:tr>
      <w:tr>
        <w:tblPrEx>
          <w:tblCellMar>
            <w:top w:w="0" w:type="dxa"/>
            <w:left w:w="108" w:type="dxa"/>
            <w:bottom w:w="0" w:type="dxa"/>
            <w:right w:w="108" w:type="dxa"/>
          </w:tblCellMar>
        </w:tblPrEx>
        <w:trPr>
          <w:trHeight w:val="525" w:hRule="atLeast"/>
        </w:trPr>
        <w:tc>
          <w:tcPr>
            <w:tcW w:w="4620" w:type="dxa"/>
            <w:tcBorders>
              <w:top w:val="nil"/>
              <w:left w:val="single" w:color="auto" w:sz="4" w:space="0"/>
              <w:bottom w:val="nil"/>
              <w:right w:val="nil"/>
            </w:tcBorders>
            <w:vAlign w:val="bottom"/>
          </w:tcPr>
          <w:p>
            <w:pPr>
              <w:widowControl/>
              <w:jc w:val="left"/>
              <w:rPr>
                <w:kern w:val="0"/>
                <w:highlight w:val="none"/>
              </w:rPr>
            </w:pPr>
            <w:r>
              <w:rPr>
                <w:kern w:val="0"/>
                <w:highlight w:val="none"/>
              </w:rPr>
              <w:t>联系电话：</w:t>
            </w:r>
          </w:p>
        </w:tc>
        <w:tc>
          <w:tcPr>
            <w:tcW w:w="4840" w:type="dxa"/>
            <w:tcBorders>
              <w:top w:val="nil"/>
              <w:left w:val="nil"/>
              <w:bottom w:val="nil"/>
              <w:right w:val="nil"/>
            </w:tcBorders>
            <w:vAlign w:val="center"/>
          </w:tcPr>
          <w:p>
            <w:pPr>
              <w:widowControl/>
              <w:jc w:val="right"/>
              <w:rPr>
                <w:kern w:val="0"/>
                <w:highlight w:val="none"/>
              </w:rPr>
            </w:pPr>
            <w:r>
              <w:rPr>
                <w:kern w:val="0"/>
                <w:highlight w:val="none"/>
              </w:rPr>
              <w:t>联系电话：</w:t>
            </w:r>
          </w:p>
        </w:tc>
        <w:tc>
          <w:tcPr>
            <w:tcW w:w="1280" w:type="dxa"/>
            <w:tcBorders>
              <w:top w:val="nil"/>
              <w:left w:val="nil"/>
              <w:bottom w:val="nil"/>
              <w:right w:val="nil"/>
            </w:tcBorders>
            <w:vAlign w:val="bottom"/>
          </w:tcPr>
          <w:p>
            <w:pPr>
              <w:widowControl/>
              <w:jc w:val="left"/>
              <w:rPr>
                <w:kern w:val="0"/>
                <w:highlight w:val="none"/>
              </w:rPr>
            </w:pPr>
          </w:p>
        </w:tc>
        <w:tc>
          <w:tcPr>
            <w:tcW w:w="1600" w:type="dxa"/>
            <w:tcBorders>
              <w:top w:val="nil"/>
              <w:left w:val="nil"/>
              <w:bottom w:val="nil"/>
              <w:right w:val="nil"/>
            </w:tcBorders>
            <w:vAlign w:val="bottom"/>
          </w:tcPr>
          <w:p>
            <w:pPr>
              <w:widowControl/>
              <w:jc w:val="left"/>
              <w:rPr>
                <w:kern w:val="0"/>
                <w:highlight w:val="none"/>
              </w:rPr>
            </w:pPr>
          </w:p>
        </w:tc>
        <w:tc>
          <w:tcPr>
            <w:tcW w:w="1740" w:type="dxa"/>
            <w:tcBorders>
              <w:top w:val="nil"/>
              <w:left w:val="nil"/>
              <w:bottom w:val="nil"/>
              <w:right w:val="single" w:color="auto" w:sz="4" w:space="0"/>
            </w:tcBorders>
            <w:vAlign w:val="bottom"/>
          </w:tcPr>
          <w:p>
            <w:pPr>
              <w:widowControl/>
              <w:jc w:val="left"/>
              <w:rPr>
                <w:kern w:val="0"/>
                <w:highlight w:val="none"/>
              </w:rPr>
            </w:pPr>
            <w:r>
              <w:rPr>
                <w:kern w:val="0"/>
                <w:highlight w:val="none"/>
              </w:rPr>
              <w:t>　</w:t>
            </w:r>
          </w:p>
        </w:tc>
      </w:tr>
      <w:tr>
        <w:tblPrEx>
          <w:tblCellMar>
            <w:top w:w="0" w:type="dxa"/>
            <w:left w:w="108" w:type="dxa"/>
            <w:bottom w:w="0" w:type="dxa"/>
            <w:right w:w="108" w:type="dxa"/>
          </w:tblCellMar>
        </w:tblPrEx>
        <w:trPr>
          <w:trHeight w:val="540" w:hRule="atLeast"/>
        </w:trPr>
        <w:tc>
          <w:tcPr>
            <w:tcW w:w="4620" w:type="dxa"/>
            <w:tcBorders>
              <w:top w:val="nil"/>
              <w:left w:val="single" w:color="auto" w:sz="4" w:space="0"/>
              <w:bottom w:val="nil"/>
              <w:right w:val="nil"/>
            </w:tcBorders>
            <w:vAlign w:val="bottom"/>
          </w:tcPr>
          <w:p>
            <w:pPr>
              <w:widowControl/>
              <w:jc w:val="left"/>
              <w:rPr>
                <w:kern w:val="0"/>
                <w:highlight w:val="none"/>
              </w:rPr>
            </w:pPr>
            <w:r>
              <w:rPr>
                <w:kern w:val="0"/>
                <w:highlight w:val="none"/>
              </w:rPr>
              <w:t>开户银行：</w:t>
            </w:r>
          </w:p>
        </w:tc>
        <w:tc>
          <w:tcPr>
            <w:tcW w:w="4840" w:type="dxa"/>
            <w:tcBorders>
              <w:top w:val="nil"/>
              <w:left w:val="nil"/>
              <w:bottom w:val="nil"/>
              <w:right w:val="nil"/>
            </w:tcBorders>
            <w:vAlign w:val="center"/>
          </w:tcPr>
          <w:p>
            <w:pPr>
              <w:widowControl/>
              <w:jc w:val="right"/>
              <w:rPr>
                <w:kern w:val="0"/>
                <w:highlight w:val="none"/>
              </w:rPr>
            </w:pPr>
            <w:r>
              <w:rPr>
                <w:kern w:val="0"/>
                <w:highlight w:val="none"/>
              </w:rPr>
              <w:t>项目验收组成员（签名）：</w:t>
            </w:r>
          </w:p>
        </w:tc>
        <w:tc>
          <w:tcPr>
            <w:tcW w:w="1280" w:type="dxa"/>
            <w:tcBorders>
              <w:top w:val="nil"/>
              <w:left w:val="nil"/>
              <w:bottom w:val="nil"/>
              <w:right w:val="nil"/>
            </w:tcBorders>
            <w:vAlign w:val="bottom"/>
          </w:tcPr>
          <w:p>
            <w:pPr>
              <w:widowControl/>
              <w:jc w:val="left"/>
              <w:rPr>
                <w:kern w:val="0"/>
                <w:highlight w:val="none"/>
              </w:rPr>
            </w:pPr>
          </w:p>
        </w:tc>
        <w:tc>
          <w:tcPr>
            <w:tcW w:w="1600" w:type="dxa"/>
            <w:tcBorders>
              <w:top w:val="nil"/>
              <w:left w:val="nil"/>
              <w:bottom w:val="nil"/>
              <w:right w:val="nil"/>
            </w:tcBorders>
            <w:vAlign w:val="bottom"/>
          </w:tcPr>
          <w:p>
            <w:pPr>
              <w:widowControl/>
              <w:jc w:val="left"/>
              <w:rPr>
                <w:kern w:val="0"/>
                <w:highlight w:val="none"/>
              </w:rPr>
            </w:pPr>
          </w:p>
        </w:tc>
        <w:tc>
          <w:tcPr>
            <w:tcW w:w="1740" w:type="dxa"/>
            <w:tcBorders>
              <w:top w:val="nil"/>
              <w:left w:val="nil"/>
              <w:bottom w:val="nil"/>
              <w:right w:val="single" w:color="auto" w:sz="4" w:space="0"/>
            </w:tcBorders>
            <w:vAlign w:val="bottom"/>
          </w:tcPr>
          <w:p>
            <w:pPr>
              <w:widowControl/>
              <w:jc w:val="left"/>
              <w:rPr>
                <w:kern w:val="0"/>
                <w:highlight w:val="none"/>
              </w:rPr>
            </w:pPr>
            <w:r>
              <w:rPr>
                <w:kern w:val="0"/>
                <w:highlight w:val="none"/>
              </w:rPr>
              <w:t>　</w:t>
            </w:r>
          </w:p>
        </w:tc>
      </w:tr>
      <w:tr>
        <w:tblPrEx>
          <w:tblCellMar>
            <w:top w:w="0" w:type="dxa"/>
            <w:left w:w="108" w:type="dxa"/>
            <w:bottom w:w="0" w:type="dxa"/>
            <w:right w:w="108" w:type="dxa"/>
          </w:tblCellMar>
        </w:tblPrEx>
        <w:trPr>
          <w:trHeight w:val="675" w:hRule="atLeast"/>
        </w:trPr>
        <w:tc>
          <w:tcPr>
            <w:tcW w:w="4620" w:type="dxa"/>
            <w:tcBorders>
              <w:top w:val="nil"/>
              <w:left w:val="single" w:color="auto" w:sz="4" w:space="0"/>
              <w:bottom w:val="single" w:color="auto" w:sz="4" w:space="0"/>
              <w:right w:val="nil"/>
            </w:tcBorders>
            <w:vAlign w:val="center"/>
          </w:tcPr>
          <w:p>
            <w:pPr>
              <w:widowControl/>
              <w:rPr>
                <w:kern w:val="0"/>
                <w:highlight w:val="none"/>
              </w:rPr>
            </w:pPr>
            <w:r>
              <w:rPr>
                <w:kern w:val="0"/>
                <w:highlight w:val="none"/>
              </w:rPr>
              <w:t>银行帐号：</w:t>
            </w:r>
          </w:p>
        </w:tc>
        <w:tc>
          <w:tcPr>
            <w:tcW w:w="4840" w:type="dxa"/>
            <w:tcBorders>
              <w:top w:val="nil"/>
              <w:left w:val="nil"/>
              <w:bottom w:val="single" w:color="auto" w:sz="4" w:space="0"/>
              <w:right w:val="nil"/>
            </w:tcBorders>
            <w:vAlign w:val="bottom"/>
          </w:tcPr>
          <w:p>
            <w:pPr>
              <w:widowControl/>
              <w:jc w:val="left"/>
              <w:rPr>
                <w:kern w:val="0"/>
                <w:highlight w:val="none"/>
              </w:rPr>
            </w:pPr>
            <w:r>
              <w:rPr>
                <w:kern w:val="0"/>
                <w:highlight w:val="none"/>
              </w:rPr>
              <w:t>　</w:t>
            </w:r>
          </w:p>
        </w:tc>
        <w:tc>
          <w:tcPr>
            <w:tcW w:w="4620" w:type="dxa"/>
            <w:gridSpan w:val="3"/>
            <w:tcBorders>
              <w:top w:val="nil"/>
              <w:left w:val="nil"/>
              <w:bottom w:val="single" w:color="auto" w:sz="4" w:space="0"/>
              <w:right w:val="single" w:color="000000" w:sz="4" w:space="0"/>
            </w:tcBorders>
            <w:vAlign w:val="center"/>
          </w:tcPr>
          <w:p>
            <w:pPr>
              <w:widowControl/>
              <w:rPr>
                <w:kern w:val="0"/>
                <w:highlight w:val="none"/>
              </w:rPr>
            </w:pPr>
            <w:r>
              <w:rPr>
                <w:kern w:val="0"/>
                <w:highlight w:val="none"/>
              </w:rPr>
              <w:t>验收时间：       年     月     日</w:t>
            </w:r>
          </w:p>
        </w:tc>
      </w:tr>
      <w:tr>
        <w:tblPrEx>
          <w:tblCellMar>
            <w:top w:w="0" w:type="dxa"/>
            <w:left w:w="108" w:type="dxa"/>
            <w:bottom w:w="0" w:type="dxa"/>
            <w:right w:w="108" w:type="dxa"/>
          </w:tblCellMar>
        </w:tblPrEx>
        <w:trPr>
          <w:trHeight w:val="345" w:hRule="atLeast"/>
        </w:trPr>
        <w:tc>
          <w:tcPr>
            <w:tcW w:w="14080" w:type="dxa"/>
            <w:gridSpan w:val="5"/>
            <w:tcBorders>
              <w:top w:val="single" w:color="auto" w:sz="4" w:space="0"/>
              <w:left w:val="nil"/>
              <w:bottom w:val="nil"/>
              <w:right w:val="nil"/>
            </w:tcBorders>
            <w:vAlign w:val="center"/>
          </w:tcPr>
          <w:p>
            <w:pPr>
              <w:widowControl/>
              <w:jc w:val="center"/>
              <w:rPr>
                <w:kern w:val="0"/>
                <w:sz w:val="22"/>
                <w:szCs w:val="22"/>
                <w:highlight w:val="none"/>
              </w:rPr>
            </w:pPr>
            <w:r>
              <w:rPr>
                <w:kern w:val="0"/>
                <w:sz w:val="22"/>
                <w:szCs w:val="22"/>
                <w:highlight w:val="none"/>
              </w:rPr>
              <w:t>本单一式四联：第一联采购人留存，第二联作为财政支付凭证，第三联供货单位留存。</w:t>
            </w:r>
          </w:p>
        </w:tc>
      </w:tr>
    </w:tbl>
    <w:p>
      <w:pPr>
        <w:pStyle w:val="7"/>
        <w:snapToGrid w:val="0"/>
        <w:spacing w:beforeLines="0" w:afterLines="0" w:line="480" w:lineRule="exact"/>
        <w:ind w:firstLine="480" w:firstLineChars="200"/>
        <w:rPr>
          <w:rFonts w:hint="eastAsia" w:hAnsi="宋体" w:cs="宋体"/>
          <w:highlight w:val="none"/>
        </w:rPr>
      </w:pPr>
    </w:p>
    <w:p>
      <w:pPr>
        <w:rPr>
          <w:rFonts w:hint="eastAsia" w:ascii="宋体" w:hAnsi="宋体"/>
          <w:highlight w:val="none"/>
        </w:rPr>
        <w:sectPr>
          <w:footerReference r:id="rId9" w:type="first"/>
          <w:headerReference r:id="rId7" w:type="default"/>
          <w:footerReference r:id="rId8" w:type="default"/>
          <w:pgSz w:w="16838" w:h="11906" w:orient="landscape"/>
          <w:pgMar w:top="1418" w:right="1276" w:bottom="1418" w:left="1247" w:header="851" w:footer="992" w:gutter="0"/>
          <w:cols w:space="720" w:num="1"/>
          <w:titlePg/>
          <w:docGrid w:linePitch="312" w:charSpace="0"/>
        </w:sectPr>
      </w:pPr>
      <w:bookmarkStart w:id="88" w:name="_Toc7432608"/>
      <w:bookmarkStart w:id="89" w:name="_Toc16230"/>
    </w:p>
    <w:p>
      <w:pPr>
        <w:rPr>
          <w:highlight w:val="none"/>
        </w:rPr>
      </w:pPr>
    </w:p>
    <w:bookmarkEnd w:id="88"/>
    <w:bookmarkEnd w:id="89"/>
    <w:p>
      <w:pPr>
        <w:pStyle w:val="2"/>
        <w:rPr>
          <w:rFonts w:hint="eastAsia" w:ascii="宋体" w:hAnsi="宋体" w:eastAsia="宋体"/>
          <w:sz w:val="48"/>
          <w:szCs w:val="48"/>
          <w:highlight w:val="none"/>
        </w:rPr>
      </w:pPr>
      <w:r>
        <w:rPr>
          <w:rFonts w:hint="eastAsia" w:ascii="宋体" w:hAnsi="宋体" w:eastAsia="宋体"/>
          <w:sz w:val="48"/>
          <w:szCs w:val="48"/>
          <w:highlight w:val="none"/>
        </w:rPr>
        <w:t>第六章 投标文件格式</w:t>
      </w:r>
    </w:p>
    <w:p>
      <w:pPr>
        <w:spacing w:line="360" w:lineRule="auto"/>
        <w:jc w:val="center"/>
        <w:rPr>
          <w:rFonts w:hint="eastAsia" w:ascii="宋体" w:hAnsi="宋体"/>
          <w:b/>
          <w:bCs/>
          <w:sz w:val="36"/>
          <w:szCs w:val="36"/>
          <w:highlight w:val="none"/>
        </w:rPr>
      </w:pPr>
      <w:r>
        <w:rPr>
          <w:rFonts w:hint="eastAsia" w:ascii="宋体" w:hAnsi="宋体"/>
          <w:b/>
          <w:bCs/>
          <w:sz w:val="36"/>
          <w:szCs w:val="36"/>
          <w:highlight w:val="none"/>
        </w:rPr>
        <w:t>资格文件部分</w:t>
      </w:r>
    </w:p>
    <w:p>
      <w:pPr>
        <w:spacing w:line="360" w:lineRule="auto"/>
        <w:jc w:val="center"/>
        <w:rPr>
          <w:rFonts w:hint="eastAsia" w:ascii="宋体" w:hAnsi="宋体"/>
          <w:b/>
          <w:bCs/>
          <w:sz w:val="36"/>
          <w:szCs w:val="36"/>
          <w:highlight w:val="none"/>
        </w:rPr>
      </w:pPr>
      <w:r>
        <w:rPr>
          <w:rFonts w:hint="eastAsia" w:ascii="宋体" w:hAnsi="宋体"/>
          <w:b/>
          <w:bCs/>
          <w:sz w:val="36"/>
          <w:szCs w:val="36"/>
          <w:highlight w:val="none"/>
        </w:rPr>
        <w:t>目录</w:t>
      </w:r>
    </w:p>
    <w:p>
      <w:pPr>
        <w:spacing w:line="360" w:lineRule="auto"/>
        <w:rPr>
          <w:rFonts w:hint="eastAsia" w:ascii="宋体" w:hAnsi="宋体"/>
          <w:highlight w:val="none"/>
        </w:rPr>
      </w:pPr>
      <w:r>
        <w:rPr>
          <w:rFonts w:hint="eastAsia" w:ascii="宋体" w:hAnsi="宋体"/>
          <w:highlight w:val="none"/>
        </w:rPr>
        <w:t>（1）符合参加政府采购活动应当具备的一般条件的承诺函……………（页码）</w:t>
      </w:r>
    </w:p>
    <w:p>
      <w:pPr>
        <w:spacing w:line="360" w:lineRule="auto"/>
        <w:rPr>
          <w:rFonts w:hint="eastAsia" w:ascii="宋体" w:hAnsi="宋体"/>
          <w:highlight w:val="none"/>
        </w:rPr>
      </w:pPr>
      <w:r>
        <w:rPr>
          <w:rFonts w:hint="eastAsia" w:ascii="宋体" w:hAnsi="宋体"/>
          <w:highlight w:val="none"/>
        </w:rPr>
        <w:t>（2）联合协议………………………………………………………………（页码）</w:t>
      </w:r>
    </w:p>
    <w:p>
      <w:pPr>
        <w:spacing w:line="360" w:lineRule="auto"/>
        <w:rPr>
          <w:rFonts w:hint="eastAsia" w:ascii="宋体" w:hAnsi="宋体"/>
          <w:highlight w:val="none"/>
        </w:rPr>
      </w:pPr>
      <w:r>
        <w:rPr>
          <w:rFonts w:hint="eastAsia" w:ascii="宋体" w:hAnsi="宋体"/>
          <w:highlight w:val="none"/>
        </w:rPr>
        <w:t>（3）落实政府采购政策需满足的资格要求………………………………（页码）</w:t>
      </w:r>
    </w:p>
    <w:p>
      <w:pPr>
        <w:spacing w:line="360" w:lineRule="auto"/>
        <w:rPr>
          <w:rFonts w:hint="eastAsia" w:ascii="宋体" w:hAnsi="宋体"/>
          <w:highlight w:val="none"/>
        </w:rPr>
      </w:pPr>
      <w:r>
        <w:rPr>
          <w:rFonts w:hint="eastAsia" w:ascii="宋体" w:hAnsi="宋体"/>
          <w:highlight w:val="none"/>
        </w:rPr>
        <w:t>（4）本项目的特定资格要求………………………………………………（页码）</w:t>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br w:type="page"/>
      </w:r>
      <w:r>
        <w:rPr>
          <w:rFonts w:hint="eastAsia" w:ascii="宋体" w:hAnsi="宋体"/>
          <w:b/>
          <w:bCs/>
          <w:sz w:val="30"/>
          <w:szCs w:val="30"/>
          <w:highlight w:val="none"/>
        </w:rPr>
        <w:t>一、 符合参加政府采购活动应当具备的一般条件的承诺函</w:t>
      </w:r>
    </w:p>
    <w:p>
      <w:pPr>
        <w:spacing w:line="360" w:lineRule="auto"/>
        <w:rPr>
          <w:rFonts w:hint="eastAsia" w:ascii="宋体" w:hAnsi="宋体"/>
          <w:highlight w:val="none"/>
        </w:rPr>
      </w:pPr>
      <w:r>
        <w:rPr>
          <w:rFonts w:hint="eastAsia" w:ascii="宋体" w:hAnsi="宋体"/>
          <w:highlight w:val="none"/>
        </w:rPr>
        <w:t>致</w:t>
      </w:r>
      <w:r>
        <w:rPr>
          <w:rFonts w:hint="eastAsia" w:ascii="宋体" w:hAnsi="宋体"/>
          <w:highlight w:val="none"/>
          <w:u w:val="single"/>
        </w:rPr>
        <w:t>（采购人）、（采购代理机构）</w:t>
      </w: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我方参与</w:t>
      </w:r>
      <w:r>
        <w:rPr>
          <w:rFonts w:hint="eastAsia" w:ascii="宋体" w:hAnsi="宋体"/>
          <w:highlight w:val="none"/>
          <w:u w:val="single"/>
        </w:rPr>
        <w:t>（项目名称）【项目编号】</w:t>
      </w:r>
      <w:r>
        <w:rPr>
          <w:rFonts w:hint="eastAsia" w:ascii="宋体" w:hAnsi="宋体"/>
          <w:highlight w:val="none"/>
        </w:rPr>
        <w:t>政府采购活动，郑重承诺：</w:t>
      </w:r>
    </w:p>
    <w:p>
      <w:pPr>
        <w:spacing w:line="360" w:lineRule="auto"/>
        <w:ind w:firstLine="480" w:firstLineChars="200"/>
        <w:rPr>
          <w:rFonts w:hint="eastAsia" w:ascii="宋体" w:hAnsi="宋体"/>
          <w:highlight w:val="none"/>
        </w:rPr>
      </w:pPr>
      <w:r>
        <w:rPr>
          <w:rFonts w:hint="eastAsia" w:ascii="宋体" w:hAnsi="宋体"/>
          <w:highlight w:val="none"/>
        </w:rPr>
        <w:t>（一）具备《中华人民共和国政府采购法》第二十二条第一款规定的条件：</w:t>
      </w:r>
    </w:p>
    <w:p>
      <w:pPr>
        <w:spacing w:line="360" w:lineRule="auto"/>
        <w:ind w:firstLine="480" w:firstLineChars="200"/>
        <w:rPr>
          <w:rFonts w:hint="eastAsia" w:ascii="宋体" w:hAnsi="宋体"/>
          <w:highlight w:val="none"/>
        </w:rPr>
      </w:pPr>
      <w:r>
        <w:rPr>
          <w:rFonts w:hint="eastAsia" w:ascii="宋体" w:hAnsi="宋体"/>
          <w:highlight w:val="none"/>
        </w:rPr>
        <w:t>1、具有独立承担民事责任的能力；</w:t>
      </w:r>
    </w:p>
    <w:p>
      <w:pPr>
        <w:spacing w:line="360" w:lineRule="auto"/>
        <w:ind w:firstLine="480" w:firstLineChars="200"/>
        <w:rPr>
          <w:rFonts w:hint="eastAsia" w:ascii="宋体" w:hAnsi="宋体"/>
          <w:highlight w:val="none"/>
        </w:rPr>
      </w:pPr>
      <w:r>
        <w:rPr>
          <w:rFonts w:hint="eastAsia" w:ascii="宋体" w:hAnsi="宋体"/>
          <w:highlight w:val="none"/>
        </w:rPr>
        <w:t xml:space="preserve">2、具有良好的商业信誉和健全的财务会计制度； </w:t>
      </w:r>
    </w:p>
    <w:p>
      <w:pPr>
        <w:spacing w:line="360" w:lineRule="auto"/>
        <w:ind w:firstLine="480" w:firstLineChars="200"/>
        <w:rPr>
          <w:rFonts w:hint="eastAsia" w:ascii="宋体" w:hAnsi="宋体"/>
          <w:highlight w:val="none"/>
        </w:rPr>
      </w:pPr>
      <w:r>
        <w:rPr>
          <w:rFonts w:hint="eastAsia" w:ascii="宋体" w:hAnsi="宋体"/>
          <w:highlight w:val="none"/>
        </w:rPr>
        <w:t>3、具有履行合同所必需的设备和专业技术能力；</w:t>
      </w:r>
    </w:p>
    <w:p>
      <w:pPr>
        <w:spacing w:line="360" w:lineRule="auto"/>
        <w:ind w:firstLine="480" w:firstLineChars="200"/>
        <w:rPr>
          <w:rFonts w:hint="eastAsia" w:ascii="宋体" w:hAnsi="宋体"/>
          <w:highlight w:val="none"/>
        </w:rPr>
      </w:pPr>
      <w:r>
        <w:rPr>
          <w:rFonts w:hint="eastAsia" w:ascii="宋体" w:hAnsi="宋体"/>
          <w:highlight w:val="none"/>
        </w:rPr>
        <w:t>4、有依法缴纳税收和社会保障资金的良好记录；</w:t>
      </w:r>
    </w:p>
    <w:p>
      <w:pPr>
        <w:spacing w:line="360" w:lineRule="auto"/>
        <w:ind w:firstLine="480" w:firstLineChars="200"/>
        <w:rPr>
          <w:rFonts w:hint="eastAsia" w:ascii="宋体" w:hAnsi="宋体"/>
          <w:highlight w:val="none"/>
        </w:rPr>
      </w:pPr>
      <w:r>
        <w:rPr>
          <w:rFonts w:hint="eastAsia" w:ascii="宋体" w:hAnsi="宋体"/>
          <w:highlight w:val="none"/>
        </w:rPr>
        <w:t>5、参加政府采购活动前三年内，在经营活动中没有重大违法记录；</w:t>
      </w:r>
    </w:p>
    <w:p>
      <w:pPr>
        <w:spacing w:line="360" w:lineRule="auto"/>
        <w:ind w:firstLine="480" w:firstLineChars="200"/>
        <w:rPr>
          <w:rFonts w:hint="eastAsia" w:ascii="宋体" w:hAnsi="宋体"/>
          <w:highlight w:val="none"/>
        </w:rPr>
      </w:pPr>
      <w:r>
        <w:rPr>
          <w:rFonts w:hint="eastAsia" w:ascii="宋体" w:hAnsi="宋体"/>
          <w:highlight w:val="none"/>
        </w:rPr>
        <w:t>6、法律、行政法规规定的其他条件。</w:t>
      </w:r>
    </w:p>
    <w:p>
      <w:pPr>
        <w:spacing w:line="360" w:lineRule="auto"/>
        <w:ind w:firstLine="480" w:firstLineChars="200"/>
        <w:rPr>
          <w:rFonts w:hint="eastAsia" w:ascii="宋体" w:hAnsi="宋体"/>
          <w:highlight w:val="none"/>
        </w:rPr>
      </w:pPr>
      <w:r>
        <w:rPr>
          <w:rFonts w:hint="eastAsia" w:ascii="宋体" w:hAnsi="宋体"/>
          <w:highlight w:val="none"/>
        </w:rPr>
        <w:t>（二）未被信用中国（www.creditchina.gov.cn)、中国政府采购网（www.ccgp.gov.cn）列入失信被执行人、重大税收违法案件当事人名单、政府采购严重违法失信行为记录名单。</w:t>
      </w:r>
    </w:p>
    <w:p>
      <w:pPr>
        <w:spacing w:line="360" w:lineRule="auto"/>
        <w:ind w:firstLine="480" w:firstLineChars="200"/>
        <w:rPr>
          <w:rFonts w:hint="eastAsia" w:ascii="宋体" w:hAnsi="宋体"/>
          <w:highlight w:val="none"/>
        </w:rPr>
      </w:pPr>
      <w:r>
        <w:rPr>
          <w:rFonts w:hint="eastAsia" w:ascii="宋体" w:hAnsi="宋体"/>
          <w:highlight w:val="none"/>
        </w:rPr>
        <w:t>（三）不存在以下情况：</w:t>
      </w:r>
    </w:p>
    <w:p>
      <w:pPr>
        <w:spacing w:line="360" w:lineRule="auto"/>
        <w:ind w:firstLine="480" w:firstLineChars="200"/>
        <w:rPr>
          <w:rFonts w:hint="eastAsia" w:ascii="宋体" w:hAnsi="宋体"/>
          <w:highlight w:val="none"/>
        </w:rPr>
      </w:pPr>
      <w:r>
        <w:rPr>
          <w:rFonts w:hint="eastAsia" w:ascii="宋体" w:hAnsi="宋体"/>
          <w:highlight w:val="none"/>
        </w:rPr>
        <w:t>1、单位负责人为同一人或者存在直接控股、管理关系的不同供应商参加同一合同项下的政府采购活动的；</w:t>
      </w:r>
    </w:p>
    <w:p>
      <w:pPr>
        <w:spacing w:line="360" w:lineRule="auto"/>
        <w:ind w:firstLine="480" w:firstLineChars="200"/>
        <w:rPr>
          <w:rFonts w:hint="eastAsia" w:ascii="宋体" w:hAnsi="宋体"/>
          <w:highlight w:val="none"/>
        </w:rPr>
      </w:pPr>
      <w:r>
        <w:rPr>
          <w:rFonts w:hint="eastAsia" w:ascii="宋体" w:hAnsi="宋体"/>
          <w:highlight w:val="none"/>
        </w:rPr>
        <w:t xml:space="preserve">2、为采购项目提供整体设计、规范编制或者项目管理、监理、检测等服务后再参加该采购项目的其他采购活动的。   </w:t>
      </w:r>
    </w:p>
    <w:p>
      <w:pPr>
        <w:spacing w:line="360" w:lineRule="auto"/>
        <w:rPr>
          <w:rFonts w:hint="eastAsia" w:ascii="宋体" w:hAnsi="宋体"/>
          <w:highlight w:val="none"/>
        </w:rPr>
      </w:pPr>
      <w:r>
        <w:rPr>
          <w:rFonts w:hint="eastAsia" w:ascii="宋体" w:hAnsi="宋体"/>
          <w:highlight w:val="none"/>
        </w:rPr>
        <w:t xml:space="preserve">                                     </w:t>
      </w: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rPr>
          <w:rFonts w:hint="eastAsia"/>
          <w:highlight w:val="none"/>
        </w:rPr>
      </w:pPr>
      <w:r>
        <w:rPr>
          <w:rFonts w:hint="eastAsia"/>
          <w:highlight w:val="none"/>
        </w:rPr>
        <w:br w:type="page"/>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二、联合协议（如果有）</w:t>
      </w:r>
    </w:p>
    <w:p>
      <w:pPr>
        <w:spacing w:line="360" w:lineRule="auto"/>
        <w:rPr>
          <w:rFonts w:hint="eastAsia" w:ascii="宋体" w:hAnsi="宋体"/>
          <w:b/>
          <w:bCs/>
          <w:highlight w:val="none"/>
        </w:rPr>
      </w:pPr>
      <w:r>
        <w:rPr>
          <w:rFonts w:hint="eastAsia" w:ascii="宋体" w:hAnsi="宋体"/>
          <w:b/>
          <w:bCs/>
          <w:highlight w:val="none"/>
        </w:rPr>
        <w:t>【以联合体形式投标的，提供联合协议（附件2）；本项目不接受联合体投标或者供应商不以联合体形式投标的，则不需要提供）】</w:t>
      </w:r>
    </w:p>
    <w:p>
      <w:pPr>
        <w:spacing w:line="360" w:lineRule="auto"/>
        <w:jc w:val="center"/>
        <w:rPr>
          <w:rFonts w:hint="eastAsia" w:ascii="宋体" w:hAnsi="宋体"/>
          <w:b/>
          <w:bCs/>
          <w:sz w:val="30"/>
          <w:szCs w:val="30"/>
          <w:highlight w:val="none"/>
        </w:rPr>
      </w:pP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三、落实政府采购政策需满足的资格要求（如果有）</w:t>
      </w:r>
    </w:p>
    <w:p>
      <w:pPr>
        <w:spacing w:line="360" w:lineRule="auto"/>
        <w:rPr>
          <w:rFonts w:hint="eastAsia" w:ascii="宋体" w:hAnsi="宋体"/>
          <w:b/>
          <w:bCs/>
          <w:highlight w:val="none"/>
        </w:rPr>
      </w:pPr>
      <w:r>
        <w:rPr>
          <w:rFonts w:hint="eastAsia" w:ascii="宋体" w:hAnsi="宋体"/>
          <w:b/>
          <w:bCs/>
          <w:highlight w:val="none"/>
        </w:rPr>
        <w:t>（根据招标公告落实政府采购政策需满足的资格要求选择提供相应的材料；未要求的，无需提供）</w:t>
      </w:r>
    </w:p>
    <w:p>
      <w:pPr>
        <w:spacing w:line="360" w:lineRule="auto"/>
        <w:ind w:firstLine="480" w:firstLineChars="200"/>
        <w:rPr>
          <w:rFonts w:hint="eastAsia" w:ascii="宋体" w:hAnsi="宋体"/>
          <w:highlight w:val="none"/>
        </w:rPr>
      </w:pPr>
      <w:r>
        <w:rPr>
          <w:rFonts w:hint="eastAsia" w:ascii="宋体" w:hAnsi="宋体"/>
          <w:highlight w:val="none"/>
        </w:rPr>
        <w:t xml:space="preserve">A.专门面向中小企业，服务全部由符合政策要求的中小企业（或小微企业）承接的，提供相应的中小企业声明函（附件1）。 </w:t>
      </w:r>
    </w:p>
    <w:p>
      <w:pPr>
        <w:spacing w:line="360" w:lineRule="auto"/>
        <w:ind w:firstLine="480" w:firstLineChars="200"/>
        <w:rPr>
          <w:rFonts w:hint="eastAsia" w:ascii="宋体" w:hAnsi="宋体"/>
          <w:highlight w:val="none"/>
        </w:rPr>
      </w:pPr>
      <w:r>
        <w:rPr>
          <w:rFonts w:hint="eastAsia" w:ascii="宋体" w:hAnsi="宋体"/>
          <w:highlight w:val="none"/>
        </w:rPr>
        <w:t xml:space="preserve">B.要求以联合体形式参加的，提供联合协议（附件2）和中小企业声明函（附件1），联合协议中中小企业合同金额应当达到招标公告载明的比例；如果供应商本身提供所有标的均由中小企业承接的，并相应达到了前述比例要求，视同符合了资格条件，无需再与其他中小企业组成联合体参加政府采购活动，无需提供联合协议。    </w:t>
      </w:r>
    </w:p>
    <w:p>
      <w:pPr>
        <w:spacing w:line="360" w:lineRule="auto"/>
        <w:ind w:firstLine="480" w:firstLineChars="200"/>
        <w:rPr>
          <w:rFonts w:hint="eastAsia" w:ascii="宋体" w:hAnsi="宋体"/>
          <w:highlight w:val="none"/>
        </w:rPr>
      </w:pPr>
      <w:r>
        <w:rPr>
          <w:rFonts w:hint="eastAsia" w:ascii="宋体" w:hAnsi="宋体"/>
          <w:highlight w:val="none"/>
        </w:rPr>
        <w:t>C.要求合同分包的，提供分包意向协议（附件3）和中小企业声明函（附件1），分包意向协议中中小企业合同金额应当达到招标公告载明的比例；如果供应商本身提供所有标的均由中小企业承接的，并相应达到了前述比例要求，视同符合了资格条件，无需再向中小企业分包，无需提供分包意向协议。</w:t>
      </w:r>
    </w:p>
    <w:p>
      <w:pPr>
        <w:spacing w:line="360" w:lineRule="auto"/>
        <w:rPr>
          <w:rFonts w:hint="eastAsia" w:ascii="宋体" w:hAnsi="宋体"/>
          <w:highlight w:val="none"/>
        </w:rPr>
      </w:pP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四、本项目的特定资格要求（如果有）</w:t>
      </w:r>
    </w:p>
    <w:p>
      <w:pPr>
        <w:spacing w:line="360" w:lineRule="auto"/>
        <w:rPr>
          <w:rFonts w:hint="eastAsia" w:ascii="宋体" w:hAnsi="宋体"/>
          <w:b/>
          <w:bCs/>
          <w:highlight w:val="none"/>
        </w:rPr>
      </w:pPr>
      <w:r>
        <w:rPr>
          <w:rFonts w:hint="eastAsia" w:ascii="宋体" w:hAnsi="宋体"/>
          <w:b/>
          <w:bCs/>
          <w:highlight w:val="none"/>
        </w:rPr>
        <w:t>（根据招标公告本项目的特定资格要求提供相应的材料；未要求的，无需提供）</w:t>
      </w:r>
    </w:p>
    <w:p>
      <w:pPr>
        <w:widowControl/>
        <w:jc w:val="left"/>
        <w:rPr>
          <w:rFonts w:hint="eastAsia" w:ascii="宋体" w:hAnsi="宋体"/>
          <w:highlight w:val="none"/>
        </w:rPr>
      </w:pPr>
      <w:r>
        <w:rPr>
          <w:rFonts w:hint="eastAsia" w:ascii="宋体" w:hAnsi="宋体"/>
          <w:highlight w:val="none"/>
        </w:rPr>
        <w:br w:type="page"/>
      </w:r>
    </w:p>
    <w:p>
      <w:pPr>
        <w:spacing w:line="360" w:lineRule="auto"/>
        <w:rPr>
          <w:rFonts w:hint="eastAsia" w:ascii="宋体" w:hAnsi="宋体"/>
          <w:highlight w:val="none"/>
        </w:rPr>
      </w:pPr>
    </w:p>
    <w:p>
      <w:pPr>
        <w:spacing w:line="360" w:lineRule="auto"/>
        <w:jc w:val="center"/>
        <w:rPr>
          <w:rFonts w:hint="eastAsia" w:ascii="宋体" w:hAnsi="宋体"/>
          <w:b/>
          <w:bCs/>
          <w:sz w:val="36"/>
          <w:szCs w:val="36"/>
          <w:highlight w:val="none"/>
        </w:rPr>
      </w:pPr>
      <w:r>
        <w:rPr>
          <w:rFonts w:hint="eastAsia" w:ascii="宋体" w:hAnsi="宋体"/>
          <w:b/>
          <w:bCs/>
          <w:sz w:val="36"/>
          <w:szCs w:val="36"/>
          <w:highlight w:val="none"/>
        </w:rPr>
        <w:t>商务技术文件部分</w:t>
      </w:r>
    </w:p>
    <w:p>
      <w:pPr>
        <w:spacing w:line="360" w:lineRule="auto"/>
        <w:jc w:val="center"/>
        <w:rPr>
          <w:rFonts w:hint="eastAsia" w:ascii="宋体" w:hAnsi="宋体"/>
          <w:b/>
          <w:bCs/>
          <w:sz w:val="36"/>
          <w:szCs w:val="36"/>
          <w:highlight w:val="none"/>
        </w:rPr>
      </w:pPr>
      <w:r>
        <w:rPr>
          <w:rFonts w:hint="eastAsia" w:ascii="宋体" w:hAnsi="宋体"/>
          <w:b/>
          <w:bCs/>
          <w:sz w:val="36"/>
          <w:szCs w:val="36"/>
          <w:highlight w:val="none"/>
        </w:rPr>
        <w:t>目录</w:t>
      </w:r>
    </w:p>
    <w:p>
      <w:pPr>
        <w:spacing w:line="360" w:lineRule="auto"/>
        <w:rPr>
          <w:rFonts w:hint="eastAsia" w:ascii="宋体" w:hAnsi="宋体"/>
          <w:highlight w:val="none"/>
        </w:rPr>
      </w:pPr>
      <w:r>
        <w:rPr>
          <w:rFonts w:hint="eastAsia" w:ascii="宋体" w:hAnsi="宋体"/>
          <w:highlight w:val="none"/>
        </w:rPr>
        <w:t>（1）投标函……………………………………………………………………（页码）</w:t>
      </w:r>
    </w:p>
    <w:p>
      <w:pPr>
        <w:spacing w:line="360" w:lineRule="auto"/>
        <w:rPr>
          <w:rFonts w:hint="eastAsia" w:ascii="宋体" w:hAnsi="宋体"/>
          <w:highlight w:val="none"/>
        </w:rPr>
      </w:pPr>
      <w:r>
        <w:rPr>
          <w:rFonts w:hint="eastAsia" w:ascii="宋体" w:hAnsi="宋体"/>
          <w:highlight w:val="none"/>
        </w:rPr>
        <w:t>（2）授权委托书或法定代表人（单位负责人、自然人本人）身份证明…（页码）</w:t>
      </w:r>
    </w:p>
    <w:p>
      <w:pPr>
        <w:spacing w:line="360" w:lineRule="auto"/>
        <w:rPr>
          <w:rFonts w:hint="eastAsia" w:ascii="宋体" w:hAnsi="宋体"/>
          <w:highlight w:val="none"/>
        </w:rPr>
      </w:pPr>
      <w:r>
        <w:rPr>
          <w:rFonts w:hint="eastAsia" w:ascii="宋体" w:hAnsi="宋体"/>
          <w:highlight w:val="none"/>
        </w:rPr>
        <w:t>（3）分包意向协议……………………………………………………………（页码）</w:t>
      </w:r>
    </w:p>
    <w:p>
      <w:pPr>
        <w:spacing w:line="360" w:lineRule="auto"/>
        <w:rPr>
          <w:rFonts w:hint="eastAsia" w:ascii="宋体" w:hAnsi="宋体"/>
          <w:highlight w:val="none"/>
        </w:rPr>
      </w:pPr>
      <w:r>
        <w:rPr>
          <w:rFonts w:hint="eastAsia" w:ascii="宋体" w:hAnsi="宋体"/>
          <w:highlight w:val="none"/>
        </w:rPr>
        <w:t>（4）符合性审查资料…………………………………………………………（页码）</w:t>
      </w:r>
    </w:p>
    <w:p>
      <w:pPr>
        <w:spacing w:line="360" w:lineRule="auto"/>
        <w:rPr>
          <w:rFonts w:hint="eastAsia" w:ascii="宋体" w:hAnsi="宋体"/>
          <w:highlight w:val="none"/>
        </w:rPr>
      </w:pPr>
      <w:r>
        <w:rPr>
          <w:rFonts w:hint="eastAsia" w:ascii="宋体" w:hAnsi="宋体"/>
          <w:highlight w:val="none"/>
        </w:rPr>
        <w:t>（5）评分对应表………………………………………………………………（页码）</w:t>
      </w:r>
    </w:p>
    <w:p>
      <w:pPr>
        <w:spacing w:line="360" w:lineRule="auto"/>
        <w:rPr>
          <w:rFonts w:hint="eastAsia" w:ascii="宋体" w:hAnsi="宋体"/>
          <w:highlight w:val="none"/>
        </w:rPr>
      </w:pPr>
      <w:r>
        <w:rPr>
          <w:rFonts w:hint="eastAsia" w:ascii="宋体" w:hAnsi="宋体"/>
          <w:highlight w:val="none"/>
        </w:rPr>
        <w:t>（6）商务技术响应表…………………………………………………………（页码）</w:t>
      </w:r>
    </w:p>
    <w:p>
      <w:pPr>
        <w:spacing w:line="360" w:lineRule="auto"/>
        <w:rPr>
          <w:rFonts w:hint="eastAsia" w:ascii="宋体" w:hAnsi="宋体"/>
          <w:highlight w:val="none"/>
        </w:rPr>
      </w:pPr>
      <w:r>
        <w:rPr>
          <w:rFonts w:hint="eastAsia" w:ascii="宋体" w:hAnsi="宋体"/>
          <w:highlight w:val="none"/>
        </w:rPr>
        <w:t>（7）评标标准相应的商务技术资料…………………………………………（页码）</w:t>
      </w:r>
    </w:p>
    <w:p>
      <w:pPr>
        <w:spacing w:line="360" w:lineRule="auto"/>
        <w:rPr>
          <w:rFonts w:hint="eastAsia" w:ascii="宋体" w:hAnsi="宋体"/>
          <w:highlight w:val="none"/>
        </w:rPr>
      </w:pP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br w:type="page"/>
      </w:r>
      <w:r>
        <w:rPr>
          <w:rFonts w:hint="eastAsia" w:ascii="宋体" w:hAnsi="宋体"/>
          <w:b/>
          <w:bCs/>
          <w:sz w:val="30"/>
          <w:szCs w:val="30"/>
          <w:highlight w:val="none"/>
        </w:rPr>
        <w:t>一、投标函</w:t>
      </w:r>
    </w:p>
    <w:p>
      <w:pPr>
        <w:spacing w:line="360" w:lineRule="auto"/>
        <w:rPr>
          <w:rFonts w:hint="eastAsia" w:ascii="宋体" w:hAnsi="宋体"/>
          <w:highlight w:val="none"/>
        </w:rPr>
      </w:pPr>
      <w:r>
        <w:rPr>
          <w:rFonts w:hint="eastAsia" w:ascii="宋体" w:hAnsi="宋体"/>
          <w:highlight w:val="none"/>
        </w:rPr>
        <w:t>致</w:t>
      </w:r>
      <w:r>
        <w:rPr>
          <w:rFonts w:hint="eastAsia" w:ascii="宋体" w:hAnsi="宋体"/>
          <w:highlight w:val="none"/>
          <w:u w:val="single"/>
        </w:rPr>
        <w:t>（采购人）、（采购代理机构）</w:t>
      </w: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我方参加你方组织的</w:t>
      </w:r>
      <w:r>
        <w:rPr>
          <w:rFonts w:hint="eastAsia" w:ascii="宋体" w:hAnsi="宋体"/>
          <w:highlight w:val="none"/>
          <w:u w:val="single"/>
        </w:rPr>
        <w:t>（项目名称）【项目编号】</w:t>
      </w:r>
      <w:r>
        <w:rPr>
          <w:rFonts w:hint="eastAsia" w:ascii="宋体" w:hAnsi="宋体"/>
          <w:highlight w:val="none"/>
        </w:rPr>
        <w:t>招标的有关活动，并对此项目进行投标。为此：</w:t>
      </w:r>
    </w:p>
    <w:p>
      <w:pPr>
        <w:spacing w:line="360" w:lineRule="auto"/>
        <w:ind w:firstLine="480" w:firstLineChars="200"/>
        <w:rPr>
          <w:rFonts w:hint="eastAsia" w:ascii="宋体" w:hAnsi="宋体"/>
          <w:highlight w:val="none"/>
        </w:rPr>
      </w:pPr>
      <w:r>
        <w:rPr>
          <w:rFonts w:hint="eastAsia" w:ascii="宋体" w:hAnsi="宋体"/>
          <w:highlight w:val="none"/>
        </w:rPr>
        <w:t>1、我方承诺投标有效期从提交投标文件的截止之日起</w:t>
      </w:r>
      <w:r>
        <w:rPr>
          <w:rFonts w:hint="eastAsia" w:ascii="宋体" w:hAnsi="宋体"/>
          <w:highlight w:val="none"/>
          <w:u w:val="single"/>
        </w:rPr>
        <w:t xml:space="preserve">     </w:t>
      </w:r>
      <w:r>
        <w:rPr>
          <w:rFonts w:hint="eastAsia" w:ascii="宋体" w:hAnsi="宋体"/>
          <w:highlight w:val="none"/>
        </w:rPr>
        <w:t>天（不少于90天），本投标文件在投标有效期满之前均具有约束力。</w:t>
      </w:r>
    </w:p>
    <w:p>
      <w:pPr>
        <w:spacing w:line="360" w:lineRule="auto"/>
        <w:ind w:firstLine="480" w:firstLineChars="200"/>
        <w:rPr>
          <w:rFonts w:hint="eastAsia" w:ascii="宋体" w:hAnsi="宋体"/>
          <w:highlight w:val="none"/>
        </w:rPr>
      </w:pPr>
      <w:r>
        <w:rPr>
          <w:rFonts w:hint="eastAsia" w:ascii="宋体" w:hAnsi="宋体"/>
          <w:highlight w:val="none"/>
        </w:rPr>
        <w:t>2、我方的投标文件包括以下内容：</w:t>
      </w:r>
    </w:p>
    <w:p>
      <w:pPr>
        <w:spacing w:line="360" w:lineRule="auto"/>
        <w:ind w:firstLine="480" w:firstLineChars="200"/>
        <w:rPr>
          <w:rFonts w:hint="eastAsia" w:ascii="宋体" w:hAnsi="宋体"/>
          <w:highlight w:val="none"/>
        </w:rPr>
      </w:pPr>
      <w:r>
        <w:rPr>
          <w:rFonts w:hint="eastAsia" w:ascii="宋体" w:hAnsi="宋体"/>
          <w:highlight w:val="none"/>
        </w:rPr>
        <w:t>2.1资格文件：</w:t>
      </w:r>
    </w:p>
    <w:p>
      <w:pPr>
        <w:spacing w:line="360" w:lineRule="auto"/>
        <w:ind w:firstLine="480" w:firstLineChars="200"/>
        <w:rPr>
          <w:rFonts w:hint="eastAsia" w:ascii="宋体" w:hAnsi="宋体"/>
          <w:highlight w:val="none"/>
        </w:rPr>
      </w:pPr>
      <w:r>
        <w:rPr>
          <w:rFonts w:hint="eastAsia" w:ascii="宋体" w:hAnsi="宋体"/>
          <w:highlight w:val="none"/>
        </w:rPr>
        <w:t>2.1.1符合参加政府采购活动应当具备的一般条件的承诺函；</w:t>
      </w:r>
    </w:p>
    <w:p>
      <w:pPr>
        <w:spacing w:line="360" w:lineRule="auto"/>
        <w:ind w:firstLine="480" w:firstLineChars="200"/>
        <w:rPr>
          <w:rFonts w:hint="eastAsia" w:ascii="宋体" w:hAnsi="宋体"/>
          <w:highlight w:val="none"/>
        </w:rPr>
      </w:pPr>
      <w:r>
        <w:rPr>
          <w:rFonts w:hint="eastAsia" w:ascii="宋体" w:hAnsi="宋体"/>
          <w:highlight w:val="none"/>
        </w:rPr>
        <w:t>2.1.2联合协议（如果有）</w:t>
      </w:r>
    </w:p>
    <w:p>
      <w:pPr>
        <w:spacing w:line="360" w:lineRule="auto"/>
        <w:ind w:firstLine="480" w:firstLineChars="200"/>
        <w:rPr>
          <w:rFonts w:hint="eastAsia" w:ascii="宋体" w:hAnsi="宋体"/>
          <w:highlight w:val="none"/>
        </w:rPr>
      </w:pPr>
      <w:r>
        <w:rPr>
          <w:rFonts w:hint="eastAsia" w:ascii="宋体" w:hAnsi="宋体"/>
          <w:highlight w:val="none"/>
        </w:rPr>
        <w:t>2.1.3落实政府采购政策需满足的资格要求（如果有）；</w:t>
      </w:r>
    </w:p>
    <w:p>
      <w:pPr>
        <w:spacing w:line="360" w:lineRule="auto"/>
        <w:ind w:firstLine="480" w:firstLineChars="200"/>
        <w:rPr>
          <w:rFonts w:hint="eastAsia" w:ascii="宋体" w:hAnsi="宋体"/>
          <w:highlight w:val="none"/>
        </w:rPr>
      </w:pPr>
      <w:r>
        <w:rPr>
          <w:rFonts w:hint="eastAsia" w:ascii="宋体" w:hAnsi="宋体"/>
          <w:highlight w:val="none"/>
        </w:rPr>
        <w:t>2.1.4本项目的特定资格要求（如果有）。</w:t>
      </w:r>
    </w:p>
    <w:p>
      <w:pPr>
        <w:spacing w:line="360" w:lineRule="auto"/>
        <w:ind w:firstLine="480" w:firstLineChars="200"/>
        <w:rPr>
          <w:rFonts w:hint="eastAsia" w:ascii="宋体" w:hAnsi="宋体"/>
          <w:highlight w:val="none"/>
        </w:rPr>
      </w:pPr>
      <w:r>
        <w:rPr>
          <w:rFonts w:hint="eastAsia" w:ascii="宋体" w:hAnsi="宋体"/>
          <w:highlight w:val="none"/>
        </w:rPr>
        <w:t>2.2 商务技术文件：</w:t>
      </w:r>
    </w:p>
    <w:p>
      <w:pPr>
        <w:spacing w:line="360" w:lineRule="auto"/>
        <w:ind w:firstLine="480" w:firstLineChars="200"/>
        <w:rPr>
          <w:rFonts w:hint="eastAsia" w:ascii="宋体" w:hAnsi="宋体"/>
          <w:highlight w:val="none"/>
        </w:rPr>
      </w:pPr>
      <w:r>
        <w:rPr>
          <w:rFonts w:hint="eastAsia" w:ascii="宋体" w:hAnsi="宋体"/>
          <w:highlight w:val="none"/>
        </w:rPr>
        <w:t xml:space="preserve">2.2.1投标函； </w:t>
      </w:r>
    </w:p>
    <w:p>
      <w:pPr>
        <w:spacing w:line="360" w:lineRule="auto"/>
        <w:ind w:firstLine="480" w:firstLineChars="200"/>
        <w:rPr>
          <w:rFonts w:hint="eastAsia" w:ascii="宋体" w:hAnsi="宋体"/>
          <w:highlight w:val="none"/>
        </w:rPr>
      </w:pPr>
      <w:r>
        <w:rPr>
          <w:rFonts w:hint="eastAsia" w:ascii="宋体" w:hAnsi="宋体"/>
          <w:highlight w:val="none"/>
        </w:rPr>
        <w:t>2.2.2授权委托书或法定代表人（单位负责人、自然人本人）身份证明；</w:t>
      </w:r>
    </w:p>
    <w:p>
      <w:pPr>
        <w:spacing w:line="360" w:lineRule="auto"/>
        <w:ind w:firstLine="480" w:firstLineChars="200"/>
        <w:rPr>
          <w:rFonts w:hint="eastAsia" w:ascii="宋体" w:hAnsi="宋体"/>
          <w:highlight w:val="none"/>
        </w:rPr>
      </w:pPr>
      <w:r>
        <w:rPr>
          <w:rFonts w:hint="eastAsia" w:ascii="宋体" w:hAnsi="宋体"/>
          <w:highlight w:val="none"/>
        </w:rPr>
        <w:t>2.2.3分包意向协议（如果有）；</w:t>
      </w:r>
    </w:p>
    <w:p>
      <w:pPr>
        <w:spacing w:line="360" w:lineRule="auto"/>
        <w:ind w:firstLine="480" w:firstLineChars="200"/>
        <w:rPr>
          <w:rFonts w:hint="eastAsia" w:ascii="宋体" w:hAnsi="宋体"/>
          <w:highlight w:val="none"/>
        </w:rPr>
      </w:pPr>
      <w:r>
        <w:rPr>
          <w:rFonts w:hint="eastAsia" w:ascii="宋体" w:hAnsi="宋体"/>
          <w:highlight w:val="none"/>
        </w:rPr>
        <w:t>2.2.4符合性审查资料；</w:t>
      </w:r>
    </w:p>
    <w:p>
      <w:pPr>
        <w:spacing w:line="360" w:lineRule="auto"/>
        <w:ind w:firstLine="480" w:firstLineChars="200"/>
        <w:rPr>
          <w:rFonts w:hint="eastAsia" w:ascii="宋体" w:hAnsi="宋体"/>
          <w:highlight w:val="none"/>
        </w:rPr>
      </w:pPr>
      <w:r>
        <w:rPr>
          <w:rFonts w:hint="eastAsia" w:ascii="宋体" w:hAnsi="宋体"/>
          <w:highlight w:val="none"/>
        </w:rPr>
        <w:t>2.2.5评分对应表；</w:t>
      </w:r>
    </w:p>
    <w:p>
      <w:pPr>
        <w:spacing w:line="360" w:lineRule="auto"/>
        <w:ind w:firstLine="480" w:firstLineChars="200"/>
        <w:rPr>
          <w:rFonts w:hint="eastAsia" w:ascii="宋体" w:hAnsi="宋体"/>
          <w:highlight w:val="none"/>
        </w:rPr>
      </w:pPr>
      <w:r>
        <w:rPr>
          <w:rFonts w:hint="eastAsia" w:ascii="宋体" w:hAnsi="宋体"/>
          <w:highlight w:val="none"/>
        </w:rPr>
        <w:t>2.2.6商务技术响应表；</w:t>
      </w:r>
    </w:p>
    <w:p>
      <w:pPr>
        <w:spacing w:line="360" w:lineRule="auto"/>
        <w:ind w:firstLine="480" w:firstLineChars="200"/>
        <w:rPr>
          <w:rFonts w:hint="eastAsia" w:ascii="宋体" w:hAnsi="宋体"/>
          <w:highlight w:val="none"/>
        </w:rPr>
      </w:pPr>
      <w:r>
        <w:rPr>
          <w:rFonts w:hint="eastAsia" w:ascii="宋体" w:hAnsi="宋体"/>
          <w:highlight w:val="none"/>
        </w:rPr>
        <w:t>2.2.7评标标准相应的商务技术资料；</w:t>
      </w:r>
    </w:p>
    <w:p>
      <w:pPr>
        <w:spacing w:line="360" w:lineRule="auto"/>
        <w:ind w:firstLine="480" w:firstLineChars="200"/>
        <w:rPr>
          <w:rFonts w:hint="eastAsia" w:ascii="宋体" w:hAnsi="宋体"/>
          <w:highlight w:val="none"/>
        </w:rPr>
      </w:pPr>
      <w:r>
        <w:rPr>
          <w:rFonts w:hint="eastAsia" w:ascii="宋体" w:hAnsi="宋体"/>
          <w:highlight w:val="none"/>
        </w:rPr>
        <w:t>2.2.8供应商认为需要提供的其他文件及资料（格式自拟）。</w:t>
      </w:r>
    </w:p>
    <w:p>
      <w:pPr>
        <w:spacing w:line="360" w:lineRule="auto"/>
        <w:ind w:firstLine="480" w:firstLineChars="200"/>
        <w:rPr>
          <w:rFonts w:hint="eastAsia" w:ascii="宋体" w:hAnsi="宋体"/>
          <w:highlight w:val="none"/>
        </w:rPr>
      </w:pPr>
      <w:r>
        <w:rPr>
          <w:rFonts w:hint="eastAsia" w:ascii="宋体" w:hAnsi="宋体"/>
          <w:highlight w:val="none"/>
        </w:rPr>
        <w:t>2.3报价文件</w:t>
      </w:r>
    </w:p>
    <w:p>
      <w:pPr>
        <w:spacing w:line="360" w:lineRule="auto"/>
        <w:ind w:firstLine="480" w:firstLineChars="200"/>
        <w:rPr>
          <w:rFonts w:hint="eastAsia" w:ascii="宋体" w:hAnsi="宋体"/>
          <w:highlight w:val="none"/>
        </w:rPr>
      </w:pPr>
      <w:r>
        <w:rPr>
          <w:rFonts w:hint="eastAsia" w:ascii="宋体" w:hAnsi="宋体"/>
          <w:highlight w:val="none"/>
        </w:rPr>
        <w:t>2.3.1开标一览表（报价表）；</w:t>
      </w:r>
    </w:p>
    <w:p>
      <w:pPr>
        <w:spacing w:line="360" w:lineRule="auto"/>
        <w:ind w:firstLine="480" w:firstLineChars="200"/>
        <w:rPr>
          <w:rFonts w:hint="eastAsia" w:ascii="宋体" w:hAnsi="宋体"/>
          <w:highlight w:val="none"/>
        </w:rPr>
      </w:pPr>
      <w:r>
        <w:rPr>
          <w:rFonts w:hint="eastAsia" w:ascii="宋体" w:hAnsi="宋体"/>
          <w:highlight w:val="none"/>
        </w:rPr>
        <w:t>2.3.2报价情况说明（如果有）；</w:t>
      </w:r>
    </w:p>
    <w:p>
      <w:pPr>
        <w:spacing w:line="360" w:lineRule="auto"/>
        <w:ind w:firstLine="480" w:firstLineChars="200"/>
        <w:rPr>
          <w:rFonts w:hint="eastAsia" w:ascii="宋体" w:hAnsi="宋体"/>
          <w:highlight w:val="none"/>
        </w:rPr>
      </w:pPr>
      <w:r>
        <w:rPr>
          <w:rFonts w:hint="eastAsia" w:ascii="宋体" w:hAnsi="宋体"/>
          <w:highlight w:val="none"/>
        </w:rPr>
        <w:t>2.3.3中小企业声明函；</w:t>
      </w:r>
    </w:p>
    <w:p>
      <w:pPr>
        <w:spacing w:line="360" w:lineRule="auto"/>
        <w:ind w:firstLine="480" w:firstLineChars="200"/>
        <w:rPr>
          <w:rFonts w:hint="eastAsia" w:ascii="宋体" w:hAnsi="宋体"/>
          <w:highlight w:val="none"/>
        </w:rPr>
      </w:pPr>
      <w:r>
        <w:rPr>
          <w:rFonts w:hint="eastAsia" w:ascii="宋体" w:hAnsi="宋体"/>
          <w:highlight w:val="none"/>
        </w:rPr>
        <w:t>2.3.4关于符合本国产品标准的声明函或有关证明文件（如果有）。</w:t>
      </w:r>
    </w:p>
    <w:p>
      <w:pPr>
        <w:spacing w:line="360" w:lineRule="auto"/>
        <w:ind w:firstLine="480" w:firstLineChars="200"/>
        <w:rPr>
          <w:rFonts w:hint="eastAsia" w:ascii="宋体" w:hAnsi="宋体"/>
          <w:highlight w:val="none"/>
        </w:rPr>
      </w:pPr>
      <w:r>
        <w:rPr>
          <w:rFonts w:hint="eastAsia" w:ascii="宋体" w:hAnsi="宋体"/>
          <w:highlight w:val="none"/>
        </w:rPr>
        <w:t>3、我方承诺除商务技术偏离表列出的偏离外，我方响应招标文件的全部要求。</w:t>
      </w:r>
    </w:p>
    <w:p>
      <w:pPr>
        <w:spacing w:line="360" w:lineRule="auto"/>
        <w:ind w:firstLine="480" w:firstLineChars="200"/>
        <w:rPr>
          <w:rFonts w:hint="eastAsia" w:ascii="宋体" w:hAnsi="宋体"/>
          <w:highlight w:val="none"/>
        </w:rPr>
      </w:pPr>
      <w:r>
        <w:rPr>
          <w:rFonts w:hint="eastAsia" w:ascii="宋体" w:hAnsi="宋体"/>
          <w:highlight w:val="none"/>
        </w:rPr>
        <w:t>4、如我方中标，我方承诺：</w:t>
      </w:r>
    </w:p>
    <w:p>
      <w:pPr>
        <w:spacing w:line="360" w:lineRule="auto"/>
        <w:ind w:firstLine="480" w:firstLineChars="200"/>
        <w:rPr>
          <w:rFonts w:hint="eastAsia" w:ascii="宋体" w:hAnsi="宋体"/>
          <w:highlight w:val="none"/>
        </w:rPr>
      </w:pPr>
      <w:r>
        <w:rPr>
          <w:rFonts w:hint="eastAsia" w:ascii="宋体" w:hAnsi="宋体"/>
          <w:highlight w:val="none"/>
        </w:rPr>
        <w:t xml:space="preserve">4.1在收到中标通知书后，在中标通知书规定的期限内与你方签订合同； </w:t>
      </w:r>
    </w:p>
    <w:p>
      <w:pPr>
        <w:spacing w:line="360" w:lineRule="auto"/>
        <w:ind w:firstLine="480" w:firstLineChars="200"/>
        <w:rPr>
          <w:rFonts w:hint="eastAsia" w:ascii="宋体" w:hAnsi="宋体"/>
          <w:highlight w:val="none"/>
        </w:rPr>
      </w:pPr>
      <w:r>
        <w:rPr>
          <w:rFonts w:hint="eastAsia" w:ascii="宋体" w:hAnsi="宋体"/>
          <w:highlight w:val="none"/>
        </w:rPr>
        <w:t xml:space="preserve">4.2在签订合同时不向你方提出附加条件； </w:t>
      </w:r>
    </w:p>
    <w:p>
      <w:pPr>
        <w:spacing w:line="360" w:lineRule="auto"/>
        <w:ind w:firstLine="480" w:firstLineChars="200"/>
        <w:rPr>
          <w:rFonts w:hint="eastAsia" w:ascii="宋体" w:hAnsi="宋体"/>
          <w:highlight w:val="none"/>
        </w:rPr>
      </w:pPr>
      <w:r>
        <w:rPr>
          <w:rFonts w:hint="eastAsia" w:ascii="宋体" w:hAnsi="宋体"/>
          <w:highlight w:val="none"/>
        </w:rPr>
        <w:t>4.3按照招标文件要求提交履约保证金；</w:t>
      </w:r>
    </w:p>
    <w:p>
      <w:pPr>
        <w:spacing w:line="360" w:lineRule="auto"/>
        <w:ind w:firstLine="480" w:firstLineChars="200"/>
        <w:rPr>
          <w:rFonts w:hint="eastAsia" w:ascii="宋体" w:hAnsi="宋体"/>
          <w:highlight w:val="none"/>
        </w:rPr>
      </w:pPr>
      <w:r>
        <w:rPr>
          <w:rFonts w:hint="eastAsia" w:ascii="宋体" w:hAnsi="宋体"/>
          <w:highlight w:val="none"/>
        </w:rPr>
        <w:t xml:space="preserve">4.4在合同约定的期限内完成合同规定的全部义务。 </w:t>
      </w:r>
    </w:p>
    <w:p>
      <w:pPr>
        <w:spacing w:line="360" w:lineRule="auto"/>
        <w:ind w:firstLine="480" w:firstLineChars="200"/>
        <w:rPr>
          <w:rFonts w:hint="eastAsia" w:ascii="宋体" w:hAnsi="宋体"/>
          <w:highlight w:val="none"/>
        </w:rPr>
      </w:pPr>
      <w:r>
        <w:rPr>
          <w:rFonts w:hint="eastAsia" w:ascii="宋体" w:hAnsi="宋体"/>
          <w:highlight w:val="none"/>
        </w:rPr>
        <w:t>5、其他补充说明:</w:t>
      </w:r>
      <w:r>
        <w:rPr>
          <w:rFonts w:hint="eastAsia" w:ascii="宋体" w:hAnsi="宋体"/>
          <w:highlight w:val="none"/>
          <w:u w:val="single"/>
        </w:rPr>
        <w:t xml:space="preserve">                                        </w:t>
      </w:r>
      <w:r>
        <w:rPr>
          <w:rFonts w:hint="eastAsia" w:ascii="宋体" w:hAnsi="宋体"/>
          <w:highlight w:val="none"/>
        </w:rPr>
        <w:t>。</w:t>
      </w:r>
    </w:p>
    <w:p>
      <w:pPr>
        <w:spacing w:line="360" w:lineRule="auto"/>
        <w:rPr>
          <w:rFonts w:hint="eastAsia" w:ascii="宋体" w:hAnsi="宋体"/>
          <w:highlight w:val="none"/>
        </w:rPr>
      </w:pPr>
      <w:r>
        <w:rPr>
          <w:rFonts w:hint="eastAsia" w:ascii="宋体" w:hAnsi="宋体"/>
          <w:highlight w:val="none"/>
        </w:rPr>
        <w:t xml:space="preserve">  </w:t>
      </w: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widowControl/>
        <w:jc w:val="left"/>
        <w:rPr>
          <w:rFonts w:hint="eastAsia" w:ascii="宋体" w:hAnsi="宋体"/>
          <w:highlight w:val="none"/>
        </w:rPr>
      </w:pPr>
      <w:r>
        <w:rPr>
          <w:rFonts w:hint="eastAsia" w:ascii="宋体" w:hAnsi="宋体"/>
          <w:highlight w:val="none"/>
        </w:rPr>
        <w:br w:type="page"/>
      </w:r>
    </w:p>
    <w:p>
      <w:pPr>
        <w:numPr>
          <w:ilvl w:val="0"/>
          <w:numId w:val="5"/>
        </w:numPr>
        <w:suppressAutoHyphens/>
        <w:spacing w:line="360" w:lineRule="auto"/>
        <w:jc w:val="center"/>
        <w:rPr>
          <w:rFonts w:hint="eastAsia" w:ascii="宋体" w:hAnsi="宋体"/>
          <w:b/>
          <w:bCs/>
          <w:sz w:val="30"/>
          <w:szCs w:val="30"/>
          <w:highlight w:val="none"/>
        </w:rPr>
      </w:pPr>
      <w:r>
        <w:rPr>
          <w:rFonts w:hint="eastAsia" w:ascii="宋体" w:hAnsi="宋体"/>
          <w:b/>
          <w:bCs/>
          <w:sz w:val="30"/>
          <w:szCs w:val="30"/>
          <w:highlight w:val="none"/>
        </w:rPr>
        <w:t>授权委托书或法定代表人</w:t>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（单位负责人、自然人本人）身份证明</w:t>
      </w:r>
    </w:p>
    <w:p>
      <w:pPr>
        <w:spacing w:line="360" w:lineRule="auto"/>
        <w:jc w:val="center"/>
        <w:rPr>
          <w:rFonts w:hint="eastAsia" w:ascii="宋体" w:hAnsi="宋体"/>
          <w:b/>
          <w:bCs/>
          <w:sz w:val="30"/>
          <w:szCs w:val="30"/>
          <w:highlight w:val="none"/>
        </w:rPr>
      </w:pPr>
    </w:p>
    <w:p>
      <w:pPr>
        <w:spacing w:line="360" w:lineRule="auto"/>
        <w:jc w:val="center"/>
        <w:rPr>
          <w:rFonts w:hint="eastAsia" w:ascii="宋体" w:hAnsi="宋体"/>
          <w:b/>
          <w:bCs/>
          <w:sz w:val="30"/>
          <w:szCs w:val="30"/>
          <w:highlight w:val="none"/>
        </w:rPr>
      </w:pP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授权委托书（适用于非联合体投标）</w:t>
      </w:r>
    </w:p>
    <w:p>
      <w:pPr>
        <w:spacing w:line="360" w:lineRule="auto"/>
        <w:jc w:val="center"/>
        <w:rPr>
          <w:rFonts w:hint="eastAsia" w:ascii="宋体" w:hAnsi="宋体"/>
          <w:b/>
          <w:bCs/>
          <w:sz w:val="30"/>
          <w:szCs w:val="30"/>
          <w:highlight w:val="none"/>
        </w:rPr>
      </w:pPr>
    </w:p>
    <w:p>
      <w:pPr>
        <w:spacing w:line="360" w:lineRule="auto"/>
        <w:rPr>
          <w:rFonts w:hint="eastAsia" w:ascii="宋体" w:hAnsi="宋体"/>
          <w:highlight w:val="none"/>
        </w:rPr>
      </w:pPr>
      <w:r>
        <w:rPr>
          <w:rFonts w:hint="eastAsia" w:ascii="宋体" w:hAnsi="宋体"/>
          <w:highlight w:val="none"/>
        </w:rPr>
        <w:t>致</w:t>
      </w:r>
      <w:r>
        <w:rPr>
          <w:rFonts w:hint="eastAsia" w:ascii="宋体" w:hAnsi="宋体"/>
          <w:highlight w:val="none"/>
          <w:u w:val="single"/>
        </w:rPr>
        <w:t>（采购人）、（采购代理机构）</w:t>
      </w: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现委托</w:t>
      </w:r>
      <w:r>
        <w:rPr>
          <w:rFonts w:hint="eastAsia" w:ascii="宋体" w:hAnsi="宋体"/>
          <w:highlight w:val="none"/>
          <w:u w:val="single"/>
        </w:rPr>
        <w:t xml:space="preserve">          （姓名）</w:t>
      </w:r>
      <w:r>
        <w:rPr>
          <w:rFonts w:hint="eastAsia" w:ascii="宋体" w:hAnsi="宋体"/>
          <w:highlight w:val="none"/>
        </w:rPr>
        <w:t>为我方代理人（身份证号码：</w:t>
      </w:r>
      <w:r>
        <w:rPr>
          <w:rFonts w:hint="eastAsia" w:ascii="宋体" w:hAnsi="宋体"/>
          <w:highlight w:val="none"/>
          <w:u w:val="single"/>
        </w:rPr>
        <w:t xml:space="preserve">          </w:t>
      </w:r>
      <w:r>
        <w:rPr>
          <w:rFonts w:hint="eastAsia" w:ascii="宋体" w:hAnsi="宋体"/>
          <w:highlight w:val="none"/>
        </w:rPr>
        <w:t>，手机：</w:t>
      </w:r>
      <w:r>
        <w:rPr>
          <w:rFonts w:hint="eastAsia" w:ascii="宋体" w:hAnsi="宋体"/>
          <w:highlight w:val="none"/>
          <w:u w:val="single"/>
        </w:rPr>
        <w:t xml:space="preserve">          </w:t>
      </w:r>
      <w:r>
        <w:rPr>
          <w:rFonts w:hint="eastAsia" w:ascii="宋体" w:hAnsi="宋体"/>
          <w:highlight w:val="none"/>
        </w:rPr>
        <w:t>，所在单位：</w:t>
      </w:r>
      <w:r>
        <w:rPr>
          <w:rFonts w:hint="eastAsia" w:ascii="宋体" w:hAnsi="宋体"/>
          <w:highlight w:val="none"/>
          <w:u w:val="single"/>
        </w:rPr>
        <w:t xml:space="preserve">         </w:t>
      </w:r>
      <w:r>
        <w:rPr>
          <w:rFonts w:hint="eastAsia" w:ascii="宋体" w:hAnsi="宋体"/>
          <w:highlight w:val="none"/>
        </w:rPr>
        <w:t>），以我方名义处理</w:t>
      </w:r>
      <w:r>
        <w:rPr>
          <w:rFonts w:hint="eastAsia" w:ascii="宋体" w:hAnsi="宋体"/>
          <w:highlight w:val="none"/>
          <w:u w:val="single"/>
        </w:rPr>
        <w:t>（项目名称）【项目编号】</w:t>
      </w:r>
      <w:r>
        <w:rPr>
          <w:rFonts w:hint="eastAsia" w:ascii="宋体" w:hAnsi="宋体"/>
          <w:highlight w:val="none"/>
        </w:rPr>
        <w:t>政府采购投标的一切事项，其法律后果由我方承担。</w:t>
      </w:r>
    </w:p>
    <w:p>
      <w:pPr>
        <w:spacing w:line="360" w:lineRule="auto"/>
        <w:rPr>
          <w:rFonts w:hint="eastAsia" w:ascii="宋体" w:hAnsi="宋体"/>
          <w:highlight w:val="none"/>
        </w:rPr>
      </w:pPr>
      <w:r>
        <w:rPr>
          <w:rFonts w:hint="eastAsia" w:ascii="宋体" w:hAnsi="宋体"/>
          <w:highlight w:val="none"/>
        </w:rPr>
        <w:t xml:space="preserve">    委托期限：自   年 月  日起至  年  月  日止。</w:t>
      </w:r>
    </w:p>
    <w:p>
      <w:pPr>
        <w:spacing w:line="360" w:lineRule="auto"/>
        <w:ind w:firstLine="480"/>
        <w:rPr>
          <w:rFonts w:hint="eastAsia" w:ascii="宋体" w:hAnsi="宋体"/>
          <w:highlight w:val="none"/>
        </w:rPr>
      </w:pPr>
      <w:r>
        <w:rPr>
          <w:rFonts w:hint="eastAsia" w:ascii="宋体" w:hAnsi="宋体"/>
          <w:highlight w:val="none"/>
        </w:rPr>
        <w:t>特此告知。</w:t>
      </w:r>
    </w:p>
    <w:p>
      <w:pPr>
        <w:spacing w:line="360" w:lineRule="auto"/>
        <w:rPr>
          <w:rFonts w:hint="eastAsia" w:ascii="宋体" w:hAnsi="宋体"/>
          <w:highlight w:val="none"/>
        </w:rPr>
      </w:pPr>
    </w:p>
    <w:p>
      <w:pPr>
        <w:spacing w:line="360" w:lineRule="auto"/>
        <w:rPr>
          <w:rFonts w:hint="eastAsia" w:ascii="宋体" w:hAnsi="宋体"/>
          <w:highlight w:val="none"/>
        </w:rPr>
      </w:pP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widowControl/>
        <w:jc w:val="left"/>
        <w:rPr>
          <w:rFonts w:hint="eastAsia" w:ascii="宋体" w:hAnsi="宋体"/>
          <w:b/>
          <w:bCs/>
          <w:sz w:val="30"/>
          <w:szCs w:val="30"/>
          <w:highlight w:val="none"/>
        </w:rPr>
      </w:pPr>
      <w:r>
        <w:rPr>
          <w:rFonts w:hint="eastAsia" w:ascii="宋体" w:hAnsi="宋体"/>
          <w:b/>
          <w:bCs/>
          <w:sz w:val="30"/>
          <w:szCs w:val="30"/>
          <w:highlight w:val="none"/>
        </w:rPr>
        <w:br w:type="page"/>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授权委托书（适用于联合体投标）</w:t>
      </w:r>
    </w:p>
    <w:p>
      <w:pPr>
        <w:spacing w:line="360" w:lineRule="auto"/>
        <w:jc w:val="center"/>
        <w:rPr>
          <w:rFonts w:hint="eastAsia" w:ascii="宋体" w:hAnsi="宋体"/>
          <w:b/>
          <w:bCs/>
          <w:sz w:val="30"/>
          <w:szCs w:val="30"/>
          <w:highlight w:val="none"/>
        </w:rPr>
      </w:pPr>
    </w:p>
    <w:p>
      <w:pPr>
        <w:spacing w:line="360" w:lineRule="auto"/>
        <w:rPr>
          <w:rFonts w:hint="eastAsia" w:ascii="宋体" w:hAnsi="宋体"/>
          <w:highlight w:val="none"/>
        </w:rPr>
      </w:pPr>
      <w:r>
        <w:rPr>
          <w:rFonts w:hint="eastAsia" w:ascii="宋体" w:hAnsi="宋体"/>
          <w:highlight w:val="none"/>
        </w:rPr>
        <w:t>致</w:t>
      </w:r>
      <w:r>
        <w:rPr>
          <w:rFonts w:hint="eastAsia" w:ascii="宋体" w:hAnsi="宋体"/>
          <w:highlight w:val="none"/>
          <w:u w:val="single"/>
        </w:rPr>
        <w:t>（采购人）、（采购代理机构）</w:t>
      </w: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现委托</w:t>
      </w:r>
      <w:r>
        <w:rPr>
          <w:rFonts w:hint="eastAsia" w:ascii="宋体" w:hAnsi="宋体"/>
          <w:highlight w:val="none"/>
          <w:u w:val="single"/>
        </w:rPr>
        <w:t xml:space="preserve">          （姓名）</w:t>
      </w:r>
      <w:r>
        <w:rPr>
          <w:rFonts w:hint="eastAsia" w:ascii="宋体" w:hAnsi="宋体"/>
          <w:highlight w:val="none"/>
        </w:rPr>
        <w:t>为我方代理人（身份证号码：</w:t>
      </w:r>
      <w:r>
        <w:rPr>
          <w:rFonts w:hint="eastAsia" w:ascii="宋体" w:hAnsi="宋体"/>
          <w:highlight w:val="none"/>
          <w:u w:val="single"/>
        </w:rPr>
        <w:t xml:space="preserve">          </w:t>
      </w:r>
      <w:r>
        <w:rPr>
          <w:rFonts w:hint="eastAsia" w:ascii="宋体" w:hAnsi="宋体"/>
          <w:highlight w:val="none"/>
        </w:rPr>
        <w:t>，手机：</w:t>
      </w:r>
      <w:r>
        <w:rPr>
          <w:rFonts w:hint="eastAsia" w:ascii="宋体" w:hAnsi="宋体"/>
          <w:highlight w:val="none"/>
          <w:u w:val="single"/>
        </w:rPr>
        <w:t xml:space="preserve">          </w:t>
      </w:r>
      <w:r>
        <w:rPr>
          <w:rFonts w:hint="eastAsia" w:ascii="宋体" w:hAnsi="宋体"/>
          <w:highlight w:val="none"/>
        </w:rPr>
        <w:t>，所在单位：</w:t>
      </w:r>
      <w:r>
        <w:rPr>
          <w:rFonts w:hint="eastAsia" w:ascii="宋体" w:hAnsi="宋体"/>
          <w:highlight w:val="none"/>
          <w:u w:val="single"/>
        </w:rPr>
        <w:t xml:space="preserve">         </w:t>
      </w:r>
      <w:r>
        <w:rPr>
          <w:rFonts w:hint="eastAsia" w:ascii="宋体" w:hAnsi="宋体"/>
          <w:highlight w:val="none"/>
        </w:rPr>
        <w:t>），以我方名义处理</w:t>
      </w:r>
      <w:r>
        <w:rPr>
          <w:rFonts w:hint="eastAsia" w:ascii="宋体" w:hAnsi="宋体"/>
          <w:highlight w:val="none"/>
          <w:u w:val="single"/>
        </w:rPr>
        <w:t>（项目名称）【项目编号】</w:t>
      </w:r>
      <w:r>
        <w:rPr>
          <w:rFonts w:hint="eastAsia" w:ascii="宋体" w:hAnsi="宋体"/>
          <w:highlight w:val="none"/>
        </w:rPr>
        <w:t>政府采购投标的一切事项，其法律后果由我方承担。</w:t>
      </w:r>
    </w:p>
    <w:p>
      <w:pPr>
        <w:spacing w:line="360" w:lineRule="auto"/>
        <w:rPr>
          <w:rFonts w:hint="eastAsia" w:ascii="宋体" w:hAnsi="宋体"/>
          <w:highlight w:val="none"/>
        </w:rPr>
      </w:pPr>
      <w:r>
        <w:rPr>
          <w:rFonts w:hint="eastAsia" w:ascii="宋体" w:hAnsi="宋体"/>
          <w:highlight w:val="none"/>
        </w:rPr>
        <w:t xml:space="preserve">    委托期限：自   年 月  日起至  年  月  日止。</w:t>
      </w:r>
    </w:p>
    <w:p>
      <w:pPr>
        <w:spacing w:line="360" w:lineRule="auto"/>
        <w:ind w:firstLine="480"/>
        <w:rPr>
          <w:rFonts w:hint="eastAsia" w:ascii="宋体" w:hAnsi="宋体"/>
          <w:highlight w:val="none"/>
        </w:rPr>
      </w:pPr>
      <w:r>
        <w:rPr>
          <w:rFonts w:hint="eastAsia" w:ascii="宋体" w:hAnsi="宋体"/>
          <w:highlight w:val="none"/>
        </w:rPr>
        <w:t>特此告知。</w:t>
      </w:r>
    </w:p>
    <w:p>
      <w:pPr>
        <w:spacing w:line="360" w:lineRule="auto"/>
        <w:ind w:firstLine="480"/>
        <w:rPr>
          <w:rFonts w:hint="eastAsia" w:ascii="宋体" w:hAnsi="宋体"/>
          <w:highlight w:val="none"/>
        </w:rPr>
      </w:pPr>
    </w:p>
    <w:p>
      <w:pPr>
        <w:spacing w:line="360" w:lineRule="auto"/>
        <w:jc w:val="right"/>
        <w:rPr>
          <w:rFonts w:hint="eastAsia" w:ascii="宋体" w:hAnsi="宋体"/>
          <w:highlight w:val="none"/>
        </w:rPr>
      </w:pPr>
      <w:r>
        <w:rPr>
          <w:rFonts w:hint="eastAsia" w:ascii="宋体" w:hAnsi="宋体"/>
          <w:highlight w:val="none"/>
        </w:rPr>
        <w:t>联合体成员名称（公章）：      　</w:t>
      </w:r>
    </w:p>
    <w:p>
      <w:pPr>
        <w:spacing w:line="360" w:lineRule="auto"/>
        <w:jc w:val="right"/>
        <w:rPr>
          <w:rFonts w:hint="eastAsia" w:ascii="宋体" w:hAnsi="宋体"/>
          <w:highlight w:val="none"/>
        </w:rPr>
      </w:pPr>
      <w:r>
        <w:rPr>
          <w:rFonts w:hint="eastAsia" w:ascii="宋体" w:hAnsi="宋体"/>
          <w:highlight w:val="none"/>
        </w:rPr>
        <w:t xml:space="preserve">联合体成员名称（公章）： </w:t>
      </w:r>
    </w:p>
    <w:p>
      <w:pPr>
        <w:spacing w:line="360" w:lineRule="auto"/>
        <w:jc w:val="right"/>
        <w:rPr>
          <w:rFonts w:hint="eastAsia" w:ascii="宋体" w:hAnsi="宋体"/>
          <w:highlight w:val="none"/>
        </w:rPr>
      </w:pPr>
      <w:r>
        <w:rPr>
          <w:rFonts w:hint="eastAsia" w:ascii="宋体" w:hAnsi="宋体"/>
          <w:highlight w:val="none"/>
        </w:rPr>
        <w:t>日期：    年  月  日</w:t>
      </w:r>
    </w:p>
    <w:p>
      <w:pPr>
        <w:spacing w:line="360" w:lineRule="auto"/>
        <w:jc w:val="center"/>
        <w:rPr>
          <w:rFonts w:hint="eastAsia" w:ascii="宋体" w:hAnsi="宋体"/>
          <w:b/>
          <w:bCs/>
          <w:sz w:val="30"/>
          <w:szCs w:val="30"/>
          <w:highlight w:val="none"/>
        </w:rPr>
      </w:pP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法定代表人、单位负责人或自然人本人的身份证明（适用于</w:t>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法定代表人、单位负责人或者自然人本人代表供应商参加投标）</w:t>
      </w:r>
    </w:p>
    <w:p>
      <w:pPr>
        <w:spacing w:line="360" w:lineRule="auto"/>
        <w:rPr>
          <w:rFonts w:hint="eastAsia" w:ascii="宋体" w:hAnsi="宋体"/>
          <w:highlight w:val="none"/>
        </w:rPr>
      </w:pPr>
      <w:r>
        <w:rPr>
          <w:rFonts w:hint="eastAsia" w:ascii="宋体" w:hAnsi="宋体"/>
          <w:highlight w:val="none"/>
        </w:rPr>
        <w:t>身份证件扫描件：</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trPr>
        <w:tc>
          <w:tcPr>
            <w:tcW w:w="4261" w:type="dxa"/>
          </w:tcPr>
          <w:p>
            <w:pPr>
              <w:spacing w:line="360" w:lineRule="auto"/>
              <w:rPr>
                <w:rFonts w:hint="eastAsia" w:ascii="宋体" w:hAnsi="宋体"/>
                <w:highlight w:val="none"/>
              </w:rPr>
            </w:pPr>
            <w:r>
              <w:rPr>
                <w:rFonts w:hint="eastAsia" w:ascii="宋体" w:hAnsi="宋体"/>
                <w:highlight w:val="none"/>
              </w:rPr>
              <w:t>正面：</w:t>
            </w:r>
          </w:p>
        </w:tc>
        <w:tc>
          <w:tcPr>
            <w:tcW w:w="4261" w:type="dxa"/>
          </w:tcPr>
          <w:p>
            <w:pPr>
              <w:spacing w:line="360" w:lineRule="auto"/>
              <w:rPr>
                <w:rFonts w:hint="eastAsia" w:ascii="宋体" w:hAnsi="宋体"/>
                <w:highlight w:val="none"/>
              </w:rPr>
            </w:pPr>
            <w:r>
              <w:rPr>
                <w:rFonts w:hint="eastAsia" w:ascii="宋体" w:hAnsi="宋体"/>
                <w:highlight w:val="none"/>
              </w:rPr>
              <w:t>反面：</w:t>
            </w:r>
          </w:p>
        </w:tc>
      </w:tr>
    </w:tbl>
    <w:p>
      <w:pPr>
        <w:spacing w:line="360" w:lineRule="auto"/>
        <w:jc w:val="right"/>
        <w:rPr>
          <w:rFonts w:hint="eastAsia" w:ascii="宋体" w:hAnsi="宋体"/>
          <w:highlight w:val="none"/>
        </w:rPr>
      </w:pPr>
      <w:r>
        <w:rPr>
          <w:rFonts w:hint="eastAsia" w:ascii="宋体" w:hAnsi="宋体"/>
          <w:highlight w:val="none"/>
        </w:rPr>
        <w:t>供应商名称（公章）：</w:t>
      </w:r>
    </w:p>
    <w:p>
      <w:pPr>
        <w:spacing w:line="360" w:lineRule="auto"/>
        <w:jc w:val="right"/>
        <w:rPr>
          <w:highlight w:val="none"/>
        </w:rPr>
      </w:pPr>
      <w:r>
        <w:rPr>
          <w:rFonts w:hint="eastAsia" w:ascii="宋体" w:hAnsi="宋体"/>
          <w:highlight w:val="none"/>
        </w:rPr>
        <w:t>日期：    年  月  日</w:t>
      </w:r>
      <w:r>
        <w:rPr>
          <w:rFonts w:hint="eastAsia"/>
          <w:highlight w:val="none"/>
        </w:rPr>
        <w:br w:type="page"/>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三、分包意向协议（如果有）</w:t>
      </w:r>
    </w:p>
    <w:p>
      <w:pPr>
        <w:spacing w:line="360" w:lineRule="auto"/>
        <w:rPr>
          <w:rFonts w:hint="eastAsia" w:ascii="宋体" w:hAnsi="宋体"/>
          <w:b/>
          <w:bCs/>
          <w:highlight w:val="none"/>
        </w:rPr>
      </w:pPr>
      <w:r>
        <w:rPr>
          <w:rFonts w:hint="eastAsia" w:ascii="宋体" w:hAnsi="宋体"/>
          <w:b/>
          <w:bCs/>
          <w:highlight w:val="none"/>
        </w:rPr>
        <w:t>（中标后以分包方式履行合同的，提供分包意向协议；采购人不同意分包或者供应商中标后不以分包方式履行合同的，则不需要提供。）</w:t>
      </w:r>
    </w:p>
    <w:p>
      <w:pPr>
        <w:spacing w:line="360" w:lineRule="auto"/>
        <w:rPr>
          <w:rFonts w:hint="eastAsia" w:ascii="宋体" w:hAnsi="宋体"/>
          <w:highlight w:val="none"/>
        </w:rPr>
      </w:pP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四、符合性审查资料（根据项目要求，如实填写）</w:t>
      </w:r>
    </w:p>
    <w:tbl>
      <w:tblPr>
        <w:tblStyle w:val="29"/>
        <w:tblW w:w="9200" w:type="dxa"/>
        <w:tblInd w:w="-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3916"/>
        <w:gridCol w:w="3334"/>
        <w:gridCol w:w="1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spacing w:line="360" w:lineRule="auto"/>
              <w:jc w:val="center"/>
              <w:rPr>
                <w:rFonts w:hint="eastAsia" w:ascii="宋体" w:hAnsi="宋体"/>
                <w:b/>
                <w:bCs/>
                <w:sz w:val="18"/>
                <w:szCs w:val="18"/>
                <w:highlight w:val="none"/>
              </w:rPr>
            </w:pPr>
            <w:r>
              <w:rPr>
                <w:rFonts w:hint="eastAsia" w:ascii="宋体" w:hAnsi="宋体"/>
                <w:sz w:val="18"/>
                <w:szCs w:val="18"/>
                <w:highlight w:val="none"/>
              </w:rPr>
              <w:t>序号</w:t>
            </w:r>
          </w:p>
        </w:tc>
        <w:tc>
          <w:tcPr>
            <w:tcW w:w="3916" w:type="dxa"/>
          </w:tcPr>
          <w:p>
            <w:pPr>
              <w:spacing w:line="360" w:lineRule="auto"/>
              <w:jc w:val="center"/>
              <w:rPr>
                <w:rFonts w:hint="eastAsia" w:ascii="宋体" w:hAnsi="宋体"/>
                <w:sz w:val="18"/>
                <w:szCs w:val="18"/>
                <w:highlight w:val="none"/>
              </w:rPr>
            </w:pPr>
            <w:r>
              <w:rPr>
                <w:rFonts w:hint="eastAsia" w:ascii="宋体" w:hAnsi="宋体"/>
                <w:sz w:val="18"/>
                <w:szCs w:val="18"/>
                <w:highlight w:val="none"/>
              </w:rPr>
              <w:t>实质性要求</w:t>
            </w:r>
          </w:p>
        </w:tc>
        <w:tc>
          <w:tcPr>
            <w:tcW w:w="3334" w:type="dxa"/>
          </w:tcPr>
          <w:p>
            <w:pPr>
              <w:spacing w:line="360" w:lineRule="auto"/>
              <w:jc w:val="center"/>
              <w:rPr>
                <w:rFonts w:hint="eastAsia" w:ascii="宋体" w:hAnsi="宋体"/>
                <w:sz w:val="18"/>
                <w:szCs w:val="18"/>
                <w:highlight w:val="none"/>
              </w:rPr>
            </w:pPr>
            <w:r>
              <w:rPr>
                <w:rFonts w:hint="eastAsia" w:ascii="宋体" w:hAnsi="宋体"/>
                <w:sz w:val="18"/>
                <w:szCs w:val="18"/>
                <w:highlight w:val="none"/>
              </w:rPr>
              <w:t>需要提供的</w:t>
            </w:r>
          </w:p>
          <w:p>
            <w:pPr>
              <w:spacing w:line="360" w:lineRule="auto"/>
              <w:jc w:val="center"/>
              <w:rPr>
                <w:rFonts w:hint="eastAsia" w:ascii="宋体" w:hAnsi="宋体"/>
                <w:sz w:val="18"/>
                <w:szCs w:val="18"/>
                <w:highlight w:val="none"/>
              </w:rPr>
            </w:pPr>
            <w:r>
              <w:rPr>
                <w:rFonts w:hint="eastAsia" w:ascii="宋体" w:hAnsi="宋体"/>
                <w:sz w:val="18"/>
                <w:szCs w:val="18"/>
                <w:highlight w:val="none"/>
              </w:rPr>
              <w:t>符合性审查资料</w:t>
            </w:r>
          </w:p>
        </w:tc>
        <w:tc>
          <w:tcPr>
            <w:tcW w:w="1333" w:type="dxa"/>
          </w:tcPr>
          <w:p>
            <w:pPr>
              <w:spacing w:line="360" w:lineRule="auto"/>
              <w:jc w:val="center"/>
              <w:rPr>
                <w:rFonts w:hint="eastAsia" w:ascii="宋体" w:hAnsi="宋体"/>
                <w:sz w:val="18"/>
                <w:szCs w:val="18"/>
                <w:highlight w:val="none"/>
              </w:rPr>
            </w:pPr>
            <w:r>
              <w:rPr>
                <w:rFonts w:hint="eastAsia" w:ascii="宋体" w:hAnsi="宋体"/>
                <w:sz w:val="18"/>
                <w:szCs w:val="18"/>
                <w:highlight w:val="none"/>
              </w:rPr>
              <w:t>投标文件中的</w:t>
            </w:r>
          </w:p>
          <w:p>
            <w:pPr>
              <w:spacing w:line="360" w:lineRule="auto"/>
              <w:jc w:val="center"/>
              <w:rPr>
                <w:rFonts w:hint="eastAsia" w:ascii="宋体" w:hAnsi="宋体"/>
                <w:sz w:val="18"/>
                <w:szCs w:val="18"/>
                <w:highlight w:val="none"/>
              </w:rPr>
            </w:pPr>
            <w:r>
              <w:rPr>
                <w:rFonts w:hint="eastAsia" w:ascii="宋体" w:hAnsi="宋体"/>
                <w:sz w:val="18"/>
                <w:szCs w:val="18"/>
                <w:highlight w:val="none"/>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spacing w:line="360" w:lineRule="auto"/>
              <w:jc w:val="center"/>
              <w:rPr>
                <w:rFonts w:hint="eastAsia" w:ascii="宋体" w:hAnsi="宋体"/>
                <w:sz w:val="18"/>
                <w:szCs w:val="18"/>
                <w:highlight w:val="none"/>
              </w:rPr>
            </w:pPr>
            <w:r>
              <w:rPr>
                <w:rFonts w:hint="eastAsia" w:ascii="宋体" w:hAnsi="宋体"/>
                <w:sz w:val="18"/>
                <w:szCs w:val="18"/>
                <w:highlight w:val="none"/>
              </w:rPr>
              <w:t>1</w:t>
            </w:r>
          </w:p>
        </w:tc>
        <w:tc>
          <w:tcPr>
            <w:tcW w:w="3916" w:type="dxa"/>
            <w:vAlign w:val="center"/>
          </w:tcPr>
          <w:p>
            <w:pPr>
              <w:spacing w:line="360" w:lineRule="auto"/>
              <w:rPr>
                <w:rFonts w:hint="eastAsia" w:ascii="宋体" w:hAnsi="宋体"/>
                <w:sz w:val="18"/>
                <w:szCs w:val="18"/>
                <w:highlight w:val="none"/>
              </w:rPr>
            </w:pPr>
            <w:r>
              <w:rPr>
                <w:rFonts w:hint="eastAsia" w:ascii="宋体" w:hAnsi="宋体"/>
                <w:sz w:val="18"/>
                <w:szCs w:val="18"/>
                <w:highlight w:val="none"/>
              </w:rPr>
              <w:t>投标文件按照招标文件要求签署、盖章。</w:t>
            </w:r>
          </w:p>
        </w:tc>
        <w:tc>
          <w:tcPr>
            <w:tcW w:w="3334" w:type="dxa"/>
            <w:vAlign w:val="center"/>
          </w:tcPr>
          <w:p>
            <w:pPr>
              <w:spacing w:line="360" w:lineRule="auto"/>
              <w:rPr>
                <w:rFonts w:hint="eastAsia" w:ascii="宋体" w:hAnsi="宋体"/>
                <w:sz w:val="18"/>
                <w:szCs w:val="18"/>
                <w:highlight w:val="none"/>
              </w:rPr>
            </w:pPr>
            <w:r>
              <w:rPr>
                <w:rFonts w:hint="eastAsia" w:ascii="宋体" w:hAnsi="宋体"/>
                <w:sz w:val="18"/>
                <w:szCs w:val="18"/>
                <w:highlight w:val="none"/>
              </w:rPr>
              <w:t>需要使用电子签名或者签字盖章的投标文件的组成部分</w:t>
            </w:r>
          </w:p>
        </w:tc>
        <w:tc>
          <w:tcPr>
            <w:tcW w:w="1333" w:type="dxa"/>
          </w:tcPr>
          <w:p>
            <w:pPr>
              <w:spacing w:line="360" w:lineRule="auto"/>
              <w:jc w:val="center"/>
              <w:rPr>
                <w:rFonts w:hint="eastAsia" w:ascii="宋体" w:hAnsi="宋体"/>
                <w:sz w:val="18"/>
                <w:szCs w:val="18"/>
                <w:highlight w:val="none"/>
              </w:rPr>
            </w:pPr>
            <w:r>
              <w:rPr>
                <w:rFonts w:hint="eastAsia" w:ascii="宋体" w:hAnsi="宋体"/>
                <w:sz w:val="18"/>
                <w:szCs w:val="18"/>
                <w:highlight w:val="none"/>
              </w:rPr>
              <w:t>见投标文件</w:t>
            </w:r>
          </w:p>
          <w:p>
            <w:pPr>
              <w:spacing w:line="360" w:lineRule="auto"/>
              <w:jc w:val="center"/>
              <w:rPr>
                <w:rFonts w:hint="eastAsia" w:ascii="宋体" w:hAnsi="宋体"/>
                <w:sz w:val="18"/>
                <w:szCs w:val="18"/>
                <w:highlight w:val="none"/>
              </w:rPr>
            </w:pPr>
            <w:r>
              <w:rPr>
                <w:rFonts w:hint="eastAsia" w:ascii="宋体" w:hAnsi="宋体"/>
                <w:sz w:val="18"/>
                <w:szCs w:val="18"/>
                <w:highlight w:val="none"/>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spacing w:line="360" w:lineRule="auto"/>
              <w:jc w:val="center"/>
              <w:rPr>
                <w:rFonts w:hint="eastAsia" w:ascii="宋体" w:hAnsi="宋体"/>
                <w:sz w:val="18"/>
                <w:szCs w:val="18"/>
                <w:highlight w:val="none"/>
              </w:rPr>
            </w:pPr>
            <w:r>
              <w:rPr>
                <w:rFonts w:hint="eastAsia" w:ascii="宋体" w:hAnsi="宋体"/>
                <w:sz w:val="18"/>
                <w:szCs w:val="18"/>
                <w:highlight w:val="none"/>
              </w:rPr>
              <w:t>2</w:t>
            </w:r>
          </w:p>
        </w:tc>
        <w:tc>
          <w:tcPr>
            <w:tcW w:w="3916" w:type="dxa"/>
            <w:vAlign w:val="center"/>
          </w:tcPr>
          <w:p>
            <w:pPr>
              <w:spacing w:line="360" w:lineRule="auto"/>
              <w:rPr>
                <w:rFonts w:hint="eastAsia" w:ascii="宋体" w:hAnsi="宋体"/>
                <w:sz w:val="18"/>
                <w:szCs w:val="18"/>
                <w:highlight w:val="none"/>
              </w:rPr>
            </w:pPr>
            <w:r>
              <w:rPr>
                <w:rFonts w:hint="eastAsia" w:ascii="宋体" w:hAnsi="宋体"/>
                <w:sz w:val="18"/>
                <w:szCs w:val="18"/>
                <w:highlight w:val="none"/>
              </w:rPr>
              <w:t>采购人拟采购的产品属于政府强制采购的节能产品品目清单范围的，供应商按招标文件要求提供国家确定的认证机构出具的、处于有效期之内的节能产品认证证书。</w:t>
            </w:r>
          </w:p>
        </w:tc>
        <w:tc>
          <w:tcPr>
            <w:tcW w:w="3334" w:type="dxa"/>
            <w:vAlign w:val="center"/>
          </w:tcPr>
          <w:p>
            <w:pPr>
              <w:spacing w:line="360" w:lineRule="auto"/>
              <w:rPr>
                <w:rFonts w:hint="eastAsia" w:ascii="宋体" w:hAnsi="宋体"/>
                <w:sz w:val="18"/>
                <w:szCs w:val="18"/>
                <w:highlight w:val="none"/>
              </w:rPr>
            </w:pPr>
            <w:r>
              <w:rPr>
                <w:rFonts w:hint="eastAsia" w:ascii="宋体" w:hAnsi="宋体"/>
                <w:sz w:val="18"/>
                <w:szCs w:val="18"/>
                <w:highlight w:val="none"/>
              </w:rPr>
              <w:t>节能产品认证证书（本项目拟采购的产品不属于政府强制采购的节能产品品目清单范围的，无需提供）</w:t>
            </w:r>
          </w:p>
        </w:tc>
        <w:tc>
          <w:tcPr>
            <w:tcW w:w="1333" w:type="dxa"/>
          </w:tcPr>
          <w:p>
            <w:pPr>
              <w:spacing w:line="360" w:lineRule="auto"/>
              <w:jc w:val="center"/>
              <w:rPr>
                <w:rFonts w:hint="eastAsia" w:ascii="宋体" w:hAnsi="宋体"/>
                <w:sz w:val="18"/>
                <w:szCs w:val="18"/>
                <w:highlight w:val="none"/>
              </w:rPr>
            </w:pPr>
            <w:r>
              <w:rPr>
                <w:rFonts w:hint="eastAsia" w:ascii="宋体" w:hAnsi="宋体"/>
                <w:sz w:val="18"/>
                <w:szCs w:val="18"/>
                <w:highlight w:val="none"/>
              </w:rPr>
              <w:t>见投标文件</w:t>
            </w:r>
          </w:p>
          <w:p>
            <w:pPr>
              <w:spacing w:line="360" w:lineRule="auto"/>
              <w:jc w:val="center"/>
              <w:rPr>
                <w:rFonts w:hint="eastAsia" w:ascii="宋体" w:hAnsi="宋体"/>
                <w:sz w:val="18"/>
                <w:szCs w:val="18"/>
                <w:highlight w:val="none"/>
              </w:rPr>
            </w:pPr>
            <w:r>
              <w:rPr>
                <w:rFonts w:hint="eastAsia" w:ascii="宋体" w:hAnsi="宋体"/>
                <w:sz w:val="18"/>
                <w:szCs w:val="18"/>
                <w:highlight w:val="none"/>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tcPr>
          <w:p>
            <w:pPr>
              <w:spacing w:line="360" w:lineRule="auto"/>
              <w:jc w:val="center"/>
              <w:rPr>
                <w:rFonts w:hint="eastAsia" w:ascii="宋体" w:hAnsi="宋体"/>
                <w:sz w:val="18"/>
                <w:szCs w:val="18"/>
                <w:highlight w:val="none"/>
              </w:rPr>
            </w:pPr>
            <w:r>
              <w:rPr>
                <w:rFonts w:hint="eastAsia" w:ascii="宋体" w:hAnsi="宋体"/>
                <w:sz w:val="18"/>
                <w:szCs w:val="18"/>
                <w:highlight w:val="none"/>
              </w:rPr>
              <w:t>3</w:t>
            </w:r>
          </w:p>
        </w:tc>
        <w:tc>
          <w:tcPr>
            <w:tcW w:w="3916" w:type="dxa"/>
            <w:vAlign w:val="center"/>
          </w:tcPr>
          <w:p>
            <w:pPr>
              <w:spacing w:line="360" w:lineRule="auto"/>
              <w:rPr>
                <w:rFonts w:hint="eastAsia" w:ascii="宋体" w:hAnsi="宋体"/>
                <w:sz w:val="18"/>
                <w:szCs w:val="18"/>
                <w:highlight w:val="none"/>
              </w:rPr>
            </w:pPr>
            <w:r>
              <w:rPr>
                <w:rFonts w:hint="eastAsia" w:ascii="宋体" w:hAnsi="宋体"/>
                <w:sz w:val="18"/>
                <w:szCs w:val="18"/>
                <w:highlight w:val="none"/>
              </w:rPr>
              <w:t>投标文件中承诺的投标有效期不少于招标文件中载明的投标有效期。</w:t>
            </w:r>
          </w:p>
        </w:tc>
        <w:tc>
          <w:tcPr>
            <w:tcW w:w="3334" w:type="dxa"/>
            <w:vAlign w:val="center"/>
          </w:tcPr>
          <w:p>
            <w:pPr>
              <w:spacing w:line="360" w:lineRule="auto"/>
              <w:rPr>
                <w:rFonts w:hint="eastAsia" w:ascii="宋体" w:hAnsi="宋体"/>
                <w:sz w:val="18"/>
                <w:szCs w:val="18"/>
                <w:highlight w:val="none"/>
              </w:rPr>
            </w:pPr>
            <w:r>
              <w:rPr>
                <w:rFonts w:hint="eastAsia" w:ascii="宋体" w:hAnsi="宋体"/>
                <w:sz w:val="18"/>
                <w:szCs w:val="18"/>
                <w:highlight w:val="none"/>
              </w:rPr>
              <w:t>投标函</w:t>
            </w:r>
          </w:p>
        </w:tc>
        <w:tc>
          <w:tcPr>
            <w:tcW w:w="1333" w:type="dxa"/>
          </w:tcPr>
          <w:p>
            <w:pPr>
              <w:spacing w:line="360" w:lineRule="auto"/>
              <w:jc w:val="center"/>
              <w:rPr>
                <w:rFonts w:hint="eastAsia" w:ascii="宋体" w:hAnsi="宋体"/>
                <w:sz w:val="18"/>
                <w:szCs w:val="18"/>
                <w:highlight w:val="none"/>
              </w:rPr>
            </w:pPr>
            <w:r>
              <w:rPr>
                <w:rFonts w:hint="eastAsia" w:ascii="宋体" w:hAnsi="宋体"/>
                <w:sz w:val="18"/>
                <w:szCs w:val="18"/>
                <w:highlight w:val="none"/>
              </w:rPr>
              <w:t>见投标文件</w:t>
            </w:r>
          </w:p>
          <w:p>
            <w:pPr>
              <w:spacing w:line="360" w:lineRule="auto"/>
              <w:jc w:val="center"/>
              <w:rPr>
                <w:rFonts w:hint="eastAsia" w:ascii="宋体" w:hAnsi="宋体"/>
                <w:sz w:val="18"/>
                <w:szCs w:val="18"/>
                <w:highlight w:val="none"/>
              </w:rPr>
            </w:pPr>
            <w:r>
              <w:rPr>
                <w:rFonts w:hint="eastAsia" w:ascii="宋体" w:hAnsi="宋体"/>
                <w:sz w:val="18"/>
                <w:szCs w:val="18"/>
                <w:highlight w:val="none"/>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spacing w:line="360" w:lineRule="auto"/>
              <w:jc w:val="center"/>
              <w:rPr>
                <w:rFonts w:hint="eastAsia" w:ascii="宋体" w:hAnsi="宋体"/>
                <w:sz w:val="18"/>
                <w:szCs w:val="18"/>
                <w:highlight w:val="none"/>
              </w:rPr>
            </w:pPr>
            <w:r>
              <w:rPr>
                <w:rFonts w:hint="eastAsia" w:ascii="宋体" w:hAnsi="宋体"/>
                <w:sz w:val="18"/>
                <w:szCs w:val="18"/>
                <w:highlight w:val="none"/>
              </w:rPr>
              <w:t>4</w:t>
            </w:r>
          </w:p>
        </w:tc>
        <w:tc>
          <w:tcPr>
            <w:tcW w:w="3916" w:type="dxa"/>
            <w:vAlign w:val="center"/>
          </w:tcPr>
          <w:p>
            <w:pPr>
              <w:spacing w:line="360" w:lineRule="auto"/>
              <w:rPr>
                <w:rFonts w:hint="eastAsia" w:ascii="宋体" w:hAnsi="宋体"/>
                <w:sz w:val="18"/>
                <w:szCs w:val="18"/>
                <w:highlight w:val="none"/>
              </w:rPr>
            </w:pPr>
            <w:r>
              <w:rPr>
                <w:rFonts w:hint="eastAsia" w:ascii="宋体" w:hAnsi="宋体"/>
                <w:sz w:val="18"/>
                <w:szCs w:val="18"/>
                <w:highlight w:val="none"/>
              </w:rPr>
              <w:t>投标文件满足招标文件的其它实质性要求。</w:t>
            </w:r>
          </w:p>
        </w:tc>
        <w:tc>
          <w:tcPr>
            <w:tcW w:w="3334" w:type="dxa"/>
            <w:vAlign w:val="center"/>
          </w:tcPr>
          <w:p>
            <w:pPr>
              <w:spacing w:line="360" w:lineRule="auto"/>
              <w:rPr>
                <w:rFonts w:hint="eastAsia" w:ascii="宋体" w:hAnsi="宋体"/>
                <w:sz w:val="18"/>
                <w:szCs w:val="18"/>
                <w:highlight w:val="none"/>
              </w:rPr>
            </w:pPr>
            <w:r>
              <w:rPr>
                <w:rFonts w:hint="eastAsia" w:ascii="宋体" w:hAnsi="宋体"/>
                <w:sz w:val="18"/>
                <w:szCs w:val="18"/>
                <w:highlight w:val="none"/>
              </w:rPr>
              <w:t>招标文件其它实质性要求相应的材料（“▲” 系指实质性要求条款，招标文件无其它实质性要求的，无需提供）</w:t>
            </w:r>
          </w:p>
        </w:tc>
        <w:tc>
          <w:tcPr>
            <w:tcW w:w="1333" w:type="dxa"/>
          </w:tcPr>
          <w:p>
            <w:pPr>
              <w:spacing w:line="360" w:lineRule="auto"/>
              <w:jc w:val="center"/>
              <w:rPr>
                <w:rFonts w:hint="eastAsia" w:ascii="宋体" w:hAnsi="宋体"/>
                <w:sz w:val="18"/>
                <w:szCs w:val="18"/>
                <w:highlight w:val="none"/>
              </w:rPr>
            </w:pPr>
            <w:r>
              <w:rPr>
                <w:rFonts w:hint="eastAsia" w:ascii="宋体" w:hAnsi="宋体"/>
                <w:sz w:val="18"/>
                <w:szCs w:val="18"/>
                <w:highlight w:val="none"/>
              </w:rPr>
              <w:t>见投标文件</w:t>
            </w:r>
          </w:p>
          <w:p>
            <w:pPr>
              <w:spacing w:line="360" w:lineRule="auto"/>
              <w:jc w:val="center"/>
              <w:rPr>
                <w:rFonts w:hint="eastAsia" w:ascii="宋体" w:hAnsi="宋体"/>
                <w:sz w:val="18"/>
                <w:szCs w:val="18"/>
                <w:highlight w:val="none"/>
              </w:rPr>
            </w:pPr>
            <w:r>
              <w:rPr>
                <w:rFonts w:hint="eastAsia" w:ascii="宋体" w:hAnsi="宋体"/>
                <w:sz w:val="18"/>
                <w:szCs w:val="18"/>
                <w:highlight w:val="none"/>
              </w:rPr>
              <w:t>第  页</w:t>
            </w:r>
          </w:p>
        </w:tc>
      </w:tr>
    </w:tbl>
    <w:p>
      <w:pPr>
        <w:spacing w:line="360" w:lineRule="auto"/>
        <w:rPr>
          <w:rFonts w:hint="eastAsia" w:ascii="宋体" w:hAnsi="宋体"/>
          <w:highlight w:val="none"/>
        </w:rPr>
      </w:pPr>
    </w:p>
    <w:p>
      <w:pPr>
        <w:spacing w:line="360" w:lineRule="auto"/>
        <w:rPr>
          <w:rFonts w:hint="eastAsia" w:ascii="宋体" w:hAnsi="宋体"/>
          <w:highlight w:val="none"/>
        </w:rPr>
      </w:pPr>
    </w:p>
    <w:p>
      <w:pPr>
        <w:spacing w:line="360" w:lineRule="auto"/>
        <w:jc w:val="right"/>
        <w:rPr>
          <w:rFonts w:hint="eastAsia" w:ascii="宋体" w:hAnsi="宋体"/>
          <w:highlight w:val="none"/>
        </w:rPr>
      </w:pPr>
      <w:r>
        <w:rPr>
          <w:rFonts w:hint="eastAsia" w:ascii="宋体" w:hAnsi="宋体"/>
          <w:highlight w:val="none"/>
        </w:rPr>
        <w:t>供应商名称（公章）：</w:t>
      </w:r>
    </w:p>
    <w:p>
      <w:pPr>
        <w:spacing w:line="360" w:lineRule="auto"/>
        <w:jc w:val="right"/>
        <w:rPr>
          <w:rFonts w:hint="eastAsia" w:ascii="宋体" w:hAnsi="宋体"/>
          <w:highlight w:val="none"/>
        </w:rPr>
      </w:pPr>
      <w:r>
        <w:rPr>
          <w:rFonts w:hint="eastAsia" w:ascii="宋体" w:hAnsi="宋体"/>
          <w:highlight w:val="none"/>
        </w:rPr>
        <w:t>日期：    年  月  日</w:t>
      </w:r>
    </w:p>
    <w:p>
      <w:pPr>
        <w:widowControl/>
        <w:jc w:val="left"/>
        <w:rPr>
          <w:rFonts w:hint="eastAsia" w:ascii="宋体" w:hAnsi="宋体"/>
          <w:highlight w:val="none"/>
        </w:rPr>
      </w:pPr>
      <w:r>
        <w:rPr>
          <w:rFonts w:hint="eastAsia" w:ascii="宋体" w:hAnsi="宋体"/>
          <w:highlight w:val="none"/>
        </w:rPr>
        <w:br w:type="page"/>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五、评分对应表</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6"/>
        <w:gridCol w:w="2295"/>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6" w:type="dxa"/>
            <w:vAlign w:val="center"/>
          </w:tcPr>
          <w:p>
            <w:pPr>
              <w:spacing w:line="360" w:lineRule="auto"/>
              <w:jc w:val="center"/>
              <w:rPr>
                <w:rFonts w:hint="eastAsia" w:ascii="宋体" w:hAnsi="宋体"/>
                <w:highlight w:val="none"/>
              </w:rPr>
            </w:pPr>
            <w:r>
              <w:rPr>
                <w:rFonts w:hint="eastAsia" w:ascii="宋体" w:hAnsi="宋体"/>
                <w:highlight w:val="none"/>
              </w:rPr>
              <w:t>评分项目</w:t>
            </w:r>
          </w:p>
        </w:tc>
        <w:tc>
          <w:tcPr>
            <w:tcW w:w="2295" w:type="dxa"/>
            <w:vAlign w:val="center"/>
          </w:tcPr>
          <w:p>
            <w:pPr>
              <w:spacing w:line="360" w:lineRule="auto"/>
              <w:jc w:val="center"/>
              <w:rPr>
                <w:rFonts w:hint="eastAsia" w:ascii="宋体" w:hAnsi="宋体"/>
                <w:highlight w:val="none"/>
              </w:rPr>
            </w:pPr>
            <w:r>
              <w:rPr>
                <w:rFonts w:hint="eastAsia" w:ascii="宋体" w:hAnsi="宋体"/>
                <w:highlight w:val="none"/>
              </w:rPr>
              <w:t>投标文件对应资料</w:t>
            </w:r>
          </w:p>
        </w:tc>
        <w:tc>
          <w:tcPr>
            <w:tcW w:w="2841" w:type="dxa"/>
            <w:vAlign w:val="center"/>
          </w:tcPr>
          <w:p>
            <w:pPr>
              <w:spacing w:line="360" w:lineRule="auto"/>
              <w:jc w:val="center"/>
              <w:rPr>
                <w:rFonts w:hint="eastAsia" w:ascii="宋体" w:hAnsi="宋体"/>
                <w:highlight w:val="none"/>
              </w:rPr>
            </w:pPr>
            <w:r>
              <w:rPr>
                <w:rFonts w:hint="eastAsia" w:ascii="宋体" w:hAnsi="宋体"/>
                <w:highlight w:val="none"/>
              </w:rPr>
              <w:t>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6" w:type="dxa"/>
            <w:vAlign w:val="center"/>
          </w:tcPr>
          <w:p>
            <w:pPr>
              <w:spacing w:line="360" w:lineRule="auto"/>
              <w:jc w:val="center"/>
              <w:rPr>
                <w:rFonts w:hint="eastAsia" w:ascii="宋体" w:hAnsi="宋体"/>
                <w:highlight w:val="none"/>
              </w:rPr>
            </w:pPr>
            <w:r>
              <w:rPr>
                <w:rFonts w:hint="eastAsia" w:ascii="宋体" w:hAnsi="宋体"/>
                <w:highlight w:val="none"/>
              </w:rPr>
              <w:t>对应第四章评分办法及标准（报价除外）</w:t>
            </w:r>
          </w:p>
        </w:tc>
        <w:tc>
          <w:tcPr>
            <w:tcW w:w="2295" w:type="dxa"/>
            <w:vAlign w:val="center"/>
          </w:tcPr>
          <w:p>
            <w:pPr>
              <w:spacing w:line="360" w:lineRule="auto"/>
              <w:jc w:val="center"/>
              <w:rPr>
                <w:rFonts w:hint="eastAsia" w:ascii="宋体" w:hAnsi="宋体"/>
                <w:highlight w:val="none"/>
              </w:rPr>
            </w:pPr>
          </w:p>
        </w:tc>
        <w:tc>
          <w:tcPr>
            <w:tcW w:w="2841" w:type="dxa"/>
            <w:vAlign w:val="center"/>
          </w:tcPr>
          <w:p>
            <w:pPr>
              <w:spacing w:line="360" w:lineRule="auto"/>
              <w:jc w:val="center"/>
              <w:rPr>
                <w:rFonts w:hint="eastAsia" w:ascii="宋体" w:hAnsi="宋体"/>
                <w:highlight w:val="none"/>
              </w:rPr>
            </w:pPr>
            <w:r>
              <w:rPr>
                <w:rFonts w:hint="eastAsia" w:ascii="宋体" w:hAnsi="宋体"/>
                <w:highlight w:val="none"/>
              </w:rPr>
              <w:t>见投标文件</w:t>
            </w:r>
          </w:p>
          <w:p>
            <w:pPr>
              <w:spacing w:line="360" w:lineRule="auto"/>
              <w:jc w:val="center"/>
              <w:rPr>
                <w:rFonts w:hint="eastAsia" w:ascii="宋体" w:hAnsi="宋体"/>
                <w:highlight w:val="none"/>
              </w:rPr>
            </w:pPr>
            <w:r>
              <w:rPr>
                <w:rFonts w:hint="eastAsia" w:ascii="宋体" w:hAnsi="宋体"/>
                <w:highlight w:val="none"/>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6" w:type="dxa"/>
            <w:vAlign w:val="center"/>
          </w:tcPr>
          <w:p>
            <w:pPr>
              <w:spacing w:line="360" w:lineRule="auto"/>
              <w:jc w:val="center"/>
              <w:rPr>
                <w:rFonts w:hint="eastAsia" w:ascii="宋体" w:hAnsi="宋体"/>
                <w:highlight w:val="none"/>
              </w:rPr>
            </w:pPr>
            <w:r>
              <w:rPr>
                <w:rFonts w:hint="eastAsia" w:ascii="宋体" w:hAnsi="宋体"/>
                <w:highlight w:val="none"/>
              </w:rPr>
              <w:t>···</w:t>
            </w:r>
          </w:p>
        </w:tc>
        <w:tc>
          <w:tcPr>
            <w:tcW w:w="2295" w:type="dxa"/>
            <w:vAlign w:val="center"/>
          </w:tcPr>
          <w:p>
            <w:pPr>
              <w:spacing w:line="360" w:lineRule="auto"/>
              <w:jc w:val="center"/>
              <w:rPr>
                <w:rFonts w:hint="eastAsia" w:ascii="宋体" w:hAnsi="宋体"/>
                <w:highlight w:val="none"/>
              </w:rPr>
            </w:pPr>
          </w:p>
        </w:tc>
        <w:tc>
          <w:tcPr>
            <w:tcW w:w="2841" w:type="dxa"/>
            <w:vAlign w:val="center"/>
          </w:tcPr>
          <w:p>
            <w:pPr>
              <w:spacing w:line="360" w:lineRule="auto"/>
              <w:jc w:val="center"/>
              <w:rPr>
                <w:rFonts w:hint="eastAsia"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86" w:type="dxa"/>
            <w:vAlign w:val="center"/>
          </w:tcPr>
          <w:p>
            <w:pPr>
              <w:spacing w:line="360" w:lineRule="auto"/>
              <w:jc w:val="center"/>
              <w:rPr>
                <w:rFonts w:hint="eastAsia" w:ascii="宋体" w:hAnsi="宋体"/>
                <w:highlight w:val="none"/>
              </w:rPr>
            </w:pPr>
            <w:r>
              <w:rPr>
                <w:rFonts w:hint="eastAsia" w:ascii="宋体" w:hAnsi="宋体"/>
                <w:highlight w:val="none"/>
              </w:rPr>
              <w:t>···</w:t>
            </w:r>
          </w:p>
        </w:tc>
        <w:tc>
          <w:tcPr>
            <w:tcW w:w="2295" w:type="dxa"/>
            <w:vAlign w:val="center"/>
          </w:tcPr>
          <w:p>
            <w:pPr>
              <w:spacing w:line="360" w:lineRule="auto"/>
              <w:jc w:val="center"/>
              <w:rPr>
                <w:rFonts w:hint="eastAsia" w:ascii="宋体" w:hAnsi="宋体"/>
                <w:highlight w:val="none"/>
              </w:rPr>
            </w:pPr>
          </w:p>
        </w:tc>
        <w:tc>
          <w:tcPr>
            <w:tcW w:w="2841" w:type="dxa"/>
            <w:vAlign w:val="center"/>
          </w:tcPr>
          <w:p>
            <w:pPr>
              <w:spacing w:line="360" w:lineRule="auto"/>
              <w:jc w:val="center"/>
              <w:rPr>
                <w:rFonts w:hint="eastAsia"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6" w:type="dxa"/>
            <w:vAlign w:val="center"/>
          </w:tcPr>
          <w:p>
            <w:pPr>
              <w:spacing w:line="360" w:lineRule="auto"/>
              <w:jc w:val="center"/>
              <w:rPr>
                <w:rFonts w:hint="eastAsia" w:ascii="宋体" w:hAnsi="宋体"/>
                <w:highlight w:val="none"/>
              </w:rPr>
            </w:pPr>
            <w:r>
              <w:rPr>
                <w:rFonts w:hint="eastAsia" w:ascii="宋体" w:hAnsi="宋体"/>
                <w:highlight w:val="none"/>
              </w:rPr>
              <w:t>···</w:t>
            </w:r>
          </w:p>
        </w:tc>
        <w:tc>
          <w:tcPr>
            <w:tcW w:w="2295" w:type="dxa"/>
            <w:vAlign w:val="center"/>
          </w:tcPr>
          <w:p>
            <w:pPr>
              <w:spacing w:line="360" w:lineRule="auto"/>
              <w:jc w:val="center"/>
              <w:rPr>
                <w:rFonts w:hint="eastAsia" w:ascii="宋体" w:hAnsi="宋体"/>
                <w:highlight w:val="none"/>
              </w:rPr>
            </w:pPr>
          </w:p>
        </w:tc>
        <w:tc>
          <w:tcPr>
            <w:tcW w:w="2841" w:type="dxa"/>
            <w:vAlign w:val="center"/>
          </w:tcPr>
          <w:p>
            <w:pPr>
              <w:spacing w:line="360" w:lineRule="auto"/>
              <w:jc w:val="center"/>
              <w:rPr>
                <w:rFonts w:hint="eastAsia" w:ascii="宋体" w:hAnsi="宋体"/>
                <w:highlight w:val="none"/>
              </w:rPr>
            </w:pPr>
          </w:p>
        </w:tc>
      </w:tr>
    </w:tbl>
    <w:p>
      <w:pPr>
        <w:spacing w:line="360" w:lineRule="auto"/>
        <w:rPr>
          <w:rFonts w:hint="eastAsia" w:ascii="宋体" w:hAnsi="宋体"/>
          <w:highlight w:val="none"/>
        </w:rPr>
      </w:pPr>
      <w:r>
        <w:rPr>
          <w:rFonts w:hint="eastAsia" w:ascii="宋体" w:hAnsi="宋体"/>
          <w:highlight w:val="none"/>
        </w:rPr>
        <w:t xml:space="preserve">    </w:t>
      </w: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spacing w:line="360" w:lineRule="auto"/>
        <w:rPr>
          <w:rFonts w:hint="eastAsia" w:ascii="宋体" w:hAnsi="宋体"/>
          <w:highlight w:val="none"/>
        </w:rPr>
      </w:pP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六、商务响应表</w:t>
      </w:r>
    </w:p>
    <w:tbl>
      <w:tblPr>
        <w:tblStyle w:val="29"/>
        <w:tblW w:w="90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086"/>
        <w:gridCol w:w="3710"/>
        <w:gridCol w:w="13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10" w:type="dxa"/>
          </w:tcPr>
          <w:p>
            <w:pPr>
              <w:spacing w:line="360" w:lineRule="auto"/>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3086" w:type="dxa"/>
          </w:tcPr>
          <w:p>
            <w:pPr>
              <w:spacing w:line="360" w:lineRule="auto"/>
              <w:jc w:val="center"/>
              <w:rPr>
                <w:rFonts w:hint="eastAsia" w:ascii="宋体" w:hAnsi="宋体"/>
                <w:color w:val="000000"/>
                <w:szCs w:val="21"/>
                <w:highlight w:val="none"/>
              </w:rPr>
            </w:pPr>
            <w:r>
              <w:rPr>
                <w:rFonts w:hint="eastAsia" w:ascii="宋体" w:hAnsi="宋体"/>
                <w:color w:val="000000"/>
                <w:szCs w:val="21"/>
                <w:highlight w:val="none"/>
              </w:rPr>
              <w:t>招标文件的规定</w:t>
            </w:r>
          </w:p>
        </w:tc>
        <w:tc>
          <w:tcPr>
            <w:tcW w:w="3710" w:type="dxa"/>
          </w:tcPr>
          <w:p>
            <w:pPr>
              <w:spacing w:line="360" w:lineRule="auto"/>
              <w:jc w:val="center"/>
              <w:rPr>
                <w:rFonts w:hint="eastAsia" w:ascii="宋体" w:hAnsi="宋体"/>
                <w:color w:val="000000"/>
                <w:szCs w:val="21"/>
                <w:highlight w:val="none"/>
              </w:rPr>
            </w:pPr>
            <w:r>
              <w:rPr>
                <w:rFonts w:hint="eastAsia" w:ascii="宋体" w:hAnsi="宋体"/>
                <w:color w:val="000000"/>
                <w:szCs w:val="21"/>
                <w:highlight w:val="none"/>
              </w:rPr>
              <w:t>投标文件的响应</w:t>
            </w:r>
          </w:p>
        </w:tc>
        <w:tc>
          <w:tcPr>
            <w:tcW w:w="1320" w:type="dxa"/>
          </w:tcPr>
          <w:p>
            <w:pPr>
              <w:spacing w:line="360" w:lineRule="auto"/>
              <w:jc w:val="center"/>
              <w:rPr>
                <w:rFonts w:hint="eastAsia" w:ascii="宋体" w:hAnsi="宋体"/>
                <w:color w:val="000000"/>
                <w:szCs w:val="21"/>
                <w:highlight w:val="none"/>
              </w:rPr>
            </w:pPr>
            <w:r>
              <w:rPr>
                <w:rFonts w:hint="eastAsia" w:ascii="宋体" w:hAnsi="宋体"/>
                <w:color w:val="000000"/>
                <w:szCs w:val="21"/>
                <w:highlight w:val="none"/>
              </w:rPr>
              <w:t>偏离说明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10" w:type="dxa"/>
          </w:tcPr>
          <w:p>
            <w:pPr>
              <w:spacing w:line="360" w:lineRule="auto"/>
              <w:rPr>
                <w:rFonts w:hint="eastAsia" w:ascii="宋体" w:hAnsi="宋体"/>
                <w:color w:val="000000"/>
                <w:szCs w:val="21"/>
                <w:highlight w:val="none"/>
              </w:rPr>
            </w:pPr>
          </w:p>
        </w:tc>
        <w:tc>
          <w:tcPr>
            <w:tcW w:w="3086" w:type="dxa"/>
          </w:tcPr>
          <w:p>
            <w:pPr>
              <w:spacing w:line="360" w:lineRule="auto"/>
              <w:rPr>
                <w:rFonts w:hint="eastAsia" w:ascii="宋体" w:hAnsi="宋体"/>
                <w:color w:val="000000"/>
                <w:szCs w:val="21"/>
                <w:highlight w:val="none"/>
              </w:rPr>
            </w:pPr>
          </w:p>
        </w:tc>
        <w:tc>
          <w:tcPr>
            <w:tcW w:w="3710" w:type="dxa"/>
          </w:tcPr>
          <w:p>
            <w:pPr>
              <w:spacing w:line="360" w:lineRule="auto"/>
              <w:rPr>
                <w:rFonts w:hint="eastAsia" w:ascii="宋体" w:hAnsi="宋体"/>
                <w:color w:val="000000"/>
                <w:szCs w:val="21"/>
                <w:highlight w:val="none"/>
              </w:rPr>
            </w:pPr>
          </w:p>
        </w:tc>
        <w:tc>
          <w:tcPr>
            <w:tcW w:w="1320" w:type="dxa"/>
          </w:tcPr>
          <w:p>
            <w:pPr>
              <w:spacing w:line="360" w:lineRule="auto"/>
              <w:rPr>
                <w:rFonts w:hint="eastAsia" w:ascii="宋体" w:hAnsi="宋体"/>
                <w:color w:val="00000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0" w:type="dxa"/>
          </w:tcPr>
          <w:p>
            <w:pPr>
              <w:spacing w:line="360" w:lineRule="auto"/>
              <w:rPr>
                <w:rFonts w:hint="eastAsia" w:ascii="宋体" w:hAnsi="宋体"/>
                <w:color w:val="000000"/>
                <w:szCs w:val="21"/>
                <w:highlight w:val="none"/>
              </w:rPr>
            </w:pPr>
          </w:p>
        </w:tc>
        <w:tc>
          <w:tcPr>
            <w:tcW w:w="3086" w:type="dxa"/>
          </w:tcPr>
          <w:p>
            <w:pPr>
              <w:spacing w:line="360" w:lineRule="auto"/>
              <w:rPr>
                <w:rFonts w:hint="eastAsia" w:ascii="宋体" w:hAnsi="宋体"/>
                <w:color w:val="000000"/>
                <w:szCs w:val="21"/>
                <w:highlight w:val="none"/>
              </w:rPr>
            </w:pPr>
          </w:p>
        </w:tc>
        <w:tc>
          <w:tcPr>
            <w:tcW w:w="3710" w:type="dxa"/>
          </w:tcPr>
          <w:p>
            <w:pPr>
              <w:spacing w:line="360" w:lineRule="auto"/>
              <w:rPr>
                <w:rFonts w:hint="eastAsia" w:ascii="宋体" w:hAnsi="宋体"/>
                <w:color w:val="000000"/>
                <w:szCs w:val="21"/>
                <w:highlight w:val="none"/>
              </w:rPr>
            </w:pPr>
          </w:p>
        </w:tc>
        <w:tc>
          <w:tcPr>
            <w:tcW w:w="1320" w:type="dxa"/>
          </w:tcPr>
          <w:p>
            <w:pPr>
              <w:spacing w:line="360" w:lineRule="auto"/>
              <w:rPr>
                <w:rFonts w:hint="eastAsia" w:ascii="宋体" w:hAnsi="宋体"/>
                <w:color w:val="00000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10" w:type="dxa"/>
          </w:tcPr>
          <w:p>
            <w:pPr>
              <w:spacing w:line="360" w:lineRule="auto"/>
              <w:rPr>
                <w:rFonts w:hint="eastAsia" w:ascii="宋体" w:hAnsi="宋体"/>
                <w:color w:val="000000"/>
                <w:szCs w:val="21"/>
                <w:highlight w:val="none"/>
              </w:rPr>
            </w:pPr>
          </w:p>
        </w:tc>
        <w:tc>
          <w:tcPr>
            <w:tcW w:w="3086" w:type="dxa"/>
          </w:tcPr>
          <w:p>
            <w:pPr>
              <w:spacing w:line="360" w:lineRule="auto"/>
              <w:rPr>
                <w:rFonts w:hint="eastAsia" w:ascii="宋体" w:hAnsi="宋体"/>
                <w:color w:val="000000"/>
                <w:szCs w:val="21"/>
                <w:highlight w:val="none"/>
              </w:rPr>
            </w:pPr>
          </w:p>
        </w:tc>
        <w:tc>
          <w:tcPr>
            <w:tcW w:w="3710" w:type="dxa"/>
          </w:tcPr>
          <w:p>
            <w:pPr>
              <w:spacing w:line="360" w:lineRule="auto"/>
              <w:rPr>
                <w:rFonts w:hint="eastAsia" w:ascii="宋体" w:hAnsi="宋体"/>
                <w:color w:val="000000"/>
                <w:szCs w:val="21"/>
                <w:highlight w:val="none"/>
              </w:rPr>
            </w:pPr>
          </w:p>
        </w:tc>
        <w:tc>
          <w:tcPr>
            <w:tcW w:w="1320" w:type="dxa"/>
          </w:tcPr>
          <w:p>
            <w:pPr>
              <w:spacing w:line="360" w:lineRule="auto"/>
              <w:rPr>
                <w:rFonts w:hint="eastAsia" w:ascii="宋体" w:hAnsi="宋体"/>
                <w:color w:val="000000"/>
                <w:szCs w:val="21"/>
                <w:highlight w:val="none"/>
              </w:rPr>
            </w:pPr>
          </w:p>
        </w:tc>
      </w:tr>
    </w:tbl>
    <w:p>
      <w:pPr>
        <w:spacing w:line="360" w:lineRule="auto"/>
        <w:ind w:firstLine="480" w:firstLineChars="200"/>
        <w:rPr>
          <w:rFonts w:hint="eastAsia" w:ascii="宋体" w:hAnsi="宋体"/>
          <w:highlight w:val="none"/>
        </w:rPr>
      </w:pPr>
      <w:r>
        <w:rPr>
          <w:rFonts w:hint="eastAsia" w:ascii="宋体" w:hAnsi="宋体"/>
          <w:highlight w:val="none"/>
        </w:rPr>
        <w:t>注：供应商的投标文件（除技术规格部分）与招标文件之规定存在偏离的，应在此表中如实说明。未在上表中说明的，将被认为完全响应招标文件的规定。</w:t>
      </w: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widowControl/>
        <w:jc w:val="left"/>
        <w:rPr>
          <w:highlight w:val="none"/>
        </w:rPr>
      </w:pPr>
      <w:r>
        <w:rPr>
          <w:highlight w:val="none"/>
        </w:rPr>
        <w:br w:type="page"/>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七、技术响应表</w:t>
      </w:r>
    </w:p>
    <w:tbl>
      <w:tblPr>
        <w:tblStyle w:val="29"/>
        <w:tblW w:w="941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9"/>
        <w:gridCol w:w="1265"/>
        <w:gridCol w:w="2249"/>
        <w:gridCol w:w="2389"/>
        <w:gridCol w:w="1547"/>
        <w:gridCol w:w="112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9" w:hRule="atLeast"/>
        </w:trPr>
        <w:tc>
          <w:tcPr>
            <w:tcW w:w="839"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0" w:afterLines="0" w:line="360" w:lineRule="auto"/>
              <w:jc w:val="center"/>
              <w:outlineLvl w:val="0"/>
              <w:rPr>
                <w:rFonts w:ascii="Times New Roman" w:hAnsi="Times New Roman"/>
                <w:color w:val="000000"/>
                <w:szCs w:val="21"/>
                <w:highlight w:val="none"/>
              </w:rPr>
            </w:pPr>
            <w:bookmarkStart w:id="90" w:name="_Toc32613"/>
            <w:bookmarkStart w:id="91" w:name="_Toc465368115"/>
            <w:r>
              <w:rPr>
                <w:rFonts w:ascii="Times New Roman" w:hAnsi="Times New Roman"/>
                <w:color w:val="000000"/>
                <w:szCs w:val="21"/>
                <w:highlight w:val="none"/>
              </w:rPr>
              <w:t>序号</w:t>
            </w:r>
            <w:bookmarkEnd w:id="90"/>
            <w:bookmarkEnd w:id="91"/>
          </w:p>
        </w:tc>
        <w:tc>
          <w:tcPr>
            <w:tcW w:w="1265"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0" w:afterLines="0" w:line="360" w:lineRule="auto"/>
              <w:jc w:val="center"/>
              <w:outlineLvl w:val="0"/>
              <w:rPr>
                <w:rFonts w:ascii="Times New Roman" w:hAnsi="Times New Roman"/>
                <w:color w:val="000000"/>
                <w:szCs w:val="21"/>
                <w:highlight w:val="none"/>
              </w:rPr>
            </w:pPr>
            <w:bookmarkStart w:id="92" w:name="_Toc10352"/>
            <w:bookmarkStart w:id="93" w:name="_Toc702241305"/>
            <w:r>
              <w:rPr>
                <w:rFonts w:ascii="Times New Roman" w:hAnsi="Times New Roman"/>
                <w:color w:val="000000"/>
                <w:szCs w:val="21"/>
                <w:highlight w:val="none"/>
              </w:rPr>
              <w:t>设备名称</w:t>
            </w:r>
            <w:bookmarkEnd w:id="92"/>
            <w:bookmarkEnd w:id="93"/>
          </w:p>
        </w:tc>
        <w:tc>
          <w:tcPr>
            <w:tcW w:w="2249"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0" w:afterLines="0" w:line="360" w:lineRule="auto"/>
              <w:jc w:val="center"/>
              <w:outlineLvl w:val="0"/>
              <w:rPr>
                <w:rFonts w:ascii="Times New Roman" w:hAnsi="Times New Roman"/>
                <w:color w:val="000000"/>
                <w:szCs w:val="21"/>
                <w:highlight w:val="none"/>
              </w:rPr>
            </w:pPr>
            <w:bookmarkStart w:id="94" w:name="_Toc377028119"/>
            <w:bookmarkStart w:id="95" w:name="_Toc402963095"/>
            <w:bookmarkStart w:id="96" w:name="_Toc382928236"/>
            <w:bookmarkStart w:id="97" w:name="_Toc377028057"/>
            <w:bookmarkStart w:id="98" w:name="_Toc402963128"/>
            <w:bookmarkStart w:id="99" w:name="_Toc401570314"/>
            <w:bookmarkStart w:id="100" w:name="_Toc385854110"/>
            <w:bookmarkStart w:id="101" w:name="_Toc382928118"/>
            <w:bookmarkStart w:id="102" w:name="_Toc401570290"/>
            <w:bookmarkStart w:id="103" w:name="_Toc406402957"/>
            <w:bookmarkStart w:id="104" w:name="_Toc406403001"/>
            <w:bookmarkStart w:id="105" w:name="_Toc377653976"/>
            <w:bookmarkStart w:id="106" w:name="_Toc381081903"/>
            <w:bookmarkStart w:id="107" w:name="_Toc385854156"/>
            <w:bookmarkStart w:id="108" w:name="_Toc377028123"/>
            <w:bookmarkStart w:id="109" w:name="_Toc385854114"/>
            <w:bookmarkStart w:id="110" w:name="_Toc377028061"/>
            <w:bookmarkStart w:id="111" w:name="_Toc26683"/>
            <w:bookmarkStart w:id="112" w:name="_Toc406402961"/>
            <w:bookmarkStart w:id="113" w:name="_Toc382928122"/>
            <w:bookmarkStart w:id="114" w:name="_Toc734611807"/>
            <w:bookmarkStart w:id="115" w:name="_Toc377653980"/>
            <w:bookmarkStart w:id="116" w:name="_Toc402963099"/>
            <w:bookmarkStart w:id="117" w:name="_Toc382928240"/>
            <w:bookmarkStart w:id="118" w:name="_Toc381081907"/>
            <w:bookmarkStart w:id="119" w:name="_Toc401570318"/>
            <w:bookmarkStart w:id="120" w:name="_Toc385854160"/>
            <w:bookmarkStart w:id="121" w:name="_Toc402963132"/>
            <w:bookmarkStart w:id="122" w:name="_Toc406403005"/>
            <w:bookmarkStart w:id="123" w:name="_Toc401570294"/>
            <w:r>
              <w:rPr>
                <w:rFonts w:ascii="Times New Roman" w:hAnsi="Times New Roman"/>
                <w:color w:val="000000"/>
                <w:szCs w:val="21"/>
                <w:highlight w:val="none"/>
              </w:rPr>
              <w:t>招标文件要求</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hAnsi="Times New Roman"/>
                <w:color w:val="000000"/>
                <w:szCs w:val="21"/>
                <w:highlight w:val="none"/>
              </w:rPr>
              <w:t>要求</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tc>
        <w:tc>
          <w:tcPr>
            <w:tcW w:w="2389"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0" w:afterLines="0" w:line="360" w:lineRule="auto"/>
              <w:jc w:val="center"/>
              <w:outlineLvl w:val="0"/>
              <w:rPr>
                <w:rFonts w:ascii="Times New Roman" w:hAnsi="Times New Roman"/>
                <w:color w:val="000000"/>
                <w:szCs w:val="21"/>
                <w:highlight w:val="none"/>
              </w:rPr>
            </w:pPr>
            <w:bookmarkStart w:id="124" w:name="_Toc377653977"/>
            <w:bookmarkStart w:id="125" w:name="_Toc402963129"/>
            <w:bookmarkStart w:id="126" w:name="_Toc381081904"/>
            <w:bookmarkStart w:id="127" w:name="_Toc401570291"/>
            <w:bookmarkStart w:id="128" w:name="_Toc385854111"/>
            <w:bookmarkStart w:id="129" w:name="_Toc382928119"/>
            <w:bookmarkStart w:id="130" w:name="_Toc377028120"/>
            <w:bookmarkStart w:id="131" w:name="_Toc385854157"/>
            <w:bookmarkStart w:id="132" w:name="_Toc406402958"/>
            <w:bookmarkStart w:id="133" w:name="_Toc377028058"/>
            <w:bookmarkStart w:id="134" w:name="_Toc402963096"/>
            <w:bookmarkStart w:id="135" w:name="_Toc406403002"/>
            <w:bookmarkStart w:id="136" w:name="_Toc382928237"/>
            <w:bookmarkStart w:id="137" w:name="_Toc401570315"/>
            <w:bookmarkStart w:id="138" w:name="_Toc929162729"/>
            <w:bookmarkStart w:id="139" w:name="_Toc2244"/>
            <w:r>
              <w:rPr>
                <w:rFonts w:ascii="Times New Roman" w:hAnsi="Times New Roman"/>
                <w:color w:val="000000"/>
                <w:szCs w:val="21"/>
                <w:highlight w:val="none"/>
              </w:rPr>
              <w:t>投标文件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Pr>
                <w:rFonts w:ascii="Times New Roman" w:hAnsi="Times New Roman"/>
                <w:color w:val="000000"/>
                <w:szCs w:val="21"/>
                <w:highlight w:val="none"/>
              </w:rPr>
              <w:t>性能指标</w:t>
            </w:r>
            <w:bookmarkEnd w:id="138"/>
            <w:bookmarkEnd w:id="139"/>
          </w:p>
        </w:tc>
        <w:tc>
          <w:tcPr>
            <w:tcW w:w="1547"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0" w:afterLines="0" w:line="360" w:lineRule="auto"/>
              <w:jc w:val="center"/>
              <w:outlineLvl w:val="0"/>
              <w:rPr>
                <w:rFonts w:ascii="Times New Roman" w:hAnsi="Times New Roman"/>
                <w:color w:val="000000"/>
                <w:szCs w:val="21"/>
                <w:highlight w:val="none"/>
              </w:rPr>
            </w:pPr>
            <w:bookmarkStart w:id="140" w:name="_Toc385854112"/>
            <w:bookmarkStart w:id="141" w:name="_Toc402963097"/>
            <w:bookmarkStart w:id="142" w:name="_Toc406403003"/>
            <w:bookmarkStart w:id="143" w:name="_Toc377653978"/>
            <w:bookmarkStart w:id="144" w:name="_Toc382928120"/>
            <w:bookmarkStart w:id="145" w:name="_Toc381081905"/>
            <w:bookmarkStart w:id="146" w:name="_Toc402963130"/>
            <w:bookmarkStart w:id="147" w:name="_Toc406402959"/>
            <w:bookmarkStart w:id="148" w:name="_Toc401570292"/>
            <w:bookmarkStart w:id="149" w:name="_Toc385854158"/>
            <w:bookmarkStart w:id="150" w:name="_Toc377028059"/>
            <w:bookmarkStart w:id="151" w:name="_Toc401570316"/>
            <w:bookmarkStart w:id="152" w:name="_Toc377028121"/>
            <w:bookmarkStart w:id="153" w:name="_Toc382928238"/>
            <w:bookmarkStart w:id="154" w:name="_Toc961276098"/>
            <w:bookmarkStart w:id="155" w:name="_Toc5464"/>
            <w:r>
              <w:rPr>
                <w:rFonts w:ascii="Times New Roman" w:hAnsi="Times New Roman"/>
                <w:color w:val="000000"/>
                <w:szCs w:val="21"/>
                <w:highlight w:val="none"/>
              </w:rPr>
              <w:t>偏离情况</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Fonts w:ascii="Times New Roman" w:hAnsi="Times New Roman"/>
                <w:color w:val="000000"/>
                <w:szCs w:val="21"/>
                <w:highlight w:val="none"/>
              </w:rPr>
              <w:t>及证明材料</w:t>
            </w:r>
            <w:bookmarkEnd w:id="154"/>
            <w:bookmarkEnd w:id="155"/>
          </w:p>
        </w:tc>
        <w:tc>
          <w:tcPr>
            <w:tcW w:w="1124"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rPr>
                <w:color w:val="000000"/>
                <w:szCs w:val="21"/>
                <w:highlight w:val="none"/>
              </w:rPr>
            </w:pPr>
            <w:r>
              <w:rPr>
                <w:color w:val="000000"/>
                <w:szCs w:val="21"/>
                <w:highlight w:val="none"/>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7" w:hRule="atLeast"/>
        </w:trPr>
        <w:tc>
          <w:tcPr>
            <w:tcW w:w="839"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2249"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2389"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1124"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7" w:hRule="atLeast"/>
        </w:trPr>
        <w:tc>
          <w:tcPr>
            <w:tcW w:w="83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color w:val="000000"/>
                <w:szCs w:val="21"/>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2249"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2389"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1124"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7" w:hRule="atLeast"/>
        </w:trPr>
        <w:tc>
          <w:tcPr>
            <w:tcW w:w="839"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2249"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2389"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c>
          <w:tcPr>
            <w:tcW w:w="1124" w:type="dxa"/>
            <w:tcBorders>
              <w:top w:val="single" w:color="auto" w:sz="4" w:space="0"/>
              <w:left w:val="single" w:color="auto" w:sz="4" w:space="0"/>
              <w:bottom w:val="single" w:color="auto" w:sz="4" w:space="0"/>
              <w:right w:val="single" w:color="auto" w:sz="4" w:space="0"/>
            </w:tcBorders>
            <w:vAlign w:val="center"/>
          </w:tcPr>
          <w:p>
            <w:pPr>
              <w:pStyle w:val="7"/>
              <w:snapToGrid w:val="0"/>
              <w:spacing w:beforeLines="0" w:afterLines="0" w:line="360" w:lineRule="auto"/>
              <w:jc w:val="center"/>
              <w:outlineLvl w:val="0"/>
              <w:rPr>
                <w:rFonts w:ascii="Times New Roman" w:hAnsi="Times New Roman"/>
                <w:color w:val="000000"/>
                <w:szCs w:val="21"/>
                <w:highlight w:val="none"/>
              </w:rPr>
            </w:pPr>
          </w:p>
        </w:tc>
      </w:tr>
    </w:tbl>
    <w:p>
      <w:pPr>
        <w:spacing w:line="360" w:lineRule="auto"/>
        <w:ind w:firstLine="480" w:firstLineChars="200"/>
        <w:rPr>
          <w:rFonts w:hint="eastAsia" w:ascii="宋体" w:hAnsi="宋体"/>
          <w:highlight w:val="none"/>
        </w:rPr>
      </w:pPr>
      <w:r>
        <w:rPr>
          <w:rFonts w:hint="eastAsia" w:ascii="宋体" w:hAnsi="宋体"/>
          <w:highlight w:val="none"/>
        </w:rPr>
        <w:t>注：供应商应根据投标产品的性能指标、对照招标文件要求注明“正偏离”、“负偏离”或“无偏离”。</w:t>
      </w: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spacing w:line="360" w:lineRule="auto"/>
        <w:rPr>
          <w:rFonts w:hint="eastAsia" w:ascii="宋体" w:hAnsi="宋体"/>
          <w:highlight w:val="none"/>
        </w:rPr>
      </w:pP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八、评标标准相应的商务技术资料</w:t>
      </w:r>
    </w:p>
    <w:p>
      <w:pPr>
        <w:spacing w:line="360" w:lineRule="auto"/>
        <w:rPr>
          <w:rFonts w:hint="eastAsia" w:ascii="宋体" w:hAnsi="宋体"/>
          <w:b/>
          <w:bCs/>
          <w:highlight w:val="none"/>
        </w:rPr>
      </w:pPr>
      <w:r>
        <w:rPr>
          <w:rFonts w:hint="eastAsia" w:ascii="宋体" w:hAnsi="宋体"/>
          <w:b/>
          <w:bCs/>
          <w:highlight w:val="none"/>
        </w:rPr>
        <w:t>（根据采购需求、评标办法及标准要求提供，除以下投标文件格式外相关资料由供应商自拟。）</w:t>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同类项目业绩一览表</w:t>
      </w:r>
    </w:p>
    <w:tbl>
      <w:tblPr>
        <w:tblStyle w:val="29"/>
        <w:tblW w:w="9250"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433"/>
        <w:gridCol w:w="1200"/>
        <w:gridCol w:w="1667"/>
        <w:gridCol w:w="1283"/>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spacing w:line="360" w:lineRule="auto"/>
              <w:rPr>
                <w:rFonts w:hint="eastAsia" w:ascii="宋体" w:hAnsi="宋体"/>
                <w:b/>
                <w:bCs/>
                <w:sz w:val="18"/>
                <w:szCs w:val="18"/>
                <w:highlight w:val="none"/>
              </w:rPr>
            </w:pPr>
            <w:r>
              <w:rPr>
                <w:rFonts w:hint="eastAsia" w:ascii="宋体" w:hAnsi="宋体"/>
                <w:b/>
                <w:bCs/>
                <w:sz w:val="18"/>
                <w:szCs w:val="18"/>
                <w:highlight w:val="none"/>
              </w:rPr>
              <w:t>序号</w:t>
            </w:r>
          </w:p>
        </w:tc>
        <w:tc>
          <w:tcPr>
            <w:tcW w:w="1433" w:type="dxa"/>
          </w:tcPr>
          <w:p>
            <w:pPr>
              <w:spacing w:line="360" w:lineRule="auto"/>
              <w:rPr>
                <w:rFonts w:hint="eastAsia" w:ascii="宋体" w:hAnsi="宋体"/>
                <w:b/>
                <w:bCs/>
                <w:sz w:val="18"/>
                <w:szCs w:val="18"/>
                <w:highlight w:val="none"/>
              </w:rPr>
            </w:pPr>
            <w:r>
              <w:rPr>
                <w:rFonts w:hint="eastAsia" w:ascii="宋体" w:hAnsi="宋体"/>
                <w:b/>
                <w:bCs/>
                <w:sz w:val="18"/>
                <w:szCs w:val="18"/>
                <w:highlight w:val="none"/>
              </w:rPr>
              <w:t>采购人名称</w:t>
            </w:r>
          </w:p>
        </w:tc>
        <w:tc>
          <w:tcPr>
            <w:tcW w:w="1200" w:type="dxa"/>
          </w:tcPr>
          <w:p>
            <w:pPr>
              <w:spacing w:line="360" w:lineRule="auto"/>
              <w:rPr>
                <w:rFonts w:hint="eastAsia" w:ascii="宋体" w:hAnsi="宋体"/>
                <w:b/>
                <w:bCs/>
                <w:sz w:val="18"/>
                <w:szCs w:val="18"/>
                <w:highlight w:val="none"/>
              </w:rPr>
            </w:pPr>
            <w:r>
              <w:rPr>
                <w:rFonts w:hint="eastAsia" w:ascii="宋体" w:hAnsi="宋体"/>
                <w:b/>
                <w:bCs/>
                <w:sz w:val="18"/>
                <w:szCs w:val="18"/>
                <w:highlight w:val="none"/>
              </w:rPr>
              <w:t>项目名称</w:t>
            </w:r>
          </w:p>
        </w:tc>
        <w:tc>
          <w:tcPr>
            <w:tcW w:w="1667" w:type="dxa"/>
          </w:tcPr>
          <w:p>
            <w:pPr>
              <w:spacing w:line="360" w:lineRule="auto"/>
              <w:rPr>
                <w:rFonts w:hint="eastAsia" w:ascii="宋体" w:hAnsi="宋体"/>
                <w:b/>
                <w:bCs/>
                <w:sz w:val="18"/>
                <w:szCs w:val="18"/>
                <w:highlight w:val="none"/>
              </w:rPr>
            </w:pPr>
            <w:r>
              <w:rPr>
                <w:rFonts w:hint="eastAsia" w:ascii="宋体" w:hAnsi="宋体"/>
                <w:b/>
                <w:bCs/>
                <w:sz w:val="18"/>
                <w:szCs w:val="18"/>
                <w:highlight w:val="none"/>
              </w:rPr>
              <w:t>项目起止时间</w:t>
            </w:r>
          </w:p>
        </w:tc>
        <w:tc>
          <w:tcPr>
            <w:tcW w:w="1283" w:type="dxa"/>
          </w:tcPr>
          <w:p>
            <w:pPr>
              <w:spacing w:line="360" w:lineRule="auto"/>
              <w:rPr>
                <w:rFonts w:hint="eastAsia" w:ascii="宋体" w:hAnsi="宋体"/>
                <w:b/>
                <w:bCs/>
                <w:sz w:val="18"/>
                <w:szCs w:val="18"/>
                <w:highlight w:val="none"/>
              </w:rPr>
            </w:pPr>
            <w:r>
              <w:rPr>
                <w:rFonts w:hint="eastAsia" w:ascii="宋体" w:hAnsi="宋体"/>
                <w:b/>
                <w:bCs/>
                <w:sz w:val="18"/>
                <w:szCs w:val="18"/>
                <w:highlight w:val="none"/>
              </w:rPr>
              <w:t>合同金额</w:t>
            </w:r>
          </w:p>
          <w:p>
            <w:pPr>
              <w:spacing w:line="360" w:lineRule="auto"/>
              <w:rPr>
                <w:rFonts w:hint="eastAsia" w:ascii="宋体" w:hAnsi="宋体"/>
                <w:b/>
                <w:bCs/>
                <w:sz w:val="18"/>
                <w:szCs w:val="18"/>
                <w:highlight w:val="none"/>
              </w:rPr>
            </w:pPr>
            <w:r>
              <w:rPr>
                <w:rFonts w:hint="eastAsia" w:ascii="宋体" w:hAnsi="宋体"/>
                <w:b/>
                <w:bCs/>
                <w:sz w:val="18"/>
                <w:szCs w:val="18"/>
                <w:highlight w:val="none"/>
              </w:rPr>
              <w:t>（万元）</w:t>
            </w:r>
          </w:p>
        </w:tc>
        <w:tc>
          <w:tcPr>
            <w:tcW w:w="2917" w:type="dxa"/>
          </w:tcPr>
          <w:p>
            <w:pPr>
              <w:spacing w:line="360" w:lineRule="auto"/>
              <w:rPr>
                <w:rFonts w:hint="eastAsia" w:ascii="宋体" w:hAnsi="宋体"/>
                <w:b/>
                <w:bCs/>
                <w:sz w:val="18"/>
                <w:szCs w:val="18"/>
                <w:highlight w:val="none"/>
              </w:rPr>
            </w:pPr>
            <w:r>
              <w:rPr>
                <w:rFonts w:hint="eastAsia" w:ascii="宋体" w:hAnsi="宋体"/>
                <w:b/>
                <w:bCs/>
                <w:sz w:val="18"/>
                <w:szCs w:val="18"/>
                <w:highlight w:val="none"/>
              </w:rPr>
              <w:t>采购人联系人及联系电话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spacing w:line="360" w:lineRule="auto"/>
              <w:rPr>
                <w:rFonts w:hint="eastAsia" w:ascii="宋体" w:hAnsi="宋体"/>
                <w:sz w:val="18"/>
                <w:szCs w:val="18"/>
                <w:highlight w:val="none"/>
              </w:rPr>
            </w:pPr>
            <w:r>
              <w:rPr>
                <w:rFonts w:hint="eastAsia" w:ascii="宋体" w:hAnsi="宋体"/>
                <w:sz w:val="18"/>
                <w:szCs w:val="18"/>
                <w:highlight w:val="none"/>
              </w:rPr>
              <w:t>1</w:t>
            </w:r>
          </w:p>
        </w:tc>
        <w:tc>
          <w:tcPr>
            <w:tcW w:w="1433" w:type="dxa"/>
          </w:tcPr>
          <w:p>
            <w:pPr>
              <w:spacing w:line="360" w:lineRule="auto"/>
              <w:rPr>
                <w:rFonts w:hint="eastAsia" w:ascii="宋体" w:hAnsi="宋体"/>
                <w:sz w:val="18"/>
                <w:szCs w:val="18"/>
                <w:highlight w:val="none"/>
              </w:rPr>
            </w:pPr>
          </w:p>
        </w:tc>
        <w:tc>
          <w:tcPr>
            <w:tcW w:w="1200" w:type="dxa"/>
          </w:tcPr>
          <w:p>
            <w:pPr>
              <w:spacing w:line="360" w:lineRule="auto"/>
              <w:rPr>
                <w:rFonts w:hint="eastAsia" w:ascii="宋体" w:hAnsi="宋体"/>
                <w:sz w:val="18"/>
                <w:szCs w:val="18"/>
                <w:highlight w:val="none"/>
              </w:rPr>
            </w:pPr>
          </w:p>
        </w:tc>
        <w:tc>
          <w:tcPr>
            <w:tcW w:w="1667" w:type="dxa"/>
          </w:tcPr>
          <w:p>
            <w:pPr>
              <w:spacing w:line="360" w:lineRule="auto"/>
              <w:rPr>
                <w:rFonts w:hint="eastAsia" w:ascii="宋体" w:hAnsi="宋体"/>
                <w:sz w:val="18"/>
                <w:szCs w:val="18"/>
                <w:highlight w:val="none"/>
              </w:rPr>
            </w:pPr>
          </w:p>
        </w:tc>
        <w:tc>
          <w:tcPr>
            <w:tcW w:w="1283" w:type="dxa"/>
          </w:tcPr>
          <w:p>
            <w:pPr>
              <w:spacing w:line="360" w:lineRule="auto"/>
              <w:rPr>
                <w:rFonts w:hint="eastAsia" w:ascii="宋体" w:hAnsi="宋体"/>
                <w:sz w:val="18"/>
                <w:szCs w:val="18"/>
                <w:highlight w:val="none"/>
              </w:rPr>
            </w:pPr>
          </w:p>
        </w:tc>
        <w:tc>
          <w:tcPr>
            <w:tcW w:w="2917" w:type="dxa"/>
          </w:tcPr>
          <w:p>
            <w:pPr>
              <w:spacing w:line="360" w:lineRule="auto"/>
              <w:rPr>
                <w:rFonts w:hint="eastAsia"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spacing w:line="360" w:lineRule="auto"/>
              <w:rPr>
                <w:rFonts w:hint="eastAsia" w:ascii="宋体" w:hAnsi="宋体"/>
                <w:sz w:val="18"/>
                <w:szCs w:val="18"/>
                <w:highlight w:val="none"/>
              </w:rPr>
            </w:pPr>
            <w:r>
              <w:rPr>
                <w:rFonts w:hint="eastAsia" w:ascii="宋体" w:hAnsi="宋体"/>
                <w:sz w:val="18"/>
                <w:szCs w:val="18"/>
                <w:highlight w:val="none"/>
              </w:rPr>
              <w:t>2</w:t>
            </w:r>
          </w:p>
        </w:tc>
        <w:tc>
          <w:tcPr>
            <w:tcW w:w="1433" w:type="dxa"/>
          </w:tcPr>
          <w:p>
            <w:pPr>
              <w:spacing w:line="360" w:lineRule="auto"/>
              <w:rPr>
                <w:rFonts w:hint="eastAsia" w:ascii="宋体" w:hAnsi="宋体"/>
                <w:sz w:val="18"/>
                <w:szCs w:val="18"/>
                <w:highlight w:val="none"/>
              </w:rPr>
            </w:pPr>
          </w:p>
        </w:tc>
        <w:tc>
          <w:tcPr>
            <w:tcW w:w="1200" w:type="dxa"/>
          </w:tcPr>
          <w:p>
            <w:pPr>
              <w:spacing w:line="360" w:lineRule="auto"/>
              <w:rPr>
                <w:rFonts w:hint="eastAsia" w:ascii="宋体" w:hAnsi="宋体"/>
                <w:sz w:val="18"/>
                <w:szCs w:val="18"/>
                <w:highlight w:val="none"/>
              </w:rPr>
            </w:pPr>
          </w:p>
        </w:tc>
        <w:tc>
          <w:tcPr>
            <w:tcW w:w="1667" w:type="dxa"/>
          </w:tcPr>
          <w:p>
            <w:pPr>
              <w:spacing w:line="360" w:lineRule="auto"/>
              <w:rPr>
                <w:rFonts w:hint="eastAsia" w:ascii="宋体" w:hAnsi="宋体"/>
                <w:sz w:val="18"/>
                <w:szCs w:val="18"/>
                <w:highlight w:val="none"/>
              </w:rPr>
            </w:pPr>
          </w:p>
        </w:tc>
        <w:tc>
          <w:tcPr>
            <w:tcW w:w="1283" w:type="dxa"/>
          </w:tcPr>
          <w:p>
            <w:pPr>
              <w:spacing w:line="360" w:lineRule="auto"/>
              <w:rPr>
                <w:rFonts w:hint="eastAsia" w:ascii="宋体" w:hAnsi="宋体"/>
                <w:sz w:val="18"/>
                <w:szCs w:val="18"/>
                <w:highlight w:val="none"/>
              </w:rPr>
            </w:pPr>
          </w:p>
        </w:tc>
        <w:tc>
          <w:tcPr>
            <w:tcW w:w="2917" w:type="dxa"/>
          </w:tcPr>
          <w:p>
            <w:pPr>
              <w:spacing w:line="360" w:lineRule="auto"/>
              <w:rPr>
                <w:rFonts w:hint="eastAsia"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50" w:type="dxa"/>
          </w:tcPr>
          <w:p>
            <w:pPr>
              <w:spacing w:line="360" w:lineRule="auto"/>
              <w:rPr>
                <w:rFonts w:hint="eastAsia" w:ascii="宋体" w:hAnsi="宋体"/>
                <w:sz w:val="18"/>
                <w:szCs w:val="18"/>
                <w:highlight w:val="none"/>
              </w:rPr>
            </w:pPr>
            <w:r>
              <w:rPr>
                <w:rFonts w:hint="eastAsia" w:ascii="宋体" w:hAnsi="宋体"/>
                <w:sz w:val="18"/>
                <w:szCs w:val="18"/>
                <w:highlight w:val="none"/>
              </w:rPr>
              <w:t>···</w:t>
            </w:r>
          </w:p>
        </w:tc>
        <w:tc>
          <w:tcPr>
            <w:tcW w:w="1433" w:type="dxa"/>
          </w:tcPr>
          <w:p>
            <w:pPr>
              <w:spacing w:line="360" w:lineRule="auto"/>
              <w:rPr>
                <w:rFonts w:hint="eastAsia" w:ascii="宋体" w:hAnsi="宋体"/>
                <w:sz w:val="18"/>
                <w:szCs w:val="18"/>
                <w:highlight w:val="none"/>
              </w:rPr>
            </w:pPr>
          </w:p>
        </w:tc>
        <w:tc>
          <w:tcPr>
            <w:tcW w:w="1200" w:type="dxa"/>
          </w:tcPr>
          <w:p>
            <w:pPr>
              <w:spacing w:line="360" w:lineRule="auto"/>
              <w:rPr>
                <w:rFonts w:hint="eastAsia" w:ascii="宋体" w:hAnsi="宋体"/>
                <w:sz w:val="18"/>
                <w:szCs w:val="18"/>
                <w:highlight w:val="none"/>
              </w:rPr>
            </w:pPr>
          </w:p>
        </w:tc>
        <w:tc>
          <w:tcPr>
            <w:tcW w:w="1667" w:type="dxa"/>
          </w:tcPr>
          <w:p>
            <w:pPr>
              <w:spacing w:line="360" w:lineRule="auto"/>
              <w:rPr>
                <w:rFonts w:hint="eastAsia" w:ascii="宋体" w:hAnsi="宋体"/>
                <w:sz w:val="18"/>
                <w:szCs w:val="18"/>
                <w:highlight w:val="none"/>
              </w:rPr>
            </w:pPr>
          </w:p>
        </w:tc>
        <w:tc>
          <w:tcPr>
            <w:tcW w:w="1283" w:type="dxa"/>
          </w:tcPr>
          <w:p>
            <w:pPr>
              <w:spacing w:line="360" w:lineRule="auto"/>
              <w:rPr>
                <w:rFonts w:hint="eastAsia" w:ascii="宋体" w:hAnsi="宋体"/>
                <w:sz w:val="18"/>
                <w:szCs w:val="18"/>
                <w:highlight w:val="none"/>
              </w:rPr>
            </w:pPr>
          </w:p>
        </w:tc>
        <w:tc>
          <w:tcPr>
            <w:tcW w:w="2917" w:type="dxa"/>
          </w:tcPr>
          <w:p>
            <w:pPr>
              <w:spacing w:line="360" w:lineRule="auto"/>
              <w:rPr>
                <w:rFonts w:hint="eastAsia" w:ascii="宋体" w:hAnsi="宋体"/>
                <w:sz w:val="18"/>
                <w:szCs w:val="18"/>
                <w:highlight w:val="none"/>
              </w:rPr>
            </w:pPr>
          </w:p>
        </w:tc>
      </w:tr>
    </w:tbl>
    <w:p>
      <w:pPr>
        <w:spacing w:line="360" w:lineRule="auto"/>
        <w:ind w:firstLine="480" w:firstLineChars="200"/>
        <w:rPr>
          <w:rFonts w:hint="eastAsia" w:ascii="宋体" w:hAnsi="宋体"/>
          <w:highlight w:val="none"/>
        </w:rPr>
      </w:pPr>
      <w:r>
        <w:rPr>
          <w:rFonts w:hint="eastAsia" w:ascii="宋体" w:hAnsi="宋体"/>
          <w:highlight w:val="none"/>
        </w:rPr>
        <w:t>注：须同时提供合同复印件证明材料加盖公章</w:t>
      </w:r>
    </w:p>
    <w:p>
      <w:pPr>
        <w:spacing w:line="360" w:lineRule="auto"/>
        <w:rPr>
          <w:rFonts w:hint="eastAsia" w:ascii="宋体" w:hAnsi="宋体"/>
          <w:highlight w:val="none"/>
        </w:rPr>
      </w:pPr>
      <w:r>
        <w:rPr>
          <w:rFonts w:hint="eastAsia" w:ascii="宋体" w:hAnsi="宋体"/>
          <w:highlight w:val="none"/>
        </w:rPr>
        <w:t xml:space="preserve">    供应商名称（公章）：      　　　　　　　　　　　　　</w:t>
      </w:r>
    </w:p>
    <w:p>
      <w:pPr>
        <w:spacing w:line="360" w:lineRule="auto"/>
        <w:jc w:val="right"/>
        <w:rPr>
          <w:rFonts w:hint="eastAsia" w:ascii="宋体" w:hAnsi="宋体"/>
          <w:b/>
          <w:bCs/>
          <w:sz w:val="30"/>
          <w:szCs w:val="30"/>
          <w:highlight w:val="none"/>
        </w:rPr>
      </w:pPr>
      <w:r>
        <w:rPr>
          <w:rFonts w:hint="eastAsia" w:ascii="宋体" w:hAnsi="宋体"/>
          <w:highlight w:val="none"/>
        </w:rPr>
        <w:t>日期：    年  月  日</w:t>
      </w:r>
      <w:r>
        <w:rPr>
          <w:rFonts w:hint="eastAsia" w:ascii="宋体" w:hAnsi="宋体"/>
          <w:b/>
          <w:bCs/>
          <w:sz w:val="30"/>
          <w:szCs w:val="30"/>
          <w:highlight w:val="none"/>
        </w:rPr>
        <w:br w:type="page"/>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设备详细清单（不含报价）</w:t>
      </w:r>
    </w:p>
    <w:p>
      <w:pPr>
        <w:pStyle w:val="12"/>
        <w:spacing w:after="0" w:line="360" w:lineRule="auto"/>
        <w:ind w:firstLine="480" w:firstLineChars="200"/>
        <w:rPr>
          <w:rFonts w:hint="eastAsia" w:ascii="宋体" w:hAnsi="宋体"/>
          <w:sz w:val="24"/>
          <w:highlight w:val="none"/>
        </w:rPr>
      </w:pPr>
      <w:r>
        <w:rPr>
          <w:rFonts w:hint="eastAsia" w:ascii="宋体" w:hAnsi="宋体"/>
          <w:sz w:val="24"/>
          <w:highlight w:val="none"/>
        </w:rPr>
        <w:t>填表说明：详细列明所投项目主要设备清单，完整配置方案及技术指标，项目的核心产品必须明确所投品牌、规格型号及具体技术指标。任何含糊不清的表述对评标结果的影响将是供应商的责任，可附具体的介绍图文资料。▲以下内容不得含有报价。</w:t>
      </w:r>
    </w:p>
    <w:tbl>
      <w:tblPr>
        <w:tblStyle w:val="29"/>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277"/>
        <w:gridCol w:w="708"/>
        <w:gridCol w:w="851"/>
        <w:gridCol w:w="1276"/>
        <w:gridCol w:w="992"/>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12" w:type="dxa"/>
            <w:vAlign w:val="center"/>
          </w:tcPr>
          <w:p>
            <w:pPr>
              <w:spacing w:line="360" w:lineRule="auto"/>
              <w:jc w:val="center"/>
              <w:rPr>
                <w:rFonts w:hint="eastAsia" w:ascii="宋体" w:hAnsi="宋体"/>
                <w:highlight w:val="none"/>
              </w:rPr>
            </w:pPr>
            <w:r>
              <w:rPr>
                <w:rFonts w:hint="eastAsia" w:ascii="宋体" w:hAnsi="宋体"/>
                <w:highlight w:val="none"/>
              </w:rPr>
              <w:t>序号</w:t>
            </w:r>
          </w:p>
        </w:tc>
        <w:tc>
          <w:tcPr>
            <w:tcW w:w="1277" w:type="dxa"/>
            <w:vAlign w:val="center"/>
          </w:tcPr>
          <w:p>
            <w:pPr>
              <w:spacing w:line="360" w:lineRule="auto"/>
              <w:jc w:val="center"/>
              <w:rPr>
                <w:rFonts w:hint="eastAsia" w:ascii="宋体" w:hAnsi="宋体"/>
                <w:highlight w:val="none"/>
              </w:rPr>
            </w:pPr>
            <w:r>
              <w:rPr>
                <w:rFonts w:hint="eastAsia" w:ascii="宋体" w:hAnsi="宋体"/>
                <w:highlight w:val="none"/>
              </w:rPr>
              <w:t>设备名称</w:t>
            </w:r>
          </w:p>
        </w:tc>
        <w:tc>
          <w:tcPr>
            <w:tcW w:w="708" w:type="dxa"/>
            <w:vAlign w:val="center"/>
          </w:tcPr>
          <w:p>
            <w:pPr>
              <w:spacing w:line="360" w:lineRule="auto"/>
              <w:jc w:val="center"/>
              <w:rPr>
                <w:rFonts w:hint="eastAsia" w:ascii="宋体" w:hAnsi="宋体"/>
                <w:highlight w:val="none"/>
              </w:rPr>
            </w:pPr>
            <w:r>
              <w:rPr>
                <w:rFonts w:hint="eastAsia" w:ascii="宋体" w:hAnsi="宋体"/>
                <w:highlight w:val="none"/>
              </w:rPr>
              <w:t>数量</w:t>
            </w:r>
          </w:p>
        </w:tc>
        <w:tc>
          <w:tcPr>
            <w:tcW w:w="851" w:type="dxa"/>
            <w:vAlign w:val="center"/>
          </w:tcPr>
          <w:p>
            <w:pPr>
              <w:spacing w:line="360" w:lineRule="auto"/>
              <w:jc w:val="center"/>
              <w:rPr>
                <w:rFonts w:hint="eastAsia" w:ascii="宋体" w:hAnsi="宋体"/>
                <w:highlight w:val="none"/>
              </w:rPr>
            </w:pPr>
            <w:r>
              <w:rPr>
                <w:rFonts w:hint="eastAsia" w:ascii="宋体" w:hAnsi="宋体"/>
                <w:highlight w:val="none"/>
              </w:rPr>
              <w:t>品牌</w:t>
            </w:r>
          </w:p>
        </w:tc>
        <w:tc>
          <w:tcPr>
            <w:tcW w:w="1276" w:type="dxa"/>
            <w:vAlign w:val="center"/>
          </w:tcPr>
          <w:p>
            <w:pPr>
              <w:spacing w:line="360" w:lineRule="auto"/>
              <w:jc w:val="center"/>
              <w:rPr>
                <w:rFonts w:hint="eastAsia" w:ascii="宋体" w:hAnsi="宋体"/>
                <w:highlight w:val="none"/>
              </w:rPr>
            </w:pPr>
            <w:r>
              <w:rPr>
                <w:rFonts w:hint="eastAsia" w:ascii="宋体" w:hAnsi="宋体"/>
                <w:highlight w:val="none"/>
              </w:rPr>
              <w:t>规格型号</w:t>
            </w:r>
          </w:p>
        </w:tc>
        <w:tc>
          <w:tcPr>
            <w:tcW w:w="992" w:type="dxa"/>
            <w:vAlign w:val="center"/>
          </w:tcPr>
          <w:p>
            <w:pPr>
              <w:spacing w:line="360" w:lineRule="auto"/>
              <w:jc w:val="center"/>
              <w:rPr>
                <w:rFonts w:hint="eastAsia" w:ascii="宋体" w:hAnsi="宋体"/>
                <w:highlight w:val="none"/>
              </w:rPr>
            </w:pPr>
            <w:r>
              <w:rPr>
                <w:rFonts w:hint="eastAsia" w:ascii="宋体" w:hAnsi="宋体"/>
                <w:highlight w:val="none"/>
              </w:rPr>
              <w:t>制造商</w:t>
            </w:r>
          </w:p>
        </w:tc>
        <w:tc>
          <w:tcPr>
            <w:tcW w:w="2914" w:type="dxa"/>
          </w:tcPr>
          <w:p>
            <w:pPr>
              <w:spacing w:line="360" w:lineRule="auto"/>
              <w:jc w:val="center"/>
              <w:rPr>
                <w:rFonts w:hint="eastAsia" w:ascii="宋体" w:hAnsi="宋体"/>
                <w:highlight w:val="none"/>
              </w:rPr>
            </w:pPr>
            <w:r>
              <w:rPr>
                <w:rFonts w:hint="eastAsia" w:ascii="宋体" w:hAnsi="宋体"/>
                <w:highlight w:val="none"/>
              </w:rPr>
              <w:t>制造商是否属于小型企业、微型企业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12" w:type="dxa"/>
            <w:vAlign w:val="center"/>
          </w:tcPr>
          <w:p>
            <w:pPr>
              <w:spacing w:line="360" w:lineRule="auto"/>
              <w:jc w:val="center"/>
              <w:rPr>
                <w:rFonts w:hint="eastAsia" w:ascii="宋体" w:hAnsi="宋体"/>
                <w:highlight w:val="none"/>
              </w:rPr>
            </w:pPr>
            <w:r>
              <w:rPr>
                <w:rFonts w:hint="eastAsia" w:ascii="宋体" w:hAnsi="宋体"/>
                <w:highlight w:val="none"/>
              </w:rPr>
              <w:t>1</w:t>
            </w:r>
          </w:p>
        </w:tc>
        <w:tc>
          <w:tcPr>
            <w:tcW w:w="1277" w:type="dxa"/>
            <w:vAlign w:val="center"/>
          </w:tcPr>
          <w:p>
            <w:pPr>
              <w:spacing w:line="360" w:lineRule="auto"/>
              <w:jc w:val="center"/>
              <w:rPr>
                <w:rFonts w:hint="eastAsia" w:ascii="宋体" w:hAnsi="宋体"/>
                <w:highlight w:val="none"/>
              </w:rPr>
            </w:pPr>
          </w:p>
        </w:tc>
        <w:tc>
          <w:tcPr>
            <w:tcW w:w="708" w:type="dxa"/>
            <w:vAlign w:val="center"/>
          </w:tcPr>
          <w:p>
            <w:pPr>
              <w:spacing w:line="360" w:lineRule="auto"/>
              <w:jc w:val="center"/>
              <w:rPr>
                <w:rFonts w:hint="eastAsia" w:ascii="宋体" w:hAnsi="宋体"/>
                <w:highlight w:val="none"/>
              </w:rPr>
            </w:pPr>
          </w:p>
        </w:tc>
        <w:tc>
          <w:tcPr>
            <w:tcW w:w="851" w:type="dxa"/>
            <w:vAlign w:val="center"/>
          </w:tcPr>
          <w:p>
            <w:pPr>
              <w:spacing w:line="360" w:lineRule="auto"/>
              <w:jc w:val="center"/>
              <w:rPr>
                <w:rFonts w:hint="eastAsia" w:ascii="宋体" w:hAnsi="宋体"/>
                <w:highlight w:val="none"/>
              </w:rPr>
            </w:pPr>
          </w:p>
        </w:tc>
        <w:tc>
          <w:tcPr>
            <w:tcW w:w="1276" w:type="dxa"/>
            <w:vAlign w:val="center"/>
          </w:tcPr>
          <w:p>
            <w:pPr>
              <w:spacing w:line="360" w:lineRule="auto"/>
              <w:jc w:val="center"/>
              <w:rPr>
                <w:rFonts w:hint="eastAsia" w:ascii="宋体" w:hAnsi="宋体"/>
                <w:highlight w:val="none"/>
              </w:rPr>
            </w:pPr>
          </w:p>
        </w:tc>
        <w:tc>
          <w:tcPr>
            <w:tcW w:w="992" w:type="dxa"/>
            <w:vAlign w:val="center"/>
          </w:tcPr>
          <w:p>
            <w:pPr>
              <w:spacing w:line="360" w:lineRule="auto"/>
              <w:jc w:val="center"/>
              <w:rPr>
                <w:rFonts w:hint="eastAsia" w:ascii="宋体" w:hAnsi="宋体"/>
                <w:highlight w:val="none"/>
              </w:rPr>
            </w:pPr>
          </w:p>
        </w:tc>
        <w:tc>
          <w:tcPr>
            <w:tcW w:w="2914" w:type="dxa"/>
          </w:tcPr>
          <w:p>
            <w:pPr>
              <w:spacing w:line="360" w:lineRule="auto"/>
              <w:jc w:val="center"/>
              <w:rPr>
                <w:rFonts w:hint="eastAsia"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12" w:type="dxa"/>
            <w:vAlign w:val="center"/>
          </w:tcPr>
          <w:p>
            <w:pPr>
              <w:spacing w:line="360" w:lineRule="auto"/>
              <w:jc w:val="center"/>
              <w:rPr>
                <w:rFonts w:hint="eastAsia" w:ascii="宋体" w:hAnsi="宋体"/>
                <w:highlight w:val="none"/>
              </w:rPr>
            </w:pPr>
            <w:r>
              <w:rPr>
                <w:rFonts w:hint="eastAsia" w:ascii="宋体" w:hAnsi="宋体"/>
                <w:highlight w:val="none"/>
              </w:rPr>
              <w:t>2</w:t>
            </w:r>
          </w:p>
        </w:tc>
        <w:tc>
          <w:tcPr>
            <w:tcW w:w="1277" w:type="dxa"/>
            <w:vAlign w:val="center"/>
          </w:tcPr>
          <w:p>
            <w:pPr>
              <w:spacing w:line="360" w:lineRule="auto"/>
              <w:jc w:val="center"/>
              <w:rPr>
                <w:rFonts w:hint="eastAsia" w:ascii="宋体" w:hAnsi="宋体"/>
                <w:highlight w:val="none"/>
              </w:rPr>
            </w:pPr>
          </w:p>
        </w:tc>
        <w:tc>
          <w:tcPr>
            <w:tcW w:w="708" w:type="dxa"/>
            <w:vAlign w:val="center"/>
          </w:tcPr>
          <w:p>
            <w:pPr>
              <w:spacing w:line="360" w:lineRule="auto"/>
              <w:jc w:val="center"/>
              <w:rPr>
                <w:rFonts w:hint="eastAsia" w:ascii="宋体" w:hAnsi="宋体"/>
                <w:highlight w:val="none"/>
              </w:rPr>
            </w:pPr>
          </w:p>
        </w:tc>
        <w:tc>
          <w:tcPr>
            <w:tcW w:w="851" w:type="dxa"/>
            <w:vAlign w:val="center"/>
          </w:tcPr>
          <w:p>
            <w:pPr>
              <w:spacing w:line="360" w:lineRule="auto"/>
              <w:jc w:val="center"/>
              <w:rPr>
                <w:rFonts w:hint="eastAsia" w:ascii="宋体" w:hAnsi="宋体"/>
                <w:highlight w:val="none"/>
              </w:rPr>
            </w:pPr>
          </w:p>
        </w:tc>
        <w:tc>
          <w:tcPr>
            <w:tcW w:w="1276" w:type="dxa"/>
            <w:vAlign w:val="center"/>
          </w:tcPr>
          <w:p>
            <w:pPr>
              <w:spacing w:line="360" w:lineRule="auto"/>
              <w:jc w:val="center"/>
              <w:rPr>
                <w:rFonts w:hint="eastAsia" w:ascii="宋体" w:hAnsi="宋体"/>
                <w:highlight w:val="none"/>
              </w:rPr>
            </w:pPr>
          </w:p>
        </w:tc>
        <w:tc>
          <w:tcPr>
            <w:tcW w:w="992" w:type="dxa"/>
            <w:vAlign w:val="center"/>
          </w:tcPr>
          <w:p>
            <w:pPr>
              <w:spacing w:line="360" w:lineRule="auto"/>
              <w:jc w:val="center"/>
              <w:rPr>
                <w:rFonts w:hint="eastAsia" w:ascii="宋体" w:hAnsi="宋体"/>
                <w:highlight w:val="none"/>
              </w:rPr>
            </w:pPr>
          </w:p>
        </w:tc>
        <w:tc>
          <w:tcPr>
            <w:tcW w:w="2914" w:type="dxa"/>
          </w:tcPr>
          <w:p>
            <w:pPr>
              <w:spacing w:line="360" w:lineRule="auto"/>
              <w:jc w:val="center"/>
              <w:rPr>
                <w:rFonts w:hint="eastAsia"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12" w:type="dxa"/>
            <w:vAlign w:val="center"/>
          </w:tcPr>
          <w:p>
            <w:pPr>
              <w:spacing w:line="360" w:lineRule="auto"/>
              <w:jc w:val="center"/>
              <w:rPr>
                <w:rFonts w:hint="eastAsia" w:ascii="宋体" w:hAnsi="宋体"/>
                <w:highlight w:val="none"/>
              </w:rPr>
            </w:pPr>
            <w:r>
              <w:rPr>
                <w:rFonts w:hint="eastAsia" w:ascii="宋体" w:hAnsi="宋体"/>
                <w:highlight w:val="none"/>
              </w:rPr>
              <w:t>3</w:t>
            </w:r>
          </w:p>
        </w:tc>
        <w:tc>
          <w:tcPr>
            <w:tcW w:w="1277" w:type="dxa"/>
            <w:vAlign w:val="center"/>
          </w:tcPr>
          <w:p>
            <w:pPr>
              <w:spacing w:line="360" w:lineRule="auto"/>
              <w:jc w:val="center"/>
              <w:rPr>
                <w:rFonts w:hint="eastAsia" w:ascii="宋体" w:hAnsi="宋体"/>
                <w:highlight w:val="none"/>
              </w:rPr>
            </w:pPr>
          </w:p>
        </w:tc>
        <w:tc>
          <w:tcPr>
            <w:tcW w:w="708" w:type="dxa"/>
            <w:vAlign w:val="center"/>
          </w:tcPr>
          <w:p>
            <w:pPr>
              <w:spacing w:line="360" w:lineRule="auto"/>
              <w:jc w:val="center"/>
              <w:rPr>
                <w:rFonts w:hint="eastAsia" w:ascii="宋体" w:hAnsi="宋体"/>
                <w:highlight w:val="none"/>
              </w:rPr>
            </w:pPr>
          </w:p>
        </w:tc>
        <w:tc>
          <w:tcPr>
            <w:tcW w:w="851" w:type="dxa"/>
            <w:vAlign w:val="center"/>
          </w:tcPr>
          <w:p>
            <w:pPr>
              <w:spacing w:line="360" w:lineRule="auto"/>
              <w:jc w:val="center"/>
              <w:rPr>
                <w:rFonts w:hint="eastAsia" w:ascii="宋体" w:hAnsi="宋体"/>
                <w:highlight w:val="none"/>
              </w:rPr>
            </w:pPr>
          </w:p>
        </w:tc>
        <w:tc>
          <w:tcPr>
            <w:tcW w:w="1276" w:type="dxa"/>
            <w:vAlign w:val="center"/>
          </w:tcPr>
          <w:p>
            <w:pPr>
              <w:spacing w:line="360" w:lineRule="auto"/>
              <w:jc w:val="center"/>
              <w:rPr>
                <w:rFonts w:hint="eastAsia" w:ascii="宋体" w:hAnsi="宋体"/>
                <w:highlight w:val="none"/>
              </w:rPr>
            </w:pPr>
          </w:p>
        </w:tc>
        <w:tc>
          <w:tcPr>
            <w:tcW w:w="992" w:type="dxa"/>
            <w:vAlign w:val="center"/>
          </w:tcPr>
          <w:p>
            <w:pPr>
              <w:spacing w:line="360" w:lineRule="auto"/>
              <w:jc w:val="center"/>
              <w:rPr>
                <w:rFonts w:hint="eastAsia" w:ascii="宋体" w:hAnsi="宋体"/>
                <w:highlight w:val="none"/>
              </w:rPr>
            </w:pPr>
          </w:p>
        </w:tc>
        <w:tc>
          <w:tcPr>
            <w:tcW w:w="2914" w:type="dxa"/>
          </w:tcPr>
          <w:p>
            <w:pPr>
              <w:spacing w:line="360" w:lineRule="auto"/>
              <w:jc w:val="center"/>
              <w:rPr>
                <w:rFonts w:hint="eastAsia"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12" w:type="dxa"/>
            <w:vAlign w:val="center"/>
          </w:tcPr>
          <w:p>
            <w:pPr>
              <w:spacing w:line="360" w:lineRule="auto"/>
              <w:jc w:val="center"/>
              <w:rPr>
                <w:rFonts w:hint="eastAsia" w:ascii="宋体" w:hAnsi="宋体"/>
                <w:highlight w:val="none"/>
              </w:rPr>
            </w:pPr>
            <w:r>
              <w:rPr>
                <w:rFonts w:hint="eastAsia" w:ascii="宋体" w:hAnsi="宋体"/>
                <w:highlight w:val="none"/>
              </w:rPr>
              <w:t>4</w:t>
            </w:r>
          </w:p>
        </w:tc>
        <w:tc>
          <w:tcPr>
            <w:tcW w:w="1277" w:type="dxa"/>
            <w:vAlign w:val="center"/>
          </w:tcPr>
          <w:p>
            <w:pPr>
              <w:spacing w:line="360" w:lineRule="auto"/>
              <w:jc w:val="center"/>
              <w:rPr>
                <w:rFonts w:hint="eastAsia" w:ascii="宋体" w:hAnsi="宋体"/>
                <w:highlight w:val="none"/>
              </w:rPr>
            </w:pPr>
          </w:p>
        </w:tc>
        <w:tc>
          <w:tcPr>
            <w:tcW w:w="708" w:type="dxa"/>
            <w:vAlign w:val="center"/>
          </w:tcPr>
          <w:p>
            <w:pPr>
              <w:spacing w:line="360" w:lineRule="auto"/>
              <w:jc w:val="center"/>
              <w:rPr>
                <w:rFonts w:hint="eastAsia" w:ascii="宋体" w:hAnsi="宋体"/>
                <w:highlight w:val="none"/>
              </w:rPr>
            </w:pPr>
          </w:p>
        </w:tc>
        <w:tc>
          <w:tcPr>
            <w:tcW w:w="851" w:type="dxa"/>
            <w:vAlign w:val="center"/>
          </w:tcPr>
          <w:p>
            <w:pPr>
              <w:spacing w:line="360" w:lineRule="auto"/>
              <w:jc w:val="center"/>
              <w:rPr>
                <w:rFonts w:hint="eastAsia" w:ascii="宋体" w:hAnsi="宋体"/>
                <w:highlight w:val="none"/>
              </w:rPr>
            </w:pPr>
          </w:p>
        </w:tc>
        <w:tc>
          <w:tcPr>
            <w:tcW w:w="1276" w:type="dxa"/>
            <w:vAlign w:val="center"/>
          </w:tcPr>
          <w:p>
            <w:pPr>
              <w:spacing w:line="360" w:lineRule="auto"/>
              <w:jc w:val="center"/>
              <w:rPr>
                <w:rFonts w:hint="eastAsia" w:ascii="宋体" w:hAnsi="宋体"/>
                <w:highlight w:val="none"/>
              </w:rPr>
            </w:pPr>
          </w:p>
        </w:tc>
        <w:tc>
          <w:tcPr>
            <w:tcW w:w="992" w:type="dxa"/>
            <w:vAlign w:val="center"/>
          </w:tcPr>
          <w:p>
            <w:pPr>
              <w:spacing w:line="360" w:lineRule="auto"/>
              <w:jc w:val="center"/>
              <w:rPr>
                <w:rFonts w:hint="eastAsia" w:ascii="宋体" w:hAnsi="宋体"/>
                <w:highlight w:val="none"/>
              </w:rPr>
            </w:pPr>
          </w:p>
        </w:tc>
        <w:tc>
          <w:tcPr>
            <w:tcW w:w="2914" w:type="dxa"/>
          </w:tcPr>
          <w:p>
            <w:pPr>
              <w:spacing w:line="360" w:lineRule="auto"/>
              <w:jc w:val="center"/>
              <w:rPr>
                <w:rFonts w:hint="eastAsia"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12" w:type="dxa"/>
            <w:vAlign w:val="center"/>
          </w:tcPr>
          <w:p>
            <w:pPr>
              <w:spacing w:line="360" w:lineRule="auto"/>
              <w:jc w:val="center"/>
              <w:rPr>
                <w:rFonts w:hint="eastAsia" w:ascii="宋体" w:hAnsi="宋体"/>
                <w:highlight w:val="none"/>
              </w:rPr>
            </w:pPr>
            <w:r>
              <w:rPr>
                <w:rFonts w:hint="eastAsia" w:ascii="宋体" w:hAnsi="宋体"/>
                <w:highlight w:val="none"/>
              </w:rPr>
              <w:t>…</w:t>
            </w:r>
          </w:p>
        </w:tc>
        <w:tc>
          <w:tcPr>
            <w:tcW w:w="1277" w:type="dxa"/>
            <w:vAlign w:val="center"/>
          </w:tcPr>
          <w:p>
            <w:pPr>
              <w:spacing w:line="360" w:lineRule="auto"/>
              <w:jc w:val="center"/>
              <w:rPr>
                <w:rFonts w:hint="eastAsia" w:ascii="宋体" w:hAnsi="宋体"/>
                <w:highlight w:val="none"/>
              </w:rPr>
            </w:pPr>
          </w:p>
        </w:tc>
        <w:tc>
          <w:tcPr>
            <w:tcW w:w="708" w:type="dxa"/>
            <w:vAlign w:val="center"/>
          </w:tcPr>
          <w:p>
            <w:pPr>
              <w:spacing w:line="360" w:lineRule="auto"/>
              <w:jc w:val="center"/>
              <w:rPr>
                <w:rFonts w:hint="eastAsia" w:ascii="宋体" w:hAnsi="宋体"/>
                <w:highlight w:val="none"/>
              </w:rPr>
            </w:pPr>
          </w:p>
        </w:tc>
        <w:tc>
          <w:tcPr>
            <w:tcW w:w="851" w:type="dxa"/>
            <w:vAlign w:val="center"/>
          </w:tcPr>
          <w:p>
            <w:pPr>
              <w:spacing w:line="360" w:lineRule="auto"/>
              <w:jc w:val="center"/>
              <w:rPr>
                <w:rFonts w:hint="eastAsia" w:ascii="宋体" w:hAnsi="宋体"/>
                <w:highlight w:val="none"/>
              </w:rPr>
            </w:pPr>
          </w:p>
        </w:tc>
        <w:tc>
          <w:tcPr>
            <w:tcW w:w="1276" w:type="dxa"/>
            <w:vAlign w:val="center"/>
          </w:tcPr>
          <w:p>
            <w:pPr>
              <w:spacing w:line="360" w:lineRule="auto"/>
              <w:jc w:val="center"/>
              <w:rPr>
                <w:rFonts w:hint="eastAsia" w:ascii="宋体" w:hAnsi="宋体"/>
                <w:highlight w:val="none"/>
              </w:rPr>
            </w:pPr>
          </w:p>
        </w:tc>
        <w:tc>
          <w:tcPr>
            <w:tcW w:w="992" w:type="dxa"/>
            <w:vAlign w:val="center"/>
          </w:tcPr>
          <w:p>
            <w:pPr>
              <w:spacing w:line="360" w:lineRule="auto"/>
              <w:jc w:val="center"/>
              <w:rPr>
                <w:rFonts w:hint="eastAsia" w:ascii="宋体" w:hAnsi="宋体"/>
                <w:highlight w:val="none"/>
              </w:rPr>
            </w:pPr>
            <w:r>
              <w:rPr>
                <w:rFonts w:hint="eastAsia" w:ascii="宋体" w:hAnsi="宋体"/>
                <w:highlight w:val="none"/>
              </w:rPr>
              <w:t>…</w:t>
            </w:r>
          </w:p>
        </w:tc>
        <w:tc>
          <w:tcPr>
            <w:tcW w:w="2914" w:type="dxa"/>
          </w:tcPr>
          <w:p>
            <w:pPr>
              <w:spacing w:line="360" w:lineRule="auto"/>
              <w:jc w:val="center"/>
              <w:rPr>
                <w:rFonts w:hint="eastAsia" w:ascii="宋体" w:hAnsi="宋体"/>
                <w:highlight w:val="none"/>
              </w:rPr>
            </w:pPr>
          </w:p>
        </w:tc>
      </w:tr>
    </w:tbl>
    <w:p>
      <w:pPr>
        <w:spacing w:line="360" w:lineRule="auto"/>
        <w:ind w:firstLine="480" w:firstLineChars="200"/>
        <w:rPr>
          <w:rFonts w:hint="eastAsia" w:ascii="宋体" w:hAnsi="宋体"/>
          <w:highlight w:val="none"/>
        </w:rPr>
      </w:pPr>
      <w:r>
        <w:rPr>
          <w:rFonts w:hint="eastAsia" w:ascii="宋体" w:hAnsi="宋体"/>
          <w:highlight w:val="none"/>
        </w:rPr>
        <w:t xml:space="preserve">注：1.请对照采购清单序列编制上表，表格行数不够可自行添加。2.若有一项设备制造商为大型企业、中型企业，则无须提供《中小企业声明函》。    </w:t>
      </w: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widowControl/>
        <w:jc w:val="left"/>
        <w:rPr>
          <w:highlight w:val="none"/>
        </w:rPr>
      </w:pPr>
      <w:r>
        <w:rPr>
          <w:highlight w:val="none"/>
        </w:rPr>
        <w:br w:type="page"/>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项目实施人员一览表</w:t>
      </w:r>
    </w:p>
    <w:tbl>
      <w:tblPr>
        <w:tblStyle w:val="29"/>
        <w:tblW w:w="85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85"/>
        <w:gridCol w:w="1074"/>
        <w:gridCol w:w="970"/>
        <w:gridCol w:w="709"/>
        <w:gridCol w:w="1254"/>
        <w:gridCol w:w="1454"/>
        <w:gridCol w:w="1134"/>
        <w:gridCol w:w="13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bookmarkStart w:id="156" w:name="_Hlk229583271"/>
            <w:r>
              <w:rPr>
                <w:rFonts w:ascii="Calibri" w:hAnsi="Calibri" w:cs="Times New Roman"/>
                <w:color w:val="000000"/>
                <w:kern w:val="0"/>
                <w:sz w:val="21"/>
                <w:szCs w:val="21"/>
                <w:highlight w:val="none"/>
              </w:rPr>
              <w:t>序号</w:t>
            </w:r>
          </w:p>
        </w:tc>
        <w:tc>
          <w:tcPr>
            <w:tcW w:w="107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项目组所任职务</w:t>
            </w:r>
          </w:p>
        </w:tc>
        <w:tc>
          <w:tcPr>
            <w:tcW w:w="970"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姓名</w:t>
            </w:r>
          </w:p>
        </w:tc>
        <w:tc>
          <w:tcPr>
            <w:tcW w:w="709"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职称</w:t>
            </w:r>
          </w:p>
        </w:tc>
        <w:tc>
          <w:tcPr>
            <w:tcW w:w="125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专业技术资格</w:t>
            </w:r>
          </w:p>
        </w:tc>
        <w:tc>
          <w:tcPr>
            <w:tcW w:w="145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专业技术资格证书编号</w:t>
            </w:r>
          </w:p>
        </w:tc>
        <w:tc>
          <w:tcPr>
            <w:tcW w:w="113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从事本工作时间</w:t>
            </w:r>
          </w:p>
        </w:tc>
        <w:tc>
          <w:tcPr>
            <w:tcW w:w="1348"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典型业务</w:t>
            </w:r>
          </w:p>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与技术专长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1</w:t>
            </w:r>
          </w:p>
        </w:tc>
        <w:tc>
          <w:tcPr>
            <w:tcW w:w="107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970"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25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454" w:type="dxa"/>
            <w:tcBorders>
              <w:top w:val="single" w:color="auto" w:sz="4" w:space="0"/>
              <w:left w:val="single" w:color="auto" w:sz="4" w:space="0"/>
              <w:bottom w:val="single" w:color="auto" w:sz="4" w:space="0"/>
              <w:right w:val="single" w:color="auto" w:sz="4" w:space="0"/>
            </w:tcBorders>
          </w:tcPr>
          <w:p>
            <w:pPr>
              <w:suppressAutoHyphens/>
              <w:spacing w:line="360" w:lineRule="auto"/>
              <w:jc w:val="center"/>
              <w:rPr>
                <w:rFonts w:ascii="Calibri" w:hAnsi="Calibri" w:cs="Times New Roman"/>
                <w:color w:val="000000"/>
                <w:kern w:val="0"/>
                <w:sz w:val="21"/>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348"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2</w:t>
            </w:r>
          </w:p>
        </w:tc>
        <w:tc>
          <w:tcPr>
            <w:tcW w:w="107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970"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25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454" w:type="dxa"/>
            <w:tcBorders>
              <w:top w:val="single" w:color="auto" w:sz="4" w:space="0"/>
              <w:left w:val="single" w:color="auto" w:sz="4" w:space="0"/>
              <w:bottom w:val="single" w:color="auto" w:sz="4" w:space="0"/>
              <w:right w:val="single" w:color="auto" w:sz="4" w:space="0"/>
            </w:tcBorders>
          </w:tcPr>
          <w:p>
            <w:pPr>
              <w:suppressAutoHyphens/>
              <w:spacing w:line="360" w:lineRule="auto"/>
              <w:jc w:val="center"/>
              <w:rPr>
                <w:rFonts w:ascii="Calibri" w:hAnsi="Calibri" w:cs="Times New Roman"/>
                <w:color w:val="000000"/>
                <w:kern w:val="0"/>
                <w:sz w:val="21"/>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348"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3</w:t>
            </w:r>
          </w:p>
        </w:tc>
        <w:tc>
          <w:tcPr>
            <w:tcW w:w="107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970"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25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454" w:type="dxa"/>
            <w:tcBorders>
              <w:top w:val="single" w:color="auto" w:sz="4" w:space="0"/>
              <w:left w:val="single" w:color="auto" w:sz="4" w:space="0"/>
              <w:bottom w:val="single" w:color="auto" w:sz="4" w:space="0"/>
              <w:right w:val="single" w:color="auto" w:sz="4" w:space="0"/>
            </w:tcBorders>
          </w:tcPr>
          <w:p>
            <w:pPr>
              <w:suppressAutoHyphens/>
              <w:spacing w:line="360" w:lineRule="auto"/>
              <w:jc w:val="center"/>
              <w:rPr>
                <w:rFonts w:ascii="Calibri" w:hAnsi="Calibri" w:cs="Times New Roman"/>
                <w:color w:val="000000"/>
                <w:kern w:val="0"/>
                <w:sz w:val="21"/>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348"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r>
              <w:rPr>
                <w:rFonts w:ascii="Calibri" w:hAnsi="Calibri" w:cs="Times New Roman"/>
                <w:color w:val="000000"/>
                <w:kern w:val="0"/>
                <w:sz w:val="21"/>
                <w:szCs w:val="21"/>
                <w:highlight w:val="none"/>
              </w:rPr>
              <w:t>4</w:t>
            </w:r>
          </w:p>
        </w:tc>
        <w:tc>
          <w:tcPr>
            <w:tcW w:w="107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970"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25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454" w:type="dxa"/>
            <w:tcBorders>
              <w:top w:val="single" w:color="auto" w:sz="4" w:space="0"/>
              <w:left w:val="single" w:color="auto" w:sz="4" w:space="0"/>
              <w:bottom w:val="single" w:color="auto" w:sz="4" w:space="0"/>
              <w:right w:val="single" w:color="auto" w:sz="4" w:space="0"/>
            </w:tcBorders>
          </w:tcPr>
          <w:p>
            <w:pPr>
              <w:suppressAutoHyphens/>
              <w:spacing w:line="360" w:lineRule="auto"/>
              <w:jc w:val="center"/>
              <w:rPr>
                <w:rFonts w:ascii="Calibri" w:hAnsi="Calibri" w:cs="Times New Roman"/>
                <w:color w:val="000000"/>
                <w:kern w:val="0"/>
                <w:sz w:val="21"/>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c>
          <w:tcPr>
            <w:tcW w:w="1348"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jc w:val="center"/>
              <w:rPr>
                <w:rFonts w:ascii="Calibri" w:hAnsi="Calibri" w:cs="Times New Roman"/>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rPr>
                <w:rFonts w:ascii="Calibri" w:hAnsi="Calibri" w:cs="Times New Roman"/>
                <w:color w:val="000000"/>
                <w:sz w:val="21"/>
                <w:szCs w:val="21"/>
                <w:highlight w:val="none"/>
              </w:rPr>
            </w:pPr>
            <w:r>
              <w:rPr>
                <w:rFonts w:ascii="Calibri" w:hAnsi="Calibri" w:cs="Times New Roman"/>
                <w:color w:val="000000"/>
                <w:sz w:val="21"/>
                <w:szCs w:val="21"/>
                <w:highlight w:val="none"/>
              </w:rPr>
              <w:t>…</w:t>
            </w:r>
          </w:p>
        </w:tc>
        <w:tc>
          <w:tcPr>
            <w:tcW w:w="107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rPr>
                <w:rFonts w:ascii="Calibri" w:hAnsi="Calibri" w:cs="Times New Roman"/>
                <w:color w:val="000000"/>
                <w:sz w:val="21"/>
                <w:szCs w:val="21"/>
                <w:highlight w:val="none"/>
              </w:rPr>
            </w:pPr>
          </w:p>
        </w:tc>
        <w:tc>
          <w:tcPr>
            <w:tcW w:w="970"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rPr>
                <w:rFonts w:ascii="Calibri" w:hAnsi="Calibri" w:cs="Times New Roman"/>
                <w:color w:val="000000"/>
                <w:sz w:val="21"/>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rPr>
                <w:rFonts w:ascii="Calibri" w:hAnsi="Calibri" w:cs="Times New Roman"/>
                <w:color w:val="000000"/>
                <w:sz w:val="21"/>
                <w:szCs w:val="21"/>
                <w:highlight w:val="none"/>
              </w:rPr>
            </w:pPr>
          </w:p>
        </w:tc>
        <w:tc>
          <w:tcPr>
            <w:tcW w:w="125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rPr>
                <w:rFonts w:ascii="Calibri" w:hAnsi="Calibri" w:cs="Times New Roman"/>
                <w:color w:val="000000"/>
                <w:sz w:val="21"/>
                <w:szCs w:val="21"/>
                <w:highlight w:val="none"/>
              </w:rPr>
            </w:pPr>
          </w:p>
        </w:tc>
        <w:tc>
          <w:tcPr>
            <w:tcW w:w="1454" w:type="dxa"/>
            <w:tcBorders>
              <w:top w:val="single" w:color="auto" w:sz="4" w:space="0"/>
              <w:left w:val="single" w:color="auto" w:sz="4" w:space="0"/>
              <w:bottom w:val="single" w:color="auto" w:sz="4" w:space="0"/>
              <w:right w:val="single" w:color="auto" w:sz="4" w:space="0"/>
            </w:tcBorders>
          </w:tcPr>
          <w:p>
            <w:pPr>
              <w:suppressAutoHyphens/>
              <w:spacing w:line="360" w:lineRule="auto"/>
              <w:rPr>
                <w:rFonts w:ascii="Calibri" w:hAnsi="Calibri" w:cs="Times New Roman"/>
                <w:color w:val="000000"/>
                <w:sz w:val="21"/>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rPr>
                <w:rFonts w:ascii="Calibri" w:hAnsi="Calibri" w:cs="Times New Roman"/>
                <w:color w:val="000000"/>
                <w:sz w:val="21"/>
                <w:szCs w:val="21"/>
                <w:highlight w:val="none"/>
              </w:rPr>
            </w:pPr>
          </w:p>
        </w:tc>
        <w:tc>
          <w:tcPr>
            <w:tcW w:w="1348" w:type="dxa"/>
            <w:tcBorders>
              <w:top w:val="single" w:color="auto" w:sz="4" w:space="0"/>
              <w:left w:val="single" w:color="auto" w:sz="4" w:space="0"/>
              <w:bottom w:val="single" w:color="auto" w:sz="4" w:space="0"/>
              <w:right w:val="single" w:color="auto" w:sz="4" w:space="0"/>
            </w:tcBorders>
            <w:vAlign w:val="center"/>
          </w:tcPr>
          <w:p>
            <w:pPr>
              <w:suppressAutoHyphens/>
              <w:spacing w:line="360" w:lineRule="auto"/>
              <w:rPr>
                <w:rFonts w:ascii="Calibri" w:hAnsi="Calibri" w:cs="Times New Roman"/>
                <w:color w:val="000000"/>
                <w:sz w:val="21"/>
                <w:szCs w:val="21"/>
                <w:highlight w:val="none"/>
              </w:rPr>
            </w:pPr>
          </w:p>
        </w:tc>
      </w:tr>
      <w:bookmarkEnd w:id="156"/>
    </w:tbl>
    <w:p>
      <w:pPr>
        <w:spacing w:line="360" w:lineRule="auto"/>
        <w:rPr>
          <w:rFonts w:hint="eastAsia" w:ascii="宋体" w:hAnsi="宋体"/>
          <w:highlight w:val="none"/>
        </w:rPr>
      </w:pPr>
    </w:p>
    <w:p>
      <w:pPr>
        <w:spacing w:line="360" w:lineRule="auto"/>
        <w:ind w:firstLine="480" w:firstLineChars="200"/>
        <w:rPr>
          <w:rFonts w:hint="eastAsia" w:ascii="宋体" w:hAnsi="宋体"/>
          <w:highlight w:val="none"/>
        </w:rPr>
      </w:pPr>
      <w:r>
        <w:rPr>
          <w:rFonts w:hint="eastAsia" w:ascii="宋体" w:hAnsi="宋体"/>
          <w:highlight w:val="none"/>
        </w:rPr>
        <w:t>注：1、“项目实施人员”指投标单位针对该项目的销售、培训、售后服务等完成本项目所配备的人员。2、附各专业人员简历及相关证明材料复印件；3、表格不够填写可添加。</w:t>
      </w: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widowControl/>
        <w:jc w:val="left"/>
        <w:rPr>
          <w:rFonts w:hint="eastAsia" w:ascii="宋体" w:hAnsi="宋体"/>
          <w:b/>
          <w:bCs/>
          <w:sz w:val="30"/>
          <w:szCs w:val="30"/>
          <w:highlight w:val="none"/>
        </w:rPr>
      </w:pPr>
      <w:r>
        <w:rPr>
          <w:rFonts w:hint="eastAsia" w:ascii="宋体" w:hAnsi="宋体"/>
          <w:b/>
          <w:bCs/>
          <w:sz w:val="30"/>
          <w:szCs w:val="30"/>
          <w:highlight w:val="none"/>
        </w:rPr>
        <w:br w:type="page"/>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投入设备一览表</w:t>
      </w:r>
    </w:p>
    <w:tbl>
      <w:tblPr>
        <w:tblStyle w:val="29"/>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370"/>
        <w:gridCol w:w="1275"/>
        <w:gridCol w:w="1593"/>
        <w:gridCol w:w="679"/>
        <w:gridCol w:w="679"/>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2"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序号</w:t>
            </w:r>
          </w:p>
        </w:tc>
        <w:tc>
          <w:tcPr>
            <w:tcW w:w="1370"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名称</w:t>
            </w:r>
          </w:p>
        </w:tc>
        <w:tc>
          <w:tcPr>
            <w:tcW w:w="1275"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品牌</w:t>
            </w:r>
          </w:p>
        </w:tc>
        <w:tc>
          <w:tcPr>
            <w:tcW w:w="1593"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型号、规格</w:t>
            </w:r>
          </w:p>
        </w:tc>
        <w:tc>
          <w:tcPr>
            <w:tcW w:w="679"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单位</w:t>
            </w:r>
          </w:p>
        </w:tc>
        <w:tc>
          <w:tcPr>
            <w:tcW w:w="679"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数量</w:t>
            </w:r>
          </w:p>
        </w:tc>
        <w:tc>
          <w:tcPr>
            <w:tcW w:w="2400"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设备性质（自有/租赁）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2" w:type="dxa"/>
            <w:vAlign w:val="center"/>
          </w:tcPr>
          <w:p>
            <w:pPr>
              <w:pStyle w:val="56"/>
              <w:spacing w:line="360" w:lineRule="auto"/>
              <w:jc w:val="center"/>
              <w:rPr>
                <w:rFonts w:ascii="Times New Roman" w:hAnsi="Times New Roman" w:eastAsia="宋体"/>
                <w:color w:val="000000"/>
                <w:sz w:val="21"/>
                <w:szCs w:val="21"/>
                <w:highlight w:val="none"/>
              </w:rPr>
            </w:pPr>
          </w:p>
        </w:tc>
        <w:tc>
          <w:tcPr>
            <w:tcW w:w="1370" w:type="dxa"/>
            <w:vAlign w:val="center"/>
          </w:tcPr>
          <w:p>
            <w:pPr>
              <w:pStyle w:val="56"/>
              <w:spacing w:line="360" w:lineRule="auto"/>
              <w:jc w:val="center"/>
              <w:rPr>
                <w:rFonts w:ascii="Times New Roman" w:hAnsi="Times New Roman" w:eastAsia="宋体"/>
                <w:color w:val="000000"/>
                <w:sz w:val="21"/>
                <w:szCs w:val="21"/>
                <w:highlight w:val="none"/>
              </w:rPr>
            </w:pPr>
          </w:p>
        </w:tc>
        <w:tc>
          <w:tcPr>
            <w:tcW w:w="1275" w:type="dxa"/>
          </w:tcPr>
          <w:p>
            <w:pPr>
              <w:pStyle w:val="56"/>
              <w:spacing w:line="360" w:lineRule="auto"/>
              <w:jc w:val="center"/>
              <w:rPr>
                <w:rFonts w:ascii="Times New Roman" w:hAnsi="Times New Roman" w:eastAsia="宋体"/>
                <w:color w:val="000000"/>
                <w:sz w:val="21"/>
                <w:szCs w:val="21"/>
                <w:highlight w:val="none"/>
              </w:rPr>
            </w:pPr>
          </w:p>
        </w:tc>
        <w:tc>
          <w:tcPr>
            <w:tcW w:w="1593" w:type="dxa"/>
            <w:vAlign w:val="center"/>
          </w:tcPr>
          <w:p>
            <w:pPr>
              <w:pStyle w:val="56"/>
              <w:spacing w:line="360" w:lineRule="auto"/>
              <w:jc w:val="center"/>
              <w:rPr>
                <w:rFonts w:ascii="Times New Roman" w:hAnsi="Times New Roman" w:eastAsia="宋体"/>
                <w:color w:val="000000"/>
                <w:sz w:val="21"/>
                <w:szCs w:val="21"/>
                <w:highlight w:val="none"/>
              </w:rPr>
            </w:pPr>
          </w:p>
        </w:tc>
        <w:tc>
          <w:tcPr>
            <w:tcW w:w="679" w:type="dxa"/>
            <w:vAlign w:val="center"/>
          </w:tcPr>
          <w:p>
            <w:pPr>
              <w:pStyle w:val="56"/>
              <w:spacing w:line="360" w:lineRule="auto"/>
              <w:jc w:val="center"/>
              <w:rPr>
                <w:rFonts w:ascii="Times New Roman" w:hAnsi="Times New Roman" w:eastAsia="宋体"/>
                <w:color w:val="000000"/>
                <w:sz w:val="21"/>
                <w:szCs w:val="21"/>
                <w:highlight w:val="none"/>
              </w:rPr>
            </w:pPr>
          </w:p>
        </w:tc>
        <w:tc>
          <w:tcPr>
            <w:tcW w:w="679" w:type="dxa"/>
            <w:vAlign w:val="center"/>
          </w:tcPr>
          <w:p>
            <w:pPr>
              <w:pStyle w:val="56"/>
              <w:spacing w:line="360" w:lineRule="auto"/>
              <w:jc w:val="center"/>
              <w:rPr>
                <w:rFonts w:ascii="Times New Roman" w:hAnsi="Times New Roman" w:eastAsia="宋体"/>
                <w:color w:val="000000"/>
                <w:sz w:val="21"/>
                <w:szCs w:val="21"/>
                <w:highlight w:val="none"/>
              </w:rPr>
            </w:pPr>
          </w:p>
        </w:tc>
        <w:tc>
          <w:tcPr>
            <w:tcW w:w="2400" w:type="dxa"/>
            <w:vAlign w:val="center"/>
          </w:tcPr>
          <w:p>
            <w:pPr>
              <w:pStyle w:val="56"/>
              <w:spacing w:line="360" w:lineRule="auto"/>
              <w:jc w:val="center"/>
              <w:rPr>
                <w:rFonts w:ascii="Times New Roman" w:hAnsi="Times New Roman" w:eastAsia="宋体"/>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2" w:type="dxa"/>
            <w:vAlign w:val="center"/>
          </w:tcPr>
          <w:p>
            <w:pPr>
              <w:pStyle w:val="56"/>
              <w:spacing w:line="360" w:lineRule="auto"/>
              <w:jc w:val="center"/>
              <w:rPr>
                <w:rFonts w:ascii="Times New Roman" w:hAnsi="Times New Roman" w:eastAsia="宋体"/>
                <w:color w:val="000000"/>
                <w:sz w:val="21"/>
                <w:szCs w:val="21"/>
                <w:highlight w:val="none"/>
              </w:rPr>
            </w:pPr>
          </w:p>
        </w:tc>
        <w:tc>
          <w:tcPr>
            <w:tcW w:w="1370" w:type="dxa"/>
            <w:vAlign w:val="center"/>
          </w:tcPr>
          <w:p>
            <w:pPr>
              <w:pStyle w:val="56"/>
              <w:spacing w:line="360" w:lineRule="auto"/>
              <w:jc w:val="center"/>
              <w:rPr>
                <w:rFonts w:ascii="Times New Roman" w:hAnsi="Times New Roman" w:eastAsia="宋体"/>
                <w:color w:val="000000"/>
                <w:sz w:val="21"/>
                <w:szCs w:val="21"/>
                <w:highlight w:val="none"/>
              </w:rPr>
            </w:pPr>
          </w:p>
        </w:tc>
        <w:tc>
          <w:tcPr>
            <w:tcW w:w="1275" w:type="dxa"/>
          </w:tcPr>
          <w:p>
            <w:pPr>
              <w:pStyle w:val="56"/>
              <w:spacing w:line="360" w:lineRule="auto"/>
              <w:jc w:val="center"/>
              <w:rPr>
                <w:rFonts w:ascii="Times New Roman" w:hAnsi="Times New Roman" w:eastAsia="宋体"/>
                <w:color w:val="000000"/>
                <w:sz w:val="21"/>
                <w:szCs w:val="21"/>
                <w:highlight w:val="none"/>
              </w:rPr>
            </w:pPr>
          </w:p>
        </w:tc>
        <w:tc>
          <w:tcPr>
            <w:tcW w:w="1593" w:type="dxa"/>
            <w:vAlign w:val="center"/>
          </w:tcPr>
          <w:p>
            <w:pPr>
              <w:pStyle w:val="56"/>
              <w:spacing w:line="360" w:lineRule="auto"/>
              <w:jc w:val="center"/>
              <w:rPr>
                <w:rFonts w:ascii="Times New Roman" w:hAnsi="Times New Roman" w:eastAsia="宋体"/>
                <w:color w:val="000000"/>
                <w:sz w:val="21"/>
                <w:szCs w:val="21"/>
                <w:highlight w:val="none"/>
              </w:rPr>
            </w:pPr>
          </w:p>
        </w:tc>
        <w:tc>
          <w:tcPr>
            <w:tcW w:w="679" w:type="dxa"/>
            <w:vAlign w:val="center"/>
          </w:tcPr>
          <w:p>
            <w:pPr>
              <w:pStyle w:val="56"/>
              <w:spacing w:line="360" w:lineRule="auto"/>
              <w:jc w:val="center"/>
              <w:rPr>
                <w:rFonts w:ascii="Times New Roman" w:hAnsi="Times New Roman" w:eastAsia="宋体"/>
                <w:color w:val="000000"/>
                <w:sz w:val="21"/>
                <w:szCs w:val="21"/>
                <w:highlight w:val="none"/>
              </w:rPr>
            </w:pPr>
          </w:p>
        </w:tc>
        <w:tc>
          <w:tcPr>
            <w:tcW w:w="679" w:type="dxa"/>
            <w:vAlign w:val="center"/>
          </w:tcPr>
          <w:p>
            <w:pPr>
              <w:pStyle w:val="56"/>
              <w:spacing w:line="360" w:lineRule="auto"/>
              <w:jc w:val="center"/>
              <w:rPr>
                <w:rFonts w:ascii="Times New Roman" w:hAnsi="Times New Roman" w:eastAsia="宋体"/>
                <w:color w:val="000000"/>
                <w:sz w:val="21"/>
                <w:szCs w:val="21"/>
                <w:highlight w:val="none"/>
              </w:rPr>
            </w:pPr>
          </w:p>
        </w:tc>
        <w:tc>
          <w:tcPr>
            <w:tcW w:w="2400" w:type="dxa"/>
            <w:vAlign w:val="center"/>
          </w:tcPr>
          <w:p>
            <w:pPr>
              <w:pStyle w:val="56"/>
              <w:spacing w:line="360" w:lineRule="auto"/>
              <w:jc w:val="center"/>
              <w:rPr>
                <w:rFonts w:ascii="Times New Roman" w:hAnsi="Times New Roman" w:eastAsia="宋体"/>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2" w:type="dxa"/>
            <w:vAlign w:val="center"/>
          </w:tcPr>
          <w:p>
            <w:pPr>
              <w:pStyle w:val="56"/>
              <w:spacing w:line="360" w:lineRule="auto"/>
              <w:jc w:val="center"/>
              <w:rPr>
                <w:rFonts w:ascii="Times New Roman" w:hAnsi="Times New Roman" w:eastAsia="宋体"/>
                <w:color w:val="000000"/>
                <w:sz w:val="21"/>
                <w:szCs w:val="21"/>
                <w:highlight w:val="none"/>
              </w:rPr>
            </w:pPr>
          </w:p>
        </w:tc>
        <w:tc>
          <w:tcPr>
            <w:tcW w:w="1370" w:type="dxa"/>
            <w:vAlign w:val="center"/>
          </w:tcPr>
          <w:p>
            <w:pPr>
              <w:pStyle w:val="56"/>
              <w:spacing w:line="360" w:lineRule="auto"/>
              <w:jc w:val="center"/>
              <w:rPr>
                <w:rFonts w:ascii="Times New Roman" w:hAnsi="Times New Roman" w:eastAsia="宋体"/>
                <w:color w:val="000000"/>
                <w:sz w:val="21"/>
                <w:szCs w:val="21"/>
                <w:highlight w:val="none"/>
              </w:rPr>
            </w:pPr>
          </w:p>
        </w:tc>
        <w:tc>
          <w:tcPr>
            <w:tcW w:w="1275" w:type="dxa"/>
          </w:tcPr>
          <w:p>
            <w:pPr>
              <w:pStyle w:val="56"/>
              <w:spacing w:line="360" w:lineRule="auto"/>
              <w:jc w:val="center"/>
              <w:rPr>
                <w:rFonts w:ascii="Times New Roman" w:hAnsi="Times New Roman" w:eastAsia="宋体"/>
                <w:color w:val="000000"/>
                <w:sz w:val="21"/>
                <w:szCs w:val="21"/>
                <w:highlight w:val="none"/>
              </w:rPr>
            </w:pPr>
          </w:p>
        </w:tc>
        <w:tc>
          <w:tcPr>
            <w:tcW w:w="1593" w:type="dxa"/>
            <w:vAlign w:val="center"/>
          </w:tcPr>
          <w:p>
            <w:pPr>
              <w:pStyle w:val="56"/>
              <w:spacing w:line="360" w:lineRule="auto"/>
              <w:jc w:val="center"/>
              <w:rPr>
                <w:rFonts w:ascii="Times New Roman" w:hAnsi="Times New Roman" w:eastAsia="宋体"/>
                <w:color w:val="000000"/>
                <w:sz w:val="21"/>
                <w:szCs w:val="21"/>
                <w:highlight w:val="none"/>
              </w:rPr>
            </w:pPr>
          </w:p>
        </w:tc>
        <w:tc>
          <w:tcPr>
            <w:tcW w:w="679" w:type="dxa"/>
            <w:vAlign w:val="center"/>
          </w:tcPr>
          <w:p>
            <w:pPr>
              <w:pStyle w:val="56"/>
              <w:spacing w:line="360" w:lineRule="auto"/>
              <w:jc w:val="center"/>
              <w:rPr>
                <w:rFonts w:ascii="Times New Roman" w:hAnsi="Times New Roman" w:eastAsia="宋体"/>
                <w:color w:val="000000"/>
                <w:sz w:val="21"/>
                <w:szCs w:val="21"/>
                <w:highlight w:val="none"/>
              </w:rPr>
            </w:pPr>
          </w:p>
        </w:tc>
        <w:tc>
          <w:tcPr>
            <w:tcW w:w="679" w:type="dxa"/>
            <w:vAlign w:val="center"/>
          </w:tcPr>
          <w:p>
            <w:pPr>
              <w:pStyle w:val="56"/>
              <w:spacing w:line="360" w:lineRule="auto"/>
              <w:jc w:val="center"/>
              <w:rPr>
                <w:rFonts w:ascii="Times New Roman" w:hAnsi="Times New Roman" w:eastAsia="宋体"/>
                <w:color w:val="000000"/>
                <w:sz w:val="21"/>
                <w:szCs w:val="21"/>
                <w:highlight w:val="none"/>
              </w:rPr>
            </w:pPr>
          </w:p>
        </w:tc>
        <w:tc>
          <w:tcPr>
            <w:tcW w:w="2400" w:type="dxa"/>
            <w:vAlign w:val="center"/>
          </w:tcPr>
          <w:p>
            <w:pPr>
              <w:pStyle w:val="56"/>
              <w:spacing w:line="360" w:lineRule="auto"/>
              <w:jc w:val="center"/>
              <w:rPr>
                <w:rFonts w:ascii="Times New Roman" w:hAnsi="Times New Roman" w:eastAsia="宋体"/>
                <w:color w:val="000000"/>
                <w:sz w:val="21"/>
                <w:szCs w:val="21"/>
                <w:highlight w:val="none"/>
              </w:rPr>
            </w:pPr>
          </w:p>
        </w:tc>
      </w:tr>
    </w:tbl>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pStyle w:val="12"/>
        <w:spacing w:after="0" w:line="360" w:lineRule="auto"/>
        <w:ind w:firstLine="0"/>
        <w:rPr>
          <w:highlight w:val="none"/>
        </w:rPr>
      </w:pPr>
    </w:p>
    <w:p>
      <w:pPr>
        <w:pStyle w:val="12"/>
        <w:spacing w:after="0" w:line="360" w:lineRule="auto"/>
        <w:ind w:firstLine="0"/>
        <w:jc w:val="center"/>
        <w:rPr>
          <w:rFonts w:hint="eastAsia" w:ascii="宋体" w:hAnsi="宋体"/>
          <w:b/>
          <w:bCs/>
          <w:sz w:val="30"/>
          <w:szCs w:val="30"/>
          <w:highlight w:val="none"/>
        </w:rPr>
      </w:pPr>
    </w:p>
    <w:p>
      <w:pPr>
        <w:pStyle w:val="12"/>
        <w:spacing w:after="0" w:line="360" w:lineRule="auto"/>
        <w:ind w:firstLine="0"/>
        <w:jc w:val="center"/>
        <w:rPr>
          <w:rFonts w:hint="eastAsia" w:ascii="宋体" w:hAnsi="宋体"/>
          <w:b/>
          <w:bCs/>
          <w:sz w:val="30"/>
          <w:szCs w:val="30"/>
          <w:highlight w:val="none"/>
        </w:rPr>
      </w:pPr>
      <w:r>
        <w:rPr>
          <w:rFonts w:hint="eastAsia" w:ascii="宋体" w:hAnsi="宋体"/>
          <w:b/>
          <w:bCs/>
          <w:sz w:val="30"/>
          <w:szCs w:val="30"/>
          <w:highlight w:val="none"/>
        </w:rPr>
        <w:t>选配件、专用耗材、售后服务优惠表</w:t>
      </w:r>
    </w:p>
    <w:tbl>
      <w:tblPr>
        <w:tblStyle w:val="29"/>
        <w:tblW w:w="852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39"/>
        <w:gridCol w:w="2506"/>
        <w:gridCol w:w="1671"/>
        <w:gridCol w:w="33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7" w:hRule="atLeast"/>
          <w:jc w:val="center"/>
        </w:trPr>
        <w:tc>
          <w:tcPr>
            <w:tcW w:w="1039"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序号</w:t>
            </w:r>
          </w:p>
        </w:tc>
        <w:tc>
          <w:tcPr>
            <w:tcW w:w="2506"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优惠内容</w:t>
            </w:r>
          </w:p>
        </w:tc>
        <w:tc>
          <w:tcPr>
            <w:tcW w:w="1671"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单价</w:t>
            </w:r>
          </w:p>
        </w:tc>
        <w:tc>
          <w:tcPr>
            <w:tcW w:w="3312"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比投标报价优惠率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7" w:hRule="atLeast"/>
          <w:jc w:val="center"/>
        </w:trPr>
        <w:tc>
          <w:tcPr>
            <w:tcW w:w="1039" w:type="dxa"/>
            <w:vAlign w:val="center"/>
          </w:tcPr>
          <w:p>
            <w:pPr>
              <w:pStyle w:val="56"/>
              <w:spacing w:line="360" w:lineRule="auto"/>
              <w:jc w:val="center"/>
              <w:rPr>
                <w:rFonts w:ascii="Times New Roman" w:hAnsi="Times New Roman" w:eastAsia="宋体"/>
                <w:color w:val="000000"/>
                <w:sz w:val="21"/>
                <w:szCs w:val="21"/>
                <w:highlight w:val="none"/>
              </w:rPr>
            </w:pPr>
          </w:p>
        </w:tc>
        <w:tc>
          <w:tcPr>
            <w:tcW w:w="2506" w:type="dxa"/>
            <w:vAlign w:val="center"/>
          </w:tcPr>
          <w:p>
            <w:pPr>
              <w:pStyle w:val="56"/>
              <w:spacing w:line="360" w:lineRule="auto"/>
              <w:jc w:val="center"/>
              <w:rPr>
                <w:rFonts w:ascii="Times New Roman" w:hAnsi="Times New Roman" w:eastAsia="宋体"/>
                <w:color w:val="000000"/>
                <w:sz w:val="21"/>
                <w:szCs w:val="21"/>
                <w:highlight w:val="none"/>
              </w:rPr>
            </w:pPr>
          </w:p>
        </w:tc>
        <w:tc>
          <w:tcPr>
            <w:tcW w:w="1671" w:type="dxa"/>
          </w:tcPr>
          <w:p>
            <w:pPr>
              <w:pStyle w:val="56"/>
              <w:spacing w:line="360" w:lineRule="auto"/>
              <w:jc w:val="center"/>
              <w:rPr>
                <w:rFonts w:ascii="Times New Roman" w:hAnsi="Times New Roman" w:eastAsia="宋体"/>
                <w:color w:val="000000"/>
                <w:sz w:val="21"/>
                <w:szCs w:val="21"/>
                <w:highlight w:val="none"/>
              </w:rPr>
            </w:pPr>
          </w:p>
        </w:tc>
        <w:tc>
          <w:tcPr>
            <w:tcW w:w="3312" w:type="dxa"/>
            <w:vAlign w:val="center"/>
          </w:tcPr>
          <w:p>
            <w:pPr>
              <w:pStyle w:val="56"/>
              <w:spacing w:line="360" w:lineRule="auto"/>
              <w:jc w:val="center"/>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u w:val="single"/>
              </w:rPr>
              <w:t xml:space="preserve">          </w:t>
            </w:r>
            <w:r>
              <w:rPr>
                <w:rFonts w:ascii="Times New Roman" w:hAnsi="Times New Roman" w:eastAsia="宋体"/>
                <w:color w:val="000000"/>
                <w:sz w:val="21"/>
                <w:szCs w:val="21"/>
                <w:highlight w:val="none"/>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7" w:hRule="atLeast"/>
          <w:jc w:val="center"/>
        </w:trPr>
        <w:tc>
          <w:tcPr>
            <w:tcW w:w="1039" w:type="dxa"/>
            <w:vAlign w:val="center"/>
          </w:tcPr>
          <w:p>
            <w:pPr>
              <w:pStyle w:val="56"/>
              <w:spacing w:line="360" w:lineRule="auto"/>
              <w:jc w:val="center"/>
              <w:rPr>
                <w:rFonts w:ascii="Times New Roman" w:hAnsi="Times New Roman" w:eastAsia="宋体"/>
                <w:color w:val="000000"/>
                <w:sz w:val="21"/>
                <w:szCs w:val="21"/>
                <w:highlight w:val="none"/>
              </w:rPr>
            </w:pPr>
          </w:p>
        </w:tc>
        <w:tc>
          <w:tcPr>
            <w:tcW w:w="2506" w:type="dxa"/>
            <w:vAlign w:val="center"/>
          </w:tcPr>
          <w:p>
            <w:pPr>
              <w:pStyle w:val="56"/>
              <w:spacing w:line="360" w:lineRule="auto"/>
              <w:jc w:val="center"/>
              <w:rPr>
                <w:rFonts w:ascii="Times New Roman" w:hAnsi="Times New Roman" w:eastAsia="宋体"/>
                <w:color w:val="000000"/>
                <w:sz w:val="21"/>
                <w:szCs w:val="21"/>
                <w:highlight w:val="none"/>
              </w:rPr>
            </w:pPr>
          </w:p>
        </w:tc>
        <w:tc>
          <w:tcPr>
            <w:tcW w:w="1671" w:type="dxa"/>
          </w:tcPr>
          <w:p>
            <w:pPr>
              <w:pStyle w:val="56"/>
              <w:spacing w:line="360" w:lineRule="auto"/>
              <w:jc w:val="center"/>
              <w:rPr>
                <w:rFonts w:ascii="Times New Roman" w:hAnsi="Times New Roman" w:eastAsia="宋体"/>
                <w:color w:val="000000"/>
                <w:sz w:val="21"/>
                <w:szCs w:val="21"/>
                <w:highlight w:val="none"/>
              </w:rPr>
            </w:pPr>
          </w:p>
        </w:tc>
        <w:tc>
          <w:tcPr>
            <w:tcW w:w="3312" w:type="dxa"/>
            <w:vAlign w:val="center"/>
          </w:tcPr>
          <w:p>
            <w:pPr>
              <w:pStyle w:val="56"/>
              <w:spacing w:line="360" w:lineRule="auto"/>
              <w:jc w:val="center"/>
              <w:rPr>
                <w:rFonts w:ascii="Times New Roman" w:hAnsi="Times New Roman" w:eastAsia="宋体"/>
                <w:color w:val="000000"/>
                <w:sz w:val="21"/>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7" w:hRule="atLeast"/>
          <w:jc w:val="center"/>
        </w:trPr>
        <w:tc>
          <w:tcPr>
            <w:tcW w:w="1039" w:type="dxa"/>
            <w:vAlign w:val="center"/>
          </w:tcPr>
          <w:p>
            <w:pPr>
              <w:pStyle w:val="56"/>
              <w:spacing w:line="360" w:lineRule="auto"/>
              <w:jc w:val="center"/>
              <w:rPr>
                <w:rFonts w:ascii="Times New Roman" w:hAnsi="Times New Roman" w:eastAsia="宋体"/>
                <w:color w:val="000000"/>
                <w:sz w:val="21"/>
                <w:szCs w:val="21"/>
                <w:highlight w:val="none"/>
              </w:rPr>
            </w:pPr>
          </w:p>
        </w:tc>
        <w:tc>
          <w:tcPr>
            <w:tcW w:w="2506" w:type="dxa"/>
            <w:vAlign w:val="center"/>
          </w:tcPr>
          <w:p>
            <w:pPr>
              <w:pStyle w:val="56"/>
              <w:spacing w:line="360" w:lineRule="auto"/>
              <w:jc w:val="center"/>
              <w:rPr>
                <w:rFonts w:ascii="Times New Roman" w:hAnsi="Times New Roman" w:eastAsia="宋体"/>
                <w:color w:val="000000"/>
                <w:sz w:val="21"/>
                <w:szCs w:val="21"/>
                <w:highlight w:val="none"/>
              </w:rPr>
            </w:pPr>
          </w:p>
        </w:tc>
        <w:tc>
          <w:tcPr>
            <w:tcW w:w="1671" w:type="dxa"/>
          </w:tcPr>
          <w:p>
            <w:pPr>
              <w:pStyle w:val="56"/>
              <w:spacing w:line="360" w:lineRule="auto"/>
              <w:jc w:val="center"/>
              <w:rPr>
                <w:rFonts w:ascii="Times New Roman" w:hAnsi="Times New Roman" w:eastAsia="宋体"/>
                <w:color w:val="000000"/>
                <w:sz w:val="21"/>
                <w:szCs w:val="21"/>
                <w:highlight w:val="none"/>
              </w:rPr>
            </w:pPr>
          </w:p>
        </w:tc>
        <w:tc>
          <w:tcPr>
            <w:tcW w:w="3312" w:type="dxa"/>
            <w:vAlign w:val="center"/>
          </w:tcPr>
          <w:p>
            <w:pPr>
              <w:pStyle w:val="56"/>
              <w:spacing w:line="360" w:lineRule="auto"/>
              <w:jc w:val="center"/>
              <w:rPr>
                <w:rFonts w:ascii="Times New Roman" w:hAnsi="Times New Roman" w:eastAsia="宋体"/>
                <w:color w:val="000000"/>
                <w:sz w:val="21"/>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7" w:hRule="atLeast"/>
          <w:jc w:val="center"/>
        </w:trPr>
        <w:tc>
          <w:tcPr>
            <w:tcW w:w="1039" w:type="dxa"/>
            <w:vAlign w:val="center"/>
          </w:tcPr>
          <w:p>
            <w:pPr>
              <w:pStyle w:val="56"/>
              <w:spacing w:line="360" w:lineRule="auto"/>
              <w:jc w:val="center"/>
              <w:rPr>
                <w:rFonts w:ascii="Times New Roman" w:hAnsi="Times New Roman" w:eastAsia="宋体"/>
                <w:color w:val="000000"/>
                <w:sz w:val="21"/>
                <w:szCs w:val="21"/>
                <w:highlight w:val="none"/>
              </w:rPr>
            </w:pPr>
          </w:p>
        </w:tc>
        <w:tc>
          <w:tcPr>
            <w:tcW w:w="2506" w:type="dxa"/>
            <w:vAlign w:val="center"/>
          </w:tcPr>
          <w:p>
            <w:pPr>
              <w:pStyle w:val="56"/>
              <w:spacing w:line="360" w:lineRule="auto"/>
              <w:jc w:val="center"/>
              <w:rPr>
                <w:rFonts w:ascii="Times New Roman" w:hAnsi="Times New Roman" w:eastAsia="宋体"/>
                <w:color w:val="000000"/>
                <w:sz w:val="21"/>
                <w:szCs w:val="21"/>
                <w:highlight w:val="none"/>
              </w:rPr>
            </w:pPr>
          </w:p>
        </w:tc>
        <w:tc>
          <w:tcPr>
            <w:tcW w:w="1671" w:type="dxa"/>
          </w:tcPr>
          <w:p>
            <w:pPr>
              <w:pStyle w:val="56"/>
              <w:spacing w:line="360" w:lineRule="auto"/>
              <w:jc w:val="center"/>
              <w:rPr>
                <w:rFonts w:ascii="Times New Roman" w:hAnsi="Times New Roman" w:eastAsia="宋体"/>
                <w:color w:val="000000"/>
                <w:sz w:val="21"/>
                <w:szCs w:val="21"/>
                <w:highlight w:val="none"/>
              </w:rPr>
            </w:pPr>
          </w:p>
        </w:tc>
        <w:tc>
          <w:tcPr>
            <w:tcW w:w="3312" w:type="dxa"/>
            <w:vAlign w:val="center"/>
          </w:tcPr>
          <w:p>
            <w:pPr>
              <w:pStyle w:val="56"/>
              <w:spacing w:line="360" w:lineRule="auto"/>
              <w:jc w:val="center"/>
              <w:rPr>
                <w:rFonts w:ascii="Times New Roman" w:hAnsi="Times New Roman" w:eastAsia="宋体"/>
                <w:color w:val="000000"/>
                <w:sz w:val="21"/>
                <w:szCs w:val="21"/>
                <w:highlight w:val="none"/>
              </w:rPr>
            </w:pPr>
          </w:p>
        </w:tc>
      </w:tr>
    </w:tbl>
    <w:p>
      <w:pPr>
        <w:spacing w:line="360" w:lineRule="auto"/>
        <w:rPr>
          <w:highlight w:val="none"/>
        </w:rPr>
      </w:pP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widowControl/>
        <w:jc w:val="left"/>
        <w:rPr>
          <w:rFonts w:hint="eastAsia" w:ascii="宋体" w:hAnsi="宋体"/>
          <w:b/>
          <w:bCs/>
          <w:sz w:val="30"/>
          <w:szCs w:val="30"/>
          <w:highlight w:val="none"/>
        </w:rPr>
      </w:pPr>
      <w:r>
        <w:rPr>
          <w:rFonts w:hint="eastAsia" w:ascii="宋体" w:hAnsi="宋体"/>
          <w:b/>
          <w:bCs/>
          <w:sz w:val="30"/>
          <w:szCs w:val="30"/>
          <w:highlight w:val="none"/>
        </w:rPr>
        <w:br w:type="page"/>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诚信承诺函</w:t>
      </w:r>
    </w:p>
    <w:p>
      <w:pPr>
        <w:spacing w:line="360" w:lineRule="auto"/>
        <w:rPr>
          <w:rFonts w:hint="eastAsia" w:ascii="宋体" w:hAnsi="宋体"/>
          <w:highlight w:val="none"/>
        </w:rPr>
      </w:pPr>
      <w:r>
        <w:rPr>
          <w:rFonts w:hint="eastAsia" w:ascii="宋体" w:hAnsi="宋体"/>
          <w:highlight w:val="none"/>
        </w:rPr>
        <w:t>致</w:t>
      </w:r>
      <w:r>
        <w:rPr>
          <w:rFonts w:hint="eastAsia" w:ascii="宋体" w:hAnsi="宋体"/>
          <w:highlight w:val="none"/>
          <w:u w:val="single"/>
        </w:rPr>
        <w:t>（采购人）、（采购代理机构）</w:t>
      </w: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我单位参与</w:t>
      </w:r>
      <w:r>
        <w:rPr>
          <w:rFonts w:hint="eastAsia" w:ascii="宋体" w:hAnsi="宋体"/>
          <w:highlight w:val="none"/>
          <w:u w:val="single"/>
        </w:rPr>
        <w:t>（项目名称）【项目编号】</w:t>
      </w:r>
      <w:r>
        <w:rPr>
          <w:rFonts w:hint="eastAsia" w:ascii="宋体" w:hAnsi="宋体"/>
          <w:highlight w:val="none"/>
        </w:rPr>
        <w:t>政府采购活动，郑重承诺：</w:t>
      </w:r>
    </w:p>
    <w:p>
      <w:pPr>
        <w:spacing w:line="360" w:lineRule="auto"/>
        <w:ind w:firstLine="480" w:firstLineChars="200"/>
        <w:rPr>
          <w:rFonts w:hint="eastAsia" w:ascii="宋体" w:hAnsi="宋体"/>
          <w:highlight w:val="none"/>
        </w:rPr>
      </w:pPr>
      <w:r>
        <w:rPr>
          <w:rFonts w:hint="eastAsia" w:ascii="宋体" w:hAnsi="宋体"/>
          <w:highlight w:val="none"/>
        </w:rPr>
        <w:t>1.我方申报的所有资料都是真实、准确、完整的；</w:t>
      </w:r>
    </w:p>
    <w:p>
      <w:pPr>
        <w:spacing w:line="360" w:lineRule="auto"/>
        <w:ind w:firstLine="480" w:firstLineChars="200"/>
        <w:rPr>
          <w:rFonts w:hint="eastAsia" w:ascii="宋体" w:hAnsi="宋体"/>
          <w:highlight w:val="none"/>
        </w:rPr>
      </w:pPr>
      <w:r>
        <w:rPr>
          <w:rFonts w:hint="eastAsia" w:ascii="宋体" w:hAnsi="宋体"/>
          <w:highlight w:val="none"/>
        </w:rPr>
        <w:t>2.我方无资质挂靠情形，保证不参与串标、围标及抬标；</w:t>
      </w:r>
    </w:p>
    <w:p>
      <w:pPr>
        <w:spacing w:line="360" w:lineRule="auto"/>
        <w:ind w:firstLine="480" w:firstLineChars="200"/>
        <w:rPr>
          <w:rFonts w:hint="eastAsia" w:ascii="宋体" w:hAnsi="宋体"/>
          <w:highlight w:val="none"/>
        </w:rPr>
      </w:pPr>
      <w:r>
        <w:rPr>
          <w:rFonts w:hint="eastAsia" w:ascii="宋体" w:hAnsi="宋体"/>
          <w:highlight w:val="none"/>
        </w:rPr>
        <w:t>3.我方未处于被各级行政主管部门做出停止市场行为处罚的期限内；</w:t>
      </w:r>
    </w:p>
    <w:p>
      <w:pPr>
        <w:spacing w:line="360" w:lineRule="auto"/>
        <w:ind w:firstLine="480" w:firstLineChars="200"/>
        <w:rPr>
          <w:rFonts w:hint="eastAsia" w:ascii="宋体" w:hAnsi="宋体"/>
          <w:highlight w:val="none"/>
        </w:rPr>
      </w:pPr>
      <w:r>
        <w:rPr>
          <w:rFonts w:hint="eastAsia" w:ascii="宋体" w:hAnsi="宋体"/>
          <w:highlight w:val="none"/>
        </w:rPr>
        <w:t>4.我方参加本项目政府采购活动前3年内在经营活动中没有受到行政处罚、行政处理(含通报)，未被记入不良行为，没有重大违法记录；</w:t>
      </w:r>
    </w:p>
    <w:p>
      <w:pPr>
        <w:spacing w:line="360" w:lineRule="auto"/>
        <w:ind w:firstLine="480" w:firstLineChars="200"/>
        <w:rPr>
          <w:rFonts w:hint="eastAsia" w:ascii="宋体" w:hAnsi="宋体"/>
          <w:highlight w:val="none"/>
        </w:rPr>
      </w:pPr>
      <w:r>
        <w:rPr>
          <w:rFonts w:hint="eastAsia" w:ascii="宋体" w:hAnsi="宋体"/>
          <w:highlight w:val="none"/>
        </w:rPr>
        <w:t>5.若我方中标，将严格按照规定及时与采购人签订合同；</w:t>
      </w:r>
    </w:p>
    <w:p>
      <w:pPr>
        <w:spacing w:line="360" w:lineRule="auto"/>
        <w:ind w:firstLine="480" w:firstLineChars="200"/>
        <w:rPr>
          <w:rFonts w:hint="eastAsia" w:ascii="宋体" w:hAnsi="宋体"/>
          <w:highlight w:val="none"/>
        </w:rPr>
      </w:pPr>
      <w:r>
        <w:rPr>
          <w:rFonts w:hint="eastAsia" w:ascii="宋体" w:hAnsi="宋体"/>
          <w:highlight w:val="none"/>
        </w:rPr>
        <w:t>6.若我方中标，将严格按照招标文件要求及投标文件承诺的报价、质量、工期、投标方案、项目负责人等内容组织实施；</w:t>
      </w:r>
    </w:p>
    <w:p>
      <w:pPr>
        <w:spacing w:line="360" w:lineRule="auto"/>
        <w:ind w:firstLine="480" w:firstLineChars="200"/>
        <w:rPr>
          <w:rFonts w:hint="eastAsia" w:ascii="宋体" w:hAnsi="宋体"/>
          <w:highlight w:val="none"/>
        </w:rPr>
      </w:pPr>
      <w:r>
        <w:rPr>
          <w:rFonts w:hint="eastAsia" w:ascii="宋体" w:hAnsi="宋体"/>
          <w:highlight w:val="none"/>
        </w:rPr>
        <w:t>我方若违反上述承诺，隐瞒、提供虚假资料或不按招标文件要求组织实施或参与串标、抬标及围标等行为，被贵方发现或被他人举报查实，无条件接受采购人、行政监管部门作出的取消投标资格、中标资格、解除合同、拒绝后续政府采购投标、不良行为记录等的处罚。对造成的损失，任何法律和经济责任完全由我方负责。</w:t>
      </w:r>
    </w:p>
    <w:p>
      <w:pPr>
        <w:spacing w:line="360" w:lineRule="auto"/>
        <w:ind w:firstLine="480" w:firstLineChars="200"/>
        <w:rPr>
          <w:rFonts w:hint="eastAsia" w:ascii="宋体" w:hAnsi="宋体"/>
          <w:highlight w:val="none"/>
        </w:rPr>
      </w:pPr>
      <w:r>
        <w:rPr>
          <w:rFonts w:hint="eastAsia" w:ascii="宋体" w:hAnsi="宋体"/>
          <w:highlight w:val="none"/>
        </w:rPr>
        <w:t>特此承诺。</w:t>
      </w:r>
    </w:p>
    <w:p>
      <w:pPr>
        <w:spacing w:line="360" w:lineRule="auto"/>
        <w:jc w:val="center"/>
        <w:rPr>
          <w:rFonts w:hint="eastAsia" w:ascii="宋体" w:hAnsi="宋体"/>
          <w:b/>
          <w:bCs/>
          <w:sz w:val="30"/>
          <w:szCs w:val="30"/>
          <w:highlight w:val="none"/>
        </w:rPr>
      </w:pP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widowControl/>
        <w:jc w:val="left"/>
        <w:rPr>
          <w:rFonts w:hint="eastAsia" w:ascii="宋体" w:hAnsi="宋体"/>
          <w:b/>
          <w:bCs/>
          <w:sz w:val="30"/>
          <w:szCs w:val="30"/>
          <w:highlight w:val="none"/>
        </w:rPr>
      </w:pPr>
      <w:r>
        <w:rPr>
          <w:rFonts w:hint="eastAsia" w:ascii="宋体" w:hAnsi="宋体"/>
          <w:b/>
          <w:bCs/>
          <w:sz w:val="30"/>
          <w:szCs w:val="30"/>
          <w:highlight w:val="none"/>
        </w:rPr>
        <w:br w:type="page"/>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廉洁承诺书</w:t>
      </w:r>
    </w:p>
    <w:p>
      <w:pPr>
        <w:spacing w:line="240" w:lineRule="auto"/>
        <w:rPr>
          <w:rFonts w:hint="eastAsia" w:ascii="宋体" w:hAnsi="宋体"/>
          <w:highlight w:val="none"/>
        </w:rPr>
      </w:pPr>
      <w:r>
        <w:rPr>
          <w:rFonts w:hint="eastAsia" w:ascii="宋体" w:hAnsi="宋体"/>
          <w:highlight w:val="none"/>
        </w:rPr>
        <w:t>致</w:t>
      </w:r>
      <w:r>
        <w:rPr>
          <w:rFonts w:hint="eastAsia" w:ascii="宋体" w:hAnsi="宋体"/>
          <w:highlight w:val="none"/>
          <w:u w:val="single"/>
        </w:rPr>
        <w:t>（采购人）、（采购代理机构）</w:t>
      </w:r>
      <w:r>
        <w:rPr>
          <w:rFonts w:hint="eastAsia" w:ascii="宋体" w:hAnsi="宋体"/>
          <w:highlight w:val="none"/>
        </w:rPr>
        <w:t>：</w:t>
      </w:r>
    </w:p>
    <w:p>
      <w:pPr>
        <w:spacing w:line="240" w:lineRule="auto"/>
        <w:ind w:firstLine="480" w:firstLineChars="200"/>
        <w:rPr>
          <w:rFonts w:hint="eastAsia" w:ascii="宋体" w:hAnsi="宋体"/>
          <w:highlight w:val="none"/>
        </w:rPr>
      </w:pPr>
      <w:r>
        <w:rPr>
          <w:rFonts w:hint="eastAsia" w:ascii="宋体" w:hAnsi="宋体"/>
          <w:highlight w:val="none"/>
        </w:rPr>
        <w:t>我单位参与</w:t>
      </w:r>
      <w:r>
        <w:rPr>
          <w:rFonts w:hint="eastAsia" w:ascii="宋体" w:hAnsi="宋体"/>
          <w:highlight w:val="none"/>
          <w:u w:val="single"/>
        </w:rPr>
        <w:t>（项目名称）【项目编号】</w:t>
      </w:r>
      <w:r>
        <w:rPr>
          <w:rFonts w:hint="eastAsia" w:ascii="宋体" w:hAnsi="宋体"/>
          <w:highlight w:val="none"/>
        </w:rPr>
        <w:t>政府采购活动，郑重承诺：</w:t>
      </w:r>
    </w:p>
    <w:p>
      <w:pPr>
        <w:spacing w:line="240" w:lineRule="auto"/>
        <w:rPr>
          <w:rFonts w:hint="eastAsia" w:ascii="宋体" w:hAnsi="宋体"/>
          <w:highlight w:val="none"/>
        </w:rPr>
      </w:pPr>
      <w:r>
        <w:rPr>
          <w:rFonts w:hint="eastAsia" w:ascii="宋体" w:hAnsi="宋体"/>
          <w:highlight w:val="none"/>
        </w:rPr>
        <w:t xml:space="preserve">    一、不以任何形式向采购人工作人员及其亲属、特定关系人（以下简称采购人相关人员）进行行贿，包括但不限于：</w:t>
      </w:r>
    </w:p>
    <w:p>
      <w:pPr>
        <w:spacing w:line="240" w:lineRule="auto"/>
        <w:rPr>
          <w:rFonts w:hint="eastAsia" w:ascii="宋体" w:hAnsi="宋体"/>
          <w:highlight w:val="none"/>
        </w:rPr>
      </w:pPr>
      <w:r>
        <w:rPr>
          <w:rFonts w:hint="eastAsia" w:ascii="宋体" w:hAnsi="宋体"/>
          <w:highlight w:val="none"/>
        </w:rPr>
        <w:t xml:space="preserve">    1.送礼金、回扣、有价证券、支付凭证和礼品等；</w:t>
      </w:r>
    </w:p>
    <w:p>
      <w:pPr>
        <w:spacing w:line="240" w:lineRule="auto"/>
        <w:rPr>
          <w:rFonts w:hint="eastAsia" w:ascii="宋体" w:hAnsi="宋体"/>
          <w:highlight w:val="none"/>
        </w:rPr>
      </w:pPr>
      <w:r>
        <w:rPr>
          <w:rFonts w:hint="eastAsia" w:ascii="宋体" w:hAnsi="宋体"/>
          <w:highlight w:val="none"/>
        </w:rPr>
        <w:t xml:space="preserve">    2.支付给采购人相关人员以咨询费、劳务费等名义索要的各种费用，报销应由采购人相关人员承担的费用；</w:t>
      </w:r>
    </w:p>
    <w:p>
      <w:pPr>
        <w:spacing w:line="240" w:lineRule="auto"/>
        <w:rPr>
          <w:rFonts w:hint="eastAsia" w:ascii="宋体" w:hAnsi="宋体"/>
          <w:highlight w:val="none"/>
        </w:rPr>
      </w:pPr>
      <w:r>
        <w:rPr>
          <w:rFonts w:hint="eastAsia" w:ascii="宋体" w:hAnsi="宋体"/>
          <w:highlight w:val="none"/>
        </w:rPr>
        <w:t xml:space="preserve">    3.为采购人相关人员提供挂名工资、红包、佣金报酬、公款旅游和高消费健身、娱乐、宴请等活动；</w:t>
      </w:r>
    </w:p>
    <w:p>
      <w:pPr>
        <w:spacing w:line="240" w:lineRule="auto"/>
        <w:rPr>
          <w:rFonts w:hint="eastAsia" w:ascii="宋体" w:hAnsi="宋体"/>
          <w:highlight w:val="none"/>
        </w:rPr>
      </w:pPr>
      <w:r>
        <w:rPr>
          <w:rFonts w:hint="eastAsia" w:ascii="宋体" w:hAnsi="宋体"/>
          <w:highlight w:val="none"/>
        </w:rPr>
        <w:t xml:space="preserve">    4.在合同签订、验收、付款等履行环节为获得便利向任何个人支付任何合同约定外的费用；</w:t>
      </w:r>
    </w:p>
    <w:p>
      <w:pPr>
        <w:spacing w:line="240" w:lineRule="auto"/>
        <w:rPr>
          <w:rFonts w:hint="eastAsia" w:ascii="宋体" w:hAnsi="宋体"/>
          <w:highlight w:val="none"/>
        </w:rPr>
      </w:pPr>
      <w:r>
        <w:rPr>
          <w:rFonts w:hint="eastAsia" w:ascii="宋体" w:hAnsi="宋体"/>
          <w:highlight w:val="none"/>
        </w:rPr>
        <w:t xml:space="preserve">    5.擅自与采购人相关人员就合同有关的工作问题进行私下协商或者达成默契；</w:t>
      </w:r>
    </w:p>
    <w:p>
      <w:pPr>
        <w:spacing w:line="240" w:lineRule="auto"/>
        <w:rPr>
          <w:rFonts w:hint="eastAsia" w:ascii="宋体" w:hAnsi="宋体"/>
          <w:highlight w:val="none"/>
        </w:rPr>
      </w:pPr>
      <w:r>
        <w:rPr>
          <w:rFonts w:hint="eastAsia" w:ascii="宋体" w:hAnsi="宋体"/>
          <w:highlight w:val="none"/>
        </w:rPr>
        <w:t xml:space="preserve">    6.为采购人相关人员的婚丧嫁取、家属和亲友的工作安排及出国出境提供方便；</w:t>
      </w:r>
    </w:p>
    <w:p>
      <w:pPr>
        <w:spacing w:line="240" w:lineRule="auto"/>
        <w:ind w:firstLine="480" w:firstLineChars="200"/>
        <w:rPr>
          <w:rFonts w:hint="eastAsia" w:ascii="宋体" w:hAnsi="宋体"/>
          <w:highlight w:val="none"/>
        </w:rPr>
      </w:pPr>
      <w:r>
        <w:rPr>
          <w:rFonts w:hint="eastAsia" w:ascii="宋体" w:hAnsi="宋体"/>
          <w:highlight w:val="none"/>
        </w:rPr>
        <w:t>7.为采购人相关人员购买、建造、装修、维修私人住宅；</w:t>
      </w:r>
    </w:p>
    <w:p>
      <w:pPr>
        <w:spacing w:line="240" w:lineRule="auto"/>
        <w:ind w:firstLine="480" w:firstLineChars="200"/>
        <w:rPr>
          <w:rFonts w:hint="eastAsia" w:ascii="宋体" w:hAnsi="宋体"/>
          <w:highlight w:val="none"/>
        </w:rPr>
      </w:pPr>
      <w:r>
        <w:rPr>
          <w:rFonts w:hint="eastAsia" w:ascii="宋体" w:hAnsi="宋体"/>
          <w:highlight w:val="none"/>
        </w:rPr>
        <w:t>8.其他贿赂采购人相关人员及损害采购人利益的行为。</w:t>
      </w:r>
    </w:p>
    <w:p>
      <w:pPr>
        <w:spacing w:line="240" w:lineRule="auto"/>
        <w:ind w:firstLine="480" w:firstLineChars="200"/>
        <w:rPr>
          <w:rFonts w:hint="eastAsia" w:ascii="宋体" w:hAnsi="宋体"/>
          <w:highlight w:val="none"/>
        </w:rPr>
      </w:pPr>
      <w:r>
        <w:rPr>
          <w:rFonts w:hint="eastAsia" w:ascii="宋体" w:hAnsi="宋体"/>
          <w:highlight w:val="none"/>
        </w:rPr>
        <w:t>二、我单位若发现采购人工作人员在业务活动中有违反本《廉洁承诺书》的行为，我单位将予以拒绝并要求采购人工作人员予以纠正。对于无法拒绝或采购人工作人员不予纠正的，我单位将及时向采购人纪委举报。若采购人纪委按照有关规定，向我单位有关人员进行询问、调查，我单位有关人员将予以协助，并如实及时提供相关线索、证据和资料。</w:t>
      </w:r>
    </w:p>
    <w:p>
      <w:pPr>
        <w:spacing w:line="240" w:lineRule="auto"/>
        <w:ind w:firstLine="480" w:firstLineChars="200"/>
        <w:rPr>
          <w:rFonts w:hint="eastAsia" w:ascii="宋体" w:hAnsi="宋体"/>
          <w:highlight w:val="none"/>
        </w:rPr>
      </w:pPr>
      <w:r>
        <w:rPr>
          <w:rFonts w:hint="eastAsia" w:ascii="宋体" w:hAnsi="宋体"/>
          <w:highlight w:val="none"/>
        </w:rPr>
        <w:t>三、若我单位有关人员违反本《廉洁承诺书》，我单位愿接受采购人责令整改、赔偿损失、暂停业务往来、取消业务往来、纳入黑名单等处理。</w:t>
      </w:r>
    </w:p>
    <w:p>
      <w:pPr>
        <w:spacing w:line="240" w:lineRule="auto"/>
        <w:ind w:firstLine="480" w:firstLineChars="200"/>
        <w:rPr>
          <w:rFonts w:hint="eastAsia" w:ascii="宋体" w:hAnsi="宋体"/>
          <w:highlight w:val="none"/>
        </w:rPr>
      </w:pPr>
      <w:r>
        <w:rPr>
          <w:rFonts w:hint="eastAsia" w:ascii="宋体" w:hAnsi="宋体"/>
          <w:highlight w:val="none"/>
        </w:rPr>
        <w:t>四、本承诺书是本次业务活动的合同文件之一，有独立的法律效力，其他合同或文件的内容与本承诺内容只可互补不可替代，即使其他合同或文件解除、终止、撤销、变更或无效，也不影响本承诺书的效力。</w:t>
      </w:r>
    </w:p>
    <w:p>
      <w:pPr>
        <w:spacing w:line="240" w:lineRule="auto"/>
        <w:ind w:firstLine="480" w:firstLineChars="200"/>
        <w:rPr>
          <w:rFonts w:hint="eastAsia" w:ascii="宋体" w:hAnsi="宋体"/>
          <w:highlight w:val="none"/>
        </w:rPr>
      </w:pPr>
      <w:r>
        <w:rPr>
          <w:rFonts w:hint="eastAsia" w:ascii="宋体" w:hAnsi="宋体"/>
          <w:highlight w:val="none"/>
        </w:rPr>
        <w:t>五、本承诺书系我单位在自愿、诚信基础上，真实意思的表达，对此确认无误，绝无异议。同时确认，本承诺书一经签字/盖章即生效，且不可撤销或更改。</w:t>
      </w:r>
    </w:p>
    <w:p>
      <w:pPr>
        <w:spacing w:line="240" w:lineRule="auto"/>
        <w:ind w:firstLine="480" w:firstLineChars="200"/>
        <w:rPr>
          <w:rFonts w:hint="eastAsia" w:ascii="宋体" w:hAnsi="宋体"/>
          <w:highlight w:val="none"/>
        </w:rPr>
      </w:pPr>
      <w:r>
        <w:rPr>
          <w:rFonts w:hint="eastAsia" w:ascii="宋体" w:hAnsi="宋体"/>
          <w:highlight w:val="none"/>
        </w:rPr>
        <w:t>特此承诺。</w:t>
      </w:r>
    </w:p>
    <w:p>
      <w:pPr>
        <w:spacing w:line="240" w:lineRule="auto"/>
        <w:rPr>
          <w:rFonts w:hint="eastAsia" w:ascii="宋体" w:hAnsi="宋体"/>
          <w:highlight w:val="none"/>
        </w:rPr>
      </w:pPr>
      <w:r>
        <w:rPr>
          <w:rFonts w:hint="eastAsia" w:ascii="宋体" w:hAnsi="宋体"/>
          <w:highlight w:val="none"/>
        </w:rPr>
        <w:t xml:space="preserve">                                              </w:t>
      </w:r>
    </w:p>
    <w:p>
      <w:pPr>
        <w:spacing w:line="240" w:lineRule="auto"/>
        <w:jc w:val="right"/>
        <w:rPr>
          <w:rFonts w:hint="eastAsia" w:ascii="宋体" w:hAnsi="宋体"/>
          <w:highlight w:val="none"/>
        </w:rPr>
      </w:pPr>
      <w:r>
        <w:rPr>
          <w:rFonts w:hint="eastAsia" w:ascii="宋体" w:hAnsi="宋体"/>
          <w:highlight w:val="none"/>
        </w:rPr>
        <w:t>供应商名称（公章）：      　　　　　　　　　　　　　</w:t>
      </w:r>
    </w:p>
    <w:p>
      <w:pPr>
        <w:spacing w:line="240" w:lineRule="auto"/>
        <w:jc w:val="right"/>
        <w:rPr>
          <w:rFonts w:hint="eastAsia" w:ascii="宋体" w:hAnsi="宋体"/>
          <w:highlight w:val="none"/>
        </w:rPr>
      </w:pPr>
      <w:r>
        <w:rPr>
          <w:rFonts w:hint="eastAsia" w:ascii="宋体" w:hAnsi="宋体"/>
          <w:highlight w:val="none"/>
        </w:rPr>
        <w:t>日期：    年  月  日</w:t>
      </w:r>
    </w:p>
    <w:p>
      <w:pPr>
        <w:widowControl/>
        <w:jc w:val="left"/>
        <w:rPr>
          <w:highlight w:val="none"/>
        </w:rPr>
      </w:pPr>
      <w:r>
        <w:rPr>
          <w:highlight w:val="none"/>
        </w:rPr>
        <w:br w:type="page"/>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劳动用工书面承诺</w:t>
      </w:r>
    </w:p>
    <w:p>
      <w:pPr>
        <w:spacing w:line="360" w:lineRule="auto"/>
        <w:ind w:firstLine="480" w:firstLineChars="200"/>
        <w:rPr>
          <w:rFonts w:hint="eastAsia" w:ascii="宋体" w:hAnsi="宋体"/>
          <w:highlight w:val="none"/>
        </w:rPr>
      </w:pPr>
      <w:r>
        <w:rPr>
          <w:rFonts w:hint="eastAsia" w:ascii="宋体" w:hAnsi="宋体"/>
          <w:highlight w:val="none"/>
        </w:rPr>
        <w:t>如我公司在本次招投标中标后成为中标供应商，我公司将严格遵守《民法典》及《劳动合同法》的相关规定，按招标文件的要求及我公司投标文件配置服务人员，按国家规定为员工缴纳社会保险，员工的工资标准不低于嘉兴市最低工资标准，并将所有条款写入劳动用工合同。</w:t>
      </w:r>
    </w:p>
    <w:p>
      <w:pPr>
        <w:spacing w:line="360" w:lineRule="auto"/>
        <w:ind w:firstLine="480" w:firstLineChars="200"/>
        <w:rPr>
          <w:rFonts w:hint="eastAsia" w:ascii="宋体" w:hAnsi="宋体"/>
          <w:highlight w:val="none"/>
        </w:rPr>
      </w:pPr>
      <w:r>
        <w:rPr>
          <w:rFonts w:hint="eastAsia" w:ascii="宋体" w:hAnsi="宋体"/>
          <w:highlight w:val="none"/>
        </w:rPr>
        <w:t>特此承诺。</w:t>
      </w:r>
    </w:p>
    <w:p>
      <w:pPr>
        <w:spacing w:line="360" w:lineRule="auto"/>
        <w:rPr>
          <w:rFonts w:hint="eastAsia" w:ascii="宋体" w:hAnsi="宋体"/>
          <w:highlight w:val="none"/>
        </w:rPr>
      </w:pPr>
      <w:r>
        <w:rPr>
          <w:rFonts w:hint="eastAsia" w:ascii="宋体" w:hAnsi="宋体"/>
          <w:highlight w:val="none"/>
        </w:rPr>
        <w:t xml:space="preserve">                        </w:t>
      </w: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widowControl/>
        <w:jc w:val="left"/>
        <w:rPr>
          <w:rFonts w:hint="eastAsia" w:ascii="宋体" w:hAnsi="宋体"/>
          <w:b/>
          <w:bCs/>
          <w:sz w:val="36"/>
          <w:szCs w:val="36"/>
          <w:highlight w:val="none"/>
        </w:rPr>
      </w:pPr>
      <w:r>
        <w:rPr>
          <w:rFonts w:hint="eastAsia" w:ascii="宋体" w:hAnsi="宋体"/>
          <w:b/>
          <w:bCs/>
          <w:sz w:val="36"/>
          <w:szCs w:val="36"/>
          <w:highlight w:val="none"/>
        </w:rPr>
        <w:br w:type="page"/>
      </w:r>
    </w:p>
    <w:p>
      <w:pPr>
        <w:spacing w:line="360" w:lineRule="auto"/>
        <w:jc w:val="center"/>
        <w:rPr>
          <w:rFonts w:hint="eastAsia" w:ascii="宋体" w:hAnsi="宋体"/>
          <w:b/>
          <w:bCs/>
          <w:sz w:val="36"/>
          <w:szCs w:val="36"/>
          <w:highlight w:val="none"/>
        </w:rPr>
      </w:pPr>
      <w:r>
        <w:rPr>
          <w:rFonts w:hint="eastAsia" w:ascii="宋体" w:hAnsi="宋体"/>
          <w:b/>
          <w:bCs/>
          <w:sz w:val="36"/>
          <w:szCs w:val="36"/>
          <w:highlight w:val="none"/>
        </w:rPr>
        <w:t>报价文件部分</w:t>
      </w:r>
    </w:p>
    <w:p>
      <w:pPr>
        <w:spacing w:line="360" w:lineRule="auto"/>
        <w:jc w:val="center"/>
        <w:rPr>
          <w:rFonts w:hint="eastAsia" w:ascii="宋体" w:hAnsi="宋体"/>
          <w:b/>
          <w:bCs/>
          <w:sz w:val="36"/>
          <w:szCs w:val="36"/>
          <w:highlight w:val="none"/>
        </w:rPr>
      </w:pPr>
      <w:r>
        <w:rPr>
          <w:rFonts w:hint="eastAsia" w:ascii="宋体" w:hAnsi="宋体"/>
          <w:b/>
          <w:bCs/>
          <w:sz w:val="36"/>
          <w:szCs w:val="36"/>
          <w:highlight w:val="none"/>
        </w:rPr>
        <w:t>目录</w:t>
      </w:r>
    </w:p>
    <w:p>
      <w:pPr>
        <w:spacing w:line="360" w:lineRule="auto"/>
        <w:rPr>
          <w:rFonts w:hint="eastAsia" w:ascii="宋体" w:hAnsi="宋体"/>
          <w:highlight w:val="none"/>
        </w:rPr>
      </w:pPr>
      <w:r>
        <w:rPr>
          <w:rFonts w:hint="eastAsia" w:ascii="宋体" w:hAnsi="宋体"/>
          <w:highlight w:val="none"/>
        </w:rPr>
        <w:t>（1）开标一览表（报价表）………………………………………………（页码）</w:t>
      </w:r>
    </w:p>
    <w:p>
      <w:pPr>
        <w:spacing w:line="360" w:lineRule="auto"/>
        <w:rPr>
          <w:rFonts w:hint="eastAsia" w:ascii="宋体" w:hAnsi="宋体"/>
          <w:highlight w:val="none"/>
        </w:rPr>
      </w:pPr>
      <w:r>
        <w:rPr>
          <w:rFonts w:hint="eastAsia" w:ascii="宋体" w:hAnsi="宋体"/>
          <w:highlight w:val="none"/>
        </w:rPr>
        <w:t>（2）报价情况说明（如果有）……………………………………………（页码）</w:t>
      </w:r>
    </w:p>
    <w:p>
      <w:pPr>
        <w:spacing w:line="360" w:lineRule="auto"/>
        <w:rPr>
          <w:rFonts w:hint="eastAsia" w:ascii="宋体" w:hAnsi="宋体"/>
          <w:highlight w:val="none"/>
        </w:rPr>
      </w:pPr>
      <w:r>
        <w:rPr>
          <w:rFonts w:hint="eastAsia" w:ascii="宋体" w:hAnsi="宋体"/>
          <w:highlight w:val="none"/>
        </w:rPr>
        <w:t>（3）中小企业声明函………………………………………………………（页码）</w:t>
      </w:r>
    </w:p>
    <w:p>
      <w:pPr>
        <w:spacing w:line="360" w:lineRule="auto"/>
        <w:rPr>
          <w:rFonts w:hint="eastAsia" w:ascii="宋体" w:hAnsi="宋体"/>
          <w:highlight w:val="none"/>
        </w:rPr>
      </w:pPr>
      <w:r>
        <w:rPr>
          <w:rFonts w:hint="eastAsia" w:ascii="宋体" w:hAnsi="宋体"/>
          <w:highlight w:val="none"/>
        </w:rPr>
        <w:t>（4）关于符合本国产品标准的声明函或有关证明文件（如果有）……（页码）</w:t>
      </w:r>
    </w:p>
    <w:p>
      <w:pPr>
        <w:spacing w:line="360" w:lineRule="auto"/>
        <w:rPr>
          <w:rFonts w:hint="eastAsia" w:ascii="宋体" w:hAnsi="宋体"/>
          <w:highlight w:val="none"/>
        </w:rPr>
      </w:pPr>
    </w:p>
    <w:p>
      <w:pPr>
        <w:spacing w:line="360" w:lineRule="auto"/>
        <w:jc w:val="center"/>
        <w:rPr>
          <w:rFonts w:hint="eastAsia" w:ascii="宋体" w:hAnsi="宋体"/>
          <w:highlight w:val="none"/>
        </w:rPr>
      </w:pPr>
      <w:r>
        <w:rPr>
          <w:rFonts w:hint="eastAsia" w:ascii="宋体" w:hAnsi="宋体"/>
          <w:highlight w:val="none"/>
        </w:rPr>
        <w:br w:type="page"/>
      </w:r>
      <w:r>
        <w:rPr>
          <w:rFonts w:hint="eastAsia" w:ascii="宋体" w:hAnsi="宋体"/>
          <w:b/>
          <w:bCs/>
          <w:sz w:val="30"/>
          <w:szCs w:val="30"/>
          <w:highlight w:val="none"/>
        </w:rPr>
        <w:t>一、开标一览表</w:t>
      </w:r>
    </w:p>
    <w:p>
      <w:pPr>
        <w:spacing w:after="0" w:line="360" w:lineRule="auto"/>
        <w:ind w:firstLine="480" w:firstLineChars="200"/>
        <w:rPr>
          <w:rFonts w:hint="eastAsia" w:ascii="宋体" w:hAnsi="宋体"/>
          <w:highlight w:val="none"/>
        </w:rPr>
      </w:pPr>
      <w:r>
        <w:rPr>
          <w:rFonts w:hint="eastAsia" w:ascii="宋体" w:hAnsi="宋体"/>
          <w:highlight w:val="none"/>
        </w:rPr>
        <w:t>项目编号：</w:t>
      </w:r>
      <w:r>
        <w:rPr>
          <w:rFonts w:hint="eastAsia" w:ascii="宋体" w:hAnsi="宋体"/>
          <w:highlight w:val="none"/>
          <w:u w:val="single"/>
        </w:rPr>
        <w:t xml:space="preserve">                                  </w:t>
      </w:r>
    </w:p>
    <w:p>
      <w:pPr>
        <w:spacing w:after="0" w:line="360" w:lineRule="auto"/>
        <w:ind w:firstLine="480" w:firstLineChars="200"/>
        <w:rPr>
          <w:rFonts w:hint="eastAsia" w:ascii="宋体" w:hAnsi="宋体"/>
          <w:highlight w:val="none"/>
        </w:rPr>
      </w:pPr>
      <w:r>
        <w:rPr>
          <w:rFonts w:hint="eastAsia" w:ascii="宋体" w:hAnsi="宋体"/>
          <w:highlight w:val="none"/>
        </w:rPr>
        <w:t>供应商名称：</w:t>
      </w:r>
      <w:r>
        <w:rPr>
          <w:rFonts w:hint="eastAsia" w:ascii="宋体" w:hAnsi="宋体"/>
          <w:highlight w:val="none"/>
          <w:u w:val="single"/>
        </w:rPr>
        <w:t xml:space="preserve">                                </w:t>
      </w:r>
    </w:p>
    <w:p>
      <w:pPr>
        <w:spacing w:after="0" w:line="360" w:lineRule="auto"/>
        <w:ind w:firstLine="480" w:firstLineChars="200"/>
        <w:rPr>
          <w:rFonts w:hint="eastAsia" w:ascii="宋体" w:hAnsi="宋体"/>
          <w:highlight w:val="none"/>
        </w:rPr>
      </w:pPr>
      <w:r>
        <w:rPr>
          <w:rFonts w:hint="eastAsia" w:ascii="宋体" w:hAnsi="宋体"/>
          <w:highlight w:val="none"/>
        </w:rPr>
        <w:t>金额单位：人民币</w:t>
      </w:r>
      <w:r>
        <w:rPr>
          <w:rFonts w:hint="eastAsia" w:ascii="宋体" w:hAnsi="宋体"/>
          <w:highlight w:val="none"/>
          <w:u w:val="single"/>
        </w:rPr>
        <w:t xml:space="preserve">                 </w:t>
      </w:r>
      <w:r>
        <w:rPr>
          <w:rFonts w:hint="eastAsia" w:ascii="宋体" w:hAnsi="宋体"/>
          <w:highlight w:val="none"/>
        </w:rPr>
        <w:t>（元）</w:t>
      </w:r>
    </w:p>
    <w:p>
      <w:pPr>
        <w:spacing w:after="0" w:line="360" w:lineRule="auto"/>
        <w:jc w:val="center"/>
        <w:rPr>
          <w:rFonts w:hint="eastAsia" w:ascii="宋体" w:hAnsi="宋体"/>
          <w:b/>
          <w:bCs/>
          <w:highlight w:val="none"/>
        </w:rPr>
      </w:pPr>
      <w:r>
        <w:rPr>
          <w:rFonts w:hint="eastAsia" w:ascii="宋体" w:hAnsi="宋体"/>
          <w:b/>
          <w:bCs/>
          <w:highlight w:val="none"/>
        </w:rPr>
        <w:t>开标一览表（报价表）（单位均为人民币元）</w:t>
      </w:r>
    </w:p>
    <w:tbl>
      <w:tblPr>
        <w:tblStyle w:val="29"/>
        <w:tblW w:w="85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1310"/>
        <w:gridCol w:w="958"/>
        <w:gridCol w:w="1503"/>
        <w:gridCol w:w="1615"/>
        <w:gridCol w:w="993"/>
        <w:gridCol w:w="12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b/>
                <w:color w:val="000000"/>
                <w:szCs w:val="30"/>
                <w:highlight w:val="none"/>
              </w:rPr>
            </w:pPr>
            <w:r>
              <w:rPr>
                <w:rFonts w:hint="eastAsia" w:ascii="宋体" w:hAnsi="宋体"/>
                <w:b/>
                <w:color w:val="000000"/>
                <w:szCs w:val="30"/>
                <w:highlight w:val="none"/>
              </w:rPr>
              <w:t>序号</w:t>
            </w:r>
          </w:p>
        </w:tc>
        <w:tc>
          <w:tcPr>
            <w:tcW w:w="1310"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b/>
                <w:color w:val="000000"/>
                <w:szCs w:val="30"/>
                <w:highlight w:val="none"/>
              </w:rPr>
            </w:pPr>
            <w:r>
              <w:rPr>
                <w:rFonts w:hint="eastAsia" w:ascii="宋体" w:hAnsi="宋体"/>
                <w:b/>
                <w:color w:val="000000"/>
                <w:szCs w:val="30"/>
                <w:highlight w:val="none"/>
              </w:rPr>
              <w:t>设备名称</w:t>
            </w:r>
          </w:p>
        </w:tc>
        <w:tc>
          <w:tcPr>
            <w:tcW w:w="958"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b/>
                <w:color w:val="000000"/>
                <w:szCs w:val="30"/>
                <w:highlight w:val="none"/>
              </w:rPr>
            </w:pPr>
            <w:r>
              <w:rPr>
                <w:rFonts w:hint="eastAsia" w:ascii="宋体" w:hAnsi="宋体"/>
                <w:b/>
                <w:color w:val="000000"/>
                <w:szCs w:val="30"/>
                <w:highlight w:val="none"/>
              </w:rPr>
              <w:t>数量</w:t>
            </w:r>
          </w:p>
        </w:tc>
        <w:tc>
          <w:tcPr>
            <w:tcW w:w="1503"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b/>
                <w:color w:val="000000"/>
                <w:szCs w:val="30"/>
                <w:highlight w:val="none"/>
              </w:rPr>
            </w:pPr>
            <w:r>
              <w:rPr>
                <w:rFonts w:hint="eastAsia" w:ascii="宋体" w:hAnsi="宋体"/>
                <w:b/>
                <w:color w:val="000000"/>
                <w:szCs w:val="30"/>
                <w:highlight w:val="none"/>
              </w:rPr>
              <w:t>品牌及厂家</w:t>
            </w: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b/>
                <w:color w:val="000000"/>
                <w:szCs w:val="30"/>
                <w:highlight w:val="none"/>
              </w:rPr>
            </w:pPr>
            <w:r>
              <w:rPr>
                <w:rFonts w:hint="eastAsia" w:ascii="宋体" w:hAnsi="宋体"/>
                <w:b/>
                <w:color w:val="000000"/>
                <w:szCs w:val="30"/>
                <w:highlight w:val="none"/>
              </w:rPr>
              <w:t>规格型号</w:t>
            </w:r>
          </w:p>
        </w:tc>
        <w:tc>
          <w:tcPr>
            <w:tcW w:w="993"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b/>
                <w:color w:val="000000"/>
                <w:szCs w:val="30"/>
                <w:highlight w:val="none"/>
              </w:rPr>
            </w:pPr>
            <w:r>
              <w:rPr>
                <w:rFonts w:hint="eastAsia" w:ascii="宋体" w:hAnsi="宋体"/>
                <w:b/>
                <w:color w:val="000000"/>
                <w:szCs w:val="30"/>
                <w:highlight w:val="none"/>
              </w:rPr>
              <w:t>单价</w:t>
            </w:r>
          </w:p>
        </w:tc>
        <w:tc>
          <w:tcPr>
            <w:tcW w:w="1275"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b/>
                <w:color w:val="000000"/>
                <w:szCs w:val="30"/>
                <w:highlight w:val="none"/>
              </w:rPr>
            </w:pPr>
            <w:r>
              <w:rPr>
                <w:rFonts w:hint="eastAsia" w:ascii="宋体" w:hAnsi="宋体"/>
                <w:b/>
                <w:color w:val="000000"/>
                <w:szCs w:val="30"/>
                <w:highlight w:val="none"/>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left"/>
              <w:rPr>
                <w:rFonts w:hint="eastAsia" w:ascii="宋体" w:hAnsi="宋体"/>
                <w:color w:val="000000"/>
                <w:sz w:val="32"/>
                <w:highlight w:val="none"/>
              </w:rPr>
            </w:pPr>
          </w:p>
        </w:tc>
        <w:tc>
          <w:tcPr>
            <w:tcW w:w="1310"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left"/>
              <w:rPr>
                <w:rFonts w:hint="eastAsia" w:ascii="宋体" w:hAnsi="宋体"/>
                <w:bCs/>
                <w:color w:val="000000"/>
                <w:sz w:val="32"/>
                <w:szCs w:val="20"/>
                <w:highlight w:val="none"/>
              </w:rPr>
            </w:pPr>
          </w:p>
        </w:tc>
        <w:tc>
          <w:tcPr>
            <w:tcW w:w="958"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left"/>
              <w:rPr>
                <w:rFonts w:hint="eastAsia" w:ascii="宋体" w:hAnsi="宋体"/>
                <w:bCs/>
                <w:color w:val="000000"/>
                <w:sz w:val="32"/>
                <w:szCs w:val="20"/>
                <w:highlight w:val="none"/>
              </w:rPr>
            </w:pPr>
          </w:p>
        </w:tc>
        <w:tc>
          <w:tcPr>
            <w:tcW w:w="1503"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color w:val="000000"/>
                <w:sz w:val="32"/>
                <w:szCs w:val="21"/>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color w:val="000000"/>
                <w:sz w:val="32"/>
                <w:szCs w:val="21"/>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rPr>
                <w:rFonts w:hint="eastAsia" w:ascii="宋体" w:hAnsi="宋体"/>
                <w:color w:val="000000"/>
                <w:sz w:val="32"/>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rPr>
                <w:rFonts w:hint="eastAsia" w:ascii="宋体" w:hAnsi="宋体"/>
                <w:color w:val="000000"/>
                <w:sz w:val="32"/>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left"/>
              <w:rPr>
                <w:rFonts w:hint="eastAsia" w:ascii="宋体" w:hAnsi="宋体"/>
                <w:color w:val="000000"/>
                <w:sz w:val="32"/>
                <w:highlight w:val="none"/>
              </w:rPr>
            </w:pPr>
          </w:p>
        </w:tc>
        <w:tc>
          <w:tcPr>
            <w:tcW w:w="1310"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left"/>
              <w:rPr>
                <w:rFonts w:hint="eastAsia" w:ascii="宋体" w:hAnsi="宋体"/>
                <w:bCs/>
                <w:color w:val="000000"/>
                <w:sz w:val="32"/>
                <w:szCs w:val="20"/>
                <w:highlight w:val="none"/>
              </w:rPr>
            </w:pPr>
          </w:p>
        </w:tc>
        <w:tc>
          <w:tcPr>
            <w:tcW w:w="958"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left"/>
              <w:rPr>
                <w:rFonts w:hint="eastAsia" w:ascii="宋体" w:hAnsi="宋体"/>
                <w:bCs/>
                <w:color w:val="000000"/>
                <w:sz w:val="32"/>
                <w:szCs w:val="20"/>
                <w:highlight w:val="none"/>
              </w:rPr>
            </w:pPr>
          </w:p>
        </w:tc>
        <w:tc>
          <w:tcPr>
            <w:tcW w:w="1503"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color w:val="000000"/>
                <w:sz w:val="32"/>
                <w:szCs w:val="21"/>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color w:val="000000"/>
                <w:sz w:val="32"/>
                <w:szCs w:val="21"/>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rPr>
                <w:rFonts w:hint="eastAsia" w:ascii="宋体" w:hAnsi="宋体"/>
                <w:color w:val="000000"/>
                <w:sz w:val="32"/>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rPr>
                <w:rFonts w:hint="eastAsia" w:ascii="宋体" w:hAnsi="宋体"/>
                <w:color w:val="000000"/>
                <w:sz w:val="32"/>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3"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pStyle w:val="77"/>
              <w:tabs>
                <w:tab w:val="left" w:pos="420"/>
              </w:tabs>
              <w:snapToGrid w:val="0"/>
              <w:spacing w:after="0"/>
              <w:rPr>
                <w:rFonts w:hint="eastAsia" w:ascii="宋体" w:hAnsi="宋体" w:eastAsia="宋体" w:cs="宋体"/>
                <w:color w:val="000000"/>
                <w:spacing w:val="0"/>
                <w:kern w:val="2"/>
                <w:szCs w:val="20"/>
                <w:highlight w:val="none"/>
              </w:rPr>
            </w:pPr>
          </w:p>
        </w:tc>
        <w:tc>
          <w:tcPr>
            <w:tcW w:w="1310"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left"/>
              <w:rPr>
                <w:rFonts w:hint="eastAsia" w:ascii="宋体" w:hAnsi="宋体"/>
                <w:bCs/>
                <w:color w:val="000000"/>
                <w:szCs w:val="20"/>
                <w:highlight w:val="none"/>
              </w:rPr>
            </w:pPr>
          </w:p>
        </w:tc>
        <w:tc>
          <w:tcPr>
            <w:tcW w:w="958"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left"/>
              <w:rPr>
                <w:rFonts w:hint="eastAsia" w:ascii="宋体" w:hAnsi="宋体"/>
                <w:bCs/>
                <w:color w:val="000000"/>
                <w:szCs w:val="20"/>
                <w:highlight w:val="none"/>
              </w:rPr>
            </w:pPr>
          </w:p>
        </w:tc>
        <w:tc>
          <w:tcPr>
            <w:tcW w:w="1503"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color w:val="000000"/>
                <w:szCs w:val="21"/>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rPr>
                <w:rFonts w:hint="eastAsia" w:ascii="宋体" w:hAnsi="宋体"/>
                <w:color w:val="000000"/>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rPr>
                <w:rFonts w:hint="eastAsia"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3"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left"/>
              <w:rPr>
                <w:rFonts w:hint="eastAsia" w:ascii="宋体" w:hAnsi="宋体"/>
                <w:color w:val="000000"/>
                <w:highlight w:val="none"/>
              </w:rPr>
            </w:pPr>
          </w:p>
        </w:tc>
        <w:tc>
          <w:tcPr>
            <w:tcW w:w="1310"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left"/>
              <w:rPr>
                <w:rFonts w:hint="eastAsia" w:ascii="宋体" w:hAnsi="宋体"/>
                <w:bCs/>
                <w:color w:val="000000"/>
                <w:szCs w:val="20"/>
                <w:highlight w:val="none"/>
              </w:rPr>
            </w:pPr>
          </w:p>
        </w:tc>
        <w:tc>
          <w:tcPr>
            <w:tcW w:w="958"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left"/>
              <w:rPr>
                <w:rFonts w:hint="eastAsia" w:ascii="宋体" w:hAnsi="宋体"/>
                <w:bCs/>
                <w:color w:val="000000"/>
                <w:szCs w:val="20"/>
                <w:highlight w:val="none"/>
              </w:rPr>
            </w:pPr>
          </w:p>
        </w:tc>
        <w:tc>
          <w:tcPr>
            <w:tcW w:w="1503"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color w:val="000000"/>
                <w:szCs w:val="21"/>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jc w:val="center"/>
              <w:rPr>
                <w:rFonts w:hint="eastAsia" w:ascii="宋体" w:hAnsi="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rPr>
                <w:rFonts w:hint="eastAsia" w:ascii="宋体" w:hAnsi="宋体"/>
                <w:color w:val="000000"/>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rPr>
                <w:rFonts w:hint="eastAsia"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3" w:hRule="atLeast"/>
          <w:jc w:val="center"/>
        </w:trPr>
        <w:tc>
          <w:tcPr>
            <w:tcW w:w="7225" w:type="dxa"/>
            <w:gridSpan w:val="6"/>
            <w:tcBorders>
              <w:top w:val="single" w:color="auto" w:sz="4" w:space="0"/>
              <w:left w:val="single" w:color="auto" w:sz="4" w:space="0"/>
              <w:bottom w:val="single" w:color="auto" w:sz="4" w:space="0"/>
              <w:right w:val="single" w:color="auto" w:sz="4" w:space="0"/>
            </w:tcBorders>
            <w:vAlign w:val="center"/>
          </w:tcPr>
          <w:p>
            <w:pPr>
              <w:tabs>
                <w:tab w:val="left" w:pos="1126"/>
              </w:tabs>
              <w:snapToGrid w:val="0"/>
              <w:spacing w:after="0" w:line="360" w:lineRule="auto"/>
              <w:rPr>
                <w:rFonts w:hint="eastAsia" w:ascii="宋体" w:hAnsi="宋体"/>
                <w:color w:val="000000"/>
                <w:szCs w:val="21"/>
                <w:highlight w:val="none"/>
              </w:rPr>
            </w:pPr>
            <w:r>
              <w:rPr>
                <w:rFonts w:hint="eastAsia" w:ascii="宋体" w:hAnsi="宋体"/>
                <w:color w:val="000000"/>
                <w:spacing w:val="20"/>
                <w:highlight w:val="none"/>
              </w:rPr>
              <w:t>投标总价（大写）</w:t>
            </w:r>
          </w:p>
        </w:tc>
        <w:tc>
          <w:tcPr>
            <w:tcW w:w="1275" w:type="dxa"/>
            <w:tcBorders>
              <w:top w:val="single" w:color="auto" w:sz="4" w:space="0"/>
              <w:left w:val="single" w:color="auto" w:sz="4" w:space="0"/>
              <w:bottom w:val="single" w:color="auto" w:sz="4" w:space="0"/>
              <w:right w:val="single" w:color="auto" w:sz="4" w:space="0"/>
            </w:tcBorders>
            <w:vAlign w:val="center"/>
          </w:tcPr>
          <w:p>
            <w:pPr>
              <w:snapToGrid w:val="0"/>
              <w:spacing w:after="0" w:line="360" w:lineRule="auto"/>
              <w:rPr>
                <w:rFonts w:hint="eastAsia" w:ascii="宋体" w:hAnsi="宋体"/>
                <w:color w:val="000000"/>
                <w:szCs w:val="21"/>
                <w:highlight w:val="none"/>
              </w:rPr>
            </w:pPr>
          </w:p>
        </w:tc>
      </w:tr>
    </w:tbl>
    <w:p>
      <w:pPr>
        <w:spacing w:after="0" w:line="360" w:lineRule="auto"/>
        <w:ind w:firstLine="481" w:firstLineChars="200"/>
        <w:rPr>
          <w:rFonts w:hint="eastAsia" w:ascii="宋体" w:hAnsi="宋体"/>
          <w:b/>
          <w:bCs/>
          <w:highlight w:val="none"/>
        </w:rPr>
      </w:pPr>
      <w:r>
        <w:rPr>
          <w:rFonts w:hint="eastAsia" w:ascii="宋体" w:hAnsi="宋体"/>
          <w:b/>
          <w:bCs/>
          <w:highlight w:val="none"/>
        </w:rPr>
        <w:t xml:space="preserve">注: </w:t>
      </w:r>
    </w:p>
    <w:p>
      <w:pPr>
        <w:spacing w:after="0" w:line="360" w:lineRule="auto"/>
        <w:ind w:firstLine="480" w:firstLineChars="200"/>
        <w:rPr>
          <w:rFonts w:hint="eastAsia" w:ascii="宋体" w:hAnsi="宋体"/>
          <w:highlight w:val="none"/>
        </w:rPr>
      </w:pPr>
      <w:r>
        <w:rPr>
          <w:rFonts w:hint="eastAsia" w:ascii="宋体" w:hAnsi="宋体"/>
          <w:highlight w:val="none"/>
        </w:rPr>
        <w:t>1、供应商需按本表格式填写，不得自行更改。</w:t>
      </w:r>
    </w:p>
    <w:p>
      <w:pPr>
        <w:spacing w:after="0" w:line="360" w:lineRule="auto"/>
        <w:ind w:firstLine="480" w:firstLineChars="200"/>
        <w:rPr>
          <w:rFonts w:hint="eastAsia" w:ascii="宋体" w:hAnsi="宋体"/>
          <w:b/>
          <w:bCs/>
          <w:highlight w:val="none"/>
        </w:rPr>
      </w:pPr>
      <w:r>
        <w:rPr>
          <w:rFonts w:hint="eastAsia" w:ascii="宋体" w:hAnsi="宋体"/>
          <w:highlight w:val="none"/>
        </w:rPr>
        <w:t>2、有关本项目实施所涉及的一切费用均计入报价。</w:t>
      </w:r>
      <w:r>
        <w:rPr>
          <w:rFonts w:hint="eastAsia" w:ascii="宋体" w:hAnsi="宋体"/>
          <w:b/>
          <w:bCs/>
          <w:highlight w:val="none"/>
        </w:rPr>
        <w:t>采购人将以合同形式有偿取得货物或服务，不接受供应商给予的赠品、回扣或者与采购无关的其他商品、服务，不得出现“0元”“免费赠送”等形式的无偿报价，否则视为投标文件含有采购人不能接受的附加条件的，投标无效。</w:t>
      </w:r>
    </w:p>
    <w:p>
      <w:pPr>
        <w:spacing w:after="0" w:line="360" w:lineRule="auto"/>
        <w:ind w:firstLine="480" w:firstLineChars="200"/>
        <w:rPr>
          <w:rFonts w:hint="eastAsia" w:ascii="宋体" w:hAnsi="宋体"/>
          <w:highlight w:val="none"/>
        </w:rPr>
      </w:pPr>
      <w:r>
        <w:rPr>
          <w:rFonts w:hint="eastAsia" w:ascii="宋体" w:hAnsi="宋体"/>
          <w:highlight w:val="none"/>
        </w:rPr>
        <w:t>3、以上表格要求细分项目及报价，在“规格型号（或具体服务）”一栏中，货物类项目填写规格型号，服务类项目填写具体服务。</w:t>
      </w:r>
    </w:p>
    <w:p>
      <w:pPr>
        <w:spacing w:after="0" w:line="360" w:lineRule="auto"/>
        <w:ind w:firstLine="480" w:firstLineChars="200"/>
        <w:rPr>
          <w:rFonts w:hint="eastAsia" w:ascii="宋体" w:hAnsi="宋体"/>
          <w:highlight w:val="none"/>
        </w:rPr>
      </w:pPr>
      <w:r>
        <w:rPr>
          <w:rFonts w:hint="eastAsia" w:ascii="宋体" w:hAnsi="宋体"/>
          <w:highlight w:val="none"/>
        </w:rPr>
        <w:t>4、特别提示：采购代理机构将对项目名称和项目编号，中标供应商名称、地址和中标金额，主要中标标的的名称、规格型号、数量、单价、服务要求等予以公示。</w:t>
      </w:r>
    </w:p>
    <w:p>
      <w:pPr>
        <w:spacing w:after="0" w:line="360" w:lineRule="auto"/>
        <w:ind w:firstLine="480" w:firstLineChars="200"/>
        <w:rPr>
          <w:rFonts w:hint="eastAsia" w:ascii="宋体" w:hAnsi="宋体"/>
          <w:highlight w:val="none"/>
        </w:rPr>
      </w:pPr>
      <w:r>
        <w:rPr>
          <w:rFonts w:hint="eastAsia" w:ascii="宋体" w:hAnsi="宋体"/>
          <w:highlight w:val="none"/>
        </w:rPr>
        <w:t>5、符合招标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pPr>
        <w:spacing w:after="0" w:line="360" w:lineRule="auto"/>
        <w:rPr>
          <w:rFonts w:hint="eastAsia" w:ascii="宋体" w:hAnsi="宋体"/>
          <w:highlight w:val="none"/>
        </w:rPr>
      </w:pPr>
      <w:r>
        <w:rPr>
          <w:rFonts w:hint="eastAsia" w:ascii="宋体" w:hAnsi="宋体"/>
          <w:highlight w:val="none"/>
        </w:rPr>
        <w:t xml:space="preserve">   </w:t>
      </w:r>
    </w:p>
    <w:p>
      <w:pPr>
        <w:spacing w:after="0" w:line="360" w:lineRule="auto"/>
        <w:jc w:val="right"/>
        <w:rPr>
          <w:rFonts w:hint="eastAsia" w:ascii="宋体" w:hAnsi="宋体"/>
          <w:highlight w:val="none"/>
        </w:rPr>
      </w:pPr>
      <w:r>
        <w:rPr>
          <w:rFonts w:hint="eastAsia" w:ascii="宋体" w:hAnsi="宋体"/>
          <w:highlight w:val="none"/>
        </w:rPr>
        <w:t>供应商名称（公章）：      　　　　　　　　　　　　　</w:t>
      </w:r>
    </w:p>
    <w:p>
      <w:pPr>
        <w:spacing w:after="0" w:line="360" w:lineRule="auto"/>
        <w:jc w:val="right"/>
        <w:rPr>
          <w:rFonts w:hint="eastAsia" w:ascii="宋体" w:hAnsi="宋体"/>
          <w:highlight w:val="none"/>
        </w:rPr>
      </w:pPr>
      <w:r>
        <w:rPr>
          <w:rFonts w:hint="eastAsia" w:ascii="宋体" w:hAnsi="宋体"/>
          <w:highlight w:val="none"/>
        </w:rPr>
        <w:t>日期：    年  月  日</w:t>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br w:type="page"/>
      </w:r>
      <w:r>
        <w:rPr>
          <w:rFonts w:hint="eastAsia" w:ascii="宋体" w:hAnsi="宋体"/>
          <w:b/>
          <w:bCs/>
          <w:sz w:val="30"/>
          <w:szCs w:val="30"/>
          <w:highlight w:val="none"/>
        </w:rPr>
        <w:t>二、报价情况说明（如果有）</w:t>
      </w:r>
    </w:p>
    <w:p>
      <w:pPr>
        <w:spacing w:line="360" w:lineRule="auto"/>
        <w:rPr>
          <w:rFonts w:hint="eastAsia" w:ascii="宋体" w:hAnsi="宋体"/>
          <w:b/>
          <w:bCs/>
          <w:highlight w:val="none"/>
        </w:rPr>
      </w:pPr>
      <w:r>
        <w:rPr>
          <w:rFonts w:hint="eastAsia" w:ascii="宋体" w:hAnsi="宋体"/>
          <w:b/>
          <w:bCs/>
          <w:highlight w:val="none"/>
        </w:rPr>
        <w:t>【投标（响应）报价低于采购项目最高限价</w:t>
      </w:r>
      <w:r>
        <w:rPr>
          <w:rFonts w:ascii="宋体" w:hAnsi="宋体"/>
          <w:b/>
          <w:bCs/>
          <w:highlight w:val="none"/>
        </w:rPr>
        <w:t>6</w:t>
      </w:r>
      <w:r>
        <w:rPr>
          <w:rFonts w:hint="eastAsia" w:ascii="宋体" w:hAnsi="宋体"/>
          <w:b/>
          <w:bCs/>
          <w:highlight w:val="none"/>
        </w:rPr>
        <w:t>5%的，即投标（响应）报价&lt;采购项目最高限价×</w:t>
      </w:r>
      <w:r>
        <w:rPr>
          <w:rFonts w:ascii="宋体" w:hAnsi="宋体"/>
          <w:b/>
          <w:bCs/>
          <w:highlight w:val="none"/>
        </w:rPr>
        <w:t>6</w:t>
      </w:r>
      <w:r>
        <w:rPr>
          <w:rFonts w:hint="eastAsia" w:ascii="宋体" w:hAnsi="宋体"/>
          <w:b/>
          <w:bCs/>
          <w:highlight w:val="none"/>
        </w:rPr>
        <w:t>5%；供应商应当随投标文件一并提交相关书面说明及必要的证明材料，如不提供的，投标无效。格式自拟。】</w:t>
      </w:r>
    </w:p>
    <w:p>
      <w:pPr>
        <w:spacing w:line="360" w:lineRule="auto"/>
        <w:rPr>
          <w:rFonts w:hint="eastAsia" w:ascii="宋体" w:hAnsi="宋体"/>
          <w:b/>
          <w:bCs/>
          <w:highlight w:val="none"/>
        </w:rPr>
      </w:pP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三、中小企业声明函</w:t>
      </w:r>
    </w:p>
    <w:p>
      <w:pPr>
        <w:spacing w:line="360" w:lineRule="auto"/>
        <w:rPr>
          <w:rFonts w:hint="eastAsia" w:ascii="宋体" w:hAnsi="宋体"/>
          <w:b/>
          <w:bCs/>
          <w:highlight w:val="none"/>
        </w:rPr>
      </w:pPr>
      <w:r>
        <w:rPr>
          <w:rFonts w:hint="eastAsia" w:ascii="宋体" w:hAnsi="宋体"/>
          <w:b/>
          <w:bCs/>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w:t>
      </w:r>
    </w:p>
    <w:p>
      <w:pPr>
        <w:spacing w:line="360" w:lineRule="auto"/>
        <w:rPr>
          <w:highlight w:val="none"/>
        </w:rPr>
      </w:pPr>
    </w:p>
    <w:p>
      <w:pPr>
        <w:spacing w:line="360" w:lineRule="auto"/>
        <w:rPr>
          <w:highlight w:val="none"/>
        </w:rPr>
      </w:pPr>
    </w:p>
    <w:p>
      <w:pPr>
        <w:spacing w:line="360" w:lineRule="auto"/>
        <w:rPr>
          <w:highlight w:val="none"/>
        </w:rPr>
      </w:pP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四</w:t>
      </w:r>
      <w:r>
        <w:rPr>
          <w:rFonts w:ascii="宋体" w:hAnsi="宋体"/>
          <w:b/>
          <w:bCs/>
          <w:sz w:val="30"/>
          <w:szCs w:val="30"/>
          <w:highlight w:val="none"/>
        </w:rPr>
        <w:t>、关于符合本国产品标准的声明函</w:t>
      </w:r>
      <w:r>
        <w:rPr>
          <w:rFonts w:hint="eastAsia" w:ascii="宋体" w:hAnsi="宋体"/>
          <w:b/>
          <w:bCs/>
          <w:sz w:val="30"/>
          <w:szCs w:val="30"/>
          <w:highlight w:val="none"/>
        </w:rPr>
        <w:t>或有关证明文件（如果有</w:t>
      </w:r>
      <w:r>
        <w:rPr>
          <w:rFonts w:ascii="宋体" w:hAnsi="宋体"/>
          <w:b/>
          <w:bCs/>
          <w:sz w:val="30"/>
          <w:szCs w:val="30"/>
          <w:highlight w:val="none"/>
        </w:rPr>
        <w:t>）</w:t>
      </w:r>
    </w:p>
    <w:p>
      <w:pPr>
        <w:spacing w:line="360" w:lineRule="auto"/>
        <w:rPr>
          <w:rFonts w:hint="eastAsia" w:ascii="宋体" w:hAnsi="宋体"/>
          <w:b/>
          <w:bCs/>
          <w:highlight w:val="none"/>
        </w:rPr>
      </w:pPr>
      <w:r>
        <w:rPr>
          <w:rFonts w:hint="eastAsia" w:ascii="宋体" w:hAnsi="宋体"/>
          <w:b/>
          <w:bCs/>
          <w:highlight w:val="none"/>
          <w:lang w:val="zh-CN"/>
        </w:rPr>
        <w:t>（</w:t>
      </w:r>
      <w:r>
        <w:rPr>
          <w:rFonts w:ascii="宋体" w:hAnsi="宋体"/>
          <w:b/>
          <w:bCs/>
          <w:highlight w:val="none"/>
          <w:lang w:val="zh-CN"/>
        </w:rPr>
        <w:t>符合</w:t>
      </w:r>
      <w:r>
        <w:rPr>
          <w:rFonts w:hint="eastAsia" w:ascii="宋体" w:hAnsi="宋体"/>
          <w:b/>
          <w:bCs/>
          <w:highlight w:val="none"/>
          <w:lang w:val="zh-CN"/>
        </w:rPr>
        <w:t>《国务院办公厅关于在政府采购中实施本国产品标准及相关政策的通知》</w:t>
      </w:r>
      <w:r>
        <w:rPr>
          <w:rFonts w:hint="eastAsia" w:ascii="宋体" w:hAnsi="宋体"/>
          <w:b/>
          <w:bCs/>
          <w:highlight w:val="none"/>
        </w:rPr>
        <w:t>要求</w:t>
      </w:r>
      <w:r>
        <w:rPr>
          <w:rFonts w:ascii="宋体" w:hAnsi="宋体"/>
          <w:b/>
          <w:bCs/>
          <w:highlight w:val="none"/>
          <w:lang w:val="zh-CN"/>
        </w:rPr>
        <w:t>的</w:t>
      </w:r>
      <w:r>
        <w:rPr>
          <w:rFonts w:hint="eastAsia" w:ascii="宋体" w:hAnsi="宋体"/>
          <w:b/>
          <w:bCs/>
          <w:highlight w:val="none"/>
        </w:rPr>
        <w:t>本国产品</w:t>
      </w:r>
      <w:r>
        <w:rPr>
          <w:rFonts w:ascii="宋体" w:hAnsi="宋体"/>
          <w:b/>
          <w:bCs/>
          <w:highlight w:val="none"/>
          <w:lang w:val="zh-CN"/>
        </w:rPr>
        <w:t>，</w:t>
      </w:r>
      <w:r>
        <w:rPr>
          <w:rFonts w:hint="eastAsia" w:ascii="宋体" w:hAnsi="宋体"/>
          <w:b/>
          <w:bCs/>
          <w:highlight w:val="none"/>
        </w:rPr>
        <w:t>拟享受价格扣除政策的，需提供</w:t>
      </w:r>
      <w:r>
        <w:rPr>
          <w:rFonts w:ascii="宋体" w:hAnsi="宋体"/>
          <w:b/>
          <w:bCs/>
          <w:highlight w:val="none"/>
          <w:lang w:val="zh-CN"/>
        </w:rPr>
        <w:t>《关于符合本国产品标准的声明函》(附件</w:t>
      </w:r>
      <w:r>
        <w:rPr>
          <w:rFonts w:hint="eastAsia" w:ascii="宋体" w:hAnsi="宋体"/>
          <w:b/>
          <w:bCs/>
          <w:highlight w:val="none"/>
        </w:rPr>
        <w:t>5</w:t>
      </w:r>
      <w:r>
        <w:rPr>
          <w:rFonts w:ascii="宋体" w:hAnsi="宋体"/>
          <w:b/>
          <w:bCs/>
          <w:highlight w:val="none"/>
          <w:lang w:val="zh-CN"/>
        </w:rPr>
        <w:t>)或有关证明文件。</w:t>
      </w:r>
      <w:r>
        <w:rPr>
          <w:rFonts w:hint="eastAsia" w:ascii="宋体" w:hAnsi="宋体"/>
          <w:b/>
          <w:bCs/>
          <w:highlight w:val="none"/>
          <w:lang w:val="zh-CN"/>
        </w:rPr>
        <w:t>）</w:t>
      </w:r>
    </w:p>
    <w:p>
      <w:pPr>
        <w:widowControl/>
        <w:adjustRightInd w:val="0"/>
        <w:spacing w:line="360" w:lineRule="auto"/>
        <w:ind w:firstLine="160" w:firstLineChars="50"/>
        <w:jc w:val="center"/>
        <w:rPr>
          <w:rFonts w:hint="eastAsia" w:ascii="仿宋" w:hAnsi="仿宋" w:eastAsia="仿宋" w:cs="仿宋"/>
          <w:b/>
          <w:bCs/>
          <w:sz w:val="32"/>
          <w:szCs w:val="32"/>
          <w:highlight w:val="none"/>
        </w:rPr>
      </w:pPr>
    </w:p>
    <w:p>
      <w:pPr>
        <w:spacing w:line="360" w:lineRule="auto"/>
        <w:jc w:val="center"/>
        <w:rPr>
          <w:rFonts w:hint="eastAsia" w:ascii="宋体" w:hAnsi="宋体"/>
          <w:highlight w:val="none"/>
        </w:rPr>
      </w:pPr>
      <w:r>
        <w:rPr>
          <w:rFonts w:hint="eastAsia" w:ascii="宋体" w:hAnsi="宋体"/>
          <w:highlight w:val="none"/>
        </w:rPr>
        <w:br w:type="page"/>
      </w:r>
      <w:r>
        <w:rPr>
          <w:rFonts w:hint="eastAsia" w:ascii="宋体" w:hAnsi="宋体"/>
          <w:b/>
          <w:bCs/>
          <w:sz w:val="48"/>
          <w:szCs w:val="48"/>
          <w:highlight w:val="none"/>
        </w:rPr>
        <w:t>附件</w:t>
      </w:r>
    </w:p>
    <w:p>
      <w:pPr>
        <w:spacing w:line="360" w:lineRule="auto"/>
        <w:jc w:val="left"/>
        <w:rPr>
          <w:rFonts w:hint="eastAsia" w:ascii="宋体" w:hAnsi="宋体"/>
          <w:sz w:val="28"/>
          <w:szCs w:val="28"/>
          <w:highlight w:val="none"/>
        </w:rPr>
      </w:pPr>
      <w:r>
        <w:rPr>
          <w:rFonts w:hint="eastAsia" w:ascii="宋体" w:hAnsi="宋体"/>
          <w:sz w:val="28"/>
          <w:szCs w:val="28"/>
          <w:highlight w:val="none"/>
        </w:rPr>
        <w:t>附件1：</w:t>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中小企业声明函</w:t>
      </w:r>
    </w:p>
    <w:p>
      <w:pPr>
        <w:spacing w:line="360" w:lineRule="auto"/>
        <w:ind w:firstLine="480" w:firstLineChars="200"/>
        <w:rPr>
          <w:rFonts w:hint="eastAsia" w:ascii="宋体" w:hAnsi="宋体"/>
          <w:highlight w:val="none"/>
        </w:rPr>
      </w:pPr>
      <w:r>
        <w:rPr>
          <w:rFonts w:hint="eastAsia" w:ascii="宋体" w:hAnsi="宋体"/>
          <w:highlight w:val="none"/>
        </w:rPr>
        <w:t>本公司郑重声明，根据《政府采购促进中小企业发展管理办法》（财库〔2020〕46 号）的规定，本公司参加</w:t>
      </w:r>
      <w:r>
        <w:rPr>
          <w:rFonts w:hint="eastAsia" w:ascii="宋体" w:hAnsi="宋体"/>
          <w:highlight w:val="none"/>
          <w:u w:val="single"/>
        </w:rPr>
        <w:t>（单位名称）的（项目名称）</w:t>
      </w:r>
      <w:r>
        <w:rPr>
          <w:rFonts w:hint="eastAsia" w:ascii="宋体" w:hAnsi="宋体"/>
          <w:highlight w:val="none"/>
        </w:rPr>
        <w:t>采购活动，提供的货物全部由符合政策要求的中小企业制造。相关企业的具体情况如下：</w:t>
      </w:r>
    </w:p>
    <w:p>
      <w:pPr>
        <w:spacing w:line="360" w:lineRule="auto"/>
        <w:ind w:firstLine="480" w:firstLineChars="200"/>
        <w:rPr>
          <w:rFonts w:hint="eastAsia" w:ascii="宋体" w:hAnsi="宋体"/>
          <w:highlight w:val="none"/>
        </w:rPr>
      </w:pPr>
      <w:r>
        <w:rPr>
          <w:rFonts w:hint="eastAsia" w:ascii="宋体" w:hAnsi="宋体"/>
          <w:highlight w:val="none"/>
        </w:rPr>
        <w:t>1.</w:t>
      </w:r>
      <w:r>
        <w:rPr>
          <w:rFonts w:hint="eastAsia" w:ascii="宋体" w:hAnsi="宋体"/>
          <w:highlight w:val="none"/>
          <w:u w:val="single"/>
        </w:rPr>
        <w:t>（标的名称）</w:t>
      </w:r>
      <w:r>
        <w:rPr>
          <w:rFonts w:hint="eastAsia" w:ascii="宋体" w:hAnsi="宋体"/>
          <w:highlight w:val="none"/>
        </w:rPr>
        <w:t>，属于</w:t>
      </w:r>
      <w:r>
        <w:rPr>
          <w:rFonts w:hint="eastAsia" w:ascii="宋体" w:hAnsi="宋体"/>
          <w:highlight w:val="none"/>
          <w:u w:val="single"/>
        </w:rPr>
        <w:t>（招标文件中明确所属行业）</w:t>
      </w:r>
      <w:r>
        <w:rPr>
          <w:rFonts w:hint="eastAsia" w:ascii="宋体" w:hAnsi="宋体"/>
          <w:highlight w:val="none"/>
        </w:rPr>
        <w:t>制造商为</w:t>
      </w:r>
      <w:r>
        <w:rPr>
          <w:rFonts w:hint="eastAsia" w:ascii="宋体" w:hAnsi="宋体"/>
          <w:highlight w:val="none"/>
          <w:u w:val="single"/>
        </w:rPr>
        <w:t>（企业名称）</w:t>
      </w:r>
      <w:r>
        <w:rPr>
          <w:rFonts w:hint="eastAsia" w:ascii="宋体" w:hAnsi="宋体"/>
          <w:highlight w:val="none"/>
        </w:rPr>
        <w:t>从业人员</w:t>
      </w:r>
      <w:r>
        <w:rPr>
          <w:rFonts w:hint="eastAsia" w:ascii="宋体" w:hAnsi="宋体"/>
          <w:highlight w:val="none"/>
          <w:u w:val="single"/>
        </w:rPr>
        <w:t xml:space="preserve">   </w:t>
      </w:r>
      <w:r>
        <w:rPr>
          <w:rFonts w:hint="eastAsia" w:ascii="宋体" w:hAnsi="宋体"/>
          <w:highlight w:val="none"/>
          <w:u w:val="single"/>
        </w:rPr>
        <w:tab/>
      </w:r>
      <w:r>
        <w:rPr>
          <w:rFonts w:hint="eastAsia" w:ascii="宋体" w:hAnsi="宋体"/>
          <w:highlight w:val="none"/>
        </w:rPr>
        <w:t>人，营业收入为</w:t>
      </w:r>
      <w:r>
        <w:rPr>
          <w:rFonts w:hint="eastAsia" w:ascii="宋体" w:hAnsi="宋体"/>
          <w:highlight w:val="none"/>
          <w:u w:val="single"/>
        </w:rPr>
        <w:t xml:space="preserve">   </w:t>
      </w:r>
      <w:r>
        <w:rPr>
          <w:rFonts w:hint="eastAsia" w:ascii="宋体" w:hAnsi="宋体"/>
          <w:highlight w:val="none"/>
          <w:u w:val="single"/>
        </w:rPr>
        <w:tab/>
      </w:r>
      <w:r>
        <w:rPr>
          <w:rFonts w:hint="eastAsia" w:ascii="宋体" w:hAnsi="宋体"/>
          <w:highlight w:val="none"/>
        </w:rPr>
        <w:t>万元，资产总额为</w:t>
      </w:r>
      <w:r>
        <w:rPr>
          <w:rFonts w:hint="eastAsia" w:ascii="宋体" w:hAnsi="宋体"/>
          <w:highlight w:val="none"/>
          <w:u w:val="single"/>
        </w:rPr>
        <w:t xml:space="preserve">   </w:t>
      </w:r>
      <w:r>
        <w:rPr>
          <w:rFonts w:hint="eastAsia" w:ascii="宋体" w:hAnsi="宋体"/>
          <w:highlight w:val="none"/>
          <w:u w:val="single"/>
        </w:rPr>
        <w:tab/>
      </w:r>
      <w:r>
        <w:rPr>
          <w:rFonts w:hint="eastAsia" w:ascii="宋体" w:hAnsi="宋体"/>
          <w:highlight w:val="none"/>
        </w:rPr>
        <w:t>万元，属于（</w:t>
      </w:r>
      <w:r>
        <w:rPr>
          <w:rFonts w:hint="eastAsia" w:ascii="宋体" w:hAnsi="宋体"/>
          <w:highlight w:val="none"/>
        </w:rPr>
        <w:sym w:font="Wingdings" w:char="00A8"/>
      </w:r>
      <w:r>
        <w:rPr>
          <w:rFonts w:hint="eastAsia" w:ascii="宋体" w:hAnsi="宋体"/>
          <w:highlight w:val="none"/>
          <w:u w:val="single"/>
        </w:rPr>
        <w:t>中型企业</w:t>
      </w:r>
      <w:r>
        <w:rPr>
          <w:rFonts w:hint="eastAsia" w:ascii="宋体" w:hAnsi="宋体"/>
          <w:highlight w:val="none"/>
        </w:rPr>
        <w:t>、</w:t>
      </w:r>
      <w:r>
        <w:rPr>
          <w:rFonts w:hint="eastAsia" w:ascii="宋体" w:hAnsi="宋体"/>
          <w:highlight w:val="none"/>
        </w:rPr>
        <w:sym w:font="Wingdings" w:char="00A8"/>
      </w:r>
      <w:r>
        <w:rPr>
          <w:rFonts w:hint="eastAsia" w:ascii="宋体" w:hAnsi="宋体"/>
          <w:highlight w:val="none"/>
          <w:u w:val="single"/>
        </w:rPr>
        <w:t>小型企业</w:t>
      </w:r>
      <w:r>
        <w:rPr>
          <w:rFonts w:hint="eastAsia" w:ascii="宋体" w:hAnsi="宋体"/>
          <w:highlight w:val="none"/>
        </w:rPr>
        <w:t>、</w:t>
      </w:r>
      <w:r>
        <w:rPr>
          <w:rFonts w:hint="eastAsia" w:ascii="宋体" w:hAnsi="宋体"/>
          <w:highlight w:val="none"/>
        </w:rPr>
        <w:sym w:font="Wingdings" w:char="00A8"/>
      </w:r>
      <w:r>
        <w:rPr>
          <w:rFonts w:hint="eastAsia" w:ascii="宋体" w:hAnsi="宋体"/>
          <w:highlight w:val="none"/>
          <w:u w:val="single"/>
        </w:rPr>
        <w:t>微型企业</w:t>
      </w: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2.</w:t>
      </w:r>
      <w:r>
        <w:rPr>
          <w:rFonts w:hint="eastAsia" w:ascii="宋体" w:hAnsi="宋体"/>
          <w:highlight w:val="none"/>
          <w:u w:val="single"/>
        </w:rPr>
        <w:t>（标的名称）</w:t>
      </w:r>
      <w:r>
        <w:rPr>
          <w:rFonts w:hint="eastAsia" w:ascii="宋体" w:hAnsi="宋体"/>
          <w:highlight w:val="none"/>
        </w:rPr>
        <w:t>，属于</w:t>
      </w:r>
      <w:r>
        <w:rPr>
          <w:rFonts w:hint="eastAsia" w:ascii="宋体" w:hAnsi="宋体"/>
          <w:highlight w:val="none"/>
          <w:u w:val="single"/>
        </w:rPr>
        <w:t>（招标文件中明确所属行业）</w:t>
      </w:r>
      <w:r>
        <w:rPr>
          <w:rFonts w:hint="eastAsia" w:ascii="宋体" w:hAnsi="宋体"/>
          <w:highlight w:val="none"/>
        </w:rPr>
        <w:t>制造商为</w:t>
      </w:r>
      <w:r>
        <w:rPr>
          <w:rFonts w:hint="eastAsia" w:ascii="宋体" w:hAnsi="宋体"/>
          <w:highlight w:val="none"/>
          <w:u w:val="single"/>
        </w:rPr>
        <w:t>（企业名称）</w:t>
      </w:r>
      <w:r>
        <w:rPr>
          <w:rFonts w:hint="eastAsia" w:ascii="宋体" w:hAnsi="宋体"/>
          <w:highlight w:val="none"/>
        </w:rPr>
        <w:t>从业人员</w:t>
      </w:r>
      <w:r>
        <w:rPr>
          <w:rFonts w:hint="eastAsia" w:ascii="宋体" w:hAnsi="宋体"/>
          <w:highlight w:val="none"/>
          <w:u w:val="single"/>
        </w:rPr>
        <w:t xml:space="preserve">   </w:t>
      </w:r>
      <w:r>
        <w:rPr>
          <w:rFonts w:hint="eastAsia" w:ascii="宋体" w:hAnsi="宋体"/>
          <w:highlight w:val="none"/>
          <w:u w:val="single"/>
        </w:rPr>
        <w:tab/>
      </w:r>
      <w:r>
        <w:rPr>
          <w:rFonts w:hint="eastAsia" w:ascii="宋体" w:hAnsi="宋体"/>
          <w:highlight w:val="none"/>
        </w:rPr>
        <w:t>人，营业收入为</w:t>
      </w:r>
      <w:r>
        <w:rPr>
          <w:rFonts w:hint="eastAsia" w:ascii="宋体" w:hAnsi="宋体"/>
          <w:highlight w:val="none"/>
          <w:u w:val="single"/>
        </w:rPr>
        <w:t xml:space="preserve">   </w:t>
      </w:r>
      <w:r>
        <w:rPr>
          <w:rFonts w:hint="eastAsia" w:ascii="宋体" w:hAnsi="宋体"/>
          <w:highlight w:val="none"/>
          <w:u w:val="single"/>
        </w:rPr>
        <w:tab/>
      </w:r>
      <w:r>
        <w:rPr>
          <w:rFonts w:hint="eastAsia" w:ascii="宋体" w:hAnsi="宋体"/>
          <w:highlight w:val="none"/>
        </w:rPr>
        <w:t>万元，资产总额为</w:t>
      </w:r>
      <w:r>
        <w:rPr>
          <w:rFonts w:hint="eastAsia" w:ascii="宋体" w:hAnsi="宋体"/>
          <w:highlight w:val="none"/>
          <w:u w:val="single"/>
        </w:rPr>
        <w:t xml:space="preserve">   </w:t>
      </w:r>
      <w:r>
        <w:rPr>
          <w:rFonts w:hint="eastAsia" w:ascii="宋体" w:hAnsi="宋体"/>
          <w:highlight w:val="none"/>
          <w:u w:val="single"/>
        </w:rPr>
        <w:tab/>
      </w:r>
      <w:r>
        <w:rPr>
          <w:rFonts w:hint="eastAsia" w:ascii="宋体" w:hAnsi="宋体"/>
          <w:highlight w:val="none"/>
        </w:rPr>
        <w:t>万元，属于（</w:t>
      </w:r>
      <w:r>
        <w:rPr>
          <w:rFonts w:hint="eastAsia" w:ascii="宋体" w:hAnsi="宋体"/>
          <w:highlight w:val="none"/>
        </w:rPr>
        <w:sym w:font="Wingdings" w:char="00A8"/>
      </w:r>
      <w:r>
        <w:rPr>
          <w:rFonts w:hint="eastAsia" w:ascii="宋体" w:hAnsi="宋体"/>
          <w:highlight w:val="none"/>
          <w:u w:val="single"/>
        </w:rPr>
        <w:t>中型企业</w:t>
      </w:r>
      <w:r>
        <w:rPr>
          <w:rFonts w:hint="eastAsia" w:ascii="宋体" w:hAnsi="宋体"/>
          <w:highlight w:val="none"/>
        </w:rPr>
        <w:t>、</w:t>
      </w:r>
      <w:r>
        <w:rPr>
          <w:rFonts w:hint="eastAsia" w:ascii="宋体" w:hAnsi="宋体"/>
          <w:highlight w:val="none"/>
        </w:rPr>
        <w:sym w:font="Wingdings" w:char="00A8"/>
      </w:r>
      <w:r>
        <w:rPr>
          <w:rFonts w:hint="eastAsia" w:ascii="宋体" w:hAnsi="宋体"/>
          <w:highlight w:val="none"/>
          <w:u w:val="single"/>
        </w:rPr>
        <w:t>小型企业</w:t>
      </w:r>
      <w:r>
        <w:rPr>
          <w:rFonts w:hint="eastAsia" w:ascii="宋体" w:hAnsi="宋体"/>
          <w:highlight w:val="none"/>
        </w:rPr>
        <w:t>、</w:t>
      </w:r>
      <w:r>
        <w:rPr>
          <w:rFonts w:hint="eastAsia" w:ascii="宋体" w:hAnsi="宋体"/>
          <w:highlight w:val="none"/>
        </w:rPr>
        <w:sym w:font="Wingdings" w:char="00A8"/>
      </w:r>
      <w:r>
        <w:rPr>
          <w:rFonts w:hint="eastAsia" w:ascii="宋体" w:hAnsi="宋体"/>
          <w:highlight w:val="none"/>
          <w:u w:val="single"/>
        </w:rPr>
        <w:t>微型企业</w:t>
      </w: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w:t>
      </w:r>
    </w:p>
    <w:p>
      <w:pPr>
        <w:spacing w:line="360" w:lineRule="auto"/>
        <w:ind w:firstLine="480" w:firstLineChars="200"/>
        <w:rPr>
          <w:rFonts w:hint="eastAsia" w:ascii="宋体" w:hAnsi="宋体"/>
          <w:highlight w:val="none"/>
        </w:rPr>
      </w:pPr>
      <w:r>
        <w:rPr>
          <w:rFonts w:hint="eastAsia" w:ascii="宋体" w:hAnsi="宋体"/>
          <w:highlight w:val="none"/>
        </w:rPr>
        <w:t>以上企业，不属于大企业的分支机构，不存在控股股东为大企业的情形，也不存在与大企业的负责人为同一人的情形。</w:t>
      </w:r>
    </w:p>
    <w:p>
      <w:pPr>
        <w:spacing w:line="360" w:lineRule="auto"/>
        <w:ind w:firstLine="480" w:firstLineChars="200"/>
        <w:rPr>
          <w:rFonts w:hint="eastAsia" w:ascii="宋体" w:hAnsi="宋体"/>
          <w:highlight w:val="none"/>
        </w:rPr>
      </w:pPr>
      <w:r>
        <w:rPr>
          <w:rFonts w:hint="eastAsia" w:ascii="宋体" w:hAnsi="宋体"/>
          <w:highlight w:val="none"/>
        </w:rPr>
        <w:t>本企业对上述声明内容的真实性负责。如有虚假，将依法承担相应责任。</w:t>
      </w:r>
    </w:p>
    <w:p>
      <w:pPr>
        <w:spacing w:line="360" w:lineRule="auto"/>
        <w:rPr>
          <w:rFonts w:hint="eastAsia" w:ascii="宋体" w:hAnsi="宋体"/>
          <w:highlight w:val="none"/>
        </w:rPr>
      </w:pPr>
      <w:r>
        <w:rPr>
          <w:rFonts w:hint="eastAsia" w:ascii="宋体" w:hAnsi="宋体"/>
          <w:highlight w:val="none"/>
        </w:rPr>
        <w:t xml:space="preserve">                          </w:t>
      </w: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spacing w:line="360" w:lineRule="auto"/>
        <w:rPr>
          <w:rFonts w:hint="eastAsia" w:ascii="宋体" w:hAnsi="宋体"/>
          <w:b/>
          <w:bCs/>
          <w:highlight w:val="none"/>
        </w:rPr>
      </w:pPr>
    </w:p>
    <w:p>
      <w:pPr>
        <w:spacing w:line="360" w:lineRule="auto"/>
        <w:ind w:firstLine="481" w:firstLineChars="200"/>
        <w:rPr>
          <w:rFonts w:hint="eastAsia" w:ascii="宋体" w:hAnsi="宋体"/>
          <w:b/>
          <w:bCs/>
          <w:highlight w:val="none"/>
        </w:rPr>
      </w:pPr>
      <w:r>
        <w:rPr>
          <w:rFonts w:hint="eastAsia" w:ascii="宋体" w:hAnsi="宋体"/>
          <w:b/>
          <w:bCs/>
          <w:highlight w:val="none"/>
        </w:rPr>
        <w:t>注：</w:t>
      </w:r>
    </w:p>
    <w:p>
      <w:pPr>
        <w:spacing w:line="360" w:lineRule="auto"/>
        <w:ind w:firstLine="480" w:firstLineChars="200"/>
        <w:rPr>
          <w:rFonts w:hint="eastAsia" w:ascii="宋体" w:hAnsi="宋体"/>
          <w:highlight w:val="none"/>
        </w:rPr>
      </w:pPr>
      <w:r>
        <w:rPr>
          <w:rFonts w:hint="eastAsia" w:ascii="宋体" w:hAnsi="宋体"/>
          <w:highlight w:val="none"/>
        </w:rPr>
        <w:t>1、填写要求：①“标的名称”、“采购文件中明确的所属行业”依据招标文件第三章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w:t>
      </w:r>
    </w:p>
    <w:p>
      <w:pPr>
        <w:spacing w:line="360" w:lineRule="auto"/>
        <w:ind w:firstLine="480" w:firstLineChars="200"/>
        <w:rPr>
          <w:rFonts w:hint="eastAsia" w:ascii="宋体" w:hAnsi="宋体"/>
          <w:highlight w:val="none"/>
        </w:rPr>
      </w:pPr>
      <w:r>
        <w:rPr>
          <w:rFonts w:hint="eastAsia" w:ascii="宋体" w:hAnsi="宋体"/>
          <w:highlight w:val="none"/>
        </w:rPr>
        <w:t>2、符合《关于促进残疾人就业政府采购政策的通知》（财库〔2017〕141号）规定的条件并提供《残疾人福利性单位声明函》附件4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pPr>
        <w:spacing w:line="360" w:lineRule="auto"/>
        <w:ind w:firstLine="480" w:firstLineChars="200"/>
        <w:rPr>
          <w:rFonts w:hint="eastAsia" w:ascii="宋体" w:hAnsi="宋体"/>
          <w:highlight w:val="none"/>
        </w:rPr>
      </w:pPr>
      <w:r>
        <w:rPr>
          <w:rFonts w:hint="eastAsia" w:ascii="宋体" w:hAnsi="宋体"/>
          <w:highlight w:val="none"/>
        </w:rPr>
        <w:t>3.根据实际情况，在（中型企业、小型企业、微型企业）处进行勾选。</w:t>
      </w:r>
    </w:p>
    <w:p>
      <w:pPr>
        <w:spacing w:line="360" w:lineRule="auto"/>
        <w:ind w:firstLine="480" w:firstLineChars="200"/>
        <w:rPr>
          <w:rFonts w:hint="eastAsia" w:ascii="宋体" w:hAnsi="宋体"/>
          <w:highlight w:val="none"/>
        </w:rPr>
      </w:pPr>
      <w:r>
        <w:rPr>
          <w:rFonts w:hint="eastAsia" w:ascii="宋体" w:hAnsi="宋体"/>
          <w:highlight w:val="none"/>
        </w:rPr>
        <w:t>4.联合体投标的，由联合体牵头方提供本表。</w:t>
      </w:r>
    </w:p>
    <w:p>
      <w:pPr>
        <w:spacing w:line="360" w:lineRule="auto"/>
        <w:rPr>
          <w:rFonts w:hint="eastAsia" w:ascii="宋体" w:hAnsi="宋体"/>
          <w:szCs w:val="21"/>
          <w:highlight w:val="none"/>
        </w:rPr>
      </w:pPr>
      <w:r>
        <w:rPr>
          <w:rFonts w:hint="eastAsia" w:ascii="宋体" w:hAnsi="宋体"/>
          <w:highlight w:val="none"/>
        </w:rPr>
        <w:br w:type="page"/>
      </w:r>
      <w:r>
        <w:rPr>
          <w:rFonts w:hint="eastAsia" w:ascii="宋体" w:hAnsi="宋体"/>
          <w:sz w:val="28"/>
          <w:szCs w:val="28"/>
          <w:highlight w:val="none"/>
        </w:rPr>
        <w:t>附件2：</w:t>
      </w:r>
    </w:p>
    <w:p>
      <w:pPr>
        <w:jc w:val="center"/>
        <w:rPr>
          <w:rFonts w:hint="eastAsia" w:ascii="宋体" w:hAnsi="宋体"/>
          <w:b/>
          <w:bCs/>
          <w:sz w:val="30"/>
          <w:szCs w:val="30"/>
          <w:highlight w:val="none"/>
        </w:rPr>
      </w:pPr>
      <w:r>
        <w:rPr>
          <w:rFonts w:hint="eastAsia" w:ascii="宋体" w:hAnsi="宋体"/>
          <w:b/>
          <w:bCs/>
          <w:sz w:val="30"/>
          <w:szCs w:val="30"/>
          <w:highlight w:val="none"/>
        </w:rPr>
        <w:t>联合协议</w:t>
      </w:r>
    </w:p>
    <w:p>
      <w:pPr>
        <w:rPr>
          <w:rFonts w:hint="eastAsia" w:ascii="宋体" w:hAnsi="宋体"/>
          <w:b/>
          <w:bCs/>
          <w:highlight w:val="none"/>
        </w:rPr>
      </w:pPr>
      <w:r>
        <w:rPr>
          <w:rFonts w:hint="eastAsia" w:ascii="宋体" w:hAnsi="宋体"/>
          <w:b/>
          <w:bCs/>
          <w:highlight w:val="none"/>
        </w:rPr>
        <w:t>【以联合体形式投标的，提供联合协议；本项目不接受联合体投标或者供应商不以联合体形式投标的，则不需要提供）】</w:t>
      </w:r>
    </w:p>
    <w:p>
      <w:pPr>
        <w:ind w:firstLine="480" w:firstLineChars="200"/>
        <w:rPr>
          <w:rFonts w:hint="eastAsia" w:ascii="宋体" w:hAnsi="宋体"/>
          <w:highlight w:val="none"/>
        </w:rPr>
      </w:pPr>
      <w:r>
        <w:rPr>
          <w:rFonts w:hint="eastAsia" w:ascii="宋体" w:hAnsi="宋体"/>
          <w:highlight w:val="none"/>
          <w:u w:val="single"/>
        </w:rPr>
        <w:t>（联合体所有成员名称）</w:t>
      </w:r>
      <w:r>
        <w:rPr>
          <w:rFonts w:hint="eastAsia" w:ascii="宋体" w:hAnsi="宋体"/>
          <w:highlight w:val="none"/>
        </w:rPr>
        <w:t>自愿组成一个联合体，以一个供应商的身份参加</w:t>
      </w:r>
      <w:r>
        <w:rPr>
          <w:rFonts w:hint="eastAsia" w:ascii="宋体" w:hAnsi="宋体"/>
          <w:highlight w:val="none"/>
          <w:u w:val="single"/>
        </w:rPr>
        <w:t>（项目名称）【项目编号】</w:t>
      </w:r>
      <w:r>
        <w:rPr>
          <w:rFonts w:hint="eastAsia" w:ascii="宋体" w:hAnsi="宋体"/>
          <w:highlight w:val="none"/>
        </w:rPr>
        <w:t xml:space="preserve">投标。 </w:t>
      </w:r>
    </w:p>
    <w:p>
      <w:pPr>
        <w:ind w:firstLine="480" w:firstLineChars="200"/>
        <w:rPr>
          <w:rFonts w:hint="eastAsia" w:ascii="宋体" w:hAnsi="宋体"/>
          <w:highlight w:val="none"/>
        </w:rPr>
      </w:pPr>
      <w:r>
        <w:rPr>
          <w:rFonts w:hint="eastAsia" w:ascii="宋体" w:hAnsi="宋体"/>
          <w:highlight w:val="none"/>
        </w:rPr>
        <w:t>一、各方一致决定，</w:t>
      </w:r>
      <w:r>
        <w:rPr>
          <w:rFonts w:hint="eastAsia" w:ascii="宋体" w:hAnsi="宋体"/>
          <w:highlight w:val="none"/>
          <w:u w:val="single"/>
        </w:rPr>
        <w:t>（某联合体成员名称）</w:t>
      </w:r>
      <w:r>
        <w:rPr>
          <w:rFonts w:hint="eastAsia" w:ascii="宋体" w:hAnsi="宋体"/>
          <w:highlight w:val="none"/>
        </w:rPr>
        <w:t>为联合体牵头人，代表所有联合体成员负责投标和合同实施阶段的主办、协调工作。</w:t>
      </w:r>
    </w:p>
    <w:p>
      <w:pPr>
        <w:ind w:firstLine="480" w:firstLineChars="200"/>
        <w:rPr>
          <w:rFonts w:hint="eastAsia" w:ascii="宋体" w:hAnsi="宋体"/>
          <w:highlight w:val="none"/>
        </w:rPr>
      </w:pPr>
      <w:r>
        <w:rPr>
          <w:rFonts w:hint="eastAsia" w:ascii="宋体" w:hAnsi="宋体"/>
          <w:highlight w:val="none"/>
        </w:rPr>
        <w:t>二、所有联合体成员各方签署授权书，授权书载明的授权代表根据招标文件规定及投标内容而对采购人、采购代理机构所作的任何合法承诺，包括书面澄清及相应等均对联合投标各方产生约束力。</w:t>
      </w:r>
    </w:p>
    <w:p>
      <w:pPr>
        <w:ind w:firstLine="480" w:firstLineChars="200"/>
        <w:rPr>
          <w:rFonts w:hint="eastAsia" w:ascii="宋体" w:hAnsi="宋体"/>
          <w:highlight w:val="none"/>
        </w:rPr>
      </w:pPr>
      <w:r>
        <w:rPr>
          <w:rFonts w:hint="eastAsia" w:ascii="宋体" w:hAnsi="宋体"/>
          <w:highlight w:val="none"/>
        </w:rPr>
        <w:t>三、本次联合投标中，分工如下：</w:t>
      </w:r>
      <w:r>
        <w:rPr>
          <w:rFonts w:hint="eastAsia" w:ascii="宋体" w:hAnsi="宋体"/>
          <w:highlight w:val="none"/>
          <w:u w:val="single"/>
        </w:rPr>
        <w:t>（联合体其中一方成员名称）</w:t>
      </w:r>
      <w:r>
        <w:rPr>
          <w:rFonts w:hint="eastAsia" w:ascii="宋体" w:hAnsi="宋体"/>
          <w:highlight w:val="none"/>
        </w:rPr>
        <w:t>承担的工作和义务为：</w:t>
      </w:r>
      <w:r>
        <w:rPr>
          <w:rFonts w:hint="eastAsia" w:ascii="宋体" w:hAnsi="宋体"/>
          <w:highlight w:val="none"/>
          <w:u w:val="single"/>
        </w:rPr>
        <w:t xml:space="preserve">             </w:t>
      </w:r>
      <w:r>
        <w:rPr>
          <w:rFonts w:hint="eastAsia" w:ascii="宋体" w:hAnsi="宋体"/>
          <w:highlight w:val="none"/>
        </w:rPr>
        <w:t>；……。</w:t>
      </w:r>
    </w:p>
    <w:p>
      <w:pPr>
        <w:ind w:firstLine="480" w:firstLineChars="200"/>
        <w:rPr>
          <w:rFonts w:hint="eastAsia" w:ascii="宋体" w:hAnsi="宋体"/>
          <w:b/>
          <w:bCs/>
          <w:highlight w:val="none"/>
        </w:rPr>
      </w:pPr>
      <w:r>
        <w:rPr>
          <w:rFonts w:hint="eastAsia" w:ascii="宋体" w:hAnsi="宋体"/>
          <w:highlight w:val="none"/>
        </w:rPr>
        <w:t>四、</w:t>
      </w:r>
      <w:r>
        <w:rPr>
          <w:rFonts w:hint="eastAsia" w:ascii="宋体" w:hAnsi="宋体"/>
          <w:highlight w:val="none"/>
          <w:u w:val="single"/>
        </w:rPr>
        <w:t>（联合体其中一方成员名称）</w:t>
      </w:r>
      <w:r>
        <w:rPr>
          <w:rFonts w:hint="eastAsia" w:ascii="宋体" w:hAnsi="宋体"/>
          <w:highlight w:val="none"/>
        </w:rPr>
        <w:t>提供的全部货物或服务均由中小企业制造或承接，其合同份额占到合同总金额</w:t>
      </w:r>
      <w:r>
        <w:rPr>
          <w:rFonts w:hint="eastAsia" w:ascii="宋体" w:hAnsi="宋体"/>
          <w:highlight w:val="none"/>
          <w:u w:val="single"/>
        </w:rPr>
        <w:t xml:space="preserve">     </w:t>
      </w:r>
      <w:r>
        <w:rPr>
          <w:rFonts w:hint="eastAsia" w:ascii="宋体" w:hAnsi="宋体"/>
          <w:highlight w:val="none"/>
        </w:rPr>
        <w:t>%以上；……。</w:t>
      </w:r>
      <w:r>
        <w:rPr>
          <w:rFonts w:hint="eastAsia" w:ascii="宋体" w:hAnsi="宋体"/>
          <w:b/>
          <w:bCs/>
          <w:highlight w:val="none"/>
        </w:rPr>
        <w:t>（未预留份额专门面向中小企业采购的的采购项目，以及预留份额中的非预留部分采购包，接受联合体投标的，联合协议约定小微企业的合同份额占到合同总金额30%以上的，对联合体报价给予6%的扣除）</w:t>
      </w:r>
    </w:p>
    <w:p>
      <w:pPr>
        <w:ind w:firstLine="480" w:firstLineChars="200"/>
        <w:rPr>
          <w:rFonts w:hint="eastAsia" w:ascii="宋体" w:hAnsi="宋体"/>
          <w:highlight w:val="none"/>
        </w:rPr>
      </w:pPr>
      <w:r>
        <w:rPr>
          <w:rFonts w:hint="eastAsia" w:ascii="宋体" w:hAnsi="宋体"/>
          <w:highlight w:val="none"/>
        </w:rPr>
        <w:t>五、如果中标，联合体各成员方共同与采购人签订合同，并就采购合同约定的事项对采购人承担连带责任。</w:t>
      </w:r>
    </w:p>
    <w:p>
      <w:pPr>
        <w:ind w:firstLine="480" w:firstLineChars="200"/>
        <w:rPr>
          <w:rFonts w:hint="eastAsia" w:ascii="宋体" w:hAnsi="宋体"/>
          <w:highlight w:val="none"/>
        </w:rPr>
      </w:pPr>
      <w:r>
        <w:rPr>
          <w:rFonts w:hint="eastAsia" w:ascii="宋体" w:hAnsi="宋体"/>
          <w:highlight w:val="none"/>
        </w:rPr>
        <w:t>六、有关本次联合投标的其他事宜：</w:t>
      </w:r>
    </w:p>
    <w:p>
      <w:pPr>
        <w:ind w:firstLine="480" w:firstLineChars="200"/>
        <w:rPr>
          <w:rFonts w:hint="eastAsia" w:ascii="宋体" w:hAnsi="宋体"/>
          <w:highlight w:val="none"/>
        </w:rPr>
      </w:pPr>
      <w:r>
        <w:rPr>
          <w:rFonts w:hint="eastAsia" w:ascii="宋体" w:hAnsi="宋体"/>
          <w:highlight w:val="none"/>
        </w:rPr>
        <w:t>1、联合体各方不再单独参加或者与其他供应商另外组成联合体参加同一合同项下的政府采购活动。</w:t>
      </w:r>
    </w:p>
    <w:p>
      <w:pPr>
        <w:ind w:firstLine="480" w:firstLineChars="200"/>
        <w:rPr>
          <w:rFonts w:hint="eastAsia" w:ascii="宋体" w:hAnsi="宋体"/>
          <w:highlight w:val="none"/>
        </w:rPr>
      </w:pPr>
      <w:r>
        <w:rPr>
          <w:rFonts w:hint="eastAsia" w:ascii="宋体" w:hAnsi="宋体"/>
          <w:highlight w:val="none"/>
        </w:rPr>
        <w:t>2、联合体中有同类资质的各方按照联合体分工承担相同工作的，按照资质等级较低的供应商确定资质等级。</w:t>
      </w:r>
    </w:p>
    <w:p>
      <w:pPr>
        <w:ind w:firstLine="480" w:firstLineChars="200"/>
        <w:rPr>
          <w:rFonts w:hint="eastAsia" w:ascii="宋体" w:hAnsi="宋体"/>
          <w:highlight w:val="none"/>
        </w:rPr>
      </w:pPr>
      <w:r>
        <w:rPr>
          <w:rFonts w:hint="eastAsia" w:ascii="宋体" w:hAnsi="宋体"/>
          <w:highlight w:val="none"/>
        </w:rPr>
        <w:t>3、本协议提交采购人、采购代理机构后，联合体各方不得以任何形式对上述内容进行修改或撤销。</w:t>
      </w:r>
    </w:p>
    <w:p>
      <w:pPr>
        <w:rPr>
          <w:rFonts w:hint="eastAsia" w:ascii="宋体" w:hAnsi="宋体"/>
          <w:highlight w:val="none"/>
        </w:rPr>
      </w:pPr>
    </w:p>
    <w:p>
      <w:pPr>
        <w:jc w:val="right"/>
        <w:rPr>
          <w:rFonts w:hint="eastAsia" w:ascii="宋体" w:hAnsi="宋体"/>
          <w:highlight w:val="none"/>
        </w:rPr>
      </w:pPr>
      <w:r>
        <w:rPr>
          <w:rFonts w:hint="eastAsia" w:ascii="宋体" w:hAnsi="宋体"/>
          <w:highlight w:val="none"/>
        </w:rPr>
        <w:t xml:space="preserve">联合体成员名称(公章)：    </w:t>
      </w:r>
    </w:p>
    <w:p>
      <w:pPr>
        <w:jc w:val="right"/>
        <w:rPr>
          <w:rFonts w:hint="eastAsia" w:ascii="宋体" w:hAnsi="宋体"/>
          <w:highlight w:val="none"/>
        </w:rPr>
      </w:pPr>
      <w:r>
        <w:rPr>
          <w:rFonts w:hint="eastAsia" w:ascii="宋体" w:hAnsi="宋体"/>
          <w:highlight w:val="none"/>
        </w:rPr>
        <w:t>……      　　　　　　　　　　　　　</w:t>
      </w:r>
    </w:p>
    <w:p>
      <w:pPr>
        <w:jc w:val="right"/>
        <w:rPr>
          <w:rFonts w:hint="eastAsia" w:ascii="宋体" w:hAnsi="宋体"/>
          <w:highlight w:val="none"/>
        </w:rPr>
      </w:pPr>
      <w:r>
        <w:rPr>
          <w:rFonts w:hint="eastAsia" w:ascii="宋体" w:hAnsi="宋体"/>
          <w:highlight w:val="none"/>
        </w:rPr>
        <w:t>日期：    年  月  日</w:t>
      </w:r>
    </w:p>
    <w:p>
      <w:pPr>
        <w:rPr>
          <w:rFonts w:hint="eastAsia" w:ascii="宋体" w:hAnsi="宋体"/>
          <w:sz w:val="28"/>
          <w:szCs w:val="28"/>
          <w:highlight w:val="none"/>
        </w:rPr>
      </w:pPr>
      <w:r>
        <w:rPr>
          <w:rFonts w:hint="eastAsia" w:ascii="宋体" w:hAnsi="宋体"/>
          <w:highlight w:val="none"/>
        </w:rPr>
        <w:br w:type="page"/>
      </w:r>
      <w:r>
        <w:rPr>
          <w:rFonts w:hint="eastAsia" w:ascii="宋体" w:hAnsi="宋体"/>
          <w:sz w:val="28"/>
          <w:szCs w:val="28"/>
          <w:highlight w:val="none"/>
        </w:rPr>
        <w:t>附件3：</w:t>
      </w:r>
    </w:p>
    <w:p>
      <w:pPr>
        <w:jc w:val="center"/>
        <w:rPr>
          <w:rFonts w:hint="eastAsia" w:ascii="宋体" w:hAnsi="宋体"/>
          <w:b/>
          <w:bCs/>
          <w:sz w:val="30"/>
          <w:szCs w:val="30"/>
          <w:highlight w:val="none"/>
        </w:rPr>
      </w:pPr>
      <w:r>
        <w:rPr>
          <w:rFonts w:hint="eastAsia" w:ascii="宋体" w:hAnsi="宋体"/>
          <w:b/>
          <w:bCs/>
          <w:sz w:val="30"/>
          <w:szCs w:val="30"/>
          <w:highlight w:val="none"/>
        </w:rPr>
        <w:t>分包意向协议</w:t>
      </w:r>
    </w:p>
    <w:p>
      <w:pPr>
        <w:spacing w:after="0" w:line="240" w:lineRule="auto"/>
        <w:rPr>
          <w:rFonts w:hint="eastAsia" w:ascii="宋体" w:hAnsi="宋体"/>
          <w:b/>
          <w:bCs/>
          <w:highlight w:val="none"/>
        </w:rPr>
      </w:pPr>
      <w:r>
        <w:rPr>
          <w:rFonts w:hint="eastAsia" w:ascii="宋体" w:hAnsi="宋体"/>
          <w:b/>
          <w:bCs/>
          <w:highlight w:val="none"/>
        </w:rPr>
        <w:t>（中标后以分包方式履行合同的，提供分包意向协议；采购人不同意分包或者供应商中标后不以分包方式履行合同的，则不需要提供。）</w:t>
      </w:r>
    </w:p>
    <w:p>
      <w:pPr>
        <w:spacing w:after="0" w:line="240" w:lineRule="auto"/>
        <w:ind w:firstLine="480" w:firstLineChars="200"/>
        <w:rPr>
          <w:rFonts w:hint="eastAsia" w:ascii="宋体" w:hAnsi="宋体"/>
          <w:highlight w:val="none"/>
        </w:rPr>
      </w:pPr>
      <w:r>
        <w:rPr>
          <w:rFonts w:hint="eastAsia" w:ascii="宋体" w:hAnsi="宋体"/>
          <w:highlight w:val="none"/>
          <w:u w:val="single"/>
        </w:rPr>
        <w:t>（供应商名称）</w:t>
      </w:r>
      <w:r>
        <w:rPr>
          <w:rFonts w:hint="eastAsia" w:ascii="宋体" w:hAnsi="宋体"/>
          <w:highlight w:val="none"/>
        </w:rPr>
        <w:t>若成为</w:t>
      </w:r>
      <w:r>
        <w:rPr>
          <w:rFonts w:hint="eastAsia" w:ascii="宋体" w:hAnsi="宋体"/>
          <w:highlight w:val="none"/>
          <w:u w:val="single"/>
        </w:rPr>
        <w:t>（项目名称）【项目编号】</w:t>
      </w:r>
      <w:r>
        <w:rPr>
          <w:rFonts w:hint="eastAsia" w:ascii="宋体" w:hAnsi="宋体"/>
          <w:highlight w:val="none"/>
        </w:rPr>
        <w:t>的中标供应商，将依法采取分包方式履行合同。</w:t>
      </w:r>
      <w:r>
        <w:rPr>
          <w:rFonts w:hint="eastAsia" w:ascii="宋体" w:hAnsi="宋体"/>
          <w:highlight w:val="none"/>
          <w:u w:val="single"/>
        </w:rPr>
        <w:t>（供应商名称）</w:t>
      </w:r>
      <w:r>
        <w:rPr>
          <w:rFonts w:hint="eastAsia" w:ascii="宋体" w:hAnsi="宋体"/>
          <w:highlight w:val="none"/>
        </w:rPr>
        <w:t>与</w:t>
      </w:r>
      <w:r>
        <w:rPr>
          <w:rFonts w:hint="eastAsia" w:ascii="宋体" w:hAnsi="宋体"/>
          <w:highlight w:val="none"/>
          <w:u w:val="single"/>
        </w:rPr>
        <w:t>（所有分包供应商名称）</w:t>
      </w:r>
      <w:r>
        <w:rPr>
          <w:rFonts w:hint="eastAsia" w:ascii="宋体" w:hAnsi="宋体"/>
          <w:highlight w:val="none"/>
        </w:rPr>
        <w:t xml:space="preserve">达成分包意向协议。 </w:t>
      </w:r>
    </w:p>
    <w:p>
      <w:pPr>
        <w:spacing w:after="0" w:line="240" w:lineRule="auto"/>
        <w:ind w:firstLine="480" w:firstLineChars="200"/>
        <w:rPr>
          <w:rFonts w:hint="eastAsia" w:ascii="宋体" w:hAnsi="宋体"/>
          <w:b/>
          <w:bCs/>
          <w:highlight w:val="none"/>
        </w:rPr>
      </w:pPr>
      <w:r>
        <w:rPr>
          <w:rFonts w:hint="eastAsia" w:ascii="宋体" w:hAnsi="宋体"/>
          <w:highlight w:val="none"/>
        </w:rPr>
        <w:t>一、</w:t>
      </w:r>
      <w:r>
        <w:rPr>
          <w:rFonts w:hint="eastAsia" w:ascii="宋体" w:hAnsi="宋体"/>
          <w:highlight w:val="none"/>
          <w:u w:val="single"/>
        </w:rPr>
        <w:t>（供应商名称）</w:t>
      </w:r>
      <w:r>
        <w:rPr>
          <w:rFonts w:hint="eastAsia" w:ascii="宋体" w:hAnsi="宋体"/>
          <w:highlight w:val="none"/>
        </w:rPr>
        <w:t>将将工作分包如下：</w:t>
      </w:r>
      <w:r>
        <w:rPr>
          <w:rFonts w:hint="eastAsia" w:ascii="宋体" w:hAnsi="宋体"/>
          <w:b/>
          <w:bCs/>
          <w:highlight w:val="none"/>
        </w:rPr>
        <w:t>（注：供应商只能将招标文件中“前附表”的“分包”规定的工作进行分包）</w:t>
      </w:r>
    </w:p>
    <w:p>
      <w:pPr>
        <w:spacing w:after="0" w:line="240" w:lineRule="auto"/>
        <w:ind w:firstLine="480" w:firstLineChars="200"/>
        <w:rPr>
          <w:rFonts w:hint="eastAsia" w:ascii="宋体" w:hAnsi="宋体"/>
          <w:highlight w:val="none"/>
        </w:rPr>
      </w:pPr>
      <w:r>
        <w:rPr>
          <w:rFonts w:hint="eastAsia" w:ascii="宋体" w:hAnsi="宋体"/>
          <w:highlight w:val="none"/>
        </w:rPr>
        <w:t>将</w:t>
      </w:r>
      <w:r>
        <w:rPr>
          <w:rFonts w:hint="eastAsia" w:ascii="宋体" w:hAnsi="宋体"/>
          <w:highlight w:val="none"/>
          <w:u w:val="single"/>
        </w:rPr>
        <w:t xml:space="preserve">   XX工作内容   </w:t>
      </w:r>
      <w:r>
        <w:rPr>
          <w:rFonts w:hint="eastAsia" w:ascii="宋体" w:hAnsi="宋体"/>
          <w:highlight w:val="none"/>
        </w:rPr>
        <w:t>分包给</w:t>
      </w:r>
      <w:r>
        <w:rPr>
          <w:rFonts w:hint="eastAsia" w:ascii="宋体" w:hAnsi="宋体"/>
          <w:highlight w:val="none"/>
          <w:u w:val="single"/>
        </w:rPr>
        <w:t>（分包供应商1名称）</w:t>
      </w:r>
      <w:r>
        <w:rPr>
          <w:rFonts w:hint="eastAsia" w:ascii="宋体" w:hAnsi="宋体"/>
          <w:highlight w:val="none"/>
        </w:rPr>
        <w:t>；</w:t>
      </w:r>
    </w:p>
    <w:p>
      <w:pPr>
        <w:spacing w:after="0" w:line="240" w:lineRule="auto"/>
        <w:ind w:firstLine="480" w:firstLineChars="200"/>
        <w:rPr>
          <w:rFonts w:hint="eastAsia" w:ascii="宋体" w:hAnsi="宋体"/>
          <w:highlight w:val="none"/>
        </w:rPr>
      </w:pPr>
      <w:r>
        <w:rPr>
          <w:rFonts w:hint="eastAsia" w:ascii="宋体" w:hAnsi="宋体"/>
          <w:highlight w:val="none"/>
        </w:rPr>
        <w:t>将</w:t>
      </w:r>
      <w:r>
        <w:rPr>
          <w:rFonts w:hint="eastAsia" w:ascii="宋体" w:hAnsi="宋体"/>
          <w:highlight w:val="none"/>
          <w:u w:val="single"/>
        </w:rPr>
        <w:t xml:space="preserve">   XX工作内容   </w:t>
      </w:r>
      <w:r>
        <w:rPr>
          <w:rFonts w:hint="eastAsia" w:ascii="宋体" w:hAnsi="宋体"/>
          <w:highlight w:val="none"/>
        </w:rPr>
        <w:t>分包给</w:t>
      </w:r>
      <w:r>
        <w:rPr>
          <w:rFonts w:hint="eastAsia" w:ascii="宋体" w:hAnsi="宋体"/>
          <w:highlight w:val="none"/>
          <w:u w:val="single"/>
        </w:rPr>
        <w:t>（分包供应商2名称）</w:t>
      </w:r>
      <w:r>
        <w:rPr>
          <w:rFonts w:hint="eastAsia" w:ascii="宋体" w:hAnsi="宋体"/>
          <w:highlight w:val="none"/>
        </w:rPr>
        <w:t>；</w:t>
      </w:r>
    </w:p>
    <w:p>
      <w:pPr>
        <w:spacing w:after="0" w:line="240" w:lineRule="auto"/>
        <w:ind w:firstLine="480" w:firstLineChars="200"/>
        <w:rPr>
          <w:rFonts w:hint="eastAsia" w:ascii="宋体" w:hAnsi="宋体"/>
          <w:highlight w:val="none"/>
        </w:rPr>
      </w:pPr>
      <w:r>
        <w:rPr>
          <w:rFonts w:hint="eastAsia" w:ascii="宋体" w:hAnsi="宋体"/>
          <w:highlight w:val="none"/>
        </w:rPr>
        <w:t>······</w:t>
      </w:r>
    </w:p>
    <w:p>
      <w:pPr>
        <w:spacing w:after="0" w:line="240" w:lineRule="auto"/>
        <w:ind w:firstLine="480" w:firstLineChars="200"/>
        <w:rPr>
          <w:rFonts w:hint="eastAsia" w:ascii="宋体" w:hAnsi="宋体"/>
          <w:highlight w:val="none"/>
        </w:rPr>
      </w:pPr>
      <w:r>
        <w:rPr>
          <w:rFonts w:hint="eastAsia" w:ascii="宋体" w:hAnsi="宋体"/>
          <w:highlight w:val="none"/>
        </w:rPr>
        <w:t>······</w:t>
      </w:r>
    </w:p>
    <w:p>
      <w:pPr>
        <w:spacing w:after="0" w:line="240" w:lineRule="auto"/>
        <w:ind w:firstLine="480" w:firstLineChars="200"/>
        <w:rPr>
          <w:rFonts w:hint="eastAsia" w:ascii="宋体" w:hAnsi="宋体"/>
          <w:highlight w:val="none"/>
        </w:rPr>
      </w:pPr>
      <w:r>
        <w:rPr>
          <w:rFonts w:hint="eastAsia" w:ascii="宋体" w:hAnsi="宋体"/>
          <w:highlight w:val="none"/>
        </w:rPr>
        <w:t>以上分包供应商具备所承担分包工作内容相应的资质条件且不得再次分包。</w:t>
      </w:r>
    </w:p>
    <w:p>
      <w:pPr>
        <w:spacing w:after="0" w:line="240" w:lineRule="auto"/>
        <w:ind w:firstLine="480" w:firstLineChars="200"/>
        <w:rPr>
          <w:rFonts w:hint="eastAsia" w:ascii="宋体" w:hAnsi="宋体"/>
          <w:highlight w:val="none"/>
        </w:rPr>
      </w:pPr>
      <w:r>
        <w:rPr>
          <w:rFonts w:hint="eastAsia" w:ascii="宋体" w:hAnsi="宋体"/>
          <w:highlight w:val="none"/>
        </w:rPr>
        <w:t>二、分包工作履行期限、地点、方式</w:t>
      </w:r>
    </w:p>
    <w:p>
      <w:pPr>
        <w:spacing w:after="0" w:line="240" w:lineRule="auto"/>
        <w:rPr>
          <w:rFonts w:hint="eastAsia" w:ascii="宋体" w:hAnsi="宋体"/>
          <w:highlight w:val="none"/>
          <w:u w:val="single"/>
        </w:rPr>
      </w:pPr>
      <w:r>
        <w:rPr>
          <w:rFonts w:hint="eastAsia" w:ascii="宋体" w:hAnsi="宋体"/>
          <w:highlight w:val="none"/>
          <w:u w:val="single"/>
        </w:rPr>
        <w:t xml:space="preserve">                                                                                  </w:t>
      </w:r>
    </w:p>
    <w:p>
      <w:pPr>
        <w:spacing w:after="0" w:line="240" w:lineRule="auto"/>
        <w:ind w:firstLine="480" w:firstLineChars="200"/>
        <w:rPr>
          <w:rFonts w:hint="eastAsia" w:ascii="宋体" w:hAnsi="宋体"/>
          <w:highlight w:val="none"/>
        </w:rPr>
      </w:pPr>
      <w:r>
        <w:rPr>
          <w:rFonts w:hint="eastAsia" w:ascii="宋体" w:hAnsi="宋体"/>
          <w:highlight w:val="none"/>
        </w:rPr>
        <w:t>三、质量</w:t>
      </w:r>
    </w:p>
    <w:p>
      <w:pPr>
        <w:spacing w:after="0" w:line="240" w:lineRule="auto"/>
        <w:rPr>
          <w:rFonts w:hint="eastAsia" w:ascii="宋体" w:hAnsi="宋体"/>
          <w:highlight w:val="none"/>
          <w:u w:val="single"/>
        </w:rPr>
      </w:pPr>
      <w:r>
        <w:rPr>
          <w:rFonts w:hint="eastAsia" w:ascii="宋体" w:hAnsi="宋体"/>
          <w:highlight w:val="none"/>
          <w:u w:val="single"/>
        </w:rPr>
        <w:t xml:space="preserve">                                                                                  </w:t>
      </w:r>
    </w:p>
    <w:p>
      <w:pPr>
        <w:spacing w:after="0" w:line="240" w:lineRule="auto"/>
        <w:ind w:firstLine="480" w:firstLineChars="200"/>
        <w:rPr>
          <w:rFonts w:hint="eastAsia" w:ascii="宋体" w:hAnsi="宋体"/>
          <w:highlight w:val="none"/>
        </w:rPr>
      </w:pPr>
      <w:r>
        <w:rPr>
          <w:rFonts w:hint="eastAsia" w:ascii="宋体" w:hAnsi="宋体"/>
          <w:highlight w:val="none"/>
        </w:rPr>
        <w:t>四、价款或者报酬</w:t>
      </w:r>
    </w:p>
    <w:p>
      <w:pPr>
        <w:spacing w:after="0" w:line="240" w:lineRule="auto"/>
        <w:rPr>
          <w:rFonts w:hint="eastAsia" w:ascii="宋体" w:hAnsi="宋体"/>
          <w:highlight w:val="none"/>
        </w:rPr>
      </w:pPr>
      <w:r>
        <w:rPr>
          <w:rFonts w:hint="eastAsia" w:ascii="宋体" w:hAnsi="宋体"/>
          <w:highlight w:val="none"/>
          <w:u w:val="single"/>
        </w:rPr>
        <w:t xml:space="preserve">                                                                                  </w:t>
      </w:r>
      <w:r>
        <w:rPr>
          <w:rFonts w:hint="eastAsia" w:ascii="宋体" w:hAnsi="宋体"/>
          <w:highlight w:val="none"/>
        </w:rPr>
        <w:t xml:space="preserve">                                                                                   </w:t>
      </w:r>
    </w:p>
    <w:p>
      <w:pPr>
        <w:spacing w:after="0" w:line="240" w:lineRule="auto"/>
        <w:ind w:firstLine="480" w:firstLineChars="200"/>
        <w:rPr>
          <w:rFonts w:hint="eastAsia" w:ascii="宋体" w:hAnsi="宋体"/>
          <w:highlight w:val="none"/>
        </w:rPr>
      </w:pPr>
      <w:r>
        <w:rPr>
          <w:rFonts w:hint="eastAsia" w:ascii="宋体" w:hAnsi="宋体"/>
          <w:highlight w:val="none"/>
        </w:rPr>
        <w:t>五、违约责任</w:t>
      </w:r>
    </w:p>
    <w:p>
      <w:pPr>
        <w:spacing w:after="0" w:line="240" w:lineRule="auto"/>
        <w:rPr>
          <w:rFonts w:hint="eastAsia" w:ascii="宋体" w:hAnsi="宋体"/>
          <w:highlight w:val="none"/>
        </w:rPr>
      </w:pPr>
      <w:r>
        <w:rPr>
          <w:rFonts w:hint="eastAsia" w:ascii="宋体" w:hAnsi="宋体"/>
          <w:highlight w:val="none"/>
          <w:u w:val="single"/>
        </w:rPr>
        <w:t xml:space="preserve">                                                                                  </w:t>
      </w:r>
      <w:r>
        <w:rPr>
          <w:rFonts w:hint="eastAsia" w:ascii="宋体" w:hAnsi="宋体"/>
          <w:highlight w:val="none"/>
        </w:rPr>
        <w:t xml:space="preserve">                                                                                     </w:t>
      </w:r>
    </w:p>
    <w:p>
      <w:pPr>
        <w:spacing w:after="0" w:line="240" w:lineRule="auto"/>
        <w:ind w:firstLine="480" w:firstLineChars="200"/>
        <w:rPr>
          <w:rFonts w:hint="eastAsia" w:ascii="宋体" w:hAnsi="宋体"/>
          <w:highlight w:val="none"/>
        </w:rPr>
      </w:pPr>
      <w:r>
        <w:rPr>
          <w:rFonts w:hint="eastAsia" w:ascii="宋体" w:hAnsi="宋体"/>
          <w:highlight w:val="none"/>
        </w:rPr>
        <w:t>六、争议解决的办法</w:t>
      </w:r>
    </w:p>
    <w:p>
      <w:pPr>
        <w:spacing w:after="0" w:line="240" w:lineRule="auto"/>
        <w:rPr>
          <w:rFonts w:hint="eastAsia" w:ascii="宋体" w:hAnsi="宋体"/>
          <w:highlight w:val="none"/>
          <w:u w:val="single"/>
        </w:rPr>
      </w:pPr>
      <w:r>
        <w:rPr>
          <w:rFonts w:hint="eastAsia" w:ascii="宋体" w:hAnsi="宋体"/>
          <w:highlight w:val="none"/>
          <w:u w:val="single"/>
        </w:rPr>
        <w:t xml:space="preserve">                                                                                  </w:t>
      </w:r>
    </w:p>
    <w:p>
      <w:pPr>
        <w:spacing w:after="0" w:line="240" w:lineRule="auto"/>
        <w:rPr>
          <w:rFonts w:hint="eastAsia" w:ascii="宋体" w:hAnsi="宋体"/>
          <w:highlight w:val="none"/>
        </w:rPr>
      </w:pPr>
      <w:r>
        <w:rPr>
          <w:rFonts w:hint="eastAsia" w:ascii="宋体" w:hAnsi="宋体"/>
          <w:highlight w:val="none"/>
        </w:rPr>
        <w:t xml:space="preserve">                                                                      </w:t>
      </w:r>
    </w:p>
    <w:p>
      <w:pPr>
        <w:spacing w:after="0" w:line="240" w:lineRule="auto"/>
        <w:ind w:firstLine="480" w:firstLineChars="200"/>
        <w:rPr>
          <w:rFonts w:hint="eastAsia" w:ascii="宋体" w:hAnsi="宋体"/>
          <w:highlight w:val="none"/>
        </w:rPr>
      </w:pPr>
      <w:r>
        <w:rPr>
          <w:rFonts w:hint="eastAsia" w:ascii="宋体" w:hAnsi="宋体"/>
          <w:highlight w:val="none"/>
        </w:rPr>
        <w:t>七、其他</w:t>
      </w:r>
    </w:p>
    <w:p>
      <w:pPr>
        <w:spacing w:after="0" w:line="240" w:lineRule="auto"/>
        <w:ind w:firstLine="480" w:firstLineChars="200"/>
        <w:rPr>
          <w:rFonts w:hint="eastAsia" w:ascii="宋体" w:hAnsi="宋体"/>
          <w:b/>
          <w:bCs/>
          <w:highlight w:val="none"/>
        </w:rPr>
      </w:pPr>
      <w:r>
        <w:rPr>
          <w:rFonts w:hint="eastAsia" w:ascii="宋体" w:hAnsi="宋体"/>
          <w:highlight w:val="none"/>
          <w:u w:val="single"/>
        </w:rPr>
        <w:t>（分包供应商名称）</w:t>
      </w:r>
      <w:r>
        <w:rPr>
          <w:rFonts w:hint="eastAsia" w:ascii="宋体" w:hAnsi="宋体"/>
          <w:highlight w:val="none"/>
        </w:rPr>
        <w:t>提供的全部货物或服务均由中小企业制造或承接，其合同份额占到合同总金额</w:t>
      </w:r>
      <w:r>
        <w:rPr>
          <w:rFonts w:hint="eastAsia" w:ascii="宋体" w:hAnsi="宋体"/>
          <w:highlight w:val="none"/>
          <w:u w:val="single"/>
        </w:rPr>
        <w:t xml:space="preserve">     </w:t>
      </w:r>
      <w:r>
        <w:rPr>
          <w:rFonts w:hint="eastAsia" w:ascii="宋体" w:hAnsi="宋体"/>
          <w:highlight w:val="none"/>
        </w:rPr>
        <w:t>%以上。</w:t>
      </w:r>
      <w:r>
        <w:rPr>
          <w:rFonts w:hint="eastAsia" w:ascii="宋体" w:hAnsi="宋体"/>
          <w:b/>
          <w:bCs/>
          <w:highlight w:val="none"/>
        </w:rPr>
        <w:t>（未预留份额专门面向中小企业采购的的采购项目，以及预留份额中的非预留部分采购包，允许分包的，分包意向协议约定小微企业的合同份额占到合同总金额30%以上的，对大中型企业的报价给予6%的扣除）</w:t>
      </w:r>
    </w:p>
    <w:p>
      <w:pPr>
        <w:spacing w:after="0" w:line="240" w:lineRule="auto"/>
        <w:jc w:val="right"/>
        <w:rPr>
          <w:rFonts w:hint="eastAsia" w:ascii="宋体" w:hAnsi="宋体"/>
          <w:highlight w:val="none"/>
        </w:rPr>
      </w:pPr>
    </w:p>
    <w:p>
      <w:pPr>
        <w:spacing w:after="0" w:line="240" w:lineRule="auto"/>
        <w:jc w:val="right"/>
        <w:rPr>
          <w:rFonts w:hint="eastAsia" w:ascii="宋体" w:hAnsi="宋体"/>
          <w:highlight w:val="none"/>
        </w:rPr>
      </w:pPr>
      <w:r>
        <w:rPr>
          <w:rFonts w:hint="eastAsia" w:ascii="宋体" w:hAnsi="宋体"/>
          <w:highlight w:val="none"/>
        </w:rPr>
        <w:t>供应商名称(公章)：</w:t>
      </w:r>
    </w:p>
    <w:p>
      <w:pPr>
        <w:spacing w:after="0" w:line="240" w:lineRule="auto"/>
        <w:jc w:val="right"/>
        <w:rPr>
          <w:rFonts w:hint="eastAsia" w:ascii="宋体" w:hAnsi="宋体"/>
          <w:highlight w:val="none"/>
        </w:rPr>
      </w:pPr>
      <w:r>
        <w:rPr>
          <w:rFonts w:hint="eastAsia" w:ascii="宋体" w:hAnsi="宋体"/>
          <w:highlight w:val="none"/>
        </w:rPr>
        <w:t xml:space="preserve">分包供应商名称：     </w:t>
      </w:r>
    </w:p>
    <w:p>
      <w:pPr>
        <w:spacing w:after="0" w:line="240" w:lineRule="auto"/>
        <w:jc w:val="right"/>
        <w:rPr>
          <w:rFonts w:hint="eastAsia" w:ascii="宋体" w:hAnsi="宋体"/>
          <w:highlight w:val="none"/>
        </w:rPr>
      </w:pPr>
      <w:r>
        <w:rPr>
          <w:rFonts w:hint="eastAsia" w:ascii="宋体" w:hAnsi="宋体"/>
          <w:highlight w:val="none"/>
        </w:rPr>
        <w:t>……      　　　　　　　　　　　　　</w:t>
      </w:r>
    </w:p>
    <w:p>
      <w:pPr>
        <w:spacing w:after="0" w:line="240" w:lineRule="auto"/>
        <w:jc w:val="right"/>
        <w:rPr>
          <w:rFonts w:hint="eastAsia" w:ascii="宋体" w:hAnsi="宋体"/>
          <w:highlight w:val="none"/>
        </w:rPr>
      </w:pPr>
      <w:r>
        <w:rPr>
          <w:rFonts w:hint="eastAsia" w:ascii="宋体" w:hAnsi="宋体"/>
          <w:highlight w:val="none"/>
        </w:rPr>
        <w:t>日期：    年  月  日</w:t>
      </w:r>
    </w:p>
    <w:p>
      <w:pPr>
        <w:spacing w:line="360" w:lineRule="auto"/>
        <w:jc w:val="right"/>
        <w:rPr>
          <w:rFonts w:hint="eastAsia" w:ascii="宋体" w:hAnsi="宋体"/>
          <w:highlight w:val="none"/>
        </w:rPr>
      </w:pPr>
    </w:p>
    <w:p>
      <w:pPr>
        <w:spacing w:line="360" w:lineRule="auto"/>
        <w:rPr>
          <w:rFonts w:hint="eastAsia" w:ascii="宋体" w:hAnsi="宋体"/>
          <w:sz w:val="28"/>
          <w:szCs w:val="28"/>
          <w:highlight w:val="none"/>
        </w:rPr>
      </w:pPr>
      <w:r>
        <w:rPr>
          <w:rFonts w:hint="eastAsia" w:ascii="宋体" w:hAnsi="宋体"/>
          <w:highlight w:val="none"/>
        </w:rPr>
        <w:br w:type="page"/>
      </w:r>
      <w:r>
        <w:rPr>
          <w:rFonts w:hint="eastAsia" w:ascii="宋体" w:hAnsi="宋体"/>
          <w:sz w:val="28"/>
          <w:szCs w:val="28"/>
          <w:highlight w:val="none"/>
        </w:rPr>
        <w:t>附件4：</w:t>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残疾人福利性单位声明函</w:t>
      </w:r>
    </w:p>
    <w:p>
      <w:pPr>
        <w:spacing w:line="360" w:lineRule="auto"/>
        <w:ind w:firstLine="480" w:firstLineChars="200"/>
        <w:rPr>
          <w:rFonts w:hint="eastAsia" w:ascii="宋体" w:hAnsi="宋体"/>
          <w:highlight w:val="none"/>
        </w:rPr>
      </w:pPr>
      <w:r>
        <w:rPr>
          <w:rFonts w:hint="eastAsia" w:ascii="宋体" w:hAnsi="宋体"/>
          <w:highlight w:val="none"/>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highlight w:val="none"/>
          <w:u w:val="single"/>
        </w:rPr>
        <w:t xml:space="preserve">      </w:t>
      </w:r>
      <w:r>
        <w:rPr>
          <w:rFonts w:hint="eastAsia" w:ascii="宋体" w:hAnsi="宋体"/>
          <w:highlight w:val="none"/>
        </w:rPr>
        <w:t>单位的</w:t>
      </w:r>
      <w:r>
        <w:rPr>
          <w:rFonts w:hint="eastAsia" w:ascii="宋体" w:hAnsi="宋体"/>
          <w:highlight w:val="none"/>
          <w:u w:val="single"/>
        </w:rPr>
        <w:t xml:space="preserve">      </w:t>
      </w:r>
      <w:r>
        <w:rPr>
          <w:rFonts w:hint="eastAsia" w:ascii="宋体" w:hAnsi="宋体"/>
          <w:highlight w:val="none"/>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hint="eastAsia" w:ascii="宋体" w:hAnsi="宋体"/>
          <w:highlight w:val="none"/>
        </w:rPr>
      </w:pPr>
      <w:r>
        <w:rPr>
          <w:rFonts w:hint="eastAsia" w:ascii="宋体" w:hAnsi="宋体"/>
          <w:highlight w:val="none"/>
        </w:rPr>
        <w:t>本单位对上述声明的真实性负责。如有虚假，将依法承担相应责任。</w:t>
      </w:r>
    </w:p>
    <w:p>
      <w:pPr>
        <w:spacing w:line="360" w:lineRule="auto"/>
        <w:ind w:firstLine="480" w:firstLineChars="200"/>
        <w:rPr>
          <w:rFonts w:hint="eastAsia" w:ascii="宋体" w:hAnsi="宋体"/>
          <w:highlight w:val="none"/>
        </w:rPr>
      </w:pP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widowControl/>
        <w:jc w:val="left"/>
        <w:rPr>
          <w:rFonts w:hint="eastAsia" w:ascii="宋体" w:hAnsi="宋体"/>
          <w:sz w:val="36"/>
          <w:szCs w:val="36"/>
          <w:highlight w:val="none"/>
        </w:rPr>
      </w:pPr>
      <w:r>
        <w:rPr>
          <w:rFonts w:hint="eastAsia" w:ascii="宋体" w:hAnsi="宋体"/>
          <w:sz w:val="36"/>
          <w:szCs w:val="36"/>
          <w:highlight w:val="none"/>
        </w:rPr>
        <w:br w:type="page"/>
      </w:r>
    </w:p>
    <w:p>
      <w:pPr>
        <w:spacing w:line="360" w:lineRule="auto"/>
        <w:rPr>
          <w:rFonts w:hint="eastAsia" w:ascii="宋体" w:hAnsi="宋体"/>
          <w:sz w:val="28"/>
          <w:szCs w:val="28"/>
          <w:highlight w:val="none"/>
        </w:rPr>
      </w:pPr>
      <w:r>
        <w:rPr>
          <w:rFonts w:hint="eastAsia" w:ascii="宋体" w:hAnsi="宋体"/>
          <w:sz w:val="28"/>
          <w:szCs w:val="28"/>
          <w:highlight w:val="none"/>
        </w:rPr>
        <w:t>附件5：</w:t>
      </w: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关于符合本国产品标准的声明函</w:t>
      </w:r>
    </w:p>
    <w:p>
      <w:pPr>
        <w:spacing w:line="360" w:lineRule="auto"/>
        <w:jc w:val="center"/>
        <w:rPr>
          <w:rFonts w:hint="eastAsia" w:ascii="宋体" w:hAnsi="宋体"/>
          <w:b/>
          <w:bCs/>
          <w:sz w:val="30"/>
          <w:szCs w:val="30"/>
          <w:highlight w:val="none"/>
        </w:rPr>
      </w:pPr>
    </w:p>
    <w:p>
      <w:pPr>
        <w:pStyle w:val="24"/>
        <w:shd w:val="clear" w:color="auto" w:fill="FFFFFF"/>
        <w:adjustRightInd w:val="0"/>
        <w:spacing w:before="0" w:beforeAutospacing="0" w:after="0" w:afterAutospacing="0" w:line="360" w:lineRule="auto"/>
        <w:ind w:firstLine="420"/>
        <w:rPr>
          <w:rFonts w:hint="eastAsia" w:cs="宋体"/>
          <w:kern w:val="2"/>
          <w:highlight w:val="none"/>
        </w:rPr>
      </w:pPr>
      <w:r>
        <w:rPr>
          <w:rFonts w:hint="eastAsia" w:cs="宋体"/>
          <w:kern w:val="2"/>
          <w:highlight w:val="none"/>
        </w:rPr>
        <w:t>一、本公司（单位）郑重声明，根据《国务院办公厅关于在政府采购中实施本国产品标准及相关政策的通知》（国办发〔2025〕34号）的规定，本公司（单位）提供的以下产品属于本国产品。具体情况如下：</w:t>
      </w:r>
    </w:p>
    <w:p>
      <w:pPr>
        <w:pStyle w:val="24"/>
        <w:shd w:val="clear" w:color="auto" w:fill="FFFFFF"/>
        <w:adjustRightInd w:val="0"/>
        <w:spacing w:before="0" w:beforeAutospacing="0" w:after="0" w:afterAutospacing="0" w:line="360" w:lineRule="auto"/>
        <w:ind w:firstLine="420"/>
        <w:rPr>
          <w:rFonts w:hint="eastAsia" w:cs="宋体"/>
          <w:kern w:val="2"/>
          <w:highlight w:val="none"/>
        </w:rPr>
      </w:pPr>
      <w:r>
        <w:rPr>
          <w:rFonts w:hint="eastAsia" w:cs="宋体"/>
          <w:kern w:val="2"/>
          <w:highlight w:val="none"/>
        </w:rPr>
        <w:t>1.（产品名称1）</w:t>
      </w:r>
      <w:r>
        <w:rPr>
          <w:rFonts w:hint="eastAsia" w:cs="宋体"/>
          <w:b/>
          <w:bCs/>
          <w:highlight w:val="none"/>
          <w:vertAlign w:val="superscript"/>
          <w:lang w:val="zh-CN"/>
        </w:rPr>
        <w:t>【</w:t>
      </w:r>
      <w:r>
        <w:rPr>
          <w:rFonts w:hint="eastAsia" w:cs="宋体"/>
          <w:b/>
          <w:bCs/>
          <w:highlight w:val="none"/>
          <w:vertAlign w:val="superscript"/>
        </w:rPr>
        <w:t>1</w:t>
      </w:r>
      <w:r>
        <w:rPr>
          <w:rFonts w:hint="eastAsia" w:cs="宋体"/>
          <w:b/>
          <w:bCs/>
          <w:highlight w:val="none"/>
          <w:vertAlign w:val="superscript"/>
          <w:lang w:val="zh-CN"/>
        </w:rPr>
        <w:t>】</w:t>
      </w:r>
      <w:r>
        <w:rPr>
          <w:rFonts w:hint="eastAsia" w:cs="宋体"/>
          <w:kern w:val="2"/>
          <w:highlight w:val="none"/>
        </w:rPr>
        <w:t>，生产厂为（厂名）</w:t>
      </w:r>
      <w:r>
        <w:rPr>
          <w:rFonts w:hint="eastAsia" w:cs="宋体"/>
          <w:b/>
          <w:bCs/>
          <w:highlight w:val="none"/>
          <w:vertAlign w:val="superscript"/>
          <w:lang w:val="zh-CN"/>
        </w:rPr>
        <w:t>【</w:t>
      </w:r>
      <w:r>
        <w:rPr>
          <w:rFonts w:hint="eastAsia" w:cs="宋体"/>
          <w:b/>
          <w:bCs/>
          <w:highlight w:val="none"/>
          <w:vertAlign w:val="superscript"/>
        </w:rPr>
        <w:t>2</w:t>
      </w:r>
      <w:r>
        <w:rPr>
          <w:rFonts w:hint="eastAsia" w:cs="宋体"/>
          <w:b/>
          <w:bCs/>
          <w:highlight w:val="none"/>
          <w:vertAlign w:val="superscript"/>
          <w:lang w:val="zh-CN"/>
        </w:rPr>
        <w:t>】</w:t>
      </w:r>
      <w:r>
        <w:rPr>
          <w:rFonts w:hint="eastAsia" w:cs="宋体"/>
          <w:kern w:val="2"/>
          <w:highlight w:val="none"/>
        </w:rPr>
        <w:t>，厂址为（生产厂址）。（产品名称1）的中国境内生产的组件成本占比≥（规定比例）</w:t>
      </w:r>
      <w:r>
        <w:rPr>
          <w:rFonts w:hint="eastAsia" w:cs="宋体"/>
          <w:b/>
          <w:bCs/>
          <w:highlight w:val="none"/>
          <w:vertAlign w:val="superscript"/>
          <w:lang w:val="zh-CN"/>
        </w:rPr>
        <w:t>【</w:t>
      </w:r>
      <w:r>
        <w:rPr>
          <w:rFonts w:hint="eastAsia" w:cs="宋体"/>
          <w:b/>
          <w:bCs/>
          <w:highlight w:val="none"/>
          <w:vertAlign w:val="superscript"/>
        </w:rPr>
        <w:t>3</w:t>
      </w:r>
      <w:r>
        <w:rPr>
          <w:rFonts w:hint="eastAsia" w:cs="宋体"/>
          <w:b/>
          <w:bCs/>
          <w:highlight w:val="none"/>
          <w:vertAlign w:val="superscript"/>
          <w:lang w:val="zh-CN"/>
        </w:rPr>
        <w:t>】</w:t>
      </w:r>
      <w:r>
        <w:rPr>
          <w:rFonts w:hint="eastAsia" w:cs="宋体"/>
          <w:kern w:val="2"/>
          <w:highlight w:val="none"/>
        </w:rPr>
        <w:t>。（产品名称1）的（关键组件）</w:t>
      </w:r>
      <w:r>
        <w:rPr>
          <w:rFonts w:hint="eastAsia" w:cs="宋体"/>
          <w:b/>
          <w:bCs/>
          <w:highlight w:val="none"/>
          <w:vertAlign w:val="superscript"/>
          <w:lang w:val="zh-CN"/>
        </w:rPr>
        <w:t>【</w:t>
      </w:r>
      <w:r>
        <w:rPr>
          <w:rFonts w:hint="eastAsia" w:cs="宋体"/>
          <w:b/>
          <w:bCs/>
          <w:highlight w:val="none"/>
          <w:vertAlign w:val="superscript"/>
        </w:rPr>
        <w:t>4</w:t>
      </w:r>
      <w:r>
        <w:rPr>
          <w:rFonts w:hint="eastAsia" w:cs="宋体"/>
          <w:b/>
          <w:bCs/>
          <w:highlight w:val="none"/>
          <w:vertAlign w:val="superscript"/>
          <w:lang w:val="zh-CN"/>
        </w:rPr>
        <w:t>】</w:t>
      </w:r>
      <w:r>
        <w:rPr>
          <w:rFonts w:hint="eastAsia" w:cs="宋体"/>
          <w:kern w:val="2"/>
          <w:highlight w:val="none"/>
        </w:rPr>
        <w:t>在中国境内生产。（产品名称1）的（关键工序）</w:t>
      </w:r>
      <w:r>
        <w:rPr>
          <w:rFonts w:hint="eastAsia" w:cs="宋体"/>
          <w:b/>
          <w:bCs/>
          <w:highlight w:val="none"/>
          <w:vertAlign w:val="superscript"/>
          <w:lang w:val="zh-CN"/>
        </w:rPr>
        <w:t>【</w:t>
      </w:r>
      <w:r>
        <w:rPr>
          <w:rFonts w:hint="eastAsia" w:cs="宋体"/>
          <w:b/>
          <w:bCs/>
          <w:highlight w:val="none"/>
          <w:vertAlign w:val="superscript"/>
        </w:rPr>
        <w:t>5</w:t>
      </w:r>
      <w:r>
        <w:rPr>
          <w:rFonts w:hint="eastAsia" w:cs="宋体"/>
          <w:b/>
          <w:bCs/>
          <w:highlight w:val="none"/>
          <w:vertAlign w:val="superscript"/>
          <w:lang w:val="zh-CN"/>
        </w:rPr>
        <w:t>】</w:t>
      </w:r>
      <w:r>
        <w:rPr>
          <w:rFonts w:hint="eastAsia" w:cs="宋体"/>
          <w:kern w:val="2"/>
          <w:highlight w:val="none"/>
        </w:rPr>
        <w:t>在中国境内完成。</w:t>
      </w:r>
    </w:p>
    <w:p>
      <w:pPr>
        <w:pStyle w:val="24"/>
        <w:shd w:val="clear" w:color="auto" w:fill="FFFFFF"/>
        <w:adjustRightInd w:val="0"/>
        <w:spacing w:before="0" w:beforeAutospacing="0" w:after="0" w:afterAutospacing="0" w:line="360" w:lineRule="auto"/>
        <w:ind w:firstLine="420"/>
        <w:rPr>
          <w:rFonts w:hint="eastAsia" w:cs="宋体"/>
          <w:kern w:val="2"/>
          <w:highlight w:val="none"/>
        </w:rPr>
      </w:pPr>
      <w:r>
        <w:rPr>
          <w:rFonts w:hint="eastAsia" w:cs="宋体"/>
          <w:kern w:val="2"/>
          <w:highlight w:val="none"/>
        </w:rPr>
        <w:t>2.（产品名称2），生产厂为（厂名），厂址为（生产厂址）。（产品名称2）的中国境内生产的组件成本占比≥（规定比例）。（产品名称2）的（关键组件）在中国境内生产。（产品名称2）的（关键工序）在中国境内完成。</w:t>
      </w:r>
    </w:p>
    <w:p>
      <w:pPr>
        <w:pStyle w:val="24"/>
        <w:shd w:val="clear" w:color="auto" w:fill="FFFFFF"/>
        <w:adjustRightInd w:val="0"/>
        <w:spacing w:before="0" w:beforeAutospacing="0" w:after="0" w:afterAutospacing="0" w:line="360" w:lineRule="auto"/>
        <w:ind w:firstLine="420"/>
        <w:rPr>
          <w:rFonts w:hint="eastAsia" w:cs="宋体"/>
          <w:kern w:val="2"/>
          <w:highlight w:val="none"/>
        </w:rPr>
      </w:pPr>
      <w:r>
        <w:rPr>
          <w:rFonts w:hint="eastAsia" w:cs="宋体"/>
          <w:kern w:val="2"/>
          <w:highlight w:val="none"/>
        </w:rPr>
        <w:t>……</w:t>
      </w:r>
    </w:p>
    <w:p>
      <w:pPr>
        <w:pStyle w:val="24"/>
        <w:shd w:val="clear" w:color="auto" w:fill="FFFFFF"/>
        <w:adjustRightInd w:val="0"/>
        <w:spacing w:before="0" w:beforeAutospacing="0" w:after="0" w:afterAutospacing="0" w:line="360" w:lineRule="auto"/>
        <w:ind w:firstLine="420"/>
        <w:rPr>
          <w:rFonts w:hint="eastAsia" w:cs="宋体"/>
          <w:kern w:val="2"/>
          <w:highlight w:val="none"/>
        </w:rPr>
      </w:pPr>
      <w:r>
        <w:rPr>
          <w:rFonts w:hint="eastAsia" w:cs="宋体"/>
          <w:kern w:val="2"/>
          <w:highlight w:val="none"/>
        </w:rPr>
        <w:t>本公司（单位）对上述声明内容的真实性负责。如有虚假，愿承担相应法律责任。</w:t>
      </w:r>
    </w:p>
    <w:p>
      <w:pPr>
        <w:spacing w:line="360" w:lineRule="auto"/>
        <w:ind w:firstLine="480" w:firstLineChars="200"/>
        <w:jc w:val="left"/>
        <w:rPr>
          <w:rFonts w:hint="eastAsia" w:ascii="宋体" w:hAnsi="宋体"/>
          <w:highlight w:val="none"/>
        </w:rPr>
      </w:pPr>
      <w:r>
        <w:rPr>
          <w:rFonts w:hint="eastAsia" w:ascii="宋体" w:hAnsi="宋体"/>
          <w:highlight w:val="none"/>
        </w:rPr>
        <w:t>二、关于符合本国产品标准的成本占比情况：</w:t>
      </w:r>
    </w:p>
    <w:tbl>
      <w:tblPr>
        <w:tblStyle w:val="29"/>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8"/>
        <w:gridCol w:w="2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208" w:type="dxa"/>
            <w:vAlign w:val="center"/>
          </w:tcPr>
          <w:p>
            <w:pPr>
              <w:spacing w:line="360" w:lineRule="auto"/>
              <w:jc w:val="center"/>
              <w:rPr>
                <w:rFonts w:hint="eastAsia" w:ascii="宋体" w:hAnsi="宋体"/>
                <w:b/>
                <w:bCs/>
                <w:highlight w:val="none"/>
                <w:shd w:val="clear" w:color="auto" w:fill="FFFFFF"/>
              </w:rPr>
            </w:pPr>
            <w:r>
              <w:rPr>
                <w:rFonts w:hint="eastAsia" w:ascii="宋体" w:hAnsi="宋体"/>
                <w:b/>
                <w:bCs/>
                <w:highlight w:val="none"/>
                <w:shd w:val="clear" w:color="auto" w:fill="FFFFFF"/>
              </w:rPr>
              <w:t>计算公式</w:t>
            </w:r>
          </w:p>
        </w:tc>
        <w:tc>
          <w:tcPr>
            <w:tcW w:w="2092" w:type="dxa"/>
            <w:vAlign w:val="center"/>
          </w:tcPr>
          <w:p>
            <w:pPr>
              <w:spacing w:line="360" w:lineRule="auto"/>
              <w:jc w:val="center"/>
              <w:rPr>
                <w:rFonts w:hint="eastAsia" w:ascii="宋体" w:hAnsi="宋体"/>
                <w:b/>
                <w:bCs/>
                <w:highlight w:val="none"/>
                <w:shd w:val="clear" w:color="auto" w:fill="FFFFFF"/>
              </w:rPr>
            </w:pPr>
            <w:r>
              <w:rPr>
                <w:rFonts w:hint="eastAsia" w:ascii="宋体" w:hAnsi="宋体"/>
                <w:b/>
                <w:bCs/>
                <w:highlight w:val="none"/>
                <w:shd w:val="clear" w:color="auto" w:fill="FFFFFF"/>
              </w:rPr>
              <w:t>占比情况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6208" w:type="dxa"/>
            <w:vAlign w:val="center"/>
          </w:tcPr>
          <w:p>
            <w:pPr>
              <w:spacing w:line="360" w:lineRule="auto"/>
              <w:jc w:val="center"/>
              <w:rPr>
                <w:rFonts w:hint="eastAsia" w:ascii="宋体" w:hAnsi="宋体"/>
                <w:highlight w:val="none"/>
                <w:shd w:val="clear" w:color="auto" w:fill="FFFFFF"/>
              </w:rPr>
            </w:pPr>
            <w:r>
              <w:rPr>
                <w:rFonts w:ascii="宋体" w:hAnsi="宋体"/>
                <w:spacing w:val="4"/>
                <w:highlight w:val="none"/>
                <w:bdr w:val="single" w:color="auto" w:sz="2" w:space="0"/>
                <w:shd w:val="clear" w:color="auto" w:fill="FFFFFF"/>
              </w:rPr>
              <w:pict>
                <v:shape id="_x0000_i1025" o:spt="75" type="#_x0000_t75" style="height:46.5pt;width:291.75pt;" filled="f" o:preferrelative="t" stroked="f" coordsize="21600,21600"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0&quot;/&gt;&lt;w:characterSpacingControl w:val=&quot;CompressPunctuation&quot;/&gt;&lt;w:documentProtection w:enforcement=&quot;off&quot;/&gt;&lt;w:displayBackgroundShape w:val=&quot;1&quot;/&gt;&lt;w:doNotEmbedSystemFonts/&gt;&lt;w:defaultTabStop w:val=&quot;420&quot;/&gt;&lt;w:drawingGridHorizontalSpacing w:val=&quot;1&quot;/&gt;&lt;w:drawingGridVerticalSpacing w:val=&quot;1&quot;/&gt;&lt;w:displayHorizontalDrawingGridEvery w:val=&quot;1&quot;/&gt;&lt;w:displayVerticalDrawingGridEvery w:val=&quot;1&quot;/&gt;&lt;w:useMarginsForDrawingGridOrigin/&gt;&lt;w:drawingGridHorizontalOrigin w:val=&quot;0&quot;/&gt;&lt;w:drawingGridVerticalOrigin w:val=&quot;0&quot;/&gt;&lt;w:compat&gt;&lt;w:adjustLineHeightInTable/&gt;&lt;w:ulTrailSpace/&gt;&lt;w:doNotExpandShiftReturn/&gt;&lt;w:balanceSingleByteDoubleByteWidth/&gt;&lt;w:spaceForUL/&gt;&lt;w:breakWrappedTables/&gt;&lt;w:dontGrowAutofit/&gt;&lt;w:useFELayout/&gt;&lt;/w:compat&gt;&lt;/w:docPr&gt;&lt;w:body&gt;&lt;wx:sect&gt;&lt;w:p&gt;&lt;m:oMathPara&gt;&lt;m:oMath&gt;&lt;m:r&gt;&lt;m:rPr&gt;&lt;m:sty m:val=&quot;p&quot;/&gt;&lt;m:scr m:val=&quot;roman&quot;/&gt;&lt;/m:rPr&gt;&lt;w:rPr&gt;&lt;w:rFonts w:ascii=&quot;Cambria Math&quot; w:h-ansi=&quot;Cambria Math&quot; w:fareast=&quot;瀹嬩綋&quot; w:cs=&quot;瀹嬩綋&quot; w:hint=&quot;fareast&quot;/&gt;&lt;w:color w:val=&quot;auto&quot;/&gt;&lt;w:sz w:val=&quot;24&quot;/&gt;&lt;w:sz-cs w:val=&quot;24&quot;/&gt;&lt;w:highlight w:val=&quot;none&quot;/&gt;&lt;/w:rPr&gt;&lt;m:t&gt;姣斾緥&lt;/m:t&gt;&lt;/m:r&gt;&lt;m:r&gt;&lt;m:rPr&gt;&lt;m:scr m:val=&quot;roman&quot;/&gt;&lt;/m:rPr&gt;&lt;w:rPr&gt;&lt;w:rFonts w:ascii=&quot;Cambria Math&quot; w:h-ansih&quot; w:fareh&quot; w:fareh&quot; w:fareh&quot; w:fareh&quot; w:fareh&quot; w:fareh&quot; w:fareh&quot; w:fareh&quot; w:fare=&quot;Cambria Math&quot; w:fareast=&quot;瀹嬩綋&quot; w:cs=&quot;瀹嬩綋&quot; w:hint=&quot;fareast&quot;/&gt;&lt;w:color w:val=&quot;auto&quot;/&gt;&lt;w:sz w:val=&quot;24&quot;/&gt;&lt;w:sz-cs w:val=&quot;24&quot;/&gt;&lt;w:highlight w:val=&quot;none&quot;/&gt;&lt;/w:rPr&gt;&lt;m:t&gt;=&lt;/m:t&gt;&lt;/m:r&gt;&lt;w:farem:f&gt;&lt;m:fPw:farer&gt;&lt;m:ctrlw:farePr&gt;&lt;w:rPrw:fare&gt;&lt;w:rFontw:fares w:asciiw:fare=&quot;Cambriaw:fare Math&quot; w:w:fareh-ansi=&quot;Cw:fareambria Math&quot; w:fareast=&quot;瀹嬩綋&quot; w:cs=&quot;瀹嬩綋&quot; w:hint=&quot;fareast&quot;/&gt;&lt;w:i/&gt;&lt;w:color w:val=&quot;auto&quot;/&gt;&lt;w:sz w:val=&quot;24&quot;/&gt;&lt;w:sz-cs w:val=&quot;24&quot;/&gt;&lt;w:w:farehighlight w:valw:fare=&quot;none&quot;/&gt;&lt;/w:rPw:farer&gt;&lt;/m:ctrlPr&gt;&lt;/w:farem:fPr&gt;&lt;m:num&gt;&lt;mw:fare:r&gt;&lt;m:rPr&gt;&lt;m:stw:farey m:val=&quot;p&quot;/&gt;&lt;mw:fare:scr m:val=&quot;romw:farean&quot;/&gt;&lt;/m:rPr&gt;&lt;ww:fare:rPr&gt;&lt;w:rFonts w:ascii=&quot;Cambria Math&quot; w:h-ansi=&quot;Cambria Math&quot; w:fareast=&quot;瀹嬩綋&quot; w:cs=&quot;are瀹嬩綋&quot; w:hint=&quot;fareaw:farest&quot;/&gt;&lt;w:color w:val=&quot;w:fareauto&quot;/&gt;&lt;w:sz w:val=&quot;2w:fare4&quot;/&gt;&lt;w:sz-cs w:val=&quot;2w:fare4&quot;/&gt;&lt;w:highlight w:vaw:farel=&quot;none&quot;/&gt;&lt;/w:rPr&gt;&lt;m:w:faret&gt;绗﹀悎鏈浗浜у搧?:val=&quot;romw:fare爣鍑嗙殑鎶曟爣浜у搧?&quot;roman&quot;/&gt;&lt;/m:rPr&gt;&lt;ww:fare垚鏈箣鍜?&quot; w:fareast=&quot;瀹嬩綋&quot; w:cs=&quot;are/m:t&gt;&lt;/m:r&gt;&lt;m:ctrlPr&gt;&lt;w:rPr瀹嬩綋&quot; w:hint=&quot;fareaw:fare&gt;&lt;w:rFonts w:ascii=&quot;Cambria/&gt;&lt;w:color w:val=&quot;w:fare Math&quot; w:h-ansi=&quot;Cambria Mao&quot;/&gt;&lt;w:sz w:val=&quot;2w:fareth&quot; w:fareast=&quot;瀹嬩綋&quot; w:cs4&quot;/&gt;&lt;w:sz-cs w:val=&quot;2w:fare=&quot;瀹嬩綋&quot; w:hint=&quot;fareast&quot;/=&quot;24&quot;/&gt;&lt;w:highlighw:cs=&quot;aret w:vaw:fare&gt;&lt;w:color w:val=&quot;auto&quot;/&gt;&lt;w::val=&quot;none&quot;/&gt;&lt;/w:farew:rPr&gt;&lt;m:w:faresz w:val=&quot;24&quot;/&gt;&lt;w:sz-cs w:val=&quot;24&quot;/?w:fare湰鍥戒骇鍝?:val=&quot;romw:fare&gt;&lt;w:highlight w:val=&quot;nonval=&quot;2w:faree&quot;/&gt;&lt;/w:rPr&gt;&lt;/m:ctrlPrrPr&gt;&lt;ww:fare&gt;&lt;/m:num&gt;&lt;m:den&gt;&lt;m:r=&quot;2w:fare&gt;&lt;m:rPr&gt;&lt;m:st=&quot;arey m:val=&quot;p&quot;/&gt;&lt;m:scr m:val=&quot;roman&quot;/&gt;&lt;/m:rPr&gt;&lt;w:farew:rPr&gt;&lt;w:r:fareFonts w:ascii=&quot;Cambria Math&quot; w:h-ansi=&quot;Cambria w:fareMatw:fareh&quot; w:fareast=&quot;瀹嬩綋&quot; w:cs=&quot;瀹嬩綋&quot; w:hint=&quot;fareast&quot;/&gt;&lt;w:colw:fw:fareareor w:val=&quot;auto&quot;/&gt;&lt;w:sz w:val=&quot;24&quot;/&gt;&lt;w:sz-cs w:val=&quot;24&quot;/&gt;t=&quot;are&lt;ww:w:farefare:highlight w:val=&quot;none&quot;/&gt;&lt;/w:rPr&gt;&lt;m:t&gt;鎻愪緵鐨勫叏?Pr&gt;&lt;w:r:fare儴浜у?&gt;&lt;/m:rPr&gt;&lt;w:fare鎴愭湰涔嬪?/m:t&gt;&lt;/m:r&gt;&lt;m:ctrlPr&gt;&lt;w:rPrmbria w:fareMatw:fare&gt;&lt;w:rFonts w:ascii=&quot;Cambh-ansi=&quot;Cambria w:fareria Math&quot; w:h-ansi=&quot;Cam&lt;w:colw:fw:farebria Math&quot; wl=&quot;24&quot;/&gt;t=&quot;are:fareast=&quot;瀹嬩綋&quot; w:cs=&quot;瀹嬩綋&quot; w:fareast&quot;/&gt;&lt;w:colw:fareh:val=&quot;24&quot;/&gt;&lt;ww:w:fa勫叏?Pr&gt;&lt;w:r:farereint=&quot;fareast&quot;/&gt;&lt;w:color w:val=&quot;auto&quot;/&gt;&lt;w:sz w:val=&quot;24&quot;/&gt;&lt;w:sz-cs w:val=&quot;24&quot;/&gt;&lt;:rPw:farer&gt;&lt;w:fareww:farecs w:val=&quot;24&quot;/&gt;&lt;w:highlight w:val=&quot;none&quot;/&gt;&lt;/w:rPr&gt;&lt;/m:ctr/&gt;t=&quot;arelPr&gt;&lt;/m:denw:fare&gt;&lt;/m:f&gt;&lt;m:w:farer&gt;&lt;m:rPr&gt;&lt;m:sty m:val=&quot;p&quot;/&gt;&lt;m:scr m:val=&quot;roman&quot;/&gt;&lt;/m:rPr&gt;&lt;w:rPr&gt;&lt;w:rFonts w:ascii=&quot;Cambria Math&quot; w:h-ansi=&quot;Cambria Math&quot; w:fareast=&quot;瀹嬩綋&quot; w:cs=&quot;瀹?fare浣? w:hint=&quot;faw:farereast&quot;/&gt;&lt;w:cow:farelor w:val=&quot;auto&quot;/&gt;&lt;w:sz w:val==&quot;are&quot;24&quot;/&gt;&lt;w:sz-cs w:valw:fare=&quot;24&quot;/&gt;&lt;w:highlight w:w:fareval=&quot;none&quot;/&gt;&lt;/w:rPr&gt;&lt;m:t&gt;脳&lt;/m:t&gt;&lt;/m:r&gt;Pr&gt;&lt;w:&lt;m:r&gt;&lt;m:rPr&gt;&lt;m:scr m:varFonts l=&quot;roman&quot;/&gt;&lt;/m:rPr&gt;&lt;w:rPr&gt;&lt;w:ambria rFonts w:ascii=&quot;Cambria Maareth&quot; w:h-ansi=&quot;Cambria Math&quot; w:fareeast=&quot;瀹嬩綋&quot; w:cs=&quot;瀹嬩綋&quot;l==&quot;are w:hinow:faret=&quot;fareast&quot;/&gt;&lt;w:color lw:farew:val=&quot;auto&quot;/&gt;&lt;w:sz w:val=&quot;24&quot;/&gt;&lt;w:s:w:farez-cs w:val=&quot;24Pr&gt;&lt;w:&quot;/&gt;&lt;w:highlight w:val=&quot;none&quot;/&gt;&lt;/w:rPr&gt;&lt;mFonts :t&gt;100%&lt;/m:t&gt;&lt;/m:r&gt;&lt;/m:oMath&gt;&lt;/m:oMathPara&gt;&lt;mbria Maare /w:p&gt;&lt;/wx:sect&gt;&lt;/w:body&gt;&lt;/w:wordDocumentMath&quot; ">
                  <v:path/>
                  <v:fill on="f" focussize="0,0"/>
                  <v:stroke on="f" joinstyle="miter"/>
                  <v:imagedata r:id="rId13" o:title=""/>
                  <o:lock v:ext="edit" aspectratio="f"/>
                  <w10:wrap type="none"/>
                  <w10:anchorlock/>
                </v:shape>
              </w:pict>
            </w:r>
          </w:p>
        </w:tc>
        <w:tc>
          <w:tcPr>
            <w:tcW w:w="2092" w:type="dxa"/>
            <w:vAlign w:val="center"/>
          </w:tcPr>
          <w:p>
            <w:pPr>
              <w:spacing w:line="360" w:lineRule="auto"/>
              <w:jc w:val="center"/>
              <w:rPr>
                <w:rFonts w:hint="eastAsia" w:ascii="宋体" w:hAnsi="宋体"/>
                <w:highlight w:val="none"/>
                <w:shd w:val="clear" w:color="auto" w:fill="FFFFFF"/>
              </w:rPr>
            </w:pPr>
            <w:r>
              <w:rPr>
                <w:rFonts w:hint="eastAsia" w:ascii="宋体" w:hAnsi="宋体"/>
                <w:highlight w:val="none"/>
                <w:u w:val="single"/>
                <w:shd w:val="clear" w:color="auto" w:fill="FFFFFF"/>
              </w:rPr>
              <w:t xml:space="preserve">       </w:t>
            </w:r>
            <w:r>
              <w:rPr>
                <w:rFonts w:hint="eastAsia" w:ascii="宋体" w:hAnsi="宋体"/>
                <w:highlight w:val="none"/>
                <w:shd w:val="clear" w:color="auto" w:fill="FFFFFF"/>
              </w:rPr>
              <w:t>%</w:t>
            </w:r>
          </w:p>
        </w:tc>
      </w:tr>
    </w:tbl>
    <w:p>
      <w:pPr>
        <w:snapToGrid w:val="0"/>
        <w:spacing w:line="360" w:lineRule="auto"/>
        <w:ind w:firstLine="480" w:firstLineChars="200"/>
        <w:rPr>
          <w:rFonts w:hint="eastAsia" w:ascii="宋体" w:hAnsi="宋体"/>
          <w:kern w:val="0"/>
          <w:highlight w:val="none"/>
          <w:lang w:val="zh-CN"/>
        </w:rPr>
      </w:pPr>
      <w:r>
        <w:rPr>
          <w:rFonts w:hint="eastAsia" w:ascii="宋体" w:hAnsi="宋体"/>
          <w:kern w:val="0"/>
          <w:highlight w:val="none"/>
          <w:lang w:val="zh-CN"/>
        </w:rPr>
        <w:t>本公司（单位）对上述声明内容的真实性负责。如有虚假，愿承担相应法律责任。</w:t>
      </w:r>
    </w:p>
    <w:p>
      <w:pPr>
        <w:spacing w:line="360" w:lineRule="auto"/>
        <w:jc w:val="right"/>
        <w:rPr>
          <w:rFonts w:hint="eastAsia" w:ascii="宋体" w:hAnsi="宋体"/>
          <w:highlight w:val="none"/>
        </w:rPr>
      </w:pPr>
      <w:r>
        <w:rPr>
          <w:rFonts w:hint="eastAsia" w:ascii="宋体" w:hAnsi="宋体"/>
          <w:highlight w:val="none"/>
        </w:rPr>
        <w:t>供应商名称（公章）：      　　　　　　　　　　　　　</w:t>
      </w:r>
    </w:p>
    <w:p>
      <w:pPr>
        <w:spacing w:line="360" w:lineRule="auto"/>
        <w:jc w:val="right"/>
        <w:rPr>
          <w:rFonts w:hint="eastAsia" w:ascii="宋体" w:hAnsi="宋体"/>
          <w:highlight w:val="none"/>
        </w:rPr>
      </w:pPr>
      <w:r>
        <w:rPr>
          <w:rFonts w:hint="eastAsia" w:ascii="宋体" w:hAnsi="宋体"/>
          <w:highlight w:val="none"/>
        </w:rPr>
        <w:t>日期：    年  月  日</w:t>
      </w:r>
    </w:p>
    <w:p>
      <w:pPr>
        <w:pStyle w:val="24"/>
        <w:shd w:val="clear" w:color="auto" w:fill="FFFFFF"/>
        <w:spacing w:before="0" w:beforeAutospacing="0" w:after="0" w:afterAutospacing="0" w:line="360" w:lineRule="auto"/>
        <w:ind w:firstLine="420"/>
        <w:rPr>
          <w:rFonts w:hint="eastAsia" w:cs="宋体"/>
          <w:kern w:val="2"/>
          <w:highlight w:val="none"/>
        </w:rPr>
      </w:pPr>
      <w:r>
        <w:rPr>
          <w:rFonts w:hint="eastAsia" w:cs="宋体"/>
          <w:kern w:val="2"/>
          <w:highlight w:val="none"/>
        </w:rPr>
        <w:t>注：</w:t>
      </w:r>
    </w:p>
    <w:p>
      <w:pPr>
        <w:pStyle w:val="24"/>
        <w:shd w:val="clear" w:color="auto" w:fill="FFFFFF"/>
        <w:spacing w:before="0" w:beforeAutospacing="0" w:after="0" w:afterAutospacing="0" w:line="360" w:lineRule="auto"/>
        <w:ind w:firstLine="420"/>
        <w:rPr>
          <w:rFonts w:hint="eastAsia" w:cs="宋体"/>
          <w:kern w:val="2"/>
          <w:highlight w:val="none"/>
        </w:rPr>
      </w:pPr>
      <w:r>
        <w:rPr>
          <w:rFonts w:hint="eastAsia" w:cs="宋体"/>
          <w:kern w:val="2"/>
          <w:highlight w:val="none"/>
        </w:rPr>
        <w:t>1.产品如有型号，请在“产品名称”栏一并填写。</w:t>
      </w:r>
    </w:p>
    <w:p>
      <w:pPr>
        <w:pStyle w:val="24"/>
        <w:shd w:val="clear" w:color="auto" w:fill="FFFFFF"/>
        <w:spacing w:before="0" w:beforeAutospacing="0" w:after="0" w:afterAutospacing="0" w:line="360" w:lineRule="auto"/>
        <w:ind w:firstLine="420"/>
        <w:rPr>
          <w:rFonts w:hint="eastAsia" w:cs="宋体"/>
          <w:kern w:val="2"/>
          <w:highlight w:val="none"/>
        </w:rPr>
      </w:pPr>
      <w:r>
        <w:rPr>
          <w:rFonts w:hint="eastAsia" w:cs="宋体"/>
          <w:kern w:val="2"/>
          <w:highlight w:val="none"/>
        </w:rPr>
        <w:t>2.生产厂名与厂址应与生产厂营业执照载明的相关信息保持一致。</w:t>
      </w:r>
    </w:p>
    <w:p>
      <w:pPr>
        <w:pStyle w:val="24"/>
        <w:shd w:val="clear" w:color="auto" w:fill="FFFFFF"/>
        <w:spacing w:before="0" w:beforeAutospacing="0" w:after="0" w:afterAutospacing="0" w:line="360" w:lineRule="auto"/>
        <w:ind w:firstLine="420"/>
        <w:rPr>
          <w:rFonts w:hint="eastAsia" w:cs="宋体"/>
          <w:kern w:val="2"/>
          <w:highlight w:val="none"/>
        </w:rPr>
      </w:pPr>
      <w:r>
        <w:rPr>
          <w:rFonts w:hint="eastAsia" w:cs="宋体"/>
          <w:kern w:val="2"/>
          <w:highlight w:val="none"/>
        </w:rPr>
        <w:t>3.该产品的中国境内生产的组件成本占比相关要求实施前，“规定比例”栏可不填，下同。</w:t>
      </w:r>
    </w:p>
    <w:p>
      <w:pPr>
        <w:pStyle w:val="24"/>
        <w:shd w:val="clear" w:color="auto" w:fill="FFFFFF"/>
        <w:spacing w:before="0" w:beforeAutospacing="0" w:after="0" w:afterAutospacing="0" w:line="360" w:lineRule="auto"/>
        <w:ind w:firstLine="420"/>
        <w:rPr>
          <w:rFonts w:hint="eastAsia" w:cs="宋体"/>
          <w:kern w:val="2"/>
          <w:highlight w:val="none"/>
        </w:rPr>
      </w:pPr>
      <w:r>
        <w:rPr>
          <w:rFonts w:hint="eastAsia" w:cs="宋体"/>
          <w:kern w:val="2"/>
          <w:highlight w:val="none"/>
        </w:rPr>
        <w:t>4.该产品的关键组件要求实施前，“关键组件”栏可不填，下同。</w:t>
      </w:r>
    </w:p>
    <w:p>
      <w:pPr>
        <w:pStyle w:val="24"/>
        <w:shd w:val="clear" w:color="auto" w:fill="FFFFFF"/>
        <w:spacing w:before="0" w:beforeAutospacing="0" w:after="0" w:afterAutospacing="0" w:line="360" w:lineRule="auto"/>
        <w:ind w:firstLine="420"/>
        <w:rPr>
          <w:rFonts w:hint="eastAsia" w:cs="宋体"/>
          <w:kern w:val="2"/>
          <w:highlight w:val="none"/>
        </w:rPr>
      </w:pPr>
      <w:r>
        <w:rPr>
          <w:rFonts w:hint="eastAsia" w:cs="宋体"/>
          <w:kern w:val="2"/>
          <w:highlight w:val="none"/>
        </w:rPr>
        <w:t>5.该产品的关键工序要求实施前，“关键工序”栏可不填，下同。</w:t>
      </w:r>
    </w:p>
    <w:p>
      <w:pPr>
        <w:spacing w:line="360" w:lineRule="auto"/>
        <w:jc w:val="center"/>
        <w:rPr>
          <w:rFonts w:hint="eastAsia" w:ascii="宋体" w:hAnsi="宋体"/>
          <w:b/>
          <w:bCs/>
          <w:sz w:val="30"/>
          <w:szCs w:val="30"/>
          <w:highlight w:val="none"/>
        </w:rPr>
      </w:pPr>
    </w:p>
    <w:p>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中国境内生产的组件成本核算基本规则</w:t>
      </w:r>
    </w:p>
    <w:p>
      <w:pPr>
        <w:spacing w:line="360" w:lineRule="auto"/>
        <w:ind w:firstLine="480" w:firstLineChars="200"/>
        <w:rPr>
          <w:rFonts w:hint="eastAsia" w:ascii="宋体" w:hAnsi="宋体"/>
          <w:highlight w:val="none"/>
        </w:rPr>
      </w:pPr>
      <w:r>
        <w:rPr>
          <w:rFonts w:hint="eastAsia" w:ascii="宋体" w:hAnsi="宋体"/>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pPr>
        <w:spacing w:line="360" w:lineRule="auto"/>
        <w:ind w:firstLine="480" w:firstLineChars="200"/>
        <w:rPr>
          <w:rFonts w:hint="eastAsia" w:ascii="宋体" w:hAnsi="宋体"/>
          <w:highlight w:val="none"/>
        </w:rPr>
      </w:pPr>
      <w:r>
        <w:rPr>
          <w:rFonts w:hint="eastAsia" w:ascii="宋体" w:hAnsi="宋体"/>
          <w:highlight w:val="none"/>
        </w:rPr>
        <w:t>一、产品的一级组件是指直接组成产品的组件。产品的二级组件是指直接组成产品一级组件的组件。一级组件不可分解的，视同二级组件。</w:t>
      </w:r>
    </w:p>
    <w:p>
      <w:pPr>
        <w:spacing w:line="360" w:lineRule="auto"/>
        <w:ind w:firstLine="480" w:firstLineChars="200"/>
        <w:rPr>
          <w:rFonts w:hint="eastAsia" w:ascii="宋体" w:hAnsi="宋体"/>
          <w:highlight w:val="none"/>
        </w:rPr>
      </w:pPr>
      <w:r>
        <w:rPr>
          <w:rFonts w:hint="eastAsia" w:ascii="宋体" w:hAnsi="宋体"/>
          <w:highlight w:val="none"/>
        </w:rPr>
        <w:t>二、二级组件在中国境内生产的，其全部成本计入中国境内生产的组件成本；二级组件不在中国境内生产的，其成本不计入中国境内生产的组件成本。</w:t>
      </w:r>
    </w:p>
    <w:p>
      <w:pPr>
        <w:spacing w:line="360" w:lineRule="auto"/>
        <w:ind w:firstLine="480" w:firstLineChars="200"/>
        <w:rPr>
          <w:rFonts w:hint="eastAsia" w:ascii="宋体" w:hAnsi="宋体"/>
          <w:highlight w:val="none"/>
        </w:rPr>
      </w:pPr>
      <w:r>
        <w:rPr>
          <w:rFonts w:hint="eastAsia" w:ascii="宋体" w:hAnsi="宋体"/>
          <w:highlight w:val="none"/>
        </w:rPr>
        <w:t>三、产品总成本和组件成本以相关会计核算数据、采购合同、进货记录等为基础进行计算。</w:t>
      </w:r>
    </w:p>
    <w:p>
      <w:pPr>
        <w:spacing w:line="360" w:lineRule="auto"/>
        <w:ind w:firstLine="480" w:firstLineChars="200"/>
        <w:rPr>
          <w:rFonts w:hint="eastAsia" w:ascii="宋体" w:hAnsi="宋体"/>
          <w:highlight w:val="none"/>
        </w:rPr>
      </w:pPr>
      <w:r>
        <w:rPr>
          <w:rFonts w:hint="eastAsia" w:ascii="宋体" w:hAnsi="宋体"/>
          <w:highlight w:val="none"/>
        </w:rPr>
        <w:t>四、需要对成本核算规则予以进一步明确的其他有关事项，由财政部会同有关部门另行规定。</w:t>
      </w:r>
    </w:p>
    <w:sectPr>
      <w:footerReference r:id="rId11" w:type="first"/>
      <w:footerReference r:id="rId10" w:type="default"/>
      <w:pgSz w:w="11906" w:h="16838"/>
      <w:pgMar w:top="1276" w:right="1418" w:bottom="1247" w:left="1418" w:header="851" w:footer="992" w:gutter="0"/>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0000000000000000000"/>
    <w:charset w:val="00"/>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2312">
    <w:altName w:val="方正仿宋_GBK"/>
    <w:panose1 w:val="00000000000000000000"/>
    <w:charset w:val="00"/>
    <w:family w:val="auto"/>
    <w:pitch w:val="default"/>
    <w:sig w:usb0="00000000" w:usb1="00000000" w:usb2="00000012" w:usb3="00000000" w:csb0="00040001" w:csb1="00000000"/>
  </w:font>
  <w:font w:name="等线">
    <w:altName w:val="Noto Sans CJK SC"/>
    <w:panose1 w:val="00000000000000000000"/>
    <w:charset w:val="00"/>
    <w:family w:val="auto"/>
    <w:pitch w:val="default"/>
    <w:sig w:usb0="00000000" w:usb1="00000000" w:usb2="00000000" w:usb3="00000000" w:csb0="00000000" w:csb1="00000000"/>
  </w:font>
  <w:font w:name="Noto Sans CJK SC">
    <w:panose1 w:val="020B05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720" w:firstLine="210" w:firstLineChars="100"/>
      <w:jc w:val="center"/>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posOffset>1973580</wp:posOffset>
              </wp:positionH>
              <wp:positionV relativeFrom="paragraph">
                <wp:posOffset>31115</wp:posOffset>
              </wp:positionV>
              <wp:extent cx="1524000" cy="172720"/>
              <wp:effectExtent l="0" t="0" r="0" b="0"/>
              <wp:wrapNone/>
              <wp:docPr id="2"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524000" cy="172720"/>
                      </a:xfrm>
                      <a:prstGeom prst="rect">
                        <a:avLst/>
                      </a:prstGeom>
                      <a:noFill/>
                      <a:ln>
                        <a:noFill/>
                      </a:ln>
                      <a:effectLst/>
                    </wps:spPr>
                    <wps:txbx>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wps:txbx>
                    <wps:bodyPr rot="0" vert="horz" wrap="square" lIns="0" tIns="0" rIns="0" bIns="0" anchor="t" anchorCtr="0" upright="1">
                      <a:spAutoFit/>
                    </wps:bodyPr>
                  </wps:wsp>
                </a:graphicData>
              </a:graphic>
            </wp:anchor>
          </w:drawing>
        </mc:Choice>
        <mc:Fallback>
          <w:pict>
            <v:shape id="文本框 1026" o:spid="_x0000_s1026" o:spt="202" type="#_x0000_t202" style="position:absolute;left:0pt;margin-left:155.4pt;margin-top:2.45pt;height:13.6pt;width:120pt;mso-position-horizontal-relative:margin;z-index:251659264;mso-width-relative:page;mso-height-relative:page;" filled="f" stroked="f" coordsize="21600,21600" o:gfxdata="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Am&#10;viMi0wAAAAgBAAAPAAAAAAAAAAEAIAAAADgAAABkcnMvZG93bnJldi54bWxQSwECFAAUAAAACACH&#10;TuJAyOQmyRMCAAAWBAAADgAAAAAAAAABACAAAAA4AQAAZHJzL2Uyb0RvYy54bWxQSwUGAAAAAAYA&#10;BgBZAQAAvQUAAAAA&#10;">
              <v:fill on="f" focussize="0,0"/>
              <v:stroke on="f"/>
              <v:imagedata o:title=""/>
              <o:lock v:ext="edit" aspectratio="f"/>
              <v:textbox inset="0mm,0mm,0mm,0mm" style="mso-fit-shape-to-text:t;">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720" w:firstLine="210" w:firstLineChars="100"/>
      <w:jc w:val="center"/>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posOffset>1973580</wp:posOffset>
              </wp:positionH>
              <wp:positionV relativeFrom="paragraph">
                <wp:posOffset>31115</wp:posOffset>
              </wp:positionV>
              <wp:extent cx="1524000" cy="172720"/>
              <wp:effectExtent l="0" t="0" r="0" b="3175"/>
              <wp:wrapNone/>
              <wp:docPr id="863673996"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524000" cy="172720"/>
                      </a:xfrm>
                      <a:prstGeom prst="rect">
                        <a:avLst/>
                      </a:prstGeom>
                      <a:noFill/>
                      <a:ln>
                        <a:noFill/>
                      </a:ln>
                      <a:effectLst/>
                    </wps:spPr>
                    <wps:txbx>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wps:txbx>
                    <wps:bodyPr rot="0" vert="horz" wrap="square" lIns="0" tIns="0" rIns="0" bIns="0" anchor="t" anchorCtr="0" upright="1">
                      <a:spAutoFit/>
                    </wps:bodyPr>
                  </wps:wsp>
                </a:graphicData>
              </a:graphic>
            </wp:anchor>
          </w:drawing>
        </mc:Choice>
        <mc:Fallback>
          <w:pict>
            <v:shape id="文本框 1026" o:spid="_x0000_s1026" o:spt="202" type="#_x0000_t202" style="position:absolute;left:0pt;margin-left:155.4pt;margin-top:2.45pt;height:13.6pt;width:120pt;mso-position-horizontal-relative:margin;z-index:251659264;mso-width-relative:page;mso-height-relative:page;" filled="f" stroked="f" coordsize="21600,21600" o:gfxdata="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Ca+IyLTAAAACAEAAA8AAAAAAAAAAQAgAAAAOAAAAGRycy9kb3ducmV2LnhtbFBLAQIU&#10;ABQAAAAIAIdO4kATCqmkGwIAAB4EAAAOAAAAAAAAAAEAIAAAADgBAABkcnMvZTJvRG9jLnhtbFBL&#10;BQYAAAAABgAGAFkBAADFBQAAAAA=&#10;">
              <v:fill on="f" focussize="0,0"/>
              <v:stroke on="f"/>
              <v:imagedata o:title=""/>
              <o:lock v:ext="edit" aspectratio="f"/>
              <v:textbox inset="0mm,0mm,0mm,0mm" style="mso-fit-shape-to-text:t;">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rFonts w:ascii="仿宋_GB2312" w:eastAsia="仿宋_GB2312"/>
      </w:rPr>
    </w:pPr>
  </w:p>
  <w:p>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rFonts w:ascii="仿宋_GB2312" w:eastAsia="仿宋_GB2312"/>
      </w:rPr>
    </w:pPr>
    <w:r>
      <w:rPr>
        <w:sz w:val="21"/>
      </w:rPr>
      <mc:AlternateContent>
        <mc:Choice Requires="wps">
          <w:drawing>
            <wp:anchor distT="0" distB="0" distL="114300" distR="114300" simplePos="0" relativeHeight="251661312" behindDoc="0" locked="0" layoutInCell="1" allowOverlap="1">
              <wp:simplePos x="0" y="0"/>
              <wp:positionH relativeFrom="margin">
                <wp:posOffset>4604385</wp:posOffset>
              </wp:positionH>
              <wp:positionV relativeFrom="paragraph">
                <wp:posOffset>3395345</wp:posOffset>
              </wp:positionV>
              <wp:extent cx="4058920" cy="301625"/>
              <wp:effectExtent l="0" t="0" r="18415" b="3175"/>
              <wp:wrapNone/>
              <wp:docPr id="3"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4058920" cy="301625"/>
                      </a:xfrm>
                      <a:prstGeom prst="rect">
                        <a:avLst/>
                      </a:prstGeom>
                      <a:noFill/>
                      <a:ln>
                        <a:noFill/>
                      </a:ln>
                      <a:effectLst/>
                    </wps:spPr>
                    <wps:txbx>
                      <w:txbxContent>
                        <w:p>
                          <w:pPr>
                            <w:pStyle w:val="19"/>
                            <w:ind w:left="-7512" w:leftChars="-3131" w:right="-1281" w:hanging="2"/>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left:362.55pt;margin-top:267.35pt;height:23.75pt;width:319.6pt;mso-position-horizontal-relative:margin;mso-wrap-style:none;z-index:251661312;mso-width-relative:page;mso-height-relative:page;" filled="f" stroked="f" coordsize="21600,21600" o:gfxdata="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EGQNMbYAAAADAEAAA8AAAAAAAAAAQAgAAAAOAAAAGRycy9kb3ducmV2LnhtbFBLAQIUABQA&#10;AAAIAIdO4kCDUWeREwIAABQEAAAOAAAAAAAAAAEAIAAAAD0BAABkcnMvZTJvRG9jLnhtbFBLBQYA&#10;AAAABgAGAFkBAADCBQAAAAA=&#10;">
              <v:fill on="f" focussize="0,0"/>
              <v:stroke on="f"/>
              <v:imagedata o:title=""/>
              <o:lock v:ext="edit" aspectratio="f"/>
              <v:textbox inset="0mm,0mm,0mm,0mm" style="mso-fit-shape-to-text:t;">
                <w:txbxContent>
                  <w:p>
                    <w:pPr>
                      <w:pStyle w:val="19"/>
                      <w:ind w:left="-7512" w:leftChars="-3131" w:right="-1281" w:hanging="2"/>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v:textbox>
            </v:shape>
          </w:pict>
        </mc:Fallback>
      </mc:AlternateContent>
    </w:r>
  </w:p>
  <w:p>
    <w:pPr>
      <w:rPr>
        <w:rFonts w:ascii="仿宋_GB2312" w:eastAsia="仿宋_GB2312"/>
      </w:rPr>
    </w:pPr>
    <w:r>
      <w:rPr>
        <w:sz w:val="21"/>
      </w:rPr>
      <mc:AlternateContent>
        <mc:Choice Requires="wps">
          <w:drawing>
            <wp:anchor distT="0" distB="0" distL="114300" distR="114300" simplePos="0" relativeHeight="251662336" behindDoc="0" locked="0" layoutInCell="1" allowOverlap="1">
              <wp:simplePos x="0" y="0"/>
              <wp:positionH relativeFrom="margin">
                <wp:posOffset>3876675</wp:posOffset>
              </wp:positionH>
              <wp:positionV relativeFrom="paragraph">
                <wp:posOffset>9525</wp:posOffset>
              </wp:positionV>
              <wp:extent cx="1257935" cy="172720"/>
              <wp:effectExtent l="0" t="0" r="0" b="0"/>
              <wp:wrapNone/>
              <wp:docPr id="4"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257935" cy="172720"/>
                      </a:xfrm>
                      <a:prstGeom prst="rect">
                        <a:avLst/>
                      </a:prstGeom>
                      <a:noFill/>
                      <a:ln>
                        <a:noFill/>
                      </a:ln>
                      <a:effectLst/>
                    </wps:spPr>
                    <wps:txbx>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left:305.25pt;margin-top:0.75pt;height:13.6pt;width:99.05pt;mso-position-horizontal-relative:margin;mso-wrap-style:none;z-index:251662336;mso-width-relative:page;mso-height-relative:page;" filled="f" stroked="f" coordsize="21600,21600" o:gfxdata="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9Z6JDdQAAAAIAQAADwAAAAAAAAABACAAAAA4AAAAZHJzL2Rvd25yZXYueG1sUEsBAhQAFAAAAAgA&#10;h07iQFZn32ETAgAAFAQAAA4AAAAAAAAAAQAgAAAAOQEAAGRycy9lMm9Eb2MueG1sUEsFBgAAAAAG&#10;AAYAWQEAAL4FAAAAAA==&#10;">
              <v:fill on="f" focussize="0,0"/>
              <v:stroke on="f"/>
              <v:imagedata o:title=""/>
              <o:lock v:ext="edit" aspectratio="f"/>
              <v:textbox inset="0mm,0mm,0mm,0mm" style="mso-fit-shape-to-text:t;">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margin">
                <wp:posOffset>2326005</wp:posOffset>
              </wp:positionH>
              <wp:positionV relativeFrom="paragraph">
                <wp:posOffset>3272790</wp:posOffset>
              </wp:positionV>
              <wp:extent cx="1257935" cy="172720"/>
              <wp:effectExtent l="0" t="0" r="0" b="0"/>
              <wp:wrapNone/>
              <wp:docPr id="1"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257935" cy="172720"/>
                      </a:xfrm>
                      <a:prstGeom prst="rect">
                        <a:avLst/>
                      </a:prstGeom>
                      <a:noFill/>
                      <a:ln>
                        <a:noFill/>
                      </a:ln>
                      <a:effectLst/>
                    </wps:spPr>
                    <wps:txbx>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left:183.15pt;margin-top:257.7pt;height:13.6pt;width:99.05pt;mso-position-horizontal-relative:margin;mso-wrap-style:none;z-index:251660288;mso-width-relative:page;mso-height-relative:page;" filled="f" stroked="f" coordsize="21600,21600" o:gfxdata="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BYAAABkcnMvUEsBAhQAFAAAAAgAh07i&#10;QPUmLGPXAAAACwEAAA8AAAAAAAAAAQAgAAAAOAAAAGRycy9kb3ducmV2LnhtbFBLAQIUABQAAAAI&#10;AIdO4kCAIfKOEQIAABQEAAAOAAAAAAAAAAEAIAAAADwBAABkcnMvZTJvRG9jLnhtbFBLBQYAAAAA&#10;BgAGAFkBAAC/BQAAAAA=&#10;">
              <v:fill on="f" focussize="0,0"/>
              <v:stroke on="f"/>
              <v:imagedata o:title=""/>
              <o:lock v:ext="edit" aspectratio="f"/>
              <v:textbox inset="0mm,0mm,0mm,0mm" style="mso-fit-shape-to-text:t;">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rPr>
        <w:sz w:val="21"/>
      </w:rPr>
      <mc:AlternateContent>
        <mc:Choice Requires="wps">
          <w:drawing>
            <wp:anchor distT="0" distB="0" distL="114300" distR="114300" simplePos="0" relativeHeight="251666432" behindDoc="0" locked="0" layoutInCell="1" allowOverlap="1">
              <wp:simplePos x="0" y="0"/>
              <wp:positionH relativeFrom="margin">
                <wp:posOffset>2209800</wp:posOffset>
              </wp:positionH>
              <wp:positionV relativeFrom="paragraph">
                <wp:posOffset>253365</wp:posOffset>
              </wp:positionV>
              <wp:extent cx="1257935" cy="172720"/>
              <wp:effectExtent l="0" t="0" r="0" b="0"/>
              <wp:wrapNone/>
              <wp:docPr id="8"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257935" cy="172720"/>
                      </a:xfrm>
                      <a:prstGeom prst="rect">
                        <a:avLst/>
                      </a:prstGeom>
                      <a:noFill/>
                      <a:ln>
                        <a:noFill/>
                      </a:ln>
                      <a:effectLst/>
                    </wps:spPr>
                    <wps:txbx>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left:174pt;margin-top:19.95pt;height:13.6pt;width:99.05pt;mso-position-horizontal-relative:margin;mso-wrap-style:none;z-index:251666432;mso-width-relative:page;mso-height-relative:page;" filled="f" stroked="f" coordsize="21600,21600" o:gfxdata="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WAAAAZHJzL1BLAQIUABQAAAAIAIdO&#10;4kDE8jBG1wAAAAkBAAAPAAAAAAAAAAEAIAAAADgAAABkcnMvZG93bnJldi54bWxQSwECFAAUAAAA&#10;CACHTuJA4JXtZxICAAAUBAAADgAAAAAAAAABACAAAAA8AQAAZHJzL2Uyb0RvYy54bWxQSwUGAAAA&#10;AAYABgBZAQAAwAUAAAAA&#10;">
              <v:fill on="f" focussize="0,0"/>
              <v:stroke on="f"/>
              <v:imagedata o:title=""/>
              <o:lock v:ext="edit" aspectratio="f"/>
              <v:textbox inset="0mm,0mm,0mm,0mm" style="mso-fit-shape-to-text:t;">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v:textbox>
            </v:shape>
          </w:pict>
        </mc:Fallback>
      </mc:AlternateContent>
    </w:r>
  </w:p>
  <w:p>
    <w:pPr>
      <w:pStyle w:val="19"/>
      <w:ind w:right="720" w:firstLine="210" w:firstLineChars="100"/>
      <w:jc w:val="center"/>
      <w:rPr>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posOffset>4604385</wp:posOffset>
              </wp:positionH>
              <wp:positionV relativeFrom="paragraph">
                <wp:posOffset>3395345</wp:posOffset>
              </wp:positionV>
              <wp:extent cx="4058920" cy="301625"/>
              <wp:effectExtent l="0" t="0" r="18415" b="3175"/>
              <wp:wrapNone/>
              <wp:docPr id="5"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4058920" cy="301625"/>
                      </a:xfrm>
                      <a:prstGeom prst="rect">
                        <a:avLst/>
                      </a:prstGeom>
                      <a:noFill/>
                      <a:ln>
                        <a:noFill/>
                      </a:ln>
                      <a:effectLst/>
                    </wps:spPr>
                    <wps:txbx>
                      <w:txbxContent>
                        <w:p>
                          <w:pPr>
                            <w:pStyle w:val="19"/>
                            <w:ind w:left="-7512" w:leftChars="-3131" w:right="-1281" w:hanging="2"/>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left:362.55pt;margin-top:267.35pt;height:23.75pt;width:319.6pt;mso-position-horizontal-relative:margin;mso-wrap-style:none;z-index:251664384;mso-width-relative:page;mso-height-relative:page;" filled="f" stroked="f" coordsize="21600,21600" o:gfxdata="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QZA0xtgAAAAMAQAADwAAAAAAAAABACAAAAA4AAAAZHJzL2Rvd25yZXYueG1sUEsBAhQAFAAA&#10;AAgAh07iQNgofpISAgAAFAQAAA4AAAAAAAAAAQAgAAAAPQEAAGRycy9lMm9Eb2MueG1sUEsFBgAA&#10;AAAGAAYAWQEAAMEFAAAAAA==&#10;">
              <v:fill on="f" focussize="0,0"/>
              <v:stroke on="f"/>
              <v:imagedata o:title=""/>
              <o:lock v:ext="edit" aspectratio="f"/>
              <v:textbox inset="0mm,0mm,0mm,0mm" style="mso-fit-shape-to-text:t;">
                <w:txbxContent>
                  <w:p>
                    <w:pPr>
                      <w:pStyle w:val="19"/>
                      <w:ind w:left="-7512" w:leftChars="-3131" w:right="-1281" w:hanging="2"/>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v:textbox>
            </v:shape>
          </w:pict>
        </mc:Fallback>
      </mc:AlternateContent>
    </w:r>
  </w:p>
  <w:p>
    <w:pPr>
      <w:rPr>
        <w:rFonts w:ascii="仿宋_GB2312" w:eastAsia="仿宋_GB2312"/>
      </w:rPr>
    </w:pPr>
    <w:r>
      <w:rPr>
        <w:sz w:val="21"/>
      </w:rPr>
      <mc:AlternateContent>
        <mc:Choice Requires="wps">
          <w:drawing>
            <wp:anchor distT="0" distB="0" distL="114300" distR="114300" simplePos="0" relativeHeight="251665408" behindDoc="0" locked="0" layoutInCell="1" allowOverlap="1">
              <wp:simplePos x="0" y="0"/>
              <wp:positionH relativeFrom="margin">
                <wp:posOffset>2324100</wp:posOffset>
              </wp:positionH>
              <wp:positionV relativeFrom="paragraph">
                <wp:posOffset>9525</wp:posOffset>
              </wp:positionV>
              <wp:extent cx="1257935" cy="172720"/>
              <wp:effectExtent l="0" t="0" r="0" b="0"/>
              <wp:wrapNone/>
              <wp:docPr id="6"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257935" cy="172720"/>
                      </a:xfrm>
                      <a:prstGeom prst="rect">
                        <a:avLst/>
                      </a:prstGeom>
                      <a:noFill/>
                      <a:ln>
                        <a:noFill/>
                      </a:ln>
                      <a:effectLst/>
                    </wps:spPr>
                    <wps:txbx>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left:183pt;margin-top:0.75pt;height:13.6pt;width:99.05pt;mso-position-horizontal-relative:margin;mso-wrap-style:none;z-index:251665408;mso-width-relative:page;mso-height-relative:page;" filled="f" stroked="f" coordsize="21600,21600" o:gfxdata="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BYAAABkcnMvUEsBAhQAFAAAAAgAh07i&#10;QL35k0vVAAAACAEAAA8AAAAAAAAAAQAgAAAAOAAAAGRycy9kb3ducmV2LnhtbFBLAQIUABQAAAAI&#10;AIdO4kCgTQfWEwIAABQEAAAOAAAAAAAAAAEAIAAAADoBAABkcnMvZTJvRG9jLnhtbFBLBQYAAAAA&#10;BgAGAFkBAAC/BQAAAAA=&#10;">
              <v:fill on="f" focussize="0,0"/>
              <v:stroke on="f"/>
              <v:imagedata o:title=""/>
              <o:lock v:ext="edit" aspectratio="f"/>
              <v:textbox inset="0mm,0mm,0mm,0mm" style="mso-fit-shape-to-text:t;">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margin">
                <wp:posOffset>2326005</wp:posOffset>
              </wp:positionH>
              <wp:positionV relativeFrom="paragraph">
                <wp:posOffset>3272790</wp:posOffset>
              </wp:positionV>
              <wp:extent cx="1257935" cy="172720"/>
              <wp:effectExtent l="0" t="0" r="0" b="0"/>
              <wp:wrapNone/>
              <wp:docPr id="7"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257935" cy="172720"/>
                      </a:xfrm>
                      <a:prstGeom prst="rect">
                        <a:avLst/>
                      </a:prstGeom>
                      <a:noFill/>
                      <a:ln>
                        <a:noFill/>
                      </a:ln>
                      <a:effectLst/>
                    </wps:spPr>
                    <wps:txbx>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left:183.15pt;margin-top:257.7pt;height:13.6pt;width:99.05pt;mso-position-horizontal-relative:margin;mso-wrap-style:none;z-index:251663360;mso-width-relative:page;mso-height-relative:page;" filled="f" stroked="f" coordsize="21600,21600" o:gfxdata="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WAAAAZHJzL1BLAQIUABQAAAAIAIdO&#10;4kD1Jixj1wAAAAsBAAAPAAAAAAAAAAEAIAAAADgAAABkcnMvZG93bnJldi54bWxQSwECFAAUAAAA&#10;CACHTuJA21jrjRICAAAUBAAADgAAAAAAAAABACAAAAA8AQAAZHJzL2Uyb0RvYy54bWxQSwUGAAAA&#10;AAYABgBZAQAAwAUAAAAA&#10;">
              <v:fill on="f" focussize="0,0"/>
              <v:stroke on="f"/>
              <v:imagedata o:title=""/>
              <o:lock v:ext="edit" aspectratio="f"/>
              <v:textbox inset="0mm,0mm,0mm,0mm" style="mso-fit-shape-to-text:t;">
                <w:txbxContent>
                  <w:p>
                    <w:pPr>
                      <w:pStyle w:val="19"/>
                      <w:ind w:right="720" w:firstLine="210" w:firstLineChars="100"/>
                      <w:jc w:val="center"/>
                    </w:pPr>
                    <w:r>
                      <w:rPr>
                        <w:rFonts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72</w:t>
                    </w:r>
                    <w:r>
                      <w:rPr>
                        <w:sz w:val="21"/>
                        <w:szCs w:val="21"/>
                      </w:rPr>
                      <w:fldChar w:fldCharType="end"/>
                    </w:r>
                    <w:r>
                      <w:rPr>
                        <w:rFonts w:hint="eastAsia"/>
                        <w:sz w:val="21"/>
                        <w:szCs w:val="21"/>
                      </w:rPr>
                      <w:t>页共</w:t>
                    </w:r>
                    <w:r>
                      <w:rPr>
                        <w:sz w:val="21"/>
                        <w:szCs w:val="21"/>
                      </w:rPr>
                      <w:fldChar w:fldCharType="begin"/>
                    </w:r>
                    <w:r>
                      <w:rPr>
                        <w:sz w:val="21"/>
                        <w:szCs w:val="21"/>
                      </w:rPr>
                      <w:instrText xml:space="preserve"> NUMPAGES </w:instrText>
                    </w:r>
                    <w:r>
                      <w:rPr>
                        <w:sz w:val="21"/>
                        <w:szCs w:val="21"/>
                      </w:rPr>
                      <w:fldChar w:fldCharType="separate"/>
                    </w:r>
                    <w:r>
                      <w:rPr>
                        <w:sz w:val="21"/>
                        <w:szCs w:val="21"/>
                      </w:rPr>
                      <w:t>108</w:t>
                    </w:r>
                    <w:r>
                      <w:rPr>
                        <w:sz w:val="21"/>
                        <w:szCs w:val="21"/>
                      </w:rPr>
                      <w:fldChar w:fldCharType="end"/>
                    </w:r>
                    <w:r>
                      <w:rPr>
                        <w:rFonts w:hint="eastAsia"/>
                        <w:sz w:val="21"/>
                        <w:szCs w:val="21"/>
                      </w:rPr>
                      <w:t>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b/>
        <w:i/>
        <w:sz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F4430"/>
    <w:multiLevelType w:val="singleLevel"/>
    <w:tmpl w:val="FE4F4430"/>
    <w:lvl w:ilvl="0" w:tentative="0">
      <w:start w:val="2"/>
      <w:numFmt w:val="chineseCounting"/>
      <w:suff w:val="nothing"/>
      <w:lvlText w:val="%1、"/>
      <w:lvlJc w:val="left"/>
      <w:rPr>
        <w:rFonts w:hint="eastAsia"/>
      </w:rPr>
    </w:lvl>
  </w:abstractNum>
  <w:abstractNum w:abstractNumId="1">
    <w:nsid w:val="00000008"/>
    <w:multiLevelType w:val="singleLevel"/>
    <w:tmpl w:val="00000008"/>
    <w:lvl w:ilvl="0" w:tentative="0">
      <w:start w:val="5"/>
      <w:numFmt w:val="chineseCounting"/>
      <w:suff w:val="space"/>
      <w:lvlText w:val="第%1章"/>
      <w:lvlJc w:val="left"/>
      <w:rPr>
        <w:rFonts w:hint="eastAsia"/>
      </w:rPr>
    </w:lvl>
  </w:abstractNum>
  <w:abstractNum w:abstractNumId="2">
    <w:nsid w:val="0000000B"/>
    <w:multiLevelType w:val="singleLevel"/>
    <w:tmpl w:val="0000000B"/>
    <w:lvl w:ilvl="0" w:tentative="0">
      <w:start w:val="1"/>
      <w:numFmt w:val="decimal"/>
      <w:pStyle w:val="5"/>
      <w:lvlText w:val="%1."/>
      <w:lvlJc w:val="left"/>
      <w:pPr>
        <w:tabs>
          <w:tab w:val="left" w:pos="360"/>
        </w:tabs>
        <w:ind w:left="360" w:hanging="360"/>
      </w:pPr>
    </w:lvl>
  </w:abstractNum>
  <w:abstractNum w:abstractNumId="3">
    <w:nsid w:val="6AB019D5"/>
    <w:multiLevelType w:val="singleLevel"/>
    <w:tmpl w:val="6AB019D5"/>
    <w:lvl w:ilvl="0" w:tentative="0">
      <w:start w:val="4"/>
      <w:numFmt w:val="decimal"/>
      <w:lvlText w:val="%1."/>
      <w:lvlJc w:val="left"/>
      <w:pPr>
        <w:tabs>
          <w:tab w:val="left" w:pos="312"/>
        </w:tabs>
      </w:pPr>
    </w:lvl>
  </w:abstractNum>
  <w:abstractNum w:abstractNumId="4">
    <w:nsid w:val="7DC90F36"/>
    <w:multiLevelType w:val="singleLevel"/>
    <w:tmpl w:val="7DC90F36"/>
    <w:lvl w:ilvl="0" w:tentative="0">
      <w:start w:val="1"/>
      <w:numFmt w:val="decimal"/>
      <w:suff w:val="nothing"/>
      <w:lvlText w:val="%1、"/>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xODcyMzgyMzNiNjQ4ZTBhNTczZmU3NDAyY2IwOTYifQ=="/>
    <w:docVar w:name="KSO_WPS_MARK_KEY" w:val="76ff5259-abe2-4aad-932e-95614e63fe38"/>
  </w:docVars>
  <w:rsids>
    <w:rsidRoot w:val="00172A27"/>
    <w:rsid w:val="00002787"/>
    <w:rsid w:val="00022339"/>
    <w:rsid w:val="00030B18"/>
    <w:rsid w:val="00033BC5"/>
    <w:rsid w:val="00034182"/>
    <w:rsid w:val="00036CA0"/>
    <w:rsid w:val="000371FB"/>
    <w:rsid w:val="0004791E"/>
    <w:rsid w:val="00051D36"/>
    <w:rsid w:val="00060488"/>
    <w:rsid w:val="00060653"/>
    <w:rsid w:val="000672BE"/>
    <w:rsid w:val="00073C4C"/>
    <w:rsid w:val="0009144B"/>
    <w:rsid w:val="000A1234"/>
    <w:rsid w:val="000B5353"/>
    <w:rsid w:val="000B784F"/>
    <w:rsid w:val="000C0F7A"/>
    <w:rsid w:val="000C18BB"/>
    <w:rsid w:val="000C1D53"/>
    <w:rsid w:val="000C274F"/>
    <w:rsid w:val="000C6E51"/>
    <w:rsid w:val="000D251B"/>
    <w:rsid w:val="000D61D6"/>
    <w:rsid w:val="000E20AD"/>
    <w:rsid w:val="0010052C"/>
    <w:rsid w:val="00105BF5"/>
    <w:rsid w:val="001069F4"/>
    <w:rsid w:val="00107F96"/>
    <w:rsid w:val="00113D2B"/>
    <w:rsid w:val="001155CF"/>
    <w:rsid w:val="001404EB"/>
    <w:rsid w:val="001413E0"/>
    <w:rsid w:val="00143371"/>
    <w:rsid w:val="001460D1"/>
    <w:rsid w:val="0015153E"/>
    <w:rsid w:val="00154362"/>
    <w:rsid w:val="00163410"/>
    <w:rsid w:val="001645F2"/>
    <w:rsid w:val="00167968"/>
    <w:rsid w:val="00171196"/>
    <w:rsid w:val="00172A27"/>
    <w:rsid w:val="001847CC"/>
    <w:rsid w:val="00193C7D"/>
    <w:rsid w:val="00196D0E"/>
    <w:rsid w:val="001A4BF1"/>
    <w:rsid w:val="001A746D"/>
    <w:rsid w:val="001B4605"/>
    <w:rsid w:val="001B46CB"/>
    <w:rsid w:val="001B74CC"/>
    <w:rsid w:val="001C18CA"/>
    <w:rsid w:val="001C7C37"/>
    <w:rsid w:val="001D1E1D"/>
    <w:rsid w:val="001F1A42"/>
    <w:rsid w:val="001F29D4"/>
    <w:rsid w:val="001F32B2"/>
    <w:rsid w:val="001F44BA"/>
    <w:rsid w:val="00200D4A"/>
    <w:rsid w:val="00201393"/>
    <w:rsid w:val="0020426F"/>
    <w:rsid w:val="00211092"/>
    <w:rsid w:val="00216B70"/>
    <w:rsid w:val="00223001"/>
    <w:rsid w:val="00223078"/>
    <w:rsid w:val="0023347C"/>
    <w:rsid w:val="00235263"/>
    <w:rsid w:val="0023723C"/>
    <w:rsid w:val="002421C6"/>
    <w:rsid w:val="00242C31"/>
    <w:rsid w:val="00246DDF"/>
    <w:rsid w:val="0025094F"/>
    <w:rsid w:val="002532F0"/>
    <w:rsid w:val="00255252"/>
    <w:rsid w:val="00256E83"/>
    <w:rsid w:val="00260F4C"/>
    <w:rsid w:val="002700FC"/>
    <w:rsid w:val="00272A36"/>
    <w:rsid w:val="00280FEA"/>
    <w:rsid w:val="00286BFB"/>
    <w:rsid w:val="002972E9"/>
    <w:rsid w:val="002A1002"/>
    <w:rsid w:val="002A10DE"/>
    <w:rsid w:val="002A2DE4"/>
    <w:rsid w:val="002A4C46"/>
    <w:rsid w:val="002A4EF2"/>
    <w:rsid w:val="002B4418"/>
    <w:rsid w:val="002B46E7"/>
    <w:rsid w:val="002C738D"/>
    <w:rsid w:val="002D0D68"/>
    <w:rsid w:val="002D5F91"/>
    <w:rsid w:val="002F196B"/>
    <w:rsid w:val="002F2C33"/>
    <w:rsid w:val="002F55EF"/>
    <w:rsid w:val="0030006F"/>
    <w:rsid w:val="00306B3F"/>
    <w:rsid w:val="0032064E"/>
    <w:rsid w:val="003262E8"/>
    <w:rsid w:val="003302F8"/>
    <w:rsid w:val="003343E7"/>
    <w:rsid w:val="00336720"/>
    <w:rsid w:val="00336758"/>
    <w:rsid w:val="00350CB4"/>
    <w:rsid w:val="003539B6"/>
    <w:rsid w:val="00364935"/>
    <w:rsid w:val="00376D38"/>
    <w:rsid w:val="00380521"/>
    <w:rsid w:val="00381180"/>
    <w:rsid w:val="0038551B"/>
    <w:rsid w:val="00392716"/>
    <w:rsid w:val="0039556A"/>
    <w:rsid w:val="003A04CD"/>
    <w:rsid w:val="003C3A14"/>
    <w:rsid w:val="003D10A7"/>
    <w:rsid w:val="003D17B6"/>
    <w:rsid w:val="003D4BD0"/>
    <w:rsid w:val="003E254C"/>
    <w:rsid w:val="003E5E7F"/>
    <w:rsid w:val="00400846"/>
    <w:rsid w:val="00405EAB"/>
    <w:rsid w:val="00412C61"/>
    <w:rsid w:val="00416059"/>
    <w:rsid w:val="00416BAB"/>
    <w:rsid w:val="004218EC"/>
    <w:rsid w:val="0042330A"/>
    <w:rsid w:val="0042402C"/>
    <w:rsid w:val="00443922"/>
    <w:rsid w:val="0045459C"/>
    <w:rsid w:val="00454F04"/>
    <w:rsid w:val="0045722E"/>
    <w:rsid w:val="004573BB"/>
    <w:rsid w:val="004573E8"/>
    <w:rsid w:val="00464730"/>
    <w:rsid w:val="004647E9"/>
    <w:rsid w:val="00471630"/>
    <w:rsid w:val="00472B9D"/>
    <w:rsid w:val="00474FA1"/>
    <w:rsid w:val="00476DF0"/>
    <w:rsid w:val="00482342"/>
    <w:rsid w:val="00486D80"/>
    <w:rsid w:val="0049359D"/>
    <w:rsid w:val="00495A68"/>
    <w:rsid w:val="004B1A3E"/>
    <w:rsid w:val="004B2B39"/>
    <w:rsid w:val="004B426E"/>
    <w:rsid w:val="004B7DB5"/>
    <w:rsid w:val="004C0239"/>
    <w:rsid w:val="004C51F0"/>
    <w:rsid w:val="004D35B5"/>
    <w:rsid w:val="004D5C41"/>
    <w:rsid w:val="004E58D7"/>
    <w:rsid w:val="004F522C"/>
    <w:rsid w:val="004F7B3D"/>
    <w:rsid w:val="00500A2A"/>
    <w:rsid w:val="00505242"/>
    <w:rsid w:val="0052123B"/>
    <w:rsid w:val="0052284A"/>
    <w:rsid w:val="005239B3"/>
    <w:rsid w:val="00525D10"/>
    <w:rsid w:val="00530C57"/>
    <w:rsid w:val="00536595"/>
    <w:rsid w:val="005412EE"/>
    <w:rsid w:val="005422AC"/>
    <w:rsid w:val="00542FE7"/>
    <w:rsid w:val="005432DC"/>
    <w:rsid w:val="00544FC6"/>
    <w:rsid w:val="00547775"/>
    <w:rsid w:val="0055552F"/>
    <w:rsid w:val="00556530"/>
    <w:rsid w:val="005661AD"/>
    <w:rsid w:val="00567FC3"/>
    <w:rsid w:val="00574486"/>
    <w:rsid w:val="005748FA"/>
    <w:rsid w:val="00592555"/>
    <w:rsid w:val="005A3975"/>
    <w:rsid w:val="005B0AB6"/>
    <w:rsid w:val="005B4DA5"/>
    <w:rsid w:val="005C235B"/>
    <w:rsid w:val="005C64E1"/>
    <w:rsid w:val="005C7517"/>
    <w:rsid w:val="005D0A50"/>
    <w:rsid w:val="005D45E3"/>
    <w:rsid w:val="005D5A9F"/>
    <w:rsid w:val="005D775A"/>
    <w:rsid w:val="005E0B8D"/>
    <w:rsid w:val="005E6B49"/>
    <w:rsid w:val="005F45CF"/>
    <w:rsid w:val="005F605C"/>
    <w:rsid w:val="006006B1"/>
    <w:rsid w:val="00600847"/>
    <w:rsid w:val="00601B65"/>
    <w:rsid w:val="00603AF6"/>
    <w:rsid w:val="00615563"/>
    <w:rsid w:val="00632E64"/>
    <w:rsid w:val="006377CD"/>
    <w:rsid w:val="00643167"/>
    <w:rsid w:val="0065733B"/>
    <w:rsid w:val="00660AE1"/>
    <w:rsid w:val="00664E22"/>
    <w:rsid w:val="00666B45"/>
    <w:rsid w:val="00681921"/>
    <w:rsid w:val="006849DC"/>
    <w:rsid w:val="00686A3D"/>
    <w:rsid w:val="006937F7"/>
    <w:rsid w:val="0069421D"/>
    <w:rsid w:val="006B7E31"/>
    <w:rsid w:val="006C04B7"/>
    <w:rsid w:val="006C0A39"/>
    <w:rsid w:val="006C4D02"/>
    <w:rsid w:val="006C6607"/>
    <w:rsid w:val="006E14EC"/>
    <w:rsid w:val="006E721C"/>
    <w:rsid w:val="006F0264"/>
    <w:rsid w:val="006F1681"/>
    <w:rsid w:val="006F61CD"/>
    <w:rsid w:val="0070559D"/>
    <w:rsid w:val="00710B7C"/>
    <w:rsid w:val="00717035"/>
    <w:rsid w:val="00723013"/>
    <w:rsid w:val="0072466E"/>
    <w:rsid w:val="007263B1"/>
    <w:rsid w:val="00733E4B"/>
    <w:rsid w:val="00734164"/>
    <w:rsid w:val="00742CB1"/>
    <w:rsid w:val="00753C14"/>
    <w:rsid w:val="00753FED"/>
    <w:rsid w:val="00754364"/>
    <w:rsid w:val="00755B13"/>
    <w:rsid w:val="007741FC"/>
    <w:rsid w:val="00776329"/>
    <w:rsid w:val="0078021C"/>
    <w:rsid w:val="0078177C"/>
    <w:rsid w:val="00781E32"/>
    <w:rsid w:val="00786FE9"/>
    <w:rsid w:val="0079149A"/>
    <w:rsid w:val="007926D7"/>
    <w:rsid w:val="00792F14"/>
    <w:rsid w:val="007935F4"/>
    <w:rsid w:val="0079601C"/>
    <w:rsid w:val="007A2E47"/>
    <w:rsid w:val="007A4308"/>
    <w:rsid w:val="007A7A71"/>
    <w:rsid w:val="007B4954"/>
    <w:rsid w:val="007C009E"/>
    <w:rsid w:val="007C1382"/>
    <w:rsid w:val="007D5664"/>
    <w:rsid w:val="007D7C4E"/>
    <w:rsid w:val="007E2536"/>
    <w:rsid w:val="007E37DA"/>
    <w:rsid w:val="00802B51"/>
    <w:rsid w:val="00805331"/>
    <w:rsid w:val="00816AE5"/>
    <w:rsid w:val="00822796"/>
    <w:rsid w:val="00822D26"/>
    <w:rsid w:val="0083070D"/>
    <w:rsid w:val="00831B6E"/>
    <w:rsid w:val="008346A3"/>
    <w:rsid w:val="00841016"/>
    <w:rsid w:val="0084497D"/>
    <w:rsid w:val="00850884"/>
    <w:rsid w:val="008556CF"/>
    <w:rsid w:val="008556D5"/>
    <w:rsid w:val="0085571C"/>
    <w:rsid w:val="00855CC8"/>
    <w:rsid w:val="0085642F"/>
    <w:rsid w:val="0085649D"/>
    <w:rsid w:val="00867D10"/>
    <w:rsid w:val="008722F3"/>
    <w:rsid w:val="00882F51"/>
    <w:rsid w:val="008867EB"/>
    <w:rsid w:val="00891004"/>
    <w:rsid w:val="008937D0"/>
    <w:rsid w:val="00897B56"/>
    <w:rsid w:val="00897BA4"/>
    <w:rsid w:val="008A3287"/>
    <w:rsid w:val="008A7EBB"/>
    <w:rsid w:val="008B4517"/>
    <w:rsid w:val="008B7C46"/>
    <w:rsid w:val="008B7D2D"/>
    <w:rsid w:val="008C7380"/>
    <w:rsid w:val="008F6ABB"/>
    <w:rsid w:val="008F7BAC"/>
    <w:rsid w:val="00913C25"/>
    <w:rsid w:val="009168E9"/>
    <w:rsid w:val="00917330"/>
    <w:rsid w:val="009178E3"/>
    <w:rsid w:val="00925621"/>
    <w:rsid w:val="0092571D"/>
    <w:rsid w:val="009418CD"/>
    <w:rsid w:val="00946ED3"/>
    <w:rsid w:val="00950112"/>
    <w:rsid w:val="00952C8C"/>
    <w:rsid w:val="00954ACD"/>
    <w:rsid w:val="00956E51"/>
    <w:rsid w:val="009579FE"/>
    <w:rsid w:val="00966E4C"/>
    <w:rsid w:val="00975C57"/>
    <w:rsid w:val="00975DE0"/>
    <w:rsid w:val="00984188"/>
    <w:rsid w:val="00987BB3"/>
    <w:rsid w:val="00991D00"/>
    <w:rsid w:val="009923E0"/>
    <w:rsid w:val="009A5DAD"/>
    <w:rsid w:val="009A6F49"/>
    <w:rsid w:val="009A79BD"/>
    <w:rsid w:val="009B34D6"/>
    <w:rsid w:val="009B3904"/>
    <w:rsid w:val="009C1EDC"/>
    <w:rsid w:val="009C41A5"/>
    <w:rsid w:val="009D2985"/>
    <w:rsid w:val="009D6087"/>
    <w:rsid w:val="009D7A46"/>
    <w:rsid w:val="009E0E92"/>
    <w:rsid w:val="009E1E38"/>
    <w:rsid w:val="009E7F35"/>
    <w:rsid w:val="009F3B68"/>
    <w:rsid w:val="00A0098E"/>
    <w:rsid w:val="00A02433"/>
    <w:rsid w:val="00A16374"/>
    <w:rsid w:val="00A319BC"/>
    <w:rsid w:val="00A37A85"/>
    <w:rsid w:val="00A37D84"/>
    <w:rsid w:val="00A514DD"/>
    <w:rsid w:val="00A54EFC"/>
    <w:rsid w:val="00A660D2"/>
    <w:rsid w:val="00A666A6"/>
    <w:rsid w:val="00A67A77"/>
    <w:rsid w:val="00A7067F"/>
    <w:rsid w:val="00A86226"/>
    <w:rsid w:val="00A866C9"/>
    <w:rsid w:val="00A9528A"/>
    <w:rsid w:val="00A97F7F"/>
    <w:rsid w:val="00AA0348"/>
    <w:rsid w:val="00AA46C0"/>
    <w:rsid w:val="00AB0653"/>
    <w:rsid w:val="00AB1B0D"/>
    <w:rsid w:val="00AB518A"/>
    <w:rsid w:val="00AC23E2"/>
    <w:rsid w:val="00AC7352"/>
    <w:rsid w:val="00AD0D2C"/>
    <w:rsid w:val="00AD1B00"/>
    <w:rsid w:val="00AD3D3D"/>
    <w:rsid w:val="00AD6B71"/>
    <w:rsid w:val="00AE2B70"/>
    <w:rsid w:val="00AE4EDC"/>
    <w:rsid w:val="00AF1618"/>
    <w:rsid w:val="00AF2034"/>
    <w:rsid w:val="00B01502"/>
    <w:rsid w:val="00B066CD"/>
    <w:rsid w:val="00B10D78"/>
    <w:rsid w:val="00B166FB"/>
    <w:rsid w:val="00B20674"/>
    <w:rsid w:val="00B2165B"/>
    <w:rsid w:val="00B27EB6"/>
    <w:rsid w:val="00B342AE"/>
    <w:rsid w:val="00B37EBA"/>
    <w:rsid w:val="00B4179D"/>
    <w:rsid w:val="00B41C23"/>
    <w:rsid w:val="00B53FCE"/>
    <w:rsid w:val="00B55E53"/>
    <w:rsid w:val="00B660A8"/>
    <w:rsid w:val="00B7346D"/>
    <w:rsid w:val="00B74375"/>
    <w:rsid w:val="00B7636C"/>
    <w:rsid w:val="00B768F1"/>
    <w:rsid w:val="00B8766F"/>
    <w:rsid w:val="00B87B6F"/>
    <w:rsid w:val="00B9013F"/>
    <w:rsid w:val="00B94647"/>
    <w:rsid w:val="00B96CAF"/>
    <w:rsid w:val="00BA60D4"/>
    <w:rsid w:val="00BA6D13"/>
    <w:rsid w:val="00BB2F1C"/>
    <w:rsid w:val="00BB44BB"/>
    <w:rsid w:val="00BB4A8D"/>
    <w:rsid w:val="00BB4DD0"/>
    <w:rsid w:val="00BB5A4F"/>
    <w:rsid w:val="00BB75D0"/>
    <w:rsid w:val="00BC08BF"/>
    <w:rsid w:val="00BC09B3"/>
    <w:rsid w:val="00BC5B7B"/>
    <w:rsid w:val="00BC614C"/>
    <w:rsid w:val="00BC7068"/>
    <w:rsid w:val="00BD18A1"/>
    <w:rsid w:val="00BD1C86"/>
    <w:rsid w:val="00BE0B5E"/>
    <w:rsid w:val="00BE2FE3"/>
    <w:rsid w:val="00C017E0"/>
    <w:rsid w:val="00C04EAF"/>
    <w:rsid w:val="00C101E0"/>
    <w:rsid w:val="00C11402"/>
    <w:rsid w:val="00C11533"/>
    <w:rsid w:val="00C16E40"/>
    <w:rsid w:val="00C30B9D"/>
    <w:rsid w:val="00C43F77"/>
    <w:rsid w:val="00C46B35"/>
    <w:rsid w:val="00C567A8"/>
    <w:rsid w:val="00C57456"/>
    <w:rsid w:val="00C66735"/>
    <w:rsid w:val="00C95204"/>
    <w:rsid w:val="00C96D1D"/>
    <w:rsid w:val="00C974F5"/>
    <w:rsid w:val="00CA5627"/>
    <w:rsid w:val="00CA6FD4"/>
    <w:rsid w:val="00CB08C7"/>
    <w:rsid w:val="00CB1FB5"/>
    <w:rsid w:val="00CB74F5"/>
    <w:rsid w:val="00CC2E60"/>
    <w:rsid w:val="00CC510C"/>
    <w:rsid w:val="00CC574E"/>
    <w:rsid w:val="00CC63A1"/>
    <w:rsid w:val="00CD4313"/>
    <w:rsid w:val="00CD597D"/>
    <w:rsid w:val="00CD65E4"/>
    <w:rsid w:val="00CD6904"/>
    <w:rsid w:val="00CE0BAC"/>
    <w:rsid w:val="00CE1E46"/>
    <w:rsid w:val="00CE1EB8"/>
    <w:rsid w:val="00CF315E"/>
    <w:rsid w:val="00CF503F"/>
    <w:rsid w:val="00D042AC"/>
    <w:rsid w:val="00D06869"/>
    <w:rsid w:val="00D15648"/>
    <w:rsid w:val="00D216CD"/>
    <w:rsid w:val="00D279E3"/>
    <w:rsid w:val="00D31A84"/>
    <w:rsid w:val="00D32D83"/>
    <w:rsid w:val="00D330F1"/>
    <w:rsid w:val="00D34D91"/>
    <w:rsid w:val="00D376DB"/>
    <w:rsid w:val="00D4014B"/>
    <w:rsid w:val="00D44082"/>
    <w:rsid w:val="00D46436"/>
    <w:rsid w:val="00D50F69"/>
    <w:rsid w:val="00D51729"/>
    <w:rsid w:val="00D518A2"/>
    <w:rsid w:val="00D53681"/>
    <w:rsid w:val="00D600A1"/>
    <w:rsid w:val="00D62D74"/>
    <w:rsid w:val="00D714DE"/>
    <w:rsid w:val="00D77B46"/>
    <w:rsid w:val="00D77F55"/>
    <w:rsid w:val="00D8516D"/>
    <w:rsid w:val="00DA5A80"/>
    <w:rsid w:val="00DB7EDC"/>
    <w:rsid w:val="00DC7639"/>
    <w:rsid w:val="00DD2F14"/>
    <w:rsid w:val="00DD5BCC"/>
    <w:rsid w:val="00DE2E77"/>
    <w:rsid w:val="00DE41EF"/>
    <w:rsid w:val="00DE7685"/>
    <w:rsid w:val="00DF0665"/>
    <w:rsid w:val="00DF7499"/>
    <w:rsid w:val="00E00A7F"/>
    <w:rsid w:val="00E0570D"/>
    <w:rsid w:val="00E06705"/>
    <w:rsid w:val="00E2232A"/>
    <w:rsid w:val="00E31359"/>
    <w:rsid w:val="00E36CC0"/>
    <w:rsid w:val="00E37A50"/>
    <w:rsid w:val="00E41FDC"/>
    <w:rsid w:val="00E44564"/>
    <w:rsid w:val="00E4523E"/>
    <w:rsid w:val="00E46A62"/>
    <w:rsid w:val="00E473EA"/>
    <w:rsid w:val="00E52C15"/>
    <w:rsid w:val="00E60061"/>
    <w:rsid w:val="00E60572"/>
    <w:rsid w:val="00E605B8"/>
    <w:rsid w:val="00E6151E"/>
    <w:rsid w:val="00E618B3"/>
    <w:rsid w:val="00E62B28"/>
    <w:rsid w:val="00E62CD1"/>
    <w:rsid w:val="00E7324F"/>
    <w:rsid w:val="00E74914"/>
    <w:rsid w:val="00E74E38"/>
    <w:rsid w:val="00E83ADF"/>
    <w:rsid w:val="00EA2548"/>
    <w:rsid w:val="00EA3C62"/>
    <w:rsid w:val="00EA3FBF"/>
    <w:rsid w:val="00EB08D0"/>
    <w:rsid w:val="00EB1D37"/>
    <w:rsid w:val="00EB22F1"/>
    <w:rsid w:val="00EB711C"/>
    <w:rsid w:val="00EC5863"/>
    <w:rsid w:val="00ED12A8"/>
    <w:rsid w:val="00ED31EA"/>
    <w:rsid w:val="00ED6920"/>
    <w:rsid w:val="00ED72E6"/>
    <w:rsid w:val="00ED7FC4"/>
    <w:rsid w:val="00EE434D"/>
    <w:rsid w:val="00EF55A7"/>
    <w:rsid w:val="00F00254"/>
    <w:rsid w:val="00F01994"/>
    <w:rsid w:val="00F0654E"/>
    <w:rsid w:val="00F06CDA"/>
    <w:rsid w:val="00F116CF"/>
    <w:rsid w:val="00F12D57"/>
    <w:rsid w:val="00F1403A"/>
    <w:rsid w:val="00F21E52"/>
    <w:rsid w:val="00F2730C"/>
    <w:rsid w:val="00F3264E"/>
    <w:rsid w:val="00F469A2"/>
    <w:rsid w:val="00F50735"/>
    <w:rsid w:val="00F5514A"/>
    <w:rsid w:val="00F55E37"/>
    <w:rsid w:val="00F571D2"/>
    <w:rsid w:val="00F8042C"/>
    <w:rsid w:val="00F84012"/>
    <w:rsid w:val="00F909EF"/>
    <w:rsid w:val="00F90FDE"/>
    <w:rsid w:val="00F91CB6"/>
    <w:rsid w:val="00F960A6"/>
    <w:rsid w:val="00FA0620"/>
    <w:rsid w:val="00FA7FB8"/>
    <w:rsid w:val="00FB0DCF"/>
    <w:rsid w:val="00FB1BA8"/>
    <w:rsid w:val="00FB6558"/>
    <w:rsid w:val="00FC0433"/>
    <w:rsid w:val="00FC34E2"/>
    <w:rsid w:val="00FC7CE4"/>
    <w:rsid w:val="00FD249D"/>
    <w:rsid w:val="00FE01A9"/>
    <w:rsid w:val="00FE273C"/>
    <w:rsid w:val="00FE2E0E"/>
    <w:rsid w:val="00FF402F"/>
    <w:rsid w:val="015730EB"/>
    <w:rsid w:val="0161401B"/>
    <w:rsid w:val="018E4955"/>
    <w:rsid w:val="01E273A8"/>
    <w:rsid w:val="0280680B"/>
    <w:rsid w:val="02CD1980"/>
    <w:rsid w:val="030D6F96"/>
    <w:rsid w:val="03D93961"/>
    <w:rsid w:val="03EE7D0F"/>
    <w:rsid w:val="044B190C"/>
    <w:rsid w:val="046A4771"/>
    <w:rsid w:val="04D56B83"/>
    <w:rsid w:val="04DE259A"/>
    <w:rsid w:val="0535135E"/>
    <w:rsid w:val="055230F7"/>
    <w:rsid w:val="056C7CD2"/>
    <w:rsid w:val="056D1E1F"/>
    <w:rsid w:val="05F3436E"/>
    <w:rsid w:val="06BE5736"/>
    <w:rsid w:val="06F62122"/>
    <w:rsid w:val="06FC2DC7"/>
    <w:rsid w:val="078475CA"/>
    <w:rsid w:val="07F551B6"/>
    <w:rsid w:val="08DF0057"/>
    <w:rsid w:val="09052F9A"/>
    <w:rsid w:val="09307864"/>
    <w:rsid w:val="093349B6"/>
    <w:rsid w:val="096561AF"/>
    <w:rsid w:val="09C071CB"/>
    <w:rsid w:val="09CC59C7"/>
    <w:rsid w:val="09D11FB5"/>
    <w:rsid w:val="0A293064"/>
    <w:rsid w:val="0A405563"/>
    <w:rsid w:val="0A8E69C4"/>
    <w:rsid w:val="0AEB606B"/>
    <w:rsid w:val="0AF85A60"/>
    <w:rsid w:val="0AFC6DC6"/>
    <w:rsid w:val="0B1F1194"/>
    <w:rsid w:val="0B3C2F83"/>
    <w:rsid w:val="0B4F48E5"/>
    <w:rsid w:val="0C132492"/>
    <w:rsid w:val="0C193C4F"/>
    <w:rsid w:val="0C642DA1"/>
    <w:rsid w:val="0C764BFE"/>
    <w:rsid w:val="0CA77AFC"/>
    <w:rsid w:val="0D002774"/>
    <w:rsid w:val="0D09663B"/>
    <w:rsid w:val="0D137DEA"/>
    <w:rsid w:val="0D33EAAF"/>
    <w:rsid w:val="0D403D50"/>
    <w:rsid w:val="0DCC76F2"/>
    <w:rsid w:val="0E444BC6"/>
    <w:rsid w:val="0EB73E78"/>
    <w:rsid w:val="0ED0B1BA"/>
    <w:rsid w:val="0F5867DF"/>
    <w:rsid w:val="103B154F"/>
    <w:rsid w:val="10CF0FE9"/>
    <w:rsid w:val="114B2F99"/>
    <w:rsid w:val="11C96BFF"/>
    <w:rsid w:val="11E9584E"/>
    <w:rsid w:val="122923D5"/>
    <w:rsid w:val="123A40FC"/>
    <w:rsid w:val="12913DF6"/>
    <w:rsid w:val="12BC58EB"/>
    <w:rsid w:val="134827AE"/>
    <w:rsid w:val="13682A85"/>
    <w:rsid w:val="13BF582E"/>
    <w:rsid w:val="14EF2C7D"/>
    <w:rsid w:val="151E7799"/>
    <w:rsid w:val="155C08F0"/>
    <w:rsid w:val="159264FF"/>
    <w:rsid w:val="15F265EC"/>
    <w:rsid w:val="16244E3E"/>
    <w:rsid w:val="166F12BC"/>
    <w:rsid w:val="1710040F"/>
    <w:rsid w:val="17476A7D"/>
    <w:rsid w:val="17B7FA3E"/>
    <w:rsid w:val="17CE212E"/>
    <w:rsid w:val="17D01B09"/>
    <w:rsid w:val="17D734DC"/>
    <w:rsid w:val="17F16D34"/>
    <w:rsid w:val="18B0539E"/>
    <w:rsid w:val="18E66AA5"/>
    <w:rsid w:val="19214A43"/>
    <w:rsid w:val="19401B6E"/>
    <w:rsid w:val="195E6148"/>
    <w:rsid w:val="19A00D49"/>
    <w:rsid w:val="19EB7056"/>
    <w:rsid w:val="1A51026B"/>
    <w:rsid w:val="1AAC63D3"/>
    <w:rsid w:val="1AE9356B"/>
    <w:rsid w:val="1BB55681"/>
    <w:rsid w:val="1BD10426"/>
    <w:rsid w:val="1BD72872"/>
    <w:rsid w:val="1C39076D"/>
    <w:rsid w:val="1CDB3E65"/>
    <w:rsid w:val="1D9E18C3"/>
    <w:rsid w:val="1DB05356"/>
    <w:rsid w:val="1E97D97C"/>
    <w:rsid w:val="1E9E68B5"/>
    <w:rsid w:val="1F1403B8"/>
    <w:rsid w:val="1F5F77A5"/>
    <w:rsid w:val="1F7F7C9A"/>
    <w:rsid w:val="1F9E22F9"/>
    <w:rsid w:val="1F9F4C63"/>
    <w:rsid w:val="1FBF4A0C"/>
    <w:rsid w:val="1FBFECBE"/>
    <w:rsid w:val="1FCE578B"/>
    <w:rsid w:val="1FF97B42"/>
    <w:rsid w:val="1FFB0418"/>
    <w:rsid w:val="20933A75"/>
    <w:rsid w:val="20AF0CF5"/>
    <w:rsid w:val="20B809DB"/>
    <w:rsid w:val="210D5BBA"/>
    <w:rsid w:val="21D753F3"/>
    <w:rsid w:val="21F228E3"/>
    <w:rsid w:val="21F43511"/>
    <w:rsid w:val="238D41E6"/>
    <w:rsid w:val="23DF464D"/>
    <w:rsid w:val="23E823AB"/>
    <w:rsid w:val="245E6F13"/>
    <w:rsid w:val="2466506F"/>
    <w:rsid w:val="24B53585"/>
    <w:rsid w:val="24D60850"/>
    <w:rsid w:val="254C600C"/>
    <w:rsid w:val="257B5B6E"/>
    <w:rsid w:val="25EE8B70"/>
    <w:rsid w:val="2600601B"/>
    <w:rsid w:val="26092407"/>
    <w:rsid w:val="26A30EAA"/>
    <w:rsid w:val="26B70245"/>
    <w:rsid w:val="276DBEE3"/>
    <w:rsid w:val="27835B72"/>
    <w:rsid w:val="27E16F6F"/>
    <w:rsid w:val="27F5030D"/>
    <w:rsid w:val="28065D38"/>
    <w:rsid w:val="28463A4A"/>
    <w:rsid w:val="290271E9"/>
    <w:rsid w:val="2980235B"/>
    <w:rsid w:val="2A316188"/>
    <w:rsid w:val="2A6521DF"/>
    <w:rsid w:val="2A760508"/>
    <w:rsid w:val="2B333328"/>
    <w:rsid w:val="2B3F9450"/>
    <w:rsid w:val="2BAD3A62"/>
    <w:rsid w:val="2BD71517"/>
    <w:rsid w:val="2C304621"/>
    <w:rsid w:val="2C380334"/>
    <w:rsid w:val="2C8403EA"/>
    <w:rsid w:val="2CA21E52"/>
    <w:rsid w:val="2CB85926"/>
    <w:rsid w:val="2D4E190D"/>
    <w:rsid w:val="2DED3610"/>
    <w:rsid w:val="2E4159D4"/>
    <w:rsid w:val="2E981437"/>
    <w:rsid w:val="2E9B3900"/>
    <w:rsid w:val="2EF977DC"/>
    <w:rsid w:val="2F1A2088"/>
    <w:rsid w:val="2F4C1DCD"/>
    <w:rsid w:val="2F7F7AC9"/>
    <w:rsid w:val="2F871396"/>
    <w:rsid w:val="2FBFB84E"/>
    <w:rsid w:val="2FF2647E"/>
    <w:rsid w:val="2FFBD8A6"/>
    <w:rsid w:val="301C4729"/>
    <w:rsid w:val="30AD21D0"/>
    <w:rsid w:val="3109767B"/>
    <w:rsid w:val="31432160"/>
    <w:rsid w:val="317A4FC5"/>
    <w:rsid w:val="321B29BC"/>
    <w:rsid w:val="323C5E59"/>
    <w:rsid w:val="331664EB"/>
    <w:rsid w:val="332B770D"/>
    <w:rsid w:val="33C237B1"/>
    <w:rsid w:val="34822752"/>
    <w:rsid w:val="35607FF9"/>
    <w:rsid w:val="35713CB0"/>
    <w:rsid w:val="363D0266"/>
    <w:rsid w:val="36816FE0"/>
    <w:rsid w:val="36DA4B7F"/>
    <w:rsid w:val="36F918FC"/>
    <w:rsid w:val="36FBE60D"/>
    <w:rsid w:val="36FD1ADB"/>
    <w:rsid w:val="376A6D6B"/>
    <w:rsid w:val="37B97D22"/>
    <w:rsid w:val="37FFDD49"/>
    <w:rsid w:val="37FFF1D4"/>
    <w:rsid w:val="382E7952"/>
    <w:rsid w:val="38DDBCF3"/>
    <w:rsid w:val="39345B9E"/>
    <w:rsid w:val="395823EC"/>
    <w:rsid w:val="39751A70"/>
    <w:rsid w:val="39C53536"/>
    <w:rsid w:val="39FF6EB3"/>
    <w:rsid w:val="3A7BB112"/>
    <w:rsid w:val="3B6DFAB7"/>
    <w:rsid w:val="3B7FA7AE"/>
    <w:rsid w:val="3B976EBE"/>
    <w:rsid w:val="3BA13530"/>
    <w:rsid w:val="3BBE5024"/>
    <w:rsid w:val="3BD33F70"/>
    <w:rsid w:val="3BF97DD3"/>
    <w:rsid w:val="3C0C6C32"/>
    <w:rsid w:val="3C45099A"/>
    <w:rsid w:val="3CEF89DE"/>
    <w:rsid w:val="3D11415D"/>
    <w:rsid w:val="3D1A6229"/>
    <w:rsid w:val="3D2F6233"/>
    <w:rsid w:val="3D751C13"/>
    <w:rsid w:val="3D9FCECD"/>
    <w:rsid w:val="3DAF9830"/>
    <w:rsid w:val="3DB37840"/>
    <w:rsid w:val="3DE7C5AF"/>
    <w:rsid w:val="3DF74846"/>
    <w:rsid w:val="3E7BA31D"/>
    <w:rsid w:val="3E7F0E97"/>
    <w:rsid w:val="3EFF2905"/>
    <w:rsid w:val="3F1575C0"/>
    <w:rsid w:val="3F53396D"/>
    <w:rsid w:val="3F6FAD3D"/>
    <w:rsid w:val="3F7C1FBB"/>
    <w:rsid w:val="3FB71495"/>
    <w:rsid w:val="3FBB3961"/>
    <w:rsid w:val="3FDF6BA9"/>
    <w:rsid w:val="3FDF874D"/>
    <w:rsid w:val="3FDFE8D5"/>
    <w:rsid w:val="3FF89CCA"/>
    <w:rsid w:val="3FFEE163"/>
    <w:rsid w:val="40073974"/>
    <w:rsid w:val="405A7913"/>
    <w:rsid w:val="40CE2EA1"/>
    <w:rsid w:val="41097E60"/>
    <w:rsid w:val="41780407"/>
    <w:rsid w:val="41E8333B"/>
    <w:rsid w:val="422C207A"/>
    <w:rsid w:val="422E37D9"/>
    <w:rsid w:val="42687570"/>
    <w:rsid w:val="426E1B54"/>
    <w:rsid w:val="42C423FB"/>
    <w:rsid w:val="438269A2"/>
    <w:rsid w:val="43BFDF6A"/>
    <w:rsid w:val="43D41DAE"/>
    <w:rsid w:val="441D3409"/>
    <w:rsid w:val="448405D7"/>
    <w:rsid w:val="450911FE"/>
    <w:rsid w:val="45BF7035"/>
    <w:rsid w:val="45CC3CFC"/>
    <w:rsid w:val="4656001F"/>
    <w:rsid w:val="467D6463"/>
    <w:rsid w:val="46A7753D"/>
    <w:rsid w:val="47165462"/>
    <w:rsid w:val="474B1120"/>
    <w:rsid w:val="47960847"/>
    <w:rsid w:val="479A577C"/>
    <w:rsid w:val="47A65D2A"/>
    <w:rsid w:val="47A80320"/>
    <w:rsid w:val="48405FE7"/>
    <w:rsid w:val="48BA70A2"/>
    <w:rsid w:val="49036814"/>
    <w:rsid w:val="49DA76D6"/>
    <w:rsid w:val="49F26D13"/>
    <w:rsid w:val="49FB758F"/>
    <w:rsid w:val="4B2E065E"/>
    <w:rsid w:val="4B3B2FC9"/>
    <w:rsid w:val="4B3D54D1"/>
    <w:rsid w:val="4B7C315C"/>
    <w:rsid w:val="4B9F6168"/>
    <w:rsid w:val="4BA91A77"/>
    <w:rsid w:val="4BDF232E"/>
    <w:rsid w:val="4C7D4B0E"/>
    <w:rsid w:val="4D7ED303"/>
    <w:rsid w:val="4E16DA59"/>
    <w:rsid w:val="4E406CE4"/>
    <w:rsid w:val="4E4F07C7"/>
    <w:rsid w:val="4E810AF6"/>
    <w:rsid w:val="4F2B184A"/>
    <w:rsid w:val="4F4D46BC"/>
    <w:rsid w:val="4F5728DA"/>
    <w:rsid w:val="4FAE087F"/>
    <w:rsid w:val="4FB21D1D"/>
    <w:rsid w:val="4FDF6B52"/>
    <w:rsid w:val="4FEF1319"/>
    <w:rsid w:val="4FFB486F"/>
    <w:rsid w:val="500F7833"/>
    <w:rsid w:val="50821CC9"/>
    <w:rsid w:val="50A84DBA"/>
    <w:rsid w:val="50E428BB"/>
    <w:rsid w:val="51355A82"/>
    <w:rsid w:val="51593EFC"/>
    <w:rsid w:val="51967DC5"/>
    <w:rsid w:val="51BA7236"/>
    <w:rsid w:val="523B68DD"/>
    <w:rsid w:val="52DC3C97"/>
    <w:rsid w:val="531F6671"/>
    <w:rsid w:val="5329506D"/>
    <w:rsid w:val="53381164"/>
    <w:rsid w:val="537D38C5"/>
    <w:rsid w:val="53A05C56"/>
    <w:rsid w:val="53E72B5B"/>
    <w:rsid w:val="53FA6C4E"/>
    <w:rsid w:val="53FB2E56"/>
    <w:rsid w:val="54104BE3"/>
    <w:rsid w:val="544300F0"/>
    <w:rsid w:val="54E81361"/>
    <w:rsid w:val="5534089F"/>
    <w:rsid w:val="55D21A29"/>
    <w:rsid w:val="55D91508"/>
    <w:rsid w:val="5617029B"/>
    <w:rsid w:val="562D42EF"/>
    <w:rsid w:val="5640476E"/>
    <w:rsid w:val="56617F27"/>
    <w:rsid w:val="56B6CA8C"/>
    <w:rsid w:val="570E779A"/>
    <w:rsid w:val="573E8FE8"/>
    <w:rsid w:val="576D5F2E"/>
    <w:rsid w:val="577C80BC"/>
    <w:rsid w:val="57BBE7B5"/>
    <w:rsid w:val="57EDA824"/>
    <w:rsid w:val="57FF087F"/>
    <w:rsid w:val="58A9622A"/>
    <w:rsid w:val="59042028"/>
    <w:rsid w:val="59097B33"/>
    <w:rsid w:val="595F034B"/>
    <w:rsid w:val="5A022C8B"/>
    <w:rsid w:val="5A087E4A"/>
    <w:rsid w:val="5A40496A"/>
    <w:rsid w:val="5A45152F"/>
    <w:rsid w:val="5A5E1837"/>
    <w:rsid w:val="5A6C2E98"/>
    <w:rsid w:val="5A817C06"/>
    <w:rsid w:val="5AC875BF"/>
    <w:rsid w:val="5AFEA297"/>
    <w:rsid w:val="5B1D6F76"/>
    <w:rsid w:val="5B2F4687"/>
    <w:rsid w:val="5B587784"/>
    <w:rsid w:val="5B72B759"/>
    <w:rsid w:val="5B7F0A2E"/>
    <w:rsid w:val="5BB549A0"/>
    <w:rsid w:val="5BB57816"/>
    <w:rsid w:val="5BBE35C1"/>
    <w:rsid w:val="5C401BBF"/>
    <w:rsid w:val="5C4C59E0"/>
    <w:rsid w:val="5C4D10D2"/>
    <w:rsid w:val="5D38769F"/>
    <w:rsid w:val="5DC63D78"/>
    <w:rsid w:val="5DF479FF"/>
    <w:rsid w:val="5DFB7E5F"/>
    <w:rsid w:val="5DFD25EA"/>
    <w:rsid w:val="5E1E7970"/>
    <w:rsid w:val="5E588D01"/>
    <w:rsid w:val="5E7EE25F"/>
    <w:rsid w:val="5EE7340D"/>
    <w:rsid w:val="5EED1DA3"/>
    <w:rsid w:val="5EEF632A"/>
    <w:rsid w:val="5EF76F37"/>
    <w:rsid w:val="5F0F0DE3"/>
    <w:rsid w:val="5F1B34E4"/>
    <w:rsid w:val="5F754330"/>
    <w:rsid w:val="5F7C38E7"/>
    <w:rsid w:val="5F8F3FCB"/>
    <w:rsid w:val="5F9A2B5C"/>
    <w:rsid w:val="5F9B4BBA"/>
    <w:rsid w:val="5FBA0793"/>
    <w:rsid w:val="5FBDEFF4"/>
    <w:rsid w:val="5FCF9AB4"/>
    <w:rsid w:val="5FD752C2"/>
    <w:rsid w:val="5FD95A37"/>
    <w:rsid w:val="5FEFB1A9"/>
    <w:rsid w:val="5FFB5A99"/>
    <w:rsid w:val="5FFD14E6"/>
    <w:rsid w:val="5FFE1ADF"/>
    <w:rsid w:val="60530DBA"/>
    <w:rsid w:val="60A74C4D"/>
    <w:rsid w:val="61087886"/>
    <w:rsid w:val="613E0998"/>
    <w:rsid w:val="616A1675"/>
    <w:rsid w:val="619947DD"/>
    <w:rsid w:val="61D411B5"/>
    <w:rsid w:val="62323D14"/>
    <w:rsid w:val="6238015C"/>
    <w:rsid w:val="62436329"/>
    <w:rsid w:val="62FF96D5"/>
    <w:rsid w:val="63ED097A"/>
    <w:rsid w:val="64FF6B28"/>
    <w:rsid w:val="65313BF1"/>
    <w:rsid w:val="6577117A"/>
    <w:rsid w:val="65BB64CB"/>
    <w:rsid w:val="66153302"/>
    <w:rsid w:val="6625B82F"/>
    <w:rsid w:val="66344F77"/>
    <w:rsid w:val="668C2C6E"/>
    <w:rsid w:val="66FA7ABC"/>
    <w:rsid w:val="66FFC257"/>
    <w:rsid w:val="672C2D90"/>
    <w:rsid w:val="67380270"/>
    <w:rsid w:val="67B5764A"/>
    <w:rsid w:val="67CD6B25"/>
    <w:rsid w:val="67D94A23"/>
    <w:rsid w:val="67E64968"/>
    <w:rsid w:val="68100589"/>
    <w:rsid w:val="682D5DB6"/>
    <w:rsid w:val="689A6E74"/>
    <w:rsid w:val="68AB077B"/>
    <w:rsid w:val="68C17D20"/>
    <w:rsid w:val="69515C05"/>
    <w:rsid w:val="69E953A4"/>
    <w:rsid w:val="69EE73C8"/>
    <w:rsid w:val="69F38474"/>
    <w:rsid w:val="6A1D54FD"/>
    <w:rsid w:val="6ADFB76B"/>
    <w:rsid w:val="6B747EEA"/>
    <w:rsid w:val="6BBF7E61"/>
    <w:rsid w:val="6BCD75AA"/>
    <w:rsid w:val="6BEED6AC"/>
    <w:rsid w:val="6C3C1880"/>
    <w:rsid w:val="6C671C0D"/>
    <w:rsid w:val="6C7602C3"/>
    <w:rsid w:val="6C877E4F"/>
    <w:rsid w:val="6CAB7073"/>
    <w:rsid w:val="6CBD0D50"/>
    <w:rsid w:val="6D142DFB"/>
    <w:rsid w:val="6D5F3839"/>
    <w:rsid w:val="6D75BBDE"/>
    <w:rsid w:val="6D7F7484"/>
    <w:rsid w:val="6D7FC5A7"/>
    <w:rsid w:val="6D9A79B4"/>
    <w:rsid w:val="6DAE7440"/>
    <w:rsid w:val="6DBFE41B"/>
    <w:rsid w:val="6DC3039A"/>
    <w:rsid w:val="6E1D6D9D"/>
    <w:rsid w:val="6E6C29D1"/>
    <w:rsid w:val="6EAE6C5A"/>
    <w:rsid w:val="6EF7A41C"/>
    <w:rsid w:val="6EFE004A"/>
    <w:rsid w:val="6F490BAB"/>
    <w:rsid w:val="6F6FEBE3"/>
    <w:rsid w:val="6FB63CC8"/>
    <w:rsid w:val="6FBAB154"/>
    <w:rsid w:val="6FBD00EB"/>
    <w:rsid w:val="6FBFC8E3"/>
    <w:rsid w:val="6FC35B49"/>
    <w:rsid w:val="6FDA76DD"/>
    <w:rsid w:val="6FE5E115"/>
    <w:rsid w:val="6FF52776"/>
    <w:rsid w:val="6FF76EE4"/>
    <w:rsid w:val="6FFFA0DF"/>
    <w:rsid w:val="704E5CFF"/>
    <w:rsid w:val="707B6ABE"/>
    <w:rsid w:val="70AD7E11"/>
    <w:rsid w:val="70DB7E14"/>
    <w:rsid w:val="71433D3F"/>
    <w:rsid w:val="714552D8"/>
    <w:rsid w:val="71713EBF"/>
    <w:rsid w:val="7177123C"/>
    <w:rsid w:val="71B1565D"/>
    <w:rsid w:val="71D51F8C"/>
    <w:rsid w:val="71D855FD"/>
    <w:rsid w:val="71FDE5F8"/>
    <w:rsid w:val="72015FA9"/>
    <w:rsid w:val="720E5E07"/>
    <w:rsid w:val="72274896"/>
    <w:rsid w:val="72595076"/>
    <w:rsid w:val="72BF3829"/>
    <w:rsid w:val="72DE372F"/>
    <w:rsid w:val="72F37A88"/>
    <w:rsid w:val="732001C8"/>
    <w:rsid w:val="732D6BF7"/>
    <w:rsid w:val="736F2636"/>
    <w:rsid w:val="739305CE"/>
    <w:rsid w:val="73BB653F"/>
    <w:rsid w:val="73EB9FC2"/>
    <w:rsid w:val="73FB8D77"/>
    <w:rsid w:val="740D560C"/>
    <w:rsid w:val="7453BC62"/>
    <w:rsid w:val="74C70F92"/>
    <w:rsid w:val="74DF5A0A"/>
    <w:rsid w:val="74EF2EE0"/>
    <w:rsid w:val="74FF6F4C"/>
    <w:rsid w:val="75171486"/>
    <w:rsid w:val="75575D1F"/>
    <w:rsid w:val="755FF3E0"/>
    <w:rsid w:val="757D7128"/>
    <w:rsid w:val="75810ECC"/>
    <w:rsid w:val="75AF9CA4"/>
    <w:rsid w:val="75EE3D4D"/>
    <w:rsid w:val="75FD090E"/>
    <w:rsid w:val="763F4365"/>
    <w:rsid w:val="763FFD81"/>
    <w:rsid w:val="76580C24"/>
    <w:rsid w:val="76703590"/>
    <w:rsid w:val="76AB5E93"/>
    <w:rsid w:val="76D53CEE"/>
    <w:rsid w:val="772B06A1"/>
    <w:rsid w:val="773E4B00"/>
    <w:rsid w:val="77771A6F"/>
    <w:rsid w:val="778FB5E7"/>
    <w:rsid w:val="779BDED9"/>
    <w:rsid w:val="77AD13D6"/>
    <w:rsid w:val="77BFD910"/>
    <w:rsid w:val="77DBFD08"/>
    <w:rsid w:val="77DC9A9A"/>
    <w:rsid w:val="77DFCE13"/>
    <w:rsid w:val="77EDEEEF"/>
    <w:rsid w:val="77EEEF19"/>
    <w:rsid w:val="77F5B79F"/>
    <w:rsid w:val="77FF7990"/>
    <w:rsid w:val="78326254"/>
    <w:rsid w:val="783F4FC2"/>
    <w:rsid w:val="78606ECA"/>
    <w:rsid w:val="78A2159E"/>
    <w:rsid w:val="78BB892F"/>
    <w:rsid w:val="78EC2653"/>
    <w:rsid w:val="78F850CF"/>
    <w:rsid w:val="78FDEA70"/>
    <w:rsid w:val="79372139"/>
    <w:rsid w:val="793F3502"/>
    <w:rsid w:val="795D5A99"/>
    <w:rsid w:val="79D37B8A"/>
    <w:rsid w:val="79DFDF20"/>
    <w:rsid w:val="79F381C8"/>
    <w:rsid w:val="79FBA4EC"/>
    <w:rsid w:val="79FF9FD0"/>
    <w:rsid w:val="7A074B1F"/>
    <w:rsid w:val="7A2B6382"/>
    <w:rsid w:val="7A3A0766"/>
    <w:rsid w:val="7A6E1433"/>
    <w:rsid w:val="7A714F7D"/>
    <w:rsid w:val="7B3E46B3"/>
    <w:rsid w:val="7B4C5FF2"/>
    <w:rsid w:val="7B877776"/>
    <w:rsid w:val="7B894744"/>
    <w:rsid w:val="7B8A1F61"/>
    <w:rsid w:val="7BB764FF"/>
    <w:rsid w:val="7BF7619F"/>
    <w:rsid w:val="7BFDD925"/>
    <w:rsid w:val="7C13144C"/>
    <w:rsid w:val="7C5F7DAC"/>
    <w:rsid w:val="7CAAFEB6"/>
    <w:rsid w:val="7CF72145"/>
    <w:rsid w:val="7CFF0A0C"/>
    <w:rsid w:val="7D097C4A"/>
    <w:rsid w:val="7D19602E"/>
    <w:rsid w:val="7D6F1216"/>
    <w:rsid w:val="7D736D22"/>
    <w:rsid w:val="7D7780DA"/>
    <w:rsid w:val="7DA71E40"/>
    <w:rsid w:val="7DB0206C"/>
    <w:rsid w:val="7DBA80ED"/>
    <w:rsid w:val="7DCE7A4D"/>
    <w:rsid w:val="7DD70A28"/>
    <w:rsid w:val="7DFF3996"/>
    <w:rsid w:val="7DFF9621"/>
    <w:rsid w:val="7DFF9B0F"/>
    <w:rsid w:val="7E3A24BD"/>
    <w:rsid w:val="7E5F68C3"/>
    <w:rsid w:val="7EDD0E7B"/>
    <w:rsid w:val="7EEA23A1"/>
    <w:rsid w:val="7EF062C1"/>
    <w:rsid w:val="7EF0F2C6"/>
    <w:rsid w:val="7EFBBE40"/>
    <w:rsid w:val="7EFE91C0"/>
    <w:rsid w:val="7F2F2C8D"/>
    <w:rsid w:val="7F4F4F26"/>
    <w:rsid w:val="7F56D216"/>
    <w:rsid w:val="7F76F028"/>
    <w:rsid w:val="7F7FDAC5"/>
    <w:rsid w:val="7F9B467C"/>
    <w:rsid w:val="7FBF31A3"/>
    <w:rsid w:val="7FBF3691"/>
    <w:rsid w:val="7FCDA19C"/>
    <w:rsid w:val="7FD9FCF2"/>
    <w:rsid w:val="7FDB5E87"/>
    <w:rsid w:val="7FDED339"/>
    <w:rsid w:val="7FDF66AC"/>
    <w:rsid w:val="7FE73580"/>
    <w:rsid w:val="7FEEF3EC"/>
    <w:rsid w:val="7FEF47E0"/>
    <w:rsid w:val="7FF4E2EB"/>
    <w:rsid w:val="7FFD6B65"/>
    <w:rsid w:val="7FFED7EB"/>
    <w:rsid w:val="7FFEE044"/>
    <w:rsid w:val="7FFFC852"/>
    <w:rsid w:val="87DE58C0"/>
    <w:rsid w:val="8EBF6A23"/>
    <w:rsid w:val="8FBD3A2A"/>
    <w:rsid w:val="8FDF05B2"/>
    <w:rsid w:val="8FE1F8E2"/>
    <w:rsid w:val="92FF3CAB"/>
    <w:rsid w:val="96EEC11B"/>
    <w:rsid w:val="977D2464"/>
    <w:rsid w:val="99FFDC94"/>
    <w:rsid w:val="9D7D2975"/>
    <w:rsid w:val="9EEF0FF3"/>
    <w:rsid w:val="9EFBEE07"/>
    <w:rsid w:val="9F3FB89A"/>
    <w:rsid w:val="9FD3C35F"/>
    <w:rsid w:val="9FE35414"/>
    <w:rsid w:val="A7EB12F5"/>
    <w:rsid w:val="A9FE9FC5"/>
    <w:rsid w:val="A9FFB15B"/>
    <w:rsid w:val="ABAFA273"/>
    <w:rsid w:val="ACDCD82F"/>
    <w:rsid w:val="ACE7F23B"/>
    <w:rsid w:val="ACFD30A1"/>
    <w:rsid w:val="AD7EE721"/>
    <w:rsid w:val="AEAC550F"/>
    <w:rsid w:val="AEDE0661"/>
    <w:rsid w:val="AEE7FDD7"/>
    <w:rsid w:val="AFF6E650"/>
    <w:rsid w:val="AFF94C3E"/>
    <w:rsid w:val="B35DB85A"/>
    <w:rsid w:val="B3EB40B1"/>
    <w:rsid w:val="B5BBF81D"/>
    <w:rsid w:val="B5BFEE91"/>
    <w:rsid w:val="B77FD20C"/>
    <w:rsid w:val="B7D6F4D3"/>
    <w:rsid w:val="B7DB8636"/>
    <w:rsid w:val="B7DFEF52"/>
    <w:rsid w:val="B7F73DA9"/>
    <w:rsid w:val="B85DA422"/>
    <w:rsid w:val="B97F4539"/>
    <w:rsid w:val="BA721629"/>
    <w:rsid w:val="BA77BA76"/>
    <w:rsid w:val="BA7B23C6"/>
    <w:rsid w:val="BBAEBE2F"/>
    <w:rsid w:val="BBDB231C"/>
    <w:rsid w:val="BBFA92B4"/>
    <w:rsid w:val="BBFF1828"/>
    <w:rsid w:val="BBFF306A"/>
    <w:rsid w:val="BCBEF77F"/>
    <w:rsid w:val="BDBF68FB"/>
    <w:rsid w:val="BE7BFC81"/>
    <w:rsid w:val="BED29F05"/>
    <w:rsid w:val="BEF584C9"/>
    <w:rsid w:val="BEFF4C7D"/>
    <w:rsid w:val="BF5AB11F"/>
    <w:rsid w:val="BF7D9E42"/>
    <w:rsid w:val="BF8F015F"/>
    <w:rsid w:val="BFBB84B1"/>
    <w:rsid w:val="BFDC5ABC"/>
    <w:rsid w:val="BFDE138E"/>
    <w:rsid w:val="BFEB48D2"/>
    <w:rsid w:val="BFED7A05"/>
    <w:rsid w:val="BFEF02F0"/>
    <w:rsid w:val="C75A88F7"/>
    <w:rsid w:val="C7FE2C96"/>
    <w:rsid w:val="C97F3751"/>
    <w:rsid w:val="CBBF986F"/>
    <w:rsid w:val="CBDFEDBF"/>
    <w:rsid w:val="CBFF3192"/>
    <w:rsid w:val="CEB5F16A"/>
    <w:rsid w:val="CEF04110"/>
    <w:rsid w:val="CFBD3B92"/>
    <w:rsid w:val="CFC4735B"/>
    <w:rsid w:val="CFDF34C6"/>
    <w:rsid w:val="CFFFF8F6"/>
    <w:rsid w:val="D19D6BB1"/>
    <w:rsid w:val="D3EBA2B9"/>
    <w:rsid w:val="D3FF0661"/>
    <w:rsid w:val="D3FF766F"/>
    <w:rsid w:val="D3FFE051"/>
    <w:rsid w:val="D4F287FF"/>
    <w:rsid w:val="D6DFF010"/>
    <w:rsid w:val="D77B4A2C"/>
    <w:rsid w:val="D77F4275"/>
    <w:rsid w:val="D7ED57E3"/>
    <w:rsid w:val="D7EF7AED"/>
    <w:rsid w:val="D7FD7DF3"/>
    <w:rsid w:val="D9732100"/>
    <w:rsid w:val="D977392B"/>
    <w:rsid w:val="D97F7625"/>
    <w:rsid w:val="D9AF8C5B"/>
    <w:rsid w:val="DBE62C8D"/>
    <w:rsid w:val="DC7FBC35"/>
    <w:rsid w:val="DCDD068B"/>
    <w:rsid w:val="DCF77290"/>
    <w:rsid w:val="DDD9C19D"/>
    <w:rsid w:val="DEA4DF70"/>
    <w:rsid w:val="DECBCCE1"/>
    <w:rsid w:val="DEFDC191"/>
    <w:rsid w:val="DF1EFB68"/>
    <w:rsid w:val="DF7E3F0D"/>
    <w:rsid w:val="DF9BA322"/>
    <w:rsid w:val="DFA59C09"/>
    <w:rsid w:val="DFE78CCD"/>
    <w:rsid w:val="DFFB18D1"/>
    <w:rsid w:val="DFFBFF34"/>
    <w:rsid w:val="DFFC30C0"/>
    <w:rsid w:val="DFFF8291"/>
    <w:rsid w:val="DFFFC0F0"/>
    <w:rsid w:val="E677B4CD"/>
    <w:rsid w:val="E67FD5C7"/>
    <w:rsid w:val="E6EFD02A"/>
    <w:rsid w:val="E6F539C2"/>
    <w:rsid w:val="E7BD4B6E"/>
    <w:rsid w:val="E7BF9752"/>
    <w:rsid w:val="E7DE9B31"/>
    <w:rsid w:val="E7FF2596"/>
    <w:rsid w:val="E8BF6EBE"/>
    <w:rsid w:val="E8EE69A1"/>
    <w:rsid w:val="E9FF6C7A"/>
    <w:rsid w:val="EBABFC2A"/>
    <w:rsid w:val="EBCE767B"/>
    <w:rsid w:val="ECBB20F8"/>
    <w:rsid w:val="EDCC7513"/>
    <w:rsid w:val="EDEE3CD3"/>
    <w:rsid w:val="EEE1B051"/>
    <w:rsid w:val="EEFA334D"/>
    <w:rsid w:val="EEFD57A9"/>
    <w:rsid w:val="EF3E606E"/>
    <w:rsid w:val="EF9C845D"/>
    <w:rsid w:val="EFAF1D3B"/>
    <w:rsid w:val="EFB6797D"/>
    <w:rsid w:val="EFCB3C0D"/>
    <w:rsid w:val="EFD36F9A"/>
    <w:rsid w:val="EFDFD29B"/>
    <w:rsid w:val="EFF77CA3"/>
    <w:rsid w:val="EFFEB31A"/>
    <w:rsid w:val="F0F3F2A8"/>
    <w:rsid w:val="F16F91B9"/>
    <w:rsid w:val="F1EBBEAA"/>
    <w:rsid w:val="F29F9F9A"/>
    <w:rsid w:val="F3BFB8FD"/>
    <w:rsid w:val="F432C1FB"/>
    <w:rsid w:val="F57FDAD9"/>
    <w:rsid w:val="F5BF0CE0"/>
    <w:rsid w:val="F5DF8657"/>
    <w:rsid w:val="F5FF0CAF"/>
    <w:rsid w:val="F5FF12D9"/>
    <w:rsid w:val="F64F0244"/>
    <w:rsid w:val="F6745236"/>
    <w:rsid w:val="F69A32DF"/>
    <w:rsid w:val="F6CFFC97"/>
    <w:rsid w:val="F6F4A2DF"/>
    <w:rsid w:val="F75B24B0"/>
    <w:rsid w:val="F77F3C2E"/>
    <w:rsid w:val="F7BB5CC6"/>
    <w:rsid w:val="F7E9894E"/>
    <w:rsid w:val="F7F584DD"/>
    <w:rsid w:val="F7F7F9B9"/>
    <w:rsid w:val="F7FAA282"/>
    <w:rsid w:val="F7FFB2F0"/>
    <w:rsid w:val="F7FFC9F8"/>
    <w:rsid w:val="F9BFDD27"/>
    <w:rsid w:val="F9FDB17A"/>
    <w:rsid w:val="FA1B1AF3"/>
    <w:rsid w:val="FA37867F"/>
    <w:rsid w:val="FB3EBB73"/>
    <w:rsid w:val="FB4E0007"/>
    <w:rsid w:val="FB77E816"/>
    <w:rsid w:val="FB8F963D"/>
    <w:rsid w:val="FBBD8A2B"/>
    <w:rsid w:val="FBD792F3"/>
    <w:rsid w:val="FBD7ABA5"/>
    <w:rsid w:val="FBDFD848"/>
    <w:rsid w:val="FBFE4980"/>
    <w:rsid w:val="FC3937BB"/>
    <w:rsid w:val="FC7DCB7C"/>
    <w:rsid w:val="FC7F5069"/>
    <w:rsid w:val="FCF69374"/>
    <w:rsid w:val="FCFE14DF"/>
    <w:rsid w:val="FCFF0ABE"/>
    <w:rsid w:val="FD5B2214"/>
    <w:rsid w:val="FDBB2613"/>
    <w:rsid w:val="FDFB9070"/>
    <w:rsid w:val="FDFC641D"/>
    <w:rsid w:val="FDFDA1CE"/>
    <w:rsid w:val="FE2D080A"/>
    <w:rsid w:val="FE4F6566"/>
    <w:rsid w:val="FE574EC8"/>
    <w:rsid w:val="FE6B525A"/>
    <w:rsid w:val="FE734873"/>
    <w:rsid w:val="FE7F3612"/>
    <w:rsid w:val="FED7A665"/>
    <w:rsid w:val="FEEBF4C4"/>
    <w:rsid w:val="FEEF45D6"/>
    <w:rsid w:val="FEF2B257"/>
    <w:rsid w:val="FEFF069D"/>
    <w:rsid w:val="FF3F74C3"/>
    <w:rsid w:val="FF4EC92E"/>
    <w:rsid w:val="FF5FD39F"/>
    <w:rsid w:val="FF674FD3"/>
    <w:rsid w:val="FF716D41"/>
    <w:rsid w:val="FF7B2E77"/>
    <w:rsid w:val="FF8722B0"/>
    <w:rsid w:val="FF8F1D25"/>
    <w:rsid w:val="FFAD0088"/>
    <w:rsid w:val="FFAFB778"/>
    <w:rsid w:val="FFB71F04"/>
    <w:rsid w:val="FFB74A60"/>
    <w:rsid w:val="FFBE3BA0"/>
    <w:rsid w:val="FFBFF814"/>
    <w:rsid w:val="FFCEACEF"/>
    <w:rsid w:val="FFDA19B6"/>
    <w:rsid w:val="FFEA55DF"/>
    <w:rsid w:val="FFF66AF7"/>
    <w:rsid w:val="FFFAA5BC"/>
    <w:rsid w:val="FFFB7F9F"/>
    <w:rsid w:val="FFFB86D0"/>
    <w:rsid w:val="FFFD1C00"/>
    <w:rsid w:val="FFFD2750"/>
    <w:rsid w:val="FFFD3A43"/>
    <w:rsid w:val="FFFEA42B"/>
    <w:rsid w:val="FFFEB641"/>
    <w:rsid w:val="FFFEE356"/>
    <w:rsid w:val="FFFF2A07"/>
    <w:rsid w:val="FFFF38E0"/>
    <w:rsid w:val="FFFF5152"/>
    <w:rsid w:val="FFFF69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宋体"/>
      <w:kern w:val="2"/>
      <w:sz w:val="24"/>
      <w:szCs w:val="24"/>
      <w:lang w:val="en-US" w:eastAsia="zh-CN" w:bidi="ar-SA"/>
    </w:rPr>
  </w:style>
  <w:style w:type="paragraph" w:styleId="2">
    <w:name w:val="heading 1"/>
    <w:basedOn w:val="1"/>
    <w:next w:val="1"/>
    <w:qFormat/>
    <w:uiPriority w:val="0"/>
    <w:pPr>
      <w:keepNext/>
      <w:keepLines/>
      <w:spacing w:before="340" w:after="330" w:line="360" w:lineRule="auto"/>
      <w:jc w:val="center"/>
      <w:outlineLvl w:val="0"/>
    </w:pPr>
    <w:rPr>
      <w:rFonts w:ascii="楷体_GB2312" w:eastAsia="楷体_GB2312" w:cs="Times New Roman"/>
      <w:b/>
      <w:bCs/>
      <w:kern w:val="44"/>
      <w:sz w:val="44"/>
      <w:szCs w:val="44"/>
    </w:rPr>
  </w:style>
  <w:style w:type="paragraph" w:styleId="3">
    <w:name w:val="heading 2"/>
    <w:basedOn w:val="1"/>
    <w:next w:val="1"/>
    <w:qFormat/>
    <w:uiPriority w:val="0"/>
    <w:pPr>
      <w:keepNext/>
      <w:keepLines/>
      <w:spacing w:line="540" w:lineRule="exact"/>
      <w:jc w:val="left"/>
      <w:outlineLvl w:val="1"/>
    </w:pPr>
    <w:rPr>
      <w:rFonts w:ascii="Arial" w:hAnsi="Arial" w:cs="Times New Roman"/>
      <w:b/>
      <w:bCs/>
      <w:kern w:val="0"/>
      <w:szCs w:val="32"/>
    </w:rPr>
  </w:style>
  <w:style w:type="paragraph" w:styleId="4">
    <w:name w:val="heading 3"/>
    <w:basedOn w:val="1"/>
    <w:next w:val="1"/>
    <w:qFormat/>
    <w:uiPriority w:val="0"/>
    <w:pPr>
      <w:keepNext/>
      <w:keepLines/>
      <w:spacing w:line="360" w:lineRule="auto"/>
      <w:ind w:firstLine="482"/>
      <w:jc w:val="left"/>
      <w:outlineLvl w:val="2"/>
    </w:pPr>
    <w:rPr>
      <w:rFonts w:ascii="Cambria" w:hAnsi="Cambria" w:cs="Times New Roman"/>
      <w:b/>
      <w:bC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5">
    <w:name w:val="List Number"/>
    <w:basedOn w:val="1"/>
    <w:qFormat/>
    <w:uiPriority w:val="0"/>
    <w:pPr>
      <w:numPr>
        <w:ilvl w:val="0"/>
        <w:numId w:val="1"/>
      </w:numPr>
    </w:pPr>
    <w:rPr>
      <w:rFonts w:cs="Times New Roman"/>
    </w:rPr>
  </w:style>
  <w:style w:type="paragraph" w:styleId="6">
    <w:name w:val="Normal Indent"/>
    <w:basedOn w:val="1"/>
    <w:next w:val="7"/>
    <w:qFormat/>
    <w:uiPriority w:val="0"/>
    <w:pPr>
      <w:ind w:firstLine="420"/>
    </w:pPr>
    <w:rPr>
      <w:rFonts w:cs="Times New Roman"/>
      <w:szCs w:val="22"/>
    </w:rPr>
  </w:style>
  <w:style w:type="paragraph" w:styleId="7">
    <w:name w:val="Plain Text"/>
    <w:basedOn w:val="1"/>
    <w:next w:val="8"/>
    <w:qFormat/>
    <w:uiPriority w:val="0"/>
    <w:pPr>
      <w:spacing w:beforeLines="50" w:afterLines="50" w:line="400" w:lineRule="exact"/>
    </w:pPr>
    <w:rPr>
      <w:rFonts w:ascii="宋体" w:hAnsi="Courier New" w:cs="Times New Roman"/>
      <w:kern w:val="0"/>
    </w:rPr>
  </w:style>
  <w:style w:type="paragraph" w:styleId="8">
    <w:name w:val="Date"/>
    <w:basedOn w:val="1"/>
    <w:next w:val="1"/>
    <w:qFormat/>
    <w:uiPriority w:val="0"/>
    <w:pPr>
      <w:ind w:left="100" w:leftChars="2500"/>
    </w:pPr>
    <w:rPr>
      <w:kern w:val="0"/>
      <w:sz w:val="20"/>
    </w:rPr>
  </w:style>
  <w:style w:type="paragraph" w:styleId="9">
    <w:name w:val="annotation text"/>
    <w:basedOn w:val="1"/>
    <w:link w:val="40"/>
    <w:qFormat/>
    <w:uiPriority w:val="0"/>
    <w:pPr>
      <w:jc w:val="left"/>
    </w:pPr>
    <w:rPr>
      <w:rFonts w:cs="Times New Roman"/>
    </w:rPr>
  </w:style>
  <w:style w:type="paragraph" w:styleId="10">
    <w:name w:val="Body Text 3"/>
    <w:basedOn w:val="1"/>
    <w:qFormat/>
    <w:uiPriority w:val="0"/>
    <w:pPr>
      <w:snapToGrid w:val="0"/>
      <w:spacing w:before="50" w:after="50"/>
    </w:pPr>
    <w:rPr>
      <w:rFonts w:hAnsi="宋体" w:eastAsia="仿宋_GB2312"/>
      <w:b/>
      <w:bCs/>
      <w:szCs w:val="20"/>
    </w:rPr>
  </w:style>
  <w:style w:type="paragraph" w:styleId="11">
    <w:name w:val="Body Text"/>
    <w:basedOn w:val="1"/>
    <w:next w:val="12"/>
    <w:qFormat/>
    <w:uiPriority w:val="0"/>
    <w:pPr>
      <w:spacing w:after="120"/>
    </w:pPr>
    <w:rPr>
      <w:sz w:val="28"/>
    </w:rPr>
  </w:style>
  <w:style w:type="paragraph" w:styleId="12">
    <w:name w:val="Body Text First Indent"/>
    <w:basedOn w:val="11"/>
    <w:next w:val="13"/>
    <w:qFormat/>
    <w:uiPriority w:val="0"/>
    <w:pPr>
      <w:spacing w:line="300" w:lineRule="auto"/>
      <w:ind w:firstLine="476"/>
    </w:pPr>
  </w:style>
  <w:style w:type="paragraph" w:styleId="13">
    <w:name w:val="toc 6"/>
    <w:basedOn w:val="1"/>
    <w:next w:val="1"/>
    <w:qFormat/>
    <w:uiPriority w:val="0"/>
    <w:pPr>
      <w:ind w:left="2100" w:leftChars="1000"/>
    </w:pPr>
    <w:rPr>
      <w:rFonts w:ascii="Calibri" w:hAnsi="Calibri" w:cs="Times New Roman"/>
      <w:szCs w:val="22"/>
    </w:rPr>
  </w:style>
  <w:style w:type="paragraph" w:styleId="14">
    <w:name w:val="Body Text Indent"/>
    <w:basedOn w:val="1"/>
    <w:next w:val="15"/>
    <w:qFormat/>
    <w:uiPriority w:val="0"/>
    <w:pPr>
      <w:spacing w:line="200" w:lineRule="exact"/>
      <w:ind w:firstLine="301"/>
    </w:pPr>
    <w:rPr>
      <w:rFonts w:ascii="宋体" w:hAnsi="Courier New" w:cs="Times New Roman"/>
      <w:spacing w:val="-4"/>
      <w:kern w:val="0"/>
      <w:sz w:val="18"/>
      <w:szCs w:val="20"/>
    </w:rPr>
  </w:style>
  <w:style w:type="paragraph" w:styleId="15">
    <w:name w:val="envelope return"/>
    <w:basedOn w:val="1"/>
    <w:qFormat/>
    <w:uiPriority w:val="99"/>
    <w:pPr>
      <w:snapToGrid w:val="0"/>
    </w:pPr>
    <w:rPr>
      <w:rFonts w:ascii="Arial" w:hAnsi="Arial" w:cs="Arial"/>
    </w:rPr>
  </w:style>
  <w:style w:type="paragraph" w:styleId="16">
    <w:name w:val="Block Text"/>
    <w:basedOn w:val="1"/>
    <w:qFormat/>
    <w:uiPriority w:val="0"/>
    <w:pPr>
      <w:spacing w:before="120" w:line="360" w:lineRule="auto"/>
      <w:ind w:left="824" w:right="202"/>
    </w:pPr>
    <w:rPr>
      <w:rFonts w:ascii="宋体" w:cs="Times New Roman"/>
      <w:szCs w:val="21"/>
    </w:rPr>
  </w:style>
  <w:style w:type="paragraph" w:styleId="17">
    <w:name w:val="index 4"/>
    <w:basedOn w:val="1"/>
    <w:next w:val="1"/>
    <w:qFormat/>
    <w:uiPriority w:val="0"/>
    <w:pPr>
      <w:ind w:left="600" w:leftChars="600"/>
    </w:pPr>
    <w:rPr>
      <w:rFonts w:ascii="Verdana" w:hAnsi="Verdana" w:cs="Times New Roman"/>
      <w:kern w:val="0"/>
      <w:sz w:val="20"/>
      <w:szCs w:val="20"/>
    </w:rPr>
  </w:style>
  <w:style w:type="paragraph" w:styleId="18">
    <w:name w:val="Balloon Text"/>
    <w:basedOn w:val="1"/>
    <w:link w:val="41"/>
    <w:qFormat/>
    <w:uiPriority w:val="0"/>
    <w:rPr>
      <w:rFonts w:cs="Times New Roman"/>
      <w:kern w:val="0"/>
      <w:sz w:val="18"/>
      <w:szCs w:val="18"/>
    </w:rPr>
  </w:style>
  <w:style w:type="paragraph" w:styleId="19">
    <w:name w:val="footer"/>
    <w:basedOn w:val="1"/>
    <w:link w:val="84"/>
    <w:qFormat/>
    <w:uiPriority w:val="0"/>
    <w:pPr>
      <w:tabs>
        <w:tab w:val="center" w:pos="4153"/>
        <w:tab w:val="right" w:pos="8306"/>
      </w:tabs>
      <w:snapToGrid w:val="0"/>
      <w:jc w:val="left"/>
    </w:pPr>
    <w:rPr>
      <w:rFonts w:cs="Times New Roman"/>
      <w:kern w:val="0"/>
      <w:sz w:val="18"/>
      <w:szCs w:val="18"/>
    </w:rPr>
  </w:style>
  <w:style w:type="paragraph" w:styleId="20">
    <w:name w:val="header"/>
    <w:basedOn w:val="1"/>
    <w:link w:val="42"/>
    <w:qFormat/>
    <w:uiPriority w:val="0"/>
    <w:pPr>
      <w:pBdr>
        <w:bottom w:val="single" w:color="auto" w:sz="6" w:space="1"/>
      </w:pBdr>
      <w:tabs>
        <w:tab w:val="center" w:pos="4153"/>
        <w:tab w:val="right" w:pos="8306"/>
      </w:tabs>
      <w:snapToGrid w:val="0"/>
      <w:jc w:val="center"/>
    </w:pPr>
    <w:rPr>
      <w:rFonts w:cs="Times New Roman"/>
      <w:sz w:val="18"/>
      <w:szCs w:val="18"/>
    </w:rPr>
  </w:style>
  <w:style w:type="paragraph" w:styleId="21">
    <w:name w:val="toc 1"/>
    <w:basedOn w:val="1"/>
    <w:next w:val="1"/>
    <w:qFormat/>
    <w:uiPriority w:val="0"/>
    <w:rPr>
      <w:rFonts w:cs="Times New Roman"/>
    </w:rPr>
  </w:style>
  <w:style w:type="paragraph" w:styleId="22">
    <w:name w:val="Body Text Indent 3"/>
    <w:basedOn w:val="1"/>
    <w:qFormat/>
    <w:uiPriority w:val="0"/>
    <w:pPr>
      <w:snapToGrid w:val="0"/>
      <w:ind w:firstLine="480" w:firstLineChars="200"/>
      <w:jc w:val="left"/>
    </w:pPr>
    <w:rPr>
      <w:rFonts w:ascii="仿宋_GB2312" w:hAnsi="宋体" w:eastAsia="仿宋_GB2312" w:cs="Times New Roman"/>
      <w:color w:val="000000"/>
      <w:kern w:val="0"/>
    </w:rPr>
  </w:style>
  <w:style w:type="paragraph" w:styleId="23">
    <w:name w:val="toc 2"/>
    <w:basedOn w:val="1"/>
    <w:next w:val="1"/>
    <w:qFormat/>
    <w:uiPriority w:val="39"/>
    <w:pPr>
      <w:ind w:left="420" w:leftChars="200"/>
    </w:pPr>
  </w:style>
  <w:style w:type="paragraph" w:styleId="24">
    <w:name w:val="Normal (Web)"/>
    <w:basedOn w:val="1"/>
    <w:qFormat/>
    <w:uiPriority w:val="99"/>
    <w:pPr>
      <w:widowControl/>
      <w:spacing w:before="100" w:beforeAutospacing="1" w:after="100" w:afterAutospacing="1"/>
      <w:jc w:val="left"/>
    </w:pPr>
    <w:rPr>
      <w:rFonts w:ascii="宋体" w:hAnsi="宋体" w:cs="Times New Roman"/>
      <w:kern w:val="0"/>
    </w:rPr>
  </w:style>
  <w:style w:type="paragraph" w:styleId="25">
    <w:name w:val="Title"/>
    <w:basedOn w:val="1"/>
    <w:qFormat/>
    <w:uiPriority w:val="10"/>
    <w:pPr>
      <w:widowControl/>
      <w:overflowPunct w:val="0"/>
      <w:autoSpaceDE w:val="0"/>
      <w:autoSpaceDN w:val="0"/>
      <w:jc w:val="center"/>
      <w:textAlignment w:val="baseline"/>
    </w:pPr>
    <w:rPr>
      <w:b/>
      <w:kern w:val="0"/>
      <w:lang w:val="en-GB"/>
    </w:rPr>
  </w:style>
  <w:style w:type="paragraph" w:styleId="26">
    <w:name w:val="annotation subject"/>
    <w:basedOn w:val="9"/>
    <w:next w:val="9"/>
    <w:link w:val="43"/>
    <w:qFormat/>
    <w:uiPriority w:val="0"/>
    <w:rPr>
      <w:b/>
      <w:bCs/>
    </w:rPr>
  </w:style>
  <w:style w:type="paragraph" w:styleId="27">
    <w:name w:val="Body Text First Indent 2"/>
    <w:basedOn w:val="14"/>
    <w:next w:val="28"/>
    <w:qFormat/>
    <w:uiPriority w:val="0"/>
    <w:pPr>
      <w:spacing w:after="120" w:line="240" w:lineRule="auto"/>
      <w:ind w:left="420" w:leftChars="200" w:firstLine="420" w:firstLineChars="200"/>
    </w:pPr>
    <w:rPr>
      <w:sz w:val="21"/>
      <w:szCs w:val="24"/>
    </w:rPr>
  </w:style>
  <w:style w:type="paragraph" w:customStyle="1" w:styleId="28">
    <w:name w:val="xl53"/>
    <w:basedOn w:val="1"/>
    <w:next w:val="1"/>
    <w:qFormat/>
    <w:uiPriority w:val="0"/>
    <w:pPr>
      <w:spacing w:before="280" w:after="280" w:line="100" w:lineRule="exact"/>
      <w:jc w:val="center"/>
    </w:pPr>
    <w:rPr>
      <w:rFonts w:cs="Times New Roman"/>
      <w:b/>
      <w:sz w:val="20"/>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0"/>
    <w:rPr>
      <w:rFonts w:ascii="Times New Roman" w:hAnsi="Times New Roman" w:eastAsia="宋体" w:cs="Times New Roman"/>
      <w:b/>
      <w:bCs/>
    </w:rPr>
  </w:style>
  <w:style w:type="character" w:styleId="33">
    <w:name w:val="page number"/>
    <w:basedOn w:val="31"/>
    <w:qFormat/>
    <w:uiPriority w:val="0"/>
    <w:rPr>
      <w:rFonts w:ascii="Times New Roman" w:hAnsi="Times New Roman" w:eastAsia="宋体" w:cs="Times New Roman"/>
    </w:rPr>
  </w:style>
  <w:style w:type="character" w:styleId="34">
    <w:name w:val="Emphasis"/>
    <w:qFormat/>
    <w:uiPriority w:val="0"/>
    <w:rPr>
      <w:rFonts w:ascii="Times New Roman" w:hAnsi="Times New Roman" w:eastAsia="宋体" w:cs="Times New Roman"/>
      <w:i/>
      <w:iCs/>
    </w:rPr>
  </w:style>
  <w:style w:type="character" w:styleId="35">
    <w:name w:val="Hyperlink"/>
    <w:qFormat/>
    <w:uiPriority w:val="0"/>
    <w:rPr>
      <w:rFonts w:ascii="Times New Roman" w:hAnsi="Times New Roman" w:eastAsia="宋体" w:cs="Times New Roman"/>
      <w:color w:val="0000FF"/>
      <w:u w:val="single"/>
    </w:rPr>
  </w:style>
  <w:style w:type="character" w:styleId="36">
    <w:name w:val="annotation reference"/>
    <w:qFormat/>
    <w:uiPriority w:val="0"/>
    <w:rPr>
      <w:rFonts w:ascii="Times New Roman" w:hAnsi="Times New Roman" w:eastAsia="宋体" w:cs="Times New Roman"/>
      <w:sz w:val="21"/>
      <w:szCs w:val="21"/>
    </w:rPr>
  </w:style>
  <w:style w:type="paragraph" w:customStyle="1" w:styleId="37">
    <w:name w:val="正文空2字"/>
    <w:basedOn w:val="38"/>
    <w:qFormat/>
    <w:uiPriority w:val="99"/>
    <w:pPr>
      <w:suppressAutoHyphens w:val="0"/>
      <w:snapToGrid w:val="0"/>
      <w:spacing w:line="560" w:lineRule="exact"/>
      <w:ind w:firstLine="640" w:firstLineChars="200"/>
      <w:jc w:val="left"/>
    </w:pPr>
    <w:rPr>
      <w:rFonts w:ascii="仿宋_GB2312" w:hAnsi="仿宋_GB2312" w:eastAsia="仿宋_GB2312" w:cs="仿宋_GB2312"/>
      <w:sz w:val="32"/>
      <w:szCs w:val="32"/>
      <w:lang w:val="zh-TW"/>
    </w:rPr>
  </w:style>
  <w:style w:type="paragraph" w:customStyle="1" w:styleId="38">
    <w:name w:val="左对齐正文"/>
    <w:qFormat/>
    <w:uiPriority w:val="99"/>
    <w:pPr>
      <w:spacing w:after="160" w:line="278" w:lineRule="auto"/>
    </w:pPr>
    <w:rPr>
      <w:rFonts w:ascii="Calibri" w:hAnsi="Calibri" w:eastAsia="仿宋_GB2312" w:cs="Calibri"/>
      <w:kern w:val="2"/>
      <w:sz w:val="32"/>
      <w:szCs w:val="32"/>
      <w:lang w:val="en-US" w:eastAsia="zh-CN" w:bidi="ar-SA"/>
    </w:rPr>
  </w:style>
  <w:style w:type="paragraph" w:customStyle="1" w:styleId="39">
    <w:name w:val="标准正文"/>
    <w:basedOn w:val="1"/>
    <w:qFormat/>
    <w:uiPriority w:val="0"/>
    <w:pPr>
      <w:spacing w:line="360" w:lineRule="auto"/>
      <w:ind w:firstLine="200" w:firstLineChars="200"/>
    </w:pPr>
    <w:rPr>
      <w:rFonts w:cs="Times New Roman"/>
      <w:szCs w:val="20"/>
    </w:rPr>
  </w:style>
  <w:style w:type="character" w:customStyle="1" w:styleId="40">
    <w:name w:val="批注文字 字符"/>
    <w:link w:val="9"/>
    <w:qFormat/>
    <w:uiPriority w:val="0"/>
    <w:rPr>
      <w:rFonts w:ascii="Times New Roman" w:hAnsi="Times New Roman" w:eastAsia="宋体" w:cs="宋体"/>
      <w:kern w:val="2"/>
      <w:sz w:val="24"/>
      <w:szCs w:val="24"/>
    </w:rPr>
  </w:style>
  <w:style w:type="character" w:customStyle="1" w:styleId="41">
    <w:name w:val="批注框文本 字符"/>
    <w:link w:val="18"/>
    <w:qFormat/>
    <w:uiPriority w:val="0"/>
    <w:rPr>
      <w:rFonts w:ascii="Times New Roman" w:hAnsi="Times New Roman" w:eastAsia="宋体" w:cs="宋体"/>
      <w:sz w:val="18"/>
      <w:szCs w:val="18"/>
    </w:rPr>
  </w:style>
  <w:style w:type="character" w:customStyle="1" w:styleId="42">
    <w:name w:val="页眉 字符"/>
    <w:link w:val="20"/>
    <w:qFormat/>
    <w:uiPriority w:val="0"/>
    <w:rPr>
      <w:rFonts w:ascii="Times New Roman" w:hAnsi="Times New Roman" w:eastAsia="宋体" w:cs="宋体"/>
      <w:kern w:val="2"/>
      <w:sz w:val="18"/>
      <w:szCs w:val="18"/>
    </w:rPr>
  </w:style>
  <w:style w:type="character" w:customStyle="1" w:styleId="43">
    <w:name w:val="批注主题 字符"/>
    <w:link w:val="26"/>
    <w:qFormat/>
    <w:uiPriority w:val="0"/>
    <w:rPr>
      <w:rFonts w:ascii="Times New Roman" w:hAnsi="Times New Roman" w:eastAsia="宋体" w:cs="宋体"/>
      <w:b/>
      <w:bCs/>
      <w:kern w:val="2"/>
      <w:sz w:val="24"/>
      <w:szCs w:val="24"/>
    </w:rPr>
  </w:style>
  <w:style w:type="character" w:customStyle="1" w:styleId="44">
    <w:name w:val="font61"/>
    <w:qFormat/>
    <w:uiPriority w:val="0"/>
    <w:rPr>
      <w:rFonts w:ascii="Arial" w:hAnsi="Arial" w:eastAsia="宋体" w:cs="Arial"/>
      <w:color w:val="000000"/>
      <w:sz w:val="22"/>
      <w:szCs w:val="22"/>
      <w:u w:val="none"/>
    </w:rPr>
  </w:style>
  <w:style w:type="character" w:customStyle="1" w:styleId="45">
    <w:name w:val="font11"/>
    <w:basedOn w:val="31"/>
    <w:qFormat/>
    <w:uiPriority w:val="0"/>
    <w:rPr>
      <w:rFonts w:hint="eastAsia" w:ascii="宋体" w:hAnsi="宋体" w:eastAsia="宋体" w:cs="宋体"/>
      <w:color w:val="000000"/>
      <w:sz w:val="22"/>
      <w:szCs w:val="22"/>
      <w:u w:val="none"/>
    </w:rPr>
  </w:style>
  <w:style w:type="character" w:customStyle="1" w:styleId="46">
    <w:name w:val="NormalCharacter"/>
    <w:qFormat/>
    <w:uiPriority w:val="0"/>
    <w:rPr>
      <w:rFonts w:ascii="Times New Roman" w:hAnsi="Times New Roman" w:eastAsia="宋体" w:cs="Times New Roman"/>
    </w:rPr>
  </w:style>
  <w:style w:type="character" w:customStyle="1" w:styleId="47">
    <w:name w:val="标题 1 Char Char"/>
    <w:qFormat/>
    <w:uiPriority w:val="0"/>
    <w:rPr>
      <w:rFonts w:ascii="Times New Roman" w:hAnsi="Times New Roman" w:eastAsia="宋体" w:cs="Times New Roman"/>
      <w:b/>
      <w:spacing w:val="-2"/>
      <w:sz w:val="24"/>
      <w:lang w:val="en-US" w:eastAsia="zh-CN" w:bidi="ar-SA"/>
    </w:rPr>
  </w:style>
  <w:style w:type="character" w:customStyle="1" w:styleId="48">
    <w:name w:val="UserStyle_3"/>
    <w:qFormat/>
    <w:uiPriority w:val="0"/>
    <w:rPr>
      <w:rFonts w:ascii="Calibri" w:hAnsi="Calibri" w:eastAsia="宋体" w:cs="Times New Roman"/>
      <w:color w:val="000000"/>
      <w:sz w:val="22"/>
      <w:szCs w:val="22"/>
    </w:rPr>
  </w:style>
  <w:style w:type="character" w:customStyle="1" w:styleId="49">
    <w:name w:val="font51"/>
    <w:qFormat/>
    <w:uiPriority w:val="0"/>
    <w:rPr>
      <w:rFonts w:hint="eastAsia" w:ascii="仿宋_GB2312" w:hAnsi="Times New Roman" w:eastAsia="仿宋_GB2312" w:cs="仿宋_GB2312"/>
      <w:color w:val="000000"/>
      <w:sz w:val="21"/>
      <w:szCs w:val="21"/>
      <w:u w:val="none"/>
    </w:rPr>
  </w:style>
  <w:style w:type="character" w:customStyle="1" w:styleId="50">
    <w:name w:val="UserStyle_2"/>
    <w:qFormat/>
    <w:uiPriority w:val="0"/>
    <w:rPr>
      <w:rFonts w:ascii="宋体" w:hAnsi="宋体" w:eastAsia="宋体" w:cs="Times New Roman"/>
      <w:color w:val="000000"/>
      <w:sz w:val="21"/>
      <w:szCs w:val="21"/>
    </w:rPr>
  </w:style>
  <w:style w:type="paragraph" w:customStyle="1" w:styleId="51">
    <w:name w:val="text-tag"/>
    <w:basedOn w:val="1"/>
    <w:semiHidden/>
    <w:qFormat/>
    <w:uiPriority w:val="99"/>
    <w:pPr>
      <w:widowControl/>
      <w:spacing w:before="100" w:beforeAutospacing="1" w:after="100" w:afterAutospacing="1"/>
      <w:jc w:val="left"/>
    </w:pPr>
    <w:rPr>
      <w:rFonts w:ascii="宋体" w:hAnsi="宋体"/>
      <w:kern w:val="0"/>
    </w:rPr>
  </w:style>
  <w:style w:type="paragraph" w:customStyle="1" w:styleId="52">
    <w:name w:val="正文缩进1"/>
    <w:basedOn w:val="1"/>
    <w:next w:val="14"/>
    <w:qFormat/>
    <w:uiPriority w:val="0"/>
    <w:pPr>
      <w:autoSpaceDE w:val="0"/>
      <w:autoSpaceDN w:val="0"/>
      <w:snapToGrid w:val="0"/>
      <w:spacing w:after="120" w:line="360" w:lineRule="auto"/>
      <w:ind w:left="420" w:leftChars="200" w:firstLine="480" w:firstLineChars="200"/>
    </w:pPr>
    <w:rPr>
      <w:szCs w:val="21"/>
    </w:rPr>
  </w:style>
  <w:style w:type="paragraph" w:customStyle="1" w:styleId="53">
    <w:name w:val="Normal_45"/>
    <w:qFormat/>
    <w:uiPriority w:val="0"/>
    <w:pPr>
      <w:spacing w:before="120" w:after="240" w:line="278" w:lineRule="auto"/>
      <w:jc w:val="both"/>
    </w:pPr>
    <w:rPr>
      <w:rFonts w:ascii="Times New Roman" w:hAnsi="Times New Roman" w:eastAsia="Calibri" w:cs="Times New Roman"/>
      <w:sz w:val="22"/>
      <w:szCs w:val="22"/>
      <w:lang w:val="en-US" w:eastAsia="en-US" w:bidi="ar-SA"/>
    </w:rPr>
  </w:style>
  <w:style w:type="paragraph" w:customStyle="1" w:styleId="54">
    <w:name w:val="Normal_48"/>
    <w:qFormat/>
    <w:uiPriority w:val="0"/>
    <w:pPr>
      <w:spacing w:before="120" w:after="240" w:line="278" w:lineRule="auto"/>
      <w:jc w:val="both"/>
    </w:pPr>
    <w:rPr>
      <w:rFonts w:ascii="Times New Roman" w:hAnsi="Times New Roman" w:eastAsia="Calibri" w:cs="Times New Roman"/>
      <w:sz w:val="22"/>
      <w:szCs w:val="22"/>
      <w:lang w:val="en-US" w:eastAsia="en-US" w:bidi="ar-SA"/>
    </w:rPr>
  </w:style>
  <w:style w:type="paragraph" w:customStyle="1" w:styleId="55">
    <w:name w:val="纯文本2"/>
    <w:basedOn w:val="1"/>
    <w:qFormat/>
    <w:uiPriority w:val="0"/>
    <w:pPr>
      <w:adjustRightInd w:val="0"/>
      <w:textAlignment w:val="baseline"/>
    </w:pPr>
    <w:rPr>
      <w:rFonts w:ascii="宋体" w:hAnsi="Courier New" w:eastAsia="楷体_GB2312" w:cs="Times New Roman"/>
      <w:sz w:val="26"/>
      <w:szCs w:val="20"/>
    </w:rPr>
  </w:style>
  <w:style w:type="paragraph" w:customStyle="1" w:styleId="56">
    <w:name w:val="纯文本1"/>
    <w:qFormat/>
    <w:uiPriority w:val="0"/>
    <w:pPr>
      <w:widowControl w:val="0"/>
      <w:adjustRightInd w:val="0"/>
      <w:spacing w:after="160" w:line="278" w:lineRule="auto"/>
      <w:jc w:val="both"/>
      <w:textAlignment w:val="baseline"/>
    </w:pPr>
    <w:rPr>
      <w:rFonts w:ascii="宋体" w:hAnsi="Courier New" w:eastAsia="楷体_GB2312" w:cs="Times New Roman"/>
      <w:kern w:val="2"/>
      <w:sz w:val="26"/>
      <w:lang w:val="en-US" w:eastAsia="zh-CN" w:bidi="ar-SA"/>
    </w:rPr>
  </w:style>
  <w:style w:type="paragraph" w:customStyle="1" w:styleId="57">
    <w:name w:val="179"/>
    <w:basedOn w:val="1"/>
    <w:qFormat/>
    <w:uiPriority w:val="0"/>
    <w:pPr>
      <w:ind w:firstLine="420" w:firstLineChars="200"/>
    </w:pPr>
    <w:rPr>
      <w:rFonts w:cs="Times New Roman"/>
    </w:rPr>
  </w:style>
  <w:style w:type="paragraph" w:customStyle="1" w:styleId="58">
    <w:name w:val="Heading1"/>
    <w:basedOn w:val="1"/>
    <w:next w:val="1"/>
    <w:qFormat/>
    <w:uiPriority w:val="0"/>
    <w:pPr>
      <w:keepNext/>
      <w:keepLines/>
      <w:spacing w:before="340" w:after="330" w:line="578" w:lineRule="auto"/>
      <w:jc w:val="center"/>
    </w:pPr>
    <w:rPr>
      <w:rFonts w:eastAsia="仿宋_GB2312" w:cs="Times New Roman"/>
      <w:b/>
      <w:bCs/>
      <w:kern w:val="44"/>
      <w:sz w:val="36"/>
      <w:szCs w:val="44"/>
    </w:rPr>
  </w:style>
  <w:style w:type="paragraph" w:customStyle="1" w:styleId="59">
    <w:name w:val="Default"/>
    <w:qFormat/>
    <w:uiPriority w:val="0"/>
    <w:pPr>
      <w:widowControl w:val="0"/>
      <w:autoSpaceDE w:val="0"/>
      <w:autoSpaceDN w:val="0"/>
      <w:adjustRightInd w:val="0"/>
      <w:spacing w:after="160" w:line="278" w:lineRule="auto"/>
    </w:pPr>
    <w:rPr>
      <w:rFonts w:ascii="微软雅黑" w:hAnsi="Times New Roman" w:eastAsia="微软雅黑" w:cs="微软雅黑"/>
      <w:color w:val="000000"/>
      <w:sz w:val="24"/>
      <w:szCs w:val="24"/>
      <w:lang w:val="en-US" w:eastAsia="zh-CN" w:bidi="ar-SA"/>
    </w:rPr>
  </w:style>
  <w:style w:type="paragraph" w:customStyle="1" w:styleId="60">
    <w:name w:val="样式 正文（首行缩进两字） + 宋体"/>
    <w:basedOn w:val="6"/>
    <w:qFormat/>
    <w:uiPriority w:val="0"/>
    <w:pPr>
      <w:spacing w:line="460" w:lineRule="exact"/>
      <w:ind w:firstLine="200"/>
    </w:pPr>
    <w:rPr>
      <w:rFonts w:ascii="宋体" w:hAnsi="宋体"/>
      <w:spacing w:val="6"/>
      <w:kern w:val="24"/>
    </w:rPr>
  </w:style>
  <w:style w:type="paragraph" w:customStyle="1" w:styleId="61">
    <w:name w:val="正文2"/>
    <w:basedOn w:val="1"/>
    <w:qFormat/>
    <w:uiPriority w:val="0"/>
    <w:pPr>
      <w:spacing w:before="156" w:line="360" w:lineRule="auto"/>
      <w:ind w:firstLine="510" w:firstLineChars="200"/>
    </w:pPr>
    <w:rPr>
      <w:szCs w:val="20"/>
    </w:rPr>
  </w:style>
  <w:style w:type="paragraph" w:customStyle="1" w:styleId="62">
    <w:name w:val="正文_1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63">
    <w:name w:val="List Paragraph"/>
    <w:basedOn w:val="1"/>
    <w:qFormat/>
    <w:uiPriority w:val="0"/>
    <w:pPr>
      <w:spacing w:line="360" w:lineRule="auto"/>
      <w:ind w:firstLine="420" w:firstLineChars="200"/>
    </w:pPr>
    <w:rPr>
      <w:rFonts w:cs="Times New Roman"/>
      <w:sz w:val="21"/>
      <w:szCs w:val="20"/>
    </w:rPr>
  </w:style>
  <w:style w:type="paragraph" w:customStyle="1" w:styleId="64">
    <w:name w:val="正文_0"/>
    <w:qFormat/>
    <w:uiPriority w:val="0"/>
    <w:pPr>
      <w:spacing w:after="160" w:line="278" w:lineRule="auto"/>
    </w:pPr>
    <w:rPr>
      <w:rFonts w:ascii="Times New Roman" w:hAnsi="Times New Roman" w:eastAsia="宋体" w:cs="Times New Roman"/>
      <w:sz w:val="21"/>
      <w:lang w:val="en-US" w:eastAsia="zh-CN" w:bidi="ar-SA"/>
    </w:rPr>
  </w:style>
  <w:style w:type="paragraph" w:customStyle="1" w:styleId="65">
    <w:name w:val="索引 11"/>
    <w:basedOn w:val="1"/>
    <w:next w:val="1"/>
    <w:qFormat/>
    <w:uiPriority w:val="99"/>
    <w:pPr>
      <w:spacing w:line="360" w:lineRule="auto"/>
    </w:pPr>
    <w:rPr>
      <w:rFonts w:ascii="仿宋_GB2312" w:eastAsia="仿宋_GB2312"/>
      <w:szCs w:val="20"/>
    </w:rPr>
  </w:style>
  <w:style w:type="paragraph" w:customStyle="1" w:styleId="66">
    <w:name w:val="af17cgridlangnp1033langf"/>
    <w:qFormat/>
    <w:uiPriority w:val="0"/>
    <w:pPr>
      <w:widowControl w:val="0"/>
      <w:autoSpaceDE w:val="0"/>
      <w:autoSpaceDN w:val="0"/>
      <w:adjustRightInd w:val="0"/>
      <w:spacing w:before="156" w:after="160" w:line="360" w:lineRule="atLeast"/>
      <w:ind w:left="567" w:firstLine="510"/>
      <w:jc w:val="both"/>
    </w:pPr>
    <w:rPr>
      <w:rFonts w:ascii="Times New Roman" w:hAnsi="Times New Roman" w:eastAsia="宋体" w:cs="Times New Roman"/>
      <w:lang w:val="en-US" w:eastAsia="zh-CN" w:bidi="ar-SA"/>
    </w:rPr>
  </w:style>
  <w:style w:type="paragraph" w:customStyle="1" w:styleId="67">
    <w:name w:val="Picture caption|1"/>
    <w:basedOn w:val="1"/>
    <w:qFormat/>
    <w:uiPriority w:val="0"/>
    <w:rPr>
      <w:rFonts w:cs="Times New Roman"/>
      <w:sz w:val="14"/>
      <w:szCs w:val="14"/>
    </w:rPr>
  </w:style>
  <w:style w:type="paragraph" w:customStyle="1" w:styleId="68">
    <w:name w:val="1"/>
    <w:basedOn w:val="2"/>
    <w:qFormat/>
    <w:uiPriority w:val="0"/>
    <w:pPr>
      <w:adjustRightInd w:val="0"/>
      <w:snapToGrid w:val="0"/>
      <w:spacing w:before="240" w:after="240"/>
    </w:pPr>
    <w:rPr>
      <w:rFonts w:ascii="微软雅黑" w:hAnsi="微软雅黑" w:eastAsia="微软雅黑" w:cs="宋体"/>
      <w:sz w:val="28"/>
    </w:rPr>
  </w:style>
  <w:style w:type="paragraph" w:customStyle="1" w:styleId="69">
    <w:name w:val="纯文本11"/>
    <w:basedOn w:val="1"/>
    <w:qFormat/>
    <w:uiPriority w:val="0"/>
    <w:pPr>
      <w:adjustRightInd w:val="0"/>
      <w:textAlignment w:val="baseline"/>
    </w:pPr>
    <w:rPr>
      <w:rFonts w:ascii="宋体" w:hAnsi="Courier New" w:eastAsia="楷体_GB2312" w:cs="Times New Roman"/>
      <w:sz w:val="26"/>
      <w:szCs w:val="20"/>
    </w:rPr>
  </w:style>
  <w:style w:type="paragraph" w:customStyle="1" w:styleId="70">
    <w:name w:val="文件正文版式"/>
    <w:basedOn w:val="1"/>
    <w:qFormat/>
    <w:uiPriority w:val="0"/>
    <w:pPr>
      <w:spacing w:line="460" w:lineRule="atLeast"/>
    </w:pPr>
    <w:rPr>
      <w:rFonts w:ascii="宋体" w:hAnsi="宋体"/>
      <w:b/>
      <w:bCs/>
    </w:rPr>
  </w:style>
  <w:style w:type="paragraph" w:customStyle="1" w:styleId="7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72">
    <w:name w:val="Table caption|1"/>
    <w:basedOn w:val="1"/>
    <w:qFormat/>
    <w:uiPriority w:val="0"/>
    <w:pPr>
      <w:spacing w:line="324" w:lineRule="auto"/>
    </w:pPr>
    <w:rPr>
      <w:rFonts w:ascii="宋体" w:hAnsi="宋体" w:cs="Times New Roman"/>
      <w:sz w:val="22"/>
      <w:szCs w:val="22"/>
      <w:lang w:val="zh-TW" w:eastAsia="zh-TW" w:bidi="zh-TW"/>
    </w:rPr>
  </w:style>
  <w:style w:type="paragraph" w:customStyle="1" w:styleId="73">
    <w:name w:val="纯文本_0_0"/>
    <w:basedOn w:val="62"/>
    <w:qFormat/>
    <w:uiPriority w:val="0"/>
    <w:rPr>
      <w:rFonts w:ascii="宋体" w:hAnsi="Courier New"/>
      <w:szCs w:val="21"/>
    </w:rPr>
  </w:style>
  <w:style w:type="paragraph" w:customStyle="1" w:styleId="74">
    <w:name w:val="修订1"/>
    <w:qFormat/>
    <w:uiPriority w:val="0"/>
    <w:pPr>
      <w:spacing w:after="160" w:line="278" w:lineRule="auto"/>
    </w:pPr>
    <w:rPr>
      <w:rFonts w:ascii="Times New Roman" w:hAnsi="Times New Roman" w:eastAsia="宋体" w:cs="宋体"/>
      <w:kern w:val="2"/>
      <w:sz w:val="24"/>
      <w:szCs w:val="24"/>
      <w:lang w:val="en-US" w:eastAsia="zh-CN" w:bidi="ar-SA"/>
    </w:rPr>
  </w:style>
  <w:style w:type="paragraph" w:customStyle="1" w:styleId="75">
    <w:name w:val="Other|1"/>
    <w:basedOn w:val="1"/>
    <w:qFormat/>
    <w:uiPriority w:val="0"/>
    <w:rPr>
      <w:rFonts w:cs="Times New Roman"/>
      <w:lang w:val="zh-TW" w:eastAsia="zh-TW" w:bidi="zh-TW"/>
    </w:rPr>
  </w:style>
  <w:style w:type="paragraph" w:customStyle="1" w:styleId="76">
    <w:name w:val="trs_editor"/>
    <w:basedOn w:val="1"/>
    <w:qFormat/>
    <w:uiPriority w:val="0"/>
    <w:pPr>
      <w:widowControl/>
      <w:spacing w:before="100" w:beforeAutospacing="1" w:after="100" w:afterAutospacing="1"/>
      <w:jc w:val="left"/>
    </w:pPr>
    <w:rPr>
      <w:rFonts w:ascii="宋体" w:hAnsi="宋体"/>
      <w:kern w:val="0"/>
    </w:rPr>
  </w:style>
  <w:style w:type="paragraph" w:customStyle="1" w:styleId="77">
    <w:name w:val="表内文字"/>
    <w:basedOn w:val="1"/>
    <w:qFormat/>
    <w:uiPriority w:val="0"/>
    <w:pPr>
      <w:tabs>
        <w:tab w:val="left" w:pos="1418"/>
      </w:tabs>
      <w:spacing w:line="360" w:lineRule="auto"/>
      <w:jc w:val="center"/>
    </w:pPr>
    <w:rPr>
      <w:rFonts w:ascii="仿宋_GB2312" w:eastAsia="仿宋_GB2312" w:cs="Times New Roman"/>
      <w:spacing w:val="-20"/>
      <w:kern w:val="0"/>
    </w:rPr>
  </w:style>
  <w:style w:type="character" w:customStyle="1" w:styleId="78">
    <w:name w:val="font21"/>
    <w:basedOn w:val="31"/>
    <w:qFormat/>
    <w:uiPriority w:val="0"/>
    <w:rPr>
      <w:rFonts w:ascii="方正书宋_GBK" w:hAnsi="方正书宋_GBK" w:eastAsia="方正书宋_GBK" w:cs="方正书宋_GBK"/>
      <w:color w:val="000000"/>
      <w:sz w:val="18"/>
      <w:szCs w:val="18"/>
      <w:u w:val="none"/>
    </w:rPr>
  </w:style>
  <w:style w:type="table" w:customStyle="1" w:styleId="79">
    <w:name w:val="Table Normal"/>
    <w:unhideWhenUsed/>
    <w:qFormat/>
    <w:uiPriority w:val="0"/>
    <w:tblPr>
      <w:tblCellMar>
        <w:top w:w="0" w:type="dxa"/>
        <w:left w:w="0" w:type="dxa"/>
        <w:bottom w:w="0" w:type="dxa"/>
        <w:right w:w="0" w:type="dxa"/>
      </w:tblCellMar>
    </w:tblPr>
  </w:style>
  <w:style w:type="paragraph" w:customStyle="1" w:styleId="80">
    <w:name w:val="样式 标题 1 + 四号 加粗"/>
    <w:basedOn w:val="2"/>
    <w:qFormat/>
    <w:uiPriority w:val="0"/>
    <w:pPr>
      <w:jc w:val="left"/>
    </w:pPr>
    <w:rPr>
      <w:rFonts w:ascii="宋体" w:hAnsi="宋体" w:eastAsia="宋体"/>
      <w:kern w:val="2"/>
      <w:sz w:val="28"/>
      <w:szCs w:val="28"/>
    </w:rPr>
  </w:style>
  <w:style w:type="character" w:customStyle="1" w:styleId="81">
    <w:name w:val="font01"/>
    <w:basedOn w:val="31"/>
    <w:qFormat/>
    <w:uiPriority w:val="0"/>
    <w:rPr>
      <w:rFonts w:hint="eastAsia" w:ascii="宋体" w:hAnsi="宋体" w:eastAsia="宋体" w:cs="宋体"/>
      <w:color w:val="000000"/>
      <w:sz w:val="18"/>
      <w:szCs w:val="18"/>
      <w:u w:val="none"/>
    </w:rPr>
  </w:style>
  <w:style w:type="character" w:customStyle="1" w:styleId="82">
    <w:name w:val="font31"/>
    <w:basedOn w:val="31"/>
    <w:qFormat/>
    <w:uiPriority w:val="0"/>
    <w:rPr>
      <w:rFonts w:hint="eastAsia" w:ascii="宋体" w:hAnsi="宋体" w:eastAsia="宋体" w:cs="宋体"/>
      <w:color w:val="000000"/>
      <w:sz w:val="18"/>
      <w:szCs w:val="18"/>
      <w:u w:val="none"/>
    </w:rPr>
  </w:style>
  <w:style w:type="character" w:customStyle="1" w:styleId="83">
    <w:name w:val="Unresolved Mention"/>
    <w:basedOn w:val="31"/>
    <w:semiHidden/>
    <w:unhideWhenUsed/>
    <w:qFormat/>
    <w:uiPriority w:val="99"/>
    <w:rPr>
      <w:color w:val="605E5C"/>
      <w:shd w:val="clear" w:color="auto" w:fill="E1DFDD"/>
    </w:rPr>
  </w:style>
  <w:style w:type="character" w:customStyle="1" w:styleId="84">
    <w:name w:val="页脚 字符"/>
    <w:basedOn w:val="31"/>
    <w:link w:val="19"/>
    <w:qFormat/>
    <w:uiPriority w:val="0"/>
    <w:rPr>
      <w:sz w:val="18"/>
      <w:szCs w:val="18"/>
    </w:rPr>
  </w:style>
  <w:style w:type="paragraph" w:customStyle="1" w:styleId="85">
    <w:name w:val="Normal Indent1"/>
    <w:basedOn w:val="1"/>
    <w:qFormat/>
    <w:uiPriority w:val="99"/>
    <w:pPr>
      <w:ind w:firstLine="420"/>
    </w:pPr>
    <w:rPr>
      <w:rFonts w:ascii="Times New Roman" w:hAnsi="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80</Pages>
  <Words>7309</Words>
  <Characters>41662</Characters>
  <Lines>347</Lines>
  <Paragraphs>97</Paragraphs>
  <TotalTime>7</TotalTime>
  <ScaleCrop>false</ScaleCrop>
  <LinksUpToDate>false</LinksUpToDate>
  <CharactersWithSpaces>48874</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2025-06-27T16:46:00Z</dcterms:created>
  <dc:creator>Administrator</dc:creator>
  <cp:lastModifiedBy>thtf-3</cp:lastModifiedBy>
  <cp:lastPrinted>2024-05-30T00:31:00Z</cp:lastPrinted>
  <dcterms:modified xsi:type="dcterms:W3CDTF">2026-07-10T15:30:53Z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4576DDFD8E254912A265E040DF95E5C4</vt:lpwstr>
  </property>
</Properties>
</file>