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eastAsia" w:asciiTheme="minorEastAsia" w:hAnsiTheme="minorEastAsia" w:eastAsiaTheme="minorEastAsia" w:cstheme="minorEastAsia"/>
          <w:b/>
          <w:spacing w:val="-20"/>
          <w:sz w:val="48"/>
          <w:szCs w:val="48"/>
        </w:rPr>
      </w:pPr>
      <w:bookmarkStart w:id="0" w:name="_Toc20654"/>
      <w:bookmarkStart w:id="1" w:name="_Toc29464"/>
      <w:bookmarkStart w:id="2" w:name="_Toc380429933"/>
      <w:bookmarkStart w:id="3" w:name="_Toc485648402"/>
      <w:bookmarkStart w:id="4" w:name="_Toc439666950"/>
      <w:bookmarkStart w:id="5" w:name="_Toc82338245"/>
      <w:bookmarkStart w:id="6" w:name="_Toc211745569"/>
      <w:bookmarkStart w:id="7" w:name="_Toc381081805"/>
      <w:bookmarkStart w:id="8" w:name="_Toc82873328"/>
    </w:p>
    <w:p>
      <w:pPr>
        <w:ind w:firstLine="0" w:firstLineChars="0"/>
        <w:jc w:val="center"/>
        <w:rPr>
          <w:rFonts w:hint="eastAsia" w:asciiTheme="minorEastAsia" w:hAnsiTheme="minorEastAsia" w:eastAsiaTheme="minorEastAsia" w:cstheme="minorEastAsia"/>
          <w:b/>
          <w:sz w:val="48"/>
          <w:szCs w:val="48"/>
        </w:rPr>
      </w:pPr>
      <w:r>
        <w:rPr>
          <w:rFonts w:hint="eastAsia" w:asciiTheme="minorEastAsia" w:hAnsiTheme="minorEastAsia" w:eastAsiaTheme="minorEastAsia" w:cstheme="minorEastAsia"/>
          <w:b/>
          <w:spacing w:val="-20"/>
          <w:sz w:val="48"/>
          <w:szCs w:val="48"/>
        </w:rPr>
        <w:t>2026年嘉兴职业技术学院教学用计算机、LED屏、智慧黑板等设备采购项目</w:t>
      </w:r>
    </w:p>
    <w:p>
      <w:pPr>
        <w:spacing w:before="156" w:beforeLines="50"/>
        <w:ind w:firstLine="964"/>
        <w:rPr>
          <w:rFonts w:hint="eastAsia" w:asciiTheme="minorEastAsia" w:hAnsiTheme="minorEastAsia" w:eastAsiaTheme="minorEastAsia" w:cstheme="minorEastAsia"/>
          <w:b/>
          <w:sz w:val="48"/>
          <w:szCs w:val="48"/>
        </w:rPr>
      </w:pPr>
    </w:p>
    <w:p>
      <w:pPr>
        <w:pStyle w:val="37"/>
        <w:ind w:firstLine="964"/>
        <w:rPr>
          <w:rFonts w:hint="eastAsia" w:asciiTheme="minorEastAsia" w:hAnsiTheme="minorEastAsia" w:eastAsiaTheme="minorEastAsia" w:cstheme="minorEastAsia"/>
          <w:b/>
          <w:sz w:val="48"/>
          <w:szCs w:val="48"/>
        </w:rPr>
      </w:pPr>
    </w:p>
    <w:p>
      <w:pPr>
        <w:pStyle w:val="37"/>
        <w:ind w:firstLine="964"/>
        <w:rPr>
          <w:rFonts w:hint="eastAsia" w:asciiTheme="minorEastAsia" w:hAnsiTheme="minorEastAsia" w:eastAsiaTheme="minorEastAsia" w:cstheme="minorEastAsia"/>
          <w:b/>
          <w:sz w:val="48"/>
          <w:szCs w:val="48"/>
        </w:rPr>
      </w:pPr>
    </w:p>
    <w:p>
      <w:pPr>
        <w:pStyle w:val="37"/>
        <w:ind w:firstLine="964"/>
        <w:rPr>
          <w:rFonts w:hint="eastAsia" w:asciiTheme="minorEastAsia" w:hAnsiTheme="minorEastAsia" w:eastAsiaTheme="minorEastAsia" w:cstheme="minorEastAsia"/>
          <w:b/>
          <w:sz w:val="48"/>
          <w:szCs w:val="48"/>
        </w:rPr>
      </w:pPr>
    </w:p>
    <w:p>
      <w:pPr>
        <w:pStyle w:val="37"/>
        <w:ind w:firstLine="0" w:firstLineChars="0"/>
        <w:rPr>
          <w:rFonts w:hint="eastAsia" w:asciiTheme="minorEastAsia" w:hAnsiTheme="minorEastAsia" w:eastAsiaTheme="minorEastAsia" w:cstheme="minorEastAsia"/>
          <w:b/>
          <w:sz w:val="48"/>
          <w:szCs w:val="48"/>
        </w:rPr>
      </w:pPr>
    </w:p>
    <w:p>
      <w:pPr>
        <w:spacing w:before="156" w:beforeLines="50"/>
        <w:ind w:firstLine="0" w:firstLineChars="0"/>
        <w:jc w:val="center"/>
        <w:rPr>
          <w:rFonts w:hint="eastAsia" w:asciiTheme="minorEastAsia" w:hAnsiTheme="minorEastAsia" w:eastAsiaTheme="minorEastAsia" w:cstheme="minorEastAsia"/>
          <w:b/>
          <w:sz w:val="48"/>
          <w:szCs w:val="48"/>
        </w:rPr>
      </w:pPr>
      <w:r>
        <w:rPr>
          <w:rFonts w:hint="eastAsia" w:asciiTheme="minorEastAsia" w:hAnsiTheme="minorEastAsia" w:eastAsiaTheme="minorEastAsia" w:cstheme="minorEastAsia"/>
          <w:b/>
          <w:sz w:val="48"/>
          <w:szCs w:val="48"/>
        </w:rPr>
        <w:t>招标文件</w:t>
      </w:r>
    </w:p>
    <w:p>
      <w:pPr>
        <w:pStyle w:val="15"/>
        <w:snapToGrid w:val="0"/>
        <w:spacing w:before="156" w:after="156" w:line="360" w:lineRule="auto"/>
        <w:ind w:firstLine="570"/>
        <w:jc w:val="left"/>
        <w:rPr>
          <w:rFonts w:hint="eastAsia" w:asciiTheme="minorEastAsia" w:hAnsiTheme="minorEastAsia" w:eastAsiaTheme="minorEastAsia" w:cstheme="minorEastAsia"/>
          <w:b/>
          <w:bCs/>
          <w:w w:val="95"/>
          <w:sz w:val="30"/>
          <w:szCs w:val="30"/>
        </w:rPr>
      </w:pPr>
    </w:p>
    <w:p>
      <w:pPr>
        <w:ind w:firstLine="570"/>
        <w:rPr>
          <w:rFonts w:hint="eastAsia" w:asciiTheme="minorEastAsia" w:hAnsiTheme="minorEastAsia" w:eastAsiaTheme="minorEastAsia" w:cstheme="minorEastAsia"/>
          <w:b/>
          <w:bCs/>
          <w:w w:val="95"/>
          <w:sz w:val="30"/>
          <w:szCs w:val="30"/>
        </w:rPr>
      </w:pPr>
    </w:p>
    <w:p>
      <w:pPr>
        <w:pStyle w:val="37"/>
        <w:rPr>
          <w:rFonts w:hint="eastAsia"/>
        </w:rPr>
      </w:pPr>
    </w:p>
    <w:p>
      <w:pPr>
        <w:ind w:firstLine="480"/>
        <w:rPr>
          <w:rFonts w:hint="eastAsia" w:asciiTheme="minorEastAsia" w:hAnsiTheme="minorEastAsia" w:eastAsiaTheme="minorEastAsia" w:cstheme="minorEastAsia"/>
        </w:rPr>
      </w:pPr>
    </w:p>
    <w:p>
      <w:pPr>
        <w:pStyle w:val="37"/>
        <w:rPr>
          <w:rFonts w:hint="eastAsia"/>
        </w:rPr>
      </w:pPr>
    </w:p>
    <w:p>
      <w:pPr>
        <w:suppressAutoHyphens/>
        <w:ind w:firstLine="0" w:firstLineChars="0"/>
        <w:rPr>
          <w:rFonts w:hint="eastAsia" w:asciiTheme="minorEastAsia" w:hAnsiTheme="minorEastAsia" w:eastAsiaTheme="minorEastAsia" w:cstheme="minorEastAsia"/>
          <w:b/>
          <w:bCs/>
          <w:sz w:val="30"/>
          <w:szCs w:val="30"/>
          <w:lang w:eastAsia="zh-CN"/>
        </w:rPr>
      </w:pPr>
      <w:r>
        <w:rPr>
          <w:rFonts w:hint="eastAsia" w:asciiTheme="minorEastAsia" w:hAnsiTheme="minorEastAsia" w:eastAsiaTheme="minorEastAsia" w:cstheme="minorEastAsia"/>
          <w:b/>
          <w:bCs/>
          <w:sz w:val="30"/>
          <w:szCs w:val="30"/>
        </w:rPr>
        <w:t>项目编号：</w:t>
      </w:r>
      <w:r>
        <w:rPr>
          <w:rFonts w:hint="eastAsia" w:asciiTheme="minorEastAsia" w:hAnsiTheme="minorEastAsia" w:eastAsiaTheme="minorEastAsia" w:cstheme="minorEastAsia"/>
          <w:b/>
          <w:bCs/>
          <w:sz w:val="30"/>
          <w:szCs w:val="30"/>
          <w:lang w:eastAsia="zh-CN"/>
        </w:rPr>
        <w:t>嘉政采招（2026）第70号</w:t>
      </w:r>
    </w:p>
    <w:p>
      <w:pPr>
        <w:suppressAutoHyphens/>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项目名称：2026年嘉兴职业技术学院教学用计算机、LED屏、智慧黑板等设备采购项目</w:t>
      </w:r>
    </w:p>
    <w:p>
      <w:pPr>
        <w:suppressAutoHyphens/>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采购人：嘉兴职业技术学院</w:t>
      </w:r>
    </w:p>
    <w:p>
      <w:pPr>
        <w:suppressAutoHyphens/>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集中采购机构：嘉兴市公共资源交易中心</w:t>
      </w:r>
    </w:p>
    <w:p>
      <w:pPr>
        <w:suppressAutoHyphens/>
        <w:ind w:firstLine="0" w:firstLineChars="0"/>
        <w:rPr>
          <w:rFonts w:hint="eastAsia" w:asciiTheme="minorEastAsia" w:hAnsiTheme="minorEastAsia" w:eastAsiaTheme="minorEastAsia" w:cstheme="minorEastAsia"/>
          <w:b/>
          <w:bCs/>
          <w:sz w:val="30"/>
          <w:szCs w:val="30"/>
        </w:rPr>
      </w:pPr>
    </w:p>
    <w:p>
      <w:pPr>
        <w:suppressAutoHyphens/>
        <w:ind w:firstLine="0" w:firstLineChars="0"/>
        <w:rPr>
          <w:rFonts w:hint="eastAsia" w:asciiTheme="minorEastAsia" w:hAnsiTheme="minorEastAsia" w:eastAsiaTheme="minorEastAsia" w:cstheme="minorEastAsia"/>
          <w:b/>
          <w:bCs/>
          <w:sz w:val="30"/>
          <w:szCs w:val="30"/>
        </w:rPr>
      </w:pPr>
    </w:p>
    <w:p>
      <w:pPr>
        <w:suppressAutoHyphens/>
        <w:ind w:firstLine="0" w:firstLineChars="0"/>
        <w:jc w:val="right"/>
        <w:rPr>
          <w:rFonts w:hint="eastAsia" w:asciiTheme="minorEastAsia" w:hAnsiTheme="minorEastAsia" w:eastAsiaTheme="minorEastAsia" w:cstheme="minorEastAsia"/>
          <w:b/>
          <w:bCs/>
          <w:sz w:val="30"/>
          <w:szCs w:val="30"/>
          <w:lang w:eastAsia="zh-CN"/>
        </w:rPr>
      </w:pPr>
      <w:r>
        <w:rPr>
          <w:rFonts w:hint="eastAsia" w:asciiTheme="minorEastAsia" w:hAnsiTheme="minorEastAsia" w:eastAsiaTheme="minorEastAsia" w:cstheme="minorEastAsia"/>
          <w:b/>
          <w:bCs/>
          <w:sz w:val="30"/>
          <w:szCs w:val="30"/>
        </w:rPr>
        <w:t xml:space="preserve"> 　　　　　　　　　</w:t>
      </w:r>
      <w:r>
        <w:rPr>
          <w:rFonts w:hint="eastAsia" w:asciiTheme="minorEastAsia" w:hAnsiTheme="minorEastAsia" w:eastAsiaTheme="minorEastAsia" w:cstheme="minorEastAsia"/>
          <w:b/>
          <w:bCs/>
          <w:sz w:val="30"/>
          <w:szCs w:val="30"/>
          <w:lang w:eastAsia="zh-CN"/>
        </w:rPr>
        <w:t>2026年7月3日</w:t>
      </w:r>
    </w:p>
    <w:p>
      <w:pPr>
        <w:ind w:firstLine="602"/>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p>
    <w:p>
      <w:pPr>
        <w:ind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48"/>
          <w:szCs w:val="48"/>
        </w:rPr>
        <w:t>目录</w:t>
      </w:r>
    </w:p>
    <w:p>
      <w:pPr>
        <w:ind w:firstLine="360" w:firstLineChars="100"/>
        <w:jc w:val="left"/>
        <w:rPr>
          <w:rFonts w:hint="eastAsia" w:asciiTheme="minorEastAsia" w:hAnsiTheme="minorEastAsia" w:eastAsiaTheme="minorEastAsia" w:cstheme="minorEastAsia"/>
          <w:sz w:val="36"/>
          <w:szCs w:val="36"/>
        </w:rPr>
      </w:pPr>
    </w:p>
    <w:p>
      <w:pPr>
        <w:ind w:firstLine="360" w:firstLineChars="100"/>
        <w:jc w:val="left"/>
        <w:rPr>
          <w:rFonts w:hint="eastAsia" w:asciiTheme="minorEastAsia" w:hAnsiTheme="minorEastAsia" w:eastAsiaTheme="minorEastAsia" w:cstheme="minorEastAsia"/>
          <w:sz w:val="36"/>
          <w:szCs w:val="36"/>
        </w:rPr>
      </w:pPr>
    </w:p>
    <w:p>
      <w:pPr>
        <w:ind w:firstLine="360" w:firstLineChars="100"/>
        <w:jc w:val="left"/>
        <w:rPr>
          <w:rFonts w:hint="eastAsia" w:asciiTheme="minorEastAsia" w:hAnsiTheme="minorEastAsia" w:eastAsiaTheme="minorEastAsia" w:cstheme="minorEastAsia"/>
          <w:sz w:val="36"/>
          <w:szCs w:val="36"/>
        </w:rPr>
      </w:pP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第一章    公开招标采购公告</w:t>
      </w: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第二章    招标需求</w:t>
      </w: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第三章    供应商须知</w:t>
      </w: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第四章    评标办法及标准</w:t>
      </w: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第五章    嘉兴市政府采购合同（指引）</w:t>
      </w:r>
    </w:p>
    <w:p>
      <w:pPr>
        <w:ind w:firstLine="360" w:firstLineChars="10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第六章    投标文件格式</w:t>
      </w:r>
    </w:p>
    <w:p>
      <w:pPr>
        <w:ind w:firstLine="480"/>
        <w:rPr>
          <w:rFonts w:hint="eastAsia" w:asciiTheme="minorEastAsia" w:hAnsiTheme="minorEastAsia" w:eastAsiaTheme="minorEastAsia" w:cstheme="minorEastAsia"/>
          <w:szCs w:val="36"/>
        </w:rPr>
      </w:pPr>
      <w:r>
        <w:rPr>
          <w:rFonts w:hint="eastAsia" w:asciiTheme="minorEastAsia" w:hAnsiTheme="minorEastAsia" w:eastAsiaTheme="minorEastAsia" w:cstheme="minorEastAsia"/>
          <w:szCs w:val="36"/>
        </w:rPr>
        <w:br w:type="page"/>
      </w:r>
    </w:p>
    <w:p>
      <w:pPr>
        <w:pStyle w:val="3"/>
        <w:suppressAutoHyphens/>
        <w:snapToGrid w:val="0"/>
        <w:spacing w:before="156" w:after="156" w:line="30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48"/>
          <w:szCs w:val="48"/>
        </w:rPr>
        <w:t>第一章  公开招标采购公告</w:t>
      </w:r>
    </w:p>
    <w:tbl>
      <w:tblPr>
        <w:tblStyle w:val="29"/>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522" w:type="dxa"/>
          </w:tcPr>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项目概况：</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2026年嘉兴职业技术学院教学用计算机、LED屏、智慧黑板等设备采购项目的潜在供应商应在浙江政府采购网（http://zfcg.czt.zj.gov.cn）获取招标文件，并于</w:t>
            </w:r>
            <w:r>
              <w:rPr>
                <w:rFonts w:hint="eastAsia" w:asciiTheme="minorEastAsia" w:hAnsiTheme="minorEastAsia" w:eastAsiaTheme="minorEastAsia" w:cstheme="minorEastAsia"/>
                <w:lang w:eastAsia="zh-CN"/>
              </w:rPr>
              <w:t>2026年7月24日</w:t>
            </w:r>
            <w:r>
              <w:rPr>
                <w:rFonts w:hint="eastAsia" w:asciiTheme="minorEastAsia" w:hAnsiTheme="minorEastAsia" w:eastAsiaTheme="minorEastAsia" w:cstheme="minorEastAsia"/>
              </w:rPr>
              <w:t>09:30（北京时间）前递交投标文件。</w:t>
            </w:r>
          </w:p>
        </w:tc>
      </w:tr>
    </w:tbl>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一、项目基本情况</w:t>
      </w:r>
    </w:p>
    <w:p>
      <w:pPr>
        <w:ind w:firstLine="48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采购计划文号：</w:t>
      </w:r>
      <w:r>
        <w:rPr>
          <w:rFonts w:hint="eastAsia" w:asciiTheme="minorEastAsia" w:hAnsiTheme="minorEastAsia" w:eastAsiaTheme="minorEastAsia" w:cstheme="minorEastAsia"/>
          <w:lang w:eastAsia="zh-CN"/>
        </w:rPr>
        <w:t>[2026]3289号、[2026]3290号、[2026]3291号、[2026]3292号、[2026]3293号、[2026]3294号、[2026]3295号、[2026]3296号</w:t>
      </w:r>
    </w:p>
    <w:p>
      <w:pPr>
        <w:ind w:firstLine="480"/>
        <w:jc w:val="left"/>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rPr>
        <w:t>项目编号：</w:t>
      </w:r>
      <w:r>
        <w:rPr>
          <w:rFonts w:hint="eastAsia" w:asciiTheme="minorEastAsia" w:hAnsiTheme="minorEastAsia" w:eastAsiaTheme="minorEastAsia" w:cstheme="minorEastAsia"/>
          <w:lang w:eastAsia="zh-CN"/>
        </w:rPr>
        <w:t>嘉政采招（2026）第70号</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项目名称：2026年嘉兴职业技术学院教学用计算机、LED屏、智慧黑板等设备采购项目</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预算金额：</w:t>
      </w:r>
      <w:r>
        <w:rPr>
          <w:rFonts w:asciiTheme="minorEastAsia" w:hAnsiTheme="minorEastAsia" w:eastAsiaTheme="minorEastAsia" w:cstheme="minorEastAsia"/>
        </w:rPr>
        <w:t>1311286</w:t>
      </w:r>
      <w:r>
        <w:rPr>
          <w:rFonts w:hint="eastAsia" w:asciiTheme="minorEastAsia" w:hAnsiTheme="minorEastAsia" w:eastAsiaTheme="minorEastAsia" w:cstheme="minorEastAsia"/>
        </w:rPr>
        <w:t>元</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最高限价：</w:t>
      </w:r>
      <w:r>
        <w:rPr>
          <w:rFonts w:asciiTheme="minorEastAsia" w:hAnsiTheme="minorEastAsia" w:eastAsiaTheme="minorEastAsia" w:cstheme="minorEastAsia"/>
        </w:rPr>
        <w:t>1311286</w:t>
      </w:r>
      <w:r>
        <w:rPr>
          <w:rFonts w:hint="eastAsia" w:asciiTheme="minorEastAsia" w:hAnsiTheme="minorEastAsia" w:eastAsiaTheme="minorEastAsia" w:cstheme="minorEastAsia"/>
        </w:rPr>
        <w:t>元</w:t>
      </w:r>
    </w:p>
    <w:p>
      <w:pPr>
        <w:ind w:firstLine="480"/>
        <w:jc w:val="left"/>
        <w:rPr>
          <w:rFonts w:hint="default" w:asciiTheme="minorEastAsia" w:hAnsiTheme="minorEastAsia" w:eastAsiaTheme="minorEastAsia" w:cstheme="minorEastAsia"/>
        </w:rPr>
      </w:pPr>
      <w:r>
        <w:rPr>
          <w:rFonts w:hint="eastAsia" w:asciiTheme="minorEastAsia" w:hAnsiTheme="minorEastAsia" w:eastAsiaTheme="minorEastAsia" w:cstheme="minorEastAsia"/>
        </w:rPr>
        <w:t>采购清单：</w:t>
      </w:r>
    </w:p>
    <w:tbl>
      <w:tblPr>
        <w:tblStyle w:val="29"/>
        <w:tblW w:w="78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2"/>
        <w:gridCol w:w="2126"/>
        <w:gridCol w:w="993"/>
        <w:gridCol w:w="996"/>
        <w:gridCol w:w="26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992" w:type="dxa"/>
            <w:tcBorders>
              <w:bottom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126" w:type="dxa"/>
            <w:tcBorders>
              <w:bottom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设备名称</w:t>
            </w:r>
          </w:p>
        </w:tc>
        <w:tc>
          <w:tcPr>
            <w:tcW w:w="993" w:type="dxa"/>
            <w:tcBorders>
              <w:bottom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数量</w:t>
            </w:r>
          </w:p>
        </w:tc>
        <w:tc>
          <w:tcPr>
            <w:tcW w:w="996" w:type="dxa"/>
            <w:tcBorders>
              <w:bottom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单位</w:t>
            </w:r>
          </w:p>
        </w:tc>
        <w:tc>
          <w:tcPr>
            <w:tcW w:w="2693" w:type="dxa"/>
            <w:tcBorders>
              <w:bottom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宋体" w:hAnsi="宋体"/>
                <w:b/>
                <w:sz w:val="18"/>
                <w:szCs w:val="18"/>
              </w:rPr>
              <w:t>最高</w:t>
            </w:r>
            <w:r>
              <w:rPr>
                <w:rFonts w:hint="eastAsia" w:ascii="宋体" w:hAnsi="宋体"/>
                <w:b/>
                <w:sz w:val="18"/>
                <w:szCs w:val="18"/>
                <w:lang w:eastAsia="zh-CN"/>
              </w:rPr>
              <w:t>限制单价</w:t>
            </w:r>
            <w:r>
              <w:rPr>
                <w:rFonts w:hint="eastAsia" w:ascii="宋体" w:hAnsi="宋体"/>
                <w:b/>
                <w:sz w:val="18"/>
                <w:szCs w:val="18"/>
              </w:rPr>
              <w:t>（元/台）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ascii="汉仪叶叶相思体简" w:hAnsi="汉仪叶叶相思体简" w:eastAsia="汉仪叶叶相思体简" w:cs="汉仪叶叶相思体简"/>
                <w:lang w:eastAsia="zh-CN"/>
              </w:rPr>
              <w:t>★</w:t>
            </w:r>
            <w:r>
              <w:rPr>
                <w:rFonts w:hint="eastAsia"/>
              </w:rPr>
              <w:t>算力工作站</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3</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55000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图形工作站</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2</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8950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台式电脑1</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43</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lang w:eastAsia="zh-CN"/>
              </w:rPr>
            </w:pPr>
            <w:r>
              <w:rPr>
                <w:rFonts w:hint="eastAsia" w:eastAsiaTheme="minorEastAsia"/>
                <w:lang w:eastAsia="zh-CN"/>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台式电脑2</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6</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color w:val="000000"/>
                <w:kern w:val="0"/>
                <w:sz w:val="21"/>
                <w:szCs w:val="21"/>
                <w:lang w:bidi="ar"/>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台式电脑3</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10</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color w:val="000000"/>
                <w:kern w:val="0"/>
                <w:sz w:val="21"/>
                <w:szCs w:val="21"/>
                <w:lang w:bidi="ar"/>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19400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信创电脑</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51</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lang w:eastAsia="zh-CN"/>
              </w:rPr>
            </w:pPr>
            <w:r>
              <w:rPr>
                <w:rFonts w:hint="eastAsia" w:eastAsiaTheme="minorEastAsia"/>
                <w:lang w:eastAsia="zh-CN"/>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4988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rPr>
              <w:t>LED显示大屏</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1</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lang w:eastAsia="en-US"/>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6</w:t>
            </w:r>
            <w:r>
              <w:rPr>
                <w:rFonts w:ascii="宋体" w:hAnsi="宋体"/>
                <w:kern w:val="0"/>
                <w:sz w:val="21"/>
                <w:szCs w:val="21"/>
                <w:lang w:bidi="ar"/>
              </w:rPr>
              <w:t>0500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 w:hRule="atLeast"/>
          <w:jc w:val="center"/>
        </w:trPr>
        <w:tc>
          <w:tcPr>
            <w:tcW w:w="992"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p>
        </w:tc>
        <w:tc>
          <w:tcPr>
            <w:tcW w:w="2126" w:type="dxa"/>
            <w:tcBorders>
              <w:top w:val="single" w:color="auto" w:sz="4" w:space="0"/>
              <w:left w:val="single" w:color="auto" w:sz="4" w:space="0"/>
              <w:bottom w:val="single" w:color="auto" w:sz="4" w:space="0"/>
              <w:right w:val="single" w:color="auto" w:sz="4" w:space="0"/>
            </w:tcBorders>
          </w:tcPr>
          <w:p>
            <w:pPr>
              <w:spacing w:line="240" w:lineRule="auto"/>
              <w:ind w:firstLine="0" w:firstLineChars="0"/>
              <w:jc w:val="center"/>
              <w:rPr>
                <w:rFonts w:hint="eastAsia" w:asciiTheme="minorEastAsia" w:hAnsiTheme="minorEastAsia" w:eastAsiaTheme="minorEastAsia" w:cstheme="minorEastAsia"/>
              </w:rPr>
            </w:pPr>
            <w:r>
              <w:rPr>
                <w:rFonts w:hint="eastAsia" w:eastAsiaTheme="minorEastAsia"/>
              </w:rPr>
              <w:t>智慧黑板</w:t>
            </w:r>
          </w:p>
        </w:tc>
        <w:tc>
          <w:tcPr>
            <w:tcW w:w="993"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rPr>
            </w:pPr>
            <w:r>
              <w:rPr>
                <w:rFonts w:hint="eastAsia"/>
              </w:rPr>
              <w:t>17</w:t>
            </w:r>
          </w:p>
        </w:tc>
        <w:tc>
          <w:tcPr>
            <w:tcW w:w="996" w:type="dxa"/>
            <w:tcBorders>
              <w:top w:val="single" w:color="auto" w:sz="4" w:space="0"/>
              <w:left w:val="single" w:color="auto" w:sz="4" w:space="0"/>
              <w:bottom w:val="single" w:color="auto" w:sz="4" w:space="0"/>
              <w:right w:val="single" w:color="auto" w:sz="4" w:space="0"/>
            </w:tcBorders>
          </w:tcPr>
          <w:p>
            <w:pPr>
              <w:widowControl/>
              <w:spacing w:line="240" w:lineRule="auto"/>
              <w:ind w:firstLine="0" w:firstLineChars="0"/>
              <w:jc w:val="center"/>
              <w:rPr>
                <w:rFonts w:hint="eastAsia" w:asciiTheme="minorEastAsia" w:hAnsiTheme="minorEastAsia" w:eastAsiaTheme="minorEastAsia" w:cstheme="minorEastAsia"/>
                <w:lang w:eastAsia="en-US"/>
              </w:rPr>
            </w:pPr>
            <w:r>
              <w:rPr>
                <w:rFonts w:hint="eastAsia"/>
              </w:rPr>
              <w:t>套</w:t>
            </w:r>
          </w:p>
        </w:tc>
        <w:tc>
          <w:tcPr>
            <w:tcW w:w="2693"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pPr>
            <w:r>
              <w:rPr>
                <w:rFonts w:hint="eastAsia" w:ascii="宋体" w:hAnsi="宋体"/>
                <w:kern w:val="0"/>
                <w:sz w:val="21"/>
                <w:szCs w:val="21"/>
                <w:lang w:bidi="ar"/>
              </w:rPr>
              <w:t>12000</w:t>
            </w:r>
          </w:p>
        </w:tc>
      </w:tr>
    </w:tbl>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注：标</w:t>
      </w:r>
      <w:r>
        <w:rPr>
          <w:rFonts w:hint="eastAsia" w:ascii="汉仪叶叶相思体简" w:hAnsi="汉仪叶叶相思体简" w:eastAsia="汉仪叶叶相思体简" w:cs="汉仪叶叶相思体简"/>
          <w:lang w:eastAsia="zh-CN"/>
        </w:rPr>
        <w:t>★</w:t>
      </w:r>
      <w:r>
        <w:rPr>
          <w:rFonts w:hint="eastAsia" w:asciiTheme="minorEastAsia" w:hAnsiTheme="minorEastAsia" w:eastAsiaTheme="minorEastAsia" w:cstheme="minorEastAsia"/>
        </w:rPr>
        <w:t>的设备为核心产品。</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▲本项目采购的</w:t>
      </w:r>
      <w:r>
        <w:rPr>
          <w:rFonts w:hint="eastAsia" w:asciiTheme="minorEastAsia" w:hAnsiTheme="minorEastAsia" w:eastAsiaTheme="minorEastAsia" w:cstheme="minorEastAsia"/>
          <w:b/>
          <w:bCs/>
          <w:u w:val="single"/>
        </w:rPr>
        <w:t>台式电脑1、台式电脑2、台式电脑3、信创电脑、智慧黑板</w:t>
      </w:r>
      <w:r>
        <w:rPr>
          <w:rFonts w:hint="eastAsia" w:asciiTheme="minorEastAsia" w:hAnsiTheme="minorEastAsia" w:eastAsiaTheme="minorEastAsia" w:cstheme="minorEastAsia"/>
        </w:rPr>
        <w:t>属于政府强制采购节能品目，供应商投标时必须提供所投产品由国家确定的认证机构出具的、处于有效期之内的节能产品认证证书或规定网站证书查询截图。</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合同履约期限：合同签订之日起至质保期结束。</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本项目接受联合体投标：</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是，</w:t>
      </w: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否。</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二、申请人的资格要求</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满足《中华人民共和国政府采购法》第二十二条规定；未被“信用中国”（www.creditchina.gov.cn)、中国政府采购网（www.ccgp.gov.cn）列入失信被执行人、重大税收违法案件当事人名单、政府采购严重违法失信行为记录名单；</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2.落实政府采购支持中小企业政策需满足的资格要求：</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2</w:t>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无需落实；</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2</w:t>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需要落实：</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2</w:t>
      </w:r>
      <w:r>
        <w:rPr>
          <w:rFonts w:hint="eastAsia" w:asciiTheme="minorEastAsia" w:hAnsiTheme="minorEastAsia" w:eastAsiaTheme="minorEastAsia" w:cstheme="minorEastAsia"/>
        </w:rPr>
        <w:t>.2.1专门面向中小企业（投标时不按要求提供中小企业声明函，资格审查不予通过，其投标无效）</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货物全部由符合政策要求的中小企业制造，提供中小企业声明函；</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货物全部由符合政策要求的小微企业制造，提供中小企业声明函；</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服务全部由符合政策要求的中小企业承接，提供中小企业声明函；</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服务全部由符合政策要求的小微企业承接，提供中小企业声明函；</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2</w:t>
      </w:r>
      <w:r>
        <w:rPr>
          <w:rFonts w:hint="eastAsia" w:asciiTheme="minorEastAsia" w:hAnsiTheme="minorEastAsia" w:eastAsiaTheme="minorEastAsia" w:cstheme="minorEastAsia"/>
        </w:rPr>
        <w:t>.2.2</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要求以联合体形式参加，提供联合协议和中小企业声明函，联合协议中中小企业合同金额应当达到</w:t>
      </w:r>
      <w:r>
        <w:rPr>
          <w:rFonts w:hint="eastAsia" w:asciiTheme="minorEastAsia" w:hAnsiTheme="minorEastAsia" w:eastAsiaTheme="minorEastAsia" w:cstheme="minorEastAsia"/>
          <w:u w:val="single"/>
        </w:rPr>
        <w:t xml:space="preserve"> / </w:t>
      </w:r>
      <w:r>
        <w:rPr>
          <w:rFonts w:hint="eastAsia" w:asciiTheme="minorEastAsia" w:hAnsiTheme="minorEastAsia" w:eastAsiaTheme="minorEastAsia" w:cstheme="minorEastAsia"/>
        </w:rPr>
        <w:t>%，其中小微企业合同金额应当达到</w:t>
      </w:r>
      <w:r>
        <w:rPr>
          <w:rFonts w:hint="eastAsia" w:asciiTheme="minorEastAsia" w:hAnsiTheme="minorEastAsia" w:eastAsiaTheme="minorEastAsia" w:cstheme="minorEastAsia"/>
          <w:u w:val="single"/>
        </w:rPr>
        <w:t xml:space="preserve"> / </w:t>
      </w:r>
      <w:r>
        <w:rPr>
          <w:rFonts w:hint="eastAsia" w:asciiTheme="minorEastAsia" w:hAnsiTheme="minorEastAsia" w:eastAsiaTheme="minorEastAsia" w:cstheme="minorEastAsia"/>
        </w:rPr>
        <w:t>%；如果供应商本身提供所有标的均由中小企业制造、承建或承接，视同符合了资格条件，无需再与其他中小企业组成联合体参加政府采购活动，无需提供联合协议；</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2</w:t>
      </w:r>
      <w:r>
        <w:rPr>
          <w:rFonts w:hint="eastAsia" w:asciiTheme="minorEastAsia" w:hAnsiTheme="minorEastAsia" w:eastAsiaTheme="minorEastAsia" w:cstheme="minorEastAsia"/>
        </w:rPr>
        <w:t>.2.3</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要求合同分包，提供分包意向协议和中小企业声明函，分包意向协议中中小企业合同金额应当达到</w:t>
      </w:r>
      <w:r>
        <w:rPr>
          <w:rFonts w:hint="eastAsia" w:asciiTheme="minorEastAsia" w:hAnsiTheme="minorEastAsia" w:eastAsiaTheme="minorEastAsia" w:cstheme="minorEastAsia"/>
          <w:u w:val="single"/>
        </w:rPr>
        <w:t xml:space="preserve"> / </w:t>
      </w:r>
      <w:r>
        <w:rPr>
          <w:rFonts w:hint="eastAsia" w:asciiTheme="minorEastAsia" w:hAnsiTheme="minorEastAsia" w:eastAsiaTheme="minorEastAsia" w:cstheme="minorEastAsia"/>
        </w:rPr>
        <w:t>%，其中小微企业合同金额应当达到</w:t>
      </w:r>
      <w:r>
        <w:rPr>
          <w:rFonts w:hint="eastAsia" w:asciiTheme="minorEastAsia" w:hAnsiTheme="minorEastAsia" w:eastAsiaTheme="minorEastAsia" w:cstheme="minorEastAsia"/>
          <w:u w:val="single"/>
        </w:rPr>
        <w:t xml:space="preserve"> / </w:t>
      </w:r>
      <w:r>
        <w:rPr>
          <w:rFonts w:hint="eastAsia" w:asciiTheme="minorEastAsia" w:hAnsiTheme="minorEastAsia" w:eastAsiaTheme="minorEastAsia" w:cstheme="minorEastAsia"/>
        </w:rPr>
        <w:t>%；如果供应商本身提供所有标的均由中小企业制造、承建或承接，视同符合了资格条件，无需再向中小企业分包，无需提供分包意向协议；</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3</w:t>
      </w:r>
      <w:r>
        <w:rPr>
          <w:rFonts w:hint="eastAsia" w:asciiTheme="minorEastAsia" w:hAnsiTheme="minorEastAsia" w:eastAsiaTheme="minorEastAsia" w:cstheme="minorEastAsia"/>
        </w:rPr>
        <w:t>.本项目的特定资格要求</w:t>
      </w:r>
      <w:r>
        <w:rPr>
          <w:rFonts w:hint="eastAsia" w:asciiTheme="minorEastAsia" w:hAnsiTheme="minorEastAsia" w:eastAsiaTheme="minorEastAsia" w:cstheme="minorEastAsia"/>
          <w:lang w:val="en"/>
        </w:rPr>
        <w:t>:</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lang w:val="en"/>
        </w:rPr>
        <w:t xml:space="preserve">      </w:t>
      </w:r>
      <w:r>
        <w:rPr>
          <w:rFonts w:hint="eastAsia" w:asciiTheme="minorEastAsia" w:hAnsiTheme="minorEastAsia" w:eastAsiaTheme="minorEastAsia" w:cstheme="minorEastAsia"/>
          <w:u w:val="single"/>
        </w:rPr>
        <w:t>/</w:t>
      </w:r>
      <w:r>
        <w:rPr>
          <w:rFonts w:hint="eastAsia" w:asciiTheme="minorEastAsia" w:hAnsiTheme="minorEastAsia" w:eastAsiaTheme="minorEastAsia" w:cstheme="minorEastAsia"/>
          <w:u w:val="single"/>
          <w:lang w:val="en"/>
        </w:rPr>
        <w:t xml:space="preserve">      </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
        </w:rPr>
        <w:t>4</w:t>
      </w:r>
      <w:r>
        <w:rPr>
          <w:rFonts w:hint="eastAsia" w:asciiTheme="minorEastAsia" w:hAnsiTheme="minorEastAsia" w:eastAsiaTheme="minorEastAsia" w:cstheme="minorEastAsia"/>
        </w:rPr>
        <w:t>.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三、获取招标文件</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时间：</w:t>
      </w:r>
      <w:r>
        <w:rPr>
          <w:rFonts w:hint="eastAsia" w:asciiTheme="minorEastAsia" w:hAnsiTheme="minorEastAsia" w:eastAsiaTheme="minorEastAsia" w:cstheme="minorEastAsia"/>
          <w:lang w:eastAsia="zh-CN"/>
        </w:rPr>
        <w:t>2026年7月3日</w:t>
      </w:r>
      <w:r>
        <w:rPr>
          <w:rFonts w:hint="eastAsia" w:asciiTheme="minorEastAsia" w:hAnsiTheme="minorEastAsia" w:eastAsiaTheme="minorEastAsia" w:cstheme="minorEastAsia"/>
        </w:rPr>
        <w:t>至</w:t>
      </w:r>
      <w:r>
        <w:rPr>
          <w:rFonts w:hint="eastAsia" w:asciiTheme="minorEastAsia" w:hAnsiTheme="minorEastAsia" w:eastAsiaTheme="minorEastAsia" w:cstheme="minorEastAsia"/>
          <w:lang w:eastAsia="zh-CN"/>
        </w:rPr>
        <w:t>2026年7月24日</w:t>
      </w:r>
      <w:r>
        <w:rPr>
          <w:rFonts w:hint="eastAsia" w:asciiTheme="minorEastAsia" w:hAnsiTheme="minorEastAsia" w:eastAsiaTheme="minorEastAsia" w:cstheme="minorEastAsia"/>
        </w:rPr>
        <w:t>09:30。</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地点（网址）：</w:t>
      </w:r>
      <w:r>
        <w:rPr>
          <w:rFonts w:hint="eastAsia" w:asciiTheme="minorEastAsia" w:hAnsiTheme="minorEastAsia" w:eastAsiaTheme="minorEastAsia" w:cstheme="minorEastAsia"/>
        </w:rPr>
        <w:t xml:space="preserve">政采云平台（https://www.zcygov.cn/）。 </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方式：</w:t>
      </w:r>
      <w:r>
        <w:rPr>
          <w:rFonts w:hint="eastAsia" w:asciiTheme="minorEastAsia" w:hAnsiTheme="minorEastAsia" w:eastAsiaTheme="minorEastAsia" w:cstheme="minorEastAsia"/>
        </w:rPr>
        <w:t>供应商登录政采云平台（https://www.zcygov.cn/）在线申请获取招标文件（进入“项目采购”应用，在获取招标文件菜单中选择项目，申请获取招标文件）。</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售价：</w:t>
      </w:r>
      <w:r>
        <w:rPr>
          <w:rFonts w:hint="eastAsia" w:asciiTheme="minorEastAsia" w:hAnsiTheme="minorEastAsia" w:eastAsiaTheme="minorEastAsia" w:cstheme="minorEastAsia"/>
        </w:rPr>
        <w:t>免费。</w:t>
      </w:r>
    </w:p>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四、提交投标文件截止时间、开标时间和地点</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提交投标文件截止时间：</w:t>
      </w:r>
      <w:r>
        <w:rPr>
          <w:rFonts w:hint="eastAsia" w:asciiTheme="minorEastAsia" w:hAnsiTheme="minorEastAsia" w:eastAsiaTheme="minorEastAsia" w:cstheme="minorEastAsia"/>
          <w:lang w:eastAsia="zh-CN"/>
        </w:rPr>
        <w:t>2026年7月24日</w:t>
      </w:r>
      <w:r>
        <w:rPr>
          <w:rFonts w:hint="eastAsia" w:asciiTheme="minorEastAsia" w:hAnsiTheme="minorEastAsia" w:eastAsiaTheme="minorEastAsia" w:cstheme="minorEastAsia"/>
        </w:rPr>
        <w:t>9：30（北京时间）</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开标时间：</w:t>
      </w:r>
      <w:r>
        <w:rPr>
          <w:rFonts w:hint="eastAsia" w:asciiTheme="minorEastAsia" w:hAnsiTheme="minorEastAsia" w:eastAsiaTheme="minorEastAsia" w:cstheme="minorEastAsia"/>
          <w:lang w:eastAsia="zh-CN"/>
        </w:rPr>
        <w:t>2026年7月24日</w:t>
      </w:r>
      <w:r>
        <w:rPr>
          <w:rFonts w:hint="eastAsia" w:asciiTheme="minorEastAsia" w:hAnsiTheme="minorEastAsia" w:eastAsiaTheme="minorEastAsia" w:cstheme="minorEastAsia"/>
        </w:rPr>
        <w:t>9：30（北京时间）</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地点（网址）：</w:t>
      </w:r>
      <w:r>
        <w:rPr>
          <w:rFonts w:hint="eastAsia" w:asciiTheme="minorEastAsia" w:hAnsiTheme="minorEastAsia" w:eastAsiaTheme="minorEastAsia" w:cstheme="minorEastAsia"/>
        </w:rPr>
        <w:t>政采云平台（https://www.zcygov.cn/）</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五、公告期限</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自本公告发布之日起5个工作日。</w:t>
      </w:r>
    </w:p>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六、其他补充事宜</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供应商认为招标文件使自己的权益受到损害的，可以自获取招标文件之日或者招标文件公告期限届满之日（公告期限届满后获取招标文件的，以公告期限届满之日为准）起7个工作日内，以书面形式在政采云平台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2.其他事项：</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（1）需要落实的政府采购政策：包括节约资源、保护环境、支持创新、促进中小企业发展等。</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（2）电子招投标的说明：</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①电子招投标：本项目以数据电文形式，依托“政府采购云平台（www.zcygov.cn）”进行招投标活动，不接受纸质投标文件；</w:t>
      </w:r>
    </w:p>
    <w:p>
      <w:pPr>
        <w:ind w:firstLine="480"/>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w:t>
      </w:r>
      <w:r>
        <w:rPr>
          <w:rFonts w:hint="eastAsia" w:asciiTheme="minorEastAsia" w:hAnsiTheme="minorEastAsia" w:eastAsiaTheme="minorEastAsia" w:cstheme="minorEastAsia"/>
          <w:b/>
          <w:bCs/>
        </w:rPr>
        <w:t>中标供应商在签合同前，如不完成注册，视为放弃；</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③招标文件的获取：使用账号登录或者使用CA登录政采云平台；进入“项目采购”应用，在获取招标文件菜单中选择项目，获取招标文件；</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④投标文件的制作：在“政采云电子交易客户端”中完成“填写基本信息”、“导入投标文件”、“标书关联”、“标书检查”、“电子签名”、“生成电子标书”等操作；</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⑤采购人、采购代理机构将依托政采云平台完成本项目的电子交易活动，平台不接受未按上述方式获取招标文件的供应商进行投标活动； </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⑥对未按上述方式获取招标文件的供应商对该文件提出的质疑，采购人或采购代理机构将不予处理；</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⑦不提供招标文件纸质版；</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⑧投标文件的传输递交：供应商在投标截止时间前将加密的投标文件上传至政府采购云平台，同时可在投标截止时间前将政采云平台上最后生成的具备电子签章的备份电子标文件1份下载至U盘，直接提交或者以</w:t>
      </w:r>
      <w:r>
        <w:rPr>
          <w:rFonts w:hint="eastAsia" w:asciiTheme="minorEastAsia" w:hAnsiTheme="minorEastAsia" w:eastAsiaTheme="minorEastAsia" w:cstheme="minorEastAsia"/>
          <w:b/>
          <w:bCs/>
        </w:rPr>
        <w:t>EMS</w:t>
      </w:r>
      <w:r>
        <w:rPr>
          <w:rFonts w:hint="eastAsia" w:asciiTheme="minorEastAsia" w:hAnsiTheme="minorEastAsia" w:eastAsiaTheme="minorEastAsia" w:cstheme="minorEastAsia"/>
        </w:rPr>
        <w:t>方式递交【地址：嘉兴市公共资源交易中心307室；收件人：多杰次仁；电话：0573-82512032）；快递寄出同时，项目被授权代表须以邮件方式将快递单号、项目名称、公司名称、被授权代表姓名及联系方式等内容（邮件格式为：项目编号+快递单号+公司名称+被授权代表姓名及联系方式）发送至集中采购机构联系人邮箱（2248845638@qq.com）】；</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备份投标文件递交须满足：外包装封面上应注明供应商名称、供应商联系方式（授权代表手机）、投标文件名称（备份投标文件）、投标项目名称、项目编号、标项及“开标时启封”字样，并加盖供应商公章。</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供应商递交的备份投标文件，出现下列情况之一的，将被拒收：</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·未按规定密封或标记的；</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·由于包装不妥，在送交途中严重破损或失散的；</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·超过响应截止时间送达的；</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·快递方式：快递费到付，或以EMS以外的快递方式提交的。</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⑨投标文件的解密：供应商按照平台提示和招标文件规定在半小时内完成在线解密。通过“政府采购云平台”上传递交的投标文件无法按时解密，供应商递交了备份投标文件的，以备份投标文件为依据，否则视为投标文件撤回。通过“政府采购云平台”上传递交的投标文件已按时解密的，备份投标文件自动失效。供应商仅提交备份投标文件，没有在电子交易平台传输递交投标文件的，投标无效；</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⑩具体操作指南：详见政采云平台“服务中心-帮助文档-项目采购-操作流程-电子招投标-政府采购项目电子交易管理操作指南-供应商”。</w:t>
      </w:r>
    </w:p>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七、对本次招标提出询问，请按以下方式联系</w:t>
      </w:r>
    </w:p>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1.采购人信息</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名称：嘉兴职业技术学院</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地址：</w:t>
      </w:r>
      <w:r>
        <w:rPr>
          <w:rFonts w:hint="eastAsia"/>
        </w:rPr>
        <w:t>浙江省嘉兴市桐乡大道547号</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项目联系人（询问）：钱剑杰</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项目联系方式（询问）：0573-</w:t>
      </w:r>
      <w:r>
        <w:rPr>
          <w:rFonts w:hint="eastAsia" w:ascii="宋体" w:hAnsi="宋体"/>
        </w:rPr>
        <w:t>89978166</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质疑联系人：</w:t>
      </w:r>
      <w:r>
        <w:rPr>
          <w:rFonts w:hint="eastAsia" w:ascii="宋体" w:hAnsi="宋体"/>
        </w:rPr>
        <w:t>张启东</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质疑联系方式：0573-</w:t>
      </w:r>
      <w:r>
        <w:rPr>
          <w:rFonts w:hint="eastAsia" w:ascii="宋体" w:hAnsi="宋体"/>
        </w:rPr>
        <w:t>89978125</w:t>
      </w:r>
    </w:p>
    <w:p>
      <w:pPr>
        <w:ind w:firstLine="482"/>
        <w:jc w:val="left"/>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2.集中采购机构信息</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名称：嘉兴市公共资源交易中心</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地址：嘉兴市广场路350号</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项目联系人（询问）：多杰次仁</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项目联系方式（询问）：0573-82512032</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邮箱：2248845638@qq.com</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质疑联系人：沈妍</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质疑联系方式：0573-82512933</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政采云驻点（网站系统问题：注册、账号、系统操作等）：0573-82512933</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3.同级政府采购监督管理部门</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政府采购行政监管及投诉受理部门：</w:t>
      </w:r>
      <w:r>
        <w:rPr>
          <w:rFonts w:hint="eastAsia" w:ascii="宋体" w:hAnsi="宋体"/>
        </w:rPr>
        <w:t>嘉兴市</w:t>
      </w:r>
      <w:r>
        <w:rPr>
          <w:rFonts w:hint="eastAsia" w:asciiTheme="minorEastAsia" w:hAnsiTheme="minorEastAsia" w:eastAsiaTheme="minorEastAsia" w:cstheme="minorEastAsia"/>
        </w:rPr>
        <w:t>财政局</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地址：嘉兴市南湖区环城西路55号</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联系人：赵女士</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联系方式：0573-82032356</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若对项目采购电子交易系统操作有疑问，可登录政采云（https://www.zcygov.cn/），点击右侧咨询小采，获取采小蜜智能服务管家帮助，或拨打政采云服务热线95763获取热线服务帮助。</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CA问题联系电话（人工）：汇信CA 400-888-4636；天谷CA 400-087-8198。</w:t>
      </w:r>
    </w:p>
    <w:p>
      <w:pPr>
        <w:ind w:firstLine="480"/>
        <w:jc w:val="right"/>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p>
    <w:p>
      <w:pPr>
        <w:wordWrap w:val="0"/>
        <w:ind w:right="1440" w:firstLine="0" w:firstLineChars="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采购人：嘉兴职业技术学院</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集中采购机构：嘉兴市公共资源交易中心</w:t>
      </w:r>
    </w:p>
    <w:p>
      <w:pPr>
        <w:wordWrap w:val="0"/>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2026年7月3日</w:t>
      </w: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p>
    <w:p>
      <w:pPr>
        <w:pStyle w:val="3"/>
        <w:suppressAutoHyphens/>
        <w:spacing w:before="0" w:beforeLines="0" w:after="0" w:afterLines="0"/>
        <w:rPr>
          <w:rFonts w:hint="eastAsia" w:asciiTheme="minorEastAsia" w:hAnsiTheme="minorEastAsia" w:eastAsiaTheme="minorEastAsia" w:cstheme="minorEastAsia"/>
          <w:sz w:val="48"/>
          <w:szCs w:val="48"/>
        </w:rPr>
      </w:pPr>
      <w:r>
        <w:rPr>
          <w:rFonts w:hint="eastAsia" w:asciiTheme="minorEastAsia" w:hAnsiTheme="minorEastAsia" w:eastAsiaTheme="minorEastAsia" w:cstheme="minorEastAsia"/>
          <w:sz w:val="48"/>
          <w:szCs w:val="48"/>
        </w:rPr>
        <w:t>第二章  招标需求</w:t>
      </w:r>
    </w:p>
    <w:p>
      <w:pPr>
        <w:pStyle w:val="2"/>
        <w:spacing w:before="0" w:beforeLines="0"/>
        <w:ind w:firstLine="0" w:firstLineChars="0"/>
        <w:jc w:val="both"/>
        <w:rPr>
          <w:rFonts w:hint="eastAsia" w:asciiTheme="minorEastAsia" w:hAnsiTheme="minorEastAsia" w:eastAsiaTheme="minorEastAsia" w:cstheme="minorEastAsia"/>
          <w:bCs w:val="0"/>
          <w:kern w:val="2"/>
          <w:szCs w:val="24"/>
        </w:rPr>
      </w:pPr>
      <w:r>
        <w:rPr>
          <w:rFonts w:hint="eastAsia" w:asciiTheme="minorEastAsia" w:hAnsiTheme="minorEastAsia" w:eastAsiaTheme="minorEastAsia" w:cstheme="minorEastAsia"/>
          <w:bCs w:val="0"/>
          <w:kern w:val="2"/>
          <w:szCs w:val="24"/>
        </w:rPr>
        <w:t xml:space="preserve">一、项目背景 </w:t>
      </w:r>
    </w:p>
    <w:p>
      <w:pPr>
        <w:spacing w:line="360" w:lineRule="auto"/>
        <w:ind w:firstLine="480" w:firstLineChars="200"/>
        <w:rPr>
          <w:rFonts w:hint="eastAsia" w:cs="Times New Roman"/>
          <w:bCs/>
          <w:color w:val="000000"/>
          <w:highlight w:val="none"/>
        </w:rPr>
      </w:pPr>
      <w:r>
        <w:rPr>
          <w:rFonts w:hint="eastAsia" w:cs="Times New Roman"/>
          <w:bCs/>
          <w:color w:val="000000"/>
          <w:highlight w:val="none"/>
        </w:rPr>
        <w:t>为了满足</w:t>
      </w:r>
      <w:r>
        <w:rPr>
          <w:rFonts w:hint="eastAsia" w:cs="Times New Roman"/>
          <w:bCs/>
          <w:color w:val="000000"/>
          <w:highlight w:val="none"/>
          <w:lang w:val="en-US" w:eastAsia="zh-CN"/>
        </w:rPr>
        <w:t>学校</w:t>
      </w:r>
      <w:r>
        <w:rPr>
          <w:rFonts w:hint="eastAsia" w:cs="Times New Roman"/>
          <w:bCs/>
          <w:color w:val="000000"/>
          <w:highlight w:val="none"/>
        </w:rPr>
        <w:t>日常</w:t>
      </w:r>
      <w:r>
        <w:rPr>
          <w:rFonts w:hint="eastAsia" w:cs="Times New Roman"/>
          <w:bCs/>
          <w:color w:val="000000"/>
          <w:highlight w:val="none"/>
          <w:lang w:val="en-US" w:eastAsia="zh-CN"/>
        </w:rPr>
        <w:t>教学</w:t>
      </w:r>
      <w:r>
        <w:rPr>
          <w:rFonts w:hint="eastAsia" w:cs="Times New Roman"/>
          <w:bCs/>
          <w:color w:val="000000"/>
          <w:highlight w:val="none"/>
        </w:rPr>
        <w:t>的需求，</w:t>
      </w:r>
      <w:r>
        <w:rPr>
          <w:rFonts w:hint="eastAsia" w:cs="Times New Roman"/>
          <w:bCs/>
          <w:color w:val="000000"/>
          <w:highlight w:val="none"/>
          <w:lang w:eastAsia="zh-CN"/>
        </w:rPr>
        <w:t>嘉兴职业技术学院</w:t>
      </w:r>
      <w:r>
        <w:rPr>
          <w:rFonts w:hint="eastAsia" w:cs="Times New Roman"/>
          <w:bCs/>
          <w:color w:val="000000"/>
          <w:highlight w:val="none"/>
        </w:rPr>
        <w:t>根据</w:t>
      </w:r>
      <w:r>
        <w:rPr>
          <w:rFonts w:hint="eastAsia" w:cs="Times New Roman"/>
          <w:bCs/>
          <w:color w:val="000000"/>
          <w:highlight w:val="none"/>
          <w:lang w:val="en-US" w:eastAsia="zh-CN"/>
        </w:rPr>
        <w:t>教学</w:t>
      </w:r>
      <w:r>
        <w:rPr>
          <w:rFonts w:hint="eastAsia" w:cs="Times New Roman"/>
          <w:bCs/>
          <w:color w:val="000000"/>
          <w:highlight w:val="none"/>
        </w:rPr>
        <w:t>需要采购台式计算机</w:t>
      </w:r>
      <w:r>
        <w:rPr>
          <w:rFonts w:hint="eastAsia" w:cs="Times New Roman"/>
          <w:bCs/>
          <w:color w:val="000000"/>
          <w:highlight w:val="none"/>
          <w:lang w:val="en-US" w:eastAsia="zh-CN"/>
        </w:rPr>
        <w:t>等</w:t>
      </w:r>
      <w:r>
        <w:rPr>
          <w:rFonts w:hint="eastAsia" w:cs="Times New Roman"/>
          <w:bCs/>
          <w:color w:val="000000"/>
          <w:highlight w:val="none"/>
        </w:rPr>
        <w:t>用于老旧设备的更新。</w:t>
      </w:r>
    </w:p>
    <w:p>
      <w:pPr>
        <w:pStyle w:val="2"/>
        <w:spacing w:before="0" w:beforeLines="0"/>
        <w:ind w:firstLine="0" w:firstLineChars="0"/>
        <w:jc w:val="both"/>
        <w:rPr>
          <w:rFonts w:hint="eastAsia" w:asciiTheme="minorEastAsia" w:hAnsiTheme="minorEastAsia" w:eastAsiaTheme="minorEastAsia" w:cstheme="minorEastAsia"/>
          <w:bCs w:val="0"/>
          <w:kern w:val="2"/>
          <w:szCs w:val="24"/>
        </w:rPr>
      </w:pPr>
      <w:r>
        <w:rPr>
          <w:rFonts w:hint="eastAsia" w:asciiTheme="minorEastAsia" w:hAnsiTheme="minorEastAsia" w:eastAsiaTheme="minorEastAsia" w:cstheme="minorEastAsia"/>
          <w:bCs w:val="0"/>
          <w:kern w:val="2"/>
          <w:szCs w:val="24"/>
        </w:rPr>
        <w:t>二、采购清单</w:t>
      </w:r>
    </w:p>
    <w:tbl>
      <w:tblPr>
        <w:tblStyle w:val="29"/>
        <w:tblW w:w="8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3328"/>
        <w:gridCol w:w="1182"/>
        <w:gridCol w:w="1288"/>
        <w:gridCol w:w="17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3" w:hRule="atLeast"/>
          <w:jc w:val="center"/>
        </w:trPr>
        <w:tc>
          <w:tcPr>
            <w:tcW w:w="713" w:type="dxa"/>
            <w:shd w:val="clear" w:color="auto" w:fill="FFFFFF"/>
            <w:vAlign w:val="center"/>
          </w:tcPr>
          <w:p>
            <w:pPr>
              <w:ind w:firstLine="0" w:firstLineChars="0"/>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序号</w:t>
            </w:r>
          </w:p>
        </w:tc>
        <w:tc>
          <w:tcPr>
            <w:tcW w:w="3328" w:type="dxa"/>
            <w:shd w:val="clear" w:color="auto" w:fill="FFFFFF"/>
            <w:vAlign w:val="center"/>
          </w:tcPr>
          <w:p>
            <w:pPr>
              <w:ind w:firstLine="0" w:firstLineChars="0"/>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设备名称</w:t>
            </w:r>
          </w:p>
        </w:tc>
        <w:tc>
          <w:tcPr>
            <w:tcW w:w="1182" w:type="dxa"/>
            <w:shd w:val="clear" w:color="auto" w:fill="FFFFFF"/>
            <w:vAlign w:val="center"/>
          </w:tcPr>
          <w:p>
            <w:pPr>
              <w:ind w:firstLine="0" w:firstLineChars="0"/>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数量</w:t>
            </w:r>
          </w:p>
        </w:tc>
        <w:tc>
          <w:tcPr>
            <w:tcW w:w="1288" w:type="dxa"/>
            <w:shd w:val="clear" w:color="auto" w:fill="FFFFFF"/>
            <w:vAlign w:val="center"/>
          </w:tcPr>
          <w:p>
            <w:pPr>
              <w:ind w:firstLine="0" w:firstLineChars="0"/>
              <w:jc w:val="center"/>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单位</w:t>
            </w:r>
          </w:p>
        </w:tc>
        <w:tc>
          <w:tcPr>
            <w:tcW w:w="1720" w:type="dxa"/>
            <w:shd w:val="clear" w:color="auto" w:fill="FFFFFF"/>
            <w:vAlign w:val="center"/>
          </w:tcPr>
          <w:p>
            <w:pPr>
              <w:ind w:firstLine="0" w:firstLineChars="0"/>
              <w:jc w:val="center"/>
              <w:rPr>
                <w:rFonts w:hint="eastAsia" w:asciiTheme="minorEastAsia" w:hAnsiTheme="minorEastAsia" w:eastAsiaTheme="minorEastAsia" w:cstheme="minorEastAsia"/>
                <w:b/>
              </w:rPr>
            </w:pPr>
            <w:r>
              <w:rPr>
                <w:rFonts w:hint="eastAsia" w:ascii="宋体" w:hAnsi="宋体"/>
                <w:b/>
                <w:sz w:val="21"/>
                <w:szCs w:val="21"/>
              </w:rPr>
              <w:t>最高</w:t>
            </w:r>
            <w:r>
              <w:rPr>
                <w:rFonts w:hint="eastAsia" w:ascii="宋体" w:hAnsi="宋体"/>
                <w:b/>
                <w:sz w:val="21"/>
                <w:szCs w:val="21"/>
                <w:lang w:eastAsia="zh-CN"/>
              </w:rPr>
              <w:t>限制单价</w:t>
            </w:r>
            <w:r>
              <w:rPr>
                <w:rFonts w:hint="eastAsia" w:ascii="宋体" w:hAnsi="宋体"/>
                <w:b/>
                <w:sz w:val="21"/>
                <w:szCs w:val="21"/>
              </w:rPr>
              <w:t>（元/台）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1</w:t>
            </w:r>
          </w:p>
        </w:tc>
        <w:tc>
          <w:tcPr>
            <w:tcW w:w="3328" w:type="dxa"/>
            <w:vAlign w:val="center"/>
          </w:tcPr>
          <w:p>
            <w:pPr>
              <w:ind w:firstLine="0" w:firstLineChars="0"/>
              <w:jc w:val="center"/>
              <w:rPr>
                <w:rFonts w:hint="eastAsia" w:asciiTheme="minorEastAsia" w:hAnsiTheme="minorEastAsia" w:eastAsiaTheme="minorEastAsia" w:cstheme="minorEastAsia"/>
              </w:rPr>
            </w:pPr>
            <w:r>
              <w:rPr>
                <w:rFonts w:hint="eastAsia" w:ascii="汉仪叶叶相思体简" w:hAnsi="汉仪叶叶相思体简" w:eastAsia="汉仪叶叶相思体简" w:cs="汉仪叶叶相思体简"/>
                <w:lang w:eastAsia="zh-CN"/>
              </w:rPr>
              <w:t>★</w:t>
            </w:r>
            <w:r>
              <w:rPr>
                <w:rFonts w:hint="eastAsia" w:asciiTheme="minorEastAsia" w:hAnsiTheme="minorEastAsia" w:eastAsiaTheme="minorEastAsia" w:cstheme="minorEastAsia"/>
                <w:lang w:eastAsia="en-US"/>
              </w:rPr>
              <w:t>算力工作站</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55000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2</w:t>
            </w:r>
          </w:p>
        </w:tc>
        <w:tc>
          <w:tcPr>
            <w:tcW w:w="3328"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en-US"/>
              </w:rPr>
              <w:t>图形工作站</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8950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3328" w:type="dxa"/>
            <w:vAlign w:val="center"/>
          </w:tcPr>
          <w:p>
            <w:pPr>
              <w:ind w:firstLine="0" w:firstLineChars="0"/>
              <w:jc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台式电脑1</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43</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8500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3328" w:type="dxa"/>
            <w:vAlign w:val="center"/>
          </w:tcPr>
          <w:p>
            <w:pPr>
              <w:ind w:firstLine="0" w:firstLineChars="0"/>
              <w:jc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rPr>
              <w:t>台式电脑2</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8333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3328" w:type="dxa"/>
            <w:vAlign w:val="center"/>
          </w:tcPr>
          <w:p>
            <w:pPr>
              <w:ind w:firstLine="0" w:firstLineChars="0"/>
              <w:jc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rPr>
              <w:t>台式电脑3</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10</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19400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6</w:t>
            </w:r>
          </w:p>
        </w:tc>
        <w:tc>
          <w:tcPr>
            <w:tcW w:w="3328"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信创电脑</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51</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lang w:eastAsia="zh-CN"/>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4988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7</w:t>
            </w:r>
          </w:p>
        </w:tc>
        <w:tc>
          <w:tcPr>
            <w:tcW w:w="3328"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LED显示大屏</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6</w:t>
            </w:r>
            <w:r>
              <w:rPr>
                <w:rFonts w:ascii="宋体" w:hAnsi="宋体"/>
                <w:kern w:val="0"/>
                <w:sz w:val="21"/>
                <w:szCs w:val="21"/>
                <w:lang w:bidi="ar"/>
              </w:rPr>
              <w:t>050</w:t>
            </w:r>
            <w:r>
              <w:rPr>
                <w:rFonts w:hint="eastAsia" w:ascii="宋体" w:hAnsi="宋体"/>
                <w:kern w:val="0"/>
                <w:sz w:val="21"/>
                <w:szCs w:val="21"/>
                <w:lang w:bidi="ar"/>
              </w:rPr>
              <w:t>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13"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p>
        </w:tc>
        <w:tc>
          <w:tcPr>
            <w:tcW w:w="3328"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智慧黑板</w:t>
            </w:r>
          </w:p>
        </w:tc>
        <w:tc>
          <w:tcPr>
            <w:tcW w:w="1182" w:type="dxa"/>
            <w:vAlign w:val="center"/>
          </w:tcPr>
          <w:p>
            <w:pPr>
              <w:widowControl/>
              <w:ind w:firstLine="0" w:firstLineChars="0"/>
              <w:jc w:val="center"/>
              <w:textAlignment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17</w:t>
            </w:r>
          </w:p>
        </w:tc>
        <w:tc>
          <w:tcPr>
            <w:tcW w:w="1288"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Theme="minorEastAsia" w:hAnsiTheme="minorEastAsia" w:eastAsiaTheme="minorEastAsia" w:cstheme="minorEastAsia"/>
                <w:lang w:eastAsia="en-US"/>
              </w:rPr>
              <w:t>套</w:t>
            </w:r>
          </w:p>
        </w:tc>
        <w:tc>
          <w:tcPr>
            <w:tcW w:w="1720" w:type="dxa"/>
            <w:vAlign w:val="center"/>
          </w:tcPr>
          <w:p>
            <w:pPr>
              <w:widowControl/>
              <w:ind w:firstLine="0" w:firstLineChars="0"/>
              <w:jc w:val="center"/>
              <w:textAlignment w:val="center"/>
              <w:rPr>
                <w:rFonts w:hint="eastAsia" w:asciiTheme="minorEastAsia" w:hAnsiTheme="minorEastAsia" w:eastAsiaTheme="minorEastAsia" w:cstheme="minorEastAsia"/>
                <w:lang w:eastAsia="en-US"/>
              </w:rPr>
            </w:pPr>
            <w:r>
              <w:rPr>
                <w:rFonts w:hint="eastAsia" w:ascii="宋体" w:hAnsi="宋体"/>
                <w:kern w:val="0"/>
                <w:sz w:val="21"/>
                <w:szCs w:val="21"/>
                <w:lang w:bidi="ar"/>
              </w:rPr>
              <w:t>12000</w:t>
            </w:r>
          </w:p>
        </w:tc>
      </w:tr>
    </w:tbl>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注：标</w:t>
      </w:r>
      <w:r>
        <w:rPr>
          <w:rFonts w:hint="eastAsia" w:ascii="汉仪叶叶相思体简" w:hAnsi="汉仪叶叶相思体简" w:eastAsia="汉仪叶叶相思体简" w:cs="汉仪叶叶相思体简"/>
          <w:lang w:eastAsia="zh-CN"/>
        </w:rPr>
        <w:t>★</w:t>
      </w:r>
      <w:r>
        <w:rPr>
          <w:rFonts w:hint="eastAsia" w:asciiTheme="minorEastAsia" w:hAnsiTheme="minorEastAsia" w:eastAsiaTheme="minorEastAsia" w:cstheme="minorEastAsia"/>
        </w:rPr>
        <w:t>的设备为核心产品。</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▲本项目采购的</w:t>
      </w:r>
      <w:r>
        <w:rPr>
          <w:rFonts w:hint="eastAsia" w:asciiTheme="minorEastAsia" w:hAnsiTheme="minorEastAsia" w:eastAsiaTheme="minorEastAsia" w:cstheme="minorEastAsia"/>
          <w:b/>
          <w:bCs/>
          <w:u w:val="single"/>
        </w:rPr>
        <w:t>台式电脑1、台式电脑2、台式电脑3、信创电脑、智慧黑板</w:t>
      </w:r>
      <w:r>
        <w:rPr>
          <w:rFonts w:hint="eastAsia" w:asciiTheme="minorEastAsia" w:hAnsiTheme="minorEastAsia" w:eastAsiaTheme="minorEastAsia" w:cstheme="minorEastAsia"/>
        </w:rPr>
        <w:t>属于政府强制采购节能品目，供应商投标时必须提供所投产品由国家确定的认证机构出具的、处于有效期之内的节能产品认证证书或规定网站证书查询截图。</w:t>
      </w:r>
    </w:p>
    <w:p>
      <w:pPr>
        <w:pStyle w:val="37"/>
        <w:ind w:firstLine="480"/>
        <w:rPr>
          <w:rFonts w:hint="eastAsia" w:eastAsiaTheme="minorEastAsia"/>
          <w:lang w:val="en-US"/>
        </w:rPr>
      </w:pPr>
      <w:r>
        <w:rPr>
          <w:rFonts w:hint="eastAsia" w:asciiTheme="minorEastAsia" w:hAnsiTheme="minorEastAsia" w:eastAsiaTheme="minorEastAsia" w:cstheme="minorEastAsia"/>
          <w:sz w:val="24"/>
          <w:szCs w:val="24"/>
          <w:lang w:val="en-US"/>
        </w:rPr>
        <w:t>投标时，供应商对电脑有显示器的标注显示器品牌型号。</w:t>
      </w:r>
    </w:p>
    <w:p>
      <w:pPr>
        <w:pStyle w:val="2"/>
        <w:spacing w:before="0" w:beforeLines="0"/>
        <w:ind w:firstLine="0" w:firstLineChars="0"/>
        <w:rPr>
          <w:rFonts w:hint="eastAsia" w:asciiTheme="minorEastAsia" w:hAnsiTheme="minorEastAsia" w:eastAsiaTheme="minorEastAsia" w:cstheme="minorEastAsia"/>
          <w:bCs w:val="0"/>
          <w:kern w:val="2"/>
          <w:szCs w:val="24"/>
        </w:rPr>
      </w:pPr>
      <w:r>
        <w:rPr>
          <w:rFonts w:hint="eastAsia" w:asciiTheme="minorEastAsia" w:hAnsiTheme="minorEastAsia" w:eastAsiaTheme="minorEastAsia" w:cstheme="minorEastAsia"/>
          <w:bCs w:val="0"/>
          <w:kern w:val="2"/>
          <w:szCs w:val="24"/>
        </w:rPr>
        <w:t xml:space="preserve">三、参数技术要求  </w:t>
      </w:r>
    </w:p>
    <w:p>
      <w:pPr>
        <w:pStyle w:val="4"/>
        <w:rPr>
          <w:rFonts w:hint="eastAsia" w:asciiTheme="minorEastAsia" w:hAnsiTheme="minorEastAsia" w:eastAsiaTheme="minorEastAsia" w:cstheme="minorEastAsia"/>
          <w:color w:val="FF0000"/>
        </w:rPr>
      </w:pPr>
      <w:r>
        <w:rPr>
          <w:rFonts w:hint="eastAsia" w:asciiTheme="minorEastAsia" w:hAnsiTheme="minorEastAsia" w:eastAsiaTheme="minorEastAsia" w:cstheme="minorEastAsia"/>
          <w:highlight w:val="none"/>
        </w:rPr>
        <w:t>（一）</w:t>
      </w:r>
      <w:r>
        <w:rPr>
          <w:rFonts w:hint="eastAsia" w:ascii="汉仪叶叶相思体简" w:hAnsi="汉仪叶叶相思体简" w:eastAsia="汉仪叶叶相思体简" w:cs="汉仪叶叶相思体简"/>
          <w:highlight w:val="none"/>
          <w:lang w:eastAsia="zh-CN"/>
        </w:rPr>
        <w:t>★</w:t>
      </w:r>
      <w:r>
        <w:rPr>
          <w:rFonts w:hint="eastAsia" w:asciiTheme="minorEastAsia" w:hAnsiTheme="minorEastAsia" w:eastAsiaTheme="minorEastAsia" w:cstheme="minorEastAsia"/>
          <w:highlight w:val="none"/>
        </w:rPr>
        <w:t>算力工作</w:t>
      </w:r>
      <w:r>
        <w:rPr>
          <w:rFonts w:hint="eastAsia" w:asciiTheme="minorEastAsia" w:hAnsiTheme="minorEastAsia" w:eastAsiaTheme="minorEastAsia" w:cstheme="minorEastAsia"/>
        </w:rPr>
        <w:t>站</w:t>
      </w:r>
    </w:p>
    <w:tbl>
      <w:tblPr>
        <w:tblStyle w:val="29"/>
        <w:tblW w:w="83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2"/>
        <w:gridCol w:w="2546"/>
        <w:gridCol w:w="502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00"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指标</w:t>
            </w:r>
            <w:r>
              <w:rPr>
                <w:rFonts w:hint="eastAsia" w:asciiTheme="minorEastAsia" w:hAnsiTheme="minorEastAsia" w:eastAsiaTheme="minorEastAsia" w:cstheme="minorEastAsia"/>
                <w:sz w:val="24"/>
                <w:szCs w:val="24"/>
                <w:lang w:eastAsia="zh-CN"/>
              </w:rPr>
              <w:t>项</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技术参数</w:t>
            </w:r>
            <w:r>
              <w:rPr>
                <w:rFonts w:hint="eastAsia" w:asciiTheme="minorEastAsia" w:hAnsiTheme="minorEastAsia" w:eastAsiaTheme="minorEastAsia" w:cstheme="minorEastAsia"/>
                <w:sz w:val="24"/>
                <w:szCs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CPU信息</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≥Ultra 7 265处理器（</w:t>
            </w:r>
            <w:r>
              <w:rPr>
                <w:rFonts w:hint="eastAsia" w:ascii="宋体" w:hAnsi="宋体" w:eastAsia="宋体" w:cs="宋体"/>
                <w:color w:val="auto"/>
                <w:sz w:val="21"/>
                <w:szCs w:val="21"/>
                <w:highlight w:val="none"/>
              </w:rPr>
              <w:t>≥</w:t>
            </w:r>
            <w:r>
              <w:rPr>
                <w:rFonts w:hint="eastAsia" w:asciiTheme="minorEastAsia" w:hAnsiTheme="minorEastAsia" w:eastAsiaTheme="minorEastAsia" w:cstheme="minorEastAsia"/>
                <w:sz w:val="24"/>
                <w:szCs w:val="24"/>
                <w:lang w:eastAsia="zh-CN"/>
              </w:rPr>
              <w:t>1.8 GHz基础频率、30 MB 三级高速缓存、</w:t>
            </w:r>
            <w:r>
              <w:rPr>
                <w:rFonts w:hint="eastAsia" w:ascii="宋体" w:hAnsi="宋体" w:eastAsia="宋体" w:cs="宋体"/>
                <w:color w:val="auto"/>
                <w:sz w:val="21"/>
                <w:szCs w:val="21"/>
                <w:highlight w:val="none"/>
              </w:rPr>
              <w:t>≥</w:t>
            </w:r>
            <w:r>
              <w:rPr>
                <w:rFonts w:hint="eastAsia" w:asciiTheme="minorEastAsia" w:hAnsiTheme="minorEastAsia" w:eastAsiaTheme="minorEastAsia" w:cstheme="minorEastAsia"/>
                <w:sz w:val="24"/>
                <w:szCs w:val="24"/>
                <w:lang w:eastAsia="zh-CN"/>
              </w:rPr>
              <w:t>20核、</w:t>
            </w:r>
            <w:r>
              <w:rPr>
                <w:rFonts w:hint="eastAsia" w:ascii="宋体" w:hAnsi="宋体" w:eastAsia="宋体" w:cs="宋体"/>
                <w:color w:val="auto"/>
                <w:sz w:val="21"/>
                <w:szCs w:val="21"/>
                <w:highlight w:val="none"/>
              </w:rPr>
              <w:t>≥</w:t>
            </w:r>
            <w:r>
              <w:rPr>
                <w:rFonts w:hint="eastAsia" w:asciiTheme="minorEastAsia" w:hAnsiTheme="minorEastAsia" w:eastAsiaTheme="minorEastAsia" w:cstheme="minorEastAsia"/>
                <w:sz w:val="24"/>
                <w:szCs w:val="24"/>
                <w:lang w:eastAsia="zh-CN"/>
              </w:rPr>
              <w:t>20条线程）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3"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▲内存配置容量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5"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▲内存类型</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≥DDR5-5600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6"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内存条配置数量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217"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主板型号</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≥英特尔</w:t>
            </w:r>
            <w:r>
              <w:rPr>
                <w:rFonts w:asciiTheme="minorEastAsia" w:hAnsiTheme="minorEastAsia" w:eastAsiaTheme="minorEastAsia" w:cstheme="minorEastAsia"/>
                <w:sz w:val="24"/>
                <w:szCs w:val="24"/>
                <w:lang w:eastAsia="zh-CN"/>
              </w:rPr>
              <w:t>®</w:t>
            </w:r>
            <w:r>
              <w:rPr>
                <w:rFonts w:hint="eastAsia" w:asciiTheme="minorEastAsia" w:hAnsiTheme="minorEastAsia" w:eastAsiaTheme="minorEastAsia" w:cstheme="minorEastAsia"/>
                <w:sz w:val="24"/>
                <w:szCs w:val="24"/>
                <w:lang w:eastAsia="zh-CN"/>
              </w:rPr>
              <w:t xml:space="preserve"> W880芯片组；</w:t>
            </w:r>
          </w:p>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自带USB屏蔽技术（非第三方加装）</w:t>
            </w:r>
          </w:p>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集成BIOS版还原卡功能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内存插槽数量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单内存插槽最大可支持容量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≥64GB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内存插槽满配时提供的最高内存总容量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≥256GB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固态盘数量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固态存储容量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≥1TB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机械硬盘数量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固态存储形态</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采用插卡形态，M.2，NVMe接口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▲显卡类型</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≥NVIDIA  GeForce RTX 5090 32GB GDDR7独立显卡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w:t>
            </w:r>
          </w:p>
        </w:tc>
        <w:tc>
          <w:tcPr>
            <w:tcW w:w="2546"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独立显卡显存容量</w:t>
            </w:r>
          </w:p>
        </w:tc>
        <w:tc>
          <w:tcPr>
            <w:tcW w:w="5028" w:type="dxa"/>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显存容量≥32GB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显示屏屏占比</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显示屏分辨率</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≥4K</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显示屏尺寸</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显示屏屏幕比例</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16:9 或16:10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鼠标数量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键盘数量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键盘连接方式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鼠标连接方式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有线网卡数量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USB接口数量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≥11个USB接口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扩展接口</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≥2个M.2 2280 PCIe 4 x4，1个用于WLAN的M.2 2230，1个M.2 2280 PCIe 5 x4，1个PCIe 4 x1（x4接口），1个PCIe 4 x4（x16接口），1个PCIe 4 x4，1个PCIe 5x16；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机箱容量</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预装操作系统</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出厂预装win11 正版系统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0"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▲电源</w:t>
            </w:r>
          </w:p>
        </w:tc>
        <w:tc>
          <w:tcPr>
            <w:tcW w:w="502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≥1200W内置电源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机房管理软件要求</w:t>
            </w:r>
          </w:p>
        </w:tc>
        <w:tc>
          <w:tcPr>
            <w:tcW w:w="5028" w:type="dxa"/>
            <w:vAlign w:val="center"/>
          </w:tcPr>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数量要求：</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单台电脑配置1个点，每台均需配置。</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功能要求：</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（1）支持BIOS底层对终端进行还原类型设置，支持不同时间段的自动还原及手动还原。在操作系统下支持批量设置。</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（2）支持BIOS底层和操作系统两种方式下，对管理员模式、还原模式、考试模式一键自由切换</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●（3）支持双模式自动连线的智能对拷功能，可设置三种不同的智能对拷模式，以及根据实际网络情况设置四种延时类型，对拷过程中用户可查看信息和状态。</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（4）支持虚拟系统快速建立功能，每个虚拟系统在BIOS底层开机启动菜单可显示到对应真实系统下，方便用户分辨虚拟系统和真实系统的所属关系，避免用户误操作。</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（5）支持管理端登录超时机制</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（6）支持系统克隆功能，当需要安装多个相同系统时，无需重复多次安装操作，只需要在BIOS底层通过系统克隆功能即可完成多个系统的建立，同时可预设新克隆的系统数据还原方式。</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●（7）支持在操作系统下的在线考试功能，支持试卷编辑、下发试卷、开始考试、试卷查看、发送答案、试卷导出、停止考试等操作。</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（8）支持系统下的随堂点名功能，显示相关信息，支持导出。</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（9）支持操作系统下的发送消息功能。</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●（10）支持在操作系统下的本机操作功能，提供网络设置、快速保存、快速还原、分区设置、模式管理、系统切换、系统更新、智能USB、文件粉碎等多种本机管理功能。</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（11）可根据不同的终端硬件配置选择Intel集成显卡解码、NVIDIA显卡解码、DXVA2解码等多种不同的解码方式，实现最优的广播效果。</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jc w:val="center"/>
        </w:trPr>
        <w:tc>
          <w:tcPr>
            <w:tcW w:w="742"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w:t>
            </w:r>
          </w:p>
        </w:tc>
        <w:tc>
          <w:tcPr>
            <w:tcW w:w="2546"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▲其他要求</w:t>
            </w:r>
          </w:p>
        </w:tc>
        <w:tc>
          <w:tcPr>
            <w:tcW w:w="5028" w:type="dxa"/>
            <w:vAlign w:val="center"/>
          </w:tcPr>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所有部件均为原厂预装（包含显卡），非第三方独立加装。</w:t>
            </w:r>
          </w:p>
        </w:tc>
      </w:tr>
    </w:tbl>
    <w:p>
      <w:pPr>
        <w:pStyle w:val="4"/>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（二）图形工作站</w:t>
      </w:r>
    </w:p>
    <w:tbl>
      <w:tblPr>
        <w:tblStyle w:val="29"/>
        <w:tblW w:w="8311"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24"/>
        <w:gridCol w:w="2248"/>
        <w:gridCol w:w="533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4"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rPr>
              <w:t>指标</w:t>
            </w:r>
            <w:r>
              <w:rPr>
                <w:rFonts w:hint="eastAsia" w:asciiTheme="minorEastAsia" w:hAnsiTheme="minorEastAsia" w:eastAsiaTheme="minorEastAsia" w:cstheme="minorEastAsia"/>
                <w:sz w:val="24"/>
                <w:szCs w:val="24"/>
                <w:lang w:eastAsia="zh-CN"/>
              </w:rPr>
              <w:t>项</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技术参数</w:t>
            </w:r>
            <w:r>
              <w:rPr>
                <w:rFonts w:hint="eastAsia" w:asciiTheme="minorEastAsia" w:hAnsiTheme="minorEastAsia" w:eastAsiaTheme="minorEastAsia" w:cstheme="minorEastAsia"/>
                <w:sz w:val="24"/>
                <w:szCs w:val="24"/>
              </w:rPr>
              <w:t>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CPU信息</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≥英特尔酷睿I5-13500处理器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84"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▲内存配置容量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asciiTheme="minorEastAsia" w:hAnsiTheme="minorEastAsia" w:eastAsiaTheme="minorEastAsia" w:cstheme="minorEastAsia"/>
                <w:sz w:val="24"/>
                <w:szCs w:val="24"/>
                <w:lang w:eastAsia="zh-CN"/>
              </w:rPr>
              <w:t>16</w:t>
            </w:r>
            <w:r>
              <w:rPr>
                <w:rFonts w:hint="eastAsia" w:asciiTheme="minorEastAsia" w:hAnsiTheme="minorEastAsia" w:eastAsiaTheme="minorEastAsia" w:cstheme="minorEastAsia"/>
                <w:sz w:val="24"/>
                <w:szCs w:val="24"/>
                <w:lang w:eastAsia="zh-CN"/>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3"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▲内存类型</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≥DDR5-5600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内存条配置数量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asciiTheme="minorEastAsia" w:hAnsiTheme="minorEastAsia" w:eastAsiaTheme="minorEastAsia" w:cstheme="minorEastAsia"/>
                <w:sz w:val="24"/>
                <w:szCs w:val="24"/>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主板型号</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≥Intel Q系列主板670芯片组</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单内存插槽最大可支持容量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asciiTheme="minorEastAsia" w:hAnsiTheme="minorEastAsia" w:eastAsiaTheme="minorEastAsia" w:cstheme="minorEastAsia"/>
                <w:sz w:val="24"/>
                <w:szCs w:val="24"/>
                <w:lang w:eastAsia="zh-CN"/>
              </w:rPr>
              <w:t>32</w:t>
            </w:r>
            <w:r>
              <w:rPr>
                <w:rFonts w:hint="eastAsia" w:asciiTheme="minorEastAsia" w:hAnsiTheme="minorEastAsia" w:eastAsiaTheme="minorEastAsia" w:cstheme="minorEastAsia"/>
                <w:sz w:val="24"/>
                <w:szCs w:val="24"/>
                <w:lang w:eastAsia="zh-CN"/>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内存插槽满配时提供的最高内存总容量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w:t>
            </w:r>
            <w:r>
              <w:rPr>
                <w:rFonts w:asciiTheme="minorEastAsia" w:hAnsiTheme="minorEastAsia" w:eastAsiaTheme="minorEastAsia" w:cstheme="minorEastAsia"/>
                <w:sz w:val="24"/>
                <w:szCs w:val="24"/>
                <w:lang w:eastAsia="zh-CN"/>
              </w:rPr>
              <w:t>64</w:t>
            </w:r>
            <w:r>
              <w:rPr>
                <w:rFonts w:hint="eastAsia" w:asciiTheme="minorEastAsia" w:hAnsiTheme="minorEastAsia" w:eastAsiaTheme="minorEastAsia" w:cstheme="minorEastAsia"/>
                <w:sz w:val="24"/>
                <w:szCs w:val="24"/>
                <w:lang w:eastAsia="zh-CN"/>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固态盘数量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r>
              <w:rPr>
                <w:rFonts w:asciiTheme="minorEastAsia" w:hAnsiTheme="minorEastAsia" w:eastAsiaTheme="minorEastAsia" w:cstheme="minorEastAsia"/>
                <w:sz w:val="24"/>
                <w:szCs w:val="24"/>
                <w:lang w:eastAsia="zh-CN"/>
              </w:rPr>
              <w:t>12G</w:t>
            </w:r>
            <w:r>
              <w:rPr>
                <w:rFonts w:hint="eastAsia" w:asciiTheme="minorEastAsia" w:hAnsiTheme="minorEastAsia" w:eastAsiaTheme="minorEastAsia" w:cstheme="minorEastAsia"/>
                <w:sz w:val="24"/>
                <w:szCs w:val="24"/>
                <w:lang w:eastAsia="zh-CN"/>
              </w:rPr>
              <w:t>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机械硬盘数量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≥0个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highlight w:val="yellow"/>
                <w:lang w:eastAsia="zh-CN"/>
              </w:rPr>
            </w:pPr>
            <w:r>
              <w:rPr>
                <w:rFonts w:hint="eastAsia" w:asciiTheme="minorEastAsia" w:hAnsiTheme="minorEastAsia" w:eastAsiaTheme="minorEastAsia" w:cstheme="minorEastAsia"/>
                <w:sz w:val="24"/>
                <w:szCs w:val="24"/>
                <w:lang w:eastAsia="zh-CN"/>
              </w:rPr>
              <w:t>12</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固态存储形态</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采用插卡形态，M.2，NVMe接口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显卡类型</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≥NVIDIA RTX 5060 8GB显存独立显卡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独立显卡显存容量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显存容量≥</w:t>
            </w:r>
            <w:r>
              <w:rPr>
                <w:rFonts w:asciiTheme="minorEastAsia" w:hAnsiTheme="minorEastAsia" w:eastAsiaTheme="minorEastAsia" w:cstheme="minorEastAsia"/>
                <w:sz w:val="24"/>
                <w:szCs w:val="24"/>
                <w:lang w:eastAsia="zh-CN"/>
              </w:rPr>
              <w:t>8</w:t>
            </w:r>
            <w:r>
              <w:rPr>
                <w:rFonts w:hint="eastAsia" w:asciiTheme="minorEastAsia" w:hAnsiTheme="minorEastAsia" w:eastAsiaTheme="minorEastAsia" w:cstheme="minorEastAsia"/>
                <w:sz w:val="24"/>
                <w:szCs w:val="24"/>
                <w:lang w:eastAsia="zh-CN"/>
              </w:rPr>
              <w:t>GB</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显示屏屏占比</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显示屏分辨率</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≥1080P</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显示屏尺寸</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≥23.8英寸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显示屏屏幕比例</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16:9或16:10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键盘连接方式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鼠标连接方式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有线或无线</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有线网卡数量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USB接口数量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≥9个USB接口</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扩展接口</w:t>
            </w:r>
          </w:p>
        </w:tc>
        <w:tc>
          <w:tcPr>
            <w:tcW w:w="5339" w:type="dxa"/>
            <w:vAlign w:val="center"/>
          </w:tcPr>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 个 M.2 2230，1 个 M.2 2280，1 个 PCI，1 个 PCIe x1，1 个 PCIe 4 x16（1 个用于 WLAN 的 M.2 2230 插槽和 1 个用于存储的 M.2 2280 插槽。）</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机箱容量</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≥16L</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预装操作系统</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出厂预装win11 正版系统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电源</w:t>
            </w:r>
          </w:p>
        </w:tc>
        <w:tc>
          <w:tcPr>
            <w:tcW w:w="5339"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≥400W内置电源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机房管理软件要求</w:t>
            </w:r>
          </w:p>
        </w:tc>
        <w:tc>
          <w:tcPr>
            <w:tcW w:w="5339" w:type="dxa"/>
            <w:vAlign w:val="center"/>
          </w:tcPr>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数量要求：</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单台电脑配置1个点，每台均需配置。</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功能要求：</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（1）支持BIOS底层对终端进行还原类型设置，支持不同时间段的自动还原及手动还原。在操作系统下支持批量设置。</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（2）支持BIOS底层和操作系统两种方式下，对管理员模式、还原模式、考试模式一键自由切换</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（3）支持双模式自动连线的智能对拷功能，可设置三种不同的智能对拷模式，以及根据实际网络情况设置四种延时类型，对拷过程中用户可查看信息和状态。</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（4）支持虚拟系统快速建立功能，每个虚拟系统在BIOS底层开机启动菜单可显示到对应真实系统下，方便用户分辨虚拟系统和真实系统的所属关系，避免用户误操作。</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（5）支持管理端登录超时机制</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（6）支持系统克隆功能，当需要安装多个相同系统时，无需重复多次安装操作，只需要在BIOS底层通过系统克隆功能即可完成多个系统的建立，同时可预设新克隆的系统数据还原方式。</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（7）支持在操作系统下的在线考试功能，支持试卷编辑、下发试卷、开始考试、试卷查看、发送答案、试卷导出、停止考试等操作。</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（8）支持系统下的随堂点名功能，显示相关信息，支持导出。</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（9）支持操作系统下的发送消息功能。</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（10）支持在操作系统下的本机操作功能，提供网络设置、快速保存、快速还原、分区设置、模式管理、系统切换、系统更新、智能USB、文件粉碎等多种本机管理功能。</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（11）可根据不同的终端硬件配置选择Intel集成显卡解码、NVIDIA显卡解码、DXVA2解码等多种不同的解码方式，实现最优的广播效果。</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pStyle w:val="81"/>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89" w:hRule="atLeast"/>
        </w:trPr>
        <w:tc>
          <w:tcPr>
            <w:tcW w:w="724"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w:t>
            </w:r>
          </w:p>
        </w:tc>
        <w:tc>
          <w:tcPr>
            <w:tcW w:w="2248" w:type="dxa"/>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▲其他要求</w:t>
            </w:r>
          </w:p>
        </w:tc>
        <w:tc>
          <w:tcPr>
            <w:tcW w:w="5339" w:type="dxa"/>
            <w:vAlign w:val="center"/>
          </w:tcPr>
          <w:p>
            <w:pPr>
              <w:pStyle w:val="81"/>
              <w:spacing w:line="240" w:lineRule="auto"/>
              <w:ind w:firstLine="0" w:firstLineChars="0"/>
              <w:jc w:val="left"/>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所有部件均为原厂预装（包含显卡），非第三方独立加装。</w:t>
            </w:r>
          </w:p>
        </w:tc>
      </w:tr>
    </w:tbl>
    <w:p>
      <w:pPr>
        <w:pStyle w:val="4"/>
        <w:ind w:firstLine="0" w:firstLineChars="0"/>
        <w:rPr>
          <w:rFonts w:hint="eastAsia" w:asciiTheme="minorEastAsia" w:hAnsiTheme="minorEastAsia" w:eastAsiaTheme="minorEastAsia" w:cstheme="minorEastAsia"/>
        </w:rPr>
      </w:pP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（三）台式电脑1</w:t>
      </w:r>
    </w:p>
    <w:tbl>
      <w:tblPr>
        <w:tblStyle w:val="29"/>
        <w:tblW w:w="8296" w:type="dxa"/>
        <w:jc w:val="center"/>
        <w:tblLayout w:type="fixed"/>
        <w:tblCellMar>
          <w:top w:w="0" w:type="dxa"/>
          <w:left w:w="108" w:type="dxa"/>
          <w:bottom w:w="0" w:type="dxa"/>
          <w:right w:w="108" w:type="dxa"/>
        </w:tblCellMar>
      </w:tblPr>
      <w:tblGrid>
        <w:gridCol w:w="779"/>
        <w:gridCol w:w="2193"/>
        <w:gridCol w:w="5324"/>
      </w:tblGrid>
      <w:tr>
        <w:tblPrEx>
          <w:tblCellMar>
            <w:top w:w="0" w:type="dxa"/>
            <w:left w:w="108" w:type="dxa"/>
            <w:bottom w:w="0" w:type="dxa"/>
            <w:right w:w="108" w:type="dxa"/>
          </w:tblCellMar>
        </w:tblPrEx>
        <w:trPr>
          <w:trHeight w:val="224" w:hRule="atLeast"/>
          <w:jc w:val="center"/>
        </w:trPr>
        <w:tc>
          <w:tcPr>
            <w:tcW w:w="779"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序号</w:t>
            </w:r>
          </w:p>
        </w:tc>
        <w:tc>
          <w:tcPr>
            <w:tcW w:w="2193"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指标项</w:t>
            </w:r>
          </w:p>
        </w:tc>
        <w:tc>
          <w:tcPr>
            <w:tcW w:w="5324"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技术参数</w:t>
            </w:r>
            <w:r>
              <w:rPr>
                <w:rFonts w:hint="eastAsia" w:asciiTheme="minorEastAsia" w:hAnsiTheme="minorEastAsia" w:eastAsiaTheme="minorEastAsia" w:cstheme="minorEastAsia"/>
                <w:sz w:val="24"/>
                <w:szCs w:val="24"/>
              </w:rPr>
              <w:t>要求</w:t>
            </w:r>
          </w:p>
        </w:tc>
      </w:tr>
      <w:tr>
        <w:tblPrEx>
          <w:tblCellMar>
            <w:top w:w="0" w:type="dxa"/>
            <w:left w:w="108" w:type="dxa"/>
            <w:bottom w:w="0" w:type="dxa"/>
            <w:right w:w="108" w:type="dxa"/>
          </w:tblCellMar>
        </w:tblPrEx>
        <w:trPr>
          <w:trHeight w:val="542"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CPU信息</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≥AMD Ryzen 7 8700G 处理器</w:t>
            </w:r>
          </w:p>
        </w:tc>
      </w:tr>
      <w:tr>
        <w:tblPrEx>
          <w:tblCellMar>
            <w:top w:w="0" w:type="dxa"/>
            <w:left w:w="108" w:type="dxa"/>
            <w:bottom w:w="0" w:type="dxa"/>
            <w:right w:w="108" w:type="dxa"/>
          </w:tblCellMar>
        </w:tblPrEx>
        <w:trPr>
          <w:trHeight w:val="550"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▲内存配置容量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16</w:t>
            </w:r>
            <w:r>
              <w:rPr>
                <w:rFonts w:hint="eastAsia" w:asciiTheme="minorEastAsia" w:hAnsiTheme="minorEastAsia" w:eastAsiaTheme="minorEastAsia" w:cstheme="minorEastAsia"/>
                <w:kern w:val="2"/>
              </w:rPr>
              <w:t>GB</w:t>
            </w:r>
          </w:p>
        </w:tc>
      </w:tr>
      <w:tr>
        <w:tblPrEx>
          <w:tblCellMar>
            <w:top w:w="0" w:type="dxa"/>
            <w:left w:w="108" w:type="dxa"/>
            <w:bottom w:w="0" w:type="dxa"/>
            <w:right w:w="108" w:type="dxa"/>
          </w:tblCellMar>
        </w:tblPrEx>
        <w:trPr>
          <w:trHeight w:val="55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▲内存类型</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≥DDR5-5600</w:t>
            </w:r>
          </w:p>
        </w:tc>
      </w:tr>
      <w:tr>
        <w:tblPrEx>
          <w:tblCellMar>
            <w:top w:w="0" w:type="dxa"/>
            <w:left w:w="108" w:type="dxa"/>
            <w:bottom w:w="0" w:type="dxa"/>
            <w:right w:w="108" w:type="dxa"/>
          </w:tblCellMar>
        </w:tblPrEx>
        <w:trPr>
          <w:trHeight w:val="507"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内存条配置数量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585"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主板型号</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≥AMD PRO 665系列及以上芯组</w:t>
            </w:r>
          </w:p>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集成BIOS版还原卡功能</w:t>
            </w:r>
          </w:p>
        </w:tc>
      </w:tr>
      <w:tr>
        <w:tblPrEx>
          <w:tblCellMar>
            <w:top w:w="0" w:type="dxa"/>
            <w:left w:w="108" w:type="dxa"/>
            <w:bottom w:w="0" w:type="dxa"/>
            <w:right w:w="108" w:type="dxa"/>
          </w:tblCellMar>
        </w:tblPrEx>
        <w:trPr>
          <w:trHeight w:val="570"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内存插槽数量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r>
      <w:tr>
        <w:tblPrEx>
          <w:tblCellMar>
            <w:top w:w="0" w:type="dxa"/>
            <w:left w:w="108" w:type="dxa"/>
            <w:bottom w:w="0" w:type="dxa"/>
            <w:right w:w="108" w:type="dxa"/>
          </w:tblCellMar>
        </w:tblPrEx>
        <w:trPr>
          <w:trHeight w:val="73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单内存插槽最大可支持容量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≥32GB</w:t>
            </w:r>
          </w:p>
        </w:tc>
      </w:tr>
      <w:tr>
        <w:tblPrEx>
          <w:tblCellMar>
            <w:top w:w="0" w:type="dxa"/>
            <w:left w:w="108" w:type="dxa"/>
            <w:bottom w:w="0" w:type="dxa"/>
            <w:right w:w="108" w:type="dxa"/>
          </w:tblCellMar>
        </w:tblPrEx>
        <w:trPr>
          <w:trHeight w:val="975"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内存插槽满配时提供的最高内存总容量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64</w:t>
            </w:r>
            <w:r>
              <w:rPr>
                <w:rFonts w:hint="eastAsia" w:asciiTheme="minorEastAsia" w:hAnsiTheme="minorEastAsia" w:eastAsiaTheme="minorEastAsia" w:cstheme="minorEastAsia"/>
                <w:kern w:val="2"/>
              </w:rPr>
              <w:t>GB</w:t>
            </w:r>
          </w:p>
        </w:tc>
      </w:tr>
      <w:tr>
        <w:tblPrEx>
          <w:tblCellMar>
            <w:top w:w="0" w:type="dxa"/>
            <w:left w:w="108" w:type="dxa"/>
            <w:bottom w:w="0" w:type="dxa"/>
            <w:right w:w="108" w:type="dxa"/>
          </w:tblCellMar>
        </w:tblPrEx>
        <w:trPr>
          <w:trHeight w:val="565"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固态盘数量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45"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固态存储容量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1T</w:t>
            </w:r>
            <w:r>
              <w:rPr>
                <w:rFonts w:hint="eastAsia" w:asciiTheme="minorEastAsia" w:hAnsiTheme="minorEastAsia" w:eastAsiaTheme="minorEastAsia" w:cstheme="minorEastAsia"/>
                <w:kern w:val="2"/>
              </w:rPr>
              <w:t>B</w:t>
            </w:r>
          </w:p>
        </w:tc>
      </w:tr>
      <w:tr>
        <w:tblPrEx>
          <w:tblCellMar>
            <w:top w:w="0" w:type="dxa"/>
            <w:left w:w="108" w:type="dxa"/>
            <w:bottom w:w="0" w:type="dxa"/>
            <w:right w:w="108" w:type="dxa"/>
          </w:tblCellMar>
        </w:tblPrEx>
        <w:trPr>
          <w:trHeight w:val="566"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机械硬盘数量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0</w:t>
            </w:r>
            <w:r>
              <w:rPr>
                <w:rFonts w:hint="eastAsia" w:asciiTheme="minorEastAsia" w:hAnsiTheme="minorEastAsia" w:eastAsiaTheme="minorEastAsia" w:cstheme="minorEastAsia"/>
                <w:kern w:val="2"/>
              </w:rPr>
              <w:t>个</w:t>
            </w:r>
          </w:p>
        </w:tc>
      </w:tr>
      <w:tr>
        <w:tblPrEx>
          <w:tblCellMar>
            <w:top w:w="0" w:type="dxa"/>
            <w:left w:w="108" w:type="dxa"/>
            <w:bottom w:w="0" w:type="dxa"/>
            <w:right w:w="108" w:type="dxa"/>
          </w:tblCellMar>
        </w:tblPrEx>
        <w:trPr>
          <w:trHeight w:val="547"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固态存储形态</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采用插卡形态，M.2NVMe接口</w:t>
            </w:r>
          </w:p>
        </w:tc>
      </w:tr>
      <w:tr>
        <w:tblPrEx>
          <w:tblCellMar>
            <w:top w:w="0" w:type="dxa"/>
            <w:left w:w="108" w:type="dxa"/>
            <w:bottom w:w="0" w:type="dxa"/>
            <w:right w:w="108" w:type="dxa"/>
          </w:tblCellMar>
        </w:tblPrEx>
        <w:trPr>
          <w:trHeight w:val="56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显卡类型</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集成显卡</w:t>
            </w:r>
          </w:p>
        </w:tc>
      </w:tr>
      <w:tr>
        <w:tblPrEx>
          <w:tblCellMar>
            <w:top w:w="0" w:type="dxa"/>
            <w:left w:w="108" w:type="dxa"/>
            <w:bottom w:w="0" w:type="dxa"/>
            <w:right w:w="108" w:type="dxa"/>
          </w:tblCellMar>
        </w:tblPrEx>
        <w:trPr>
          <w:trHeight w:val="54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显示屏屏占比</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≥80%</w:t>
            </w:r>
          </w:p>
        </w:tc>
      </w:tr>
      <w:tr>
        <w:tblPrEx>
          <w:tblCellMar>
            <w:top w:w="0" w:type="dxa"/>
            <w:left w:w="108" w:type="dxa"/>
            <w:bottom w:w="0" w:type="dxa"/>
            <w:right w:w="108" w:type="dxa"/>
          </w:tblCellMar>
        </w:tblPrEx>
        <w:trPr>
          <w:trHeight w:val="557"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显示屏分辨率</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≥1080P</w:t>
            </w:r>
          </w:p>
        </w:tc>
      </w:tr>
      <w:tr>
        <w:tblPrEx>
          <w:tblCellMar>
            <w:top w:w="0" w:type="dxa"/>
            <w:left w:w="108" w:type="dxa"/>
            <w:bottom w:w="0" w:type="dxa"/>
            <w:right w:w="108" w:type="dxa"/>
          </w:tblCellMar>
        </w:tblPrEx>
        <w:trPr>
          <w:trHeight w:val="55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显示屏尺寸</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≥23.8英寸</w:t>
            </w:r>
          </w:p>
        </w:tc>
      </w:tr>
      <w:tr>
        <w:tblPrEx>
          <w:tblCellMar>
            <w:top w:w="0" w:type="dxa"/>
            <w:left w:w="108" w:type="dxa"/>
            <w:bottom w:w="0" w:type="dxa"/>
            <w:right w:w="108" w:type="dxa"/>
          </w:tblCellMar>
        </w:tblPrEx>
        <w:trPr>
          <w:trHeight w:val="55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显示屏屏幕比例</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16:9或16:10</w:t>
            </w:r>
          </w:p>
        </w:tc>
      </w:tr>
      <w:tr>
        <w:tblPrEx>
          <w:tblCellMar>
            <w:top w:w="0" w:type="dxa"/>
            <w:left w:w="108" w:type="dxa"/>
            <w:bottom w:w="0" w:type="dxa"/>
            <w:right w:w="108" w:type="dxa"/>
          </w:tblCellMar>
        </w:tblPrEx>
        <w:trPr>
          <w:trHeight w:val="557"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鼠标数量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51"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键盘数量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59"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键盘连接方式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66"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鼠标连接方式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46"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有线网卡数量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554"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USB接口数量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≥8个USB接口</w:t>
            </w:r>
          </w:p>
        </w:tc>
      </w:tr>
      <w:tr>
        <w:tblPrEx>
          <w:tblCellMar>
            <w:top w:w="0" w:type="dxa"/>
            <w:left w:w="108" w:type="dxa"/>
            <w:bottom w:w="0" w:type="dxa"/>
            <w:right w:w="108" w:type="dxa"/>
          </w:tblCellMar>
        </w:tblPrEx>
        <w:trPr>
          <w:trHeight w:val="1140"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扩展接口</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 个 M.2 2230，1 个 M.2 2280，1 个 PCI，1 个 PCIe x1，1 个 PCIe 4 x16（1 个用于 WLAN 的 M.2 2230 插槽和 1 个用于存储的 M.2 2280 插槽。）</w:t>
            </w:r>
          </w:p>
        </w:tc>
      </w:tr>
      <w:tr>
        <w:tblPrEx>
          <w:tblCellMar>
            <w:top w:w="0" w:type="dxa"/>
            <w:left w:w="108" w:type="dxa"/>
            <w:bottom w:w="0" w:type="dxa"/>
            <w:right w:w="108" w:type="dxa"/>
          </w:tblCellMar>
        </w:tblPrEx>
        <w:trPr>
          <w:trHeight w:val="594"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机箱容量</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≥16L</w:t>
            </w:r>
          </w:p>
        </w:tc>
      </w:tr>
      <w:tr>
        <w:tblPrEx>
          <w:tblCellMar>
            <w:top w:w="0" w:type="dxa"/>
            <w:left w:w="108" w:type="dxa"/>
            <w:bottom w:w="0" w:type="dxa"/>
            <w:right w:w="108" w:type="dxa"/>
          </w:tblCellMar>
        </w:tblPrEx>
        <w:trPr>
          <w:trHeight w:val="546"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预装操作系统</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预装Windows11 64位版本操作系统</w:t>
            </w:r>
          </w:p>
        </w:tc>
      </w:tr>
      <w:tr>
        <w:tblPrEx>
          <w:tblCellMar>
            <w:top w:w="0" w:type="dxa"/>
            <w:left w:w="108" w:type="dxa"/>
            <w:bottom w:w="0" w:type="dxa"/>
            <w:right w:w="108" w:type="dxa"/>
          </w:tblCellMar>
        </w:tblPrEx>
        <w:trPr>
          <w:trHeight w:val="568"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电源</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≥400W内置电源</w:t>
            </w:r>
          </w:p>
        </w:tc>
      </w:tr>
      <w:tr>
        <w:tblPrEx>
          <w:tblCellMar>
            <w:top w:w="0" w:type="dxa"/>
            <w:left w:w="108" w:type="dxa"/>
            <w:bottom w:w="0" w:type="dxa"/>
            <w:right w:w="108" w:type="dxa"/>
          </w:tblCellMar>
        </w:tblPrEx>
        <w:trPr>
          <w:trHeight w:val="717"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lang w:eastAsia="zh-CN"/>
              </w:rPr>
              <w:t>机房管理软件要求</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数量要求：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单台电脑配置1个点，每台均需配置。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功能要求：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（1）支持BIOS底层对终端进行还原类型设置，支持不同时间段的自动还原及手动还原。在操作系统下支持批量设置。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（2）支持BIOS底层和操作系统两种方式下，对管理员模式、还原模式、考试模式一键自由切换</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（3）支持双模式自动连线的智能对拷功能，可设置三种不同的智能对拷模式，以及根据实际网络情况设置四种延时类型，对拷过程中用户可查看信息和状态。</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（4）支持虚拟系统快速建立功能，每个虚拟系统在BIOS底层开机启动菜单可显示到对应真实系统下，方便用户分辨虚拟系统和真实系统的所属关系，避免用户误操作。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（5）支持管理端登录超时机制</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（6）支持系统克隆功能，当需要安装多个相同系统时，无需重复多次安装操作，只需要在BIOS底层通过系统克隆功能即可完成多个系统的建立，同时可预设新克隆的系统数据还原方式。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（7）支持在操作系统下的在线考试功能，支持试卷编辑、下发试卷、开始考试、试卷查看、发送答案、试卷导出、停止考试等操作。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（8）支持系统下的随堂点名功能，显示相关信息，支持导出。</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（9）支持操作系统下的发送消息功能。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（10）支持在操作系统下的本机操作功能，提供网络设置、快速保存、快速还原、分区设置、模式管理、系统切换、系统更新、智能USB、文件粉碎等多种本机管理功能。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（11）可根据不同的终端硬件配置选择Intel集成显卡解码、NVIDIA显卡解码、DXVA2解码等多种不同的解码方式，实现最优的广播效果。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r>
        <w:tblPrEx>
          <w:tblCellMar>
            <w:top w:w="0" w:type="dxa"/>
            <w:left w:w="108" w:type="dxa"/>
            <w:bottom w:w="0" w:type="dxa"/>
            <w:right w:w="108" w:type="dxa"/>
          </w:tblCellMar>
        </w:tblPrEx>
        <w:trPr>
          <w:trHeight w:val="1140" w:hRule="atLeast"/>
          <w:jc w:val="center"/>
        </w:trPr>
        <w:tc>
          <w:tcPr>
            <w:tcW w:w="77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w:t>
            </w:r>
          </w:p>
        </w:tc>
        <w:tc>
          <w:tcPr>
            <w:tcW w:w="2193"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▲其他要求</w:t>
            </w:r>
          </w:p>
        </w:tc>
        <w:tc>
          <w:tcPr>
            <w:tcW w:w="5324"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所有部件均为原厂预装（包含显卡），非第三方独立加装。</w:t>
            </w:r>
          </w:p>
        </w:tc>
      </w:tr>
    </w:tbl>
    <w:p>
      <w:pPr>
        <w:pStyle w:val="37"/>
        <w:ind w:firstLine="420" w:firstLineChars="0"/>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sz w:val="24"/>
          <w:szCs w:val="24"/>
          <w:lang w:val="en-US"/>
        </w:rPr>
        <w:t>（四）台式电脑2</w:t>
      </w:r>
    </w:p>
    <w:tbl>
      <w:tblPr>
        <w:tblStyle w:val="29"/>
        <w:tblW w:w="8513" w:type="dxa"/>
        <w:jc w:val="center"/>
        <w:tblLayout w:type="fixed"/>
        <w:tblCellMar>
          <w:top w:w="0" w:type="dxa"/>
          <w:left w:w="108" w:type="dxa"/>
          <w:bottom w:w="0" w:type="dxa"/>
          <w:right w:w="108" w:type="dxa"/>
        </w:tblCellMar>
      </w:tblPr>
      <w:tblGrid>
        <w:gridCol w:w="724"/>
        <w:gridCol w:w="2329"/>
        <w:gridCol w:w="5460"/>
      </w:tblGrid>
      <w:tr>
        <w:tblPrEx>
          <w:tblCellMar>
            <w:top w:w="0" w:type="dxa"/>
            <w:left w:w="108" w:type="dxa"/>
            <w:bottom w:w="0" w:type="dxa"/>
            <w:right w:w="108" w:type="dxa"/>
          </w:tblCellMar>
        </w:tblPrEx>
        <w:trPr>
          <w:trHeight w:val="51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329"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指标项</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技术参数要求</w:t>
            </w:r>
          </w:p>
        </w:tc>
      </w:tr>
      <w:tr>
        <w:tblPrEx>
          <w:tblCellMar>
            <w:top w:w="0" w:type="dxa"/>
            <w:left w:w="108" w:type="dxa"/>
            <w:bottom w:w="0" w:type="dxa"/>
            <w:right w:w="108" w:type="dxa"/>
          </w:tblCellMar>
        </w:tblPrEx>
        <w:trPr>
          <w:trHeight w:val="41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CPU信息</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≥英特尔酷睿I7-13700处理器</w:t>
            </w:r>
          </w:p>
        </w:tc>
      </w:tr>
      <w:tr>
        <w:tblPrEx>
          <w:tblCellMar>
            <w:top w:w="0" w:type="dxa"/>
            <w:left w:w="108" w:type="dxa"/>
            <w:bottom w:w="0" w:type="dxa"/>
            <w:right w:w="108" w:type="dxa"/>
          </w:tblCellMar>
        </w:tblPrEx>
        <w:trPr>
          <w:trHeight w:val="41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▲内存配置容量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16</w:t>
            </w:r>
            <w:r>
              <w:rPr>
                <w:rFonts w:hint="eastAsia" w:asciiTheme="minorEastAsia" w:hAnsiTheme="minorEastAsia" w:eastAsiaTheme="minorEastAsia" w:cstheme="minorEastAsia"/>
                <w:kern w:val="2"/>
              </w:rPr>
              <w:t>GB</w:t>
            </w:r>
          </w:p>
        </w:tc>
      </w:tr>
      <w:tr>
        <w:tblPrEx>
          <w:tblCellMar>
            <w:top w:w="0" w:type="dxa"/>
            <w:left w:w="108" w:type="dxa"/>
            <w:bottom w:w="0" w:type="dxa"/>
            <w:right w:w="108" w:type="dxa"/>
          </w:tblCellMar>
        </w:tblPrEx>
        <w:trPr>
          <w:trHeight w:val="41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▲内存类型</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≥DDR5-5600</w:t>
            </w:r>
          </w:p>
        </w:tc>
      </w:tr>
      <w:tr>
        <w:tblPrEx>
          <w:tblCellMar>
            <w:top w:w="0" w:type="dxa"/>
            <w:left w:w="108" w:type="dxa"/>
            <w:bottom w:w="0" w:type="dxa"/>
            <w:right w:w="108" w:type="dxa"/>
          </w:tblCellMar>
        </w:tblPrEx>
        <w:trPr>
          <w:trHeight w:val="50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内存条配置数量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54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主板型号</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≥Intel Q系列主板670芯片组</w:t>
            </w:r>
          </w:p>
        </w:tc>
      </w:tr>
      <w:tr>
        <w:tblPrEx>
          <w:tblCellMar>
            <w:top w:w="0" w:type="dxa"/>
            <w:left w:w="108" w:type="dxa"/>
            <w:bottom w:w="0" w:type="dxa"/>
            <w:right w:w="108" w:type="dxa"/>
          </w:tblCellMar>
        </w:tblPrEx>
        <w:trPr>
          <w:trHeight w:val="56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r>
      <w:tr>
        <w:tblPrEx>
          <w:tblCellMar>
            <w:top w:w="0" w:type="dxa"/>
            <w:left w:w="108" w:type="dxa"/>
            <w:bottom w:w="0" w:type="dxa"/>
            <w:right w:w="108" w:type="dxa"/>
          </w:tblCellMar>
        </w:tblPrEx>
        <w:trPr>
          <w:trHeight w:val="70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单内存插槽最大可支持容量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≥32GB</w:t>
            </w:r>
          </w:p>
        </w:tc>
      </w:tr>
      <w:tr>
        <w:tblPrEx>
          <w:tblCellMar>
            <w:top w:w="0" w:type="dxa"/>
            <w:left w:w="108" w:type="dxa"/>
            <w:bottom w:w="0" w:type="dxa"/>
            <w:right w:w="108" w:type="dxa"/>
          </w:tblCellMar>
        </w:tblPrEx>
        <w:trPr>
          <w:trHeight w:val="118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内存插槽满配时提供的最高内存总容量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64</w:t>
            </w:r>
            <w:r>
              <w:rPr>
                <w:rFonts w:hint="eastAsia" w:asciiTheme="minorEastAsia" w:hAnsiTheme="minorEastAsia" w:eastAsiaTheme="minorEastAsia" w:cstheme="minorEastAsia"/>
                <w:kern w:val="2"/>
              </w:rPr>
              <w:t>GB</w:t>
            </w:r>
          </w:p>
        </w:tc>
      </w:tr>
      <w:tr>
        <w:tblPrEx>
          <w:tblCellMar>
            <w:top w:w="0" w:type="dxa"/>
            <w:left w:w="108" w:type="dxa"/>
            <w:bottom w:w="0" w:type="dxa"/>
            <w:right w:w="108" w:type="dxa"/>
          </w:tblCellMar>
        </w:tblPrEx>
        <w:trPr>
          <w:trHeight w:val="60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固态盘数量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5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固态存储容量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w:t>
            </w:r>
            <w:r>
              <w:rPr>
                <w:rFonts w:hint="eastAsia" w:asciiTheme="minorEastAsia" w:hAnsiTheme="minorEastAsia" w:eastAsiaTheme="minorEastAsia" w:cstheme="minorEastAsia"/>
                <w:kern w:val="2"/>
              </w:rPr>
              <w:t>TB</w:t>
            </w:r>
          </w:p>
        </w:tc>
      </w:tr>
      <w:tr>
        <w:tblPrEx>
          <w:tblCellMar>
            <w:top w:w="0" w:type="dxa"/>
            <w:left w:w="108" w:type="dxa"/>
            <w:bottom w:w="0" w:type="dxa"/>
            <w:right w:w="108" w:type="dxa"/>
          </w:tblCellMar>
        </w:tblPrEx>
        <w:trPr>
          <w:trHeight w:val="56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机械硬盘数量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0</w:t>
            </w:r>
            <w:r>
              <w:rPr>
                <w:rFonts w:hint="eastAsia" w:asciiTheme="minorEastAsia" w:hAnsiTheme="minorEastAsia" w:eastAsiaTheme="minorEastAsia" w:cstheme="minorEastAsia"/>
                <w:kern w:val="2"/>
              </w:rPr>
              <w:t>个</w:t>
            </w:r>
          </w:p>
        </w:tc>
      </w:tr>
      <w:tr>
        <w:tblPrEx>
          <w:tblCellMar>
            <w:top w:w="0" w:type="dxa"/>
            <w:left w:w="108" w:type="dxa"/>
            <w:bottom w:w="0" w:type="dxa"/>
            <w:right w:w="108" w:type="dxa"/>
          </w:tblCellMar>
        </w:tblPrEx>
        <w:trPr>
          <w:trHeight w:val="54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固态存储形态</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采用插卡形态，M.2NVMe接口</w:t>
            </w:r>
          </w:p>
        </w:tc>
      </w:tr>
      <w:tr>
        <w:tblPrEx>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显卡类型</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集成显卡</w:t>
            </w:r>
          </w:p>
        </w:tc>
      </w:tr>
      <w:tr>
        <w:tblPrEx>
          <w:tblCellMar>
            <w:top w:w="0" w:type="dxa"/>
            <w:left w:w="108" w:type="dxa"/>
            <w:bottom w:w="0" w:type="dxa"/>
            <w:right w:w="108" w:type="dxa"/>
          </w:tblCellMar>
        </w:tblPrEx>
        <w:trPr>
          <w:trHeight w:val="56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显示屏屏占比</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≥80%</w:t>
            </w:r>
          </w:p>
        </w:tc>
      </w:tr>
      <w:tr>
        <w:tblPrEx>
          <w:tblCellMar>
            <w:top w:w="0" w:type="dxa"/>
            <w:left w:w="108" w:type="dxa"/>
            <w:bottom w:w="0" w:type="dxa"/>
            <w:right w:w="108" w:type="dxa"/>
          </w:tblCellMar>
        </w:tblPrEx>
        <w:trPr>
          <w:trHeight w:val="55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显示屏分辨率</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≥1080P</w:t>
            </w:r>
          </w:p>
        </w:tc>
      </w:tr>
      <w:tr>
        <w:tblPrEx>
          <w:tblCellMar>
            <w:top w:w="0" w:type="dxa"/>
            <w:left w:w="108" w:type="dxa"/>
            <w:bottom w:w="0" w:type="dxa"/>
            <w:right w:w="108" w:type="dxa"/>
          </w:tblCellMar>
        </w:tblPrEx>
        <w:trPr>
          <w:trHeight w:val="55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显示屏尺寸</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≥23.8英寸</w:t>
            </w:r>
          </w:p>
        </w:tc>
      </w:tr>
      <w:tr>
        <w:tblPrEx>
          <w:tblCellMar>
            <w:top w:w="0" w:type="dxa"/>
            <w:left w:w="108" w:type="dxa"/>
            <w:bottom w:w="0" w:type="dxa"/>
            <w:right w:w="108" w:type="dxa"/>
          </w:tblCellMar>
        </w:tblPrEx>
        <w:trPr>
          <w:trHeight w:val="55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显示屏屏幕比例</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16:9或16:10</w:t>
            </w:r>
          </w:p>
        </w:tc>
      </w:tr>
      <w:tr>
        <w:tblPrEx>
          <w:tblCellMar>
            <w:top w:w="0" w:type="dxa"/>
            <w:left w:w="108" w:type="dxa"/>
            <w:bottom w:w="0" w:type="dxa"/>
            <w:right w:w="108" w:type="dxa"/>
          </w:tblCellMar>
        </w:tblPrEx>
        <w:trPr>
          <w:trHeight w:val="55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6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5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键盘连接方式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6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鼠标连接方式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5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有线网卡数量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USB接口数量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≥9个USB接口</w:t>
            </w:r>
          </w:p>
        </w:tc>
      </w:tr>
      <w:tr>
        <w:tblPrEx>
          <w:tblCellMar>
            <w:top w:w="0" w:type="dxa"/>
            <w:left w:w="108" w:type="dxa"/>
            <w:bottom w:w="0" w:type="dxa"/>
            <w:right w:w="108" w:type="dxa"/>
          </w:tblCellMar>
        </w:tblPrEx>
        <w:trPr>
          <w:trHeight w:val="41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扩展接口</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 个 M.2 2230，1 个 M.2 2280，1 个 PCI，1 个 PCIe x1，1 个 PCIe 4 x16（1 个用于 WLAN 的 M.2 2230 插槽和 1 个用于存储的 M.2 2280 插槽。）</w:t>
            </w:r>
          </w:p>
        </w:tc>
      </w:tr>
      <w:tr>
        <w:tblPrEx>
          <w:tblCellMar>
            <w:top w:w="0" w:type="dxa"/>
            <w:left w:w="108" w:type="dxa"/>
            <w:bottom w:w="0" w:type="dxa"/>
            <w:right w:w="108" w:type="dxa"/>
          </w:tblCellMar>
        </w:tblPrEx>
        <w:trPr>
          <w:trHeight w:val="49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机箱容量</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≥16L</w:t>
            </w:r>
          </w:p>
        </w:tc>
      </w:tr>
      <w:tr>
        <w:tblPrEx>
          <w:tblCellMar>
            <w:top w:w="0" w:type="dxa"/>
            <w:left w:w="108" w:type="dxa"/>
            <w:bottom w:w="0" w:type="dxa"/>
            <w:right w:w="108" w:type="dxa"/>
          </w:tblCellMar>
        </w:tblPrEx>
        <w:trPr>
          <w:trHeight w:val="5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预装操作系统</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出厂预装win11 正版系统</w:t>
            </w:r>
          </w:p>
        </w:tc>
      </w:tr>
      <w:tr>
        <w:tblPrEx>
          <w:tblCellMar>
            <w:top w:w="0" w:type="dxa"/>
            <w:left w:w="108" w:type="dxa"/>
            <w:bottom w:w="0" w:type="dxa"/>
            <w:right w:w="108" w:type="dxa"/>
          </w:tblCellMar>
        </w:tblPrEx>
        <w:trPr>
          <w:trHeight w:val="56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电源</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400</w:t>
            </w:r>
            <w:r>
              <w:rPr>
                <w:rFonts w:hint="eastAsia" w:asciiTheme="minorEastAsia" w:hAnsiTheme="minorEastAsia" w:eastAsiaTheme="minorEastAsia" w:cstheme="minorEastAsia"/>
                <w:kern w:val="2"/>
              </w:rPr>
              <w:t>W内置电源</w:t>
            </w:r>
          </w:p>
        </w:tc>
      </w:tr>
      <w:tr>
        <w:tblPrEx>
          <w:tblCellMar>
            <w:top w:w="0" w:type="dxa"/>
            <w:left w:w="108" w:type="dxa"/>
            <w:bottom w:w="0" w:type="dxa"/>
            <w:right w:w="108" w:type="dxa"/>
          </w:tblCellMar>
        </w:tblPrEx>
        <w:trPr>
          <w:trHeight w:val="67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机房管理软件要求</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数量要求：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单台电脑配置1个点，每台均需配置。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功能要求：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（1）支持BIOS底层对终端进行还原类型设置，支持不同时间段的自动还原及手动还原。在操作系统下支持批量设置。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（2）支持BIOS底层和操作系统两种方式下，对管理员模式、还原模式、考试模式一键自由切换</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（3）支持双模式自动连线的智能对拷功能，可设置三种不同的智能对拷模式，以及根据实际网络情况设置四种延时类型，对拷过程中用户可查看信息和状态。</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（4）支持虚拟系统快速建立功能，每个虚拟系统在BIOS底层开机启动菜单可显示到对应真实系统下，方便用户分辨虚拟系统和真实系统的所属关系，避免用户误操作。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（5）支持管理端登录超时机制</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（6）支持系统克隆功能，当需要安装多个相同系统时，无需重复多次安装操作，只需要在BIOS底层通过系统克隆功能即可完成多个系统的建立，同时可预设新克隆的系统数据还原方式。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（7）支持在操作系统下的在线考试功能，支持试卷编辑、下发试卷、开始考试、试卷查看、发送答案、试卷导出、停止考试等操作。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（8）支持系统下的随堂点名功能，显示相关信息，支持导出。</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（9）支持操作系统下的发送消息功能。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（10）支持在操作系统下的本机操作功能，提供网络设置、快速保存、快速还原、分区设置、模式管理、系统切换、系统更新、智能USB、文件粉碎等多种本机管理功能。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（11）可根据不同的终端硬件配置选择Intel集成显卡解码、NVIDIA显卡解码、DXVA2解码等多种不同的解码方式，实现最优的广播效果。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r>
        <w:tblPrEx>
          <w:tblCellMar>
            <w:top w:w="0" w:type="dxa"/>
            <w:left w:w="108" w:type="dxa"/>
            <w:bottom w:w="0" w:type="dxa"/>
            <w:right w:w="108" w:type="dxa"/>
          </w:tblCellMar>
        </w:tblPrEx>
        <w:trPr>
          <w:trHeight w:val="67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w:t>
            </w:r>
          </w:p>
        </w:tc>
        <w:tc>
          <w:tcPr>
            <w:tcW w:w="2329"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kern w:val="2"/>
              </w:rPr>
              <w:t>▲</w:t>
            </w:r>
            <w:r>
              <w:rPr>
                <w:rFonts w:hint="eastAsia" w:asciiTheme="minorEastAsia" w:hAnsiTheme="minorEastAsia" w:eastAsiaTheme="minorEastAsia" w:cstheme="minorEastAsia"/>
                <w:sz w:val="24"/>
                <w:szCs w:val="24"/>
                <w:lang w:eastAsia="zh-CN"/>
              </w:rPr>
              <w:t>其他要求</w:t>
            </w:r>
          </w:p>
        </w:tc>
        <w:tc>
          <w:tcPr>
            <w:tcW w:w="5460"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所有部件均为原厂预装（包含显卡），非第三方独立加装。</w:t>
            </w:r>
          </w:p>
        </w:tc>
      </w:tr>
    </w:tbl>
    <w:p>
      <w:pPr>
        <w:pStyle w:val="37"/>
        <w:ind w:firstLine="420" w:firstLineChars="0"/>
        <w:rPr>
          <w:rFonts w:hint="eastAsia" w:asciiTheme="minorEastAsia" w:hAnsiTheme="minorEastAsia" w:eastAsiaTheme="minorEastAsia" w:cstheme="minorEastAsia"/>
          <w:b/>
          <w:bCs/>
          <w:sz w:val="24"/>
          <w:szCs w:val="24"/>
          <w:lang w:val="en-US"/>
        </w:rPr>
      </w:pPr>
      <w:r>
        <w:rPr>
          <w:rFonts w:hint="eastAsia" w:asciiTheme="minorEastAsia" w:hAnsiTheme="minorEastAsia" w:eastAsiaTheme="minorEastAsia" w:cstheme="minorEastAsia"/>
          <w:b/>
          <w:bCs/>
          <w:sz w:val="24"/>
          <w:szCs w:val="24"/>
          <w:lang w:val="en-US"/>
        </w:rPr>
        <w:t>（五）台式电脑3</w:t>
      </w:r>
    </w:p>
    <w:tbl>
      <w:tblPr>
        <w:tblStyle w:val="29"/>
        <w:tblW w:w="8512" w:type="dxa"/>
        <w:jc w:val="center"/>
        <w:tblLayout w:type="fixed"/>
        <w:tblCellMar>
          <w:top w:w="0" w:type="dxa"/>
          <w:left w:w="108" w:type="dxa"/>
          <w:bottom w:w="0" w:type="dxa"/>
          <w:right w:w="108" w:type="dxa"/>
        </w:tblCellMar>
      </w:tblPr>
      <w:tblGrid>
        <w:gridCol w:w="724"/>
        <w:gridCol w:w="2327"/>
        <w:gridCol w:w="5461"/>
      </w:tblGrid>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2327"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指标项</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技术参数要求</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CPU信息</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≥Ultra 7 265处理器（1.8 GHz基础频率、30 MB 三级高速缓存、 20核、20条线程）</w:t>
            </w:r>
          </w:p>
        </w:tc>
      </w:tr>
      <w:tr>
        <w:tblPrEx>
          <w:tblCellMar>
            <w:top w:w="0" w:type="dxa"/>
            <w:left w:w="108" w:type="dxa"/>
            <w:bottom w:w="0" w:type="dxa"/>
            <w:right w:w="108" w:type="dxa"/>
          </w:tblCellMar>
        </w:tblPrEx>
        <w:trPr>
          <w:trHeight w:val="54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▲内存配置容量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≥32GB</w:t>
            </w:r>
          </w:p>
        </w:tc>
      </w:tr>
      <w:tr>
        <w:tblPrEx>
          <w:tblCellMar>
            <w:top w:w="0" w:type="dxa"/>
            <w:left w:w="108" w:type="dxa"/>
            <w:bottom w:w="0" w:type="dxa"/>
            <w:right w:w="108" w:type="dxa"/>
          </w:tblCellMar>
        </w:tblPrEx>
        <w:trPr>
          <w:trHeight w:val="55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▲内存类型</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≥DDR5-5600</w:t>
            </w:r>
          </w:p>
        </w:tc>
      </w:tr>
      <w:tr>
        <w:tblPrEx>
          <w:tblCellMar>
            <w:top w:w="0" w:type="dxa"/>
            <w:left w:w="108" w:type="dxa"/>
            <w:bottom w:w="0" w:type="dxa"/>
            <w:right w:w="108" w:type="dxa"/>
          </w:tblCellMar>
        </w:tblPrEx>
        <w:trPr>
          <w:trHeight w:val="56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4</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内存条配置数量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5</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主板型号</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≥英特尔® W880芯片组；</w:t>
            </w:r>
          </w:p>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自带USB屏蔽技术（非第三方加装）</w:t>
            </w:r>
          </w:p>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集成BIOS版还原卡功能</w:t>
            </w:r>
          </w:p>
        </w:tc>
      </w:tr>
      <w:tr>
        <w:tblPrEx>
          <w:tblCellMar>
            <w:top w:w="0" w:type="dxa"/>
            <w:left w:w="108" w:type="dxa"/>
            <w:bottom w:w="0" w:type="dxa"/>
            <w:right w:w="108" w:type="dxa"/>
          </w:tblCellMar>
        </w:tblPrEx>
        <w:trPr>
          <w:trHeight w:val="61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6</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内存插槽数量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7</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单内存插槽最大可支持容量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≥32GB</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8</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内存插槽满配时提供的最高内存总容量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≥128GB</w:t>
            </w:r>
          </w:p>
        </w:tc>
      </w:tr>
      <w:tr>
        <w:tblPrEx>
          <w:tblCellMar>
            <w:top w:w="0" w:type="dxa"/>
            <w:left w:w="108" w:type="dxa"/>
            <w:bottom w:w="0" w:type="dxa"/>
            <w:right w:w="108" w:type="dxa"/>
          </w:tblCellMar>
        </w:tblPrEx>
        <w:trPr>
          <w:trHeight w:val="60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9</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固态盘数量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6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10</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固态存储容量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≥1TB</w:t>
            </w:r>
          </w:p>
        </w:tc>
      </w:tr>
      <w:tr>
        <w:tblPrEx>
          <w:tblCellMar>
            <w:top w:w="0" w:type="dxa"/>
            <w:left w:w="108" w:type="dxa"/>
            <w:bottom w:w="0" w:type="dxa"/>
            <w:right w:w="108" w:type="dxa"/>
          </w:tblCellMar>
        </w:tblPrEx>
        <w:trPr>
          <w:trHeight w:val="545"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11</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机械硬盘数量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≥0个</w:t>
            </w:r>
          </w:p>
        </w:tc>
      </w:tr>
      <w:tr>
        <w:tblPrEx>
          <w:tblCellMar>
            <w:top w:w="0" w:type="dxa"/>
            <w:left w:w="108" w:type="dxa"/>
            <w:bottom w:w="0" w:type="dxa"/>
            <w:right w:w="108" w:type="dxa"/>
          </w:tblCellMar>
        </w:tblPrEx>
        <w:trPr>
          <w:trHeight w:val="56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12</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固态存储形态</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采用插卡形态，M.2，NVMe接口</w:t>
            </w:r>
          </w:p>
        </w:tc>
      </w:tr>
      <w:tr>
        <w:tblPrEx>
          <w:tblCellMar>
            <w:top w:w="0" w:type="dxa"/>
            <w:left w:w="108" w:type="dxa"/>
            <w:bottom w:w="0" w:type="dxa"/>
            <w:right w:w="108" w:type="dxa"/>
          </w:tblCellMar>
        </w:tblPrEx>
        <w:trPr>
          <w:trHeight w:val="57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13</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显卡类型</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≥NVIDIA RTX 5060 8GB显存独立显卡</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14</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独立显卡显存容量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显存容量≥8GB</w:t>
            </w:r>
          </w:p>
        </w:tc>
      </w:tr>
      <w:tr>
        <w:tblPrEx>
          <w:tblCellMar>
            <w:top w:w="0" w:type="dxa"/>
            <w:left w:w="108" w:type="dxa"/>
            <w:bottom w:w="0" w:type="dxa"/>
            <w:right w:w="108" w:type="dxa"/>
          </w:tblCellMar>
        </w:tblPrEx>
        <w:trPr>
          <w:trHeight w:val="55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15</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显示屏屏占比</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≥80%</w:t>
            </w:r>
          </w:p>
        </w:tc>
      </w:tr>
      <w:tr>
        <w:tblPrEx>
          <w:tblCellMar>
            <w:top w:w="0" w:type="dxa"/>
            <w:left w:w="108" w:type="dxa"/>
            <w:bottom w:w="0" w:type="dxa"/>
            <w:right w:w="108" w:type="dxa"/>
          </w:tblCellMar>
        </w:tblPrEx>
        <w:trPr>
          <w:trHeight w:val="558"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16</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显示屏分辨率</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≥1080P</w:t>
            </w:r>
          </w:p>
        </w:tc>
      </w:tr>
      <w:tr>
        <w:tblPrEx>
          <w:tblCellMar>
            <w:top w:w="0" w:type="dxa"/>
            <w:left w:w="108" w:type="dxa"/>
            <w:bottom w:w="0" w:type="dxa"/>
            <w:right w:w="108" w:type="dxa"/>
          </w:tblCellMar>
        </w:tblPrEx>
        <w:trPr>
          <w:trHeight w:val="567"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17</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显示屏尺寸</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≥23.8英寸</w:t>
            </w:r>
          </w:p>
        </w:tc>
      </w:tr>
      <w:tr>
        <w:tblPrEx>
          <w:tblCellMar>
            <w:top w:w="0" w:type="dxa"/>
            <w:left w:w="108" w:type="dxa"/>
            <w:bottom w:w="0" w:type="dxa"/>
            <w:right w:w="108" w:type="dxa"/>
          </w:tblCellMar>
        </w:tblPrEx>
        <w:trPr>
          <w:trHeight w:val="54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18</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显示屏屏幕比例</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16:9 或16:10</w:t>
            </w:r>
          </w:p>
        </w:tc>
      </w:tr>
      <w:tr>
        <w:tblPrEx>
          <w:tblCellMar>
            <w:top w:w="0" w:type="dxa"/>
            <w:left w:w="108" w:type="dxa"/>
            <w:bottom w:w="0" w:type="dxa"/>
            <w:right w:w="108" w:type="dxa"/>
          </w:tblCellMar>
        </w:tblPrEx>
        <w:trPr>
          <w:trHeight w:val="55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19</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鼠标数量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63"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20</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键盘数量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tblCellMar>
            <w:top w:w="0" w:type="dxa"/>
            <w:left w:w="108" w:type="dxa"/>
            <w:bottom w:w="0" w:type="dxa"/>
            <w:right w:w="108" w:type="dxa"/>
          </w:tblCellMar>
        </w:tblPrEx>
        <w:trPr>
          <w:trHeight w:val="556"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21</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键盘连接方式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51"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22</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鼠标连接方式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有线或无线</w:t>
            </w:r>
          </w:p>
        </w:tc>
      </w:tr>
      <w:tr>
        <w:tblPrEx>
          <w:tblCellMar>
            <w:top w:w="0" w:type="dxa"/>
            <w:left w:w="108" w:type="dxa"/>
            <w:bottom w:w="0" w:type="dxa"/>
            <w:right w:w="108" w:type="dxa"/>
          </w:tblCellMar>
        </w:tblPrEx>
        <w:trPr>
          <w:trHeight w:val="559"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23</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有线网卡数量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r>
      <w:tr>
        <w:tblPrEx>
          <w:tblCellMar>
            <w:top w:w="0" w:type="dxa"/>
            <w:left w:w="108" w:type="dxa"/>
            <w:bottom w:w="0" w:type="dxa"/>
            <w:right w:w="108" w:type="dxa"/>
          </w:tblCellMar>
        </w:tblPrEx>
        <w:trPr>
          <w:trHeight w:val="552"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24</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USB接口数量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≥11个USB接口</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25</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扩展接口</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≥2个M.2 2280 PCIe 4 x4，1个用于WLAN的M.2 2230，1个M.2 2280 PCIe 5 x4，1个PCIe 4 x1（x4接口），1个PCIe 4 x4（x16接口），1个PCIe 4 x4，1个PCIe 5x16；</w:t>
            </w:r>
          </w:p>
        </w:tc>
      </w:tr>
      <w:tr>
        <w:tblPrEx>
          <w:tblCellMar>
            <w:top w:w="0" w:type="dxa"/>
            <w:left w:w="108" w:type="dxa"/>
            <w:bottom w:w="0" w:type="dxa"/>
            <w:right w:w="108" w:type="dxa"/>
          </w:tblCellMar>
        </w:tblPrEx>
        <w:trPr>
          <w:trHeight w:val="72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26</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机箱容量</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≥29L</w:t>
            </w:r>
          </w:p>
        </w:tc>
      </w:tr>
      <w:tr>
        <w:tblPrEx>
          <w:tblCellMar>
            <w:top w:w="0" w:type="dxa"/>
            <w:left w:w="108" w:type="dxa"/>
            <w:bottom w:w="0" w:type="dxa"/>
            <w:right w:w="108" w:type="dxa"/>
          </w:tblCellMar>
        </w:tblPrEx>
        <w:trPr>
          <w:trHeight w:val="700"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27</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预装操作系统</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出厂预装win11 正版系统</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28</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电源</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≥1200W内置电源</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29</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lang w:eastAsia="zh-CN"/>
              </w:rPr>
              <w:t>机房管理软件要求</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数量要求：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单台电脑配置1个点，每台均需配置。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功能要求：</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（1）支持BIOS底层对终端进行还原类型设置，支持不同时间段的自动还原及手动还原。在操作系统下支持批量设置。</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（2）支持BIOS底层和操作系统两种方式下，对管理员模式、还原模式、考试模式一键自由切换</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（3）支持双模式自动连线的智能对拷功能，可设置三种不同的智能对拷模式，以及根据实际网络情况设置四种延时类型，对拷过程中用户可查看信息和状态。</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（4）支持虚拟系统快速建立功能，每个虚拟系统在BIOS底层开机启动菜单可显示到对应真实系统下，方便用户分辨虚拟系统和真实系统的所属关系，避免用户误操作。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（5）支持管理端登录超时机制</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（6）支持系统克隆功能，当需要安装多个相同系统时，无需重复多次安装操作，只需要在BIOS底层通过系统克隆功能即可完成多个系统的建立，同时可预设新克隆的系统数据还原方式。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（7）支持在操作系统下的在线考试功能，支持试卷编辑、下发试卷、开始考试、试卷查看、发送答案、试卷导出、停止考试等操作。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（8）支持系统下的随堂点名功能，显示相关信息，支持导出。</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（9）支持操作系统下的发送消息功能。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（10）支持在操作系统下的本机操作功能，提供网络设置、快速保存、快速还原、分区设置、模式管理、系统切换、系统更新、智能USB、文件粉碎等多种本机管理功能。</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（11）可根据不同的终端硬件配置选择Intel集成显卡解码、NVIDIA显卡解码、DXVA2解码等多种不同的解码方式，实现最优的广播效果。</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p>
          <w:p>
            <w:pPr>
              <w:pStyle w:val="59"/>
              <w:spacing w:line="240" w:lineRule="auto"/>
              <w:ind w:firstLine="0" w:firstLineChars="0"/>
              <w:jc w:val="left"/>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13）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p>
        </w:tc>
      </w:tr>
      <w:tr>
        <w:tblPrEx>
          <w:tblCellMar>
            <w:top w:w="0" w:type="dxa"/>
            <w:left w:w="108" w:type="dxa"/>
            <w:bottom w:w="0" w:type="dxa"/>
            <w:right w:w="108" w:type="dxa"/>
          </w:tblCellMar>
        </w:tblPrEx>
        <w:trPr>
          <w:trHeight w:val="684" w:hRule="atLeast"/>
          <w:jc w:val="center"/>
        </w:trPr>
        <w:tc>
          <w:tcPr>
            <w:tcW w:w="724" w:type="dxa"/>
            <w:tcBorders>
              <w:top w:val="single" w:color="auto" w:sz="4" w:space="0"/>
              <w:left w:val="single" w:color="auto" w:sz="4" w:space="0"/>
              <w:bottom w:val="single" w:color="auto" w:sz="4" w:space="0"/>
              <w:right w:val="single" w:color="auto" w:sz="4" w:space="0"/>
            </w:tcBorders>
            <w:vAlign w:val="center"/>
          </w:tcPr>
          <w:p>
            <w:pPr>
              <w:pStyle w:val="81"/>
              <w:ind w:firstLine="0" w:firstLineChars="0"/>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30</w:t>
            </w:r>
          </w:p>
        </w:tc>
        <w:tc>
          <w:tcPr>
            <w:tcW w:w="2327" w:type="dxa"/>
            <w:tcBorders>
              <w:top w:val="single" w:color="auto" w:sz="4" w:space="0"/>
              <w:left w:val="single" w:color="auto" w:sz="4" w:space="0"/>
              <w:bottom w:val="single" w:color="auto" w:sz="4" w:space="0"/>
              <w:right w:val="single" w:color="auto" w:sz="4" w:space="0"/>
            </w:tcBorders>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▲其他要求</w:t>
            </w:r>
          </w:p>
        </w:tc>
        <w:tc>
          <w:tcPr>
            <w:tcW w:w="5461" w:type="dxa"/>
            <w:tcBorders>
              <w:top w:val="single" w:color="auto" w:sz="4" w:space="0"/>
              <w:left w:val="single" w:color="auto" w:sz="4" w:space="0"/>
              <w:bottom w:val="single" w:color="auto" w:sz="4" w:space="0"/>
              <w:right w:val="single" w:color="auto" w:sz="4" w:space="0"/>
            </w:tcBorders>
            <w:shd w:val="clear" w:color="000000" w:fill="auto"/>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所有部件均为原厂预装（包含显卡），非第三方独立加装。</w:t>
            </w:r>
          </w:p>
        </w:tc>
      </w:tr>
    </w:tbl>
    <w:p>
      <w:pPr>
        <w:pStyle w:val="4"/>
        <w:rPr>
          <w:rFonts w:hint="default" w:ascii="Times New Roman" w:hAnsi="Times New Roman"/>
        </w:rPr>
      </w:pPr>
      <w:r>
        <w:rPr>
          <w:rFonts w:hint="eastAsia" w:ascii="Times New Roman" w:hAnsi="Times New Roman"/>
        </w:rPr>
        <w:t>（六）信创电脑</w:t>
      </w:r>
      <w:r>
        <w:rPr>
          <w:rFonts w:hint="default" w:ascii="Times New Roman" w:hAnsi="Times New Roman"/>
        </w:rPr>
        <w:t>　　</w:t>
      </w:r>
    </w:p>
    <w:tbl>
      <w:tblPr>
        <w:tblStyle w:val="29"/>
        <w:tblW w:w="8317" w:type="dxa"/>
        <w:jc w:val="center"/>
        <w:shd w:val="clear" w:color="auto" w:fill="FFFFFF"/>
        <w:tblLayout w:type="fixed"/>
        <w:tblCellMar>
          <w:top w:w="0" w:type="dxa"/>
          <w:left w:w="108" w:type="dxa"/>
          <w:bottom w:w="0" w:type="dxa"/>
          <w:right w:w="108" w:type="dxa"/>
        </w:tblCellMar>
      </w:tblPr>
      <w:tblGrid>
        <w:gridCol w:w="846"/>
        <w:gridCol w:w="2126"/>
        <w:gridCol w:w="5345"/>
      </w:tblGrid>
      <w:tr>
        <w:tblPrEx>
          <w:tblCellMar>
            <w:top w:w="0" w:type="dxa"/>
            <w:left w:w="108" w:type="dxa"/>
            <w:bottom w:w="0" w:type="dxa"/>
            <w:right w:w="108" w:type="dxa"/>
          </w:tblCellMar>
        </w:tblPrEx>
        <w:trPr>
          <w:trHeight w:val="555" w:hRule="atLeast"/>
          <w:tblHeade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序号</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指标项</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技术参数要求</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CPU信息</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≥Hygon3350同性能及以上，主频≥3.0GHz、物理核心数≥8核、末级缓存容量≥16MB、线程数≥16、热设计功耗≤65W、支持内存的最高速率≥2666MT/s、通道数≥2、位宽≥64位；</w:t>
            </w:r>
          </w:p>
        </w:tc>
      </w:tr>
      <w:tr>
        <w:tblPrEx>
          <w:shd w:val="clear" w:color="auto" w:fill="FFFFFF"/>
          <w:tblCellMar>
            <w:top w:w="0" w:type="dxa"/>
            <w:left w:w="108" w:type="dxa"/>
            <w:bottom w:w="0" w:type="dxa"/>
            <w:right w:w="108" w:type="dxa"/>
          </w:tblCellMar>
        </w:tblPrEx>
        <w:trPr>
          <w:trHeight w:val="521"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▲内存配置容量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≥16GB DDR4 3200 UDIMM</w:t>
            </w:r>
          </w:p>
        </w:tc>
      </w:tr>
      <w:tr>
        <w:tblPrEx>
          <w:shd w:val="clear" w:color="auto" w:fill="FFFFFF"/>
          <w:tblCellMar>
            <w:top w:w="0" w:type="dxa"/>
            <w:left w:w="108" w:type="dxa"/>
            <w:bottom w:w="0" w:type="dxa"/>
            <w:right w:w="108" w:type="dxa"/>
          </w:tblCellMar>
        </w:tblPrEx>
        <w:trPr>
          <w:trHeight w:val="557"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▲内存类型</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DDR4</w:t>
            </w:r>
          </w:p>
        </w:tc>
      </w:tr>
      <w:tr>
        <w:tblPrEx>
          <w:shd w:val="clear" w:color="auto" w:fill="FFFFFF"/>
          <w:tblCellMar>
            <w:top w:w="0" w:type="dxa"/>
            <w:left w:w="108" w:type="dxa"/>
            <w:bottom w:w="0" w:type="dxa"/>
            <w:right w:w="108" w:type="dxa"/>
          </w:tblCellMar>
        </w:tblPrEx>
        <w:trPr>
          <w:trHeight w:val="55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▲内存条配置数量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r>
      <w:tr>
        <w:tblPrEx>
          <w:shd w:val="clear" w:color="auto" w:fill="FFFFFF"/>
          <w:tblCellMar>
            <w:top w:w="0" w:type="dxa"/>
            <w:left w:w="108" w:type="dxa"/>
            <w:bottom w:w="0" w:type="dxa"/>
            <w:right w:w="108" w:type="dxa"/>
          </w:tblCellMar>
        </w:tblPrEx>
        <w:trPr>
          <w:trHeight w:val="552"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▲固态盘数量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shd w:val="clear" w:color="auto" w:fill="FFFFFF"/>
          <w:tblCellMar>
            <w:top w:w="0" w:type="dxa"/>
            <w:left w:w="108" w:type="dxa"/>
            <w:bottom w:w="0" w:type="dxa"/>
            <w:right w:w="108" w:type="dxa"/>
          </w:tblCellMar>
        </w:tblPrEx>
        <w:trPr>
          <w:trHeight w:val="672"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固态存储容量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≥512GB</w:t>
            </w:r>
          </w:p>
        </w:tc>
      </w:tr>
      <w:tr>
        <w:tblPrEx>
          <w:shd w:val="clear" w:color="auto" w:fill="FFFFFF"/>
          <w:tblCellMar>
            <w:top w:w="0" w:type="dxa"/>
            <w:left w:w="108" w:type="dxa"/>
            <w:bottom w:w="0" w:type="dxa"/>
            <w:right w:w="108" w:type="dxa"/>
          </w:tblCellMar>
        </w:tblPrEx>
        <w:trPr>
          <w:trHeight w:val="56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▲机械硬盘数量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≥1个</w:t>
            </w:r>
          </w:p>
        </w:tc>
      </w:tr>
      <w:tr>
        <w:tblPrEx>
          <w:shd w:val="clear" w:color="auto" w:fill="FFFFFF"/>
          <w:tblCellMar>
            <w:top w:w="0" w:type="dxa"/>
            <w:left w:w="108" w:type="dxa"/>
            <w:bottom w:w="0" w:type="dxa"/>
            <w:right w:w="108" w:type="dxa"/>
          </w:tblCellMar>
        </w:tblPrEx>
        <w:trPr>
          <w:trHeight w:val="56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机械硬盘总容量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≥1TB</w:t>
            </w:r>
          </w:p>
        </w:tc>
      </w:tr>
      <w:tr>
        <w:tblPrEx>
          <w:shd w:val="clear" w:color="auto" w:fill="FFFFFF"/>
          <w:tblCellMar>
            <w:top w:w="0" w:type="dxa"/>
            <w:left w:w="108" w:type="dxa"/>
            <w:bottom w:w="0" w:type="dxa"/>
            <w:right w:w="108" w:type="dxa"/>
          </w:tblCellMar>
        </w:tblPrEx>
        <w:trPr>
          <w:trHeight w:val="54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▲机械硬盘转速</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≥7200rpm</w:t>
            </w:r>
          </w:p>
        </w:tc>
      </w:tr>
      <w:tr>
        <w:tblPrEx>
          <w:shd w:val="clear" w:color="auto" w:fill="FFFFFF"/>
          <w:tblCellMar>
            <w:top w:w="0" w:type="dxa"/>
            <w:left w:w="108" w:type="dxa"/>
            <w:bottom w:w="0" w:type="dxa"/>
            <w:right w:w="108" w:type="dxa"/>
          </w:tblCellMar>
        </w:tblPrEx>
        <w:trPr>
          <w:trHeight w:val="547"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▲固态存储形态</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采用插卡形态，M.2NVMe接口</w:t>
            </w:r>
          </w:p>
        </w:tc>
      </w:tr>
      <w:tr>
        <w:tblPrEx>
          <w:shd w:val="clear" w:color="auto" w:fill="FFFFFF"/>
          <w:tblCellMar>
            <w:top w:w="0" w:type="dxa"/>
            <w:left w:w="108" w:type="dxa"/>
            <w:bottom w:w="0" w:type="dxa"/>
            <w:right w:w="108" w:type="dxa"/>
          </w:tblCellMar>
        </w:tblPrEx>
        <w:trPr>
          <w:trHeight w:val="569"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显卡类型</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独立显卡，支持VGA+HDMI视频输出显示</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独立显卡显存容量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显存容量≥2GB</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13</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显示屏可 视角度</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水平≥178°</w:t>
            </w:r>
          </w:p>
        </w:tc>
      </w:tr>
      <w:tr>
        <w:tblPrEx>
          <w:shd w:val="clear" w:color="auto" w:fill="FFFFFF"/>
          <w:tblCellMar>
            <w:top w:w="0" w:type="dxa"/>
            <w:left w:w="108" w:type="dxa"/>
            <w:bottom w:w="0" w:type="dxa"/>
            <w:right w:w="108" w:type="dxa"/>
          </w:tblCellMar>
        </w:tblPrEx>
        <w:trPr>
          <w:trHeight w:val="48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14</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 屏占比</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≥90%</w:t>
            </w:r>
          </w:p>
        </w:tc>
      </w:tr>
      <w:tr>
        <w:tblPrEx>
          <w:shd w:val="clear" w:color="auto" w:fill="FFFFFF"/>
          <w:tblCellMar>
            <w:top w:w="0" w:type="dxa"/>
            <w:left w:w="108" w:type="dxa"/>
            <w:bottom w:w="0" w:type="dxa"/>
            <w:right w:w="108" w:type="dxa"/>
          </w:tblCellMar>
        </w:tblPrEx>
        <w:trPr>
          <w:trHeight w:val="486"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15</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显示屏分辨率</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2560</w:t>
            </w:r>
            <w:r>
              <w:rPr>
                <w:rFonts w:hint="eastAsia" w:asciiTheme="minorEastAsia" w:hAnsiTheme="minorEastAsia" w:eastAsiaTheme="minorEastAsia" w:cstheme="minorEastAsia"/>
                <w:kern w:val="2"/>
              </w:rPr>
              <w:t>*</w:t>
            </w:r>
            <w:r>
              <w:rPr>
                <w:rFonts w:asciiTheme="minorEastAsia" w:hAnsiTheme="minorEastAsia" w:eastAsiaTheme="minorEastAsia" w:cstheme="minorEastAsia"/>
                <w:kern w:val="2"/>
              </w:rPr>
              <w:t>1440</w:t>
            </w:r>
          </w:p>
        </w:tc>
      </w:tr>
      <w:tr>
        <w:tblPrEx>
          <w:shd w:val="clear" w:color="auto" w:fill="FFFFFF"/>
          <w:tblCellMar>
            <w:top w:w="0" w:type="dxa"/>
            <w:left w:w="108" w:type="dxa"/>
            <w:bottom w:w="0" w:type="dxa"/>
            <w:right w:w="108" w:type="dxa"/>
          </w:tblCellMar>
        </w:tblPrEx>
        <w:trPr>
          <w:trHeight w:val="565"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显示屏尺寸</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≥27英寸</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17</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显示屏屏幕比例</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16:9</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18</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显示屏刷新率</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≥75Hz</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19</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显示屏对比度</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≥3000:1</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20</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显示屏接口</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≥VGA+HDMI</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显示屏 对比度</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≥1000：1</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22</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光驱数量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23</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▲键盘按 键数目</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104键</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24</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有线网卡数量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≥1，千兆自适应</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25</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USB接口数量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≥8个USB接口（其中至少6个USB3.0接口）</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26</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电源</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≥180W</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27</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rPr>
              <w:t>▲</w:t>
            </w:r>
            <w:r>
              <w:rPr>
                <w:rFonts w:hint="eastAsia" w:asciiTheme="minorEastAsia" w:hAnsiTheme="minorEastAsia" w:eastAsiaTheme="minorEastAsia" w:cstheme="minorEastAsia"/>
                <w:kern w:val="2"/>
              </w:rPr>
              <w:t>机箱大小</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机箱大小≤17L</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28</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操作系统</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麒麟/统信UOS/中科方德/其他符合安全可靠测评要求的操作系统；（投标时请注明系统名称及版本）</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29</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办公软件</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具备主界面、文件管理、页面设置、视图管理、插入管理、格式管理、工具、表格管理、审阅管理、打印管理等基本功能，提供文字处理、电子表格、文档演示三大应用，支持PDF阅读和流版转换，支持国内外文档标准规范，兼容国内外主流流式软件。支持OFD电子公文格式、VBA宏脚本、多端同步。</w:t>
            </w:r>
          </w:p>
        </w:tc>
      </w:tr>
      <w:tr>
        <w:tblPrEx>
          <w:shd w:val="clear" w:color="auto" w:fill="FFFFFF"/>
          <w:tblCellMar>
            <w:top w:w="0" w:type="dxa"/>
            <w:left w:w="108" w:type="dxa"/>
            <w:bottom w:w="0" w:type="dxa"/>
            <w:right w:w="108" w:type="dxa"/>
          </w:tblCellMar>
        </w:tblPrEx>
        <w:trPr>
          <w:trHeight w:val="9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30</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东文宋体" w:hAnsi="东文宋体" w:eastAsia="东文宋体" w:cs="东文宋体"/>
              </w:rPr>
              <w:t>▲</w:t>
            </w:r>
            <w:r>
              <w:rPr>
                <w:rFonts w:hint="eastAsia" w:asciiTheme="minorEastAsia" w:hAnsiTheme="minorEastAsia" w:eastAsiaTheme="minorEastAsia" w:cstheme="minorEastAsia"/>
                <w:kern w:val="2"/>
              </w:rPr>
              <w:t>其他要求</w:t>
            </w:r>
          </w:p>
        </w:tc>
        <w:tc>
          <w:tcPr>
            <w:tcW w:w="5345"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ascii="东文宋体" w:hAnsi="东文宋体" w:eastAsia="东文宋体" w:cs="东文宋体"/>
              </w:rPr>
            </w:pPr>
            <w:r>
              <w:rPr>
                <w:rFonts w:hint="eastAsia" w:asciiTheme="minorEastAsia" w:hAnsiTheme="minorEastAsia" w:eastAsiaTheme="minorEastAsia" w:cstheme="minorEastAsia"/>
              </w:rPr>
              <w:t>未列明的技术参数要求均满足财库〔2023〕29 号《台式计算机政府采购需求标准（2023年版）》</w:t>
            </w:r>
          </w:p>
        </w:tc>
      </w:tr>
    </w:tbl>
    <w:p>
      <w:pPr>
        <w:pStyle w:val="4"/>
        <w:rPr>
          <w:rFonts w:ascii="Times New Roman" w:hAnsi="Times New Roman"/>
        </w:rPr>
      </w:pPr>
      <w:r>
        <w:rPr>
          <w:rFonts w:hint="eastAsia" w:ascii="Times New Roman" w:hAnsi="Times New Roman"/>
        </w:rPr>
        <w:t>（七）LED全彩屏</w:t>
      </w:r>
    </w:p>
    <w:tbl>
      <w:tblPr>
        <w:tblStyle w:val="29"/>
        <w:tblW w:w="8359" w:type="dxa"/>
        <w:jc w:val="center"/>
        <w:shd w:val="clear" w:color="auto" w:fill="FFFFFF"/>
        <w:tblLayout w:type="fixed"/>
        <w:tblCellMar>
          <w:top w:w="0" w:type="dxa"/>
          <w:left w:w="108" w:type="dxa"/>
          <w:bottom w:w="0" w:type="dxa"/>
          <w:right w:w="108" w:type="dxa"/>
        </w:tblCellMar>
      </w:tblPr>
      <w:tblGrid>
        <w:gridCol w:w="846"/>
        <w:gridCol w:w="2126"/>
        <w:gridCol w:w="5387"/>
      </w:tblGrid>
      <w:tr>
        <w:tblPrEx>
          <w:tblCellMar>
            <w:top w:w="0" w:type="dxa"/>
            <w:left w:w="108" w:type="dxa"/>
            <w:bottom w:w="0" w:type="dxa"/>
            <w:right w:w="108" w:type="dxa"/>
          </w:tblCellMar>
        </w:tblPrEx>
        <w:trPr>
          <w:trHeight w:val="555" w:hRule="atLeast"/>
          <w:tblHeade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序号</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指标项</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技术参数要求</w:t>
            </w:r>
          </w:p>
        </w:tc>
      </w:tr>
      <w:tr>
        <w:tblPrEx>
          <w:shd w:val="clear" w:color="auto" w:fill="FFFFFF"/>
          <w:tblCellMar>
            <w:top w:w="0" w:type="dxa"/>
            <w:left w:w="108" w:type="dxa"/>
            <w:bottom w:w="0" w:type="dxa"/>
            <w:right w:w="108" w:type="dxa"/>
          </w:tblCellMar>
        </w:tblPrEx>
        <w:trPr>
          <w:trHeight w:val="72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材质要求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铝壳全彩屏</w:t>
            </w:r>
            <w:r>
              <w:rPr>
                <w:rFonts w:hint="eastAsia" w:asciiTheme="minorEastAsia" w:hAnsiTheme="minorEastAsia" w:eastAsiaTheme="minorEastAsia" w:cstheme="minorEastAsia"/>
                <w:kern w:val="2"/>
                <w:lang w:eastAsia="zh-CN"/>
              </w:rPr>
              <w:t>，</w:t>
            </w:r>
            <w:r>
              <w:rPr>
                <w:rFonts w:hint="eastAsia" w:asciiTheme="minorEastAsia" w:hAnsiTheme="minorEastAsia" w:eastAsiaTheme="minorEastAsia" w:cstheme="minorEastAsia"/>
                <w:kern w:val="2"/>
              </w:rPr>
              <w:t>模组底壳材质：铝。</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尺寸要求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显示区域尺寸（高×宽）：1.92*3.52=6.97㎡；分辨率：1032*1892=1997952像素；</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灯珠要求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1、表贴三合一灯珠</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2、像素点间距≤1.86mm。像素密度：288906点/㎡；</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3、模组尺寸（W×H）：320mm×180mm或320mm×160mm</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lang w:eastAsia="zh-CN"/>
              </w:rPr>
              <w:t>☆</w:t>
            </w:r>
            <w:r>
              <w:rPr>
                <w:rFonts w:hint="eastAsia" w:asciiTheme="minorEastAsia" w:hAnsiTheme="minorEastAsia" w:eastAsiaTheme="minorEastAsia" w:cstheme="minorEastAsia"/>
                <w:kern w:val="2"/>
              </w:rPr>
              <w:t>4、模组供电及信号传输：模组供电和控制集成一体化，电源、信号采用一个type-c接口一线传输</w:t>
            </w:r>
          </w:p>
        </w:tc>
      </w:tr>
      <w:tr>
        <w:tblPrEx>
          <w:shd w:val="clear" w:color="auto" w:fill="FFFFFF"/>
          <w:tblCellMar>
            <w:top w:w="0" w:type="dxa"/>
            <w:left w:w="108" w:type="dxa"/>
            <w:bottom w:w="0" w:type="dxa"/>
            <w:right w:w="108" w:type="dxa"/>
          </w:tblCellMar>
        </w:tblPrEx>
        <w:trPr>
          <w:trHeight w:val="722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成像要求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1、对比度≥5000：1；水平视角≥160°，垂直视角≥140°</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2、白平衡亮度：≥500cd/㎡；，亮度均匀性≥97%</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3、色温≥3000K-18000K，可调。</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4、换帧频率：50&amp;60Hz，驱动方式：恒流驱动</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5、灰度等级：100%亮度时，18bits灰度；20%亮度时，12bits灰度</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6、像素失控率≤0.00001，无连续失控点</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7、刷新率≥4800Hz；</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8、发光点中心距偏差：＜3%</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9、光学性能：基色主波长误差为C 级 ΔλD≤510、10、机械性能：平整度：≤0.2mm，箱体间缝隙≤0.1mm</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10、能效等级：一级。盐雾：符合10级要求。IP防护等级：符合防护等级IP5X要求</w:t>
            </w:r>
          </w:p>
        </w:tc>
      </w:tr>
      <w:tr>
        <w:tblPrEx>
          <w:shd w:val="clear" w:color="auto" w:fill="FFFFFF"/>
          <w:tblCellMar>
            <w:top w:w="0" w:type="dxa"/>
            <w:left w:w="108" w:type="dxa"/>
            <w:bottom w:w="0" w:type="dxa"/>
            <w:right w:w="108" w:type="dxa"/>
          </w:tblCellMar>
        </w:tblPrEx>
        <w:trPr>
          <w:trHeight w:val="760"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功率要求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1、峰值功耗≤600W/㎡，睡眠模式功率密度≤150W/㎡</w:t>
            </w:r>
          </w:p>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2、对地漏电流：对地漏电流：I（漏）≤3.5mA/㎡</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安全要求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1、平均失效间隔时间≥100000hrs，连续工作7×24h不出现电、机械或操作系统的故障，故障平均修复时间（MTTR）≤5min</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2、阻燃（防火）：PCB板、塑料面板和内部线材阻燃等级均达到V-0级</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3、智能除湿：通过显示屏逐级点亮升温预热灯珠，蒸发掉灯珠内部湿气。</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组件要求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模组搭配智能控制盒，集成电源、HUB板、接收卡于一体，电源信号统一Type-C输出，具有6路输出口。</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线材要求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1、满足大屏满功率使用的强弱电线材要求，弱电线路需冗余2根作为备用。</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2、提供备件≥模组2块、发光管20颗、驱动IC5片、排线3根</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3、包含所有调试人工费用</w:t>
            </w:r>
          </w:p>
        </w:tc>
      </w:tr>
      <w:tr>
        <w:tblPrEx>
          <w:shd w:val="clear" w:color="auto" w:fill="FFFFFF"/>
          <w:tblCellMar>
            <w:top w:w="0" w:type="dxa"/>
            <w:left w:w="108" w:type="dxa"/>
            <w:bottom w:w="0" w:type="dxa"/>
            <w:right w:w="108" w:type="dxa"/>
          </w:tblCellMar>
        </w:tblPrEx>
        <w:trPr>
          <w:trHeight w:val="553"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9</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电箱要求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10KW配电箱，含3路空气开关等</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10</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钢架要求</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3#镀锌方管焊接（实厚不低于2.0mm），1.0mm亚光拉丝不锈钢包边（正面宽度8cm/边），挂墙安装</w:t>
            </w:r>
          </w:p>
        </w:tc>
      </w:tr>
      <w:tr>
        <w:tblPrEx>
          <w:shd w:val="clear" w:color="auto" w:fill="FFFFFF"/>
          <w:tblCellMar>
            <w:top w:w="0" w:type="dxa"/>
            <w:left w:w="108" w:type="dxa"/>
            <w:bottom w:w="0" w:type="dxa"/>
            <w:right w:w="108" w:type="dxa"/>
          </w:tblCellMar>
        </w:tblPrEx>
        <w:trPr>
          <w:trHeight w:val="448" w:hRule="atLeast"/>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视频处理器</w:t>
            </w:r>
          </w:p>
        </w:tc>
        <w:tc>
          <w:tcPr>
            <w:tcW w:w="5387"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1、输入接口≥1路HDMI2.0+LOOP,2路HDMI1.3，1路USB3.0，最大可支持4096*2160@60HZ信号输入，支持选配1路3G-SDI（IN+LOOP）。</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2、输出≥8路千兆网口输出，1路10G-OPT光口，最大带载可达520万像素，最宽支持10240,最高8192。</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东文宋体" w:hAnsi="东文宋体" w:eastAsia="东文宋体" w:cs="东文宋体"/>
                <w:kern w:val="2"/>
                <w:lang w:val="en-US" w:eastAsia="zh-CN"/>
              </w:rPr>
              <w:t>3、</w:t>
            </w:r>
            <w:r>
              <w:rPr>
                <w:rFonts w:hint="eastAsia" w:asciiTheme="minorEastAsia" w:hAnsiTheme="minorEastAsia" w:eastAsiaTheme="minorEastAsia" w:cstheme="minorEastAsia"/>
                <w:kern w:val="2"/>
              </w:rPr>
              <w:t>支持144HZ高帧率输入输出，输出支持插帧、抽帧、倍频（2倍频、3倍频、4倍频）功能，可将30HZ信号，倍频至120HZ输出；</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lang w:val="en-US" w:eastAsia="zh-CN"/>
              </w:rPr>
              <w:t>4</w:t>
            </w:r>
            <w:r>
              <w:rPr>
                <w:rFonts w:hint="eastAsia" w:asciiTheme="minorEastAsia" w:hAnsiTheme="minorEastAsia" w:eastAsiaTheme="minorEastAsia" w:cstheme="minorEastAsia"/>
                <w:kern w:val="2"/>
              </w:rPr>
              <w:t>、图层能力≥6个2K图层或1个4K图层+2个2K图层，全部图层大小和位置可单独调节。4K接口输入2K信号，按2K图层计算图层资源；</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lang w:val="en-US" w:eastAsia="zh-CN"/>
              </w:rPr>
              <w:t>5</w:t>
            </w:r>
            <w:r>
              <w:rPr>
                <w:rFonts w:hint="eastAsia" w:asciiTheme="minorEastAsia" w:hAnsiTheme="minorEastAsia" w:eastAsiaTheme="minorEastAsia" w:cstheme="minorEastAsia"/>
                <w:kern w:val="2"/>
              </w:rPr>
              <w:t>、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5、MTBF≥150000小时，MTTR平均修复小于10分钟可用度大于 99%，整机寿命不小于150000小时。产品稳定性高、性能卓越、纯硬件结构，上电即可正常工作，无需做任何其它设置。</w:t>
            </w:r>
          </w:p>
        </w:tc>
      </w:tr>
    </w:tbl>
    <w:p>
      <w:pPr>
        <w:pStyle w:val="4"/>
        <w:rPr>
          <w:rFonts w:ascii="Times New Roman" w:hAnsi="Times New Roman"/>
        </w:rPr>
      </w:pPr>
      <w:r>
        <w:rPr>
          <w:rFonts w:hint="eastAsia" w:ascii="Times New Roman" w:hAnsi="Times New Roman"/>
        </w:rPr>
        <w:t>（八）智慧黑板</w:t>
      </w:r>
    </w:p>
    <w:tbl>
      <w:tblPr>
        <w:tblStyle w:val="29"/>
        <w:tblW w:w="8312" w:type="dxa"/>
        <w:jc w:val="center"/>
        <w:shd w:val="clear" w:color="auto" w:fill="FFFFFF"/>
        <w:tblLayout w:type="fixed"/>
        <w:tblCellMar>
          <w:top w:w="0" w:type="dxa"/>
          <w:left w:w="108" w:type="dxa"/>
          <w:bottom w:w="0" w:type="dxa"/>
          <w:right w:w="108" w:type="dxa"/>
        </w:tblCellMar>
      </w:tblPr>
      <w:tblGrid>
        <w:gridCol w:w="846"/>
        <w:gridCol w:w="2126"/>
        <w:gridCol w:w="5340"/>
      </w:tblGrid>
      <w:tr>
        <w:tblPrEx>
          <w:tblCellMar>
            <w:top w:w="0" w:type="dxa"/>
            <w:left w:w="108" w:type="dxa"/>
            <w:bottom w:w="0" w:type="dxa"/>
            <w:right w:w="108" w:type="dxa"/>
          </w:tblCellMar>
        </w:tblPrEx>
        <w:trPr>
          <w:trHeight w:val="555" w:hRule="atLeast"/>
          <w:tblHeade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序号</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指标项</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技术参数要求</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整体设计</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1.1 三拼接一体化设计，主副屏同一平面平滑过渡，无边框设计。</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 副屏板书书写，磁吸设计。</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1.3 ≥6个前置物理按键，可实现开关机、音量＋－、护眼、录屏、设置功能。</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1.4 整机前置按键支持自定义设置，可通过自定义设置实现前置面板功能按键一键启用任一全局小工具（批注、截屏、计时、降半屏、放大镜、倒数日、日历）、快捷开关（节能模式、纸质护眼模式、经典护眼模式、自动亮度模式）。</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屏体设计</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2.1 ≥86英寸LED液晶屏，A类屏；可视角度≥178°；亮度≥350cd/㎡；色域（NTSC）≥82%；</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2.2 显示比例16:9，分辨率≥4K；DC调光，高对比度；</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2.3 ≤3mm防眩光钢化防爆玻璃保护，硬度≥石墨硬度9H；</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2.4 电容触控技术；双系统（安卓、windows）≥50点触控；触摸分辨率≥32768×32768；</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2.5 书写触控延迟≤25ms，触摸响应≤4ms，触摸最小识别物≤3mm，预测速度可调节；</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2.6 视觉舒适度≥A+（VICO评价体系）；</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接口设计</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3.1输入接口：≥2路HDMI、≥1路RS232（RJ45形态）、≥4路USB接口（≥3路前置USB接口，包含至少1路Type-C）；</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3.2输出接口：≥1路音频输出、≥1路触控USB输出。</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3.3 前置接口具备防撞转轴式挡板设计。</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3.4 Type-C接口U盘进行文件传输，兼容移动设备充电。</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内置设计</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4.1 扬声器前向发声，2.2声道设计，最大总功率≥84W；</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4.2 ≥2个12W高音扬声器；≥2个30W中低音扬声器；</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4.3 阵列麦克风≥4，拾音角度≥180°，拾音距离≥12m；AI空间感知音效模式，通过麦克风采集教室物理环境声音，自动生成符合教室物理环境的频段、音量、音效；</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4.4 听力模式下具备AI人声语言增强功能，三挡强弱调节，扩声系统语言传输指数（STIPA）≥0.75。</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4.5一体化集成设计摄像头，可拍摄有效像素数≥4800万的照片及视频；</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4.6双WiFi6无线网卡，无线设备同时连接数量≥32个（Android系统）；无线设备同时连接≥8个（Windows系统）；Wi-Fi和AP热点工作距离≥12m，蓝牙Bluetooth 5.4标准；</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4.7其他功能：移动设备通过18kHz-22kHz超声波信号，自动识别操作完成投屏工作；</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4.8 通过整机麦克风监测教室中学生的朗读情况，并以游戏化界面反馈学生朗读音量大小；</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4.9 通过整机麦克风监测教室中学生音量大小，当学生音量大于阈值时，屏幕自动弹窗提醒进行自习纪律干预；</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4.10 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内嵌系统配置</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≥12核国产化嵌入式芯片（CPU≥8核，主频≥1.6GHz）；系统版本≥Android 15；内存≥2GB，DDR最大速率≥2666MT/S；存储空间≥32GB。</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其他运用</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6.1 文件传输（Windows通道）：≥扫码、超声、wifi直连三种方式；</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6.2 认证方式：≥通过账号登录、手机扫码登录、人脸识别登录、声纹识别登录、近场发现登录；账号安全登录检测。</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6.3 全通道侧边栏快捷菜单：实时查看物联设备的连接情况；智能语音转文字工具，将整机内置麦克风拾取的语音和整机系统播放的音视频源内容进行文字转译，以悬浮字幕形式将转译文字显示在屏幕上。</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6.4 周边设备统一管控：</w:t>
            </w:r>
            <w:r>
              <w:rPr>
                <w:rFonts w:hint="eastAsia" w:asciiTheme="minorEastAsia" w:hAnsiTheme="minorEastAsia" w:eastAsiaTheme="minorEastAsia" w:cstheme="minorEastAsia"/>
                <w:kern w:val="2"/>
                <w:highlight w:val="none"/>
              </w:rPr>
              <w:t>同一品牌的</w:t>
            </w:r>
            <w:r>
              <w:rPr>
                <w:rFonts w:hint="eastAsia" w:asciiTheme="minorEastAsia" w:hAnsiTheme="minorEastAsia" w:eastAsiaTheme="minorEastAsia" w:cstheme="minorEastAsia"/>
                <w:kern w:val="2"/>
              </w:rPr>
              <w:t>视频展台/音箱/麦克风/智能笔配对后，可实时查看设备状态，当设备连接/断开连接时，提供实时反馈提示。</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6.5 内置语音助手，通过整机麦克风及智能笔以唤醒词调起语音助手，支持语音交互的方式调节整机音量、亮度，语音操控打开系统已安装应用等。</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东文宋体" w:hAnsi="东文宋体" w:eastAsia="东文宋体" w:cs="东文宋体"/>
                <w:kern w:val="2"/>
              </w:rPr>
              <w:t>●</w:t>
            </w:r>
            <w:r>
              <w:rPr>
                <w:rFonts w:hint="eastAsia" w:asciiTheme="minorEastAsia" w:hAnsiTheme="minorEastAsia" w:eastAsiaTheme="minorEastAsia" w:cstheme="minorEastAsia"/>
                <w:kern w:val="2"/>
              </w:rPr>
              <w:t>6.6 支持在无任何外部设备的情况下，实时录制用户朗读内容，识别用户声纹并进行统一身份登录，登录后自动获取个人云端教学课件列表，打开教学白板软件时可跳过软件自带登录步骤。</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6.7 内置AR授课工具，支持对视频展台所采集的画面中叠加动态的3D 模型，3D模型包括：动物、微生物、人体骨骼、乐器、星球、地形。</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6.8 内置AI作文批改工具，支持对视频展台所采集的内容进行识别并可支持综合评分，提供详细的评分依据。</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6.9 内置AI智能体，根据教学和学习需求可快速创建，支持个性化设定角色信息包括角色性格、技能与头像信息，支持语音和文字两种方式与智能体进行对话交互，创建的智能体可上传到本校资源进行共享使用。</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6.10整机内置交互式白板软件支持课件多人在线协同编辑，支持以链接的形式进行课件分享、邀请协作，支持查看当前在线用户，针对邀请协同的用户可设置可编辑、可阅读权限，支持将PPT课件转化为交互式课件进行协同编辑。</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O</w:t>
            </w:r>
            <w:r>
              <w:rPr>
                <w:rFonts w:asciiTheme="minorEastAsia" w:hAnsiTheme="minorEastAsia" w:eastAsiaTheme="minorEastAsia" w:cstheme="minorEastAsia"/>
                <w:kern w:val="2"/>
              </w:rPr>
              <w:t>PS</w:t>
            </w:r>
            <w:r>
              <w:rPr>
                <w:rFonts w:hint="eastAsia" w:asciiTheme="minorEastAsia" w:hAnsiTheme="minorEastAsia" w:eastAsiaTheme="minorEastAsia" w:cstheme="minorEastAsia"/>
                <w:kern w:val="2"/>
              </w:rPr>
              <w:t>配置</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7.1 CPU：≥Intel酷睿i5-12500；内存≥8GB DDR4；硬盘≥256GB SSD；</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7.2 万兆级连接，传输速率≥10Gbps；采用按压式卡扣；</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7.3 输出接口：≥1路HDMI ；输入接口：≥1路3.5mm MIC IN，3路USB，1路RJ45 ；</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7.4 终端设备运行时无需运行独立的虚拟化系统；终端设备配置的IP与进入虚拟镜像的的IP一致；镜像故障，通过手势在屏幕上调取触摸中控菜单，恢复出厂状态；</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7.5 预装正版Windows操作系统。</w:t>
            </w:r>
          </w:p>
        </w:tc>
      </w:tr>
      <w:tr>
        <w:tblPrEx>
          <w:shd w:val="clear" w:color="auto" w:fill="FFFFFF"/>
          <w:tblCellMar>
            <w:top w:w="0" w:type="dxa"/>
            <w:left w:w="108" w:type="dxa"/>
            <w:bottom w:w="0" w:type="dxa"/>
            <w:right w:w="108" w:type="dxa"/>
          </w:tblCellMar>
        </w:tblPrEx>
        <w:trPr>
          <w:jc w:val="center"/>
        </w:trPr>
        <w:tc>
          <w:tcPr>
            <w:tcW w:w="84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w:t>
            </w:r>
          </w:p>
        </w:tc>
        <w:tc>
          <w:tcPr>
            <w:tcW w:w="2126"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jc w:val="center"/>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管控系统</w:t>
            </w:r>
          </w:p>
        </w:tc>
        <w:tc>
          <w:tcPr>
            <w:tcW w:w="5340" w:type="dxa"/>
            <w:tcBorders>
              <w:top w:val="single" w:color="auto" w:sz="4" w:space="0"/>
              <w:left w:val="single" w:color="auto" w:sz="4" w:space="0"/>
              <w:bottom w:val="single" w:color="auto" w:sz="4" w:space="0"/>
              <w:right w:val="single" w:color="auto" w:sz="4" w:space="0"/>
            </w:tcBorders>
            <w:shd w:val="clear" w:color="auto" w:fill="FFFFFF"/>
            <w:vAlign w:val="center"/>
          </w:tcPr>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8.1.系统基于SaaS布局，应用界面采用B/S架构设计，支持学校管理员在Windows、Linux、Android、IOS等多种不同的操作系统上通过网页浏览器登录进行所有管理指令操作。</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8.2.多场景锁屏：支持一键下课锁屏、开机自动锁屏、无网络时验证身份解锁。其中“下课锁屏”功能开启后，老师授课结束后可在班班通设备上点击“下课锁屏”按钮即可锁屏，保证班班通设备的使用秩序；其中“开机自动锁屏”可根据用户实际管理习惯，灵活设置不同分组的设备，开机后自动锁屏，以便于学校不同年级间分段管理；设备锁屏后，支持无网络情况下，使用者通过手机微信扫一扫验证身份后获取唯一临时解锁密码进行解锁使用，以防止设备被学生违规使用，影响设备性能。</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8.3.领导视窗：支持同时查看9教室的实时摄像头画面、设备屏幕画面；并支持在一个显示界面同时查看单个教室内所有屏幕、所有摄像头的实时画面，以及所有麦克风的声音，完整还原课堂全貌。单台设备巡视时，发现有违规违纪行为时，可远程发消息、发语音直接干预，也可记录备注，事后教育；支持记录所有管理员的巡视记录，方便回溯。</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8.4.软件静默安装：支持用户自主上传官方正版软件，经过人工封装软件后，批量将软件发送至班班通设备安装，整个安装过程完全无感，不影响正常教学。</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8.5.弹窗AI拦截：支持一键开启全校设备的不良弹窗AI拦截过滤能力，设备辅助管理软件实时监测弹出窗口，当有窗口弹出时，会自动使用“不良弹窗AI模型”判断，判断为不良弹窗时，自动拦截该窗口，以保证课堂教学稳定进行。</w:t>
            </w:r>
          </w:p>
          <w:p>
            <w:pPr>
              <w:pStyle w:val="59"/>
              <w:spacing w:line="240" w:lineRule="auto"/>
              <w:ind w:firstLine="0" w:firstLineChars="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8.6.冰点穿透：支持远程向已冰冻的设备发送指令、安装软件、传输大文件，设备接收到后会立即执行，并在设备正常关机时触发穿透动作，穿透完成后，设备即可永久性使用已安装软件、已传输文件、执行已接收指令，且穿透过程中无需人为解冻。</w:t>
            </w:r>
          </w:p>
        </w:tc>
      </w:tr>
    </w:tbl>
    <w:p>
      <w:pPr>
        <w:pStyle w:val="37"/>
        <w:rPr>
          <w:rFonts w:hint="eastAsia" w:eastAsia="仿宋_GB2312"/>
          <w:lang w:val="en-US" w:eastAsia="zh-CN"/>
        </w:rPr>
      </w:pPr>
      <w:r>
        <w:rPr>
          <w:rFonts w:hint="eastAsia"/>
          <w:lang w:val="en-US"/>
        </w:rPr>
        <w:t>注：标“</w:t>
      </w:r>
      <w:r>
        <w:rPr>
          <w:rFonts w:hint="eastAsia" w:ascii="东文宋体" w:hAnsi="东文宋体" w:eastAsia="东文宋体" w:cs="东文宋体"/>
          <w:lang w:val="en-US"/>
        </w:rPr>
        <w:t>▲</w:t>
      </w:r>
      <w:r>
        <w:rPr>
          <w:rFonts w:hint="eastAsia"/>
          <w:lang w:val="en-US"/>
        </w:rPr>
        <w:t>”为实质性参数，标“</w:t>
      </w:r>
      <w:r>
        <w:rPr>
          <w:rFonts w:hint="eastAsia" w:ascii="东文宋体" w:hAnsi="东文宋体" w:eastAsia="东文宋体" w:cs="东文宋体"/>
          <w:lang w:val="en-US"/>
        </w:rPr>
        <w:t>●</w:t>
      </w:r>
      <w:r>
        <w:rPr>
          <w:rFonts w:hint="eastAsia"/>
          <w:lang w:val="en-US"/>
        </w:rPr>
        <w:t>”为视频演示内容</w:t>
      </w:r>
      <w:r>
        <w:rPr>
          <w:rFonts w:hint="eastAsia"/>
          <w:lang w:val="en-US" w:eastAsia="zh-CN"/>
        </w:rPr>
        <w:t>。</w:t>
      </w:r>
    </w:p>
    <w:p>
      <w:pPr>
        <w:ind w:firstLine="0" w:firstLineChars="0"/>
        <w:rPr>
          <w:rFonts w:hint="eastAsia" w:asciiTheme="minorEastAsia" w:hAnsiTheme="minorEastAsia" w:eastAsiaTheme="minorEastAsia" w:cstheme="minorEastAsia"/>
          <w:b/>
          <w:bCs/>
          <w:kern w:val="0"/>
          <w:sz w:val="28"/>
          <w:szCs w:val="28"/>
        </w:rPr>
      </w:pPr>
      <w:r>
        <w:rPr>
          <w:rFonts w:hint="eastAsia" w:asciiTheme="minorEastAsia" w:hAnsiTheme="minorEastAsia" w:eastAsiaTheme="minorEastAsia" w:cstheme="minorEastAsia"/>
          <w:b/>
          <w:bCs/>
          <w:kern w:val="0"/>
          <w:sz w:val="28"/>
          <w:szCs w:val="28"/>
        </w:rPr>
        <w:t>四、项目实施要求</w:t>
      </w:r>
    </w:p>
    <w:p>
      <w:pPr>
        <w:widowControl/>
        <w:ind w:firstLine="482"/>
        <w:jc w:val="left"/>
        <w:rPr>
          <w:rFonts w:hint="eastAsia" w:asciiTheme="minorEastAsia" w:hAnsiTheme="minorEastAsia" w:eastAsiaTheme="minorEastAsia" w:cstheme="minorEastAsia"/>
          <w:b/>
          <w:bCs/>
          <w:kern w:val="0"/>
        </w:rPr>
      </w:pPr>
      <w:bookmarkStart w:id="9" w:name="_Toc44483972"/>
      <w:r>
        <w:rPr>
          <w:rFonts w:hint="eastAsia" w:asciiTheme="minorEastAsia" w:hAnsiTheme="minorEastAsia" w:eastAsiaTheme="minorEastAsia" w:cstheme="minorEastAsia"/>
          <w:b/>
          <w:bCs/>
          <w:kern w:val="0"/>
        </w:rPr>
        <w:t>（一）</w:t>
      </w:r>
      <w:bookmarkStart w:id="10" w:name="_Toc1492"/>
      <w:r>
        <w:rPr>
          <w:rFonts w:hint="eastAsia" w:asciiTheme="minorEastAsia" w:hAnsiTheme="minorEastAsia" w:eastAsiaTheme="minorEastAsia" w:cstheme="minorEastAsia"/>
          <w:b/>
          <w:bCs/>
          <w:kern w:val="0"/>
        </w:rPr>
        <w:t>总体要求</w:t>
      </w:r>
      <w:bookmarkEnd w:id="10"/>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1、供应商必须对本招标项目整体响应，报价时应列出相应配置项目（含货物的品牌名称、规格型号、制造商和产地等），每个设备单价、数量及投标总报价，以便于评审比较，评审时单技术路线以各供应商所投品牌产品最低价为最优。</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2、本招标文件的技术参数和规格条款，是招标供应商必须达到的基本要求，供应商也可提供优于技术参数要求的设备。</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3、供应商需提供针对本项目终端软硬件安装调试服务，以确保采购单位终端中相关软硬件系统正常使用，相关费用应包含在项目报价中。</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4、中标供应商对所供的货物在正确安装、正常使用和保养的条件下，因设计、工艺、材质的缺陷而导致的任何事故、故障、潜在风险等承担全部责任。</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5、中标供应商必须按照合同的规定，准时提供货物、配件、材料、工具及各种资料，并负责所供货物、配件、材料及工具的包装、运输和安装调试等，所有设备的安装及运输费用包含在本项目报价中，采购人不再单独支付相关费用。</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6、中标供应商应能长期提供优良的技术支持及零配件供应。</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7、中标供应商应有计划地对采购人的管理、维护等相关人员进行本次采购货物的基本知识、使用、维护保养技术的现场培训（包括厂商针对性的培训），并提供培训教材以保障售后的良好运行。</w:t>
      </w:r>
    </w:p>
    <w:p>
      <w:pPr>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rPr>
        <w:t>8、供应商应拥有与本项目规模相称的一定数量的技术和施工人员及施工维护设备，供应商自行承担建设、维护过程中的所有安全管理责任；提供专职售后服务团队以提供技术支持服务，包括日常使用设备及相关配套软硬件故障排查、安装调试、系统升级、技术支持、应急处理等情况，确保售后服务的完整性和连续性。</w:t>
      </w:r>
      <w:r>
        <w:rPr>
          <w:rFonts w:hint="eastAsia" w:asciiTheme="minorEastAsia" w:hAnsiTheme="minorEastAsia" w:eastAsiaTheme="minorEastAsia" w:cstheme="minorEastAsia"/>
          <w:b/>
          <w:bCs/>
          <w:color w:val="auto"/>
          <w:kern w:val="0"/>
          <w:sz w:val="24"/>
          <w:szCs w:val="24"/>
          <w:lang w:val="en-US"/>
        </w:rPr>
        <w:t>投标时提供实施方案</w:t>
      </w:r>
      <w:r>
        <w:rPr>
          <w:rFonts w:hint="eastAsia" w:asciiTheme="minorEastAsia" w:hAnsiTheme="minorEastAsia" w:eastAsiaTheme="minorEastAsia" w:cstheme="minorEastAsia"/>
          <w:kern w:val="0"/>
          <w:sz w:val="24"/>
          <w:szCs w:val="24"/>
          <w:lang w:val="en-US"/>
        </w:rPr>
        <w:t>（包括但不限于项目进度及实施计划</w:t>
      </w:r>
      <w:r>
        <w:rPr>
          <w:rFonts w:hint="eastAsia" w:asciiTheme="minorEastAsia" w:hAnsiTheme="minorEastAsia" w:eastAsiaTheme="minorEastAsia" w:cstheme="minorEastAsia"/>
          <w:kern w:val="0"/>
          <w:sz w:val="24"/>
          <w:szCs w:val="24"/>
          <w:lang w:val="en-US" w:eastAsia="zh-CN"/>
        </w:rPr>
        <w:t>；</w:t>
      </w:r>
      <w:r>
        <w:rPr>
          <w:rFonts w:hint="eastAsia" w:asciiTheme="minorEastAsia" w:hAnsiTheme="minorEastAsia" w:eastAsiaTheme="minorEastAsia" w:cstheme="minorEastAsia"/>
          <w:kern w:val="0"/>
          <w:sz w:val="24"/>
          <w:szCs w:val="24"/>
          <w:lang w:val="en-US"/>
        </w:rPr>
        <w:t>质量保证措施；项应急措施；产品供货、安装、调试、</w:t>
      </w:r>
      <w:r>
        <w:rPr>
          <w:rFonts w:hint="eastAsia" w:asciiTheme="minorEastAsia" w:hAnsiTheme="minorEastAsia" w:eastAsiaTheme="minorEastAsia" w:cstheme="minorEastAsia"/>
          <w:kern w:val="0"/>
          <w:sz w:val="24"/>
          <w:szCs w:val="24"/>
          <w:lang w:val="en-US" w:eastAsia="zh-CN"/>
        </w:rPr>
        <w:t>试运行</w:t>
      </w:r>
      <w:r>
        <w:rPr>
          <w:rFonts w:hint="eastAsia" w:asciiTheme="minorEastAsia" w:hAnsiTheme="minorEastAsia" w:eastAsiaTheme="minorEastAsia" w:cstheme="minorEastAsia"/>
          <w:kern w:val="0"/>
          <w:sz w:val="24"/>
          <w:szCs w:val="24"/>
          <w:lang w:val="en-US"/>
        </w:rPr>
        <w:t>方案等）</w:t>
      </w:r>
      <w:r>
        <w:rPr>
          <w:rFonts w:hint="eastAsia" w:asciiTheme="minorEastAsia" w:hAnsiTheme="minorEastAsia" w:eastAsiaTheme="minorEastAsia" w:cstheme="minorEastAsia"/>
          <w:kern w:val="0"/>
          <w:sz w:val="24"/>
          <w:szCs w:val="24"/>
          <w:lang w:val="en-US" w:eastAsia="zh-CN"/>
        </w:rPr>
        <w:t>。</w:t>
      </w:r>
    </w:p>
    <w:p>
      <w:pPr>
        <w:widowControl/>
        <w:ind w:firstLine="482"/>
        <w:jc w:val="left"/>
        <w:rPr>
          <w:rFonts w:hint="eastAsia"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（二）项目管理要求</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为了确保项目的质量，供应商应建立完善的工程管理机制并有效监督整个项目的实施，配合采购单位进行计划制定、执行监控等工作，规避项目的管理风险。</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项目实施技术团队应配备项目负责人1名参与全程项目管理；项目经理1名负责项目终端安装调试和运维阶段。项目负责人和项目经理要求具备信息化类）及以上职称。团队成员应具备一定的专业技术水平，具备信创桌面操作系统工程师证书，具有计算机、网络工程或电气工程等相关专业毕业的专业技术人</w:t>
      </w:r>
      <w:r>
        <w:rPr>
          <w:rFonts w:hint="eastAsia" w:asciiTheme="minorEastAsia" w:hAnsiTheme="minorEastAsia" w:eastAsiaTheme="minorEastAsia" w:cstheme="minorEastAsia"/>
          <w:kern w:val="0"/>
          <w:lang w:eastAsia="zh-CN"/>
        </w:rPr>
        <w:t>员</w:t>
      </w:r>
      <w:r>
        <w:rPr>
          <w:rFonts w:hint="eastAsia" w:asciiTheme="minorEastAsia" w:hAnsiTheme="minorEastAsia" w:eastAsiaTheme="minorEastAsia" w:cstheme="minorEastAsia"/>
          <w:kern w:val="0"/>
        </w:rPr>
        <w:t>。</w:t>
      </w:r>
    </w:p>
    <w:p>
      <w:pPr>
        <w:widowControl/>
        <w:ind w:firstLine="482"/>
        <w:jc w:val="left"/>
        <w:rPr>
          <w:rFonts w:hint="eastAsia" w:asciiTheme="minorEastAsia" w:hAnsiTheme="minorEastAsia" w:eastAsiaTheme="minorEastAsia" w:cstheme="minorEastAsia"/>
          <w:b/>
          <w:bCs/>
          <w:kern w:val="0"/>
        </w:rPr>
      </w:pPr>
      <w:r>
        <w:rPr>
          <w:rFonts w:hint="eastAsia" w:asciiTheme="minorEastAsia" w:hAnsiTheme="minorEastAsia" w:eastAsiaTheme="minorEastAsia" w:cstheme="minorEastAsia"/>
          <w:b/>
          <w:bCs/>
          <w:kern w:val="0"/>
        </w:rPr>
        <w:t>（三）</w:t>
      </w:r>
      <w:bookmarkEnd w:id="9"/>
      <w:r>
        <w:rPr>
          <w:rFonts w:hint="eastAsia" w:asciiTheme="minorEastAsia" w:hAnsiTheme="minorEastAsia" w:eastAsiaTheme="minorEastAsia" w:cstheme="minorEastAsia"/>
          <w:b/>
          <w:bCs/>
          <w:kern w:val="0"/>
        </w:rPr>
        <w:t>供货安装要求</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本项目提供的终端软硬件安装调试服务包括且不限于终端软硬件的</w:t>
      </w:r>
      <w:r>
        <w:rPr>
          <w:rFonts w:hint="eastAsia" w:asciiTheme="minorEastAsia" w:hAnsiTheme="minorEastAsia" w:eastAsiaTheme="minorEastAsia" w:cstheme="minorEastAsia"/>
          <w:color w:val="000000"/>
          <w:kern w:val="0"/>
        </w:rPr>
        <w:t>安装、数据迁移、回收等工作</w:t>
      </w:r>
      <w:r>
        <w:rPr>
          <w:rFonts w:hint="eastAsia" w:asciiTheme="minorEastAsia" w:hAnsiTheme="minorEastAsia" w:eastAsiaTheme="minorEastAsia" w:cstheme="minorEastAsia"/>
          <w:kern w:val="0"/>
        </w:rPr>
        <w:t>。其中终端软硬件的集成实施包括从设备到货、上线部署、采购单位数据迁移、到采购单位使用培训等工作，协助采购单位从老旧终端无缝切换到新终端的使用环境。</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1、负责终端软硬件设备的到货、分发和部署安装调试工作；</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2、负责终端与利旧外设的安装适配；</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3、负责系统相关的安全管理配置、系统管理配置等工作；</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4、负责终端基础软硬件的安装适配工作：</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通用终端部署配套软件：操作系统、流式、防病毒等，并与现有外设进行适配安装，确保能够正常使用。</w:t>
      </w:r>
    </w:p>
    <w:p>
      <w:pPr>
        <w:widowControl/>
        <w:ind w:firstLine="480"/>
        <w:jc w:val="left"/>
        <w:rPr>
          <w:rFonts w:hint="eastAsia" w:asciiTheme="minorEastAsia" w:hAnsiTheme="minorEastAsia" w:eastAsiaTheme="minorEastAsia" w:cstheme="minorEastAsia"/>
          <w:strike w:val="0"/>
          <w:dstrike w:val="0"/>
          <w:kern w:val="0"/>
          <w:highlight w:val="none"/>
        </w:rPr>
      </w:pPr>
      <w:r>
        <w:rPr>
          <w:rFonts w:hint="eastAsia" w:asciiTheme="minorEastAsia" w:hAnsiTheme="minorEastAsia" w:eastAsiaTheme="minorEastAsia" w:cstheme="minorEastAsia"/>
          <w:strike w:val="0"/>
          <w:dstrike w:val="0"/>
          <w:kern w:val="0"/>
          <w:highlight w:val="none"/>
        </w:rPr>
        <w:t>5、</w:t>
      </w:r>
      <w:r>
        <w:rPr>
          <w:rFonts w:hint="eastAsia" w:asciiTheme="minorEastAsia" w:hAnsiTheme="minorEastAsia" w:eastAsiaTheme="minorEastAsia" w:cstheme="minorEastAsia"/>
          <w:strike w:val="0"/>
          <w:dstrike w:val="0"/>
          <w:kern w:val="0"/>
          <w:highlight w:val="none"/>
          <w:lang w:eastAsia="zh-CN"/>
        </w:rPr>
        <w:t>协助采购人</w:t>
      </w:r>
      <w:r>
        <w:rPr>
          <w:rFonts w:hint="eastAsia" w:asciiTheme="minorEastAsia" w:hAnsiTheme="minorEastAsia" w:eastAsiaTheme="minorEastAsia" w:cstheme="minorEastAsia"/>
          <w:strike w:val="0"/>
          <w:dstrike w:val="0"/>
          <w:kern w:val="0"/>
          <w:highlight w:val="none"/>
        </w:rPr>
        <w:t>老旧电脑的回收入库工作；</w:t>
      </w:r>
    </w:p>
    <w:p>
      <w:pPr>
        <w:widowControl/>
        <w:ind w:firstLine="480"/>
        <w:jc w:val="left"/>
        <w:rPr>
          <w:rFonts w:hint="eastAsia" w:asciiTheme="minorEastAsia" w:hAnsiTheme="minorEastAsia" w:eastAsiaTheme="minorEastAsia" w:cstheme="minorEastAsia"/>
          <w:kern w:val="0"/>
        </w:rPr>
      </w:pPr>
      <w:r>
        <w:rPr>
          <w:rFonts w:hint="eastAsia" w:asciiTheme="minorEastAsia" w:hAnsiTheme="minorEastAsia" w:eastAsiaTheme="minorEastAsia" w:cstheme="minorEastAsia"/>
          <w:kern w:val="0"/>
        </w:rPr>
        <w:t>6、按要求完成针对性培训工作。</w:t>
      </w:r>
    </w:p>
    <w:p>
      <w:pPr>
        <w:widowControl/>
        <w:ind w:firstLine="482"/>
        <w:jc w:val="left"/>
        <w:rPr>
          <w:rFonts w:hint="eastAsia" w:asciiTheme="minorEastAsia" w:hAnsiTheme="minorEastAsia" w:eastAsiaTheme="minorEastAsia" w:cstheme="minorEastAsia"/>
          <w:b/>
          <w:bCs/>
          <w:color w:val="auto"/>
          <w:kern w:val="0"/>
        </w:rPr>
      </w:pPr>
      <w:r>
        <w:rPr>
          <w:rFonts w:hint="eastAsia" w:asciiTheme="minorEastAsia" w:hAnsiTheme="minorEastAsia" w:eastAsiaTheme="minorEastAsia" w:cstheme="minorEastAsia"/>
          <w:b/>
          <w:bCs/>
          <w:color w:val="auto"/>
          <w:kern w:val="0"/>
        </w:rPr>
        <w:t>（四）售后服务要求</w:t>
      </w:r>
    </w:p>
    <w:p>
      <w:pPr>
        <w:widowControl/>
        <w:ind w:firstLine="480"/>
        <w:jc w:val="left"/>
        <w:rPr>
          <w:rFonts w:hint="eastAsia" w:asciiTheme="minorEastAsia" w:hAnsiTheme="minorEastAsia" w:eastAsiaTheme="minorEastAsia" w:cstheme="minorEastAsia"/>
          <w:color w:val="auto"/>
          <w:kern w:val="0"/>
          <w:sz w:val="24"/>
          <w:szCs w:val="24"/>
          <w:lang w:val="en-US"/>
        </w:rPr>
      </w:pPr>
      <w:r>
        <w:rPr>
          <w:rFonts w:hint="eastAsia" w:asciiTheme="minorEastAsia" w:hAnsiTheme="minorEastAsia" w:eastAsiaTheme="minorEastAsia" w:cstheme="minorEastAsia"/>
          <w:color w:val="auto"/>
          <w:kern w:val="0"/>
        </w:rPr>
        <w:t>1、供应商按售后服务方案要求，提供包括但不</w:t>
      </w:r>
      <w:r>
        <w:rPr>
          <w:rFonts w:hint="eastAsia" w:asciiTheme="minorEastAsia" w:hAnsiTheme="minorEastAsia" w:eastAsiaTheme="minorEastAsia" w:cstheme="minorEastAsia"/>
          <w:color w:val="auto"/>
          <w:kern w:val="0"/>
          <w:sz w:val="24"/>
          <w:szCs w:val="24"/>
          <w:lang w:val="en-US"/>
        </w:rPr>
        <w:t>不限于售后服务体系；售后服务承诺；服务响应时间；备品规划；后续技术支持和维护能力；解决问题所采取的措施等的全面性、可行性等</w:t>
      </w:r>
    </w:p>
    <w:p>
      <w:pPr>
        <w:widowControl/>
        <w:ind w:firstLine="480"/>
        <w:jc w:val="left"/>
        <w:rPr>
          <w:rFonts w:hint="eastAsia" w:asciiTheme="minorEastAsia" w:hAnsiTheme="minorEastAsia" w:eastAsiaTheme="minorEastAsia" w:cstheme="minorEastAsia"/>
          <w:color w:val="auto"/>
          <w:kern w:val="0"/>
        </w:rPr>
      </w:pPr>
      <w:r>
        <w:rPr>
          <w:rFonts w:hint="eastAsia" w:asciiTheme="minorEastAsia" w:hAnsiTheme="minorEastAsia" w:eastAsiaTheme="minorEastAsia" w:cstheme="minorEastAsia"/>
          <w:color w:val="auto"/>
          <w:kern w:val="0"/>
        </w:rPr>
        <w:t>2、提供7*24小时技术支持服务，包括日常使用设备及相关配套软硬件故障排查、安装调试、系统升级、技术支持、应急处理等情况，确保运维服务的完整性和连续性；</w:t>
      </w:r>
    </w:p>
    <w:p>
      <w:pPr>
        <w:widowControl/>
        <w:ind w:firstLine="480"/>
        <w:jc w:val="left"/>
        <w:rPr>
          <w:rFonts w:hint="eastAsia" w:asciiTheme="minorEastAsia" w:hAnsiTheme="minorEastAsia" w:eastAsiaTheme="minorEastAsia" w:cstheme="minorEastAsia"/>
          <w:color w:val="auto"/>
          <w:kern w:val="0"/>
        </w:rPr>
      </w:pPr>
      <w:r>
        <w:rPr>
          <w:rFonts w:hint="eastAsia" w:asciiTheme="minorEastAsia" w:hAnsiTheme="minorEastAsia" w:eastAsiaTheme="minorEastAsia" w:cstheme="minorEastAsia"/>
          <w:color w:val="auto"/>
          <w:kern w:val="0"/>
        </w:rPr>
        <w:t>3、响应速度：在提出服务需求后，供应商响应时间不超过30分钟，运维人员及时排除解决，如故障无法排除，中标供应商应负责使用替代设备，其费用由中标供应商承担。</w:t>
      </w:r>
    </w:p>
    <w:p>
      <w:pPr>
        <w:pStyle w:val="2"/>
        <w:spacing w:before="0" w:beforeLines="0"/>
        <w:ind w:firstLine="0" w:firstLineChars="0"/>
        <w:jc w:val="both"/>
        <w:rPr>
          <w:rFonts w:hint="eastAsia" w:asciiTheme="minorEastAsia" w:hAnsiTheme="minorEastAsia" w:eastAsiaTheme="minorEastAsia" w:cstheme="minorEastAsia"/>
          <w:bCs w:val="0"/>
          <w:kern w:val="2"/>
          <w:sz w:val="28"/>
          <w:szCs w:val="24"/>
        </w:rPr>
      </w:pPr>
      <w:r>
        <w:rPr>
          <w:rFonts w:hint="eastAsia" w:asciiTheme="minorEastAsia" w:hAnsiTheme="minorEastAsia" w:eastAsiaTheme="minorEastAsia" w:cstheme="minorEastAsia"/>
          <w:bCs w:val="0"/>
          <w:kern w:val="2"/>
          <w:sz w:val="28"/>
          <w:szCs w:val="24"/>
        </w:rPr>
        <w:t>五、商务条款</w:t>
      </w:r>
    </w:p>
    <w:tbl>
      <w:tblPr>
        <w:tblStyle w:val="29"/>
        <w:tblW w:w="8522"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70"/>
        <w:gridCol w:w="725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9" w:hRule="atLeast"/>
        </w:trPr>
        <w:tc>
          <w:tcPr>
            <w:tcW w:w="1270"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质保期</w:t>
            </w:r>
          </w:p>
        </w:tc>
        <w:tc>
          <w:tcPr>
            <w:tcW w:w="7252" w:type="dxa"/>
            <w:tcBorders>
              <w:top w:val="single" w:color="auto" w:sz="4" w:space="0"/>
              <w:left w:val="single" w:color="auto" w:sz="4" w:space="0"/>
              <w:bottom w:val="single" w:color="auto" w:sz="4" w:space="0"/>
              <w:right w:val="single" w:color="auto" w:sz="4" w:space="0"/>
            </w:tcBorders>
            <w:vAlign w:val="center"/>
          </w:tcPr>
          <w:p>
            <w:pPr>
              <w:numPr>
                <w:ilvl w:val="0"/>
                <w:numId w:val="2"/>
              </w:numPr>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整机原</w:t>
            </w:r>
            <w:r>
              <w:rPr>
                <w:rFonts w:hint="eastAsia" w:asciiTheme="minorEastAsia" w:hAnsiTheme="minorEastAsia" w:eastAsiaTheme="minorEastAsia" w:cstheme="minorEastAsia"/>
                <w:color w:val="auto"/>
                <w:highlight w:val="none"/>
              </w:rPr>
              <w:t>厂质保期不少于5年</w:t>
            </w:r>
            <w:r>
              <w:rPr>
                <w:rFonts w:hint="eastAsia" w:asciiTheme="minorEastAsia" w:hAnsiTheme="minorEastAsia" w:eastAsiaTheme="minorEastAsia" w:cstheme="minorEastAsia"/>
                <w:highlight w:val="none"/>
              </w:rPr>
              <w:t>，承诺验收前提供原厂质保函，质保期自验收合格之日起算。</w:t>
            </w:r>
          </w:p>
          <w:p>
            <w:pPr>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2、在质保期内，中标供应商应负责对其提供的产品进行现场免费维修，不收取额外费用，不能维修的予以调换。</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270"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实施要求（安装调试期及验收）</w:t>
            </w:r>
          </w:p>
        </w:tc>
        <w:tc>
          <w:tcPr>
            <w:tcW w:w="7252" w:type="dxa"/>
            <w:tcBorders>
              <w:top w:val="single" w:color="auto" w:sz="4" w:space="0"/>
              <w:left w:val="single" w:color="auto" w:sz="4" w:space="0"/>
              <w:bottom w:val="single" w:color="auto" w:sz="4" w:space="0"/>
              <w:right w:val="single" w:color="auto" w:sz="4" w:space="0"/>
            </w:tcBorders>
            <w:vAlign w:val="center"/>
          </w:tcPr>
          <w:p>
            <w:pPr>
              <w:tabs>
                <w:tab w:val="left" w:pos="0"/>
              </w:tabs>
              <w:ind w:firstLine="0" w:firstLineChars="0"/>
              <w:jc w:val="left"/>
              <w:rPr>
                <w:rFonts w:hint="eastAsia" w:ascii="宋体" w:hAnsi="宋体"/>
                <w:highlight w:val="none"/>
              </w:rPr>
            </w:pPr>
            <w:r>
              <w:rPr>
                <w:rFonts w:hint="eastAsia" w:ascii="宋体" w:hAnsi="宋体"/>
                <w:highlight w:val="none"/>
              </w:rPr>
              <w:t>1.供货</w:t>
            </w:r>
          </w:p>
          <w:p>
            <w:pPr>
              <w:tabs>
                <w:tab w:val="left" w:pos="0"/>
              </w:tabs>
              <w:ind w:firstLine="0" w:firstLineChars="0"/>
              <w:jc w:val="left"/>
              <w:rPr>
                <w:rFonts w:hint="eastAsia" w:ascii="宋体" w:hAnsi="宋体"/>
                <w:highlight w:val="none"/>
              </w:rPr>
            </w:pPr>
            <w:r>
              <w:rPr>
                <w:rFonts w:hint="eastAsia" w:ascii="宋体" w:hAnsi="宋体"/>
                <w:highlight w:val="none"/>
              </w:rPr>
              <w:t>（1）全部货物均应按标准保护措施进行包装，这类包装应适应于远距离运输、防潮、防震、防锈和防野蛮装卸等要求，以确保货物安全无损地运抵指定地点。若包装不善所引起的标的物锈蚀、损坏和损失等一切风险均由中标供应商承担。</w:t>
            </w:r>
          </w:p>
          <w:p>
            <w:pPr>
              <w:tabs>
                <w:tab w:val="left" w:pos="0"/>
              </w:tabs>
              <w:ind w:firstLine="0" w:firstLineChars="0"/>
              <w:jc w:val="left"/>
              <w:rPr>
                <w:rFonts w:hint="eastAsia" w:ascii="宋体" w:hAnsi="宋体"/>
                <w:highlight w:val="none"/>
              </w:rPr>
            </w:pPr>
            <w:r>
              <w:rPr>
                <w:rFonts w:hint="eastAsia" w:ascii="宋体" w:hAnsi="宋体"/>
                <w:highlight w:val="none"/>
              </w:rPr>
              <w:t>（2）设备到达现场后，中标供应商必须派员到现场与采购人一起进行开箱检验，按供货清单进行验收，若有缺少或损坏，中标供应商应立即补足或更换全新同规格产品，并承担相关费用直至使采购人满意为止。</w:t>
            </w:r>
          </w:p>
          <w:p>
            <w:pPr>
              <w:tabs>
                <w:tab w:val="left" w:pos="0"/>
              </w:tabs>
              <w:ind w:firstLine="0" w:firstLineChars="0"/>
              <w:jc w:val="left"/>
              <w:rPr>
                <w:rFonts w:hint="eastAsia" w:ascii="宋体" w:hAnsi="宋体"/>
                <w:highlight w:val="none"/>
              </w:rPr>
            </w:pPr>
            <w:r>
              <w:rPr>
                <w:rFonts w:hint="eastAsia" w:ascii="宋体" w:hAnsi="宋体"/>
                <w:highlight w:val="none"/>
              </w:rPr>
              <w:t>2.安装</w:t>
            </w:r>
          </w:p>
          <w:p>
            <w:pPr>
              <w:tabs>
                <w:tab w:val="left" w:pos="0"/>
              </w:tabs>
              <w:ind w:firstLine="0" w:firstLineChars="0"/>
              <w:jc w:val="left"/>
              <w:rPr>
                <w:rFonts w:hint="eastAsia" w:ascii="宋体" w:hAnsi="宋体"/>
                <w:highlight w:val="none"/>
              </w:rPr>
            </w:pPr>
            <w:r>
              <w:rPr>
                <w:rFonts w:hint="eastAsia" w:ascii="宋体" w:hAnsi="宋体"/>
                <w:highlight w:val="none"/>
              </w:rPr>
              <w:t>（1）为确保安装调试工作安全有序的进行，要求中标供应商在货物运抵安装现场前3天内，向采购人提供一份详细的安装、调试</w:t>
            </w:r>
            <w:r>
              <w:rPr>
                <w:rFonts w:hint="eastAsia" w:ascii="宋体" w:hAnsi="宋体"/>
                <w:highlight w:val="none"/>
                <w:lang w:eastAsia="zh-CN"/>
              </w:rPr>
              <w:t>、试运行</w:t>
            </w:r>
            <w:r>
              <w:rPr>
                <w:rFonts w:hint="eastAsia" w:ascii="宋体" w:hAnsi="宋体"/>
                <w:highlight w:val="none"/>
              </w:rPr>
              <w:t>计划和所采用的标准及方法，此计划和采用的标准一旦被采购人确认就不得随意更改，否则中标供应商应承担相应责任。</w:t>
            </w:r>
          </w:p>
          <w:p>
            <w:pPr>
              <w:tabs>
                <w:tab w:val="left" w:pos="0"/>
              </w:tabs>
              <w:ind w:firstLine="0" w:firstLineChars="0"/>
              <w:jc w:val="left"/>
              <w:rPr>
                <w:rFonts w:hint="eastAsia" w:ascii="宋体" w:hAnsi="宋体"/>
                <w:highlight w:val="none"/>
              </w:rPr>
            </w:pPr>
            <w:r>
              <w:rPr>
                <w:rFonts w:hint="eastAsia" w:ascii="宋体" w:hAnsi="宋体"/>
                <w:highlight w:val="none"/>
              </w:rPr>
              <w:t>（2）设备的安装必须符合有关标准和规范。安装过程中采购人将对设备的安装质量进行监督。</w:t>
            </w:r>
          </w:p>
          <w:p>
            <w:pPr>
              <w:tabs>
                <w:tab w:val="left" w:pos="0"/>
              </w:tabs>
              <w:ind w:firstLine="0" w:firstLineChars="0"/>
              <w:jc w:val="left"/>
              <w:rPr>
                <w:rFonts w:hint="eastAsia" w:ascii="宋体" w:hAnsi="宋体"/>
                <w:highlight w:val="none"/>
              </w:rPr>
            </w:pPr>
            <w:r>
              <w:rPr>
                <w:rFonts w:hint="eastAsia" w:ascii="宋体" w:hAnsi="宋体"/>
                <w:highlight w:val="none"/>
              </w:rPr>
              <w:t>3.调试</w:t>
            </w:r>
          </w:p>
          <w:p>
            <w:pPr>
              <w:tabs>
                <w:tab w:val="left" w:pos="0"/>
              </w:tabs>
              <w:ind w:firstLine="0" w:firstLineChars="0"/>
              <w:jc w:val="left"/>
              <w:rPr>
                <w:rFonts w:hint="eastAsia" w:ascii="宋体" w:hAnsi="宋体"/>
                <w:highlight w:val="none"/>
              </w:rPr>
            </w:pPr>
            <w:r>
              <w:rPr>
                <w:rFonts w:hint="eastAsia" w:ascii="宋体" w:hAnsi="宋体"/>
                <w:highlight w:val="none"/>
              </w:rPr>
              <w:t>设备安装就位、校准后，中标供应商应按事先被采购人认可的调试验收计划对设备进行调试。本项目提供的终端软硬件安装调试服务包括且不限于终端软硬件的安装、数据迁移、回收等工作。其中终端软硬件的集成实施包括从设备到货、上线部署、采购人数据迁移、到采购人使用培训等工作，协助采购人从非信创终端无缝切换到信创终端的使用环境。</w:t>
            </w:r>
          </w:p>
          <w:p>
            <w:pPr>
              <w:tabs>
                <w:tab w:val="left" w:pos="0"/>
              </w:tabs>
              <w:ind w:firstLine="0" w:firstLineChars="0"/>
              <w:jc w:val="left"/>
              <w:rPr>
                <w:rFonts w:hint="eastAsia" w:ascii="宋体" w:hAnsi="宋体"/>
                <w:highlight w:val="none"/>
              </w:rPr>
            </w:pPr>
            <w:r>
              <w:rPr>
                <w:rFonts w:hint="eastAsia" w:ascii="宋体" w:hAnsi="宋体"/>
                <w:highlight w:val="none"/>
              </w:rPr>
              <w:t xml:space="preserve">4.初验 </w:t>
            </w:r>
          </w:p>
          <w:p>
            <w:pPr>
              <w:tabs>
                <w:tab w:val="left" w:pos="0"/>
              </w:tabs>
              <w:ind w:firstLine="0" w:firstLineChars="0"/>
              <w:jc w:val="left"/>
              <w:rPr>
                <w:rFonts w:hint="eastAsia" w:ascii="宋体" w:hAnsi="宋体"/>
                <w:highlight w:val="none"/>
              </w:rPr>
            </w:pPr>
            <w:r>
              <w:rPr>
                <w:rFonts w:hint="eastAsia" w:ascii="宋体" w:hAnsi="宋体"/>
                <w:highlight w:val="none"/>
              </w:rPr>
              <w:t>安装调试完成后，中标供应商需提供给采购人一份符合采购人要求完整的、合理的、科学的验收资料。采购人在接到初步验收申请之日起5个工作日内组织初步验收。</w:t>
            </w:r>
          </w:p>
          <w:p>
            <w:pPr>
              <w:tabs>
                <w:tab w:val="left" w:pos="0"/>
              </w:tabs>
              <w:ind w:firstLine="0" w:firstLineChars="0"/>
              <w:jc w:val="left"/>
              <w:rPr>
                <w:rFonts w:hint="eastAsia" w:ascii="宋体" w:hAnsi="宋体"/>
                <w:highlight w:val="none"/>
              </w:rPr>
            </w:pPr>
            <w:r>
              <w:rPr>
                <w:rFonts w:hint="eastAsia" w:ascii="宋体" w:hAnsi="宋体"/>
                <w:highlight w:val="none"/>
              </w:rPr>
              <w:t>5.试运行</w:t>
            </w:r>
          </w:p>
          <w:p>
            <w:pPr>
              <w:tabs>
                <w:tab w:val="left" w:pos="0"/>
              </w:tabs>
              <w:ind w:firstLine="0" w:firstLineChars="0"/>
              <w:jc w:val="left"/>
              <w:rPr>
                <w:rFonts w:hint="eastAsia" w:ascii="宋体" w:hAnsi="宋体"/>
                <w:highlight w:val="none"/>
              </w:rPr>
            </w:pPr>
            <w:r>
              <w:rPr>
                <w:rFonts w:hint="eastAsia" w:ascii="宋体" w:hAnsi="宋体"/>
                <w:highlight w:val="none"/>
              </w:rPr>
              <w:t>初步验收通过后，经不少于一个月的试运行，具体为每日对设备进行运行检查。</w:t>
            </w:r>
          </w:p>
          <w:p>
            <w:pPr>
              <w:tabs>
                <w:tab w:val="left" w:pos="0"/>
              </w:tabs>
              <w:ind w:firstLine="0" w:firstLineChars="0"/>
              <w:jc w:val="left"/>
              <w:rPr>
                <w:rFonts w:hint="eastAsia" w:ascii="宋体" w:hAnsi="宋体"/>
                <w:highlight w:val="none"/>
              </w:rPr>
            </w:pPr>
            <w:r>
              <w:rPr>
                <w:rFonts w:hint="eastAsia" w:ascii="宋体" w:hAnsi="宋体"/>
                <w:highlight w:val="none"/>
              </w:rPr>
              <w:t>6.终验</w:t>
            </w:r>
          </w:p>
          <w:p>
            <w:pPr>
              <w:tabs>
                <w:tab w:val="left" w:pos="0"/>
              </w:tabs>
              <w:ind w:firstLine="0" w:firstLineChars="0"/>
              <w:jc w:val="left"/>
              <w:rPr>
                <w:rFonts w:hint="eastAsia" w:asciiTheme="minorEastAsia" w:hAnsiTheme="minorEastAsia" w:eastAsiaTheme="minorEastAsia" w:cstheme="minorEastAsia"/>
                <w:highlight w:val="none"/>
              </w:rPr>
            </w:pPr>
            <w:r>
              <w:rPr>
                <w:rFonts w:hint="eastAsia" w:ascii="宋体" w:hAnsi="宋体"/>
                <w:highlight w:val="none"/>
              </w:rPr>
              <w:t>试运行结束后，中标供应商提出最终验收，采购人接到最终验收申请之日起5个工作日内组织最终验收，并出具验收单。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270"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交货地点、交货时间</w:t>
            </w:r>
          </w:p>
        </w:tc>
        <w:tc>
          <w:tcPr>
            <w:tcW w:w="7252" w:type="dxa"/>
            <w:tcBorders>
              <w:top w:val="single" w:color="auto" w:sz="4" w:space="0"/>
              <w:left w:val="single" w:color="auto" w:sz="4" w:space="0"/>
              <w:bottom w:val="single" w:color="auto" w:sz="4" w:space="0"/>
              <w:right w:val="single" w:color="auto" w:sz="4" w:space="0"/>
            </w:tcBorders>
            <w:vAlign w:val="center"/>
          </w:tcPr>
          <w:p>
            <w:pPr>
              <w:widowControl/>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1.交货地点：</w:t>
            </w:r>
            <w:r>
              <w:rPr>
                <w:rFonts w:hint="eastAsia" w:asciiTheme="minorEastAsia" w:hAnsiTheme="minorEastAsia" w:eastAsiaTheme="minorEastAsia" w:cstheme="minorEastAsia"/>
                <w:color w:val="171A1D"/>
                <w:kern w:val="0"/>
                <w:highlight w:val="none"/>
                <w:shd w:val="clear" w:color="auto" w:fill="FFFFFF"/>
                <w:lang w:bidi="ar"/>
              </w:rPr>
              <w:t>嘉兴职业技术学院 现代教育技术中心仓库</w:t>
            </w:r>
          </w:p>
          <w:p>
            <w:pPr>
              <w:widowControl/>
              <w:ind w:firstLine="0" w:firstLineChars="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2.交货时间：合同签订后，于2026年12月底前完成所有设备交货、安装、调试</w:t>
            </w:r>
            <w:r>
              <w:rPr>
                <w:rFonts w:hint="eastAsia" w:asciiTheme="minorEastAsia" w:hAnsiTheme="minorEastAsia" w:eastAsiaTheme="minorEastAsia" w:cstheme="minorEastAsia"/>
                <w:color w:val="auto"/>
                <w:highlight w:val="none"/>
                <w:lang w:eastAsia="zh-CN"/>
              </w:rPr>
              <w:t>、试运行</w:t>
            </w:r>
            <w:r>
              <w:rPr>
                <w:rFonts w:hint="eastAsia" w:asciiTheme="minorEastAsia" w:hAnsiTheme="minorEastAsia" w:eastAsiaTheme="minorEastAsia" w:cstheme="minorEastAsia"/>
                <w:color w:val="auto"/>
                <w:highlight w:val="none"/>
              </w:rPr>
              <w:t>工作，并交付采购人验收。</w:t>
            </w:r>
          </w:p>
          <w:p>
            <w:pPr>
              <w:pStyle w:val="37"/>
              <w:ind w:left="0" w:leftChars="0" w:firstLine="0" w:firstLineChars="0"/>
              <w:jc w:val="left"/>
              <w:rPr>
                <w:rFonts w:hint="eastAsia"/>
              </w:rPr>
            </w:pPr>
            <w:r>
              <w:rPr>
                <w:rFonts w:hint="eastAsia" w:asciiTheme="minorEastAsia" w:hAnsiTheme="minorEastAsia" w:eastAsiaTheme="minorEastAsia" w:cstheme="minorEastAsia"/>
                <w:color w:val="auto"/>
                <w:kern w:val="2"/>
                <w:sz w:val="24"/>
                <w:szCs w:val="24"/>
                <w:highlight w:val="none"/>
                <w:lang w:val="en-US" w:eastAsia="zh-CN" w:bidi="ar-SA"/>
              </w:rPr>
              <w:t>3.中标供应商提出验收申请后，采购人在接到验收申请之日起5个工作日内组织验收，并出具验收单。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1270"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售后要求</w:t>
            </w:r>
          </w:p>
        </w:tc>
        <w:tc>
          <w:tcPr>
            <w:tcW w:w="7252" w:type="dxa"/>
            <w:tcBorders>
              <w:top w:val="single" w:color="auto" w:sz="4" w:space="0"/>
              <w:left w:val="single" w:color="auto" w:sz="4" w:space="0"/>
              <w:bottom w:val="single" w:color="auto" w:sz="4" w:space="0"/>
              <w:right w:val="single" w:color="auto" w:sz="4" w:space="0"/>
            </w:tcBorders>
            <w:vAlign w:val="center"/>
          </w:tcPr>
          <w:p>
            <w:pPr>
              <w:tabs>
                <w:tab w:val="left" w:pos="0"/>
              </w:tabs>
              <w:ind w:firstLine="0" w:firstLineChars="0"/>
              <w:rPr>
                <w:rFonts w:hint="eastAsia" w:ascii="宋体" w:hAnsi="宋体"/>
                <w:highlight w:val="none"/>
              </w:rPr>
            </w:pPr>
            <w:r>
              <w:rPr>
                <w:rFonts w:hint="eastAsia" w:ascii="宋体" w:hAnsi="宋体"/>
                <w:highlight w:val="none"/>
              </w:rPr>
              <w:t>1.当发生故障时，中标供应商在接到采购人通知后，供应商响应时间不超过30分钟，运维人员应在2小时内到达及时排除解决，如故障12小时内无法排除解决，中标供应商应负责使用替代设备，以保证在维修与维护期间不影响采购人的正常使用，维修与维护完毕后再换回原产品，其费用由中标供应商承担。</w:t>
            </w:r>
          </w:p>
          <w:p>
            <w:pPr>
              <w:tabs>
                <w:tab w:val="left" w:pos="0"/>
              </w:tabs>
              <w:ind w:firstLine="0" w:firstLineChars="0"/>
              <w:jc w:val="left"/>
              <w:rPr>
                <w:rFonts w:hint="eastAsia" w:asciiTheme="minorEastAsia" w:hAnsiTheme="minorEastAsia" w:eastAsiaTheme="minorEastAsia" w:cstheme="minorEastAsia"/>
                <w:highlight w:val="none"/>
              </w:rPr>
            </w:pPr>
            <w:r>
              <w:rPr>
                <w:rFonts w:hint="eastAsia" w:ascii="宋体" w:hAnsi="宋体"/>
                <w:highlight w:val="none"/>
              </w:rPr>
              <w:t>2.提供7*24小时技术支持服务，包括日常使用设备及相关配套软硬件故障排查、系统升级、技术支持、应急处理等情况，确保运维服务的完整性和连续性；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1270" w:type="dxa"/>
            <w:tcBorders>
              <w:top w:val="single" w:color="auto" w:sz="4" w:space="0"/>
              <w:left w:val="single" w:color="auto" w:sz="4" w:space="0"/>
              <w:bottom w:val="single" w:color="auto" w:sz="4" w:space="0"/>
              <w:right w:val="single" w:color="auto" w:sz="4" w:space="0"/>
            </w:tcBorders>
            <w:vAlign w:val="center"/>
          </w:tcPr>
          <w:p>
            <w:pPr>
              <w:tabs>
                <w:tab w:val="left" w:pos="0"/>
              </w:tabs>
              <w:snapToGrid w:val="0"/>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报价要求</w:t>
            </w:r>
          </w:p>
        </w:tc>
        <w:tc>
          <w:tcPr>
            <w:tcW w:w="7252" w:type="dxa"/>
            <w:tcBorders>
              <w:top w:val="single" w:color="auto" w:sz="4" w:space="0"/>
              <w:left w:val="single" w:color="auto" w:sz="4" w:space="0"/>
              <w:bottom w:val="single" w:color="auto" w:sz="4" w:space="0"/>
              <w:right w:val="single" w:color="auto" w:sz="4" w:space="0"/>
            </w:tcBorders>
            <w:vAlign w:val="center"/>
          </w:tcPr>
          <w:p>
            <w:pPr>
              <w:tabs>
                <w:tab w:val="left" w:pos="0"/>
              </w:tabs>
              <w:ind w:firstLine="0" w:firstLineChars="0"/>
              <w:jc w:val="left"/>
              <w:rPr>
                <w:rFonts w:hint="eastAsia" w:ascii="宋体" w:hAnsi="宋体"/>
                <w:highlight w:val="none"/>
              </w:rPr>
            </w:pPr>
            <w:r>
              <w:rPr>
                <w:rFonts w:hint="eastAsia" w:ascii="宋体" w:hAnsi="宋体"/>
                <w:highlight w:val="none"/>
              </w:rPr>
              <w:t>1.包含货物的价格及安装、调试、</w:t>
            </w:r>
            <w:r>
              <w:rPr>
                <w:rFonts w:hint="eastAsia" w:ascii="宋体" w:hAnsi="宋体"/>
                <w:highlight w:val="none"/>
                <w:lang w:eastAsia="zh-CN"/>
              </w:rPr>
              <w:t>试运行、</w:t>
            </w:r>
            <w:r>
              <w:rPr>
                <w:rFonts w:hint="eastAsia" w:ascii="宋体" w:hAnsi="宋体"/>
                <w:highlight w:val="none"/>
              </w:rPr>
              <w:t>保修、售后服务、包装和运输、保险等货物伴随服务的费用、所需缴纳的所有税费，采购人不承担由于本项目实施而产生的任何费用。</w:t>
            </w:r>
          </w:p>
          <w:p>
            <w:pPr>
              <w:tabs>
                <w:tab w:val="left" w:pos="0"/>
              </w:tabs>
              <w:ind w:firstLine="0" w:firstLineChars="0"/>
              <w:jc w:val="left"/>
              <w:rPr>
                <w:rFonts w:hint="eastAsia" w:ascii="宋体" w:hAnsi="宋体"/>
                <w:highlight w:val="none"/>
              </w:rPr>
            </w:pPr>
            <w:r>
              <w:rPr>
                <w:rFonts w:hint="eastAsia" w:ascii="宋体" w:hAnsi="宋体"/>
                <w:highlight w:val="none"/>
              </w:rPr>
              <w:t>2.有关本项目实施所需的所有费用（含税费）均计入报价。开标一览表（报价表）是报价的唯一载体。投标文件中价格全部采用人民币报价。招标文件未列明，而供应商认为必需的费用也需列入报价。</w:t>
            </w:r>
          </w:p>
          <w:p>
            <w:pPr>
              <w:tabs>
                <w:tab w:val="left" w:pos="0"/>
              </w:tabs>
              <w:ind w:firstLine="0" w:firstLineChars="0"/>
              <w:jc w:val="left"/>
              <w:rPr>
                <w:rFonts w:hint="eastAsia" w:ascii="宋体" w:hAnsi="宋体"/>
                <w:highlight w:val="none"/>
              </w:rPr>
            </w:pPr>
            <w:r>
              <w:rPr>
                <w:rFonts w:hint="eastAsia" w:ascii="宋体" w:hAnsi="宋体"/>
                <w:highlight w:val="none"/>
              </w:rPr>
              <w:t>3.投标（响应）报价低于采购项目最高限价45%的，即投标（响应）报价&lt;采购项目最高限价×45%；供应商应当随投标文件一并提交相关书面说明及必要的证明材料，如不提供的，投标无效。格式自拟。</w:t>
            </w:r>
          </w:p>
          <w:p>
            <w:pPr>
              <w:tabs>
                <w:tab w:val="left" w:pos="0"/>
              </w:tabs>
              <w:ind w:firstLine="0" w:firstLineChars="0"/>
              <w:jc w:val="left"/>
              <w:rPr>
                <w:rFonts w:hint="eastAsia" w:asciiTheme="minorEastAsia" w:hAnsiTheme="minorEastAsia" w:eastAsiaTheme="minorEastAsia" w:cstheme="minorEastAsia"/>
                <w:highlight w:val="none"/>
              </w:rPr>
            </w:pPr>
            <w:r>
              <w:rPr>
                <w:rFonts w:hint="eastAsia" w:ascii="宋体" w:hAnsi="宋体"/>
                <w:b/>
                <w:bCs/>
                <w:highlight w:val="none"/>
              </w:rPr>
              <w:t>提醒：验收时检测费、专家费等验收所产生的合理费用由采购人承担，不包含在投标总价中，若由供应商原因造成的验收不合格所产生的费用，由供应商承担。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49" w:hRule="atLeast"/>
        </w:trPr>
        <w:tc>
          <w:tcPr>
            <w:tcW w:w="1270" w:type="dxa"/>
            <w:tcBorders>
              <w:top w:val="single" w:color="auto" w:sz="4" w:space="0"/>
              <w:left w:val="single" w:color="auto" w:sz="4" w:space="0"/>
              <w:bottom w:val="single" w:color="auto" w:sz="4" w:space="0"/>
              <w:right w:val="single" w:color="auto" w:sz="4" w:space="0"/>
            </w:tcBorders>
            <w:vAlign w:val="center"/>
          </w:tcPr>
          <w:p>
            <w:pPr>
              <w:spacing w:before="156" w:beforeLines="50"/>
              <w:ind w:firstLine="0" w:firstLineChars="0"/>
              <w:jc w:val="center"/>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付款条件及合同支付</w:t>
            </w:r>
          </w:p>
        </w:tc>
        <w:tc>
          <w:tcPr>
            <w:tcW w:w="7252" w:type="dxa"/>
            <w:tcBorders>
              <w:top w:val="single" w:color="auto" w:sz="4" w:space="0"/>
              <w:left w:val="single" w:color="auto" w:sz="4" w:space="0"/>
              <w:bottom w:val="single" w:color="auto" w:sz="4" w:space="0"/>
              <w:right w:val="single" w:color="auto" w:sz="4" w:space="0"/>
            </w:tcBorders>
            <w:vAlign w:val="center"/>
          </w:tcPr>
          <w:p>
            <w:pPr>
              <w:pStyle w:val="68"/>
              <w:autoSpaceDE/>
              <w:autoSpaceDN/>
              <w:adjustRightInd/>
              <w:spacing w:line="360" w:lineRule="auto"/>
              <w:rPr>
                <w:rFonts w:hint="eastAsia" w:asciiTheme="minorEastAsia" w:hAnsiTheme="minorEastAsia" w:eastAsiaTheme="minorEastAsia" w:cstheme="minorEastAsia"/>
                <w:color w:val="auto"/>
                <w:kern w:val="2"/>
                <w:highlight w:val="none"/>
              </w:rPr>
            </w:pPr>
            <w:r>
              <w:rPr>
                <w:rFonts w:hint="eastAsia" w:asciiTheme="minorEastAsia" w:hAnsiTheme="minorEastAsia" w:eastAsiaTheme="minorEastAsia" w:cstheme="minorEastAsia"/>
                <w:color w:val="auto"/>
                <w:highlight w:val="none"/>
              </w:rPr>
              <w:t>按浙财采监〔2025〕10号文件执行。</w:t>
            </w:r>
            <w:r>
              <w:rPr>
                <w:rFonts w:hint="eastAsia" w:asciiTheme="minorEastAsia" w:hAnsiTheme="minorEastAsia" w:eastAsiaTheme="minorEastAsia" w:cstheme="minorEastAsia"/>
                <w:color w:val="auto"/>
                <w:kern w:val="2"/>
                <w:highlight w:val="none"/>
              </w:rPr>
              <w:t>自合同生效且具备实施条件后7个工作日内支付合同总价款60%，项目全部完工经安装调试、验收合格后7个工作日内支付至合同价款100%。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270" w:type="dxa"/>
            <w:tcBorders>
              <w:top w:val="single" w:color="auto" w:sz="4" w:space="0"/>
              <w:left w:val="single" w:color="auto" w:sz="4" w:space="0"/>
              <w:bottom w:val="single" w:color="auto" w:sz="4" w:space="0"/>
              <w:right w:val="single" w:color="auto" w:sz="4" w:space="0"/>
            </w:tcBorders>
            <w:vAlign w:val="center"/>
          </w:tcPr>
          <w:p>
            <w:pPr>
              <w:pStyle w:val="3"/>
              <w:spacing w:before="156" w:after="156"/>
              <w:rPr>
                <w:rFonts w:hint="eastAsia" w:asciiTheme="minorEastAsia" w:hAnsiTheme="minorEastAsia" w:eastAsiaTheme="minorEastAsia" w:cstheme="minorEastAsia"/>
                <w:b w:val="0"/>
                <w:sz w:val="24"/>
                <w:highlight w:val="none"/>
              </w:rPr>
            </w:pPr>
            <w:r>
              <w:rPr>
                <w:rFonts w:hint="eastAsia" w:asciiTheme="minorEastAsia" w:hAnsiTheme="minorEastAsia" w:eastAsiaTheme="minorEastAsia" w:cstheme="minorEastAsia"/>
                <w:b w:val="0"/>
                <w:sz w:val="24"/>
                <w:highlight w:val="none"/>
              </w:rPr>
              <w:t>责任认定</w:t>
            </w:r>
          </w:p>
        </w:tc>
        <w:tc>
          <w:tcPr>
            <w:tcW w:w="7252"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highlight w:val="none"/>
              </w:rPr>
              <w:t>在质保期内，因中标供应商的原因，未能完全履行服务承诺，采购人有权追究中标供应商的责任。</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bCs/>
                <w:highlight w:val="none"/>
              </w:rPr>
            </w:pPr>
            <w:r>
              <w:rPr>
                <w:rFonts w:hint="eastAsia" w:asciiTheme="minorEastAsia" w:hAnsiTheme="minorEastAsia" w:eastAsiaTheme="minorEastAsia" w:cstheme="minorEastAsia"/>
                <w:bCs/>
                <w:highlight w:val="none"/>
              </w:rPr>
              <w:t>政策性条件</w:t>
            </w:r>
          </w:p>
        </w:tc>
        <w:tc>
          <w:tcPr>
            <w:tcW w:w="7252" w:type="dxa"/>
            <w:tcBorders>
              <w:top w:val="single" w:color="auto" w:sz="4" w:space="0"/>
              <w:left w:val="single" w:color="auto" w:sz="4" w:space="0"/>
              <w:bottom w:val="single" w:color="auto" w:sz="4" w:space="0"/>
              <w:right w:val="single" w:color="auto" w:sz="4" w:space="0"/>
            </w:tcBorders>
            <w:vAlign w:val="center"/>
          </w:tcPr>
          <w:p>
            <w:pPr>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投标供应商属于监狱企业、残疾人福利性单位视为小型、微型企业，享受中小企业政策扶持。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1270" w:type="dxa"/>
            <w:tcBorders>
              <w:top w:val="single" w:color="auto" w:sz="4" w:space="0"/>
              <w:left w:val="single" w:color="auto" w:sz="4" w:space="0"/>
              <w:bottom w:val="single" w:color="auto" w:sz="4" w:space="0"/>
              <w:right w:val="single" w:color="auto" w:sz="4" w:space="0"/>
            </w:tcBorders>
            <w:vAlign w:val="center"/>
          </w:tcPr>
          <w:p>
            <w:pPr>
              <w:ind w:firstLine="0" w:firstLineChars="0"/>
              <w:jc w:val="center"/>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特殊条款</w:t>
            </w:r>
          </w:p>
        </w:tc>
        <w:tc>
          <w:tcPr>
            <w:tcW w:w="7252" w:type="dxa"/>
            <w:tcBorders>
              <w:top w:val="single" w:color="auto" w:sz="4" w:space="0"/>
              <w:left w:val="single" w:color="auto" w:sz="4" w:space="0"/>
              <w:bottom w:val="single" w:color="auto" w:sz="4" w:space="0"/>
              <w:right w:val="single" w:color="auto" w:sz="4" w:space="0"/>
            </w:tcBorders>
            <w:vAlign w:val="center"/>
          </w:tcPr>
          <w:p>
            <w:pPr>
              <w:autoSpaceDE w:val="0"/>
              <w:autoSpaceDN w:val="0"/>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招标文件中的技术要求（规格）书为原则性要求，并不是详尽的要求，中标供应商有责任对投标文件中提出的技术规范、标准负责。中标供应商对投标内容所涉及的专利承担责任，并负责保护采购人的利益不受任何损害。一切由于文字、商标、技术等专利引起的法律裁决、诉讼和费用均与采购人无关。</w:t>
            </w:r>
          </w:p>
        </w:tc>
      </w:tr>
    </w:tbl>
    <w:p>
      <w:pPr>
        <w:ind w:firstLine="480"/>
        <w:rPr>
          <w:rFonts w:hint="eastAsia" w:asciiTheme="minorEastAsia" w:hAnsiTheme="minorEastAsia" w:eastAsiaTheme="minorEastAsia" w:cstheme="minorEastAsia"/>
          <w:highlight w:val="none"/>
        </w:rPr>
      </w:pPr>
    </w:p>
    <w:p>
      <w:pPr>
        <w:pStyle w:val="24"/>
        <w:spacing w:beforeAutospacing="0" w:afterAutospacing="0"/>
        <w:ind w:firstLine="0" w:firstLineChars="0"/>
        <w:jc w:val="both"/>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bookmarkEnd w:id="0"/>
    </w:p>
    <w:bookmarkEnd w:id="1"/>
    <w:p>
      <w:pPr>
        <w:pStyle w:val="3"/>
        <w:suppressAutoHyphens/>
        <w:snapToGrid w:val="0"/>
        <w:spacing w:before="156" w:after="156" w:line="300" w:lineRule="auto"/>
        <w:rPr>
          <w:rFonts w:hint="eastAsia" w:asciiTheme="minorEastAsia" w:hAnsiTheme="minorEastAsia" w:eastAsiaTheme="minorEastAsia" w:cstheme="minorEastAsia"/>
          <w:b w:val="0"/>
          <w:sz w:val="48"/>
          <w:szCs w:val="48"/>
        </w:rPr>
      </w:pPr>
      <w:bookmarkStart w:id="11" w:name="_Toc24160"/>
      <w:bookmarkStart w:id="12" w:name="_Hlk78982992"/>
      <w:r>
        <w:rPr>
          <w:rFonts w:hint="eastAsia" w:asciiTheme="minorEastAsia" w:hAnsiTheme="minorEastAsia" w:eastAsiaTheme="minorEastAsia" w:cstheme="minorEastAsia"/>
          <w:sz w:val="48"/>
          <w:szCs w:val="48"/>
        </w:rPr>
        <w:t>第三章  供应商须知</w:t>
      </w:r>
    </w:p>
    <w:p>
      <w:pPr>
        <w:ind w:firstLine="482"/>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电子交易注意事项</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政府采购项目电子交易活动适用《浙江省政府采购项目电子交易管理暂行办法》，现将相关注意事项告知如下：</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1.集中采购机构按照招标文件规定的时间通过电子交易平台组织开标、开启投标文件，所有供应商均应当准时在线参加，直至评审结束。</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2.投标文件未按时解密，供应商如提供备份投标文件的，以符合要求的备份投标文件作为依据，否则视为投标文件撤回。投标文件已按时解密的，备份投标文件自动失效。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3.采购过程中出现以下情形，导致电子交易平台无法正常运行，或者无法保证电子交易的公平、公正和安全时，集中采购机构可中止电子交易活动：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（一）电子交易平台发生故障而无法登录访问的。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（二）电子交易平台应用或数据库出现错误，不能进行正常操作的。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（三）电子交易平台发现严重安全漏洞，有潜在泄密危险的。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（四）病毒发作导致不能进行正常操作的。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（五）其他无法保证电子交易的公平、公正和安全的情况。</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出现前款规定情形，不影响采购公平、公正性的，集中采购机构可以待上述情形消除后继续组织电子交易活动，也可以决定某些环节以纸质形式进行；影响或可能影响采购公平、公正性的，应当重新采购。</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4.评审中需要供应商对投标文件作出澄清、说明或者补正的，评审小组和供应商应当通过电子交易平台交换数据电文。供应商需在半小时内提交澄清说明或补正，供应商已经明确表示澄清说明或补正完毕的除外。</w:t>
      </w:r>
    </w:p>
    <w:p>
      <w:pPr>
        <w:ind w:firstLine="482"/>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前附表</w:t>
      </w:r>
    </w:p>
    <w:tbl>
      <w:tblPr>
        <w:tblStyle w:val="29"/>
        <w:tblW w:w="9216" w:type="dxa"/>
        <w:tblInd w:w="-3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3"/>
        <w:gridCol w:w="1983"/>
        <w:gridCol w:w="64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事项</w:t>
            </w:r>
          </w:p>
        </w:tc>
        <w:tc>
          <w:tcPr>
            <w:tcW w:w="6450" w:type="dxa"/>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本项目的特别规定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项目名称</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2026年嘉兴职业技术学院教学用计算机、LED屏、智慧黑板等设备采购项目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采购内容</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详见第二章招标需求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报价要求</w:t>
            </w:r>
          </w:p>
        </w:tc>
        <w:tc>
          <w:tcPr>
            <w:tcW w:w="6450" w:type="dxa"/>
          </w:tcPr>
          <w:p>
            <w:pPr>
              <w:tabs>
                <w:tab w:val="left" w:pos="0"/>
              </w:tabs>
              <w:snapToGrid w:val="0"/>
              <w:ind w:firstLine="0" w:firstLineChars="0"/>
              <w:rPr>
                <w:rFonts w:hint="eastAsia" w:ascii="宋体" w:hAnsi="宋体"/>
              </w:rPr>
            </w:pPr>
            <w:r>
              <w:rPr>
                <w:rFonts w:hint="eastAsia" w:ascii="宋体" w:hAnsi="宋体"/>
              </w:rPr>
              <w:t>1.包含货物的价格及安装、调试、</w:t>
            </w:r>
            <w:r>
              <w:rPr>
                <w:rFonts w:hint="eastAsia" w:ascii="宋体" w:hAnsi="宋体"/>
                <w:lang w:eastAsia="zh-CN"/>
              </w:rPr>
              <w:t>试运行、</w:t>
            </w:r>
            <w:r>
              <w:rPr>
                <w:rFonts w:hint="eastAsia" w:ascii="宋体" w:hAnsi="宋体"/>
              </w:rPr>
              <w:t>保修、售后服务、包装和运输、保险等货物伴随服务的费用、所需缴纳的所有税费，采购人不承担由于本项目实施而产生的任何费用。</w:t>
            </w:r>
          </w:p>
          <w:p>
            <w:pPr>
              <w:tabs>
                <w:tab w:val="left" w:pos="0"/>
              </w:tabs>
              <w:snapToGrid w:val="0"/>
              <w:ind w:firstLine="0" w:firstLineChars="0"/>
              <w:rPr>
                <w:rFonts w:hint="eastAsia" w:ascii="宋体" w:hAnsi="宋体"/>
              </w:rPr>
            </w:pPr>
            <w:r>
              <w:rPr>
                <w:rFonts w:hint="eastAsia" w:ascii="宋体" w:hAnsi="宋体"/>
              </w:rPr>
              <w:t>2.有关本项目实施所需的所有费用（含税费）均计入报价。开标一览表（报价表）是报价的唯一载体。投标文件中价格全部采用人民币报价。招标文件未列明，而供应商认为必需的费用也需列入报价。</w:t>
            </w:r>
          </w:p>
          <w:p>
            <w:pPr>
              <w:tabs>
                <w:tab w:val="left" w:pos="0"/>
              </w:tabs>
              <w:snapToGrid w:val="0"/>
              <w:ind w:firstLine="0" w:firstLineChars="0"/>
              <w:rPr>
                <w:rFonts w:hint="eastAsia" w:ascii="宋体" w:hAnsi="宋体"/>
              </w:rPr>
            </w:pPr>
            <w:r>
              <w:rPr>
                <w:rFonts w:hint="eastAsia" w:ascii="宋体" w:hAnsi="宋体"/>
              </w:rPr>
              <w:t>3.投标（响应）报价低于采购项目最高限价45%的，即投标（响应）报价&lt;采购项目最高限价×45%；供应商应当随投标文件一并提交相关书面说明及必要的证明材料，如不提供的，投标无效。格式自拟。</w:t>
            </w:r>
          </w:p>
          <w:p>
            <w:pPr>
              <w:ind w:firstLine="0" w:firstLineChars="0"/>
              <w:jc w:val="left"/>
              <w:rPr>
                <w:rFonts w:hint="eastAsia" w:asciiTheme="minorEastAsia" w:hAnsiTheme="minorEastAsia" w:eastAsiaTheme="minorEastAsia" w:cstheme="minorEastAsia"/>
              </w:rPr>
            </w:pPr>
            <w:r>
              <w:rPr>
                <w:rFonts w:hint="eastAsia" w:ascii="宋体" w:hAnsi="宋体"/>
                <w:b/>
                <w:bCs/>
              </w:rPr>
              <w:t>提醒：验收时检测费、专家费等验收所产生的合理费用由采购人承担，不包含在投标总价中，若由供应商原因造成的验收不合格所产生的费用，由供应商承担。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4</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中小企业预留</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份额情况</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根据《政府采购促进中小企业发展管理办法》财库〔2020〕46号文件的规定，本项目</w:t>
            </w:r>
            <w:r>
              <w:rPr>
                <w:rFonts w:hint="eastAsia" w:asciiTheme="minorEastAsia" w:hAnsiTheme="minorEastAsia" w:eastAsiaTheme="minorEastAsia" w:cstheme="minorEastAsia"/>
                <w:b/>
                <w:bCs/>
                <w:u w:val="single"/>
              </w:rPr>
              <w:t>不属于</w:t>
            </w:r>
            <w:r>
              <w:rPr>
                <w:rFonts w:hint="eastAsia" w:asciiTheme="minorEastAsia" w:hAnsiTheme="minorEastAsia" w:eastAsiaTheme="minorEastAsia" w:cstheme="minorEastAsia"/>
              </w:rPr>
              <w:t>预留份额专门面向中小企业采购的项目。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5</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分包</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A同意将非主体、非关键性的</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工作分包。</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B不同意分包。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6</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开标前答疑会</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或现场踏勘</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A不组织。</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B组织，时间：</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，地点：</w:t>
            </w:r>
            <w:r>
              <w:rPr>
                <w:rFonts w:hint="eastAsia" w:asciiTheme="minorEastAsia" w:hAnsiTheme="minorEastAsia" w:eastAsiaTheme="minorEastAsia" w:cstheme="minorEastAsia"/>
                <w:u w:val="single"/>
              </w:rPr>
              <w:t>嘉兴市**区**路**号**室</w:t>
            </w:r>
            <w:r>
              <w:rPr>
                <w:rFonts w:hint="eastAsia" w:asciiTheme="minorEastAsia" w:hAnsiTheme="minorEastAsia" w:eastAsiaTheme="minorEastAsia" w:cstheme="minorEastAsia"/>
              </w:rPr>
              <w:t>，联系人：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，联系方式：</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7</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投标文件组成</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电子投标文件和备份投标文件均由资格文件、商务技术文件及投标报价文件三部分组成。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8</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开标时间及地点</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时间：2026年</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24</w:t>
            </w:r>
            <w:r>
              <w:rPr>
                <w:rFonts w:hint="eastAsia" w:asciiTheme="minorEastAsia" w:hAnsiTheme="minorEastAsia" w:eastAsiaTheme="minorEastAsia" w:cstheme="minorEastAsia"/>
              </w:rPr>
              <w:t>日9：30（北京时间）</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地点：政采云平台</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注：供应商无需到开标现场，但须准时在线参加，直至评审结束。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9</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方案讲解演示</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A不组织。</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B组织。</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1.在评标时安排每个供应商进行方案讲解演示。每个供应商时间不超过15分钟（不含专家提问时间），讲解次序以投标文件解密时间先后次序为准。讲解演示结束后按要求解答评标委员会提问。</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2.演示方式：</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政采云平台在线讲解演示。政采云平台在线讲解需供应商根据政采云平台操作要求做好准备工作，确保网络、摄像头、麦克风、演示环境等演示所需设备和系统正常稳定，并提前熟悉操作和使用。</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注：因供应商自身原因导致无法演示或者演示效果不理想的，责任自负。因平台原因导致本项目方案讲解演示环节无法顺利开展，按照《浙江省政府采购项目电子交易管理暂行办法》相关规定执行。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10</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是否允许采购</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进口产品</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本项目不允许采购进口产品。</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11</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本国产品</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不适用。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12</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项目属性</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与核心产品</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A货物类，核心产品为：</w:t>
            </w:r>
            <w:r>
              <w:rPr>
                <w:rFonts w:hint="eastAsia" w:asciiTheme="minorEastAsia" w:hAnsiTheme="minorEastAsia" w:eastAsiaTheme="minorEastAsia" w:cstheme="minorEastAsia"/>
                <w:u w:val="single"/>
                <w:lang w:eastAsia="zh-CN"/>
              </w:rPr>
              <w:t>序号</w:t>
            </w:r>
            <w:r>
              <w:rPr>
                <w:rFonts w:hint="eastAsia" w:asciiTheme="minorEastAsia" w:hAnsiTheme="minorEastAsia" w:eastAsiaTheme="minorEastAsia" w:cstheme="minorEastAsia"/>
                <w:u w:val="single"/>
                <w:lang w:val="en-US" w:eastAsia="zh-CN"/>
              </w:rPr>
              <w:t>1.</w:t>
            </w:r>
            <w:r>
              <w:rPr>
                <w:rFonts w:hint="eastAsia" w:ascii="汉仪叶叶相思体简" w:hAnsi="汉仪叶叶相思体简" w:eastAsia="汉仪叶叶相思体简" w:cs="汉仪叶叶相思体简"/>
                <w:u w:val="single"/>
                <w:lang w:eastAsia="zh-CN"/>
              </w:rPr>
              <w:t>★</w:t>
            </w:r>
            <w:r>
              <w:rPr>
                <w:rFonts w:hint="eastAsia" w:asciiTheme="minorEastAsia" w:hAnsiTheme="minorEastAsia" w:eastAsiaTheme="minorEastAsia" w:cstheme="minorEastAsia"/>
                <w:u w:val="single"/>
              </w:rPr>
              <w:t xml:space="preserve">算力工作站 </w:t>
            </w:r>
            <w:r>
              <w:rPr>
                <w:rFonts w:hint="eastAsia" w:asciiTheme="minorEastAsia" w:hAnsiTheme="minorEastAsia" w:eastAsiaTheme="minorEastAsia" w:cstheme="minorEastAsia"/>
              </w:rPr>
              <w:t>。</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B服务类。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13</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采购标的</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所属行业</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标的：</w:t>
            </w:r>
            <w:r>
              <w:rPr>
                <w:rFonts w:hint="eastAsia" w:asciiTheme="minorEastAsia" w:hAnsiTheme="minorEastAsia" w:eastAsiaTheme="minorEastAsia" w:cstheme="minorEastAsia"/>
                <w:u w:val="single"/>
                <w:lang w:eastAsia="zh-CN"/>
              </w:rPr>
              <w:t>算力工作站、</w:t>
            </w:r>
            <w:r>
              <w:rPr>
                <w:rFonts w:hint="eastAsia"/>
                <w:u w:val="single"/>
              </w:rPr>
              <w:t>图形工作站</w:t>
            </w:r>
            <w:r>
              <w:rPr>
                <w:rFonts w:hint="eastAsia"/>
                <w:u w:val="single"/>
                <w:lang w:eastAsia="zh-CN"/>
              </w:rPr>
              <w:t>，台式电脑等一批设备；</w:t>
            </w:r>
            <w:r>
              <w:rPr>
                <w:rFonts w:hint="eastAsia" w:asciiTheme="minorEastAsia" w:hAnsiTheme="minorEastAsia" w:eastAsiaTheme="minorEastAsia" w:cstheme="minorEastAsia"/>
              </w:rPr>
              <w:t>属于</w:t>
            </w:r>
            <w:r>
              <w:rPr>
                <w:rFonts w:hint="eastAsia" w:asciiTheme="minorEastAsia" w:hAnsiTheme="minorEastAsia" w:eastAsiaTheme="minorEastAsia" w:cstheme="minorEastAsia"/>
                <w:u w:val="single"/>
              </w:rPr>
              <w:t>工业</w:t>
            </w:r>
            <w:r>
              <w:rPr>
                <w:rFonts w:hint="eastAsia" w:asciiTheme="minorEastAsia" w:hAnsiTheme="minorEastAsia" w:eastAsiaTheme="minorEastAsia" w:cstheme="minorEastAsia"/>
              </w:rPr>
              <w:t>行业。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14</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节能产品、</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环境标志产品</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按《节能产品政府采购品目清单》财库〔2019〕19号执行；政府采购节能产品、环境标志产品实施品目清单管理：投标产品符合财库〔2019〕9号《关于调整优化节能产品、环境标志产品政府采购执行机制的通知》条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15</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评标结果公告及</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中标通知书</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评标结束后2个工作日内，评标结果公告于浙江政府采购网（http://www.zjzfcg.gov.cn/new/）。</w:t>
            </w:r>
            <w:r>
              <w:rPr>
                <w:rFonts w:hint="eastAsia" w:asciiTheme="minorEastAsia" w:hAnsiTheme="minorEastAsia" w:eastAsiaTheme="minorEastAsia" w:cstheme="minorEastAsia"/>
                <w:b/>
                <w:bCs/>
              </w:rPr>
              <w:t>（中标供应商为中小企业的，其声明函将随中标结果同时公告）</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中标公告期限为1个工作日。在公告中标结果的同时，集中采购机构在政采云系统向中标供应商发出中标通知书。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16</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签订合同时间</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中标通知书发出后30日内。建议采购人在对采购结果质疑期（自采购结果公告之日起七个工作日）后与中标供应商签订政府采购合同。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17</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合同公告</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本项目政府采购合同将于签订之日起2个工作日内发布于浙江政府采购网，但政府采购合同中涉及国家秘密、商业秘密的内容除外。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18</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本项目预算金额</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1311286元；最高限价为预算金额，</w:t>
            </w:r>
            <w:r>
              <w:rPr>
                <w:rFonts w:hint="eastAsia" w:ascii="宋体" w:hAnsi="宋体"/>
                <w:highlight w:val="none"/>
              </w:rPr>
              <w:t>总价超预算价或单价超最高限制单价的投标文件无效。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19</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付款条件</w:t>
            </w:r>
          </w:p>
        </w:tc>
        <w:tc>
          <w:tcPr>
            <w:tcW w:w="6450" w:type="dxa"/>
          </w:tcPr>
          <w:p>
            <w:pPr>
              <w:ind w:firstLine="0" w:firstLineChars="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按浙财采监〔2025〕10号文件执行。自合同生效且具备实施条件后7个工作日内支付合同总价款60%，项目全部完工经安装调试、验收合格后7个工作日内支付至合同价款100%。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20</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投标文件有效期</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90天。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21</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政策优惠</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1.根据财库〔2020〕46号、财库〔2022〕19号等相关规定，在评审时对于未预留份额专门面向中小企业的政府采购货物或服务项目，以及预留份额政府采购货物或服务项目中的非预留部分标项，对小型和微型企业的投标报价给予10%的扣除，用扣除后的价格参与评审。接受大中型企业与小微企业组成联合体或者允许大中型企业向一家或者多家小微企业分包的政府采购货物或服务项目，对于联合协议或者分包意向协议约定小微企业的合同份额占到合同总金额30%以上的，对联合体或者大中型企业的报价给予6%的扣除，用扣除后的价格参加评审。组成联合体或者接受分包的小微企业与联合体内其他企业、分包企业之间存在直接控股、管理关系的，不享受价格扣除优惠政策。属于小微企业的，投标文件必须提供《中小企业声明函》（模板见第六章）。</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2.根据财库〔2017〕141号的相关规定，在政府采购活动中，残疾人福利性单位视同小型、微型企业，享受评审中价格扣除政策。属于享受政府采购支持政策的残疾人福利性单位，应满足财库〔2017〕141号文件第一条的规定，并在投标文件中提供残疾人福利性单位声明函（见附件）。</w:t>
            </w:r>
          </w:p>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3.监狱企业同视为小型、微型企业，享受中小企业政策扶持。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22</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中小企业</w:t>
            </w:r>
          </w:p>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信用融资</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中标后也可在“政采云”平台申请政采贷：操作路径：登录政采云平台--金融服务中心--【融资服务】，可在热门申请中选择产品直接申请，也可点击云智贷匹配适合产品进行申请，或者在可申请项目中根据该项目进行申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23</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特别说明</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本招标文件的解释权属于采购人。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24</w:t>
            </w:r>
          </w:p>
        </w:tc>
        <w:tc>
          <w:tcPr>
            <w:tcW w:w="1983" w:type="dxa"/>
            <w:vAlign w:val="center"/>
          </w:tcPr>
          <w:p>
            <w:pPr>
              <w:ind w:firstLine="0" w:firstLineChars="0"/>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履约保证金</w:t>
            </w:r>
          </w:p>
        </w:tc>
        <w:tc>
          <w:tcPr>
            <w:tcW w:w="6450" w:type="dxa"/>
          </w:tcPr>
          <w:p>
            <w:pPr>
              <w:ind w:firstLine="0" w:firstLineChars="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无。</w:t>
            </w:r>
          </w:p>
        </w:tc>
      </w:tr>
    </w:tbl>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br w:type="page"/>
      </w:r>
      <w:r>
        <w:rPr>
          <w:rFonts w:hint="eastAsia" w:asciiTheme="minorEastAsia" w:hAnsiTheme="minorEastAsia" w:eastAsiaTheme="minorEastAsia" w:cstheme="minorEastAsia"/>
          <w:b/>
          <w:bCs/>
          <w:sz w:val="48"/>
          <w:szCs w:val="48"/>
        </w:rPr>
        <w:t>一、总则</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（一）适用范围</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本招标文件适用于该项目的招标、投标、开标、资格审查及信用信息查询、评标、定标、合同、验收等行为（法律、法规另有规定的，从其规定）。</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（二）定义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1.“采购人”系指招标公告中载明的本项目的采购人。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2.“采购代理机构”系指招标公告中载明的本项目的采购代理机构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3.“供应商”系指是指响应招标、参加投标竞争的法人、其他组织或自然人。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4.“负责人”系指法人企业的法定负责人，或其他组织为法律、行政法规规定代表单位行使职权的主要负责人，或自然人本人。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5.“产品”系指供方按招标文件规定，须向采购人提供的一切设备、保险、税金、备品备件、工具、手册及其他有关技术资料和材料。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6.“服务”系指招标文件规定供应商须承担的安装、调试、技术协助、校准、培训、技术指导以及其他类似的义务。</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7.“项目”系指供应商按招标文件规定向采购人提供的产品和服务。</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8.“书面形式”包括信函、传真、电报等。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9.“电子签名”系指数据电文中以电子形式所含、所附用于识别签名人身份并表明签名人认可其中内容的数据；“公章”系指单位法定名称章。</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10.“电子交易平台”是指本项目政府采购活动所依托的政府采购云平台（https://www.zcygov.cn/）。</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11.“▲”系指实质性要求条款，不满足实行性要求条款的投标文件无效。“</w:t>
      </w:r>
      <w:r>
        <w:rPr>
          <w:rFonts w:hint="eastAsia" w:asciiTheme="minorEastAsia" w:hAnsiTheme="minorEastAsia" w:eastAsiaTheme="minorEastAsia" w:cstheme="minorEastAsia"/>
        </w:rPr>
        <w:sym w:font="Wingdings" w:char="00FE"/>
      </w:r>
      <w:r>
        <w:rPr>
          <w:rFonts w:hint="eastAsia" w:asciiTheme="minorEastAsia" w:hAnsiTheme="minorEastAsia" w:eastAsiaTheme="minorEastAsia" w:cstheme="minorEastAsia"/>
        </w:rPr>
        <w:t>”系指适用本项目的要求，“</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rPr>
        <w:t>”系指不适用本项目的要求标，“</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”系指核心产品。</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（三）采购方式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本次招标采用公开采购方式进行。</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（四）投标费用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不论投标结果如何，供应商均应自行承担所有与投标有关的全部费用（招标文件有相反规定除外）。</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（五）相关政府采购政策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2.支持绿色发展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招标文件要求提供相关产品认证证书。</w:t>
      </w:r>
      <w:r>
        <w:rPr>
          <w:rFonts w:hint="eastAsia" w:asciiTheme="minorEastAsia" w:hAnsiTheme="minorEastAsia" w:eastAsiaTheme="minorEastAsia" w:cstheme="minorEastAsia"/>
          <w:b/>
          <w:bCs/>
        </w:rPr>
        <w:t>▲采购人拟采购的产品属于政府强制采购的节能产品品目清单范围的，供应商未按招标文件要求提供国家确定的认证机构出具的、处于有效期之内的节能产品认证证书的，投标无效。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 修缮、装修类项目采购建材的，采购人应将绿色建筑和绿色建材性能、指标等作为实质性条件纳入招标文件和合同。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3.支持中小企业发展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3.1中小企业，是指在中华人民共和国境内依法设立，依据国务院批准的中小企业划分标准确定的中型企业、小型企业和微型企业，但与大企业的负责人为同一人，或者与大企业存在直接控股、管理关系的除外。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符合中小企业划分标准的个体工商户，在政府采购活动中视同中小企业。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3.2在政府采购活动中，供应商提供的货物、工程或者服务符合下列情形的，享受中小企业扶持政策：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3.2.1在货物采购项目中，货物由中小企业制造，即货物由中小企业生产且使用该中小企业商号或者注册商标；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3.2.2在工程采购项目中，工程由中小企业承建，即工程施工单位为中小企业；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3.2.3在服务采购项目中，服务由中小企业承接，即提供服务的人员为中小企业依照《中华人民共和国劳动合同法》订立劳动合同的从业人员。</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在货物采购项目中，供应商提供的货物既有中小企业制造货物，也有大型企业制造货物的，不享受中小企业扶持政策。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以联合体形式参加政府采购活动，联合体各方均为中小企业的，联合体视同中小企业。其中，联合体各方均为小微企业的，联合体视同小微企业。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3.3符合《关于促进残疾人就业政府采购政策的通知》（财库〔2017〕141号）规定的条件并提供《残疾人福利性单位声明函》的残疾人福利性单位视同小型、微型企业；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3.4符合《关于政府采购支持监狱企业发展有关问题的通知》（财库[2014]68号）规定的监狱企业并提供由省级以上监狱管理局、戒毒管理局（含新疆生产建设兵团）出具的属于监狱企业证明文件的，视同为小型、微型企业。</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3.5可享受中小企业扶持政策的供应商应按照招标文件格式要求提供《中小企业声明函》，供应商提供的《中小企业声明函》与实际情况不符的，不享受中小企业扶持政策。</w:t>
      </w:r>
      <w:r>
        <w:rPr>
          <w:rFonts w:hint="eastAsia" w:asciiTheme="minorEastAsia" w:hAnsiTheme="minorEastAsia" w:eastAsiaTheme="minorEastAsia" w:cstheme="minorEastAsia"/>
          <w:b/>
          <w:bCs/>
        </w:rPr>
        <w:t>声明内容不实的，属于提供虚假材料谋取中标、成交的，依法承担法律责任。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3.6中小企业享受扶持政策获得政府采购合同的，小微企业不得将合同分包给大中型企业，中型企业不得将合同分包给大型企业。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3.7本国产品的支持政策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3.7.3供应商对其提供的产品出具《关于符合本国产品标准的声明函》或财政部会同有关部门规定的有关证明文件，《关于符合本国产品标准的声明函》或有关证明文件符合要求的，该产品视为本国产品。</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3.7.4供应商提供虚假《关于符合本国产品标准的声明函》、虚假证明文件谋取中标、成交的，依照《中华人民共和国政府采购法》等法律法规规定追究相应责任。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3.7.5采购人、采购代理机构按规定随中标、成交结果同时公告中标、成交供应商提供的《关于符合本国产品标准的声明函》或有关证明文件、《关于符合本国产品标准的成本占比的承诺函》。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3.8本国产品价格扣除与小微企业价格扣除叠加。具体计算公式为：参加评审价格=产品报价-产品报价*（小微企业价格扣除率+本国产品价格扣除率）。</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（六）特别说明</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采用最低评标价法的采购项目，提供相同品牌产品的不同供应商参加同一合同项下投标的，以其中通过资格审查、符合性审查且报价最低的参加评标；报价相同的，由采购人或者采购人委托评标委员会按照招标文件规定的方式确定一个参加评标的供应商，招标文件未规定的采取随机抽取方式确定，其他投标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使用综合评分法的采购项目，提供相同品牌产品且通过资格审查、符合性审查的不同供应商参加同一合同项下投标的，按一家供应商计算，评审后得分最高的同品牌供应商获得中标供应商推荐资格；评审得分相同的，由采购人或者采购人委托评标委员会按照招标文件规定的方式确定一个供应商获得中标供应商推荐资格，招标文件未规定的采取随机抽取方式确定，其他同品牌供应商不作为中标候选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非单一产品采购项目，采购人应当根据采购项目技术构成、产品价格比重等合理确定核心产品，并在招标文件中载明。多家供应商提供的核心产品品牌相同的，按前两款规定处理。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2.供应商投标所使用的资格、信誉、荣誉、业绩与企业认证必须为本法人所拥有。供应商投标所使用的采购项目实施人员必须为本法人员工（或必须为本法人或控股供应商正式员工）。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3.供应商应仔细阅读招标文件的所有内容，按照招标文件的要求提交投标文件，并对所提供的全部资料的真实性承担法律责任。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供应商在投标活动中提供任何虚假材料，其投标无效，并报监管部门查处；中标后发现的，中标供应商须依照《中华人民共和国消费者权益保护法》第49条之规定双倍赔偿采购人，且民事赔偿并不免除违法供应商的行政与刑事责任。</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（七）质疑和投诉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1.质疑和投诉应当满足《政府采购质疑和投诉办法》（中华人民共和国财政部令第94号）、《浙江省政府采购询问和质疑实施办法》要求。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招标文件质疑：供应商可在获取招标文件之日或者招标文件公告期限届满之日（公告期限届满后获取招标文件的，以公告期限届满之日为准）起7个工作日内发起；采购过程质疑：投标（响应）供应商可在投标（响应）截止时间后，采购结果公告发布时间起7个工作日内发起；采购结果质疑：投标（响应）供应商可在采购结果公告期限届满之日起7个工作日内发起。</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3.供应商须在法定质疑期内一次性提出针对同一采购程序环节的质疑。</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供应商须按上述规定，在政采云系统里提出质疑。询问路径为：政采云--项目采购--询问质疑投诉--询问列表；质疑路径为：政采云--项目采购--询问质疑投诉--质疑列表。质疑供应商对在线质疑答复不满意的，可在线提起投诉，路径为：浙江政府服务网--政府采购投诉处理--在线办理。</w:t>
      </w: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br w:type="page"/>
      </w:r>
      <w:r>
        <w:rPr>
          <w:rFonts w:hint="eastAsia" w:asciiTheme="minorEastAsia" w:hAnsiTheme="minorEastAsia" w:eastAsiaTheme="minorEastAsia" w:cstheme="minorEastAsia"/>
          <w:b/>
          <w:bCs/>
          <w:sz w:val="48"/>
          <w:szCs w:val="48"/>
        </w:rPr>
        <w:t>二、招标文件</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（一）招标文件的构成。本招标文件由以下部分组成：</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1.公开招标采购公告</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2.招标需求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3.供应商须知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4.评标办法及标准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5.嘉兴市政府采购合同（指引）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6.投标文件格式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7.本项目招标文件的澄清、答复、修改、补充的内容</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（二）供应商的风险</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供应商没有按照招标文件要求提供全部资料，或者供应商没有对招标文件在各方面做出实质性响应是供应商的风险，并可能导致其投标为无效标。</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（三）招标文件的澄清与修改</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1.供应商应认真阅读本招标文件，发现其中有误或有不合理要求的，可</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要求招标采购人澄清。招标采购人对已发出的招标文件进行必要澄清或者修改的，应当在招标文件要求提交投标文件截止十五日前，在财政部门指定的政府采购信息发布媒体上发布更正公告，并以书面形式通知所有招标文件获取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2.招标文件澄清或者修改的内容为招标文件的组成部分。当招标文件与澄清或者修改就同一内容的表述不一致时，以最后发出的书面文件为准。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3.对招标文件的澄清、答复、修改或补充都应该通过集中采购机构以法定形式发布，采购人非通过本机构，不得擅自澄清、答复、修改或补充招标文件。</w:t>
      </w: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三、投标文件的编制</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本项目所涉投标文件格式请详见第六章，未给出的格式请自拟。商务、资信及其他及技术文件中不得出现报价，否则投标文件将被视为无效。</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注：电子投标文件按政采云平台供应商电子招投标操作指南及本招标文件规定的格式和顺序编制电子投标文件并进行关联。建议根据招标文件合格供应商的资格要求、投标文件的编制及评分标准等内容一一关联。</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电子投标文件按政采云平台供应商项目采购-电子招投标操作指南（网址：https://helpcenter.zcygov.cn/document/#/document/dashboard?siteCode=beijing）</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总体要求：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1.供应商应仔细阅读招标文件的所有内容，按本文件的要求提供投标文件，并保证所提供的全部资料的真实性，以使其投标文件对招标文件作出实质性响应，否则，投标文件可能视为无效投标文件。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2.投标文件及供应商与采购有关的来往通知，函件和文件均应使用中文。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3.供应商应按本文件中提供的文件格式、内容和要求制作投标文件。</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（一）投标文件的组成</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电子投标文件和备份投标文件均由资格文件、商务技术文件及投标报价文件三部分组成。投标文件中所须加盖公章部分均采用CA签章。</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（二）投标文件的编制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1.投标文件分为资格文件、商务技术文件、报价文件三部分。各供应商在编制投标文件时请按照招标文件规定的格式进行，混乱的编排导致投标文件被误读或评标委员会查找不到有效文件是供应商的风险。</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2.供应商进行电子投标应安装客户端软件“政采云电子交易客户端”，并按照招标文件和电子交易平台的要求编制并加密投标文件。供应商未按规定加密的投标文件，电子交易平台将拒收并提示。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3.使用“政采云电子交易客户端”需要提前申领CA数字证书，申领流程请自行前往“浙江政府采购网--下载专区--电子交易客户端--CA驱动和申领流程”进行查阅。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4.投标文件按照招标文件要求进行签署、盖章。</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5.为确保网上操作合法、有效和安全，供应商应当在投标截止时间前完成在“政府采购云平台”的身份认证，确保在电子投标过程中能够对相关数据电文进行加密和使用电子签名。</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6.招标文件对投标文件签署、盖章的要求适用于电子签名。</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（三）投标文件的语言及计量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1.投标文件以及投标方与采购人就有关投标事宜的所有来往函电，均应以中文汉语书写。除签名、盖章、专用名称等特殊情形外，以中文汉语以外的文字表述的投标文件视同未提供。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2.投标计量单位，招标文件已有明确规定的，使用招标文件规定的计量单位；招标文件没有规定的，应采用中华人民共和国法定计量单位（货币单位：人民币元），否则视同未响应。</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（四）投标文件的提交、补充、修改、撤回</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2.电子交易平台收到投标文件，将妥善保存并即时向供应商发出确认回执通知。在投标截止时间前，除供应商补充、修改或者撤回投标文件外，任何单位和个人不得解密或提取投标文件。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3.采购人、采购代理机构可以视情况延长投标文件提交的截止时间。在上述情况下，采购代理机构与供应商以前在投标截止期方面的全部权利、责任和义务，将适用于延长至新的投标截止期。</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（五）投标报价</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1.投标报价应按招标文件中相关附表格式填写。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2.投标报价是履行合同的最终价格，应包括货款、标准附件、备品备件、专用工具、包装、运输、装卸、保险、税金、货到就位以及安装、调试、培训、保修和前期方案编制、招投标等一切税金和费用。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3.投标文件只允许有一个报价，有选择的或有条件的报价将不予接受。</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（六）投标文件的有效期</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1.自投标截止日起90天投标文件应保持有效。有效期不足的投标文件将被拒绝。</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2.在特殊情况下，采购人可与供应商协商延长投标书的有效期，这种要求和答复均以书面形式进行。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3.中标供应商的投标文件自开标之日起至合同履行完毕止均应保持有效。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4.在原定投标有效期满之前，如果出现特殊情况，采购代理机构可以以书面形式通知供应商延长投标有效期。供应商同意延长的，不得要求或被允许修改其投标文件，供应商拒绝延长的，其投标无效。</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（七）投标无效的情形</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电子投标文件解密失败的，且未在规定时间内提交有效备份投标文件的。电子投标文件解密失败，虽然在规定时间内提交了备份投标文件，但是备份投标文件无法导入或者无法读取或者不符合本招标文件和电子交易平台要求的。</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2.仅提交备份投标文件，没有在电子交易平台传输递交投标文件的。</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3.在资格审查时，如发现下列情形之一的，投标文件将被视为无效：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3.1采购人在采购文件中明确规定参与同一个采购包（标段）的供应商存在下列情形之一且无法合理解释的，其投标（响应）文件无效：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3.1.1不同供应商的电子投标（响应）文件上传计算机的网卡MAC地址或硬盘序列号等硬件信息相同的；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3.1.2上传的电子投标（响应）文件若出现使用本项目其他投标（响应）供应商的数字证书加密的，或者加盖本项目其他投标（响应）供应商的电子印章的；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3.1.3不同供应商的投标（响应）文件的内容存在3处（含）以上错误一致的；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3.1.4不同供应商联系人为同一人或不同联系人的联系电话一致的。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3.2不符合本招标文件中的实质性要求条款和资格条件所必须提供相关资料。</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4.在符合性审查和商务评审时，如发现下列情形之一的，投标文件将被视为无效：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4.1电子投标文件未按规定要求提供电子签章的。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4.2在资信商务技术文件中出现报价的。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4.3未按要求对资格文件进行承诺，或虚假承诺的。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4.4未提供授权委托书、投标函或者填写项目不齐全的。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4.5投标文件格式不规范、项目不齐全或者内容虚假的。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4.6投标文件的实质性内容未使用中文表述、意思表述不明确、前后矛盾或者使用计量单位不符合招标文件要求的（经评标委员会认定并允许其当场更正的笔误除外）。</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4.7投标有效期、服务承诺等商务条款不能满足招标文件要求的。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4.8未实质性响应招标文件要求或投标文件有采购人不能接受的附加条件的。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4.9不符合本招标文件中的实质性要求条款。</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5.在技术评审时，如发现下列情形之一的，投标文件将被视为无效：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5.1未提供或未如实提供投标货物的技术参数，或者投标文件标明的响应或偏离与事实不符或虚假投标的。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5.2明显不符合招标文件要求的规格型号、质量标准，或者与招标文件中标“▲”的技术指标、主要功能项目发生实质性偏离的。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5.3投标技术方案不明确，存在一个或一个以上备选（替代）投标方案的。</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6.在报价评审时，如发现下列情形之一的，投标文件将被视为无效：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6.1未按要求提供开标一览表。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6.2未采用人民币报价或者未按照招标文件标明的币种报价的。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6.3报价超出最高限价的；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6.4投标报价具有选择性，或者开标价格与投标文件承诺的优惠（折扣）价格不一致的。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6.5评审委员会启动异常低价投标（响应）审查后，投标（响应）供应商不能提供书面说明、证明材料，或者提供的书面说明、证明材料不能证明其报价合理性的；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6.6报价一经涂改，应在涂改处加盖单位公章或者由法定代表人或被授权人签字（或盖章），否则其投标作无效标处理；      </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 xml:space="preserve">7.供应商有恶意串通、妨碍其他供应商的竞争行为、损害采购人或者其他供应商的合法权益情形的，投标文件将被视为无效； </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 xml:space="preserve">8.法律、法规、规章（适用本市的）及省级以上规范性文件（适用本市的）规定的其他无效情形。                                                                                    </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9.被拒绝的投标文件为无效。</w:t>
      </w:r>
    </w:p>
    <w:p>
      <w:pPr>
        <w:ind w:firstLine="482"/>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（八）废标的情形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根据《中华人民共和国政府采购法》第三十六条之规定，在采购中，出现下列情形之一的，应予废标：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1.符合专业条件的供应商或者对招标文件作实质响应的供应商不足3家的；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2.出现影响采购公正的违法、违规行为的；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3.供应商的报价均超过了采购预算，采购人不能支付的；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4.因重大变故，采购任务取消的。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废标后，采购代理机构应当将废标理由通知所有供应商。</w:t>
      </w: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四、开标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1.本项目实行电子开评标，供应商无需到开标现场，但须准时在线参加，直至评审结束。供应商不足3家的，不得开标。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2.投标截止时间后的半小时内，由各供应商自行对电子投标文件进行解密请各供应商务必在规定时间内完成电子投标文件的解密工作；开启报价环节，供应商须在15分钟内在系统里CA签字确认。</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3.投标文件未按时解密，供应商提供了备份投标文件的，以备份投标文件作为依据，否则视为投标文件撤回。投标文件已按时解密的，备份投标文件自动失效。</w:t>
      </w: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五、评标</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（一）组建评标委员会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评标委员会由采购人代表和评审专家组成，政府采购评审专家 4 人和采购人代表 1 人，共 5 人组成。</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评标委员会负责具体评标事务，并独立履行下列职责：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1.审查、评价投标文件是否符合招标文件的商务、技术等实质性要求。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2.要求供应商对投标文件有关事项做出澄清或者说明。</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3.对投标文件进行比较和评价。</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4.确定中标供应商名单，以及根据采购人委托直接确定中标供应商。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5.向采购人、集中采购机构或者有关部门报告评标中发现的违法行为。</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除采购人代表、评标现场组织人员外，采购人的其他工作人员以及与评标工作无关的人员不得进入评标现场。</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（二）评标的方式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本项目采用不公开方式评标，评标的依据为招标文件和投标文件。</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（三）评标程序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采购人可以在评标前说明项目背景和采购需求，说明内容不得含有歧视性、倾向性意见，不得超出招标文件所述范围。说明应当提交书面材料，并随招标文件一并存档。</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1.形式审查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1.1形式审查包括资格审查（除符合性审查以外的关于供应商资格条件等内容）和符合性审查，即对供应商的资格和投标文件的完整性、合法性等进行审查。投标文件形式审查未通过的供应商，其投标文件将不再评审。合格供应商不足3家的，不再评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1.2信用信息查询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1.2.1信用信息查询渠道及截止时间：采购人将通过“信用中国”网站(www.creditchina.gov.cn)、中国政府采购网(www.ccgp.gov.cn)渠道查询供应商投标截止时间当天的信用记录。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1.2.2信用信息查询记录和证据留存的具体方式：现场查询的供应商的信用记录、查询结果经确认后将与招标文件一起存档。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1.2.3信用信息的使用规则：经查询列入失信被执行人名单、重大税收违法案件当事人名单、政府采购严重违法失信行为记录名单的供应商将被拒绝参与政府采购活动。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2.实质审查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2.1评标委员会审查投标文件的实质性内容是否符合招标文件的实质性要求。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2.2评标委员会将根据供应商的投标文件进行审查、核对，如有疑问，将对供应商进行询标，供应商要向评标委员会澄清有关问题，并最终以书面形式进行答复。</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询标时，供应商代表未到场或者拒绝澄清或者澄清的内容改变了投标文件的实质性内容的，评标委员会有权对该投标文件做出不利于供应商的评判。</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2.3评标委员会各成员应当独立对每个供应商的商务和技术文件进行评价，并汇总商务技术得分情况。</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3.报价审查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3.1投标文件报价如果出现计算或表达上的错误，修正错误的原则如下：</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3.1.1开标一览表总价与投标报价明细表汇总数不一致的，以开标一览表为准。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3.1.2投标文件的大写金额和小写金额不一致的，以大写金额为准。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3.1.3总价金额与按单价汇总金额不一致的，以单价金额计算结果为准。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3.1.4对不同文字文本投标文件的解释发生异议的，以中文文本为准。</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按上述修正错误的原则及方法调整或修正投标文件的投标报价，供应商同意并签字确认后，调整后的投标报价对供应商具有约束作用。如果供应商不接受修正后的报价，则其投标将作为无效投标处理。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3.2按照《关于推动解决政府采购异常低价问题的通知》财库〔2026〕2号要求，政府采购评审中出现下列情形之一的，评审委员会应当启动异常低价投标（响应）审查程序：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3.2.1投标（响应）报价低于全部通过符合性审查供应商投标（响应）报价平均值50%的，即投标（响应）报价&lt;全部通过符合性审查供应商投标（响应）报价平均值×50%；</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3.2.2投标（响应）报价低于通过符合性审查的次低报价供应商投标（响应）报价50%的，即投标（响应）报价&lt;通过符合性审查的次低报价供应商投标（响应）报价×50%；</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3.2.3投标（响应）报价低于采购项目最高限价45%的，即投标（响应）报价&lt;采购项目最高限价×45%；</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3.2.4评审委员会基于专业判断，认为供应商报价过低，有可能影响产品质量或者不能诚信履约的其他情形。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采购人可以结合具体项目实际情况，提高上述第1项至第3项中启动异常低价投标（响应）审查的数值标准，但是最高不得超过65%。</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相关法律法规对供应商报价有规定的，从其规定。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应当随投标文件一并提交相关书面说明及必要的证明材料，如不提供的，投标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异常低价投标（响应）审查的启动原因、审查意见和审查结果应当在评审报告中记录，并随供应商提供的相关书面说明及证明材料，以及评审委员会有关互联网浏览、查询历史一并归档。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3.4评审委员会根据合格供应商报价得出得分汇总。</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4.比较和推荐</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评标委员会按评标原则推荐中标供应商同时起草评标报告。</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（四）澄清问题的形式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对投标文件中含义不明确、同类问题表述不一致或者有明显文字和计算错误的内容，评标委员会可要求供应商作出必要的澄清、说明或者纠正。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评标委员会可以在“政采云”平台在线询标或其他有效形式要求供应商对同一份投标文件含义不明确或同类问题表述不一致的内容（招标文件其他地方有规定处理方法的除外）作必要的澄清或说明。供应商应采用在线回复或其他有效形式在询标规定时间内进行澄清或说明，但不得超出投标文件的范围或改变投标文件的实质性内容。凡属于评标委员会在评标中发现的计算错误并进行核实的修改不在此列。</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2.如果供应商代表拒绝或未按评标委员会要求在“政采云”平台作出在线回复且无其他有效回复方式的，评标委员会可以对其作出无效标处理。</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（五）评标原则和评标办法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评标原则。评标委员会必须公平、公正、客观，不带任何倾向性和启发性；不得向外界透露任何与评标有关的内容；任何单位和个人不得干扰、影响评标的正常进行；评标委员会及有关工作人员不得私下与供应商接触。</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2.评标办法。本项目评标办法是 综合评标法，具体评标内容及评分标准等详见第四章评标办法及标准。</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（六）评标过程的监控</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本项目评标过程实行全程录音、录像监控。供应商在评标过程中所进行的试图影响评标结果的不公正活动，可能导致其投标被拒绝。</w:t>
      </w:r>
    </w:p>
    <w:p>
      <w:pPr>
        <w:ind w:firstLine="964"/>
        <w:jc w:val="center"/>
        <w:rPr>
          <w:rFonts w:hint="eastAsia" w:asciiTheme="minorEastAsia" w:hAnsiTheme="minorEastAsia" w:eastAsiaTheme="minorEastAsia" w:cstheme="minorEastAsia"/>
          <w:b/>
          <w:bCs/>
          <w:sz w:val="48"/>
          <w:szCs w:val="48"/>
        </w:rPr>
      </w:pP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六、定标</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1.确定中标供应商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政府采购项目实行全流程电子化，评审报告送交、采购结果确定和结果公告均在线完成。为进一步提升采购结果确定效率，采购代理机构应当依法及时将评审报告在线送交采购人。采购单位应当自收到评审报告之日起2个工作日内在线确定中标或者成交供应商。中标、成交通知书和中标、成交结果公告应当在规定时间内同时发出。</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2.中标通知与中标结果公告</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2.1自中标人确定之日起2个工作日内，采购代理机构通过电子交易平台向中标人发出中标通知书，同时编制发布采购结果公告。采购代理机构也可以以纸质形式进行中标通知。</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中标结果公告内容包括采购人及其委托的采购代理机构的名称、地址、联系方式，项目名称和项目编号，中标供应商名称、地址和中标金额，主要中标标的的名称、规格型号、数量、单价、服务要求，开标记录、资格审查情况、评审专家抽取规则、符合性审查情况、未中标情况说明、中标公告期限以及评审专家名单、评分汇总及明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2.3公告期限为1个工作日。</w:t>
      </w:r>
    </w:p>
    <w:p>
      <w:pPr>
        <w:ind w:firstLine="964"/>
        <w:jc w:val="center"/>
        <w:rPr>
          <w:rFonts w:hint="eastAsia" w:asciiTheme="minorEastAsia" w:hAnsiTheme="minorEastAsia" w:eastAsiaTheme="minorEastAsia" w:cstheme="minorEastAsia"/>
          <w:b/>
          <w:bCs/>
          <w:sz w:val="48"/>
          <w:szCs w:val="48"/>
        </w:rPr>
      </w:pP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七、合同授予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1.采购人与中标供应商应当在中标通知书发出之日起30日内签订政府采购合同。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人及时复核供应商材料。根据浙财采监〔2025〕2号文件、浙财采监〔2025〕10号文件规定，在评审结束后、合同签订前，采购人应及时通过网站查询、原件核对等方式对中标供应商在投标文件中涉及客观分评审内容的检测报告、认证证书等资料的真实性进行复核，复核情况详细记录，并纳入采购档案。发现供应商提供虚假材料的，应及时书面报告本级财政部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3.中标供应商拖延、拒签合同的，将被取消中标资格，并报监督管理部门依法处理。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4.采购人须在本项目政府采购合同签订之日起2个工作日内将合同发布于浙江政府采购网，但政府采购合同中涉及国家秘密、商业秘密的内容除外。</w:t>
      </w:r>
    </w:p>
    <w:p>
      <w:pPr>
        <w:ind w:firstLine="0" w:firstLineChars="0"/>
        <w:jc w:val="center"/>
        <w:rPr>
          <w:rFonts w:hint="eastAsia" w:asciiTheme="minorEastAsia" w:hAnsiTheme="minorEastAsia" w:eastAsiaTheme="minorEastAsia" w:cstheme="minorEastAsia"/>
          <w:b/>
          <w:bCs/>
          <w:sz w:val="48"/>
          <w:szCs w:val="48"/>
        </w:rPr>
      </w:pP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八、验收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2.采购人可以邀请参加本项目的其他供应商或者第三方机构参与验收。参与验收的供应商或者第三方机构的意见作为验收书的参考资料一并存档。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3.明确验收程序。政府采购项目的履约验收分为简易程序验收、一般程序验收两种方式。</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3.1预算金额在采购限额标准以上的政府采购项目原则上采用一般程序验收。一般程序包括制定验收方案、实施验收、出具验收报告（政府采购履约验收书）、验收结果公告及资料归档。工程类项目应当按照行业管理部门规定的标准、方法和内容进行验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3.2集中采购目录以内、预算金额在采购限额标准以下的采购，预算金额在采购限额标准以上、公开招标数额以下功能简单且属于标准定制的货物类采购或需求单一且属于通用的服务类采购可以适用简易验收程序。简易验收至少应包含确定验收标准、明确验收人员、验收并出具结果、公告及归档几个程序。采购人按照简易程序组织验收的，参照单位内控自行指定相关专业人员，在中标、成交供应商交付货物、工程或者提供服务时进行验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3.3强化验收管理。采购人应当根据项目特点、履约风险控制等需要，采取一次性整体验收或分期验收方式。对于采购人和使用人分离的采购项目，应当邀请实际使用人参与验收。采购人或其委托的采购代理机构可以邀请参加本项目的其他供应商或第三方专业机构及专家参与验收，相关验收意见作为验收书的参考资料。政府向社会公众提供的公共服务项目，验收时应当邀请服务对象参与并出具意见。</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3.4公开验收结果。对于政府向社会公众提供的公共服务项目，采购人应当在验收结束之日起2个工作日内，将验收结果向社会公告，接受社会监督。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履约验收合格的，采购人应当根据政府采购合同约定及时向供应商支付采购资金、退还履约保证金，不得拖延、拖欠或非法扣留；履约未经验收、验收不合格的以及验收部分不合格，且影响整体功能的，采购人除支付合理比例的预付款及合同约定进度款外不再支付采购资金；履约验收不合格的，采购人应责令供应商限期整改，向供应商发出整改通知书，整改结束，重新组织验收。采购合同的履行、违约责任和解决争议的方式等适用《中华人民共和国民法典》。供应商在履约过程中有政府采购法律法规规定的违法违规情形的，采购人应当及时报告本级财政部部门。</w:t>
      </w:r>
    </w:p>
    <w:p>
      <w:pPr>
        <w:pStyle w:val="3"/>
        <w:keepNext/>
        <w:keepLines/>
        <w:snapToGrid w:val="0"/>
        <w:spacing w:before="340" w:beforeLines="0" w:after="330" w:afterLines="0" w:line="300" w:lineRule="auto"/>
        <w:rPr>
          <w:rFonts w:hint="eastAsia" w:asciiTheme="minorEastAsia" w:hAnsiTheme="minorEastAsia" w:eastAsiaTheme="minorEastAsia" w:cstheme="minorEastAsia"/>
          <w:kern w:val="44"/>
          <w:sz w:val="32"/>
          <w:szCs w:val="32"/>
        </w:rPr>
      </w:pPr>
    </w:p>
    <w:p>
      <w:pPr>
        <w:ind w:firstLine="0" w:firstLineChars="0"/>
        <w:jc w:val="center"/>
        <w:rPr>
          <w:rFonts w:hint="eastAsia" w:asciiTheme="minorEastAsia" w:hAnsiTheme="minorEastAsia" w:eastAsiaTheme="minorEastAsia" w:cstheme="minorEastAsia"/>
          <w:sz w:val="48"/>
          <w:szCs w:val="48"/>
        </w:rPr>
      </w:pPr>
    </w:p>
    <w:p>
      <w:pPr>
        <w:ind w:firstLine="0" w:firstLineChars="0"/>
        <w:jc w:val="center"/>
        <w:rPr>
          <w:rFonts w:hint="eastAsia" w:asciiTheme="minorEastAsia" w:hAnsiTheme="minorEastAsia" w:eastAsiaTheme="minorEastAsia" w:cstheme="minorEastAsia"/>
          <w:sz w:val="48"/>
          <w:szCs w:val="48"/>
        </w:rPr>
      </w:pPr>
    </w:p>
    <w:p>
      <w:pPr>
        <w:rPr>
          <w:rFonts w:hint="eastAsia" w:asciiTheme="minorEastAsia" w:hAnsiTheme="minorEastAsia" w:eastAsiaTheme="minorEastAsia" w:cstheme="minorEastAsia"/>
          <w:sz w:val="48"/>
          <w:szCs w:val="48"/>
        </w:rPr>
      </w:pPr>
      <w:r>
        <w:rPr>
          <w:rFonts w:hint="eastAsia" w:asciiTheme="minorEastAsia" w:hAnsiTheme="minorEastAsia" w:eastAsiaTheme="minorEastAsia" w:cstheme="minorEastAsia"/>
          <w:sz w:val="48"/>
          <w:szCs w:val="48"/>
        </w:rPr>
        <w:br w:type="page"/>
      </w:r>
    </w:p>
    <w:p>
      <w:pPr>
        <w:pStyle w:val="37"/>
        <w:rPr>
          <w:rFonts w:hint="eastAsia"/>
        </w:rPr>
      </w:pPr>
    </w:p>
    <w:p>
      <w:pPr>
        <w:ind w:firstLine="0" w:firstLineChars="0"/>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第四章  评标办法及标准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为公正、公平、科学地选择中标供应商，根据《中华人民共和国政府采购法》等有关法律法规的规定，并结合本项目的实际，制定本办法。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本办法适用于本项目的评标。</w:t>
      </w:r>
    </w:p>
    <w:p>
      <w:pPr>
        <w:ind w:firstLine="482"/>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b/>
        </w:rPr>
        <w:t>一、总则</w:t>
      </w:r>
    </w:p>
    <w:p>
      <w:pPr>
        <w:ind w:firstLine="480"/>
        <w:rPr>
          <w:rFonts w:hint="eastAsia" w:ascii="宋体" w:hAnsi="宋体"/>
        </w:rPr>
      </w:pPr>
      <w:r>
        <w:rPr>
          <w:rFonts w:hint="eastAsia" w:ascii="宋体" w:hAnsi="宋体"/>
        </w:rPr>
        <w:t>本次评标采用综合评分法，总分为100分。合格供应商的评标得分为各项目汇总得分，中标候选资格按评标得分由高到低顺序排列，得分相同的，按投标报价由低到高顺序排列；得分且投标报价相同的，按商务技术得分由高到低顺序排列，仍不能分出前后的，以投标解密先后顺序确定中标候选供应商。中标候选供应商数量：2家，采购人应从评审报告确定的中标候选供应商名单中按顺序确定中标供应商，中标供应商拒绝与采购人签订合同的，确定下一候选供应商为中标供应商，也可以重新开展政府采购活动。评分过程中采用四舍五入法，并保留小数2位。</w:t>
      </w:r>
    </w:p>
    <w:p>
      <w:pPr>
        <w:ind w:firstLine="480"/>
        <w:rPr>
          <w:rFonts w:hint="eastAsia" w:asciiTheme="minorEastAsia" w:hAnsiTheme="minorEastAsia" w:eastAsiaTheme="minorEastAsia" w:cstheme="minorEastAsia"/>
        </w:rPr>
      </w:pPr>
      <w:r>
        <w:rPr>
          <w:rFonts w:hint="eastAsia" w:ascii="宋体" w:hAnsi="宋体"/>
        </w:rPr>
        <w:t xml:space="preserve">    供应商评标综合得分=价格分+商务技术分</w:t>
      </w:r>
    </w:p>
    <w:p>
      <w:pPr>
        <w:ind w:firstLine="482"/>
        <w:rPr>
          <w:rFonts w:hint="eastAsia" w:asciiTheme="minorEastAsia" w:hAnsiTheme="minorEastAsia" w:eastAsiaTheme="minorEastAsia" w:cstheme="minorEastAsia"/>
          <w:b/>
        </w:rPr>
      </w:pPr>
      <w:r>
        <w:rPr>
          <w:rFonts w:hint="eastAsia" w:asciiTheme="minorEastAsia" w:hAnsiTheme="minorEastAsia" w:eastAsiaTheme="minorEastAsia" w:cstheme="minorEastAsia"/>
          <w:b/>
        </w:rPr>
        <w:t>二、评标内容及标准</w:t>
      </w:r>
    </w:p>
    <w:p>
      <w:pPr>
        <w:pStyle w:val="11"/>
        <w:spacing w:line="360" w:lineRule="auto"/>
        <w:ind w:firstLine="466"/>
        <w:rPr>
          <w:rFonts w:hint="eastAsia" w:asciiTheme="minorEastAsia" w:hAnsiTheme="minorEastAsia" w:eastAsiaTheme="minorEastAsia" w:cstheme="minorEastAsia"/>
          <w:b/>
          <w:sz w:val="24"/>
          <w:szCs w:val="24"/>
        </w:rPr>
      </w:pPr>
      <w:r>
        <w:rPr>
          <w:rFonts w:hint="eastAsia" w:asciiTheme="minorEastAsia" w:hAnsiTheme="minorEastAsia" w:eastAsiaTheme="minorEastAsia" w:cstheme="minorEastAsia"/>
          <w:b/>
          <w:sz w:val="24"/>
          <w:szCs w:val="24"/>
        </w:rPr>
        <w:t>（一）价格分（30分）</w:t>
      </w:r>
    </w:p>
    <w:p>
      <w:pPr>
        <w:pStyle w:val="11"/>
        <w:spacing w:line="360" w:lineRule="auto"/>
        <w:ind w:firstLine="464"/>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1.价格分采用低价优先法计算，即满足招标文件要求且投标价格最低的投标报价为评标基准价，其他供应商的价格分按照下列公式计算：</w:t>
      </w:r>
    </w:p>
    <w:p>
      <w:pPr>
        <w:pStyle w:val="11"/>
        <w:spacing w:line="360" w:lineRule="auto"/>
        <w:ind w:firstLine="464"/>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价格分=（评标基准价/投标报价）×30%×100</w:t>
      </w:r>
    </w:p>
    <w:p>
      <w:pPr>
        <w:pStyle w:val="11"/>
        <w:numPr>
          <w:ilvl w:val="0"/>
          <w:numId w:val="3"/>
        </w:numPr>
        <w:spacing w:line="360" w:lineRule="auto"/>
        <w:ind w:firstLine="464"/>
        <w:rPr>
          <w:rFonts w:hint="eastAsia" w:asciiTheme="minorEastAsia" w:hAnsiTheme="minorEastAsia" w:eastAsiaTheme="minorEastAsia" w:cstheme="minorEastAsia"/>
          <w:bCs/>
          <w:sz w:val="24"/>
          <w:szCs w:val="24"/>
        </w:rPr>
      </w:pPr>
      <w:r>
        <w:rPr>
          <w:rFonts w:hint="eastAsia" w:asciiTheme="minorEastAsia" w:hAnsiTheme="minorEastAsia" w:eastAsiaTheme="minorEastAsia" w:cstheme="minorEastAsia"/>
          <w:bCs/>
          <w:sz w:val="24"/>
          <w:szCs w:val="24"/>
        </w:rPr>
        <w:t>供应商的投标报价超过采购人设定的最高限价，将作为无效标。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p>
      <w:pPr>
        <w:pStyle w:val="2"/>
        <w:spacing w:before="156"/>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（二）商务技术分（70分）</w:t>
      </w:r>
    </w:p>
    <w:bookmarkEnd w:id="2"/>
    <w:bookmarkEnd w:id="3"/>
    <w:bookmarkEnd w:id="4"/>
    <w:bookmarkEnd w:id="5"/>
    <w:bookmarkEnd w:id="6"/>
    <w:bookmarkEnd w:id="7"/>
    <w:bookmarkEnd w:id="8"/>
    <w:bookmarkEnd w:id="11"/>
    <w:bookmarkEnd w:id="12"/>
    <w:tbl>
      <w:tblPr>
        <w:tblStyle w:val="29"/>
        <w:tblW w:w="9225" w:type="dxa"/>
        <w:jc w:val="center"/>
        <w:tblLayout w:type="fixed"/>
        <w:tblCellMar>
          <w:top w:w="0" w:type="dxa"/>
          <w:left w:w="108" w:type="dxa"/>
          <w:bottom w:w="0" w:type="dxa"/>
          <w:right w:w="108" w:type="dxa"/>
        </w:tblCellMar>
      </w:tblPr>
      <w:tblGrid>
        <w:gridCol w:w="540"/>
        <w:gridCol w:w="1744"/>
        <w:gridCol w:w="6192"/>
        <w:gridCol w:w="749"/>
      </w:tblGrid>
      <w:tr>
        <w:tblPrEx>
          <w:tblCellMar>
            <w:top w:w="0" w:type="dxa"/>
            <w:left w:w="108" w:type="dxa"/>
            <w:bottom w:w="0" w:type="dxa"/>
            <w:right w:w="108" w:type="dxa"/>
          </w:tblCellMar>
        </w:tblPrEx>
        <w:trPr>
          <w:trHeight w:val="366" w:hRule="atLeast"/>
          <w:jc w:val="center"/>
        </w:trPr>
        <w:tc>
          <w:tcPr>
            <w:tcW w:w="2284" w:type="dxa"/>
            <w:gridSpan w:val="2"/>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评分项目</w:t>
            </w:r>
          </w:p>
        </w:tc>
        <w:tc>
          <w:tcPr>
            <w:tcW w:w="6192" w:type="dxa"/>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评分标准</w:t>
            </w:r>
          </w:p>
        </w:tc>
        <w:tc>
          <w:tcPr>
            <w:tcW w:w="749" w:type="dxa"/>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分值</w:t>
            </w:r>
          </w:p>
        </w:tc>
      </w:tr>
      <w:tr>
        <w:tblPrEx>
          <w:tblCellMar>
            <w:top w:w="0" w:type="dxa"/>
            <w:left w:w="108" w:type="dxa"/>
            <w:bottom w:w="0" w:type="dxa"/>
            <w:right w:w="108" w:type="dxa"/>
          </w:tblCellMar>
        </w:tblPrEx>
        <w:trPr>
          <w:trHeight w:val="402"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744"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汉仪叶叶相思体简" w:hAnsi="汉仪叶叶相思体简" w:eastAsia="汉仪叶叶相思体简" w:cs="汉仪叶叶相思体简"/>
                <w:sz w:val="24"/>
                <w:szCs w:val="24"/>
                <w:lang w:eastAsia="zh-CN"/>
              </w:rPr>
              <w:t>★</w:t>
            </w:r>
            <w:r>
              <w:rPr>
                <w:rFonts w:hint="eastAsia" w:asciiTheme="minorEastAsia" w:hAnsiTheme="minorEastAsia" w:eastAsiaTheme="minorEastAsia" w:cstheme="minorEastAsia"/>
                <w:sz w:val="21"/>
                <w:szCs w:val="21"/>
              </w:rPr>
              <w:t>算力工作站</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满足核心产品的技术参数指标，得</w:t>
            </w:r>
            <w:r>
              <w:rPr>
                <w:rFonts w:hint="eastAsia" w:asciiTheme="minorEastAsia" w:hAnsiTheme="minorEastAsia" w:eastAsiaTheme="minorEastAsia" w:cstheme="minorEastAsia"/>
                <w:sz w:val="21"/>
                <w:szCs w:val="21"/>
                <w:lang w:val="en-US" w:eastAsia="zh-CN"/>
              </w:rPr>
              <w:t>10</w:t>
            </w:r>
            <w:r>
              <w:rPr>
                <w:rFonts w:hint="eastAsia" w:asciiTheme="minorEastAsia" w:hAnsiTheme="minorEastAsia" w:eastAsiaTheme="minorEastAsia" w:cstheme="minorEastAsia"/>
                <w:sz w:val="21"/>
                <w:szCs w:val="21"/>
              </w:rPr>
              <w:t>分</w:t>
            </w:r>
            <w:r>
              <w:rPr>
                <w:rFonts w:hint="eastAsia" w:asciiTheme="minorEastAsia" w:hAnsiTheme="minorEastAsia" w:eastAsiaTheme="minorEastAsia" w:cstheme="minorEastAsia"/>
                <w:sz w:val="21"/>
                <w:szCs w:val="21"/>
                <w:lang w:eastAsia="zh-CN"/>
              </w:rPr>
              <w:t>。</w:t>
            </w:r>
          </w:p>
          <w:p>
            <w:pPr>
              <w:widowControl/>
              <w:ind w:firstLine="0" w:firstLineChars="0"/>
              <w:jc w:val="left"/>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w:t>
            </w:r>
            <w:r>
              <w:rPr>
                <w:rFonts w:hint="eastAsia" w:asciiTheme="minorEastAsia" w:hAnsiTheme="minorEastAsia" w:eastAsiaTheme="minorEastAsia" w:cstheme="minorEastAsia"/>
                <w:sz w:val="21"/>
                <w:szCs w:val="21"/>
                <w:lang w:eastAsia="zh-CN"/>
              </w:rPr>
              <w:t>；</w:t>
            </w:r>
            <w:r>
              <w:rPr>
                <w:rFonts w:hint="eastAsia" w:ascii="宋体" w:hAnsi="宋体" w:eastAsia="宋体" w:cs="宋体"/>
                <w:bCs/>
                <w:sz w:val="21"/>
                <w:szCs w:val="21"/>
                <w:highlight w:val="none"/>
                <w:lang w:val="en-US"/>
              </w:rPr>
              <w:t>标“●”的为在线演示项目（在此项中不计分）</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不满足技术参数要求</w:t>
            </w:r>
            <w:r>
              <w:rPr>
                <w:rFonts w:hint="eastAsia" w:asciiTheme="minorEastAsia" w:hAnsiTheme="minorEastAsia" w:eastAsiaTheme="minorEastAsia" w:cstheme="minorEastAsia"/>
                <w:sz w:val="21"/>
                <w:szCs w:val="21"/>
              </w:rPr>
              <w:t>（每个级序号为一条指标要求），每一条扣0.</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分，扣至0分为止。</w:t>
            </w:r>
          </w:p>
        </w:tc>
        <w:tc>
          <w:tcPr>
            <w:tcW w:w="749" w:type="dxa"/>
            <w:tcBorders>
              <w:top w:val="single" w:color="000000" w:sz="8" w:space="0"/>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10</w:t>
            </w:r>
          </w:p>
        </w:tc>
      </w:tr>
      <w:tr>
        <w:tblPrEx>
          <w:tblCellMar>
            <w:top w:w="0" w:type="dxa"/>
            <w:left w:w="108" w:type="dxa"/>
            <w:bottom w:w="0" w:type="dxa"/>
            <w:right w:w="108" w:type="dxa"/>
          </w:tblCellMar>
        </w:tblPrEx>
        <w:trPr>
          <w:trHeight w:val="1658"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图形工作站</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注：标“▲”为实质性要求，存在负偏离的，作无效标处理；不满足技术参数要求的（每个级序号为一条指标要求），每一条扣0.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single" w:color="000000" w:sz="8" w:space="0"/>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p>
        </w:tc>
      </w:tr>
      <w:tr>
        <w:tblPrEx>
          <w:tblCellMar>
            <w:top w:w="0" w:type="dxa"/>
            <w:left w:w="108" w:type="dxa"/>
            <w:bottom w:w="0" w:type="dxa"/>
            <w:right w:w="108" w:type="dxa"/>
          </w:tblCellMar>
        </w:tblPrEx>
        <w:trPr>
          <w:trHeight w:val="1658"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台式电脑1</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注：标“▲”为实质性要求，存在负偏离的，作无效标处理；未满足技术参数要求的（每个级序号为一条指标要求），每一条扣0.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5</w:t>
            </w:r>
          </w:p>
        </w:tc>
      </w:tr>
      <w:tr>
        <w:tblPrEx>
          <w:tblCellMar>
            <w:top w:w="0" w:type="dxa"/>
            <w:left w:w="108" w:type="dxa"/>
            <w:bottom w:w="0" w:type="dxa"/>
            <w:right w:w="108" w:type="dxa"/>
          </w:tblCellMar>
        </w:tblPrEx>
        <w:trPr>
          <w:trHeight w:val="1493"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台式电脑2</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注：标“▲”为实质性要求，存在负偏离的，作无效标处理；不满足技术参数要求的（每个级序号为一条指标要求），每一条扣0.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r>
      <w:tr>
        <w:tblPrEx>
          <w:tblCellMar>
            <w:top w:w="0" w:type="dxa"/>
            <w:left w:w="108" w:type="dxa"/>
            <w:bottom w:w="0" w:type="dxa"/>
            <w:right w:w="108" w:type="dxa"/>
          </w:tblCellMar>
        </w:tblPrEx>
        <w:trPr>
          <w:trHeight w:val="90"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台式电脑3</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注：标“▲”为实质性要求，存在负偏离的，作无效标处理；不满足技术参数要求的（每个级序号为一条指标要求），每一条扣0.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4</w:t>
            </w:r>
          </w:p>
        </w:tc>
      </w:tr>
      <w:tr>
        <w:tblPrEx>
          <w:tblCellMar>
            <w:top w:w="0" w:type="dxa"/>
            <w:left w:w="108" w:type="dxa"/>
            <w:bottom w:w="0" w:type="dxa"/>
            <w:right w:w="108" w:type="dxa"/>
          </w:tblCellMar>
        </w:tblPrEx>
        <w:trPr>
          <w:trHeight w:val="523"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信创电脑</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注：标“▲”为实质性要求，存在负偏离的，作无效标处理；未满足技术参数要求的（每个级序号为一条指标要求），每一条扣</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分，扣至0分为止。</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p>
        </w:tc>
      </w:tr>
      <w:tr>
        <w:tblPrEx>
          <w:tblCellMar>
            <w:top w:w="0" w:type="dxa"/>
            <w:left w:w="108" w:type="dxa"/>
            <w:bottom w:w="0" w:type="dxa"/>
            <w:right w:w="108" w:type="dxa"/>
          </w:tblCellMar>
        </w:tblPrEx>
        <w:trPr>
          <w:trHeight w:val="1287"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LED显示大屏</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r>
              <w:rPr>
                <w:rFonts w:hint="eastAsia" w:asciiTheme="minorEastAsia" w:hAnsiTheme="minorEastAsia" w:eastAsiaTheme="minorEastAsia" w:cstheme="minorEastAsia"/>
                <w:sz w:val="21"/>
                <w:szCs w:val="21"/>
              </w:rPr>
              <w:t>核心产品的技术参数指标，得3分。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注：标“▲”为实质性要求，存在负偏离的，作无效标处理；不满足技术参数要求的（每个级序号为一条指标要求），每一条扣0.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CellMar>
            <w:top w:w="0" w:type="dxa"/>
            <w:left w:w="108" w:type="dxa"/>
            <w:bottom w:w="0" w:type="dxa"/>
            <w:right w:w="108" w:type="dxa"/>
          </w:tblCellMar>
        </w:tblPrEx>
        <w:trPr>
          <w:trHeight w:val="951" w:hRule="atLeast"/>
          <w:jc w:val="center"/>
        </w:trPr>
        <w:tc>
          <w:tcPr>
            <w:tcW w:w="540" w:type="dxa"/>
            <w:tcBorders>
              <w:left w:val="single" w:color="000000" w:sz="8" w:space="0"/>
              <w:bottom w:val="single" w:color="auto" w:sz="4"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744" w:type="dxa"/>
            <w:tcBorders>
              <w:left w:val="single" w:color="000000" w:sz="8" w:space="0"/>
              <w:bottom w:val="single" w:color="auto" w:sz="4"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智慧黑板</w:t>
            </w:r>
          </w:p>
        </w:tc>
        <w:tc>
          <w:tcPr>
            <w:tcW w:w="6192" w:type="dxa"/>
            <w:tcBorders>
              <w:top w:val="single" w:color="auto" w:sz="4" w:space="0"/>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满足</w:t>
            </w:r>
            <w:r>
              <w:rPr>
                <w:rFonts w:hint="eastAsia" w:asciiTheme="minorEastAsia" w:hAnsiTheme="minorEastAsia" w:eastAsiaTheme="minorEastAsia" w:cstheme="minorEastAsia"/>
                <w:sz w:val="21"/>
                <w:szCs w:val="21"/>
                <w:lang w:eastAsia="zh-CN"/>
              </w:rPr>
              <w:t>非</w:t>
            </w:r>
            <w:bookmarkStart w:id="80" w:name="_GoBack"/>
            <w:bookmarkEnd w:id="80"/>
            <w:r>
              <w:rPr>
                <w:rFonts w:hint="eastAsia" w:asciiTheme="minorEastAsia" w:hAnsiTheme="minorEastAsia" w:eastAsiaTheme="minorEastAsia" w:cstheme="minorEastAsia"/>
                <w:sz w:val="21"/>
                <w:szCs w:val="21"/>
              </w:rPr>
              <w:t>核心产品的技术参数指标，得</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注：标“▲”为实质性要求，存在负偏离的，作无效标处理；</w:t>
            </w:r>
            <w:r>
              <w:rPr>
                <w:rFonts w:hint="eastAsia" w:asciiTheme="minorEastAsia" w:hAnsiTheme="minorEastAsia" w:eastAsiaTheme="minorEastAsia" w:cstheme="minorEastAsia"/>
                <w:sz w:val="21"/>
                <w:szCs w:val="21"/>
                <w:lang w:val="en-US"/>
              </w:rPr>
              <w:t>标“●”的为在线演示项目（在此项中不计分）</w:t>
            </w:r>
            <w:r>
              <w:rPr>
                <w:rFonts w:hint="eastAsia" w:asciiTheme="minorEastAsia" w:hAnsiTheme="minorEastAsia" w:eastAsiaTheme="minorEastAsia" w:cstheme="minorEastAsia"/>
                <w:sz w:val="21"/>
                <w:szCs w:val="21"/>
                <w:lang w:val="en-US" w:eastAsia="zh-CN"/>
              </w:rPr>
              <w:t>；</w:t>
            </w:r>
            <w:r>
              <w:rPr>
                <w:rFonts w:hint="eastAsia" w:asciiTheme="minorEastAsia" w:hAnsiTheme="minorEastAsia" w:eastAsiaTheme="minorEastAsia" w:cstheme="minorEastAsia"/>
                <w:sz w:val="21"/>
                <w:szCs w:val="21"/>
              </w:rPr>
              <w:t>不满足技术参数要求的（每个级序号为一条指标要求），每一条扣0.</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分，扣至0分为止。</w:t>
            </w:r>
          </w:p>
        </w:tc>
        <w:tc>
          <w:tcPr>
            <w:tcW w:w="749" w:type="dxa"/>
            <w:tcBorders>
              <w:top w:val="single" w:color="auto" w:sz="4" w:space="0"/>
              <w:left w:val="single" w:color="000000" w:sz="8" w:space="0"/>
              <w:bottom w:val="single" w:color="000000" w:sz="8" w:space="0"/>
              <w:right w:val="single" w:color="000000" w:sz="8" w:space="0"/>
            </w:tcBorders>
            <w:vAlign w:val="center"/>
          </w:tcPr>
          <w:p>
            <w:pPr>
              <w:pStyle w:val="7"/>
              <w:ind w:firstLine="0" w:firstLine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p>
        </w:tc>
      </w:tr>
      <w:tr>
        <w:tblPrEx>
          <w:tblCellMar>
            <w:top w:w="0" w:type="dxa"/>
            <w:left w:w="108" w:type="dxa"/>
            <w:bottom w:w="0" w:type="dxa"/>
            <w:right w:w="108" w:type="dxa"/>
          </w:tblCellMar>
        </w:tblPrEx>
        <w:trPr>
          <w:trHeight w:val="718" w:hRule="atLeast"/>
          <w:jc w:val="center"/>
        </w:trPr>
        <w:tc>
          <w:tcPr>
            <w:tcW w:w="540" w:type="dxa"/>
            <w:tcBorders>
              <w:top w:val="single" w:color="auto" w:sz="4" w:space="0"/>
              <w:left w:val="single" w:color="auto" w:sz="4" w:space="0"/>
              <w:bottom w:val="single" w:color="auto" w:sz="4"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744" w:type="dxa"/>
            <w:tcBorders>
              <w:top w:val="single" w:color="auto" w:sz="4" w:space="0"/>
              <w:left w:val="single" w:color="000000" w:sz="8" w:space="0"/>
              <w:bottom w:val="single" w:color="auto" w:sz="4" w:space="0"/>
              <w:right w:val="single" w:color="auto" w:sz="4" w:space="0"/>
            </w:tcBorders>
            <w:vAlign w:val="center"/>
          </w:tcPr>
          <w:p>
            <w:pPr>
              <w:pStyle w:val="7"/>
              <w:ind w:firstLine="0" w:firstLineChars="0"/>
              <w:jc w:val="center"/>
              <w:rPr>
                <w:rFonts w:hint="eastAsia" w:asciiTheme="minorEastAsia" w:hAnsiTheme="minorEastAsia" w:eastAsiaTheme="minorEastAsia" w:cstheme="minorEastAsia"/>
                <w:sz w:val="21"/>
                <w:szCs w:val="21"/>
                <w:highlight w:val="yellow"/>
              </w:rPr>
            </w:pPr>
            <w:r>
              <w:rPr>
                <w:rFonts w:hint="eastAsia" w:asciiTheme="minorEastAsia" w:hAnsiTheme="minorEastAsia" w:eastAsiaTheme="minorEastAsia" w:cstheme="minorEastAsia"/>
                <w:sz w:val="21"/>
                <w:szCs w:val="21"/>
                <w:highlight w:val="none"/>
              </w:rPr>
              <w:t>演示要求</w:t>
            </w:r>
          </w:p>
        </w:tc>
        <w:tc>
          <w:tcPr>
            <w:tcW w:w="6192" w:type="dxa"/>
            <w:tcBorders>
              <w:top w:val="nil"/>
              <w:left w:val="single" w:color="auto" w:sz="4"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val="en-US" w:eastAsia="zh-CN"/>
              </w:rPr>
              <w:t>1.</w:t>
            </w:r>
            <w:r>
              <w:rPr>
                <w:rFonts w:hint="eastAsia" w:asciiTheme="minorEastAsia" w:hAnsiTheme="minorEastAsia" w:eastAsiaTheme="minorEastAsia" w:cstheme="minorEastAsia"/>
                <w:b/>
                <w:bCs/>
                <w:color w:val="auto"/>
                <w:sz w:val="21"/>
                <w:szCs w:val="21"/>
              </w:rPr>
              <w:t>算力工作站</w:t>
            </w:r>
            <w:r>
              <w:rPr>
                <w:rFonts w:hint="eastAsia" w:asciiTheme="minorEastAsia" w:hAnsiTheme="minorEastAsia" w:eastAsiaTheme="minorEastAsia" w:cstheme="minorEastAsia"/>
                <w:b/>
                <w:bCs/>
                <w:color w:val="auto"/>
                <w:sz w:val="21"/>
                <w:szCs w:val="21"/>
                <w:lang w:eastAsia="zh-CN"/>
              </w:rPr>
              <w:t>机房管理软件要求；</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支持双模式自动连线的智能对拷功能，可设置三种不同的智能对拷模式，以及根据实际网络情况设置四种延时类型，对拷过程中用户可查看信息和状态，</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支持在操作系统下的在线考试功能，支持试卷编辑、下发试卷、开始考试、试卷查看、发送答案、试卷导出、停止考试等操作，</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支持在操作系统下的本机操作功能，提供网络设置、快速保存、快速还原、分区设置、模式管理、系统切换、系统更新、智能USB、文件粉碎等多种本机管理功能，</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lang w:eastAsia="zh-CN"/>
              </w:rPr>
              <w:t>支持操作系统下组策略功能，教师端可对学生端批量禁止修改壁纸、禁止修改颜色外观和分辨率、禁止访问控制面板和设置、禁止访问注册表编辑器（Regedit.exe）、禁止访问关机、重启、睡眠和休眠命令、禁止访问设备管理器、禁止访问磁盘管理、禁止访问组策略编辑器、禁止访问计算机管理、禁止访问服务等多种管控机制，确保学生机教学环境不被损坏，</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lang w:eastAsia="zh-CN"/>
              </w:rPr>
              <w:t>支持Windows系统下的设备锁定功能，教师端可对学生端批量设置锁定键鼠、解锁键鼠、锁定屏幕、解锁屏幕、锁定USB、解锁USB、锁定光驱、解锁光驱、开启黑屏肃静、关闭黑屏肃静、禁用网络、启用网络、禁用扬声器、启用扬声器等多种操作，</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val="en-US" w:eastAsia="zh-CN"/>
              </w:rPr>
              <w:t>2.</w:t>
            </w:r>
            <w:r>
              <w:rPr>
                <w:rFonts w:hint="eastAsia" w:asciiTheme="minorEastAsia" w:hAnsiTheme="minorEastAsia" w:eastAsiaTheme="minorEastAsia" w:cstheme="minorEastAsia"/>
                <w:b/>
                <w:bCs/>
                <w:color w:val="auto"/>
                <w:sz w:val="21"/>
                <w:szCs w:val="21"/>
              </w:rPr>
              <w:t>LED全彩屏</w:t>
            </w:r>
            <w:r>
              <w:rPr>
                <w:rFonts w:hint="eastAsia" w:asciiTheme="minorEastAsia" w:hAnsiTheme="minorEastAsia" w:eastAsiaTheme="minorEastAsia" w:cstheme="minorEastAsia"/>
                <w:b/>
                <w:bCs/>
                <w:color w:val="auto"/>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组件要求</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模组搭配智能控制盒，集成电源、HUB板、接收卡于一体，电源信号统一Type-C输出，具有6路输出口</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支持144HZ高帧率输入输出，输出支持插帧、抽帧、倍频（2倍频、3倍频、4倍频）功能，可将30HZ信号，倍频至120HZ输出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图层能力≥6个2K图层或1个4K图层+2个2K图层，全部图层大小和位置可单独调节。4K接口输入2K信号，按2K图层计算图层资源</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通过上位机软件实现对显示屏的连接，控制，包括：输入源切换，窗口位置及大小调节，分辨率自定义等；软件端支持可视化呈现设备各接口实时状态，包括视频输入状态及分辨率、网口带载利用率、监控界面支持接收卡温度、电压、误码率、通讯状态等的检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w:t>
            </w:r>
            <w:r>
              <w:rPr>
                <w:rFonts w:hint="eastAsia" w:asciiTheme="minorEastAsia" w:hAnsiTheme="minorEastAsia" w:eastAsiaTheme="minorEastAsia" w:cstheme="minorEastAsia"/>
                <w:sz w:val="21"/>
                <w:szCs w:val="21"/>
                <w:lang w:val="en-US" w:eastAsia="zh-CN"/>
              </w:rPr>
              <w:t>0.5</w:t>
            </w:r>
            <w:r>
              <w:rPr>
                <w:rFonts w:hint="eastAsia" w:asciiTheme="minorEastAsia" w:hAnsiTheme="minorEastAsia" w:eastAsiaTheme="minorEastAsia" w:cstheme="minorEastAsia"/>
                <w:sz w:val="21"/>
                <w:szCs w:val="21"/>
              </w:rPr>
              <w:t>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b/>
                <w:bCs/>
                <w:color w:val="auto"/>
                <w:sz w:val="21"/>
                <w:szCs w:val="21"/>
                <w:lang w:eastAsia="zh-CN"/>
              </w:rPr>
            </w:pPr>
            <w:r>
              <w:rPr>
                <w:rFonts w:hint="eastAsia" w:asciiTheme="minorEastAsia" w:hAnsiTheme="minorEastAsia" w:eastAsiaTheme="minorEastAsia" w:cstheme="minorEastAsia"/>
                <w:b/>
                <w:bCs/>
                <w:color w:val="auto"/>
                <w:sz w:val="21"/>
                <w:szCs w:val="21"/>
                <w:lang w:val="en-US" w:eastAsia="zh-CN"/>
              </w:rPr>
              <w:t>3.</w:t>
            </w:r>
            <w:r>
              <w:rPr>
                <w:rFonts w:hint="eastAsia" w:asciiTheme="minorEastAsia" w:hAnsiTheme="minorEastAsia" w:eastAsiaTheme="minorEastAsia" w:cstheme="minorEastAsia"/>
                <w:b/>
                <w:bCs/>
                <w:color w:val="auto"/>
                <w:sz w:val="21"/>
                <w:szCs w:val="21"/>
              </w:rPr>
              <w:t>智慧黑板</w:t>
            </w:r>
            <w:r>
              <w:rPr>
                <w:rFonts w:hint="eastAsia" w:asciiTheme="minorEastAsia" w:hAnsiTheme="minorEastAsia" w:eastAsiaTheme="minorEastAsia" w:cstheme="minorEastAsia"/>
                <w:b/>
                <w:bCs/>
                <w:color w:val="auto"/>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整机前置按键支持自定义设置，可通过自定义设置实现前置面板功能按键一键启用任一全局小工具（批注、截屏、计时、降半屏、放大镜、倒数日、日历）、快捷开关（节能模式、纸质护眼模式、经典护眼模式、自动亮度模式）</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整机内置传屏接收模块，整机不需要连接任何附加设备，可实现外部电脑、手机设备的音视频信号实时传输到整机上；当使用外部电脑传屏时，支持触摸回传，屏幕上部显示传屏工具栏，可以进行触摸回传控制、勿扰模式、暂停投屏功能；开启勿扰模式时，不允许其他人再进行传屏；投屏时可以选择特定应用窗口，从而实现过滤其他应用窗口，如邮件应用窗口</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 xml:space="preserve"> 文件传输（Windows通道）：≥扫码、超声、wifi直连三种方式</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认证方式：≥通过账号登录、手机扫码登录、人脸识别登录、声纹识别登录、近场发现登录；账号安全登录检测</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p>
            <w:pPr>
              <w:pStyle w:val="7"/>
              <w:ind w:firstLine="0" w:firstLineChars="0"/>
              <w:rPr>
                <w:rFonts w:hint="default" w:asciiTheme="minorEastAsia" w:hAnsiTheme="minorEastAsia" w:eastAsiaTheme="minorEastAsia" w:cstheme="minorEastAsia"/>
                <w:sz w:val="21"/>
                <w:szCs w:val="21"/>
                <w:highlight w:val="yellow"/>
                <w:lang w:val="en-US" w:eastAsia="zh-CN"/>
              </w:rPr>
            </w:pP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支持在无任何外部设备的情况下，实时录制用户朗读内容，识别用户声纹并进行统一身份登录，登录后自动获取个人云端教学课件列表，打开教学白板软件时可跳过软件自带登录步骤</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满足得1分，未满足得0分</w:t>
            </w:r>
            <w:r>
              <w:rPr>
                <w:rFonts w:hint="eastAsia" w:asciiTheme="minorEastAsia" w:hAnsiTheme="minorEastAsia" w:eastAsiaTheme="minorEastAsia" w:cstheme="minorEastAsia"/>
                <w:sz w:val="21"/>
                <w:szCs w:val="21"/>
                <w:lang w:eastAsia="zh-CN"/>
              </w:rPr>
              <w:t>。</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2</w:t>
            </w:r>
          </w:p>
        </w:tc>
      </w:tr>
      <w:tr>
        <w:tblPrEx>
          <w:tblCellMar>
            <w:top w:w="0" w:type="dxa"/>
            <w:left w:w="108" w:type="dxa"/>
            <w:bottom w:w="0" w:type="dxa"/>
            <w:right w:w="108" w:type="dxa"/>
          </w:tblCellMar>
        </w:tblPrEx>
        <w:trPr>
          <w:trHeight w:val="1670" w:hRule="atLeast"/>
          <w:jc w:val="center"/>
        </w:trPr>
        <w:tc>
          <w:tcPr>
            <w:tcW w:w="540" w:type="dxa"/>
            <w:vMerge w:val="restart"/>
            <w:tcBorders>
              <w:top w:val="nil"/>
              <w:left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744" w:type="dxa"/>
            <w:vMerge w:val="restart"/>
            <w:tcBorders>
              <w:top w:val="nil"/>
              <w:left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人员要求</w:t>
            </w:r>
            <w:r>
              <w:rPr>
                <w:rFonts w:hint="eastAsia" w:asciiTheme="minorEastAsia" w:hAnsiTheme="minorEastAsia" w:eastAsiaTheme="minorEastAsia" w:cstheme="minorEastAsia"/>
                <w:sz w:val="21"/>
                <w:szCs w:val="21"/>
              </w:rPr>
              <w:t>（注：同一人员、同一证书不可多次计分。）</w:t>
            </w:r>
          </w:p>
        </w:tc>
        <w:tc>
          <w:tcPr>
            <w:tcW w:w="6192" w:type="dxa"/>
            <w:tcBorders>
              <w:top w:val="nil"/>
              <w:left w:val="single" w:color="000000" w:sz="8" w:space="0"/>
              <w:bottom w:val="single" w:color="000000" w:sz="8" w:space="0"/>
              <w:right w:val="single" w:color="000000" w:sz="8" w:space="0"/>
            </w:tcBorders>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项目负责人</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rPr>
              <w:t>具有（信息化类）高级职称证书，得</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分。</w:t>
            </w:r>
            <w:r>
              <w:rPr>
                <w:rFonts w:asciiTheme="minorEastAsia" w:hAnsiTheme="minorEastAsia" w:eastAsiaTheme="minorEastAsia" w:cstheme="minorEastAsia"/>
                <w:sz w:val="21"/>
                <w:szCs w:val="21"/>
              </w:rPr>
              <w:br w:type="textWrapping"/>
            </w:r>
            <w:r>
              <w:rPr>
                <w:rFonts w:asciiTheme="minorEastAsia" w:hAnsiTheme="minorEastAsia" w:eastAsiaTheme="minorEastAsia" w:cstheme="minorEastAsia"/>
                <w:sz w:val="21"/>
                <w:szCs w:val="21"/>
              </w:rPr>
              <w:t>需同时提供：项目负责人在本单位缴纳的近开标日三个月内任意一个月社保缴纳证明、资质证书复印件，否则不得分。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108" w:type="dxa"/>
            <w:bottom w:w="0" w:type="dxa"/>
            <w:right w:w="108" w:type="dxa"/>
          </w:tblCellMar>
        </w:tblPrEx>
        <w:trPr>
          <w:trHeight w:val="1152" w:hRule="atLeast"/>
          <w:jc w:val="center"/>
        </w:trPr>
        <w:tc>
          <w:tcPr>
            <w:tcW w:w="540" w:type="dxa"/>
            <w:vMerge w:val="continue"/>
            <w:tcBorders>
              <w:left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p>
        </w:tc>
        <w:tc>
          <w:tcPr>
            <w:tcW w:w="1744" w:type="dxa"/>
            <w:vMerge w:val="continue"/>
            <w:tcBorders>
              <w:left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p>
        </w:tc>
        <w:tc>
          <w:tcPr>
            <w:tcW w:w="6192" w:type="dxa"/>
            <w:tcBorders>
              <w:top w:val="nil"/>
              <w:left w:val="single" w:color="000000" w:sz="8" w:space="0"/>
              <w:bottom w:val="single" w:color="000000" w:sz="8" w:space="0"/>
              <w:right w:val="single" w:color="000000" w:sz="8" w:space="0"/>
            </w:tcBorders>
          </w:tcPr>
          <w:p>
            <w:pPr>
              <w:pStyle w:val="7"/>
              <w:ind w:firstLine="0" w:firstLineChars="0"/>
              <w:rPr>
                <w:rFonts w:hint="eastAsia"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供应商拟派遣的技术负责人（除项目负责人外）具有（信息化类）中级</w:t>
            </w:r>
            <w:r>
              <w:rPr>
                <w:rFonts w:hint="eastAsia" w:asciiTheme="minorEastAsia" w:hAnsiTheme="minorEastAsia" w:eastAsiaTheme="minorEastAsia" w:cstheme="minorEastAsia"/>
                <w:sz w:val="21"/>
                <w:szCs w:val="21"/>
                <w:lang w:eastAsia="zh-CN"/>
              </w:rPr>
              <w:t>及以上</w:t>
            </w:r>
            <w:r>
              <w:rPr>
                <w:rFonts w:asciiTheme="minorEastAsia" w:hAnsiTheme="minorEastAsia" w:eastAsiaTheme="minorEastAsia" w:cstheme="minorEastAsia"/>
                <w:sz w:val="21"/>
                <w:szCs w:val="21"/>
              </w:rPr>
              <w:t>职称证书，每种证提供一张得0.5分，最高得1分。</w:t>
            </w:r>
            <w:r>
              <w:rPr>
                <w:rFonts w:asciiTheme="minorEastAsia" w:hAnsiTheme="minorEastAsia" w:eastAsiaTheme="minorEastAsia" w:cstheme="minorEastAsia"/>
                <w:sz w:val="21"/>
                <w:szCs w:val="21"/>
              </w:rPr>
              <w:br w:type="textWrapping"/>
            </w:r>
            <w:r>
              <w:rPr>
                <w:rFonts w:asciiTheme="minorEastAsia" w:hAnsiTheme="minorEastAsia" w:eastAsiaTheme="minorEastAsia" w:cstheme="minorEastAsia"/>
                <w:sz w:val="21"/>
                <w:szCs w:val="21"/>
              </w:rPr>
              <w:t>需同时提供：</w:t>
            </w:r>
            <w:r>
              <w:rPr>
                <w:rFonts w:hint="eastAsia" w:asciiTheme="minorEastAsia" w:hAnsiTheme="minorEastAsia" w:eastAsiaTheme="minorEastAsia" w:cstheme="minorEastAsia"/>
                <w:sz w:val="21"/>
                <w:szCs w:val="21"/>
                <w:lang w:eastAsia="zh-CN"/>
              </w:rPr>
              <w:t>技术负责人</w:t>
            </w:r>
            <w:r>
              <w:rPr>
                <w:rFonts w:asciiTheme="minorEastAsia" w:hAnsiTheme="minorEastAsia" w:eastAsiaTheme="minorEastAsia" w:cstheme="minorEastAsia"/>
                <w:sz w:val="21"/>
                <w:szCs w:val="21"/>
              </w:rPr>
              <w:t>在本单位缴纳的近开标日三个月内任意一个月社保缴纳证明、资质证书复印件，否则不得分。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r>
      <w:tr>
        <w:tblPrEx>
          <w:tblCellMar>
            <w:top w:w="0" w:type="dxa"/>
            <w:left w:w="108" w:type="dxa"/>
            <w:bottom w:w="0" w:type="dxa"/>
            <w:right w:w="108" w:type="dxa"/>
          </w:tblCellMar>
        </w:tblPrEx>
        <w:trPr>
          <w:trHeight w:val="1152" w:hRule="atLeast"/>
          <w:jc w:val="center"/>
        </w:trPr>
        <w:tc>
          <w:tcPr>
            <w:tcW w:w="540" w:type="dxa"/>
            <w:vMerge w:val="continue"/>
            <w:tcBorders>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p>
        </w:tc>
        <w:tc>
          <w:tcPr>
            <w:tcW w:w="1744" w:type="dxa"/>
            <w:vMerge w:val="continue"/>
            <w:tcBorders>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p>
        </w:tc>
        <w:tc>
          <w:tcPr>
            <w:tcW w:w="6192" w:type="dxa"/>
            <w:tcBorders>
              <w:top w:val="nil"/>
              <w:left w:val="single" w:color="000000" w:sz="8" w:space="0"/>
              <w:bottom w:val="single" w:color="000000" w:sz="8" w:space="0"/>
              <w:right w:val="single" w:color="000000" w:sz="8" w:space="0"/>
            </w:tcBorders>
          </w:tcPr>
          <w:p>
            <w:pPr>
              <w:pStyle w:val="7"/>
              <w:ind w:firstLine="0" w:firstLineChars="0"/>
              <w:rPr>
                <w:rFonts w:hint="eastAsia"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供应商拟派遣的团队人员（除项目负责人、技术负责人外）具有（信息化类）中级</w:t>
            </w:r>
            <w:r>
              <w:rPr>
                <w:rFonts w:hint="eastAsia" w:asciiTheme="minorEastAsia" w:hAnsiTheme="minorEastAsia" w:eastAsiaTheme="minorEastAsia" w:cstheme="minorEastAsia"/>
                <w:sz w:val="21"/>
                <w:szCs w:val="21"/>
                <w:lang w:eastAsia="zh-CN"/>
              </w:rPr>
              <w:t>及以上</w:t>
            </w:r>
            <w:r>
              <w:rPr>
                <w:rFonts w:asciiTheme="minorEastAsia" w:hAnsiTheme="minorEastAsia" w:eastAsiaTheme="minorEastAsia" w:cstheme="minorEastAsia"/>
                <w:sz w:val="21"/>
                <w:szCs w:val="21"/>
              </w:rPr>
              <w:t>职称证书、（电气工程类）中级</w:t>
            </w:r>
            <w:r>
              <w:rPr>
                <w:rFonts w:hint="eastAsia" w:asciiTheme="minorEastAsia" w:hAnsiTheme="minorEastAsia" w:eastAsiaTheme="minorEastAsia" w:cstheme="minorEastAsia"/>
                <w:sz w:val="21"/>
                <w:szCs w:val="21"/>
                <w:lang w:eastAsia="zh-CN"/>
              </w:rPr>
              <w:t>及以上</w:t>
            </w:r>
            <w:r>
              <w:rPr>
                <w:rFonts w:asciiTheme="minorEastAsia" w:hAnsiTheme="minorEastAsia" w:eastAsiaTheme="minorEastAsia" w:cstheme="minorEastAsia"/>
                <w:sz w:val="21"/>
                <w:szCs w:val="21"/>
              </w:rPr>
              <w:t>职称证书，每种证提供一张得0.5分，最高得1分；需同时提供：项目负责人在本单位缴纳的近开标日三个月内任意一个月社保缴纳证明、资质证书复印件，否则不得分。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r>
      <w:tr>
        <w:tblPrEx>
          <w:tblCellMar>
            <w:top w:w="0" w:type="dxa"/>
            <w:left w:w="108" w:type="dxa"/>
            <w:bottom w:w="0" w:type="dxa"/>
            <w:right w:w="108" w:type="dxa"/>
          </w:tblCellMar>
        </w:tblPrEx>
        <w:trPr>
          <w:trHeight w:val="1152"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11</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实施方案</w:t>
            </w:r>
          </w:p>
        </w:tc>
        <w:tc>
          <w:tcPr>
            <w:tcW w:w="6192" w:type="dxa"/>
            <w:tcBorders>
              <w:top w:val="nil"/>
              <w:left w:val="single" w:color="000000" w:sz="8" w:space="0"/>
              <w:bottom w:val="single" w:color="000000" w:sz="8" w:space="0"/>
              <w:right w:val="single" w:color="000000" w:sz="8" w:space="0"/>
            </w:tcBorders>
          </w:tcPr>
          <w:p>
            <w:pPr>
              <w:pStyle w:val="7"/>
              <w:ind w:firstLine="0" w:firstLineChars="0"/>
              <w:rPr>
                <w:rFonts w:hint="default" w:asciiTheme="minorEastAsia" w:hAnsiTheme="minorEastAsia" w:eastAsiaTheme="minorEastAsia" w:cstheme="minorEastAsia"/>
                <w:sz w:val="21"/>
                <w:szCs w:val="21"/>
                <w:lang w:val="en-US"/>
              </w:rPr>
            </w:pPr>
            <w:r>
              <w:rPr>
                <w:rFonts w:asciiTheme="minorEastAsia" w:hAnsiTheme="minorEastAsia" w:eastAsiaTheme="minorEastAsia" w:cstheme="minorEastAsia"/>
                <w:sz w:val="21"/>
                <w:szCs w:val="21"/>
              </w:rPr>
              <w:t>针对本项目组织实施方案，须含以下内容：①项目进度及实施计划</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0-2分；</w:t>
            </w:r>
            <w:r>
              <w:rPr>
                <w:rFonts w:asciiTheme="minorEastAsia" w:hAnsiTheme="minorEastAsia" w:eastAsiaTheme="minorEastAsia" w:cstheme="minorEastAsia"/>
                <w:sz w:val="21"/>
                <w:szCs w:val="21"/>
              </w:rPr>
              <w:t>②质量保证措施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0-2分；</w:t>
            </w:r>
            <w:r>
              <w:rPr>
                <w:rFonts w:asciiTheme="minorEastAsia" w:hAnsiTheme="minorEastAsia" w:eastAsiaTheme="minorEastAsia" w:cstheme="minorEastAsia"/>
                <w:sz w:val="21"/>
                <w:szCs w:val="21"/>
              </w:rPr>
              <w:t>③各项应急措施</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0-2分；</w:t>
            </w:r>
            <w:r>
              <w:rPr>
                <w:rFonts w:asciiTheme="minorEastAsia" w:hAnsiTheme="minorEastAsia" w:eastAsiaTheme="minorEastAsia" w:cstheme="minorEastAsia"/>
                <w:sz w:val="21"/>
                <w:szCs w:val="21"/>
              </w:rPr>
              <w:t>④产品供货、安装、调试</w:t>
            </w:r>
            <w:r>
              <w:rPr>
                <w:rFonts w:hint="eastAsia" w:asciiTheme="minorEastAsia" w:hAnsiTheme="minorEastAsia" w:eastAsiaTheme="minorEastAsia" w:cstheme="minorEastAsia"/>
                <w:sz w:val="21"/>
                <w:szCs w:val="21"/>
                <w:lang w:eastAsia="zh-CN"/>
              </w:rPr>
              <w:t>、试运行</w:t>
            </w:r>
            <w:r>
              <w:rPr>
                <w:rFonts w:asciiTheme="minorEastAsia" w:hAnsiTheme="minorEastAsia" w:eastAsiaTheme="minorEastAsia" w:cstheme="minorEastAsia"/>
                <w:sz w:val="21"/>
                <w:szCs w:val="21"/>
              </w:rPr>
              <w:t>方案</w:t>
            </w:r>
            <w:r>
              <w:rPr>
                <w:rFonts w:hint="eastAsia" w:asciiTheme="minorEastAsia" w:hAnsiTheme="minorEastAsia" w:eastAsiaTheme="minorEastAsia" w:cstheme="minorEastAsia"/>
                <w:sz w:val="21"/>
                <w:szCs w:val="21"/>
                <w:lang w:eastAsia="zh-CN"/>
              </w:rPr>
              <w:t>，</w:t>
            </w:r>
            <w:r>
              <w:rPr>
                <w:rFonts w:hint="eastAsia" w:asciiTheme="minorEastAsia" w:hAnsiTheme="minorEastAsia" w:eastAsiaTheme="minorEastAsia" w:cstheme="minorEastAsia"/>
                <w:sz w:val="21"/>
                <w:szCs w:val="21"/>
                <w:lang w:val="en-US" w:eastAsia="zh-CN"/>
              </w:rPr>
              <w:t>0-2分；共8分，不提供不得分。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8</w:t>
            </w:r>
          </w:p>
        </w:tc>
      </w:tr>
      <w:tr>
        <w:tblPrEx>
          <w:tblCellMar>
            <w:top w:w="0" w:type="dxa"/>
            <w:left w:w="108" w:type="dxa"/>
            <w:bottom w:w="0" w:type="dxa"/>
            <w:right w:w="108" w:type="dxa"/>
          </w:tblCellMar>
        </w:tblPrEx>
        <w:trPr>
          <w:trHeight w:val="954"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12</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宋体" w:hAnsi="宋体" w:eastAsia="宋体" w:cs="宋体"/>
                <w:sz w:val="18"/>
                <w:szCs w:val="18"/>
                <w:vertAlign w:val="baseline"/>
              </w:rPr>
              <w:t>售后服务保障体系方案</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宋体" w:hAnsi="宋体" w:eastAsia="宋体" w:cs="宋体"/>
                <w:sz w:val="18"/>
                <w:szCs w:val="18"/>
                <w:vertAlign w:val="baseline"/>
              </w:rPr>
              <w:t>针对本项目的售后服务方案须含以下内容：①免费服务范围</w:t>
            </w:r>
            <w:r>
              <w:rPr>
                <w:rFonts w:hint="eastAsia" w:ascii="宋体" w:hAnsi="宋体" w:cs="宋体"/>
                <w:sz w:val="18"/>
                <w:szCs w:val="18"/>
                <w:vertAlign w:val="baseline"/>
                <w:lang w:eastAsia="zh-CN"/>
              </w:rPr>
              <w:t>，</w:t>
            </w:r>
            <w:r>
              <w:rPr>
                <w:rFonts w:hint="eastAsia" w:ascii="宋体" w:hAnsi="宋体" w:eastAsia="宋体" w:cs="宋体"/>
                <w:sz w:val="18"/>
                <w:szCs w:val="18"/>
                <w:vertAlign w:val="baseline"/>
              </w:rPr>
              <w:t>0-</w:t>
            </w:r>
            <w:r>
              <w:rPr>
                <w:rFonts w:hint="eastAsia" w:ascii="宋体" w:hAnsi="宋体" w:cs="宋体"/>
                <w:sz w:val="18"/>
                <w:szCs w:val="18"/>
                <w:vertAlign w:val="baseline"/>
                <w:lang w:val="en-US" w:eastAsia="zh-CN"/>
              </w:rPr>
              <w:t>1</w:t>
            </w:r>
            <w:r>
              <w:rPr>
                <w:rFonts w:hint="eastAsia" w:ascii="宋体" w:hAnsi="宋体" w:eastAsia="宋体" w:cs="宋体"/>
                <w:sz w:val="18"/>
                <w:szCs w:val="18"/>
                <w:vertAlign w:val="baseline"/>
              </w:rPr>
              <w:t>分；②主要服务内容，0-</w:t>
            </w:r>
            <w:r>
              <w:rPr>
                <w:rFonts w:hint="eastAsia" w:ascii="宋体" w:hAnsi="宋体" w:cs="宋体"/>
                <w:sz w:val="18"/>
                <w:szCs w:val="18"/>
                <w:vertAlign w:val="baseline"/>
                <w:lang w:val="en-US" w:eastAsia="zh-CN"/>
              </w:rPr>
              <w:t>1</w:t>
            </w:r>
            <w:r>
              <w:rPr>
                <w:rFonts w:hint="eastAsia" w:ascii="宋体" w:hAnsi="宋体" w:eastAsia="宋体" w:cs="宋体"/>
                <w:sz w:val="18"/>
                <w:szCs w:val="18"/>
                <w:vertAlign w:val="baseline"/>
              </w:rPr>
              <w:t>分；③解决问题方案</w:t>
            </w:r>
            <w:r>
              <w:rPr>
                <w:rFonts w:hint="eastAsia" w:ascii="宋体" w:hAnsi="宋体" w:cs="宋体"/>
                <w:sz w:val="18"/>
                <w:szCs w:val="18"/>
                <w:vertAlign w:val="baseline"/>
                <w:lang w:eastAsia="zh-CN"/>
              </w:rPr>
              <w:t>，</w:t>
            </w:r>
            <w:r>
              <w:rPr>
                <w:rFonts w:hint="eastAsia" w:ascii="宋体" w:hAnsi="宋体" w:eastAsia="宋体" w:cs="宋体"/>
                <w:sz w:val="18"/>
                <w:szCs w:val="18"/>
                <w:vertAlign w:val="baseline"/>
              </w:rPr>
              <w:t>0-</w:t>
            </w:r>
            <w:r>
              <w:rPr>
                <w:rFonts w:hint="eastAsia" w:ascii="宋体" w:hAnsi="宋体" w:cs="宋体"/>
                <w:sz w:val="18"/>
                <w:szCs w:val="18"/>
                <w:vertAlign w:val="baseline"/>
                <w:lang w:val="en-US" w:eastAsia="zh-CN"/>
              </w:rPr>
              <w:t>1</w:t>
            </w:r>
            <w:r>
              <w:rPr>
                <w:rFonts w:hint="eastAsia" w:ascii="宋体" w:hAnsi="宋体" w:eastAsia="宋体" w:cs="宋体"/>
                <w:sz w:val="18"/>
                <w:szCs w:val="18"/>
                <w:vertAlign w:val="baseline"/>
              </w:rPr>
              <w:t>分；④排除问题的速度</w:t>
            </w:r>
            <w:r>
              <w:rPr>
                <w:rFonts w:hint="eastAsia" w:ascii="宋体" w:hAnsi="宋体" w:cs="宋体"/>
                <w:sz w:val="18"/>
                <w:szCs w:val="18"/>
                <w:vertAlign w:val="baseline"/>
                <w:lang w:eastAsia="zh-CN"/>
              </w:rPr>
              <w:t>，</w:t>
            </w:r>
            <w:r>
              <w:rPr>
                <w:rFonts w:hint="eastAsia" w:ascii="宋体" w:hAnsi="宋体" w:eastAsia="宋体" w:cs="宋体"/>
                <w:sz w:val="18"/>
                <w:szCs w:val="18"/>
                <w:vertAlign w:val="baseline"/>
              </w:rPr>
              <w:t>0-</w:t>
            </w:r>
            <w:r>
              <w:rPr>
                <w:rFonts w:hint="eastAsia" w:ascii="宋体" w:hAnsi="宋体" w:cs="宋体"/>
                <w:sz w:val="18"/>
                <w:szCs w:val="18"/>
                <w:vertAlign w:val="baseline"/>
                <w:lang w:val="en-US" w:eastAsia="zh-CN"/>
              </w:rPr>
              <w:t>1</w:t>
            </w:r>
            <w:r>
              <w:rPr>
                <w:rFonts w:hint="eastAsia" w:ascii="宋体" w:hAnsi="宋体" w:eastAsia="宋体" w:cs="宋体"/>
                <w:sz w:val="18"/>
                <w:szCs w:val="18"/>
                <w:vertAlign w:val="baseline"/>
              </w:rPr>
              <w:t>分；⑤备品备件库，0-</w:t>
            </w:r>
            <w:r>
              <w:rPr>
                <w:rFonts w:hint="eastAsia" w:ascii="宋体" w:hAnsi="宋体" w:cs="宋体"/>
                <w:sz w:val="18"/>
                <w:szCs w:val="18"/>
                <w:vertAlign w:val="baseline"/>
                <w:lang w:val="en-US" w:eastAsia="zh-CN"/>
              </w:rPr>
              <w:t>1</w:t>
            </w:r>
            <w:r>
              <w:rPr>
                <w:rFonts w:hint="eastAsia" w:ascii="宋体" w:hAnsi="宋体" w:eastAsia="宋体" w:cs="宋体"/>
                <w:sz w:val="18"/>
                <w:szCs w:val="18"/>
                <w:vertAlign w:val="baseline"/>
              </w:rPr>
              <w:t>分；共</w:t>
            </w:r>
            <w:r>
              <w:rPr>
                <w:rFonts w:hint="eastAsia" w:ascii="宋体" w:hAnsi="宋体" w:cs="宋体"/>
                <w:sz w:val="18"/>
                <w:szCs w:val="18"/>
                <w:vertAlign w:val="baseline"/>
                <w:lang w:val="en-US" w:eastAsia="zh-CN"/>
              </w:rPr>
              <w:t>5</w:t>
            </w:r>
            <w:r>
              <w:rPr>
                <w:rFonts w:hint="eastAsia" w:ascii="宋体" w:hAnsi="宋体" w:eastAsia="宋体" w:cs="宋体"/>
                <w:sz w:val="18"/>
                <w:szCs w:val="18"/>
                <w:vertAlign w:val="baseline"/>
              </w:rPr>
              <w:t>分，不提供方案不得分。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w:t>
            </w:r>
          </w:p>
        </w:tc>
      </w:tr>
      <w:tr>
        <w:tblPrEx>
          <w:tblCellMar>
            <w:top w:w="0" w:type="dxa"/>
            <w:left w:w="108" w:type="dxa"/>
            <w:bottom w:w="0" w:type="dxa"/>
            <w:right w:w="108" w:type="dxa"/>
          </w:tblCellMar>
        </w:tblPrEx>
        <w:trPr>
          <w:trHeight w:val="1152"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13</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体系认证证书</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供应商具有有效期内的ISO9001质量管理体系认证、ISO14001环境管理体系认证、</w:t>
            </w:r>
            <w:r>
              <w:rPr>
                <w:rFonts w:asciiTheme="minorEastAsia" w:hAnsiTheme="minorEastAsia" w:eastAsiaTheme="minorEastAsia" w:cstheme="minorEastAsia"/>
                <w:sz w:val="21"/>
                <w:szCs w:val="21"/>
              </w:rPr>
              <w:t>ISO20000</w:t>
            </w:r>
            <w:r>
              <w:rPr>
                <w:rFonts w:hint="eastAsia" w:asciiTheme="minorEastAsia" w:hAnsiTheme="minorEastAsia" w:eastAsiaTheme="minorEastAsia" w:cstheme="minorEastAsia"/>
                <w:sz w:val="21"/>
                <w:szCs w:val="21"/>
              </w:rPr>
              <w:t>信息技术服务管理体系认证、</w:t>
            </w:r>
            <w:r>
              <w:fldChar w:fldCharType="begin"/>
            </w:r>
            <w:r>
              <w:instrText xml:space="preserve"> HYPERLINK "http://www.baidu.com/link?url=ldrMkE7my1vMcbpVbeS9L5PyEgI8EjD1BraMNBff9D9ZD0KhCe34xdjSCu6V6em9SvmzphyAe6uXIRMUM7XDtq" \t "_blank" </w:instrText>
            </w:r>
            <w:r>
              <w:fldChar w:fldCharType="separate"/>
            </w:r>
            <w:r>
              <w:rPr>
                <w:rFonts w:asciiTheme="minorEastAsia" w:hAnsiTheme="minorEastAsia" w:eastAsiaTheme="minorEastAsia" w:cstheme="minorEastAsia"/>
                <w:sz w:val="21"/>
                <w:szCs w:val="21"/>
              </w:rPr>
              <w:t>ISO27001</w:t>
            </w:r>
            <w:r>
              <w:rPr>
                <w:rFonts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信息安全服务管理体系认证，每个得1分，最高得</w:t>
            </w:r>
            <w:r>
              <w:rPr>
                <w:rFonts w:asciiTheme="minorEastAsia" w:hAnsiTheme="minorEastAsia" w:eastAsiaTheme="minorEastAsia" w:cstheme="minorEastAsia"/>
                <w:sz w:val="21"/>
                <w:szCs w:val="21"/>
              </w:rPr>
              <w:t>4</w:t>
            </w:r>
            <w:r>
              <w:rPr>
                <w:rFonts w:hint="eastAsia" w:asciiTheme="minorEastAsia" w:hAnsiTheme="minorEastAsia" w:eastAsiaTheme="minorEastAsia" w:cstheme="minorEastAsia"/>
                <w:sz w:val="21"/>
                <w:szCs w:val="21"/>
              </w:rPr>
              <w:t>分。</w:t>
            </w:r>
          </w:p>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注：提供有效期内证书原件扫描件及在国家认证认可监督管理委员会官方网站（http://www.cnca.gov.cn/）查询的认证结果截图并加盖公章，缺项不得分。</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r>
      <w:tr>
        <w:tblPrEx>
          <w:tblCellMar>
            <w:top w:w="0" w:type="dxa"/>
            <w:left w:w="108" w:type="dxa"/>
            <w:bottom w:w="0" w:type="dxa"/>
            <w:right w:w="108" w:type="dxa"/>
          </w:tblCellMar>
        </w:tblPrEx>
        <w:trPr>
          <w:trHeight w:val="1152" w:hRule="atLeast"/>
          <w:jc w:val="center"/>
        </w:trPr>
        <w:tc>
          <w:tcPr>
            <w:tcW w:w="540" w:type="dxa"/>
            <w:tcBorders>
              <w:top w:val="nil"/>
              <w:left w:val="single" w:color="000000" w:sz="8" w:space="0"/>
              <w:bottom w:val="single" w:color="000000" w:sz="8" w:space="0"/>
              <w:right w:val="single" w:color="000000" w:sz="8" w:space="0"/>
            </w:tcBorders>
            <w:vAlign w:val="center"/>
          </w:tcPr>
          <w:p>
            <w:pPr>
              <w:widowControl/>
              <w:ind w:firstLine="0" w:firstLineChars="0"/>
              <w:jc w:val="center"/>
              <w:textAlignment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14</w:t>
            </w:r>
          </w:p>
        </w:tc>
        <w:tc>
          <w:tcPr>
            <w:tcW w:w="1744"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asciiTheme="minorEastAsia" w:hAnsiTheme="minorEastAsia" w:eastAsiaTheme="minorEastAsia" w:cstheme="minorEastAsia"/>
                <w:sz w:val="21"/>
                <w:szCs w:val="21"/>
              </w:rPr>
              <w:t>同类项目业绩</w:t>
            </w:r>
          </w:p>
        </w:tc>
        <w:tc>
          <w:tcPr>
            <w:tcW w:w="6192" w:type="dxa"/>
            <w:tcBorders>
              <w:top w:val="nil"/>
              <w:left w:val="single" w:color="000000" w:sz="8" w:space="0"/>
              <w:bottom w:val="single" w:color="000000" w:sz="8" w:space="0"/>
              <w:right w:val="single" w:color="000000" w:sz="8" w:space="0"/>
            </w:tcBorders>
            <w:vAlign w:val="center"/>
          </w:tcPr>
          <w:p>
            <w:pPr>
              <w:pStyle w:val="7"/>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追溯投标截止时间前三年（以合同签订时间为准）的同类项目，同时提供合同和验收报告复印件并加盖公章，每个得1分，最高得3分</w:t>
            </w:r>
            <w:r>
              <w:rPr>
                <w:rFonts w:asciiTheme="minorEastAsia" w:hAnsiTheme="minorEastAsia" w:eastAsiaTheme="minorEastAsia" w:cstheme="minorEastAsia"/>
                <w:sz w:val="21"/>
                <w:szCs w:val="21"/>
              </w:rPr>
              <w:t>，不满足不得分</w:t>
            </w:r>
            <w:r>
              <w:rPr>
                <w:rFonts w:hint="eastAsia" w:asciiTheme="minorEastAsia" w:hAnsiTheme="minorEastAsia" w:eastAsiaTheme="minorEastAsia" w:cstheme="minorEastAsia"/>
                <w:sz w:val="21"/>
                <w:szCs w:val="21"/>
              </w:rPr>
              <w:t>。（注：根据浙财采监〔2022〕8号文规定，对省级以上主管部门认定的首台套产品，自纳入《省推广应用指导目录》起三年内参加政府采购活动，视同已具备相应销售业绩，业绩分为满分。投标时提供相关证明材料）</w:t>
            </w:r>
          </w:p>
        </w:tc>
        <w:tc>
          <w:tcPr>
            <w:tcW w:w="749" w:type="dxa"/>
            <w:tcBorders>
              <w:top w:val="nil"/>
              <w:left w:val="single" w:color="000000" w:sz="8" w:space="0"/>
              <w:bottom w:val="single" w:color="000000" w:sz="8" w:space="0"/>
              <w:right w:val="single" w:color="000000" w:sz="8" w:space="0"/>
            </w:tcBorders>
            <w:vAlign w:val="center"/>
          </w:tcPr>
          <w:p>
            <w:pPr>
              <w:pStyle w:val="7"/>
              <w:ind w:firstLine="0" w:firstLineChars="0"/>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bl>
    <w:p>
      <w:pPr>
        <w:ind w:firstLine="0" w:firstLineChars="0"/>
        <w:rPr>
          <w:rFonts w:hint="eastAsia" w:asciiTheme="minorEastAsia" w:hAnsiTheme="minorEastAsia" w:eastAsiaTheme="minorEastAsia" w:cstheme="minorEastAsia"/>
          <w:sz w:val="48"/>
          <w:szCs w:val="48"/>
        </w:rPr>
      </w:pPr>
    </w:p>
    <w:p>
      <w:pPr>
        <w:rPr>
          <w:rFonts w:hint="eastAsia"/>
          <w:lang w:val="en-US"/>
        </w:rPr>
      </w:pPr>
      <w:r>
        <w:rPr>
          <w:rFonts w:hint="eastAsia"/>
          <w:lang w:val="en-US"/>
        </w:rPr>
        <w:br w:type="page"/>
      </w:r>
    </w:p>
    <w:p>
      <w:pPr>
        <w:pStyle w:val="37"/>
        <w:rPr>
          <w:rFonts w:hint="eastAsia"/>
          <w:lang w:val="en-US"/>
        </w:rPr>
      </w:pPr>
    </w:p>
    <w:p>
      <w:pPr>
        <w:pStyle w:val="3"/>
        <w:suppressAutoHyphens/>
        <w:snapToGrid w:val="0"/>
        <w:spacing w:before="156" w:after="156" w:line="30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48"/>
          <w:szCs w:val="48"/>
        </w:rPr>
        <w:t>第五章  嘉兴市政府采购合同（指引）</w:t>
      </w:r>
    </w:p>
    <w:p>
      <w:pPr>
        <w:ind w:firstLine="0" w:firstLineChars="0"/>
        <w:jc w:val="left"/>
        <w:rPr>
          <w:rFonts w:hint="eastAsia" w:ascii="宋体" w:hAnsi="宋体"/>
          <w:b/>
          <w:kern w:val="0"/>
          <w:lang w:val="en-GB"/>
        </w:rPr>
      </w:pPr>
      <w:r>
        <w:rPr>
          <w:rFonts w:hint="eastAsia" w:ascii="宋体" w:hAnsi="宋体"/>
          <w:b/>
          <w:kern w:val="0"/>
          <w:lang w:val="en-GB"/>
        </w:rPr>
        <w:t>2026年嘉兴职业技术学院教学用计算机、LED屏、智慧黑板等设备采购项目</w:t>
      </w:r>
    </w:p>
    <w:p>
      <w:pPr>
        <w:ind w:firstLine="480"/>
        <w:jc w:val="left"/>
        <w:rPr>
          <w:rFonts w:hint="eastAsia" w:ascii="宋体" w:hAnsi="宋体"/>
          <w:szCs w:val="21"/>
        </w:rPr>
      </w:pPr>
      <w:r>
        <w:rPr>
          <w:rFonts w:hint="eastAsia" w:ascii="宋体" w:hAnsi="宋体"/>
          <w:szCs w:val="21"/>
        </w:rPr>
        <w:t>合同编号：</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政府采购计划（预算）确认号：</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预算金额：</w:t>
      </w:r>
      <w:r>
        <w:rPr>
          <w:rFonts w:ascii="宋体" w:hAnsi="宋体"/>
          <w:szCs w:val="21"/>
        </w:rPr>
        <w:t>131.1286</w:t>
      </w:r>
      <w:r>
        <w:rPr>
          <w:rFonts w:hint="eastAsia" w:ascii="宋体" w:hAnsi="宋体"/>
          <w:szCs w:val="21"/>
        </w:rPr>
        <w:t xml:space="preserve"> 万元</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采购人（以下称甲方）：</w:t>
      </w:r>
      <w:r>
        <w:rPr>
          <w:rFonts w:hint="eastAsia" w:ascii="宋体" w:hAnsi="宋体"/>
          <w:szCs w:val="21"/>
          <w:u w:val="single"/>
        </w:rPr>
        <w:t xml:space="preserve">   嘉兴职业技术学院             </w:t>
      </w:r>
      <w:r>
        <w:rPr>
          <w:rFonts w:hint="eastAsia" w:ascii="宋体" w:hAnsi="宋体"/>
          <w:szCs w:val="21"/>
        </w:rPr>
        <w:t xml:space="preserve"> </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供应商（以下称乙方）：</w:t>
      </w:r>
      <w:r>
        <w:rPr>
          <w:rFonts w:hint="eastAsia" w:ascii="宋体" w:hAnsi="宋体"/>
          <w:szCs w:val="21"/>
          <w:u w:val="single"/>
        </w:rPr>
        <w:t xml:space="preserve">                              </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集中采购机构：嘉兴市公共资源交易中心</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采购方式：公开招标</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开标日期：年月日</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根据《中华人民共和国政府采购法》、《中华人民共和国民法典》等法律法规的规定，甲乙双方按照</w:t>
      </w:r>
      <w:r>
        <w:rPr>
          <w:rFonts w:hint="eastAsia" w:ascii="宋体" w:hAnsi="宋体"/>
          <w:szCs w:val="21"/>
          <w:u w:val="single"/>
        </w:rPr>
        <w:t xml:space="preserve">                                           </w:t>
      </w:r>
      <w:r>
        <w:rPr>
          <w:rFonts w:hint="eastAsia" w:ascii="宋体" w:hAnsi="宋体"/>
          <w:szCs w:val="21"/>
        </w:rPr>
        <w:t>项目采购结果签订本合同。</w:t>
      </w:r>
    </w:p>
    <w:p>
      <w:pPr>
        <w:pStyle w:val="77"/>
        <w:numPr>
          <w:ilvl w:val="0"/>
          <w:numId w:val="4"/>
        </w:numPr>
        <w:ind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b/>
          <w:bCs/>
        </w:rPr>
        <w:t>一、通用必备条款部分</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第一条 合同组成</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本次政府采购活动相关文件为本合同组成部分，这些文件包括但不限于：</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（1）本合同文本；</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（2）采购文件与采购响应文件；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（3）中标或成交通知书；</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组成本合同的所有文件必须为书面形式。政府采购合同备案时，须提供以上（1）、（3）两项，如由社会中介机构代理，须提供代理协议，合同如有变更的，须提供变更协议。</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第二条 合同标的</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1、本次采购的是</w:t>
      </w:r>
      <w:r>
        <w:rPr>
          <w:rFonts w:hint="eastAsia" w:ascii="宋体" w:hAnsi="宋体"/>
          <w:szCs w:val="21"/>
          <w:u w:val="single"/>
        </w:rPr>
        <w:t xml:space="preserve">                                    </w:t>
      </w:r>
      <w:r>
        <w:rPr>
          <w:rFonts w:hint="eastAsia" w:ascii="宋体" w:hAnsi="宋体"/>
          <w:szCs w:val="21"/>
        </w:rPr>
        <w:t>。</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2、乙方是否属于中小微企业：□是□否</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3、本合同项下产品属于（可多选）：□环保产品；□节能产品；□进口产品</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第三条 合同价款及付款方式</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1、本合同项下总价款为（大写）</w:t>
      </w:r>
      <w:r>
        <w:rPr>
          <w:rFonts w:hint="eastAsia" w:ascii="宋体" w:hAnsi="宋体"/>
          <w:szCs w:val="21"/>
          <w:u w:val="single"/>
        </w:rPr>
        <w:t xml:space="preserve">              </w:t>
      </w:r>
      <w:r>
        <w:rPr>
          <w:rFonts w:hint="eastAsia" w:ascii="宋体" w:hAnsi="宋体"/>
          <w:szCs w:val="21"/>
        </w:rPr>
        <w:t>人民币，分项价款见附件表1。数量为预估采购数量，以实际采购数量合同单价结算，采购总金额不超过预算金额，</w:t>
      </w:r>
      <w:r>
        <w:rPr>
          <w:rFonts w:hint="eastAsia"/>
        </w:rPr>
        <w:t>乙方在每次供货前提供详细的供货清单，包括设备名称、品牌、规格型号、数量等，经甲方确认后方可供货</w:t>
      </w:r>
      <w:r>
        <w:rPr>
          <w:rFonts w:hint="eastAsia" w:ascii="宋体" w:hAnsi="宋体"/>
          <w:szCs w:val="21"/>
        </w:rPr>
        <w:t>。</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2、本合同总价款含所有税费(包括货款、标准附件、备品备件、专用工具、包装、运输、装卸、保险、税金、货到就位以及安装、调试、培训、保修等一切税金和费用。)</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3、本合同付款方式为以下第</w:t>
      </w:r>
      <w:r>
        <w:rPr>
          <w:rFonts w:hint="eastAsia" w:ascii="宋体" w:hAnsi="宋体"/>
          <w:szCs w:val="21"/>
          <w:u w:val="single"/>
        </w:rPr>
        <w:t xml:space="preserve">      （1）     </w:t>
      </w:r>
      <w:r>
        <w:rPr>
          <w:rFonts w:hint="eastAsia" w:ascii="宋体" w:hAnsi="宋体"/>
          <w:szCs w:val="21"/>
        </w:rPr>
        <w:t>项：</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（1）本合同项下的采购资金系甲方自行支付，付款程序为</w:t>
      </w:r>
      <w:r>
        <w:rPr>
          <w:rFonts w:hint="eastAsia" w:ascii="宋体" w:hAnsi="宋体"/>
          <w:szCs w:val="21"/>
          <w:u w:val="single"/>
        </w:rPr>
        <w:t xml:space="preserve">   </w:t>
      </w:r>
      <w:r>
        <w:rPr>
          <w:u w:val="single"/>
        </w:rPr>
        <w:t>合同生效且项目具备实施条件后7个工作日内支付合同金额的6</w:t>
      </w:r>
      <w:r>
        <w:rPr>
          <w:rFonts w:hint="eastAsia"/>
          <w:u w:val="single"/>
        </w:rPr>
        <w:t>0 %</w:t>
      </w:r>
      <w:r>
        <w:rPr>
          <w:u w:val="single"/>
        </w:rPr>
        <w:t>作为预付款</w:t>
      </w:r>
      <w:r>
        <w:rPr>
          <w:rFonts w:hint="eastAsia"/>
          <w:u w:val="single"/>
        </w:rPr>
        <w:t>。分批次供货，每批次货物验收合格后，对于满足合同约定支付条件的，采购人自收到发票后14个工作日内将本批次货款支付到合同约定的成交供应商账户。如未达到预付款金额的，无需支付本批次货款。如超过预付款金额的，支付剩余的货款。</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（2）本合同项下的采购资金须财政直接支付，付款程序为</w:t>
      </w:r>
      <w:r>
        <w:rPr>
          <w:rFonts w:hint="eastAsia" w:ascii="宋体" w:hAnsi="宋体"/>
          <w:szCs w:val="21"/>
          <w:u w:val="single"/>
        </w:rPr>
        <w:t xml:space="preserve">                    </w:t>
      </w:r>
      <w:r>
        <w:rPr>
          <w:rFonts w:hint="eastAsia" w:ascii="宋体" w:hAnsi="宋体"/>
          <w:szCs w:val="21"/>
        </w:rPr>
        <w:t>；</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u w:val="single"/>
        </w:rPr>
      </w:pPr>
      <w:r>
        <w:rPr>
          <w:rFonts w:hint="eastAsia" w:ascii="宋体" w:hAnsi="宋体"/>
          <w:szCs w:val="21"/>
        </w:rPr>
        <w:t>（3）其他方式：</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highlight w:val="none"/>
        </w:rPr>
      </w:pPr>
      <w:r>
        <w:rPr>
          <w:rFonts w:hint="eastAsia" w:ascii="宋体" w:hAnsi="宋体"/>
          <w:szCs w:val="21"/>
        </w:rPr>
        <w:t>4、本合同项下的采购资金付款进度按招投标文件规定，未规定时按以下第</w:t>
      </w:r>
      <w:r>
        <w:rPr>
          <w:rFonts w:hint="eastAsia" w:ascii="宋体" w:hAnsi="宋体"/>
          <w:szCs w:val="21"/>
          <w:u w:val="single"/>
        </w:rPr>
        <w:t xml:space="preserve">      /     </w:t>
      </w:r>
      <w:r>
        <w:rPr>
          <w:rFonts w:hint="eastAsia" w:ascii="宋体" w:hAnsi="宋体"/>
          <w:szCs w:val="21"/>
          <w:highlight w:val="none"/>
        </w:rPr>
        <w:t xml:space="preserve"> 项支付：</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highlight w:val="none"/>
        </w:rPr>
      </w:pPr>
      <w:r>
        <w:rPr>
          <w:rFonts w:hint="eastAsia" w:ascii="宋体" w:hAnsi="宋体"/>
          <w:szCs w:val="21"/>
          <w:highlight w:val="none"/>
        </w:rPr>
        <w:t>（1）一次性付款：乙方合同履行达到</w:t>
      </w:r>
      <w:r>
        <w:rPr>
          <w:rFonts w:hint="eastAsia" w:ascii="宋体" w:hAnsi="宋体"/>
          <w:szCs w:val="21"/>
          <w:highlight w:val="none"/>
          <w:u w:val="single"/>
        </w:rPr>
        <w:t xml:space="preserve">         </w:t>
      </w:r>
      <w:r>
        <w:rPr>
          <w:rFonts w:hint="eastAsia" w:ascii="宋体" w:hAnsi="宋体"/>
          <w:szCs w:val="21"/>
          <w:highlight w:val="none"/>
        </w:rPr>
        <w:t>（条件）时，一次性付款；</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highlight w:val="none"/>
        </w:rPr>
      </w:pPr>
      <w:r>
        <w:rPr>
          <w:rFonts w:hint="eastAsia" w:ascii="宋体" w:hAnsi="宋体"/>
          <w:szCs w:val="21"/>
          <w:highlight w:val="none"/>
        </w:rPr>
        <w:t>（2）分期付款</w:t>
      </w:r>
      <w:r>
        <w:rPr>
          <w:rFonts w:hint="eastAsia" w:ascii="宋体" w:hAnsi="宋体"/>
          <w:szCs w:val="21"/>
          <w:highlight w:val="none"/>
          <w:u w:val="single"/>
        </w:rPr>
        <w:t xml:space="preserve">         </w:t>
      </w:r>
      <w:r>
        <w:rPr>
          <w:rFonts w:hint="eastAsia" w:ascii="宋体" w:hAnsi="宋体"/>
          <w:szCs w:val="21"/>
          <w:highlight w:val="none"/>
        </w:rPr>
        <w:t>时支付</w:t>
      </w:r>
      <w:r>
        <w:rPr>
          <w:rFonts w:hint="eastAsia"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时支付</w:t>
      </w:r>
      <w:r>
        <w:rPr>
          <w:rFonts w:hint="eastAsia" w:ascii="宋体" w:hAnsi="宋体"/>
          <w:szCs w:val="21"/>
          <w:highlight w:val="none"/>
          <w:u w:val="single"/>
        </w:rPr>
        <w:t xml:space="preserve">         </w:t>
      </w:r>
      <w:r>
        <w:rPr>
          <w:rFonts w:hint="eastAsia" w:ascii="宋体" w:hAnsi="宋体"/>
          <w:szCs w:val="21"/>
          <w:highlight w:val="none"/>
        </w:rPr>
        <w:t>；</w:t>
      </w:r>
      <w:r>
        <w:rPr>
          <w:rFonts w:hint="eastAsia" w:ascii="宋体" w:hAnsi="宋体"/>
          <w:szCs w:val="21"/>
          <w:highlight w:val="none"/>
          <w:u w:val="single"/>
        </w:rPr>
        <w:t xml:space="preserve">         </w:t>
      </w:r>
      <w:r>
        <w:rPr>
          <w:rFonts w:hint="eastAsia" w:ascii="宋体" w:hAnsi="宋体"/>
          <w:szCs w:val="21"/>
          <w:highlight w:val="none"/>
        </w:rPr>
        <w:t>时支付</w:t>
      </w:r>
      <w:r>
        <w:rPr>
          <w:rFonts w:hint="eastAsia" w:ascii="宋体" w:hAnsi="宋体"/>
          <w:szCs w:val="21"/>
          <w:highlight w:val="none"/>
          <w:u w:val="single"/>
        </w:rPr>
        <w:t xml:space="preserve">         </w:t>
      </w:r>
      <w:r>
        <w:rPr>
          <w:rFonts w:hint="eastAsia" w:ascii="宋体" w:hAnsi="宋体"/>
          <w:szCs w:val="21"/>
          <w:highlight w:val="none"/>
        </w:rPr>
        <w:t>；</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highlight w:val="none"/>
        </w:rPr>
      </w:pPr>
      <w:r>
        <w:rPr>
          <w:rFonts w:hint="eastAsia" w:ascii="宋体" w:hAnsi="宋体"/>
          <w:szCs w:val="21"/>
          <w:highlight w:val="none"/>
        </w:rPr>
        <w:t>若收取了履约保证金，则不应重复设置尾款支付条件。</w:t>
      </w:r>
    </w:p>
    <w:p>
      <w:pPr>
        <w:ind w:firstLine="0" w:firstLineChars="0"/>
        <w:rPr>
          <w:rFonts w:hint="eastAsia" w:asciiTheme="minorEastAsia" w:hAnsiTheme="minorEastAsia" w:eastAsiaTheme="minorEastAsia" w:cstheme="minorEastAsia"/>
          <w:b/>
          <w:bCs/>
          <w:highlight w:val="none"/>
        </w:rPr>
      </w:pPr>
      <w:r>
        <w:rPr>
          <w:rFonts w:hint="eastAsia" w:asciiTheme="minorEastAsia" w:hAnsiTheme="minorEastAsia" w:eastAsiaTheme="minorEastAsia" w:cstheme="minorEastAsia"/>
          <w:b/>
          <w:bCs/>
          <w:highlight w:val="none"/>
        </w:rPr>
        <w:t>第四条 履约保证金</w:t>
      </w:r>
    </w:p>
    <w:p>
      <w:pPr>
        <w:ind w:firstLine="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按以下第</w:t>
      </w:r>
      <w:r>
        <w:rPr>
          <w:rFonts w:hint="eastAsia" w:asciiTheme="minorEastAsia" w:hAnsiTheme="minorEastAsia" w:eastAsiaTheme="minorEastAsia" w:cstheme="minorEastAsia"/>
          <w:highlight w:val="none"/>
          <w:u w:val="single"/>
        </w:rPr>
        <w:t xml:space="preserve">   2   </w:t>
      </w:r>
      <w:r>
        <w:rPr>
          <w:rFonts w:hint="eastAsia" w:asciiTheme="minorEastAsia" w:hAnsiTheme="minorEastAsia" w:eastAsiaTheme="minorEastAsia" w:cstheme="minorEastAsia"/>
          <w:highlight w:val="none"/>
        </w:rPr>
        <w:t>项处理：</w:t>
      </w:r>
    </w:p>
    <w:p>
      <w:pPr>
        <w:numPr>
          <w:ilvl w:val="0"/>
          <w:numId w:val="5"/>
        </w:numPr>
        <w:ind w:firstLine="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本项目设置履约保证金，乙方应于</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（时间）向甲方提交履约保证</w:t>
      </w:r>
    </w:p>
    <w:p>
      <w:pPr>
        <w:ind w:firstLine="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金</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元（不得高于本合同金额的1%）。履约保证金在</w:t>
      </w:r>
      <w:r>
        <w:rPr>
          <w:rFonts w:hint="eastAsia" w:asciiTheme="minorEastAsia" w:hAnsiTheme="minorEastAsia" w:eastAsiaTheme="minorEastAsia" w:cstheme="minorEastAsia"/>
          <w:highlight w:val="none"/>
          <w:u w:val="single"/>
        </w:rPr>
        <w:t xml:space="preserve">      </w:t>
      </w:r>
      <w:r>
        <w:rPr>
          <w:rFonts w:hint="eastAsia" w:asciiTheme="minorEastAsia" w:hAnsiTheme="minorEastAsia" w:eastAsiaTheme="minorEastAsia" w:cstheme="minorEastAsia"/>
          <w:highlight w:val="none"/>
        </w:rPr>
        <w:t>（时间）退还乙方。</w:t>
      </w:r>
    </w:p>
    <w:p>
      <w:pPr>
        <w:ind w:firstLine="48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2、本项目不设置履约保证金</w:t>
      </w:r>
    </w:p>
    <w:p>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hint="eastAsia" w:ascii="宋体" w:hAnsi="宋体"/>
          <w:szCs w:val="21"/>
        </w:rPr>
      </w:pPr>
      <w:r>
        <w:rPr>
          <w:rFonts w:hint="eastAsia" w:ascii="宋体" w:hAnsi="宋体"/>
          <w:b/>
          <w:szCs w:val="21"/>
        </w:rPr>
        <w:t>第五条 合同的变更和终止</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除《政府采购法》第49条、第50条第二款规定的情形外，本合同一经签订，甲乙双方不得擅自终止合同或对合同实质性条款进行变更。确有特殊情况的，须经同级财政部门备案同意。</w:t>
      </w:r>
    </w:p>
    <w:p>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hint="eastAsia" w:ascii="宋体" w:hAnsi="宋体"/>
          <w:szCs w:val="21"/>
        </w:rPr>
      </w:pPr>
      <w:r>
        <w:rPr>
          <w:rFonts w:hint="eastAsia" w:ascii="宋体" w:hAnsi="宋体"/>
          <w:b/>
          <w:szCs w:val="21"/>
        </w:rPr>
        <w:t>第六条 合同的转让与分包</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乙方不得擅自部分或全部转让其应履行的合同义务。</w:t>
      </w:r>
    </w:p>
    <w:p>
      <w:pPr>
        <w:shd w:val="clear" w:color="auto" w:fill="FFFFFF"/>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left"/>
        <w:rPr>
          <w:rFonts w:hint="eastAsia" w:ascii="宋体" w:hAnsi="宋体"/>
          <w:szCs w:val="21"/>
        </w:rPr>
      </w:pPr>
      <w:r>
        <w:rPr>
          <w:rFonts w:hint="eastAsia" w:ascii="宋体" w:hAnsi="宋体"/>
          <w:b/>
          <w:szCs w:val="21"/>
        </w:rPr>
        <w:t>第七条 争议的解决</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1、因履行本合同引起的或与本合同有关的争议，甲、乙双方应首先通过友好协商解决，如果协商不能解决争议，则采取以下第</w:t>
      </w:r>
      <w:r>
        <w:rPr>
          <w:rFonts w:hint="eastAsia" w:ascii="宋体" w:hAnsi="宋体"/>
          <w:szCs w:val="21"/>
          <w:u w:val="single"/>
        </w:rPr>
        <w:t xml:space="preserve">      </w:t>
      </w:r>
      <w:r>
        <w:rPr>
          <w:rFonts w:hint="eastAsia" w:ascii="宋体" w:hAnsi="宋体"/>
          <w:szCs w:val="21"/>
        </w:rPr>
        <w:t>种方式解决争议：</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（1）向甲方所在地有管辖权的人民法院提起诉讼；</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（2）向</w:t>
      </w:r>
      <w:r>
        <w:rPr>
          <w:rFonts w:hint="eastAsia" w:ascii="宋体" w:hAnsi="宋体"/>
          <w:szCs w:val="21"/>
          <w:u w:val="single"/>
        </w:rPr>
        <w:t xml:space="preserve">      </w:t>
      </w:r>
      <w:r>
        <w:rPr>
          <w:rFonts w:hint="eastAsia" w:ascii="宋体" w:hAnsi="宋体"/>
          <w:szCs w:val="21"/>
        </w:rPr>
        <w:t>仲裁委员申请仲裁。</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2、任何一方违约，应向守约方承担违约责任外，还应承担包括但不限于评估费、鉴定费、诉讼费、保全费、律师费等为实现债权的全部费用。</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b/>
          <w:szCs w:val="21"/>
        </w:rPr>
        <w:t>第八条 合同公告、生效、备案及其他</w:t>
      </w:r>
    </w:p>
    <w:p>
      <w:pPr>
        <w:numPr>
          <w:ilvl w:val="1"/>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szCs w:val="21"/>
        </w:rPr>
        <w:t xml:space="preserve">    1、合同公告：本项目政府采购合同将于签订之日起按要求在规定的时间内发布于浙江政府采购网，但政府采购合同中涉及国家秘密、商业秘密的内容除外。</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szCs w:val="21"/>
        </w:rPr>
        <w:t xml:space="preserve">    2、本合同一式八份，甲方执六份，乙方执两份，经甲乙双方签字盖章（加盖骑缝章）后生效，具有同等法律效力。</w:t>
      </w:r>
      <w:r>
        <w:rPr>
          <w:rFonts w:hint="eastAsia" w:ascii="宋体" w:hAnsi="宋体"/>
          <w:kern w:val="0"/>
        </w:rPr>
        <w:t>若执行政采贷，另加贰份。</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kern w:val="0"/>
        </w:rPr>
        <w:t xml:space="preserve">    3、同执行中涉及采购资金和采购内容修改或补充的，须经财政部门审批，并签书面补充协议报政府部门备案，方可作为主合同不可分割的一部分。</w:t>
      </w:r>
    </w:p>
    <w:p>
      <w:pPr>
        <w:numPr>
          <w:ilvl w:val="0"/>
          <w:numId w:val="6"/>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jc w:val="left"/>
        <w:rPr>
          <w:rFonts w:hint="eastAsia" w:ascii="宋体" w:hAnsi="宋体"/>
          <w:szCs w:val="21"/>
        </w:rPr>
      </w:pPr>
      <w:r>
        <w:rPr>
          <w:rFonts w:hint="eastAsia" w:ascii="宋体" w:hAnsi="宋体"/>
          <w:szCs w:val="21"/>
        </w:rPr>
        <w:t xml:space="preserve">    4、本协议未尽事宜，遵照《民法典》有关条文执行，双方可另行签订补充协议，补充协议内容与本合同不一致的，以补充协议为准。</w:t>
      </w:r>
    </w:p>
    <w:p>
      <w:pPr>
        <w:ind w:firstLine="48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b/>
          <w:bCs/>
        </w:rPr>
        <w:t>二、特殊专用条款部分</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第九条 采购内容</w:t>
      </w:r>
    </w:p>
    <w:tbl>
      <w:tblPr>
        <w:tblStyle w:val="29"/>
        <w:tblW w:w="82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8"/>
        <w:gridCol w:w="196"/>
        <w:gridCol w:w="1115"/>
        <w:gridCol w:w="1344"/>
        <w:gridCol w:w="1157"/>
        <w:gridCol w:w="1057"/>
        <w:gridCol w:w="1182"/>
        <w:gridCol w:w="11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gridSpan w:val="2"/>
            <w:vAlign w:val="center"/>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ascii="宋体" w:hAnsi="宋体"/>
                <w:szCs w:val="21"/>
              </w:rPr>
            </w:pPr>
            <w:r>
              <w:rPr>
                <w:rFonts w:hint="eastAsia" w:ascii="宋体" w:hAnsi="宋体"/>
                <w:szCs w:val="21"/>
              </w:rPr>
              <w:t>序号</w:t>
            </w:r>
          </w:p>
        </w:tc>
        <w:tc>
          <w:tcPr>
            <w:tcW w:w="1115" w:type="dxa"/>
            <w:vAlign w:val="center"/>
          </w:tcPr>
          <w:p>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center"/>
              <w:rPr>
                <w:rFonts w:hint="eastAsia" w:ascii="宋体" w:hAnsi="宋体"/>
                <w:szCs w:val="21"/>
              </w:rPr>
            </w:pPr>
            <w:r>
              <w:rPr>
                <w:rFonts w:hint="eastAsia" w:ascii="宋体" w:hAnsi="宋体"/>
                <w:szCs w:val="21"/>
              </w:rPr>
              <w:t>设备名称</w:t>
            </w:r>
          </w:p>
        </w:tc>
        <w:tc>
          <w:tcPr>
            <w:tcW w:w="1344" w:type="dxa"/>
            <w:vAlign w:val="center"/>
          </w:tcPr>
          <w:p>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rPr>
                <w:rFonts w:hint="eastAsia" w:ascii="宋体" w:hAnsi="宋体"/>
                <w:szCs w:val="21"/>
              </w:rPr>
            </w:pPr>
            <w:r>
              <w:rPr>
                <w:rFonts w:hint="eastAsia" w:ascii="宋体" w:hAnsi="宋体"/>
                <w:szCs w:val="21"/>
              </w:rPr>
              <w:t>品牌、型号</w:t>
            </w:r>
          </w:p>
        </w:tc>
        <w:tc>
          <w:tcPr>
            <w:tcW w:w="1157" w:type="dxa"/>
            <w:vAlign w:val="center"/>
          </w:tcPr>
          <w:p>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firstLineChars="0"/>
              <w:jc w:val="center"/>
              <w:rPr>
                <w:rFonts w:hint="eastAsia" w:ascii="宋体" w:hAnsi="宋体"/>
                <w:szCs w:val="21"/>
              </w:rPr>
            </w:pPr>
            <w:r>
              <w:rPr>
                <w:rFonts w:hint="eastAsia" w:ascii="宋体" w:hAnsi="宋体"/>
                <w:szCs w:val="21"/>
              </w:rPr>
              <w:t>数量</w:t>
            </w:r>
          </w:p>
        </w:tc>
        <w:tc>
          <w:tcPr>
            <w:tcW w:w="1057" w:type="dxa"/>
            <w:vAlign w:val="center"/>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ascii="宋体" w:hAnsi="宋体"/>
                <w:szCs w:val="21"/>
              </w:rPr>
            </w:pPr>
            <w:r>
              <w:rPr>
                <w:rFonts w:hint="eastAsia" w:ascii="宋体" w:hAnsi="宋体"/>
                <w:szCs w:val="21"/>
              </w:rPr>
              <w:t>单位</w:t>
            </w:r>
          </w:p>
        </w:tc>
        <w:tc>
          <w:tcPr>
            <w:tcW w:w="1182" w:type="dxa"/>
            <w:vAlign w:val="center"/>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ascii="宋体" w:hAnsi="宋体"/>
                <w:szCs w:val="21"/>
              </w:rPr>
            </w:pPr>
            <w:r>
              <w:rPr>
                <w:rFonts w:hint="eastAsia" w:ascii="宋体" w:hAnsi="宋体"/>
                <w:szCs w:val="21"/>
              </w:rPr>
              <w:t>单价</w:t>
            </w:r>
          </w:p>
        </w:tc>
        <w:tc>
          <w:tcPr>
            <w:tcW w:w="1187" w:type="dxa"/>
            <w:vAlign w:val="center"/>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rPr>
                <w:rFonts w:hint="eastAsia" w:ascii="宋体" w:hAnsi="宋体"/>
                <w:szCs w:val="21"/>
              </w:rPr>
            </w:pPr>
            <w:r>
              <w:rPr>
                <w:rFonts w:hint="eastAsia" w:ascii="宋体" w:hAnsi="宋体"/>
                <w:szCs w:val="21"/>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gridSpan w:val="2"/>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15"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344"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0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2"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gridSpan w:val="2"/>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15"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344"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0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2"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54" w:type="dxa"/>
            <w:gridSpan w:val="2"/>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15"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344"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0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2"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54" w:type="dxa"/>
            <w:gridSpan w:val="2"/>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15"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344"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05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2"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1187"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8" w:type="dxa"/>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p>
        </w:tc>
        <w:tc>
          <w:tcPr>
            <w:tcW w:w="7238" w:type="dxa"/>
            <w:gridSpan w:val="7"/>
          </w:tcPr>
          <w:p>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总价（大写）：</w:t>
            </w:r>
          </w:p>
        </w:tc>
      </w:tr>
    </w:tbl>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第十条 技术资料</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1、乙方应按招标文件规定的时间向甲方提供使用货物的有关技术资料。</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没有甲方事先书面同意，乙方不得将由甲方提供的有关合同或任何合同条文、规格、计划、图纸、样品或资料提供给与履行本合同无关的任何其他人。即使向履行本合同有关的人员提供，也应注意保密并限于履行合同的必需范围，否则应承担相应责任。</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第十一条 知识产权</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乙方应保证所提供的货物或其任何一部分均不会侵犯任何第三方的知识产权。如第三方主张权利的，由乙方承担一切责任，与甲方无关。</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第十二条 产权担保</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乙方保证所交付的货物的所有权完全属于乙方且无任何抵押、查封等产权瑕疵。如因产权瑕疵导致甲方损失的，甲方有权解除合同，且不承担责任，乙方应退还甲方已付款项并赔偿甲方损失。</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第十三条 质保期</w:t>
      </w:r>
    </w:p>
    <w:p>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原厂质保期   5   年（自交货最终验收合格之日起计）；其它质保      年（自原厂质保期到期日起计）。</w:t>
      </w:r>
    </w:p>
    <w:p>
      <w:pPr>
        <w:tabs>
          <w:tab w:val="left" w:pos="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配件更换：质保期内，因使用者非正常使用或不可抗力而造成设备故障，甲方需有偿支付配件更换费用，故障配件交由甲方回收保存，其他故障情况乙方负责无偿解决故障，并免费更换相应故障配件。</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第十四条 交货期、交货方式及交货地点</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color w:val="auto"/>
          <w:szCs w:val="21"/>
        </w:rPr>
      </w:pPr>
      <w:r>
        <w:rPr>
          <w:rFonts w:hint="eastAsia" w:ascii="宋体" w:hAnsi="宋体"/>
          <w:color w:val="auto"/>
          <w:szCs w:val="21"/>
        </w:rPr>
        <w:t>1、 交货期：合同签订生效后，分批次供货；接到甲方通知后，乙方须在15个工作日内完成本批次货物的供货、安装、调试，直至甲方验收合格。</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color w:val="auto"/>
          <w:szCs w:val="21"/>
        </w:rPr>
        <w:t>2、 交货方式：甲方指定方</w:t>
      </w:r>
      <w:r>
        <w:rPr>
          <w:rFonts w:hint="eastAsia" w:ascii="宋体" w:hAnsi="宋体"/>
          <w:szCs w:val="21"/>
        </w:rPr>
        <w:t>式。</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3、 交货地点：甲方指定地点。</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第十五条 质量保证及售后服务</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1、乙方应按招、投标文件规定的货物性能、技术要求、质量标准向甲方提供未经使用的全新产品。</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2、验收中发现设备达不到验收标准或合同规定的性能指标，乙方必须更换设备。更换后仍不能解决问题的，甲方有权拒收或退货，并终止合同的执行。</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3、乙方提供的货物在保修期内因货物本身的质量问题发生故障，乙方应负责免费维修。免费维修后仍达不到技术要求，对达不到技术要求的货物，根据实际情况，经双方协商，可按以下办法处理：</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（1）更换：由乙方承担所发生的全部费用。</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（2）贬值处理：由甲乙双方合议定价。</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（3）退货处理：乙方应退还甲方支付的合同款，同时应承担该货物的直接费用（运输、保险、检验、货款利息及银行手续费等）。</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4、如在使用过程中发生质量问题，乙方在接到甲方通知后，响应时间不超过15分钟，运维人员应在60分钟内到达及时排除解决，如故障无法在12小时内排除的，乙方应负责提供替代设备，其费用由乙方承担。乙方在产品厂商售后服务之外，提供7*24小时技术支持服务，包括日常使用设备及相关配套软硬件故障排查、安装调试、系统升级、技术支持、应急处理等情况，确保售后服务的完整性和连续性。</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5、在免费保修期内，乙方应对货物出现的质量及安全问题负责处理解决，并承担一切费用。</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color w:val="auto"/>
          <w:szCs w:val="21"/>
        </w:rPr>
      </w:pPr>
      <w:r>
        <w:rPr>
          <w:rFonts w:hint="eastAsia" w:ascii="宋体" w:hAnsi="宋体"/>
          <w:szCs w:val="21"/>
        </w:rPr>
        <w:t>在免费保修期内，乙方提供对所有物品整机免费保养、维修、更换备件、软</w:t>
      </w:r>
      <w:r>
        <w:rPr>
          <w:rFonts w:hint="eastAsia" w:ascii="宋体" w:hAnsi="宋体"/>
          <w:color w:val="auto"/>
          <w:szCs w:val="21"/>
        </w:rPr>
        <w:t>件维护与升级等服务，提供服务报告。</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color w:val="auto"/>
          <w:szCs w:val="21"/>
        </w:rPr>
      </w:pPr>
      <w:r>
        <w:rPr>
          <w:rFonts w:hint="eastAsia" w:ascii="宋体" w:hAnsi="宋体"/>
          <w:color w:val="auto"/>
          <w:szCs w:val="21"/>
        </w:rPr>
        <w:t>6、免费保修期内每年（按365天计）开机率须≥95%，如开机率达不到要求，每超过1天保修期相应延长10个日历天（不开机是指设备故障无法开机使用，不开机时间从设备报修开始到设备维修结束计算）。</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2"/>
        <w:jc w:val="left"/>
        <w:rPr>
          <w:rFonts w:hint="eastAsia" w:ascii="宋体" w:hAnsi="宋体"/>
          <w:color w:val="auto"/>
          <w:szCs w:val="21"/>
        </w:rPr>
      </w:pPr>
      <w:r>
        <w:rPr>
          <w:rFonts w:hint="eastAsia" w:ascii="宋体" w:hAnsi="宋体"/>
          <w:b/>
          <w:color w:val="auto"/>
          <w:szCs w:val="21"/>
        </w:rPr>
        <w:t>第十六条 调试和验收</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1、为确保安装调试工作安全有序的进行，乙方在货物运抵安装现场前3天内，向甲方提供一份详细的安装、调试验收计划和所采用的标准及方法，总负责人(具有本项目相关的管理类证书（如项目管理工程师等）、工程师和参与安装人员的名单，此计划和采用的标准一旦被甲方确认就不得随意更改，否则乙方应承担相应责任。乙方应在接到甲方通知后7个工作日内完成供货，并派安装工程师到现场安装调试（特殊情况以甲方通知为准）。货物安装如有特别安装条件，乙方应提前通知甲方，必要时提供安装条件书面资料。</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2、安装调试完成后，甲方应在7个工作日内依据招、投标文件与合同约定，以及国家有关质量标准进行验收，验收不合格的，乙方在接到甲方通知后3个工作日内重新进行调试和验收，若仍不合格，甲方有权拒收或退货，并要求乙方承担相应的违约责任。</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3、乙方交货前应对产品作出全面检查和对验收文件进行整理，并列出清单，作为甲方收货验收和使用的技术条件依据，检验的结果应随货物交甲方。</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4、甲方对乙方提供的货物在使用前进行调试时，乙方需负责安装并培训甲方的使用操作人员，并协助甲方一起调试，直到符合技术要求，甲方才做最终验收。</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szCs w:val="21"/>
        </w:rPr>
      </w:pPr>
      <w:r>
        <w:rPr>
          <w:rFonts w:hint="eastAsia" w:ascii="宋体" w:hAnsi="宋体"/>
          <w:szCs w:val="21"/>
        </w:rPr>
        <w:t>5、验收时乙方必须在现场，最终验收完毕后双方共同签署安装验收报告。</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6" w:lineRule="auto"/>
        <w:ind w:firstLine="480"/>
        <w:jc w:val="left"/>
        <w:rPr>
          <w:rFonts w:hint="eastAsia" w:ascii="宋体" w:hAnsi="宋体"/>
          <w:bCs/>
          <w:szCs w:val="21"/>
        </w:rPr>
      </w:pPr>
      <w:bookmarkStart w:id="13" w:name="__DdeLink__5_665544720"/>
      <w:r>
        <w:rPr>
          <w:rFonts w:hint="eastAsia" w:ascii="宋体" w:hAnsi="宋体"/>
          <w:szCs w:val="21"/>
        </w:rPr>
        <w:t>6、</w:t>
      </w:r>
      <w:r>
        <w:rPr>
          <w:rFonts w:hint="eastAsia" w:ascii="宋体" w:hAnsi="宋体"/>
          <w:bCs/>
          <w:szCs w:val="21"/>
        </w:rPr>
        <w:t>货物生产日期：</w:t>
      </w:r>
      <w:r>
        <w:rPr>
          <w:rFonts w:hint="eastAsia" w:ascii="宋体" w:hAnsi="宋体"/>
        </w:rPr>
        <w:t>生产日期不应超过招标日期前</w:t>
      </w:r>
      <w:r>
        <w:rPr>
          <w:rFonts w:ascii="宋体" w:hAnsi="宋体"/>
        </w:rPr>
        <w:t>6</w:t>
      </w:r>
      <w:r>
        <w:rPr>
          <w:rFonts w:hint="eastAsia" w:ascii="宋体" w:hAnsi="宋体"/>
        </w:rPr>
        <w:t>个月</w:t>
      </w:r>
      <w:r>
        <w:rPr>
          <w:rFonts w:hint="eastAsia" w:ascii="宋体" w:hAnsi="宋体"/>
          <w:bCs/>
          <w:szCs w:val="21"/>
        </w:rPr>
        <w:t>，否则甲方有权拒收。</w:t>
      </w:r>
      <w:bookmarkEnd w:id="13"/>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第十七条 货物包装、发运及运输</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1、乙方应在货物发运前对其进行满足运输距离、防潮、防震、防锈和防破损装卸等要求包装，以保证货物安全运达甲方指定地点。</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2、使用说明书、质量检验证明书、随配附件和工具以及清单一并附于货物内。</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3、乙方在货物发运手续办理完毕后24小时内或货到甲方48小时前通知甲方，以准备接货。</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4、货物在交付甲方前发生的风险均由乙方负责。</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5、货物在规定的交付期限内由乙方送达甲方指定的地点视为交付，乙方同时需通知甲方货物已送达。</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第十八条 违约责任</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1、甲方无正当理由拒收货物的，甲方向乙方偿付拒收货款总值的百分之五违约金。</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2、甲方无故逾期验收和办理货款支付手续的，甲方应按逾期付款总额每日万分之一向乙方支付违约金。</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 xml:space="preserve">3、乙方逾期交付货物的，乙方应按逾期交货总额每日0.5%向甲方支付违约金，由甲方从待付货款中扣除。逾期超过约定日期10个工作日不能交货的，甲方可解除本合同，且不承担任何责任。乙方因逾期交货或因其他违约行为导致甲方解除合同的，乙方应向甲方支付合同总值5%的违约金，如造成甲方损失超过违约金的，超出部分由乙方继续承担赔偿责任。 </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4、设备安装调试验收阶段：设备安装调试应在7个工作日内完成，在货物安装调试合格后7个工作日内甲方应完成验收。由于乙方（或厂家、委托公司等）的原因，导致验收未达到投标文件响应的性能指标和功能要求（或合同规定的性能指标和功能要求）的，每超出1天，乙方赔偿给甲方合同总金额的0.5%。当累计违约款金额达到合同总价的5%时，甲方有权终止合同执行且不承担任何责任，乙方必须支付终验超期费用，并退还全部预付货款；同时，乙方赔偿甲方合同总价的30%。如果甲方的损失大于该赔偿金，甲方保留继续要求乙方赔偿的权利。</w:t>
      </w:r>
    </w:p>
    <w:p>
      <w:pPr>
        <w:numPr>
          <w:ilvl w:val="0"/>
          <w:numId w:val="7"/>
        </w:numPr>
        <w:shd w:val="clear" w:color="auto" w:fill="FFFFFF"/>
        <w:tabs>
          <w:tab w:val="clear" w:pos="0"/>
        </w:tabs>
        <w:spacing w:line="336" w:lineRule="auto"/>
        <w:ind w:firstLine="480"/>
        <w:rPr>
          <w:rFonts w:hint="eastAsia" w:ascii="宋体" w:hAnsi="宋体"/>
        </w:rPr>
      </w:pPr>
      <w:r>
        <w:rPr>
          <w:rFonts w:hint="eastAsia" w:ascii="宋体" w:hAnsi="宋体"/>
          <w:szCs w:val="21"/>
        </w:rPr>
        <w:t>6、违约方需赔偿守约方因维权而支出的全部费用，包括但不限于：律师费、诉讼费、保全费、鉴定费、公证费、证人出庭费等。</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szCs w:val="21"/>
        </w:rPr>
      </w:pPr>
      <w:r>
        <w:rPr>
          <w:rFonts w:hint="eastAsia" w:ascii="宋体" w:hAnsi="宋体"/>
          <w:b/>
          <w:szCs w:val="21"/>
        </w:rPr>
        <w:t>第十九条 不可抗力事件处理</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1、在合同有效期内，任何一方因不可抗力事件导致不能履行合同，则合同履行期可延长，其延长期与不可抗力影响期相同。</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2、不可抗力事件发生后，应立即书面通知对方，并寄送有关权威机构出具的证明。</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0"/>
        <w:jc w:val="left"/>
        <w:rPr>
          <w:rFonts w:hint="eastAsia" w:ascii="宋体" w:hAnsi="宋体"/>
          <w:szCs w:val="21"/>
        </w:rPr>
      </w:pPr>
      <w:r>
        <w:rPr>
          <w:rFonts w:hint="eastAsia" w:ascii="宋体" w:hAnsi="宋体"/>
          <w:szCs w:val="21"/>
        </w:rPr>
        <w:t>3、不可抗力事件延续120天以上，双方应通过友好协商，确定是否继续履行合同。</w:t>
      </w:r>
    </w:p>
    <w:p>
      <w:pPr>
        <w:numPr>
          <w:ilvl w:val="0"/>
          <w:numId w:val="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82"/>
        <w:jc w:val="left"/>
        <w:rPr>
          <w:rFonts w:hint="eastAsia" w:ascii="宋体" w:hAnsi="宋体"/>
          <w:b/>
          <w:szCs w:val="21"/>
        </w:rPr>
      </w:pPr>
      <w:r>
        <w:rPr>
          <w:rFonts w:hint="eastAsia" w:ascii="宋体" w:hAnsi="宋体"/>
          <w:b/>
          <w:szCs w:val="21"/>
        </w:rPr>
        <w:t>第二十条 其他</w:t>
      </w:r>
    </w:p>
    <w:p>
      <w:pPr>
        <w:ind w:firstLine="480"/>
        <w:rPr>
          <w:rFonts w:hint="eastAsia" w:ascii="宋体" w:hAnsi="宋体"/>
          <w:szCs w:val="21"/>
        </w:rPr>
      </w:pPr>
      <w:r>
        <w:rPr>
          <w:rFonts w:hint="eastAsia" w:ascii="宋体" w:hAnsi="宋体"/>
          <w:szCs w:val="21"/>
        </w:rPr>
        <w:t>金融支持：为支持和促进中小企业发展，进一步发挥政府采购政策功能，浙江省财政厅出台浙财采监〔2022〕3号文件，企业若有融资意向，可通过政采云平台或其他渠道进行咨询。</w:t>
      </w:r>
    </w:p>
    <w:p>
      <w:pPr>
        <w:ind w:firstLine="482"/>
        <w:jc w:val="left"/>
        <w:rPr>
          <w:rFonts w:hint="eastAsia" w:ascii="宋体" w:hAnsi="宋体"/>
          <w:b/>
          <w:bCs/>
          <w:szCs w:val="21"/>
        </w:rPr>
      </w:pPr>
      <w:r>
        <w:rPr>
          <w:rFonts w:hint="eastAsia" w:ascii="宋体" w:hAnsi="宋体"/>
          <w:b/>
          <w:bCs/>
          <w:szCs w:val="21"/>
        </w:rPr>
        <w:t>政采云平台融资服务（https://jinrong.zcygov.cn/finance-service/#/home)，可查看相应融资政策文件及各相关银行服务方案。</w:t>
      </w:r>
    </w:p>
    <w:p>
      <w:pPr>
        <w:ind w:firstLine="480"/>
        <w:rPr>
          <w:rFonts w:hint="eastAsia" w:asciiTheme="minorEastAsia" w:hAnsiTheme="minorEastAsia" w:eastAsiaTheme="minorEastAsia" w:cstheme="minorEastAsia"/>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甲方（采购人）：（盖章）              </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法定（授权）代表：            </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电话：                  </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单位地址：         </w:t>
      </w:r>
    </w:p>
    <w:p>
      <w:pPr>
        <w:ind w:firstLine="0" w:firstLineChars="0"/>
        <w:rPr>
          <w:rFonts w:hint="eastAsia" w:asciiTheme="minorEastAsia" w:hAnsiTheme="minorEastAsia" w:eastAsiaTheme="minorEastAsia" w:cstheme="minorEastAsia"/>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乙方（供应商）：（盖章）</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法定（授权）代表：</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电话：</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单位地址：</w:t>
      </w:r>
    </w:p>
    <w:p>
      <w:pPr>
        <w:ind w:firstLine="480"/>
        <w:rPr>
          <w:rFonts w:hint="eastAsia" w:asciiTheme="minorEastAsia" w:hAnsiTheme="minorEastAsia" w:eastAsiaTheme="minorEastAsia" w:cstheme="minorEastAsia"/>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签约日期：      年      月      日</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签约地点：</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720" w:footer="720" w:gutter="0"/>
          <w:cols w:space="720" w:num="1"/>
          <w:docGrid w:type="lines" w:linePitch="312" w:charSpace="0"/>
        </w:sectPr>
      </w:pPr>
    </w:p>
    <w:p>
      <w:pPr>
        <w:ind w:firstLine="964"/>
        <w:jc w:val="center"/>
        <w:rPr>
          <w:rFonts w:hint="eastAsia" w:asciiTheme="minorEastAsia" w:hAnsiTheme="minorEastAsia" w:eastAsiaTheme="minorEastAsia" w:cstheme="minorEastAsia"/>
          <w:b/>
          <w:bCs/>
          <w:sz w:val="48"/>
          <w:szCs w:val="48"/>
        </w:rPr>
      </w:pPr>
      <w:r>
        <w:rPr>
          <w:rFonts w:hint="eastAsia" w:asciiTheme="minorEastAsia" w:hAnsiTheme="minorEastAsia" w:eastAsiaTheme="minorEastAsia" w:cstheme="minorEastAsia"/>
          <w:b/>
          <w:bCs/>
          <w:sz w:val="48"/>
          <w:szCs w:val="48"/>
        </w:rPr>
        <w:t>政府采购项目验收单</w:t>
      </w:r>
    </w:p>
    <w:p>
      <w:pPr>
        <w:ind w:firstLine="480"/>
        <w:rPr>
          <w:rFonts w:hint="eastAsia" w:asciiTheme="minorEastAsia" w:hAnsiTheme="minorEastAsia" w:eastAsiaTheme="minorEastAsia" w:cstheme="minorEastAsia"/>
          <w:lang w:val="en"/>
        </w:rPr>
      </w:pPr>
      <w:r>
        <w:rPr>
          <w:rFonts w:hint="eastAsia" w:asciiTheme="minorEastAsia" w:hAnsiTheme="minorEastAsia" w:eastAsiaTheme="minorEastAsia" w:cstheme="minorEastAsia"/>
        </w:rPr>
        <w:t>按照采购计划文号：</w:t>
      </w:r>
      <w:r>
        <w:rPr>
          <w:rFonts w:hint="eastAsia" w:asciiTheme="minorEastAsia" w:hAnsiTheme="minorEastAsia" w:eastAsiaTheme="minorEastAsia" w:cstheme="minorEastAsia"/>
          <w:lang w:eastAsia="zh-CN"/>
        </w:rPr>
        <w:t>[2026]3289号、[2026]3290号、[2026]3291号、[2026]3292号、[2026]3293号、[2026]3294号、[2026]3295号、[2026]3296号</w:t>
      </w:r>
      <w:r>
        <w:rPr>
          <w:rFonts w:hint="eastAsia" w:asciiTheme="minorEastAsia" w:hAnsiTheme="minorEastAsia" w:eastAsiaTheme="minorEastAsia" w:cstheme="minorEastAsia"/>
        </w:rPr>
        <w:t>，项目编号：</w:t>
      </w:r>
      <w:r>
        <w:rPr>
          <w:rFonts w:hint="eastAsia" w:asciiTheme="minorEastAsia" w:hAnsiTheme="minorEastAsia" w:eastAsiaTheme="minorEastAsia" w:cstheme="minorEastAsia"/>
          <w:lang w:eastAsia="zh-CN"/>
        </w:rPr>
        <w:t>嘉政采招（2026）第70号</w:t>
      </w:r>
      <w:r>
        <w:rPr>
          <w:rFonts w:hint="eastAsia" w:asciiTheme="minorEastAsia" w:hAnsiTheme="minorEastAsia" w:eastAsiaTheme="minorEastAsia" w:cstheme="minorEastAsia"/>
        </w:rPr>
        <w:t>，合同号：</w:t>
      </w:r>
      <w:r>
        <w:rPr>
          <w:rFonts w:hint="eastAsia" w:asciiTheme="minorEastAsia" w:hAnsiTheme="minorEastAsia" w:eastAsiaTheme="minorEastAsia" w:cstheme="minorEastAsia"/>
          <w:lang w:eastAsia="zh-CN"/>
        </w:rPr>
        <w:t>嘉政采招（2026）第70号；</w:t>
      </w:r>
      <w:r>
        <w:rPr>
          <w:rFonts w:hint="eastAsia" w:asciiTheme="minorEastAsia" w:hAnsiTheme="minorEastAsia" w:eastAsiaTheme="minorEastAsia" w:cstheme="minorEastAsia"/>
        </w:rPr>
        <w:t>以下项目已采购到位并验收合格。</w:t>
      </w:r>
    </w:p>
    <w:tbl>
      <w:tblPr>
        <w:tblStyle w:val="29"/>
        <w:tblW w:w="14080" w:type="dxa"/>
        <w:tblInd w:w="93" w:type="dxa"/>
        <w:tblLayout w:type="fixed"/>
        <w:tblCellMar>
          <w:top w:w="0" w:type="dxa"/>
          <w:left w:w="108" w:type="dxa"/>
          <w:bottom w:w="0" w:type="dxa"/>
          <w:right w:w="108" w:type="dxa"/>
        </w:tblCellMar>
      </w:tblPr>
      <w:tblGrid>
        <w:gridCol w:w="4620"/>
        <w:gridCol w:w="4840"/>
        <w:gridCol w:w="1280"/>
        <w:gridCol w:w="1600"/>
        <w:gridCol w:w="1740"/>
      </w:tblGrid>
      <w:tr>
        <w:tblPrEx>
          <w:tblCellMar>
            <w:top w:w="0" w:type="dxa"/>
            <w:left w:w="108" w:type="dxa"/>
            <w:bottom w:w="0" w:type="dxa"/>
            <w:right w:w="108" w:type="dxa"/>
          </w:tblCellMar>
        </w:tblPrEx>
        <w:trPr>
          <w:trHeight w:val="780" w:hRule="atLeast"/>
        </w:trPr>
        <w:tc>
          <w:tcPr>
            <w:tcW w:w="4620" w:type="dxa"/>
            <w:tcBorders>
              <w:top w:val="single" w:color="auto" w:sz="4" w:space="0"/>
              <w:left w:val="single" w:color="auto" w:sz="4" w:space="0"/>
              <w:bottom w:val="nil"/>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采购货物名称</w:t>
            </w:r>
          </w:p>
        </w:tc>
        <w:tc>
          <w:tcPr>
            <w:tcW w:w="4840" w:type="dxa"/>
            <w:tcBorders>
              <w:top w:val="single" w:color="auto" w:sz="4" w:space="0"/>
              <w:left w:val="nil"/>
              <w:bottom w:val="nil"/>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规格、型号</w:t>
            </w:r>
          </w:p>
        </w:tc>
        <w:tc>
          <w:tcPr>
            <w:tcW w:w="1280" w:type="dxa"/>
            <w:tcBorders>
              <w:top w:val="single" w:color="auto" w:sz="4" w:space="0"/>
              <w:left w:val="nil"/>
              <w:bottom w:val="nil"/>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数量</w:t>
            </w:r>
          </w:p>
        </w:tc>
        <w:tc>
          <w:tcPr>
            <w:tcW w:w="1600" w:type="dxa"/>
            <w:tcBorders>
              <w:top w:val="single" w:color="auto" w:sz="4" w:space="0"/>
              <w:left w:val="nil"/>
              <w:bottom w:val="nil"/>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核定总价</w:t>
            </w:r>
          </w:p>
        </w:tc>
        <w:tc>
          <w:tcPr>
            <w:tcW w:w="1740" w:type="dxa"/>
            <w:tcBorders>
              <w:top w:val="single" w:color="auto" w:sz="4" w:space="0"/>
              <w:left w:val="nil"/>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采购人</w:t>
            </w:r>
          </w:p>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验收意见</w:t>
            </w:r>
          </w:p>
        </w:tc>
      </w:tr>
      <w:tr>
        <w:tblPrEx>
          <w:tblCellMar>
            <w:top w:w="0" w:type="dxa"/>
            <w:left w:w="108" w:type="dxa"/>
            <w:bottom w:w="0" w:type="dxa"/>
            <w:right w:w="108" w:type="dxa"/>
          </w:tblCellMar>
        </w:tblPrEx>
        <w:trPr>
          <w:trHeight w:val="708" w:hRule="atLeast"/>
        </w:trPr>
        <w:tc>
          <w:tcPr>
            <w:tcW w:w="4620" w:type="dxa"/>
            <w:tcBorders>
              <w:top w:val="single" w:color="auto" w:sz="4" w:space="0"/>
              <w:left w:val="single" w:color="auto" w:sz="4" w:space="0"/>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4840" w:type="dxa"/>
            <w:tcBorders>
              <w:top w:val="single" w:color="auto" w:sz="4" w:space="0"/>
              <w:left w:val="nil"/>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280" w:type="dxa"/>
            <w:tcBorders>
              <w:top w:val="single" w:color="auto" w:sz="4" w:space="0"/>
              <w:left w:val="nil"/>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600" w:type="dxa"/>
            <w:tcBorders>
              <w:top w:val="single" w:color="auto" w:sz="4" w:space="0"/>
              <w:left w:val="nil"/>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1740" w:type="dxa"/>
            <w:tcBorders>
              <w:top w:val="nil"/>
              <w:left w:val="nil"/>
              <w:bottom w:val="single" w:color="auto" w:sz="4" w:space="0"/>
              <w:right w:val="single" w:color="auto" w:sz="4" w:space="0"/>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750" w:hRule="atLeast"/>
        </w:trPr>
        <w:tc>
          <w:tcPr>
            <w:tcW w:w="4620" w:type="dxa"/>
            <w:tcBorders>
              <w:top w:val="nil"/>
              <w:left w:val="single" w:color="auto" w:sz="4" w:space="0"/>
              <w:bottom w:val="single" w:color="auto" w:sz="4" w:space="0"/>
              <w:right w:val="single" w:color="auto" w:sz="4" w:space="0"/>
            </w:tcBorders>
            <w:vAlign w:val="center"/>
          </w:tcPr>
          <w:p>
            <w:pPr>
              <w:widowControl/>
              <w:ind w:firstLine="420"/>
              <w:jc w:val="center"/>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合计总价款（人民币）</w:t>
            </w:r>
          </w:p>
        </w:tc>
        <w:tc>
          <w:tcPr>
            <w:tcW w:w="9460" w:type="dxa"/>
            <w:gridSpan w:val="4"/>
            <w:tcBorders>
              <w:top w:val="nil"/>
              <w:left w:val="nil"/>
              <w:bottom w:val="single" w:color="auto" w:sz="4" w:space="0"/>
              <w:right w:val="single" w:color="000000" w:sz="4" w:space="0"/>
            </w:tcBorders>
            <w:vAlign w:val="center"/>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人民币</w:t>
            </w:r>
            <w:r>
              <w:rPr>
                <w:rFonts w:hint="eastAsia" w:asciiTheme="minorEastAsia" w:hAnsiTheme="minorEastAsia" w:eastAsiaTheme="minorEastAsia" w:cstheme="minorEastAsia"/>
                <w:color w:val="000000"/>
                <w:kern w:val="0"/>
                <w:sz w:val="21"/>
                <w:szCs w:val="21"/>
                <w:u w:val="single"/>
              </w:rPr>
              <w:t xml:space="preserve">                 </w:t>
            </w:r>
            <w:r>
              <w:rPr>
                <w:rFonts w:hint="eastAsia" w:asciiTheme="minorEastAsia" w:hAnsiTheme="minorEastAsia" w:eastAsiaTheme="minorEastAsia" w:cstheme="minorEastAsia"/>
                <w:color w:val="000000"/>
                <w:kern w:val="0"/>
                <w:sz w:val="21"/>
                <w:szCs w:val="21"/>
              </w:rPr>
              <w:t xml:space="preserve">元整。       ￥: </w:t>
            </w:r>
            <w:r>
              <w:rPr>
                <w:rFonts w:hint="eastAsia" w:asciiTheme="minorEastAsia" w:hAnsiTheme="minorEastAsia" w:eastAsiaTheme="minorEastAsia" w:cstheme="minorEastAsia"/>
                <w:color w:val="000000"/>
                <w:kern w:val="0"/>
                <w:sz w:val="21"/>
                <w:szCs w:val="21"/>
                <w:u w:val="single"/>
              </w:rPr>
              <w:t xml:space="preserve">             </w:t>
            </w:r>
          </w:p>
        </w:tc>
      </w:tr>
      <w:tr>
        <w:tblPrEx>
          <w:tblCellMar>
            <w:top w:w="0" w:type="dxa"/>
            <w:left w:w="108" w:type="dxa"/>
            <w:bottom w:w="0" w:type="dxa"/>
            <w:right w:w="108" w:type="dxa"/>
          </w:tblCellMar>
        </w:tblPrEx>
        <w:trPr>
          <w:trHeight w:val="690" w:hRule="atLeast"/>
        </w:trPr>
        <w:tc>
          <w:tcPr>
            <w:tcW w:w="4620" w:type="dxa"/>
            <w:tcBorders>
              <w:top w:val="nil"/>
              <w:left w:val="single" w:color="auto" w:sz="4" w:space="0"/>
              <w:bottom w:val="nil"/>
              <w:right w:val="nil"/>
            </w:tcBorders>
            <w:vAlign w:val="bottom"/>
          </w:tcPr>
          <w:p>
            <w:pPr>
              <w:widowControl/>
              <w:ind w:firstLine="0" w:firstLineChars="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xml:space="preserve">供货单位（盖章）：                     </w:t>
            </w:r>
          </w:p>
        </w:tc>
        <w:tc>
          <w:tcPr>
            <w:tcW w:w="4840" w:type="dxa"/>
            <w:tcBorders>
              <w:top w:val="nil"/>
              <w:left w:val="nil"/>
              <w:bottom w:val="nil"/>
              <w:right w:val="nil"/>
            </w:tcBorders>
            <w:vAlign w:val="center"/>
          </w:tcPr>
          <w:p>
            <w:pPr>
              <w:widowControl/>
              <w:ind w:firstLine="420"/>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采购人（盖章）:</w:t>
            </w:r>
          </w:p>
        </w:tc>
        <w:tc>
          <w:tcPr>
            <w:tcW w:w="2880" w:type="dxa"/>
            <w:gridSpan w:val="2"/>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740" w:type="dxa"/>
            <w:tcBorders>
              <w:top w:val="nil"/>
              <w:left w:val="nil"/>
              <w:bottom w:val="nil"/>
              <w:right w:val="single" w:color="auto" w:sz="4" w:space="0"/>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525" w:hRule="atLeast"/>
        </w:trPr>
        <w:tc>
          <w:tcPr>
            <w:tcW w:w="4620" w:type="dxa"/>
            <w:tcBorders>
              <w:top w:val="nil"/>
              <w:left w:val="single" w:color="auto" w:sz="4" w:space="0"/>
              <w:bottom w:val="nil"/>
              <w:right w:val="nil"/>
            </w:tcBorders>
            <w:vAlign w:val="bottom"/>
          </w:tcPr>
          <w:p>
            <w:pPr>
              <w:widowControl/>
              <w:ind w:firstLine="0" w:firstLineChars="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经办项目负责人：</w:t>
            </w:r>
          </w:p>
        </w:tc>
        <w:tc>
          <w:tcPr>
            <w:tcW w:w="4840" w:type="dxa"/>
            <w:tcBorders>
              <w:top w:val="nil"/>
              <w:left w:val="nil"/>
              <w:bottom w:val="nil"/>
              <w:right w:val="nil"/>
            </w:tcBorders>
            <w:vAlign w:val="center"/>
          </w:tcPr>
          <w:p>
            <w:pPr>
              <w:widowControl/>
              <w:ind w:firstLine="420"/>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项目验收组组长：</w:t>
            </w:r>
          </w:p>
        </w:tc>
        <w:tc>
          <w:tcPr>
            <w:tcW w:w="2880" w:type="dxa"/>
            <w:gridSpan w:val="2"/>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740" w:type="dxa"/>
            <w:tcBorders>
              <w:top w:val="nil"/>
              <w:left w:val="nil"/>
              <w:bottom w:val="nil"/>
              <w:right w:val="single" w:color="auto" w:sz="4" w:space="0"/>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525" w:hRule="atLeast"/>
        </w:trPr>
        <w:tc>
          <w:tcPr>
            <w:tcW w:w="4620" w:type="dxa"/>
            <w:tcBorders>
              <w:top w:val="nil"/>
              <w:left w:val="single" w:color="auto" w:sz="4" w:space="0"/>
              <w:bottom w:val="nil"/>
              <w:right w:val="nil"/>
            </w:tcBorders>
            <w:vAlign w:val="bottom"/>
          </w:tcPr>
          <w:p>
            <w:pPr>
              <w:widowControl/>
              <w:ind w:firstLine="0" w:firstLineChars="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联系电话：</w:t>
            </w:r>
          </w:p>
        </w:tc>
        <w:tc>
          <w:tcPr>
            <w:tcW w:w="4840" w:type="dxa"/>
            <w:tcBorders>
              <w:top w:val="nil"/>
              <w:left w:val="nil"/>
              <w:bottom w:val="nil"/>
              <w:right w:val="nil"/>
            </w:tcBorders>
            <w:vAlign w:val="center"/>
          </w:tcPr>
          <w:p>
            <w:pPr>
              <w:widowControl/>
              <w:ind w:firstLine="420"/>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联系电话：</w:t>
            </w:r>
          </w:p>
        </w:tc>
        <w:tc>
          <w:tcPr>
            <w:tcW w:w="1280" w:type="dxa"/>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600" w:type="dxa"/>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740" w:type="dxa"/>
            <w:tcBorders>
              <w:top w:val="nil"/>
              <w:left w:val="nil"/>
              <w:bottom w:val="nil"/>
              <w:right w:val="single" w:color="auto" w:sz="4" w:space="0"/>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540" w:hRule="atLeast"/>
        </w:trPr>
        <w:tc>
          <w:tcPr>
            <w:tcW w:w="4620" w:type="dxa"/>
            <w:tcBorders>
              <w:top w:val="nil"/>
              <w:left w:val="single" w:color="auto" w:sz="4" w:space="0"/>
              <w:bottom w:val="nil"/>
              <w:right w:val="nil"/>
            </w:tcBorders>
            <w:vAlign w:val="bottom"/>
          </w:tcPr>
          <w:p>
            <w:pPr>
              <w:widowControl/>
              <w:ind w:firstLine="0" w:firstLineChars="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开户银行：</w:t>
            </w:r>
          </w:p>
        </w:tc>
        <w:tc>
          <w:tcPr>
            <w:tcW w:w="4840" w:type="dxa"/>
            <w:tcBorders>
              <w:top w:val="nil"/>
              <w:left w:val="nil"/>
              <w:bottom w:val="nil"/>
              <w:right w:val="nil"/>
            </w:tcBorders>
            <w:vAlign w:val="center"/>
          </w:tcPr>
          <w:p>
            <w:pPr>
              <w:widowControl/>
              <w:ind w:firstLine="420"/>
              <w:jc w:val="righ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项目验收组成员（签名）：</w:t>
            </w:r>
          </w:p>
        </w:tc>
        <w:tc>
          <w:tcPr>
            <w:tcW w:w="1280" w:type="dxa"/>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600" w:type="dxa"/>
            <w:tcBorders>
              <w:top w:val="nil"/>
              <w:left w:val="nil"/>
              <w:bottom w:val="nil"/>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p>
        </w:tc>
        <w:tc>
          <w:tcPr>
            <w:tcW w:w="1740" w:type="dxa"/>
            <w:tcBorders>
              <w:top w:val="nil"/>
              <w:left w:val="nil"/>
              <w:bottom w:val="nil"/>
              <w:right w:val="single" w:color="auto" w:sz="4" w:space="0"/>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r>
      <w:tr>
        <w:tblPrEx>
          <w:tblCellMar>
            <w:top w:w="0" w:type="dxa"/>
            <w:left w:w="108" w:type="dxa"/>
            <w:bottom w:w="0" w:type="dxa"/>
            <w:right w:w="108" w:type="dxa"/>
          </w:tblCellMar>
        </w:tblPrEx>
        <w:trPr>
          <w:trHeight w:val="675" w:hRule="atLeast"/>
        </w:trPr>
        <w:tc>
          <w:tcPr>
            <w:tcW w:w="4620" w:type="dxa"/>
            <w:tcBorders>
              <w:top w:val="nil"/>
              <w:left w:val="single" w:color="auto" w:sz="4" w:space="0"/>
              <w:bottom w:val="single" w:color="auto" w:sz="4" w:space="0"/>
              <w:right w:val="nil"/>
            </w:tcBorders>
            <w:vAlign w:val="center"/>
          </w:tcPr>
          <w:p>
            <w:pPr>
              <w:widowControl/>
              <w:ind w:firstLine="0" w:firstLineChars="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银行帐号：</w:t>
            </w:r>
          </w:p>
        </w:tc>
        <w:tc>
          <w:tcPr>
            <w:tcW w:w="4840" w:type="dxa"/>
            <w:tcBorders>
              <w:top w:val="nil"/>
              <w:left w:val="nil"/>
              <w:bottom w:val="single" w:color="auto" w:sz="4" w:space="0"/>
              <w:right w:val="nil"/>
            </w:tcBorders>
            <w:vAlign w:val="bottom"/>
          </w:tcPr>
          <w:p>
            <w:pPr>
              <w:widowControl/>
              <w:ind w:firstLine="420"/>
              <w:jc w:val="left"/>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　</w:t>
            </w:r>
          </w:p>
        </w:tc>
        <w:tc>
          <w:tcPr>
            <w:tcW w:w="4620" w:type="dxa"/>
            <w:gridSpan w:val="3"/>
            <w:tcBorders>
              <w:top w:val="nil"/>
              <w:left w:val="nil"/>
              <w:bottom w:val="single" w:color="auto" w:sz="4" w:space="0"/>
              <w:right w:val="single" w:color="000000" w:sz="4" w:space="0"/>
            </w:tcBorders>
            <w:vAlign w:val="center"/>
          </w:tcPr>
          <w:p>
            <w:pPr>
              <w:widowControl/>
              <w:ind w:firstLine="420"/>
              <w:rPr>
                <w:rFonts w:hint="eastAsia" w:asciiTheme="minorEastAsia" w:hAnsiTheme="minorEastAsia" w:eastAsiaTheme="minorEastAsia" w:cstheme="minorEastAsia"/>
                <w:color w:val="000000"/>
                <w:kern w:val="0"/>
                <w:sz w:val="21"/>
                <w:szCs w:val="21"/>
              </w:rPr>
            </w:pPr>
            <w:r>
              <w:rPr>
                <w:rFonts w:hint="eastAsia" w:asciiTheme="minorEastAsia" w:hAnsiTheme="minorEastAsia" w:eastAsiaTheme="minorEastAsia" w:cstheme="minorEastAsia"/>
                <w:color w:val="000000"/>
                <w:kern w:val="0"/>
                <w:sz w:val="21"/>
                <w:szCs w:val="21"/>
              </w:rPr>
              <w:t>验收时间：       年     月     日</w:t>
            </w:r>
          </w:p>
        </w:tc>
      </w:tr>
    </w:tbl>
    <w:p>
      <w:pPr>
        <w:ind w:firstLine="480"/>
        <w:rPr>
          <w:rFonts w:hint="eastAsia" w:asciiTheme="minorEastAsia" w:hAnsiTheme="minorEastAsia" w:eastAsiaTheme="minorEastAsia" w:cstheme="minorEastAsia"/>
          <w:lang w:val="en"/>
        </w:rPr>
        <w:sectPr>
          <w:pgSz w:w="16838" w:h="11906" w:orient="landscape"/>
          <w:pgMar w:top="1800" w:right="1440" w:bottom="1800" w:left="1440" w:header="720" w:footer="720" w:gutter="0"/>
          <w:cols w:space="720" w:num="1"/>
          <w:docGrid w:type="lines" w:linePitch="312" w:charSpace="0"/>
        </w:sectPr>
      </w:pPr>
      <w:r>
        <w:rPr>
          <w:rFonts w:hint="eastAsia" w:asciiTheme="minorEastAsia" w:hAnsiTheme="minorEastAsia" w:eastAsiaTheme="minorEastAsia" w:cstheme="minorEastAsia"/>
          <w:lang w:val="en"/>
        </w:rPr>
        <w:t>本单一式四联：第一联采购人留存，第二联作为财政支付凭证，第三联服务单位留存。</w:t>
      </w:r>
    </w:p>
    <w:p>
      <w:pPr>
        <w:pStyle w:val="3"/>
        <w:suppressAutoHyphens/>
        <w:snapToGrid w:val="0"/>
        <w:spacing w:line="300" w:lineRule="auto"/>
        <w:rPr>
          <w:rFonts w:hint="eastAsia" w:asciiTheme="minorEastAsia" w:hAnsiTheme="minorEastAsia" w:eastAsiaTheme="minorEastAsia" w:cstheme="minorEastAsia"/>
          <w:sz w:val="48"/>
          <w:szCs w:val="48"/>
        </w:rPr>
      </w:pPr>
      <w:r>
        <w:rPr>
          <w:rFonts w:hint="eastAsia" w:asciiTheme="minorEastAsia" w:hAnsiTheme="minorEastAsia" w:eastAsiaTheme="minorEastAsia" w:cstheme="minorEastAsia"/>
          <w:sz w:val="48"/>
          <w:szCs w:val="48"/>
        </w:rPr>
        <w:t>第六章 投标文件格式</w:t>
      </w:r>
    </w:p>
    <w:p>
      <w:pPr>
        <w:ind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资格文件部分</w:t>
      </w:r>
    </w:p>
    <w:p>
      <w:pPr>
        <w:ind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（1）符合参加政府采购活动应当具备的一般条件的承诺函……………（页码）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（2）联合协议………………………………………………………………（页码）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（3）落实政府采购政策需满足的资格要求………………………………（页码）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（4）本项目的特定资格要求………………………………………………（页码）</w:t>
      </w:r>
    </w:p>
    <w:p>
      <w:pPr>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r>
        <w:rPr>
          <w:rFonts w:hint="eastAsia" w:asciiTheme="minorEastAsia" w:hAnsiTheme="minorEastAsia" w:eastAsiaTheme="minorEastAsia" w:cstheme="minorEastAsia"/>
          <w:b/>
          <w:bCs/>
          <w:sz w:val="30"/>
          <w:szCs w:val="30"/>
        </w:rPr>
        <w:t>一、 符合参加政府采购活动应当具备的一般条件的承诺函</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我方参与</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政府采购活动，郑重承诺：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（一）具备《中华人民共和国政府采购法》第二十二条第一款规定的条件：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1、具有独立承担民事责任的能力；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2、具有良好的商业信誉和健全的财务会计制度；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3、具有履行合同所必需的设备和专业技术能力；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4、有依法缴纳税收和社会保障资金的良好记录；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5、参加政府采购活动前三年内，在经营活动中没有重大违法记录；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6、法律、行政法规规定的其他条件。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（二）未被信用中国（www.creditchina.gov.cn)、中国政府采购网（www.ccgp.gov.cn）列入失信被执行人、重大税收违法案件当事人名单、政府采购严重违法失信行为记录名单。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（三）不存在以下情况：</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1、单位负责人为同一人或者存在直接控股、管理关系的不同供应商参加同一合同项下的政府采购活动的；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2、为采购项目提供整体设计、规范编制或者项目管理、监理、检测等服务后再参加该采购项目的其他采购活动的。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二、联合协议（如果有）</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【以联合体形式投标的，提供联合协议（附件2）；本项目不接受联合体投标或者供应商不以联合体形式投标的，则不需要提供）】</w:t>
      </w:r>
    </w:p>
    <w:p>
      <w:pPr>
        <w:ind w:firstLine="602"/>
        <w:jc w:val="center"/>
        <w:rPr>
          <w:rFonts w:hint="eastAsia" w:asciiTheme="minorEastAsia" w:hAnsiTheme="minorEastAsia" w:eastAsiaTheme="minorEastAsia" w:cstheme="minorEastAsia"/>
          <w:b/>
          <w:bCs/>
          <w:sz w:val="30"/>
          <w:szCs w:val="30"/>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三、落实政府采购政策需满足的资格要求（如果有）</w:t>
      </w:r>
    </w:p>
    <w:p>
      <w:pPr>
        <w:ind w:firstLine="0" w:firstLineChars="0"/>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（根据招标公告落实政府采购政策需满足的资格要求选择提供相应的材料；未要求的，无需提供）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A.专门面向中小企业，服务全部由符合政策要求的中小企业（或小微企业）承接的，提供相应的中小企业声明函（附件1）。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B.要求以联合体形式参加的，提供联合协议（附件2）和中小企业声明函（附件1），联合协议中中小企业合同金额应当达到招标公告载明的比例；如果供应商本身提供所有标的均由中小企业承接的，并相应达到了前述比例要求，视同符合了资格条件，无需再与其他中小企业组成联合体参加政府采购活动，无需提供联合协议。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C.要求合同分包的，提供分包意向协议（附件3）和中小企业声明函（附件1），分包意向协议中中小企业合同金额应当达到招标公告载明的比例；如果供应商本身提供所有标的均由中小企业承接的，并相应达到了前述比例要求，视同符合了资格条件，无需再向中小企业分包，无需提供分包意向协议。</w:t>
      </w: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四、本项目的特定资格要求（如果有）</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（根据招标公告本项目的特定资格要求提供相应的材料；未要求的，无需提供）</w:t>
      </w: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商务技术文件部分</w:t>
      </w:r>
    </w:p>
    <w:p>
      <w:pPr>
        <w:ind w:firstLine="0" w:firstLineChars="0"/>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（1）投标函……………………………………………………………………（页码）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（2）授权委托书或法定代表人（单位负责人、自然人本人）身份证明…（页码）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（3）分包意向协议……………………………………………………………（页码）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（4）符合性审查资料…………………………………………………………（页码）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（5）评分对应表………………………………………………………………（页码）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（6）商务技术响应表…………………………………………………………（页码）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（7）评标标准相应的商务技术资料…………………………………………（页码）</w:t>
      </w: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r>
        <w:rPr>
          <w:rFonts w:hint="eastAsia" w:asciiTheme="minorEastAsia" w:hAnsiTheme="minorEastAsia" w:eastAsiaTheme="minorEastAsia" w:cstheme="minorEastAsia"/>
          <w:b/>
          <w:bCs/>
          <w:sz w:val="30"/>
          <w:szCs w:val="30"/>
        </w:rPr>
        <w:t>一、投标函</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我方参加你方组织的</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招标的有关活动，并对此项目进行投标。为此：</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1、我方承诺投标有效期从提交投标文件的截止之日起</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天（不少于90天），本投标文件在投标有效期满之前均具有约束力。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2、我方的投标文件包括以下内容：</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2.1资格文件：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2.1.1符合参加政府采购活动应当具备的一般条件的承诺函；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2.1.2联合协议（如果有）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2.1.3落实政府采购政策需满足的资格要求（如果有）；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2.1.4本项目的特定资格要求（如果有）。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 商务技术文件：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2.2.1投标函；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2.2.2授权委托书或法定代表人（单位负责人、自然人本人）身份证明；</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2.2.3分包意向协议（如果有）；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2.2.4符合性审查资料；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2.2.5评分对应表；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2.2.6商务技术响应表；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2.2.7评标标准相应的商务技术资料；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2.2.8供应商认为需要提供的其他文件及资料（格式自拟）。</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2.3报价文件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2.3.1开标一览表（报价表）；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2.3.2报价情况说明（如果有）；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2.3.3中小企业声明函；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2.3.4关于符合本国产品标准的声明函或有关证明文件（如果有）。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3、我方承诺除商务技术偏离表列出的偏离外，我方响应招标文件的全部要求。</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4、如我方中标，我方承诺：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4.1在收到中标通知书后，在中标通知书规定的期限内与你方签订合同；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4.2在签订合同时不向你方提出附加条件；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4.3按照招标文件要求提交履约保证金；</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4.4在合同约定的期限内完成合同规定的全部义务。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5、其他补充说明:</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numPr>
          <w:ilvl w:val="0"/>
          <w:numId w:val="8"/>
        </w:num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授权委托书或法定代表人</w:t>
      </w: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（单位负责人、自然人本人）身份证明</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授权委托书（适用于非联合体投标）</w:t>
      </w:r>
    </w:p>
    <w:p>
      <w:pPr>
        <w:ind w:firstLine="602"/>
        <w:jc w:val="center"/>
        <w:rPr>
          <w:rFonts w:hint="eastAsia" w:asciiTheme="minorEastAsia" w:hAnsiTheme="minorEastAsia" w:eastAsiaTheme="minorEastAsia" w:cstheme="minorEastAsia"/>
          <w:b/>
          <w:bCs/>
          <w:sz w:val="30"/>
          <w:szCs w:val="30"/>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现委托</w:t>
      </w:r>
      <w:r>
        <w:rPr>
          <w:rFonts w:hint="eastAsia" w:asciiTheme="minorEastAsia" w:hAnsiTheme="minorEastAsia" w:eastAsiaTheme="minorEastAsia" w:cstheme="minorEastAsia"/>
          <w:u w:val="single"/>
        </w:rPr>
        <w:t xml:space="preserve">          （姓名）</w:t>
      </w:r>
      <w:r>
        <w:rPr>
          <w:rFonts w:hint="eastAsia" w:asciiTheme="minorEastAsia" w:hAnsiTheme="minorEastAsia" w:eastAsiaTheme="minorEastAsia" w:cstheme="minorEastAsia"/>
        </w:rPr>
        <w:t>为我方代理人（身份证号码：</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，手机：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，所在单位：</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），以我方名义处理</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政府采购投标的一切事项，其法律后果由我方承担。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委托期限：自   年 月  日起至  年  月  日止。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特此告知。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授权委托书（适用于联合体投标）</w:t>
      </w:r>
    </w:p>
    <w:p>
      <w:pPr>
        <w:ind w:firstLine="602"/>
        <w:jc w:val="center"/>
        <w:rPr>
          <w:rFonts w:hint="eastAsia" w:asciiTheme="minorEastAsia" w:hAnsiTheme="minorEastAsia" w:eastAsiaTheme="minorEastAsia" w:cstheme="minorEastAsia"/>
          <w:b/>
          <w:bCs/>
          <w:sz w:val="30"/>
          <w:szCs w:val="30"/>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现委托</w:t>
      </w:r>
      <w:r>
        <w:rPr>
          <w:rFonts w:hint="eastAsia" w:asciiTheme="minorEastAsia" w:hAnsiTheme="minorEastAsia" w:eastAsiaTheme="minorEastAsia" w:cstheme="minorEastAsia"/>
          <w:u w:val="single"/>
        </w:rPr>
        <w:t xml:space="preserve">          （姓名）</w:t>
      </w:r>
      <w:r>
        <w:rPr>
          <w:rFonts w:hint="eastAsia" w:asciiTheme="minorEastAsia" w:hAnsiTheme="minorEastAsia" w:eastAsiaTheme="minorEastAsia" w:cstheme="minorEastAsia"/>
        </w:rPr>
        <w:t>为我方代理人（身份证号码：</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，手机：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，所在单位：</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），以我方名义处理</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政府采购投标的一切事项，其法律后果由我方承担。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委托期限：自   年 月  日起至  年  月  日止。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特此告知。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联合体成员名称（公章）：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联合体成员名称（公章）：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法定代表人、单位负责人或自然人本人的身份证明（适用于法定代表人、单位负责人或者自然人本人代表供应商参加投标）</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身份证件扫描件：</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1"/>
        <w:gridCol w:w="4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4" w:hRule="atLeast"/>
        </w:trPr>
        <w:tc>
          <w:tcPr>
            <w:tcW w:w="4261" w:type="dxa"/>
          </w:tcPr>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正面：</w:t>
            </w:r>
          </w:p>
        </w:tc>
        <w:tc>
          <w:tcPr>
            <w:tcW w:w="4261" w:type="dxa"/>
          </w:tcPr>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反面：</w:t>
            </w:r>
          </w:p>
        </w:tc>
      </w:tr>
    </w:tbl>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三、分包意向协议（如果有）</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（中标后以分包方式履行合同的，提供分包意向协议；采购人不同意分包或者供应商中标后不以分包方式履行合同的，则不需要提供。）</w:t>
      </w:r>
    </w:p>
    <w:p>
      <w:pPr>
        <w:ind w:firstLine="0" w:firstLineChars="0"/>
        <w:jc w:val="center"/>
        <w:rPr>
          <w:rFonts w:hint="eastAsia" w:asciiTheme="minorEastAsia" w:hAnsiTheme="minorEastAsia" w:eastAsiaTheme="minorEastAsia" w:cstheme="minorEastAsia"/>
          <w:b/>
          <w:bCs/>
          <w:sz w:val="30"/>
          <w:szCs w:val="30"/>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四、符合性审查资料（根据项目要求，如实填写）</w:t>
      </w:r>
    </w:p>
    <w:tbl>
      <w:tblPr>
        <w:tblStyle w:val="29"/>
        <w:tblW w:w="9200" w:type="dxa"/>
        <w:tblInd w:w="-31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7"/>
        <w:gridCol w:w="3916"/>
        <w:gridCol w:w="3334"/>
        <w:gridCol w:w="1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center"/>
          </w:tcPr>
          <w:p>
            <w:pPr>
              <w:ind w:firstLine="0" w:firstLineChars="0"/>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sz w:val="18"/>
                <w:szCs w:val="18"/>
              </w:rPr>
              <w:t>序号</w:t>
            </w:r>
          </w:p>
        </w:tc>
        <w:tc>
          <w:tcPr>
            <w:tcW w:w="3916"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实质性要求</w:t>
            </w:r>
          </w:p>
        </w:tc>
        <w:tc>
          <w:tcPr>
            <w:tcW w:w="3334"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需要提供的</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符合性审查资料</w:t>
            </w:r>
          </w:p>
        </w:tc>
        <w:tc>
          <w:tcPr>
            <w:tcW w:w="1333"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投标文件中的</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3916"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投标文件按照招标文件要求签署、盖章。</w:t>
            </w:r>
          </w:p>
        </w:tc>
        <w:tc>
          <w:tcPr>
            <w:tcW w:w="3334"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需要使用电子签名或者签字盖章的投标文件的组成部分</w:t>
            </w:r>
          </w:p>
        </w:tc>
        <w:tc>
          <w:tcPr>
            <w:tcW w:w="1333"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见投标文件</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3916"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采购人拟采购的产品属于政府强制采购的节能产品品目清单范围的，供应商按招标文件要求提供国家确定的认证机构出具的、处于有效期之内的节能产品认证证书。</w:t>
            </w:r>
          </w:p>
        </w:tc>
        <w:tc>
          <w:tcPr>
            <w:tcW w:w="3334"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节能产品认证证书（本项目拟采购的产品不属于政府强制采购的节能产品品目清单范围的，无需提供）</w:t>
            </w:r>
          </w:p>
        </w:tc>
        <w:tc>
          <w:tcPr>
            <w:tcW w:w="1333"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见投标文件</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617"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3</w:t>
            </w:r>
          </w:p>
        </w:tc>
        <w:tc>
          <w:tcPr>
            <w:tcW w:w="3916"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投标文件中承诺的投标有效期不少于招标文件中载明的投标有效期。</w:t>
            </w:r>
          </w:p>
        </w:tc>
        <w:tc>
          <w:tcPr>
            <w:tcW w:w="3334"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投标函</w:t>
            </w:r>
          </w:p>
        </w:tc>
        <w:tc>
          <w:tcPr>
            <w:tcW w:w="1333"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见投标文件</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17"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4</w:t>
            </w:r>
          </w:p>
        </w:tc>
        <w:tc>
          <w:tcPr>
            <w:tcW w:w="3916"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投标文件满足招标文件的其它实质性要求。</w:t>
            </w:r>
          </w:p>
        </w:tc>
        <w:tc>
          <w:tcPr>
            <w:tcW w:w="3334"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招标文件其它实质性要求相应的材料（“▲” 系指实质性要求条款，招标文件无其它实质性要求的，无需提供）</w:t>
            </w:r>
          </w:p>
        </w:tc>
        <w:tc>
          <w:tcPr>
            <w:tcW w:w="1333" w:type="dxa"/>
            <w:vAlign w:val="center"/>
          </w:tcPr>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见投标文件</w:t>
            </w:r>
          </w:p>
          <w:p>
            <w:pPr>
              <w:ind w:firstLine="0" w:firstLineChars="0"/>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第  页</w:t>
            </w:r>
          </w:p>
        </w:tc>
      </w:tr>
    </w:tbl>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五、评分对应表</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86"/>
        <w:gridCol w:w="2295"/>
        <w:gridCol w:w="28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评分项目</w:t>
            </w:r>
          </w:p>
        </w:tc>
        <w:tc>
          <w:tcPr>
            <w:tcW w:w="2295"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投标文件对应资料</w:t>
            </w:r>
          </w:p>
        </w:tc>
        <w:tc>
          <w:tcPr>
            <w:tcW w:w="2841"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投标文件中的页码位置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对应第四章评分办法及标准（报价除外）</w:t>
            </w:r>
          </w:p>
        </w:tc>
        <w:tc>
          <w:tcPr>
            <w:tcW w:w="2295" w:type="dxa"/>
            <w:vAlign w:val="center"/>
          </w:tcPr>
          <w:p>
            <w:pPr>
              <w:ind w:firstLine="0" w:firstLineChars="0"/>
              <w:jc w:val="center"/>
              <w:rPr>
                <w:rFonts w:hint="eastAsia" w:asciiTheme="minorEastAsia" w:hAnsiTheme="minorEastAsia" w:eastAsiaTheme="minorEastAsia" w:cstheme="minorEastAsia"/>
              </w:rPr>
            </w:pPr>
          </w:p>
        </w:tc>
        <w:tc>
          <w:tcPr>
            <w:tcW w:w="2841"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见投标文件</w:t>
            </w:r>
          </w:p>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295" w:type="dxa"/>
            <w:vAlign w:val="center"/>
          </w:tcPr>
          <w:p>
            <w:pPr>
              <w:ind w:firstLine="0" w:firstLineChars="0"/>
              <w:jc w:val="center"/>
              <w:rPr>
                <w:rFonts w:hint="eastAsia" w:asciiTheme="minorEastAsia" w:hAnsiTheme="minorEastAsia" w:eastAsiaTheme="minorEastAsia" w:cstheme="minorEastAsia"/>
              </w:rPr>
            </w:pPr>
          </w:p>
        </w:tc>
        <w:tc>
          <w:tcPr>
            <w:tcW w:w="2841" w:type="dxa"/>
            <w:vAlign w:val="center"/>
          </w:tcPr>
          <w:p>
            <w:pPr>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386"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295" w:type="dxa"/>
            <w:vAlign w:val="center"/>
          </w:tcPr>
          <w:p>
            <w:pPr>
              <w:ind w:firstLine="0" w:firstLineChars="0"/>
              <w:jc w:val="center"/>
              <w:rPr>
                <w:rFonts w:hint="eastAsia" w:asciiTheme="minorEastAsia" w:hAnsiTheme="minorEastAsia" w:eastAsiaTheme="minorEastAsia" w:cstheme="minorEastAsia"/>
              </w:rPr>
            </w:pPr>
          </w:p>
        </w:tc>
        <w:tc>
          <w:tcPr>
            <w:tcW w:w="2841" w:type="dxa"/>
            <w:vAlign w:val="center"/>
          </w:tcPr>
          <w:p>
            <w:pPr>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86" w:type="dxa"/>
            <w:vAlign w:val="center"/>
          </w:tcPr>
          <w:p>
            <w:pPr>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295" w:type="dxa"/>
            <w:vAlign w:val="center"/>
          </w:tcPr>
          <w:p>
            <w:pPr>
              <w:ind w:firstLine="0" w:firstLineChars="0"/>
              <w:jc w:val="center"/>
              <w:rPr>
                <w:rFonts w:hint="eastAsia" w:asciiTheme="minorEastAsia" w:hAnsiTheme="minorEastAsia" w:eastAsiaTheme="minorEastAsia" w:cstheme="minorEastAsia"/>
              </w:rPr>
            </w:pPr>
          </w:p>
        </w:tc>
        <w:tc>
          <w:tcPr>
            <w:tcW w:w="2841" w:type="dxa"/>
            <w:vAlign w:val="center"/>
          </w:tcPr>
          <w:p>
            <w:pPr>
              <w:ind w:firstLine="0" w:firstLineChars="0"/>
              <w:jc w:val="center"/>
              <w:rPr>
                <w:rFonts w:hint="eastAsia" w:asciiTheme="minorEastAsia" w:hAnsiTheme="minorEastAsia" w:eastAsiaTheme="minorEastAsia" w:cstheme="minorEastAsia"/>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六、商务响应表</w:t>
      </w:r>
    </w:p>
    <w:tbl>
      <w:tblPr>
        <w:tblStyle w:val="29"/>
        <w:tblW w:w="902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910"/>
        <w:gridCol w:w="3086"/>
        <w:gridCol w:w="3710"/>
        <w:gridCol w:w="132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3086"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招标文件的规定</w:t>
            </w:r>
          </w:p>
        </w:tc>
        <w:tc>
          <w:tcPr>
            <w:tcW w:w="37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投标文件的响应</w:t>
            </w:r>
          </w:p>
        </w:tc>
        <w:tc>
          <w:tcPr>
            <w:tcW w:w="132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偏离说明</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086"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7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2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9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086"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7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2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9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086"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371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20" w:type="dxa"/>
            <w:vAlign w:val="center"/>
          </w:tcPr>
          <w:p>
            <w:pPr>
              <w:spacing w:line="240" w:lineRule="auto"/>
              <w:ind w:firstLine="0" w:firstLineChars="0"/>
              <w:jc w:val="center"/>
              <w:rPr>
                <w:rFonts w:hint="eastAsia" w:asciiTheme="minorEastAsia" w:hAnsiTheme="minorEastAsia" w:eastAsiaTheme="minorEastAsia" w:cstheme="minorEastAsia"/>
                <w:color w:val="000000"/>
                <w:sz w:val="21"/>
                <w:szCs w:val="21"/>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注：供应商的投标文件（除技术规格部分）与招标文件之规定存在偏离的，应在此表中如实说明。未在上表中说明的，将被认为完全响应招标文件的规定。</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七、技术响应表</w:t>
      </w:r>
    </w:p>
    <w:tbl>
      <w:tblPr>
        <w:tblStyle w:val="29"/>
        <w:tblW w:w="9076"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36"/>
        <w:gridCol w:w="1056"/>
        <w:gridCol w:w="1896"/>
        <w:gridCol w:w="1896"/>
        <w:gridCol w:w="2106"/>
        <w:gridCol w:w="148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0" w:hRule="atLeast"/>
        </w:trPr>
        <w:tc>
          <w:tcPr>
            <w:tcW w:w="63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240" w:lineRule="auto"/>
              <w:ind w:firstLine="0" w:firstLineChars="0"/>
              <w:jc w:val="center"/>
              <w:outlineLvl w:val="0"/>
              <w:rPr>
                <w:rFonts w:hint="eastAsia" w:asciiTheme="minorEastAsia" w:hAnsiTheme="minorEastAsia" w:eastAsiaTheme="minorEastAsia" w:cstheme="minorEastAsia"/>
                <w:color w:val="000000"/>
                <w:sz w:val="21"/>
                <w:szCs w:val="21"/>
              </w:rPr>
            </w:pPr>
            <w:bookmarkStart w:id="14" w:name="_Toc465368115"/>
            <w:bookmarkStart w:id="15" w:name="_Toc32613"/>
            <w:r>
              <w:rPr>
                <w:rFonts w:hint="eastAsia" w:asciiTheme="minorEastAsia" w:hAnsiTheme="minorEastAsia" w:eastAsiaTheme="minorEastAsia" w:cstheme="minorEastAsia"/>
                <w:color w:val="000000"/>
                <w:sz w:val="21"/>
                <w:szCs w:val="21"/>
              </w:rPr>
              <w:t>序号</w:t>
            </w:r>
            <w:bookmarkEnd w:id="14"/>
            <w:bookmarkEnd w:id="15"/>
          </w:p>
        </w:tc>
        <w:tc>
          <w:tcPr>
            <w:tcW w:w="105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240" w:lineRule="auto"/>
              <w:ind w:firstLine="0" w:firstLineChars="0"/>
              <w:jc w:val="center"/>
              <w:outlineLvl w:val="0"/>
              <w:rPr>
                <w:rFonts w:hint="eastAsia" w:asciiTheme="minorEastAsia" w:hAnsiTheme="minorEastAsia" w:eastAsiaTheme="minorEastAsia" w:cstheme="minorEastAsia"/>
                <w:color w:val="000000"/>
                <w:sz w:val="21"/>
                <w:szCs w:val="21"/>
              </w:rPr>
            </w:pPr>
            <w:bookmarkStart w:id="16" w:name="_Toc10352"/>
            <w:bookmarkStart w:id="17" w:name="_Toc702241305"/>
            <w:r>
              <w:rPr>
                <w:rFonts w:hint="eastAsia" w:asciiTheme="minorEastAsia" w:hAnsiTheme="minorEastAsia" w:eastAsiaTheme="minorEastAsia" w:cstheme="minorEastAsia"/>
                <w:color w:val="000000"/>
                <w:sz w:val="21"/>
                <w:szCs w:val="21"/>
              </w:rPr>
              <w:t>设备名称</w:t>
            </w:r>
            <w:bookmarkEnd w:id="16"/>
            <w:bookmarkEnd w:id="17"/>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240" w:lineRule="auto"/>
              <w:ind w:firstLine="0" w:firstLineChars="0"/>
              <w:jc w:val="center"/>
              <w:outlineLvl w:val="0"/>
              <w:rPr>
                <w:rFonts w:hint="eastAsia" w:asciiTheme="minorEastAsia" w:hAnsiTheme="minorEastAsia" w:eastAsiaTheme="minorEastAsia" w:cstheme="minorEastAsia"/>
                <w:color w:val="000000"/>
                <w:sz w:val="21"/>
                <w:szCs w:val="21"/>
              </w:rPr>
            </w:pPr>
            <w:bookmarkStart w:id="18" w:name="_Toc382928236"/>
            <w:bookmarkStart w:id="19" w:name="_Toc377028057"/>
            <w:bookmarkStart w:id="20" w:name="_Toc377653976"/>
            <w:bookmarkStart w:id="21" w:name="_Toc385854156"/>
            <w:bookmarkStart w:id="22" w:name="_Toc406403001"/>
            <w:bookmarkStart w:id="23" w:name="_Toc382928118"/>
            <w:bookmarkStart w:id="24" w:name="_Toc381081903"/>
            <w:bookmarkStart w:id="25" w:name="_Toc406402957"/>
            <w:bookmarkStart w:id="26" w:name="_Toc402963128"/>
            <w:bookmarkStart w:id="27" w:name="_Toc402963095"/>
            <w:bookmarkStart w:id="28" w:name="_Toc385854110"/>
            <w:bookmarkStart w:id="29" w:name="_Toc377028119"/>
            <w:bookmarkStart w:id="30" w:name="_Toc401570290"/>
            <w:bookmarkStart w:id="31" w:name="_Toc401570314"/>
            <w:bookmarkStart w:id="32" w:name="_Toc402963132"/>
            <w:bookmarkStart w:id="33" w:name="_Toc402963099"/>
            <w:bookmarkStart w:id="34" w:name="_Toc401570318"/>
            <w:bookmarkStart w:id="35" w:name="_Toc377028123"/>
            <w:bookmarkStart w:id="36" w:name="_Toc385854114"/>
            <w:bookmarkStart w:id="37" w:name="_Toc734611807"/>
            <w:bookmarkStart w:id="38" w:name="_Toc26683"/>
            <w:bookmarkStart w:id="39" w:name="_Toc382928122"/>
            <w:bookmarkStart w:id="40" w:name="_Toc381081907"/>
            <w:bookmarkStart w:id="41" w:name="_Toc377028061"/>
            <w:bookmarkStart w:id="42" w:name="_Toc385854160"/>
            <w:bookmarkStart w:id="43" w:name="_Toc377653980"/>
            <w:bookmarkStart w:id="44" w:name="_Toc382928240"/>
            <w:bookmarkStart w:id="45" w:name="_Toc406402961"/>
            <w:bookmarkStart w:id="46" w:name="_Toc401570294"/>
            <w:bookmarkStart w:id="47" w:name="_Toc406403005"/>
            <w:r>
              <w:rPr>
                <w:rFonts w:hint="eastAsia" w:asciiTheme="minorEastAsia" w:hAnsiTheme="minorEastAsia" w:eastAsiaTheme="minorEastAsia" w:cstheme="minorEastAsia"/>
                <w:color w:val="000000"/>
                <w:sz w:val="21"/>
                <w:szCs w:val="21"/>
              </w:rPr>
              <w:t>招标文件要求</w:t>
            </w:r>
            <w:bookmarkEnd w:id="18"/>
            <w:bookmarkEnd w:id="19"/>
            <w:bookmarkEnd w:id="20"/>
            <w:bookmarkEnd w:id="21"/>
            <w:bookmarkEnd w:id="22"/>
            <w:bookmarkEnd w:id="23"/>
            <w:bookmarkEnd w:id="24"/>
            <w:bookmarkEnd w:id="25"/>
            <w:bookmarkEnd w:id="26"/>
            <w:bookmarkEnd w:id="27"/>
            <w:bookmarkEnd w:id="28"/>
            <w:bookmarkEnd w:id="29"/>
            <w:bookmarkEnd w:id="30"/>
            <w:bookmarkEnd w:id="31"/>
            <w:r>
              <w:rPr>
                <w:rFonts w:hint="eastAsia" w:asciiTheme="minorEastAsia" w:hAnsiTheme="minorEastAsia" w:eastAsiaTheme="minorEastAsia" w:cstheme="minorEastAsia"/>
                <w:color w:val="000000"/>
                <w:sz w:val="21"/>
                <w:szCs w:val="21"/>
              </w:rPr>
              <w:t>要求</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240" w:lineRule="auto"/>
              <w:ind w:firstLine="0" w:firstLineChars="0"/>
              <w:jc w:val="center"/>
              <w:outlineLvl w:val="0"/>
              <w:rPr>
                <w:rFonts w:hint="eastAsia" w:asciiTheme="minorEastAsia" w:hAnsiTheme="minorEastAsia" w:eastAsiaTheme="minorEastAsia" w:cstheme="minorEastAsia"/>
                <w:color w:val="000000"/>
                <w:sz w:val="21"/>
                <w:szCs w:val="21"/>
              </w:rPr>
            </w:pPr>
            <w:bookmarkStart w:id="48" w:name="_Toc385854157"/>
            <w:bookmarkStart w:id="49" w:name="_Toc377028120"/>
            <w:bookmarkStart w:id="50" w:name="_Toc401570315"/>
            <w:bookmarkStart w:id="51" w:name="_Toc406402958"/>
            <w:bookmarkStart w:id="52" w:name="_Toc382928237"/>
            <w:bookmarkStart w:id="53" w:name="_Toc377653977"/>
            <w:bookmarkStart w:id="54" w:name="_Toc377028058"/>
            <w:bookmarkStart w:id="55" w:name="_Toc402963129"/>
            <w:bookmarkStart w:id="56" w:name="_Toc402963096"/>
            <w:bookmarkStart w:id="57" w:name="_Toc385854111"/>
            <w:bookmarkStart w:id="58" w:name="_Toc381081904"/>
            <w:bookmarkStart w:id="59" w:name="_Toc401570291"/>
            <w:bookmarkStart w:id="60" w:name="_Toc382928119"/>
            <w:bookmarkStart w:id="61" w:name="_Toc406403002"/>
            <w:bookmarkStart w:id="62" w:name="_Toc929162729"/>
            <w:bookmarkStart w:id="63" w:name="_Toc2244"/>
            <w:r>
              <w:rPr>
                <w:rFonts w:hint="eastAsia" w:asciiTheme="minorEastAsia" w:hAnsiTheme="minorEastAsia" w:eastAsiaTheme="minorEastAsia" w:cstheme="minorEastAsia"/>
                <w:color w:val="000000"/>
                <w:sz w:val="21"/>
                <w:szCs w:val="21"/>
              </w:rPr>
              <w:t>投标文件</w:t>
            </w:r>
            <w:bookmarkEnd w:id="48"/>
            <w:bookmarkEnd w:id="49"/>
            <w:bookmarkEnd w:id="50"/>
            <w:bookmarkEnd w:id="51"/>
            <w:bookmarkEnd w:id="52"/>
            <w:bookmarkEnd w:id="53"/>
            <w:bookmarkEnd w:id="54"/>
            <w:bookmarkEnd w:id="55"/>
            <w:bookmarkEnd w:id="56"/>
            <w:bookmarkEnd w:id="57"/>
            <w:bookmarkEnd w:id="58"/>
            <w:bookmarkEnd w:id="59"/>
            <w:bookmarkEnd w:id="60"/>
            <w:bookmarkEnd w:id="61"/>
            <w:r>
              <w:rPr>
                <w:rFonts w:hint="eastAsia" w:asciiTheme="minorEastAsia" w:hAnsiTheme="minorEastAsia" w:eastAsiaTheme="minorEastAsia" w:cstheme="minorEastAsia"/>
                <w:color w:val="000000"/>
                <w:sz w:val="21"/>
                <w:szCs w:val="21"/>
              </w:rPr>
              <w:t>性能指标</w:t>
            </w:r>
            <w:bookmarkEnd w:id="62"/>
            <w:bookmarkEnd w:id="63"/>
          </w:p>
        </w:tc>
        <w:tc>
          <w:tcPr>
            <w:tcW w:w="210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240" w:lineRule="auto"/>
              <w:ind w:firstLine="0" w:firstLineChars="0"/>
              <w:jc w:val="center"/>
              <w:outlineLvl w:val="0"/>
              <w:rPr>
                <w:rFonts w:hint="eastAsia" w:asciiTheme="minorEastAsia" w:hAnsiTheme="minorEastAsia" w:eastAsiaTheme="minorEastAsia" w:cstheme="minorEastAsia"/>
                <w:color w:val="000000"/>
                <w:sz w:val="21"/>
                <w:szCs w:val="21"/>
              </w:rPr>
            </w:pPr>
            <w:bookmarkStart w:id="64" w:name="_Toc381081905"/>
            <w:bookmarkStart w:id="65" w:name="_Toc402963097"/>
            <w:bookmarkStart w:id="66" w:name="_Toc401570316"/>
            <w:bookmarkStart w:id="67" w:name="_Toc385854112"/>
            <w:bookmarkStart w:id="68" w:name="_Toc401570292"/>
            <w:bookmarkStart w:id="69" w:name="_Toc377028059"/>
            <w:bookmarkStart w:id="70" w:name="_Toc382928120"/>
            <w:bookmarkStart w:id="71" w:name="_Toc385854158"/>
            <w:bookmarkStart w:id="72" w:name="_Toc406402959"/>
            <w:bookmarkStart w:id="73" w:name="_Toc406403003"/>
            <w:bookmarkStart w:id="74" w:name="_Toc377028121"/>
            <w:bookmarkStart w:id="75" w:name="_Toc382928238"/>
            <w:bookmarkStart w:id="76" w:name="_Toc377653978"/>
            <w:bookmarkStart w:id="77" w:name="_Toc402963130"/>
            <w:bookmarkStart w:id="78" w:name="_Toc961276098"/>
            <w:bookmarkStart w:id="79" w:name="_Toc5464"/>
            <w:r>
              <w:rPr>
                <w:rFonts w:hint="eastAsia" w:asciiTheme="minorEastAsia" w:hAnsiTheme="minorEastAsia" w:eastAsiaTheme="minorEastAsia" w:cstheme="minorEastAsia"/>
                <w:color w:val="000000"/>
                <w:sz w:val="21"/>
                <w:szCs w:val="21"/>
              </w:rPr>
              <w:t>偏离情况</w:t>
            </w:r>
            <w:bookmarkEnd w:id="64"/>
            <w:bookmarkEnd w:id="65"/>
            <w:bookmarkEnd w:id="66"/>
            <w:bookmarkEnd w:id="67"/>
            <w:bookmarkEnd w:id="68"/>
            <w:bookmarkEnd w:id="69"/>
            <w:bookmarkEnd w:id="70"/>
            <w:bookmarkEnd w:id="71"/>
            <w:bookmarkEnd w:id="72"/>
            <w:bookmarkEnd w:id="73"/>
            <w:bookmarkEnd w:id="74"/>
            <w:bookmarkEnd w:id="75"/>
            <w:bookmarkEnd w:id="76"/>
            <w:bookmarkEnd w:id="77"/>
            <w:r>
              <w:rPr>
                <w:rFonts w:hint="eastAsia" w:asciiTheme="minorEastAsia" w:hAnsiTheme="minorEastAsia" w:eastAsiaTheme="minorEastAsia" w:cstheme="minorEastAsia"/>
                <w:color w:val="000000"/>
                <w:sz w:val="21"/>
                <w:szCs w:val="21"/>
              </w:rPr>
              <w:t>及证明材料</w:t>
            </w:r>
            <w:bookmarkEnd w:id="78"/>
            <w:bookmarkEnd w:id="79"/>
          </w:p>
        </w:tc>
        <w:tc>
          <w:tcPr>
            <w:tcW w:w="1486"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vAlign w:val="center"/>
          </w:tcPr>
          <w:p>
            <w:pPr>
              <w:widowControl/>
              <w:ind w:firstLine="480"/>
              <w:jc w:val="center"/>
              <w:rPr>
                <w:rFonts w:hint="eastAsia" w:asciiTheme="minorEastAsia" w:hAnsiTheme="minorEastAsia" w:eastAsiaTheme="minorEastAsia" w:cstheme="minorEastAsia"/>
                <w:color w:val="000000"/>
                <w:szCs w:val="21"/>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41" w:hRule="atLeast"/>
        </w:trPr>
        <w:tc>
          <w:tcPr>
            <w:tcW w:w="63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05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89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210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c>
          <w:tcPr>
            <w:tcW w:w="1486" w:type="dxa"/>
            <w:tcBorders>
              <w:top w:val="single" w:color="auto" w:sz="4" w:space="0"/>
              <w:left w:val="single" w:color="auto" w:sz="4" w:space="0"/>
              <w:bottom w:val="single" w:color="auto" w:sz="4" w:space="0"/>
              <w:right w:val="single" w:color="auto" w:sz="4" w:space="0"/>
            </w:tcBorders>
            <w:vAlign w:val="center"/>
          </w:tcPr>
          <w:p>
            <w:pPr>
              <w:pStyle w:val="15"/>
              <w:snapToGrid w:val="0"/>
              <w:spacing w:beforeLines="0" w:afterLines="0" w:line="360" w:lineRule="auto"/>
              <w:ind w:firstLine="480"/>
              <w:jc w:val="center"/>
              <w:outlineLvl w:val="0"/>
              <w:rPr>
                <w:rFonts w:hint="eastAsia" w:asciiTheme="minorEastAsia" w:hAnsiTheme="minorEastAsia" w:eastAsiaTheme="minorEastAsia" w:cstheme="minorEastAsia"/>
                <w:color w:val="000000"/>
                <w:szCs w:val="21"/>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注：供应商应根据投标产品的性能指标、对照招标文件要求注明“正偏离”、“负偏离”或“无偏离”。</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八、评标标准相应的商务技术资料</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（根据采购需求、评标办法及标准要求提供，除以下投标文件格式外相关资料由供应商自拟。）</w:t>
      </w: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同类项目业绩一览表</w:t>
      </w:r>
    </w:p>
    <w:tbl>
      <w:tblPr>
        <w:tblStyle w:val="29"/>
        <w:tblW w:w="9250" w:type="dxa"/>
        <w:tblInd w:w="-2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1433"/>
        <w:gridCol w:w="1200"/>
        <w:gridCol w:w="1667"/>
        <w:gridCol w:w="1283"/>
        <w:gridCol w:w="29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序号</w:t>
            </w:r>
          </w:p>
        </w:tc>
        <w:tc>
          <w:tcPr>
            <w:tcW w:w="1433"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采购人名称</w:t>
            </w:r>
          </w:p>
        </w:tc>
        <w:tc>
          <w:tcPr>
            <w:tcW w:w="1200"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项目名称</w:t>
            </w:r>
          </w:p>
        </w:tc>
        <w:tc>
          <w:tcPr>
            <w:tcW w:w="1667"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项目起止时间</w:t>
            </w:r>
          </w:p>
        </w:tc>
        <w:tc>
          <w:tcPr>
            <w:tcW w:w="1283"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合同金额</w:t>
            </w:r>
          </w:p>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（万元）</w:t>
            </w:r>
          </w:p>
        </w:tc>
        <w:tc>
          <w:tcPr>
            <w:tcW w:w="2917" w:type="dxa"/>
            <w:vAlign w:val="center"/>
          </w:tcPr>
          <w:p>
            <w:pPr>
              <w:ind w:firstLine="0" w:firstLineChars="0"/>
              <w:jc w:val="center"/>
              <w:rPr>
                <w:rFonts w:hint="eastAsia" w:asciiTheme="minorEastAsia" w:hAnsiTheme="minorEastAsia" w:eastAsiaTheme="minorEastAsia" w:cstheme="minorEastAsia"/>
                <w:b/>
                <w:bCs/>
                <w:sz w:val="18"/>
                <w:szCs w:val="18"/>
              </w:rPr>
            </w:pPr>
            <w:r>
              <w:rPr>
                <w:rFonts w:hint="eastAsia" w:asciiTheme="minorEastAsia" w:hAnsiTheme="minorEastAsia" w:eastAsiaTheme="minorEastAsia" w:cstheme="minorEastAsia"/>
                <w:b/>
                <w:bCs/>
                <w:sz w:val="18"/>
                <w:szCs w:val="18"/>
              </w:rPr>
              <w:t>采购人联系人及联系电话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1</w:t>
            </w:r>
          </w:p>
        </w:tc>
        <w:tc>
          <w:tcPr>
            <w:tcW w:w="1433" w:type="dxa"/>
            <w:vAlign w:val="center"/>
          </w:tcPr>
          <w:p>
            <w:pPr>
              <w:ind w:firstLine="0" w:firstLineChars="0"/>
              <w:jc w:val="center"/>
              <w:rPr>
                <w:rFonts w:hint="eastAsia" w:asciiTheme="minorEastAsia" w:hAnsiTheme="minorEastAsia" w:eastAsiaTheme="minorEastAsia" w:cstheme="minorEastAsia"/>
                <w:sz w:val="18"/>
                <w:szCs w:val="18"/>
              </w:rPr>
            </w:pPr>
          </w:p>
        </w:tc>
        <w:tc>
          <w:tcPr>
            <w:tcW w:w="1200" w:type="dxa"/>
            <w:vAlign w:val="center"/>
          </w:tcPr>
          <w:p>
            <w:pPr>
              <w:ind w:firstLine="0" w:firstLineChars="0"/>
              <w:jc w:val="center"/>
              <w:rPr>
                <w:rFonts w:hint="eastAsia" w:asciiTheme="minorEastAsia" w:hAnsiTheme="minorEastAsia" w:eastAsiaTheme="minorEastAsia" w:cstheme="minorEastAsia"/>
                <w:sz w:val="18"/>
                <w:szCs w:val="18"/>
              </w:rPr>
            </w:pPr>
          </w:p>
        </w:tc>
        <w:tc>
          <w:tcPr>
            <w:tcW w:w="1667" w:type="dxa"/>
            <w:vAlign w:val="center"/>
          </w:tcPr>
          <w:p>
            <w:pPr>
              <w:ind w:firstLine="0" w:firstLineChars="0"/>
              <w:jc w:val="center"/>
              <w:rPr>
                <w:rFonts w:hint="eastAsia" w:asciiTheme="minorEastAsia" w:hAnsiTheme="minorEastAsia" w:eastAsiaTheme="minorEastAsia" w:cstheme="minorEastAsia"/>
                <w:sz w:val="18"/>
                <w:szCs w:val="18"/>
              </w:rPr>
            </w:pPr>
          </w:p>
        </w:tc>
        <w:tc>
          <w:tcPr>
            <w:tcW w:w="1283" w:type="dxa"/>
            <w:vAlign w:val="center"/>
          </w:tcPr>
          <w:p>
            <w:pPr>
              <w:ind w:firstLine="0" w:firstLineChars="0"/>
              <w:jc w:val="center"/>
              <w:rPr>
                <w:rFonts w:hint="eastAsia" w:asciiTheme="minorEastAsia" w:hAnsiTheme="minorEastAsia" w:eastAsiaTheme="minorEastAsia" w:cstheme="minorEastAsia"/>
                <w:sz w:val="18"/>
                <w:szCs w:val="18"/>
              </w:rPr>
            </w:pPr>
          </w:p>
        </w:tc>
        <w:tc>
          <w:tcPr>
            <w:tcW w:w="2917" w:type="dxa"/>
            <w:vAlign w:val="center"/>
          </w:tcPr>
          <w:p>
            <w:pPr>
              <w:ind w:firstLine="0" w:firstLineChars="0"/>
              <w:jc w:val="center"/>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pPr>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2</w:t>
            </w:r>
          </w:p>
        </w:tc>
        <w:tc>
          <w:tcPr>
            <w:tcW w:w="1433" w:type="dxa"/>
            <w:vAlign w:val="center"/>
          </w:tcPr>
          <w:p>
            <w:pPr>
              <w:ind w:firstLine="0" w:firstLineChars="0"/>
              <w:jc w:val="center"/>
              <w:rPr>
                <w:rFonts w:hint="eastAsia" w:asciiTheme="minorEastAsia" w:hAnsiTheme="minorEastAsia" w:eastAsiaTheme="minorEastAsia" w:cstheme="minorEastAsia"/>
                <w:sz w:val="18"/>
                <w:szCs w:val="18"/>
              </w:rPr>
            </w:pPr>
          </w:p>
        </w:tc>
        <w:tc>
          <w:tcPr>
            <w:tcW w:w="1200" w:type="dxa"/>
            <w:vAlign w:val="center"/>
          </w:tcPr>
          <w:p>
            <w:pPr>
              <w:ind w:firstLine="0" w:firstLineChars="0"/>
              <w:jc w:val="center"/>
              <w:rPr>
                <w:rFonts w:hint="eastAsia" w:asciiTheme="minorEastAsia" w:hAnsiTheme="minorEastAsia" w:eastAsiaTheme="minorEastAsia" w:cstheme="minorEastAsia"/>
                <w:sz w:val="18"/>
                <w:szCs w:val="18"/>
              </w:rPr>
            </w:pPr>
          </w:p>
        </w:tc>
        <w:tc>
          <w:tcPr>
            <w:tcW w:w="1667" w:type="dxa"/>
            <w:vAlign w:val="center"/>
          </w:tcPr>
          <w:p>
            <w:pPr>
              <w:ind w:firstLine="0" w:firstLineChars="0"/>
              <w:jc w:val="center"/>
              <w:rPr>
                <w:rFonts w:hint="eastAsia" w:asciiTheme="minorEastAsia" w:hAnsiTheme="minorEastAsia" w:eastAsiaTheme="minorEastAsia" w:cstheme="minorEastAsia"/>
                <w:sz w:val="18"/>
                <w:szCs w:val="18"/>
              </w:rPr>
            </w:pPr>
          </w:p>
        </w:tc>
        <w:tc>
          <w:tcPr>
            <w:tcW w:w="1283" w:type="dxa"/>
            <w:vAlign w:val="center"/>
          </w:tcPr>
          <w:p>
            <w:pPr>
              <w:ind w:firstLine="0" w:firstLineChars="0"/>
              <w:jc w:val="center"/>
              <w:rPr>
                <w:rFonts w:hint="eastAsia" w:asciiTheme="minorEastAsia" w:hAnsiTheme="minorEastAsia" w:eastAsiaTheme="minorEastAsia" w:cstheme="minorEastAsia"/>
                <w:sz w:val="18"/>
                <w:szCs w:val="18"/>
              </w:rPr>
            </w:pPr>
          </w:p>
        </w:tc>
        <w:tc>
          <w:tcPr>
            <w:tcW w:w="2917" w:type="dxa"/>
            <w:vAlign w:val="center"/>
          </w:tcPr>
          <w:p>
            <w:pPr>
              <w:ind w:firstLine="0" w:firstLineChars="0"/>
              <w:jc w:val="center"/>
              <w:rPr>
                <w:rFonts w:hint="eastAsia" w:asciiTheme="minorEastAsia" w:hAnsiTheme="minorEastAsia" w:eastAsiaTheme="minorEastAsia" w:cs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0" w:type="dxa"/>
            <w:vAlign w:val="center"/>
          </w:tcPr>
          <w:p>
            <w:pPr>
              <w:ind w:firstLine="0" w:firstLineChars="0"/>
              <w:jc w:val="center"/>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sz w:val="18"/>
                <w:szCs w:val="18"/>
              </w:rPr>
              <w:t>···</w:t>
            </w:r>
          </w:p>
        </w:tc>
        <w:tc>
          <w:tcPr>
            <w:tcW w:w="1433" w:type="dxa"/>
            <w:vAlign w:val="center"/>
          </w:tcPr>
          <w:p>
            <w:pPr>
              <w:ind w:firstLine="0" w:firstLineChars="0"/>
              <w:jc w:val="center"/>
              <w:rPr>
                <w:rFonts w:hint="eastAsia" w:asciiTheme="minorEastAsia" w:hAnsiTheme="minorEastAsia" w:eastAsiaTheme="minorEastAsia" w:cstheme="minorEastAsia"/>
                <w:sz w:val="18"/>
                <w:szCs w:val="18"/>
              </w:rPr>
            </w:pPr>
          </w:p>
        </w:tc>
        <w:tc>
          <w:tcPr>
            <w:tcW w:w="1200" w:type="dxa"/>
            <w:vAlign w:val="center"/>
          </w:tcPr>
          <w:p>
            <w:pPr>
              <w:ind w:firstLine="0" w:firstLineChars="0"/>
              <w:jc w:val="center"/>
              <w:rPr>
                <w:rFonts w:hint="eastAsia" w:asciiTheme="minorEastAsia" w:hAnsiTheme="minorEastAsia" w:eastAsiaTheme="minorEastAsia" w:cstheme="minorEastAsia"/>
                <w:sz w:val="18"/>
                <w:szCs w:val="18"/>
              </w:rPr>
            </w:pPr>
          </w:p>
        </w:tc>
        <w:tc>
          <w:tcPr>
            <w:tcW w:w="1667" w:type="dxa"/>
            <w:vAlign w:val="center"/>
          </w:tcPr>
          <w:p>
            <w:pPr>
              <w:ind w:firstLine="0" w:firstLineChars="0"/>
              <w:jc w:val="center"/>
              <w:rPr>
                <w:rFonts w:hint="eastAsia" w:asciiTheme="minorEastAsia" w:hAnsiTheme="minorEastAsia" w:eastAsiaTheme="minorEastAsia" w:cstheme="minorEastAsia"/>
                <w:sz w:val="18"/>
                <w:szCs w:val="18"/>
              </w:rPr>
            </w:pPr>
          </w:p>
        </w:tc>
        <w:tc>
          <w:tcPr>
            <w:tcW w:w="1283" w:type="dxa"/>
            <w:vAlign w:val="center"/>
          </w:tcPr>
          <w:p>
            <w:pPr>
              <w:ind w:firstLine="0" w:firstLineChars="0"/>
              <w:jc w:val="center"/>
              <w:rPr>
                <w:rFonts w:hint="eastAsia" w:asciiTheme="minorEastAsia" w:hAnsiTheme="minorEastAsia" w:eastAsiaTheme="minorEastAsia" w:cstheme="minorEastAsia"/>
                <w:sz w:val="18"/>
                <w:szCs w:val="18"/>
              </w:rPr>
            </w:pPr>
          </w:p>
        </w:tc>
        <w:tc>
          <w:tcPr>
            <w:tcW w:w="2917" w:type="dxa"/>
            <w:vAlign w:val="center"/>
          </w:tcPr>
          <w:p>
            <w:pPr>
              <w:ind w:firstLine="0" w:firstLineChars="0"/>
              <w:jc w:val="center"/>
              <w:rPr>
                <w:rFonts w:hint="eastAsia" w:asciiTheme="minorEastAsia" w:hAnsiTheme="minorEastAsia" w:eastAsiaTheme="minorEastAsia" w:cstheme="minorEastAsia"/>
                <w:sz w:val="18"/>
                <w:szCs w:val="18"/>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注：须同时提供合同复印件证明材料加盖公章</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设备详细清单（不含报价）</w:t>
      </w:r>
    </w:p>
    <w:p>
      <w:pPr>
        <w:pStyle w:val="10"/>
        <w:spacing w:after="0" w:line="360" w:lineRule="auto"/>
        <w:ind w:firstLine="48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填表说明：详细列明所投项目主要设备清单，完整配置方案及技术指标，项目的核心产品必须明确所投品牌、规格型号及具体技术指标。任何含糊不清的表述对评标结果的影响将是供应商的责任，可附具体的介绍图文资料。▲以下内容不得含有报价。</w:t>
      </w:r>
    </w:p>
    <w:tbl>
      <w:tblPr>
        <w:tblStyle w:val="29"/>
        <w:tblW w:w="87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277"/>
        <w:gridCol w:w="708"/>
        <w:gridCol w:w="851"/>
        <w:gridCol w:w="1276"/>
        <w:gridCol w:w="992"/>
        <w:gridCol w:w="2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设备名称</w:t>
            </w: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数量</w:t>
            </w: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品牌</w:t>
            </w: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规格型号</w:t>
            </w: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制造商</w:t>
            </w:r>
          </w:p>
        </w:tc>
        <w:tc>
          <w:tcPr>
            <w:tcW w:w="2914" w:type="dxa"/>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制造商是否属于小型企业、微型企业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2914" w:type="dxa"/>
          </w:tcPr>
          <w:p>
            <w:pPr>
              <w:spacing w:line="240" w:lineRule="auto"/>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2914" w:type="dxa"/>
          </w:tcPr>
          <w:p>
            <w:pPr>
              <w:spacing w:line="240" w:lineRule="auto"/>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2914" w:type="dxa"/>
          </w:tcPr>
          <w:p>
            <w:pPr>
              <w:spacing w:line="240" w:lineRule="auto"/>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2914" w:type="dxa"/>
          </w:tcPr>
          <w:p>
            <w:pPr>
              <w:spacing w:line="240" w:lineRule="auto"/>
              <w:ind w:firstLine="0" w:firstLineChars="0"/>
              <w:jc w:val="center"/>
              <w:rPr>
                <w:rFonts w:hint="eastAsia" w:asciiTheme="minorEastAsia" w:hAnsiTheme="minorEastAsia" w:eastAsiaTheme="minorEastAsia" w:cstheme="minorEastAsi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8" w:hRule="atLeast"/>
          <w:jc w:val="center"/>
        </w:trPr>
        <w:tc>
          <w:tcPr>
            <w:tcW w:w="71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277"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708"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851"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1276" w:type="dxa"/>
            <w:vAlign w:val="center"/>
          </w:tcPr>
          <w:p>
            <w:pPr>
              <w:spacing w:line="240" w:lineRule="auto"/>
              <w:ind w:firstLine="0" w:firstLineChars="0"/>
              <w:jc w:val="center"/>
              <w:rPr>
                <w:rFonts w:hint="eastAsia" w:asciiTheme="minorEastAsia" w:hAnsiTheme="minorEastAsia" w:eastAsiaTheme="minorEastAsia" w:cstheme="minorEastAsia"/>
              </w:rPr>
            </w:pPr>
          </w:p>
        </w:tc>
        <w:tc>
          <w:tcPr>
            <w:tcW w:w="992" w:type="dxa"/>
            <w:vAlign w:val="center"/>
          </w:tcPr>
          <w:p>
            <w:pPr>
              <w:spacing w:line="240" w:lineRule="auto"/>
              <w:ind w:firstLine="0" w:firstLineChars="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2914" w:type="dxa"/>
          </w:tcPr>
          <w:p>
            <w:pPr>
              <w:spacing w:line="240" w:lineRule="auto"/>
              <w:ind w:firstLine="0" w:firstLineChars="0"/>
              <w:jc w:val="center"/>
              <w:rPr>
                <w:rFonts w:hint="eastAsia" w:asciiTheme="minorEastAsia" w:hAnsiTheme="minorEastAsia" w:eastAsiaTheme="minorEastAsia" w:cstheme="minorEastAsia"/>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注：1.请对照采购清单序列编制上表，表格行数不够可自行添加。2.若有一项设备制造商为大型企业、中型企业，则无须提供《中小企业声明函》。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项目实施人员一览表</w:t>
      </w:r>
    </w:p>
    <w:tbl>
      <w:tblPr>
        <w:tblStyle w:val="29"/>
        <w:tblW w:w="852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85"/>
        <w:gridCol w:w="1074"/>
        <w:gridCol w:w="970"/>
        <w:gridCol w:w="709"/>
        <w:gridCol w:w="1254"/>
        <w:gridCol w:w="1454"/>
        <w:gridCol w:w="1134"/>
        <w:gridCol w:w="13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85"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107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项目组所任职务</w:t>
            </w:r>
          </w:p>
        </w:tc>
        <w:tc>
          <w:tcPr>
            <w:tcW w:w="970"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姓名</w:t>
            </w:r>
          </w:p>
        </w:tc>
        <w:tc>
          <w:tcPr>
            <w:tcW w:w="709"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职称</w:t>
            </w:r>
          </w:p>
        </w:tc>
        <w:tc>
          <w:tcPr>
            <w:tcW w:w="12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专业技术资格</w:t>
            </w:r>
          </w:p>
        </w:tc>
        <w:tc>
          <w:tcPr>
            <w:tcW w:w="14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专业技术资格证书编号</w:t>
            </w:r>
          </w:p>
        </w:tc>
        <w:tc>
          <w:tcPr>
            <w:tcW w:w="113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从事本工作时间</w:t>
            </w:r>
          </w:p>
        </w:tc>
        <w:tc>
          <w:tcPr>
            <w:tcW w:w="1348"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典型业务</w:t>
            </w:r>
          </w:p>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与技术专长</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85"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1</w:t>
            </w:r>
          </w:p>
        </w:tc>
        <w:tc>
          <w:tcPr>
            <w:tcW w:w="107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2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54" w:type="dxa"/>
            <w:tcBorders>
              <w:top w:val="single" w:color="auto" w:sz="4" w:space="0"/>
              <w:left w:val="single" w:color="auto" w:sz="4" w:space="0"/>
              <w:bottom w:val="single" w:color="auto" w:sz="4" w:space="0"/>
              <w:right w:val="single" w:color="auto" w:sz="4" w:space="0"/>
            </w:tcBorders>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48"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85"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p>
        </w:tc>
        <w:tc>
          <w:tcPr>
            <w:tcW w:w="107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2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54" w:type="dxa"/>
            <w:tcBorders>
              <w:top w:val="single" w:color="auto" w:sz="4" w:space="0"/>
              <w:left w:val="single" w:color="auto" w:sz="4" w:space="0"/>
              <w:bottom w:val="single" w:color="auto" w:sz="4" w:space="0"/>
              <w:right w:val="single" w:color="auto" w:sz="4" w:space="0"/>
            </w:tcBorders>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48"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567" w:hRule="atLeast"/>
        </w:trPr>
        <w:tc>
          <w:tcPr>
            <w:tcW w:w="585"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3</w:t>
            </w:r>
          </w:p>
        </w:tc>
        <w:tc>
          <w:tcPr>
            <w:tcW w:w="107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2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54" w:type="dxa"/>
            <w:tcBorders>
              <w:top w:val="single" w:color="auto" w:sz="4" w:space="0"/>
              <w:left w:val="single" w:color="auto" w:sz="4" w:space="0"/>
              <w:bottom w:val="single" w:color="auto" w:sz="4" w:space="0"/>
              <w:right w:val="single" w:color="auto" w:sz="4" w:space="0"/>
            </w:tcBorders>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48"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85"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4</w:t>
            </w:r>
          </w:p>
        </w:tc>
        <w:tc>
          <w:tcPr>
            <w:tcW w:w="107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25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54" w:type="dxa"/>
            <w:tcBorders>
              <w:top w:val="single" w:color="auto" w:sz="4" w:space="0"/>
              <w:left w:val="single" w:color="auto" w:sz="4" w:space="0"/>
              <w:bottom w:val="single" w:color="auto" w:sz="4" w:space="0"/>
              <w:right w:val="single" w:color="auto" w:sz="4" w:space="0"/>
            </w:tcBorders>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48" w:type="dxa"/>
            <w:tcBorders>
              <w:top w:val="single" w:color="auto" w:sz="4" w:space="0"/>
              <w:left w:val="single" w:color="auto" w:sz="4" w:space="0"/>
              <w:bottom w:val="single" w:color="auto" w:sz="4" w:space="0"/>
              <w:right w:val="single" w:color="auto" w:sz="4" w:space="0"/>
            </w:tcBorders>
            <w:vAlign w:val="center"/>
          </w:tcPr>
          <w:p>
            <w:pPr>
              <w:pStyle w:val="16"/>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585"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w:t>
            </w:r>
          </w:p>
        </w:tc>
        <w:tc>
          <w:tcPr>
            <w:tcW w:w="107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c>
          <w:tcPr>
            <w:tcW w:w="970"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c>
          <w:tcPr>
            <w:tcW w:w="709"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c>
          <w:tcPr>
            <w:tcW w:w="125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c>
          <w:tcPr>
            <w:tcW w:w="1454" w:type="dxa"/>
            <w:tcBorders>
              <w:top w:val="single" w:color="auto" w:sz="4" w:space="0"/>
              <w:left w:val="single" w:color="auto" w:sz="4" w:space="0"/>
              <w:bottom w:val="single" w:color="auto" w:sz="4" w:space="0"/>
              <w:right w:val="single" w:color="auto" w:sz="4" w:space="0"/>
            </w:tcBorders>
          </w:tcPr>
          <w:p>
            <w:pPr>
              <w:spacing w:line="240" w:lineRule="auto"/>
              <w:ind w:firstLine="0" w:firstLineChars="0"/>
              <w:rPr>
                <w:rFonts w:hint="eastAsia" w:asciiTheme="minorEastAsia" w:hAnsiTheme="minorEastAsia" w:eastAsiaTheme="minorEastAsia" w:cstheme="minorEastAsia"/>
                <w:color w:val="000000"/>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c>
          <w:tcPr>
            <w:tcW w:w="1348" w:type="dxa"/>
            <w:tcBorders>
              <w:top w:val="single" w:color="auto" w:sz="4" w:space="0"/>
              <w:left w:val="single" w:color="auto" w:sz="4" w:space="0"/>
              <w:bottom w:val="single" w:color="auto" w:sz="4" w:space="0"/>
              <w:right w:val="single" w:color="auto" w:sz="4" w:space="0"/>
            </w:tcBorders>
            <w:vAlign w:val="center"/>
          </w:tcPr>
          <w:p>
            <w:pPr>
              <w:spacing w:line="240" w:lineRule="auto"/>
              <w:ind w:firstLine="0" w:firstLineChars="0"/>
              <w:rPr>
                <w:rFonts w:hint="eastAsia" w:asciiTheme="minorEastAsia" w:hAnsiTheme="minorEastAsia" w:eastAsiaTheme="minorEastAsia" w:cstheme="minorEastAsia"/>
                <w:color w:val="000000"/>
                <w:szCs w:val="21"/>
              </w:rPr>
            </w:pPr>
          </w:p>
        </w:tc>
      </w:tr>
    </w:tbl>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注：1、“项目实施人员”指投标单位针对该项目的销售、培训、售后服务等完成本项目所配备的人员。2、附各专业人员简历及相关证明材料复印件；3、表格不够填写可添加。</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投入设备一览表</w:t>
      </w:r>
    </w:p>
    <w:tbl>
      <w:tblPr>
        <w:tblStyle w:val="29"/>
        <w:tblW w:w="87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2"/>
        <w:gridCol w:w="1816"/>
        <w:gridCol w:w="1211"/>
        <w:gridCol w:w="1211"/>
        <w:gridCol w:w="679"/>
        <w:gridCol w:w="679"/>
        <w:gridCol w:w="24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181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名称</w:t>
            </w:r>
          </w:p>
        </w:tc>
        <w:tc>
          <w:tcPr>
            <w:tcW w:w="121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品牌</w:t>
            </w:r>
          </w:p>
        </w:tc>
        <w:tc>
          <w:tcPr>
            <w:tcW w:w="121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型号、规格</w:t>
            </w: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单位</w:t>
            </w: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数量</w:t>
            </w:r>
          </w:p>
        </w:tc>
        <w:tc>
          <w:tcPr>
            <w:tcW w:w="2400"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设备性质（自有/租赁）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81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400"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81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400"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75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81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21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67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400"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bl>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pStyle w:val="10"/>
        <w:spacing w:after="0" w:line="360" w:lineRule="auto"/>
        <w:ind w:firstLine="56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pStyle w:val="10"/>
        <w:spacing w:after="0" w:line="360" w:lineRule="auto"/>
        <w:ind w:firstLine="602"/>
        <w:jc w:val="center"/>
        <w:rPr>
          <w:rFonts w:hint="eastAsia" w:asciiTheme="minorEastAsia" w:hAnsiTheme="minorEastAsia" w:eastAsiaTheme="minorEastAsia" w:cstheme="minorEastAsia"/>
          <w:b/>
          <w:bCs/>
          <w:sz w:val="30"/>
          <w:szCs w:val="30"/>
        </w:rPr>
      </w:pPr>
    </w:p>
    <w:p>
      <w:pPr>
        <w:pStyle w:val="10"/>
        <w:spacing w:after="0" w:line="360" w:lineRule="auto"/>
        <w:ind w:firstLine="602"/>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选配件、专用耗材、售后服务优惠表</w:t>
      </w:r>
    </w:p>
    <w:tbl>
      <w:tblPr>
        <w:tblStyle w:val="29"/>
        <w:tblW w:w="852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039"/>
        <w:gridCol w:w="2506"/>
        <w:gridCol w:w="1671"/>
        <w:gridCol w:w="3312"/>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序号</w:t>
            </w:r>
          </w:p>
        </w:tc>
        <w:tc>
          <w:tcPr>
            <w:tcW w:w="250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优惠内容</w:t>
            </w:r>
          </w:p>
        </w:tc>
        <w:tc>
          <w:tcPr>
            <w:tcW w:w="1671"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单价</w:t>
            </w:r>
          </w:p>
        </w:tc>
        <w:tc>
          <w:tcPr>
            <w:tcW w:w="331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比投标报价优惠率</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50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67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331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u w:val="single"/>
              </w:rPr>
              <w:t xml:space="preserve">          </w:t>
            </w:r>
            <w:r>
              <w:rPr>
                <w:rFonts w:hint="eastAsia" w:asciiTheme="minorEastAsia" w:hAnsiTheme="minorEastAsia" w:eastAsiaTheme="minorEastAsia" w:cstheme="minorEastAsia"/>
                <w:color w:val="000000"/>
                <w:sz w:val="21"/>
                <w:szCs w:val="21"/>
              </w:rPr>
              <w:t xml:space="preserve">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50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67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331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50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67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331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cantSplit/>
          <w:trHeight w:val="387" w:hRule="atLeast"/>
          <w:jc w:val="center"/>
        </w:trPr>
        <w:tc>
          <w:tcPr>
            <w:tcW w:w="1039"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2506"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1671" w:type="dxa"/>
          </w:tcPr>
          <w:p>
            <w:pPr>
              <w:pStyle w:val="70"/>
              <w:spacing w:line="360" w:lineRule="auto"/>
              <w:jc w:val="center"/>
              <w:rPr>
                <w:rFonts w:hint="eastAsia" w:asciiTheme="minorEastAsia" w:hAnsiTheme="minorEastAsia" w:eastAsiaTheme="minorEastAsia" w:cstheme="minorEastAsia"/>
                <w:color w:val="000000"/>
                <w:sz w:val="21"/>
                <w:szCs w:val="21"/>
              </w:rPr>
            </w:pPr>
          </w:p>
        </w:tc>
        <w:tc>
          <w:tcPr>
            <w:tcW w:w="3312" w:type="dxa"/>
            <w:vAlign w:val="center"/>
          </w:tcPr>
          <w:p>
            <w:pPr>
              <w:pStyle w:val="70"/>
              <w:spacing w:line="360" w:lineRule="auto"/>
              <w:jc w:val="center"/>
              <w:rPr>
                <w:rFonts w:hint="eastAsia" w:asciiTheme="minorEastAsia" w:hAnsiTheme="minorEastAsia" w:eastAsiaTheme="minorEastAsia" w:cstheme="minorEastAsia"/>
                <w:color w:val="000000"/>
                <w:sz w:val="21"/>
                <w:szCs w:val="21"/>
              </w:rPr>
            </w:pPr>
          </w:p>
        </w:tc>
      </w:tr>
    </w:tbl>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pStyle w:val="37"/>
        <w:rPr>
          <w:rFonts w:hint="eastAsia"/>
        </w:rPr>
      </w:pPr>
    </w:p>
    <w:p>
      <w:pPr>
        <w:ind w:firstLine="602"/>
        <w:jc w:val="center"/>
        <w:rPr>
          <w:rFonts w:hint="eastAsia" w:asciiTheme="minorEastAsia" w:hAnsiTheme="minorEastAsia" w:eastAsiaTheme="minorEastAsia" w:cstheme="minorEastAsia"/>
          <w:b/>
          <w:bCs/>
          <w:sz w:val="30"/>
          <w:szCs w:val="30"/>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诚信承诺函</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我单位参与</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政府采购活动，郑重承诺：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1.我方申报的所有资料都是真实、准确、完整的；</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2.我方无资质挂靠情形，保证不参与串标、围标及抬标；</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3.我方未处于被各级行政主管部门做出停止市场行为处罚的期限内；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4.我方参加本项目政府采购活动前3年内在经营活动中没有受到行政处罚、行政处理(含通报)，未被记入不良行为，没有重大违法记录；</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5.若我方中标，将严格按照规定及时与采购人签订合同；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6.若我方中标，将严格按照招标文件要求及投标文件承诺的报价、质量、工期、投标方案、项目负责人等内容组织实施；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我方若违反上述承诺，隐瞒、提供虚假资料或不按招标文件要求组织实施或参与串标、抬标及围标等行为，被贵方发现或被他人举报查实，无条件接受采购人、行政监管部门作出的取消投标资格、中标资格、解除合同、拒绝后续政府采购投标、不良行为记录等的处罚。对造成的损失，任何法律和经济责任完全由我方负责。</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特此承诺。</w:t>
      </w:r>
    </w:p>
    <w:p>
      <w:pPr>
        <w:ind w:firstLine="602"/>
        <w:jc w:val="center"/>
        <w:rPr>
          <w:rFonts w:hint="eastAsia" w:asciiTheme="minorEastAsia" w:hAnsiTheme="minorEastAsia" w:eastAsiaTheme="minorEastAsia" w:cstheme="minorEastAsia"/>
          <w:b/>
          <w:bCs/>
          <w:sz w:val="30"/>
          <w:szCs w:val="30"/>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602"/>
        <w:jc w:val="center"/>
        <w:rPr>
          <w:rFonts w:hint="eastAsia" w:asciiTheme="minorEastAsia" w:hAnsiTheme="minorEastAsia" w:eastAsiaTheme="minorEastAsia" w:cstheme="minorEastAsia"/>
          <w:b/>
          <w:bCs/>
          <w:sz w:val="30"/>
          <w:szCs w:val="30"/>
        </w:rPr>
      </w:pPr>
    </w:p>
    <w:p>
      <w:pPr>
        <w:ind w:firstLine="602"/>
        <w:jc w:val="center"/>
        <w:rPr>
          <w:rFonts w:hint="eastAsia" w:asciiTheme="minorEastAsia" w:hAnsiTheme="minorEastAsia" w:eastAsiaTheme="minorEastAsia" w:cstheme="minorEastAsia"/>
          <w:b/>
          <w:bCs/>
          <w:sz w:val="30"/>
          <w:szCs w:val="30"/>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廉洁承诺书</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致</w:t>
      </w:r>
      <w:r>
        <w:rPr>
          <w:rFonts w:hint="eastAsia" w:asciiTheme="minorEastAsia" w:hAnsiTheme="minorEastAsia" w:eastAsiaTheme="minorEastAsia" w:cstheme="minorEastAsia"/>
          <w:u w:val="single"/>
        </w:rPr>
        <w:t>（采购人）、（采购代理机构）</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我单位参与</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政府采购活动，郑重承诺：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一、不以任何形式向采购人工作人员及其亲属、特定关系人（以下简称采购人相关人员）进行行贿，包括但不限于：</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1.送礼金、回扣、有价证券、支付凭证和礼品等；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2.支付给采购人相关人员以咨询费、劳务费等名义索要的各种费用，报销应由采购人相关人员承担的费用；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3.为采购人相关人员提供挂名工资、红包、佣金报酬、公款旅游和高消费健身、娱乐、宴请等活动；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4.在合同签订、验收、付款等履行环节为获得便利向任何个人支付任何合同约定外的费用；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5.擅自与采购人相关人员就合同有关的工作问题进行私下协商或者达成默契；</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6.为采购人相关人员的婚丧嫁取、家属和亲友的工作安排及出国出境提供方便；</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7.为采购人相关人员购买、建造、装修、维修私人住宅；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8.其他贿赂采购人相关人员及损害采购人利益的行为。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我单位若发现采购人工作人员在业务活动中有违反本《廉洁承诺书》的行为，我单位将予以拒绝并要求采购人工作人员予以纠正。对于无法拒绝或采购人工作人员不予纠正的，我单位将及时向采购人纪委举报。若采购人纪委按照有关规定，向我单位有关人员进行询问、调查，我单位有关人员将予以协助，并如实及时提供相关线索、证据和资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三、若我单位有关人员违反本《廉洁承诺书》，我单位愿接受采购人责令整改、赔偿损失、暂停业务往来、取消业务往来、纳入黑名单等处理。</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四、本承诺书是本次业务活动的合同文件之一，有独立的法律效力，其他合同或文件的内容与本承诺内容只可互补不可替代，即使其他合同或文件解除、终止、撤销、变更或无效，也不影响本承诺书的效力。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五、本承诺书系我单位在自愿、诚信基础上，真实意思的表达，对此确认无误，绝无异议。同时确认，本承诺书一经签字/盖章即生效，且不可撤销或更改。</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劳动用工书面承诺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如我公司在本次招投标中标后成为中标供应商，我公司将严格遵守《民法典》及《劳动合同法》的相关规定，按招标文件的要求及我公司投标文件配置服务人员，按国家规定为员工缴纳社会保险，员工的工资标准不低于嘉兴市最低工资标准，并将所有条款写入劳动用工合同。</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特此承诺。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723"/>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报价文件部分</w:t>
      </w:r>
    </w:p>
    <w:p>
      <w:pPr>
        <w:ind w:firstLine="723"/>
        <w:jc w:val="center"/>
        <w:rPr>
          <w:rFonts w:hint="eastAsia" w:asciiTheme="minorEastAsia" w:hAnsiTheme="minorEastAsia" w:eastAsiaTheme="minorEastAsia" w:cstheme="minorEastAsia"/>
          <w:b/>
          <w:bCs/>
          <w:sz w:val="36"/>
          <w:szCs w:val="36"/>
        </w:rPr>
      </w:pPr>
      <w:r>
        <w:rPr>
          <w:rFonts w:hint="eastAsia" w:asciiTheme="minorEastAsia" w:hAnsiTheme="minorEastAsia" w:eastAsiaTheme="minorEastAsia" w:cstheme="minorEastAsia"/>
          <w:b/>
          <w:bCs/>
          <w:sz w:val="36"/>
          <w:szCs w:val="36"/>
        </w:rPr>
        <w:t>目录</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（1）开标一览表（报价表）………………………………………………（页码）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（2）报价情况说明（如果有）……………………………………………（页码）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（3）中小企业声明函………………………………………………………（页码）</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t>（4）关于符合本国产品标准的声明函或有关证明文件（如果有）……（页码）</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b/>
          <w:bCs/>
          <w:sz w:val="30"/>
          <w:szCs w:val="30"/>
        </w:rPr>
        <w:t>一、开标一览表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项目编号：</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金额单位：人民币</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（元）</w:t>
      </w:r>
    </w:p>
    <w:p>
      <w:pPr>
        <w:ind w:firstLine="482"/>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开标一览表（报价表）（单位均为人民币元）</w:t>
      </w:r>
    </w:p>
    <w:tbl>
      <w:tblPr>
        <w:tblStyle w:val="29"/>
        <w:tblW w:w="760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150"/>
        <w:gridCol w:w="783"/>
        <w:gridCol w:w="1349"/>
        <w:gridCol w:w="1479"/>
        <w:gridCol w:w="869"/>
        <w:gridCol w:w="130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6"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序号</w:t>
            </w:r>
          </w:p>
        </w:tc>
        <w:tc>
          <w:tcPr>
            <w:tcW w:w="115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设备名称</w:t>
            </w:r>
          </w:p>
        </w:tc>
        <w:tc>
          <w:tcPr>
            <w:tcW w:w="78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数量</w:t>
            </w:r>
          </w:p>
        </w:tc>
        <w:tc>
          <w:tcPr>
            <w:tcW w:w="134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品牌及厂家</w:t>
            </w: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规格型号</w:t>
            </w:r>
          </w:p>
        </w:tc>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单价</w:t>
            </w: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sz w:val="21"/>
                <w:szCs w:val="21"/>
              </w:rPr>
              <w:t>投标报价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9"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78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134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2"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78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134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3"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pPr>
              <w:pStyle w:val="85"/>
              <w:tabs>
                <w:tab w:val="left" w:pos="420"/>
              </w:tabs>
              <w:snapToGrid w:val="0"/>
              <w:spacing w:line="240" w:lineRule="auto"/>
              <w:ind w:firstLine="0" w:firstLineChars="0"/>
              <w:rPr>
                <w:rFonts w:hint="eastAsia" w:asciiTheme="minorEastAsia" w:hAnsiTheme="minorEastAsia" w:eastAsiaTheme="minorEastAsia" w:cstheme="minorEastAsia"/>
                <w:color w:val="000000"/>
                <w:spacing w:val="0"/>
                <w:kern w:val="2"/>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78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134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pPr>
              <w:widowControl/>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150"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783"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bCs/>
                <w:color w:val="000000"/>
                <w:sz w:val="21"/>
                <w:szCs w:val="21"/>
              </w:rPr>
            </w:pPr>
          </w:p>
        </w:tc>
        <w:tc>
          <w:tcPr>
            <w:tcW w:w="134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47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86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6300" w:type="dxa"/>
            <w:gridSpan w:val="6"/>
            <w:tcBorders>
              <w:top w:val="single" w:color="auto" w:sz="4" w:space="0"/>
              <w:left w:val="single" w:color="auto" w:sz="4" w:space="0"/>
              <w:bottom w:val="single" w:color="auto" w:sz="4" w:space="0"/>
              <w:right w:val="single" w:color="auto" w:sz="4" w:space="0"/>
            </w:tcBorders>
            <w:vAlign w:val="center"/>
          </w:tcPr>
          <w:p>
            <w:pPr>
              <w:tabs>
                <w:tab w:val="left" w:pos="1126"/>
              </w:tabs>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pacing w:val="20"/>
                <w:sz w:val="21"/>
                <w:szCs w:val="21"/>
              </w:rPr>
              <w:t>投标总价（大写）</w:t>
            </w:r>
          </w:p>
        </w:tc>
        <w:tc>
          <w:tcPr>
            <w:tcW w:w="1309" w:type="dxa"/>
            <w:tcBorders>
              <w:top w:val="single" w:color="auto" w:sz="4" w:space="0"/>
              <w:left w:val="single" w:color="auto" w:sz="4" w:space="0"/>
              <w:bottom w:val="single" w:color="auto" w:sz="4" w:space="0"/>
              <w:right w:val="single" w:color="auto" w:sz="4" w:space="0"/>
            </w:tcBorders>
            <w:vAlign w:val="center"/>
          </w:tcPr>
          <w:p>
            <w:pPr>
              <w:snapToGrid w:val="0"/>
              <w:spacing w:line="240" w:lineRule="auto"/>
              <w:ind w:firstLine="0" w:firstLineChars="0"/>
              <w:jc w:val="center"/>
              <w:rPr>
                <w:rFonts w:hint="eastAsia" w:asciiTheme="minorEastAsia" w:hAnsiTheme="minorEastAsia" w:eastAsiaTheme="minorEastAsia" w:cstheme="minorEastAsia"/>
                <w:color w:val="000000"/>
                <w:sz w:val="21"/>
                <w:szCs w:val="21"/>
              </w:rPr>
            </w:pPr>
          </w:p>
        </w:tc>
      </w:tr>
    </w:tbl>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 xml:space="preserve">注: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1、供应商需按本表格式填写，不得自行更改。</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2、有关本项目实施所涉及的一切费用均计入报价。</w:t>
      </w:r>
      <w:r>
        <w:rPr>
          <w:rFonts w:hint="eastAsia" w:asciiTheme="minorEastAsia" w:hAnsiTheme="minorEastAsia" w:eastAsiaTheme="minorEastAsia" w:cstheme="minorEastAsia"/>
          <w:b/>
          <w:bCs/>
        </w:rPr>
        <w:t>采购人将以合同形式有偿取得货物或服务，不接受供应商给予的赠品、回扣或者与采购无关的其他商品、服务，不得出现“0元”“免费赠送”等形式的无偿报价，否则视为投标文件含有采购人不能接受的附加条件的，投标无效。</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3、以上表格要求细分项目及报价，在“规格型号（或具体服务）”一栏中，货物类项目填写规格型号，服务类项目填写具体服务。</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4、特别提示：采购代理机构将对项目名称和项目编号，中标供应商名称、地址和中标金额，主要中标标的的名称、规格型号、数量、单价、服务要求等予以公示。</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5、符合招标文件中列明的可享受中小企业扶持政策的供应商，请填写中小企业声明函。注：供应商提供的中小企业声明函内容不实的，属于提供虚假材料谋取中标、成交，依照《中华人民共和国政府采购法》等国家有关规定追究相应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br w:type="page"/>
      </w:r>
      <w:r>
        <w:rPr>
          <w:rFonts w:hint="eastAsia" w:asciiTheme="minorEastAsia" w:hAnsiTheme="minorEastAsia" w:eastAsiaTheme="minorEastAsia" w:cstheme="minorEastAsia"/>
          <w:b/>
          <w:bCs/>
          <w:sz w:val="30"/>
          <w:szCs w:val="30"/>
        </w:rPr>
        <w:t>二、报价情况说明（如果有）</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【投标（响应）报价低于采购项目最高限价45%的，即投标（响应）报价&lt;采购项目最高限价×45%；供应商应当随投标文件一并提交相关书面说明及必要的证明材料，如不提供的，投标无效。格式自拟。】</w:t>
      </w:r>
    </w:p>
    <w:p>
      <w:pPr>
        <w:ind w:firstLine="482"/>
        <w:rPr>
          <w:rFonts w:hint="eastAsia" w:asciiTheme="minorEastAsia" w:hAnsiTheme="minorEastAsia" w:eastAsiaTheme="minorEastAsia" w:cstheme="minorEastAsia"/>
          <w:b/>
          <w:bCs/>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三、中小企业声明函</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招标公告落实政府采购政策需满足的资格要求为“无”即本项目或标项未预留份额专门面向中小企业时，符合《政府采购促进中小企业发展管理办法》规定的小微企业拟享受价格扣除政策的，需提供中小企业声明函。】</w:t>
      </w: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480"/>
        <w:rPr>
          <w:rFonts w:hint="eastAsia" w:asciiTheme="minorEastAsia" w:hAnsiTheme="minorEastAsia" w:eastAsiaTheme="minorEastAsia" w:cstheme="minorEastAsia"/>
        </w:rPr>
      </w:pPr>
    </w:p>
    <w:p>
      <w:pPr>
        <w:ind w:firstLine="0" w:firstLineChars="0"/>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四、关于符合本国产品标准的声明函或有关证明文件（如果有）</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lang w:val="zh-CN"/>
        </w:rPr>
        <w:t>（符合《国务院办公厅关于在政府采购中实施本国产品标准及相关政策的通知》</w:t>
      </w:r>
      <w:r>
        <w:rPr>
          <w:rFonts w:hint="eastAsia" w:asciiTheme="minorEastAsia" w:hAnsiTheme="minorEastAsia" w:eastAsiaTheme="minorEastAsia" w:cstheme="minorEastAsia"/>
          <w:b/>
          <w:bCs/>
        </w:rPr>
        <w:t>要求</w:t>
      </w:r>
      <w:r>
        <w:rPr>
          <w:rFonts w:hint="eastAsia" w:asciiTheme="minorEastAsia" w:hAnsiTheme="minorEastAsia" w:eastAsiaTheme="minorEastAsia" w:cstheme="minorEastAsia"/>
          <w:b/>
          <w:bCs/>
          <w:lang w:val="zh-CN"/>
        </w:rPr>
        <w:t>的</w:t>
      </w:r>
      <w:r>
        <w:rPr>
          <w:rFonts w:hint="eastAsia" w:asciiTheme="minorEastAsia" w:hAnsiTheme="minorEastAsia" w:eastAsiaTheme="minorEastAsia" w:cstheme="minorEastAsia"/>
          <w:b/>
          <w:bCs/>
        </w:rPr>
        <w:t>本国产品</w:t>
      </w:r>
      <w:r>
        <w:rPr>
          <w:rFonts w:hint="eastAsia" w:asciiTheme="minorEastAsia" w:hAnsiTheme="minorEastAsia" w:eastAsiaTheme="minorEastAsia" w:cstheme="minorEastAsia"/>
          <w:b/>
          <w:bCs/>
          <w:lang w:val="zh-CN"/>
        </w:rPr>
        <w:t>，</w:t>
      </w:r>
      <w:r>
        <w:rPr>
          <w:rFonts w:hint="eastAsia" w:asciiTheme="minorEastAsia" w:hAnsiTheme="minorEastAsia" w:eastAsiaTheme="minorEastAsia" w:cstheme="minorEastAsia"/>
          <w:b/>
          <w:bCs/>
        </w:rPr>
        <w:t>拟享受价格扣除政策的，需提供</w:t>
      </w:r>
      <w:r>
        <w:rPr>
          <w:rFonts w:hint="eastAsia" w:asciiTheme="minorEastAsia" w:hAnsiTheme="minorEastAsia" w:eastAsiaTheme="minorEastAsia" w:cstheme="minorEastAsia"/>
          <w:b/>
          <w:bCs/>
          <w:lang w:val="zh-CN"/>
        </w:rPr>
        <w:t>《关于符合本国产品标准的声明函》(附件</w:t>
      </w:r>
      <w:r>
        <w:rPr>
          <w:rFonts w:hint="eastAsia" w:asciiTheme="minorEastAsia" w:hAnsiTheme="minorEastAsia" w:eastAsiaTheme="minorEastAsia" w:cstheme="minorEastAsia"/>
          <w:b/>
          <w:bCs/>
        </w:rPr>
        <w:t>5</w:t>
      </w:r>
      <w:r>
        <w:rPr>
          <w:rFonts w:hint="eastAsia" w:asciiTheme="minorEastAsia" w:hAnsiTheme="minorEastAsia" w:eastAsiaTheme="minorEastAsia" w:cstheme="minorEastAsia"/>
          <w:b/>
          <w:bCs/>
          <w:lang w:val="zh-CN"/>
        </w:rPr>
        <w:t>)或有关证明文件。）</w:t>
      </w:r>
    </w:p>
    <w:p>
      <w:pPr>
        <w:widowControl/>
        <w:adjustRightInd w:val="0"/>
        <w:ind w:firstLine="160" w:firstLineChars="50"/>
        <w:jc w:val="center"/>
        <w:rPr>
          <w:rFonts w:hint="eastAsia" w:asciiTheme="minorEastAsia" w:hAnsiTheme="minorEastAsia" w:eastAsiaTheme="minorEastAsia" w:cstheme="minorEastAsia"/>
          <w:b/>
          <w:bCs/>
          <w:sz w:val="32"/>
          <w:szCs w:val="32"/>
          <w:highlight w:val="yellow"/>
        </w:rPr>
      </w:pPr>
    </w:p>
    <w:p>
      <w:pPr>
        <w:ind w:firstLine="480"/>
        <w:rPr>
          <w:rFonts w:hint="eastAsia" w:asciiTheme="minorEastAsia" w:hAnsiTheme="minorEastAsia" w:eastAsiaTheme="minorEastAsia" w:cstheme="minorEastAsia"/>
        </w:rPr>
      </w:pPr>
    </w:p>
    <w:p>
      <w:pPr>
        <w:pStyle w:val="3"/>
        <w:suppressAutoHyphens/>
        <w:snapToGrid w:val="0"/>
        <w:spacing w:line="300" w:lineRule="auto"/>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sz w:val="48"/>
          <w:szCs w:val="48"/>
        </w:rPr>
        <w:t>附件</w:t>
      </w:r>
    </w:p>
    <w:p>
      <w:pPr>
        <w:ind w:firstLine="0" w:firstLineChars="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附件1：</w:t>
      </w: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中小企业声明函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本公司郑重声明，根据《政府采购促进中小企业发展管理办法》（财库〔2020〕46 号）的规定，本公司参加</w:t>
      </w:r>
      <w:r>
        <w:rPr>
          <w:rFonts w:hint="eastAsia" w:asciiTheme="minorEastAsia" w:hAnsiTheme="minorEastAsia" w:eastAsiaTheme="minorEastAsia" w:cstheme="minorEastAsia"/>
          <w:u w:val="single"/>
        </w:rPr>
        <w:t>（单位名称）的（项目名称）</w:t>
      </w:r>
      <w:r>
        <w:rPr>
          <w:rFonts w:hint="eastAsia" w:asciiTheme="minorEastAsia" w:hAnsiTheme="minorEastAsia" w:eastAsiaTheme="minorEastAsia" w:cstheme="minorEastAsia"/>
        </w:rPr>
        <w:t>采购活动，提供的货物全部由符合政策要求的中小企业制造。相关企业的具体情况如下：</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r>
        <w:rPr>
          <w:rFonts w:hint="eastAsia" w:asciiTheme="minorEastAsia" w:hAnsiTheme="minorEastAsia" w:eastAsiaTheme="minorEastAsia" w:cstheme="minorEastAsia"/>
          <w:u w:val="single"/>
        </w:rPr>
        <w:t>（标的名称）</w:t>
      </w:r>
      <w:r>
        <w:rPr>
          <w:rFonts w:hint="eastAsia" w:asciiTheme="minorEastAsia" w:hAnsiTheme="minorEastAsia" w:eastAsiaTheme="minorEastAsia" w:cstheme="minorEastAsia"/>
        </w:rPr>
        <w:t>，属于</w:t>
      </w:r>
      <w:r>
        <w:rPr>
          <w:rFonts w:hint="eastAsia" w:asciiTheme="minorEastAsia" w:hAnsiTheme="minorEastAsia" w:eastAsiaTheme="minorEastAsia" w:cstheme="minorEastAsia"/>
          <w:u w:val="single"/>
        </w:rPr>
        <w:t>（招标文件中明确所属行业）</w:t>
      </w:r>
      <w:r>
        <w:rPr>
          <w:rFonts w:hint="eastAsia" w:asciiTheme="minorEastAsia" w:hAnsiTheme="minorEastAsia" w:eastAsiaTheme="minorEastAsia" w:cstheme="minorEastAsia"/>
        </w:rPr>
        <w:t>制造商为</w:t>
      </w:r>
      <w:r>
        <w:rPr>
          <w:rFonts w:hint="eastAsia" w:asciiTheme="minorEastAsia" w:hAnsiTheme="minorEastAsia" w:eastAsiaTheme="minorEastAsia" w:cstheme="minorEastAsia"/>
          <w:u w:val="single"/>
        </w:rPr>
        <w:t>（企业名称）</w:t>
      </w:r>
      <w:r>
        <w:rPr>
          <w:rFonts w:hint="eastAsia" w:asciiTheme="minorEastAsia" w:hAnsiTheme="minorEastAsia" w:eastAsiaTheme="minorEastAsia" w:cstheme="minorEastAsia"/>
        </w:rPr>
        <w:t>从业人员</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人，营业收入为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万元，资产总额为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万元，属于（</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中型企业</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小型企业</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微型企业</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r>
        <w:rPr>
          <w:rFonts w:hint="eastAsia" w:asciiTheme="minorEastAsia" w:hAnsiTheme="minorEastAsia" w:eastAsiaTheme="minorEastAsia" w:cstheme="minorEastAsia"/>
          <w:u w:val="single"/>
        </w:rPr>
        <w:t>（标的名称）</w:t>
      </w:r>
      <w:r>
        <w:rPr>
          <w:rFonts w:hint="eastAsia" w:asciiTheme="minorEastAsia" w:hAnsiTheme="minorEastAsia" w:eastAsiaTheme="minorEastAsia" w:cstheme="minorEastAsia"/>
        </w:rPr>
        <w:t>，属于</w:t>
      </w:r>
      <w:r>
        <w:rPr>
          <w:rFonts w:hint="eastAsia" w:asciiTheme="minorEastAsia" w:hAnsiTheme="minorEastAsia" w:eastAsiaTheme="minorEastAsia" w:cstheme="minorEastAsia"/>
          <w:u w:val="single"/>
        </w:rPr>
        <w:t>（招标文件中明确所属行业）</w:t>
      </w:r>
      <w:r>
        <w:rPr>
          <w:rFonts w:hint="eastAsia" w:asciiTheme="minorEastAsia" w:hAnsiTheme="minorEastAsia" w:eastAsiaTheme="minorEastAsia" w:cstheme="minorEastAsia"/>
        </w:rPr>
        <w:t>制造商为</w:t>
      </w:r>
      <w:r>
        <w:rPr>
          <w:rFonts w:hint="eastAsia" w:asciiTheme="minorEastAsia" w:hAnsiTheme="minorEastAsia" w:eastAsiaTheme="minorEastAsia" w:cstheme="minorEastAsia"/>
          <w:u w:val="single"/>
        </w:rPr>
        <w:t>（企业名称）</w:t>
      </w:r>
      <w:r>
        <w:rPr>
          <w:rFonts w:hint="eastAsia" w:asciiTheme="minorEastAsia" w:hAnsiTheme="minorEastAsia" w:eastAsiaTheme="minorEastAsia" w:cstheme="minorEastAsia"/>
        </w:rPr>
        <w:t>从业人员</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人，营业收入为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万元，资产总额为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u w:val="single"/>
        </w:rPr>
        <w:tab/>
      </w:r>
      <w:r>
        <w:rPr>
          <w:rFonts w:hint="eastAsia" w:asciiTheme="minorEastAsia" w:hAnsiTheme="minorEastAsia" w:eastAsiaTheme="minorEastAsia" w:cstheme="minorEastAsia"/>
        </w:rPr>
        <w:t>万元，属于（</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中型企业</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小型企业</w:t>
      </w:r>
      <w:r>
        <w:rPr>
          <w:rFonts w:hint="eastAsia" w:asciiTheme="minorEastAsia" w:hAnsiTheme="minorEastAsia" w:eastAsiaTheme="minorEastAsia" w:cstheme="minorEastAsia"/>
        </w:rPr>
        <w:t>、</w:t>
      </w:r>
      <w:r>
        <w:rPr>
          <w:rFonts w:hint="eastAsia" w:asciiTheme="minorEastAsia" w:hAnsiTheme="minorEastAsia" w:eastAsiaTheme="minorEastAsia" w:cstheme="minorEastAsia"/>
        </w:rPr>
        <w:sym w:font="Wingdings" w:char="00A8"/>
      </w:r>
      <w:r>
        <w:rPr>
          <w:rFonts w:hint="eastAsia" w:asciiTheme="minorEastAsia" w:hAnsiTheme="minorEastAsia" w:eastAsiaTheme="minorEastAsia" w:cstheme="minorEastAsia"/>
          <w:u w:val="single"/>
        </w:rPr>
        <w:t>微型企业</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以上企业，不属于大企业的分支机构，不存在控股股东为大企业的情形，也不存在与大企业的负责人为同一人的情形。</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本企业对上述声明内容的真实性负责。如有虚假，将依法承担相应责任。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2"/>
        <w:rPr>
          <w:rFonts w:hint="eastAsia" w:asciiTheme="minorEastAsia" w:hAnsiTheme="minorEastAsia" w:eastAsiaTheme="minorEastAsia" w:cstheme="minorEastAsia"/>
          <w:b/>
          <w:bCs/>
        </w:rPr>
      </w:pPr>
    </w:p>
    <w:p>
      <w:pPr>
        <w:ind w:firstLine="482"/>
        <w:rPr>
          <w:rFonts w:hint="eastAsia" w:asciiTheme="minorEastAsia" w:hAnsiTheme="minorEastAsia" w:eastAsiaTheme="minorEastAsia" w:cstheme="minorEastAsia"/>
          <w:b/>
          <w:bCs/>
        </w:rPr>
      </w:pPr>
    </w:p>
    <w:p>
      <w:pPr>
        <w:ind w:firstLine="482"/>
        <w:rPr>
          <w:rFonts w:hint="eastAsia" w:asciiTheme="minorEastAsia" w:hAnsiTheme="minorEastAsia" w:eastAsiaTheme="minorEastAsia" w:cstheme="minorEastAsia"/>
          <w:b/>
          <w:bCs/>
        </w:rPr>
      </w:pP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填写要求：①“标的名称”、“采购文件中明确的所属行业”依据招标文件第三章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符合《关于促进残疾人就业政府采购政策的通知》（财库〔2017〕141号）规定的条件并提供《残疾人福利性单位声明函》附件4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3.根据实际情况，在（中型企业、小型企业、微型企业）处进行勾选。</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4.联合体投标的，由联合体牵头方提供本表。</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sz w:val="36"/>
          <w:szCs w:val="36"/>
        </w:rPr>
        <w:t>附件2：</w:t>
      </w: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联合协议</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【以联合体形式投标的，提供联合协议；本项目不接受联合体投标或者供应商不以联合体形式投标的，则不需要提供）】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u w:val="single"/>
        </w:rPr>
        <w:t>（联合体所有成员名称）</w:t>
      </w:r>
      <w:r>
        <w:rPr>
          <w:rFonts w:hint="eastAsia" w:asciiTheme="minorEastAsia" w:hAnsiTheme="minorEastAsia" w:eastAsiaTheme="minorEastAsia" w:cstheme="minorEastAsia"/>
        </w:rPr>
        <w:t>自愿组成一个联合体，以一个供应商的身份参加</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 xml:space="preserve">投标。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一、各方一致决定，</w:t>
      </w:r>
      <w:r>
        <w:rPr>
          <w:rFonts w:hint="eastAsia" w:asciiTheme="minorEastAsia" w:hAnsiTheme="minorEastAsia" w:eastAsiaTheme="minorEastAsia" w:cstheme="minorEastAsia"/>
          <w:u w:val="single"/>
        </w:rPr>
        <w:t>（某联合体成员名称）</w:t>
      </w:r>
      <w:r>
        <w:rPr>
          <w:rFonts w:hint="eastAsia" w:asciiTheme="minorEastAsia" w:hAnsiTheme="minorEastAsia" w:eastAsiaTheme="minorEastAsia" w:cstheme="minorEastAsia"/>
        </w:rPr>
        <w:t>为联合体牵头人，代表所有联合体成员负责投标和合同实施阶段的主办、协调工作。</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二、所有联合体成员各方签署授权书，授权书载明的授权代表根据招标文件规定及投标内容而对采购人、采购代理机构所作的任何合法承诺，包括书面澄清及相应等均对联合投标各方产生约束力。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三、本次联合投标中，分工如下：</w:t>
      </w:r>
      <w:r>
        <w:rPr>
          <w:rFonts w:hint="eastAsia" w:asciiTheme="minorEastAsia" w:hAnsiTheme="minorEastAsia" w:eastAsiaTheme="minorEastAsia" w:cstheme="minorEastAsia"/>
          <w:u w:val="single"/>
        </w:rPr>
        <w:t>（联合体其中一方成员名称）</w:t>
      </w:r>
      <w:r>
        <w:rPr>
          <w:rFonts w:hint="eastAsia" w:asciiTheme="minorEastAsia" w:hAnsiTheme="minorEastAsia" w:eastAsiaTheme="minorEastAsia" w:cstheme="minorEastAsia"/>
        </w:rPr>
        <w:t>承担的工作和义务为：</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四、</w:t>
      </w:r>
      <w:r>
        <w:rPr>
          <w:rFonts w:hint="eastAsia" w:asciiTheme="minorEastAsia" w:hAnsiTheme="minorEastAsia" w:eastAsiaTheme="minorEastAsia" w:cstheme="minorEastAsia"/>
          <w:u w:val="single"/>
        </w:rPr>
        <w:t>（联合体其中一方成员名称）</w:t>
      </w:r>
      <w:r>
        <w:rPr>
          <w:rFonts w:hint="eastAsia" w:asciiTheme="minorEastAsia" w:hAnsiTheme="minorEastAsia" w:eastAsiaTheme="minorEastAsia" w:cstheme="minorEastAsia"/>
        </w:rPr>
        <w:t>提供的全部货物或服务均由中小企业制造或承接，其合同份额占到合同总金额</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%以上；……。</w:t>
      </w:r>
      <w:r>
        <w:rPr>
          <w:rFonts w:hint="eastAsia" w:asciiTheme="minorEastAsia" w:hAnsiTheme="minorEastAsia" w:eastAsiaTheme="minorEastAsia" w:cstheme="minorEastAsia"/>
          <w:b/>
          <w:bCs/>
        </w:rPr>
        <w:t>（未预留份额专门面向中小企业采购的的采购项目，以及预留份额中的非预留部分采购包，接受联合体投标的，联合协议约定小微企业的合同份额占到合同总金额30%以上的，对联合体报价给予6%的扣除）</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五、如果中标，联合体各成员方共同与采购人签订合同，并就采购合同约定的事项对采购人承担连带责任。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六、有关本次联合投标的其他事宜：</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1、联合体各方不再单独参加或者与其他供应商另外组成联合体参加同一合同项下的政府采购活动。</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2、联合体中有同类资质的各方按照联合体分工承担相同工作的，按照资质等级较低的供应商确定资质等级。</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3、本协议提交采购人、采购代理机构后，联合体各方不得以任何形式对上述内容进行修改或撤销。</w:t>
      </w: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联合体成员名称(公章)：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sz w:val="36"/>
          <w:szCs w:val="36"/>
        </w:rPr>
        <w:t>附件3：</w:t>
      </w: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分包意向协议</w:t>
      </w:r>
    </w:p>
    <w:p>
      <w:pPr>
        <w:ind w:firstLine="482"/>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（中标后以分包方式履行合同的，提供分包意向协议；采购人不同意分包或者供应商中标后不以分包方式履行合同的，则不需要提供。）</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u w:val="single"/>
        </w:rPr>
        <w:t>（供应商名称）</w:t>
      </w:r>
      <w:r>
        <w:rPr>
          <w:rFonts w:hint="eastAsia" w:asciiTheme="minorEastAsia" w:hAnsiTheme="minorEastAsia" w:eastAsiaTheme="minorEastAsia" w:cstheme="minorEastAsia"/>
        </w:rPr>
        <w:t>若成为</w:t>
      </w:r>
      <w:r>
        <w:rPr>
          <w:rFonts w:hint="eastAsia" w:asciiTheme="minorEastAsia" w:hAnsiTheme="minorEastAsia" w:eastAsiaTheme="minorEastAsia" w:cstheme="minorEastAsia"/>
          <w:u w:val="single"/>
        </w:rPr>
        <w:t>（项目名称）【项目编号】</w:t>
      </w:r>
      <w:r>
        <w:rPr>
          <w:rFonts w:hint="eastAsia" w:asciiTheme="minorEastAsia" w:hAnsiTheme="minorEastAsia" w:eastAsiaTheme="minorEastAsia" w:cstheme="minorEastAsia"/>
        </w:rPr>
        <w:t>的中标供应商，将依法采取分包方式履行合同。</w:t>
      </w:r>
      <w:r>
        <w:rPr>
          <w:rFonts w:hint="eastAsia" w:asciiTheme="minorEastAsia" w:hAnsiTheme="minorEastAsia" w:eastAsiaTheme="minorEastAsia" w:cstheme="minorEastAsia"/>
          <w:u w:val="single"/>
        </w:rPr>
        <w:t>（供应商名称）</w:t>
      </w:r>
      <w:r>
        <w:rPr>
          <w:rFonts w:hint="eastAsia" w:asciiTheme="minorEastAsia" w:hAnsiTheme="minorEastAsia" w:eastAsiaTheme="minorEastAsia" w:cstheme="minorEastAsia"/>
        </w:rPr>
        <w:t>与</w:t>
      </w:r>
      <w:r>
        <w:rPr>
          <w:rFonts w:hint="eastAsia" w:asciiTheme="minorEastAsia" w:hAnsiTheme="minorEastAsia" w:eastAsiaTheme="minorEastAsia" w:cstheme="minorEastAsia"/>
          <w:u w:val="single"/>
        </w:rPr>
        <w:t>（所有分包供应商名称）</w:t>
      </w:r>
      <w:r>
        <w:rPr>
          <w:rFonts w:hint="eastAsia" w:asciiTheme="minorEastAsia" w:hAnsiTheme="minorEastAsia" w:eastAsiaTheme="minorEastAsia" w:cstheme="minorEastAsia"/>
        </w:rPr>
        <w:t xml:space="preserve">达成分包意向协议。 </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rPr>
        <w:t>一、</w:t>
      </w:r>
      <w:r>
        <w:rPr>
          <w:rFonts w:hint="eastAsia" w:asciiTheme="minorEastAsia" w:hAnsiTheme="minorEastAsia" w:eastAsiaTheme="minorEastAsia" w:cstheme="minorEastAsia"/>
          <w:u w:val="single"/>
        </w:rPr>
        <w:t>（供应商名称）</w:t>
      </w:r>
      <w:r>
        <w:rPr>
          <w:rFonts w:hint="eastAsia" w:asciiTheme="minorEastAsia" w:hAnsiTheme="minorEastAsia" w:eastAsiaTheme="minorEastAsia" w:cstheme="minorEastAsia"/>
        </w:rPr>
        <w:t>将将工作分包如下：</w:t>
      </w:r>
      <w:r>
        <w:rPr>
          <w:rFonts w:hint="eastAsia" w:asciiTheme="minorEastAsia" w:hAnsiTheme="minorEastAsia" w:eastAsiaTheme="minorEastAsia" w:cstheme="minorEastAsia"/>
          <w:b/>
          <w:bCs/>
        </w:rPr>
        <w:t>（注：供应商只能将招标文件中“前附表”的“分包”规定的工作进行分包）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将</w:t>
      </w:r>
      <w:r>
        <w:rPr>
          <w:rFonts w:hint="eastAsia" w:asciiTheme="minorEastAsia" w:hAnsiTheme="minorEastAsia" w:eastAsiaTheme="minorEastAsia" w:cstheme="minorEastAsia"/>
          <w:u w:val="single"/>
        </w:rPr>
        <w:t xml:space="preserve">   XX工作内容   </w:t>
      </w:r>
      <w:r>
        <w:rPr>
          <w:rFonts w:hint="eastAsia" w:asciiTheme="minorEastAsia" w:hAnsiTheme="minorEastAsia" w:eastAsiaTheme="minorEastAsia" w:cstheme="minorEastAsia"/>
        </w:rPr>
        <w:t>分包给</w:t>
      </w:r>
      <w:r>
        <w:rPr>
          <w:rFonts w:hint="eastAsia" w:asciiTheme="minorEastAsia" w:hAnsiTheme="minorEastAsia" w:eastAsiaTheme="minorEastAsia" w:cstheme="minorEastAsia"/>
          <w:u w:val="single"/>
        </w:rPr>
        <w:t>（分包供应商1名称）</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将</w:t>
      </w:r>
      <w:r>
        <w:rPr>
          <w:rFonts w:hint="eastAsia" w:asciiTheme="minorEastAsia" w:hAnsiTheme="minorEastAsia" w:eastAsiaTheme="minorEastAsia" w:cstheme="minorEastAsia"/>
          <w:u w:val="single"/>
        </w:rPr>
        <w:t xml:space="preserve">   XX工作内容   </w:t>
      </w:r>
      <w:r>
        <w:rPr>
          <w:rFonts w:hint="eastAsia" w:asciiTheme="minorEastAsia" w:hAnsiTheme="minorEastAsia" w:eastAsiaTheme="minorEastAsia" w:cstheme="minorEastAsia"/>
        </w:rPr>
        <w:t>分包给</w:t>
      </w:r>
      <w:r>
        <w:rPr>
          <w:rFonts w:hint="eastAsia" w:asciiTheme="minorEastAsia" w:hAnsiTheme="minorEastAsia" w:eastAsiaTheme="minorEastAsia" w:cstheme="minorEastAsia"/>
          <w:u w:val="single"/>
        </w:rPr>
        <w:t>（分包供应商2名称）</w:t>
      </w: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以上分包供应商具备所承担分包工作内容相应的资质条件且不得再次分包。</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二、分包工作履行期限、地点、方式</w:t>
      </w:r>
    </w:p>
    <w:p>
      <w:pPr>
        <w:ind w:firstLine="48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u w:val="single"/>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三、质量</w:t>
      </w:r>
    </w:p>
    <w:p>
      <w:pPr>
        <w:ind w:firstLine="48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u w:val="single"/>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四、价款或者报酬</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五、违约责任</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六、争议解决的办法</w:t>
      </w:r>
    </w:p>
    <w:p>
      <w:pPr>
        <w:ind w:firstLine="480"/>
        <w:rPr>
          <w:rFonts w:hint="eastAsia" w:asciiTheme="minorEastAsia" w:hAnsiTheme="minorEastAsia" w:eastAsiaTheme="minorEastAsia" w:cstheme="minorEastAsia"/>
          <w:u w:val="single"/>
        </w:rPr>
      </w:pPr>
      <w:r>
        <w:rPr>
          <w:rFonts w:hint="eastAsia" w:asciiTheme="minorEastAsia" w:hAnsiTheme="minorEastAsia" w:eastAsiaTheme="minorEastAsia" w:cstheme="minorEastAsia"/>
          <w:u w:val="single"/>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                                                                      </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七、其他</w:t>
      </w:r>
    </w:p>
    <w:p>
      <w:pPr>
        <w:ind w:firstLine="480"/>
        <w:rPr>
          <w:rFonts w:hint="eastAsia" w:asciiTheme="minorEastAsia" w:hAnsiTheme="minorEastAsia" w:eastAsiaTheme="minorEastAsia" w:cstheme="minorEastAsia"/>
          <w:b/>
          <w:bCs/>
        </w:rPr>
      </w:pPr>
      <w:r>
        <w:rPr>
          <w:rFonts w:hint="eastAsia" w:asciiTheme="minorEastAsia" w:hAnsiTheme="minorEastAsia" w:eastAsiaTheme="minorEastAsia" w:cstheme="minorEastAsia"/>
          <w:u w:val="single"/>
        </w:rPr>
        <w:t>（分包供应商名称）</w:t>
      </w:r>
      <w:r>
        <w:rPr>
          <w:rFonts w:hint="eastAsia" w:asciiTheme="minorEastAsia" w:hAnsiTheme="minorEastAsia" w:eastAsiaTheme="minorEastAsia" w:cstheme="minorEastAsia"/>
        </w:rPr>
        <w:t>提供的全部货物或服务均由中小企业制造或承接，其合同份额占到合同总金额</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%以上。</w:t>
      </w:r>
      <w:r>
        <w:rPr>
          <w:rFonts w:hint="eastAsia" w:asciiTheme="minorEastAsia" w:hAnsiTheme="minorEastAsia" w:eastAsiaTheme="minorEastAsia" w:cstheme="minorEastAsia"/>
          <w:b/>
          <w:bCs/>
        </w:rPr>
        <w:t>（未预留份额专门面向中小企业采购的的采购项目，以及预留份额中的非预留部分采购包，允许分包的，分包意向协议约定小微企业的合同份额占到合同总金额30%以上的，对大中型企业的报价给予6%的扣除）</w:t>
      </w:r>
    </w:p>
    <w:p>
      <w:pPr>
        <w:ind w:firstLine="480"/>
        <w:jc w:val="right"/>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分包供应商名称：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480"/>
        <w:jc w:val="right"/>
        <w:rPr>
          <w:rFonts w:hint="eastAsia" w:asciiTheme="minorEastAsia" w:hAnsiTheme="minorEastAsia" w:eastAsiaTheme="minorEastAsia" w:cstheme="minorEastAsia"/>
        </w:rPr>
      </w:pPr>
    </w:p>
    <w:p>
      <w:pPr>
        <w:ind w:firstLine="0" w:firstLineChars="0"/>
        <w:rPr>
          <w:rFonts w:hint="eastAsia" w:asciiTheme="minorEastAsia" w:hAnsiTheme="minorEastAsia" w:eastAsiaTheme="minorEastAsia" w:cstheme="minorEastAsia"/>
        </w:rPr>
      </w:pPr>
      <w:r>
        <w:rPr>
          <w:rFonts w:hint="eastAsia" w:asciiTheme="minorEastAsia" w:hAnsiTheme="minorEastAsia" w:eastAsiaTheme="minorEastAsia" w:cstheme="minorEastAsia"/>
        </w:rPr>
        <w:br w:type="page"/>
      </w:r>
      <w:r>
        <w:rPr>
          <w:rFonts w:hint="eastAsia" w:asciiTheme="minorEastAsia" w:hAnsiTheme="minorEastAsia" w:eastAsiaTheme="minorEastAsia" w:cstheme="minorEastAsia"/>
          <w:sz w:val="36"/>
          <w:szCs w:val="36"/>
        </w:rPr>
        <w:t>附件4：</w:t>
      </w: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残疾人福利性单位声明函</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本单位郑重声明，根据《财政部民政部中国残疾人联合会关于促进残疾人就业政府采购政策的通知》（财库〔2017〕141号）的规定，本单位为符合条件的残疾人福利性单位，且本单位参加</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单位的</w:t>
      </w:r>
      <w:r>
        <w:rPr>
          <w:rFonts w:hint="eastAsia" w:asciiTheme="minorEastAsia" w:hAnsiTheme="minorEastAsia" w:eastAsiaTheme="minorEastAsia" w:cstheme="minorEastAsia"/>
          <w:u w:val="single"/>
        </w:rPr>
        <w:t xml:space="preserve">      </w:t>
      </w:r>
      <w:r>
        <w:rPr>
          <w:rFonts w:hint="eastAsia" w:asciiTheme="minorEastAsia" w:hAnsiTheme="minorEastAsia" w:eastAsiaTheme="minorEastAsia" w:cstheme="minorEastAsia"/>
        </w:rPr>
        <w:t>项目采购活动提供本单位制造的货物（由本单位承担工程/提供服务），或者提供其他残疾人福利性单位制造的货物（不包括使用非残疾人福利性单位注册商标的货物）。</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本单位对上述声明的真实性负责。如有虚假，将依法承担相应责任。</w:t>
      </w:r>
    </w:p>
    <w:p>
      <w:pPr>
        <w:ind w:firstLine="480"/>
        <w:rPr>
          <w:rFonts w:hint="eastAsia" w:asciiTheme="minorEastAsia" w:hAnsiTheme="minorEastAsia" w:eastAsiaTheme="minorEastAsia" w:cstheme="minorEastAsia"/>
        </w:rPr>
      </w:pP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720"/>
        <w:rPr>
          <w:rFonts w:hint="eastAsia" w:asciiTheme="minorEastAsia" w:hAnsiTheme="minorEastAsia" w:eastAsiaTheme="minorEastAsia" w:cstheme="minorEastAsia"/>
          <w:sz w:val="36"/>
          <w:szCs w:val="36"/>
        </w:rPr>
      </w:pPr>
    </w:p>
    <w:p>
      <w:pPr>
        <w:ind w:firstLine="0" w:firstLineChars="0"/>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附件5：</w:t>
      </w: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关于符合本国产品标准的声明函</w:t>
      </w:r>
    </w:p>
    <w:p>
      <w:pPr>
        <w:ind w:firstLine="602"/>
        <w:jc w:val="center"/>
        <w:rPr>
          <w:rFonts w:hint="eastAsia" w:asciiTheme="minorEastAsia" w:hAnsiTheme="minorEastAsia" w:eastAsiaTheme="minorEastAsia" w:cstheme="minorEastAsia"/>
          <w:b/>
          <w:bCs/>
          <w:sz w:val="30"/>
          <w:szCs w:val="30"/>
        </w:rPr>
      </w:pPr>
    </w:p>
    <w:p>
      <w:pPr>
        <w:pStyle w:val="24"/>
        <w:adjustRightInd w:val="0"/>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一、本公司（单位）郑重声明，根据《国务院办公厅关于在政府采购中实施本国产品标准及相关政策的通知》（国办发〔2025〕34号）的规定，本公司（单位）提供的以下产品属于本国产品。具体情况如下：</w:t>
      </w:r>
    </w:p>
    <w:p>
      <w:pPr>
        <w:pStyle w:val="24"/>
        <w:adjustRightInd w:val="0"/>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1.（产品名称1）</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b/>
          <w:bCs/>
          <w:vertAlign w:val="superscript"/>
        </w:rPr>
        <w:t>1</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kern w:val="2"/>
        </w:rPr>
        <w:t>，生产厂为（厂名）</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b/>
          <w:bCs/>
          <w:vertAlign w:val="superscript"/>
        </w:rPr>
        <w:t>2</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kern w:val="2"/>
        </w:rPr>
        <w:t>，厂址为（生产厂址）。（产品名称1）的中国境内生产的组件成本占比≥（规定比例）</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b/>
          <w:bCs/>
          <w:vertAlign w:val="superscript"/>
        </w:rPr>
        <w:t>3</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kern w:val="2"/>
        </w:rPr>
        <w:t>。（产品名称1）的（关键组件）</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b/>
          <w:bCs/>
          <w:vertAlign w:val="superscript"/>
        </w:rPr>
        <w:t>4</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kern w:val="2"/>
        </w:rPr>
        <w:t>在中国境内生产。（产品名称1）的（关键工序）</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b/>
          <w:bCs/>
          <w:vertAlign w:val="superscript"/>
        </w:rPr>
        <w:t>5</w:t>
      </w:r>
      <w:r>
        <w:rPr>
          <w:rFonts w:hint="eastAsia" w:asciiTheme="minorEastAsia" w:hAnsiTheme="minorEastAsia" w:eastAsiaTheme="minorEastAsia" w:cstheme="minorEastAsia"/>
          <w:b/>
          <w:bCs/>
          <w:vertAlign w:val="superscript"/>
          <w:lang w:val="zh-CN"/>
        </w:rPr>
        <w:t>】</w:t>
      </w:r>
      <w:r>
        <w:rPr>
          <w:rFonts w:hint="eastAsia" w:asciiTheme="minorEastAsia" w:hAnsiTheme="minorEastAsia" w:eastAsiaTheme="minorEastAsia" w:cstheme="minorEastAsia"/>
          <w:kern w:val="2"/>
        </w:rPr>
        <w:t>在中国境内完成。</w:t>
      </w:r>
    </w:p>
    <w:p>
      <w:pPr>
        <w:pStyle w:val="24"/>
        <w:adjustRightInd w:val="0"/>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产品名称2），生产厂为（厂名），厂址为（生产厂址）。（产品名称2）的中国境内生产的组件成本占比≥（规定比例）。（产品名称2）的（关键组件）在中国境内生产。（产品名称2）的（关键工序）在中国境内完成。</w:t>
      </w:r>
    </w:p>
    <w:p>
      <w:pPr>
        <w:pStyle w:val="24"/>
        <w:adjustRightInd w:val="0"/>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w:t>
      </w:r>
    </w:p>
    <w:p>
      <w:pPr>
        <w:pStyle w:val="24"/>
        <w:adjustRightInd w:val="0"/>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本公司（单位）对上述声明内容的真实性负责。如有虚假，愿承担相应法律责任。</w:t>
      </w:r>
    </w:p>
    <w:p>
      <w:pPr>
        <w:ind w:firstLine="480"/>
        <w:jc w:val="left"/>
        <w:rPr>
          <w:rFonts w:hint="eastAsia" w:asciiTheme="minorEastAsia" w:hAnsiTheme="minorEastAsia" w:eastAsiaTheme="minorEastAsia" w:cstheme="minorEastAsia"/>
        </w:rPr>
      </w:pPr>
      <w:r>
        <w:rPr>
          <w:rFonts w:hint="eastAsia" w:asciiTheme="minorEastAsia" w:hAnsiTheme="minorEastAsia" w:eastAsiaTheme="minorEastAsia" w:cstheme="minorEastAsia"/>
        </w:rPr>
        <w:t>二、关于符合本国产品标准的成本占比情况：</w:t>
      </w:r>
    </w:p>
    <w:tbl>
      <w:tblPr>
        <w:tblStyle w:val="29"/>
        <w:tblW w:w="83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08"/>
        <w:gridCol w:w="20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208" w:type="dxa"/>
            <w:vAlign w:val="center"/>
          </w:tcPr>
          <w:p>
            <w:pPr>
              <w:ind w:firstLine="482"/>
              <w:jc w:val="center"/>
              <w:rPr>
                <w:rFonts w:hint="eastAsia" w:asciiTheme="minorEastAsia" w:hAnsiTheme="minorEastAsia" w:eastAsiaTheme="minorEastAsia" w:cstheme="minorEastAsia"/>
                <w:b/>
                <w:bCs/>
                <w:shd w:val="clear" w:color="auto" w:fill="FFFFFF"/>
              </w:rPr>
            </w:pPr>
            <w:r>
              <w:rPr>
                <w:rFonts w:hint="eastAsia" w:asciiTheme="minorEastAsia" w:hAnsiTheme="minorEastAsia" w:eastAsiaTheme="minorEastAsia" w:cstheme="minorEastAsia"/>
                <w:b/>
                <w:bCs/>
                <w:shd w:val="clear" w:color="auto" w:fill="FFFFFF"/>
              </w:rPr>
              <w:t>计算公式</w:t>
            </w:r>
          </w:p>
        </w:tc>
        <w:tc>
          <w:tcPr>
            <w:tcW w:w="2092" w:type="dxa"/>
            <w:vAlign w:val="center"/>
          </w:tcPr>
          <w:p>
            <w:pPr>
              <w:ind w:firstLine="482"/>
              <w:jc w:val="center"/>
              <w:rPr>
                <w:rFonts w:hint="eastAsia" w:asciiTheme="minorEastAsia" w:hAnsiTheme="minorEastAsia" w:eastAsiaTheme="minorEastAsia" w:cstheme="minorEastAsia"/>
                <w:b/>
                <w:bCs/>
                <w:shd w:val="clear" w:color="auto" w:fill="FFFFFF"/>
              </w:rPr>
            </w:pPr>
            <w:r>
              <w:rPr>
                <w:rFonts w:hint="eastAsia" w:asciiTheme="minorEastAsia" w:hAnsiTheme="minorEastAsia" w:eastAsiaTheme="minorEastAsia" w:cstheme="minorEastAsia"/>
                <w:b/>
                <w:bCs/>
                <w:shd w:val="clear" w:color="auto" w:fill="FFFFFF"/>
              </w:rPr>
              <w:t>占比情况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6208" w:type="dxa"/>
            <w:vAlign w:val="center"/>
          </w:tcPr>
          <w:p>
            <w:pPr>
              <w:ind w:firstLine="480"/>
              <w:jc w:val="center"/>
              <w:rPr>
                <w:rFonts w:hint="eastAsia" w:asciiTheme="minorEastAsia" w:hAnsiTheme="minorEastAsia" w:eastAsiaTheme="minorEastAsia" w:cstheme="minorEastAsia"/>
                <w:shd w:val="clear" w:color="auto" w:fill="FFFFFF"/>
              </w:rPr>
            </w:pPr>
            <m:oMathPara>
              <m:oMath>
                <m:r>
                  <m:rPr>
                    <m:sty m:val="p"/>
                  </m:rPr>
                  <w:rPr>
                    <w:rFonts w:hint="eastAsia" w:ascii="DejaVu Math TeX Gyre" w:hAnsi="DejaVu Math TeX Gyre" w:eastAsiaTheme="minorEastAsia" w:cstheme="minorEastAsia"/>
                  </w:rPr>
                  <m:t>比例</m:t>
                </m:r>
                <m:r>
                  <m:rPr/>
                  <w:rPr>
                    <w:rFonts w:hint="eastAsia" w:ascii="DejaVu Math TeX Gyre" w:hAnsi="DejaVu Math TeX Gyre" w:eastAsiaTheme="minorEastAsia" w:cstheme="minorEastAsia"/>
                  </w:rPr>
                  <m:t>=</m:t>
                </m:r>
                <m:f>
                  <m:fPr>
                    <m:ctrlPr>
                      <w:rPr>
                        <w:rFonts w:hint="eastAsia" w:ascii="DejaVu Math TeX Gyre" w:hAnsi="DejaVu Math TeX Gyre" w:eastAsiaTheme="minorEastAsia" w:cstheme="minorEastAsia"/>
                        <w:i/>
                      </w:rPr>
                    </m:ctrlPr>
                  </m:fPr>
                  <m:num>
                    <m:r>
                      <m:rPr>
                        <m:sty m:val="p"/>
                      </m:rPr>
                      <w:rPr>
                        <w:rFonts w:hint="eastAsia" w:ascii="DejaVu Math TeX Gyre" w:hAnsi="DejaVu Math TeX Gyre" w:eastAsiaTheme="minorEastAsia" w:cstheme="minorEastAsia"/>
                      </w:rPr>
                      <m:t>符合本国产品标准的投标产品成本之和</m:t>
                    </m:r>
                    <m:ctrlPr>
                      <w:rPr>
                        <w:rFonts w:hint="eastAsia" w:ascii="DejaVu Math TeX Gyre" w:hAnsi="DejaVu Math TeX Gyre" w:eastAsiaTheme="minorEastAsia" w:cstheme="minorEastAsia"/>
                      </w:rPr>
                    </m:ctrlPr>
                  </m:num>
                  <m:den>
                    <m:r>
                      <m:rPr>
                        <m:sty m:val="p"/>
                      </m:rPr>
                      <w:rPr>
                        <w:rFonts w:hint="eastAsia" w:ascii="DejaVu Math TeX Gyre" w:hAnsi="DejaVu Math TeX Gyre" w:eastAsiaTheme="minorEastAsia" w:cstheme="minorEastAsia"/>
                      </w:rPr>
                      <m:t>提供的全部产品成本之和</m:t>
                    </m:r>
                    <m:ctrlPr>
                      <w:rPr>
                        <w:rFonts w:hint="eastAsia" w:ascii="DejaVu Math TeX Gyre" w:hAnsi="DejaVu Math TeX Gyre" w:eastAsiaTheme="minorEastAsia" w:cstheme="minorEastAsia"/>
                      </w:rPr>
                    </m:ctrlPr>
                  </m:den>
                </m:f>
                <m:r>
                  <m:rPr>
                    <m:sty m:val="p"/>
                  </m:rPr>
                  <w:rPr>
                    <w:rFonts w:hint="eastAsia" w:ascii="DejaVu Math TeX Gyre" w:hAnsi="DejaVu Math TeX Gyre" w:eastAsiaTheme="minorEastAsia" w:cstheme="minorEastAsia"/>
                  </w:rPr>
                  <m:t>×</m:t>
                </m:r>
                <m:r>
                  <m:rPr/>
                  <w:rPr>
                    <w:rFonts w:hint="eastAsia" w:ascii="DejaVu Math TeX Gyre" w:hAnsi="DejaVu Math TeX Gyre" w:eastAsiaTheme="minorEastAsia" w:cstheme="minorEastAsia"/>
                  </w:rPr>
                  <m:t>100%</m:t>
                </m:r>
              </m:oMath>
            </m:oMathPara>
          </w:p>
        </w:tc>
        <w:tc>
          <w:tcPr>
            <w:tcW w:w="2092" w:type="dxa"/>
            <w:vAlign w:val="center"/>
          </w:tcPr>
          <w:p>
            <w:pPr>
              <w:ind w:firstLine="480"/>
              <w:jc w:val="center"/>
              <w:rPr>
                <w:rFonts w:hint="eastAsia" w:asciiTheme="minorEastAsia" w:hAnsiTheme="minorEastAsia" w:eastAsiaTheme="minorEastAsia" w:cstheme="minorEastAsia"/>
                <w:shd w:val="clear" w:color="auto" w:fill="FFFFFF"/>
              </w:rPr>
            </w:pPr>
            <w:r>
              <w:rPr>
                <w:rFonts w:hint="eastAsia" w:asciiTheme="minorEastAsia" w:hAnsiTheme="minorEastAsia" w:eastAsiaTheme="minorEastAsia" w:cstheme="minorEastAsia"/>
                <w:u w:val="single"/>
                <w:shd w:val="clear" w:color="auto" w:fill="FFFFFF"/>
              </w:rPr>
              <w:t xml:space="preserve">       </w:t>
            </w:r>
            <w:r>
              <w:rPr>
                <w:rFonts w:hint="eastAsia" w:asciiTheme="minorEastAsia" w:hAnsiTheme="minorEastAsia" w:eastAsiaTheme="minorEastAsia" w:cstheme="minorEastAsia"/>
                <w:shd w:val="clear" w:color="auto" w:fill="FFFFFF"/>
              </w:rPr>
              <w:t>%</w:t>
            </w:r>
          </w:p>
        </w:tc>
      </w:tr>
    </w:tbl>
    <w:p>
      <w:pPr>
        <w:snapToGrid w:val="0"/>
        <w:ind w:firstLine="480"/>
        <w:rPr>
          <w:rFonts w:hint="eastAsia" w:asciiTheme="minorEastAsia" w:hAnsiTheme="minorEastAsia" w:eastAsiaTheme="minorEastAsia" w:cstheme="minorEastAsia"/>
          <w:kern w:val="0"/>
          <w:lang w:val="zh-CN"/>
        </w:rPr>
      </w:pPr>
      <w:r>
        <w:rPr>
          <w:rFonts w:hint="eastAsia" w:asciiTheme="minorEastAsia" w:hAnsiTheme="minorEastAsia" w:eastAsiaTheme="minorEastAsia" w:cstheme="minorEastAsia"/>
          <w:kern w:val="0"/>
          <w:lang w:val="zh-CN"/>
        </w:rPr>
        <w:t>本公司（单位）对上述声明内容的真实性负责。如有虚假，愿承担相应法律责任。</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供应商名称（公章）：      　　　　　　　　　　　　　</w:t>
      </w:r>
    </w:p>
    <w:p>
      <w:pPr>
        <w:ind w:firstLine="480"/>
        <w:jc w:val="right"/>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注：</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1.产品如有型号，请在“产品名称”栏一并填写。</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2.生产厂名与厂址应与生产厂营业执照载明的相关信息保持一致。</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3.该产品的中国境内生产的组件成本占比相关要求实施前，“规定比例”栏可不填，下同。</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4.该产品的关键组件要求实施前，“关键组件”栏可不填，下同。</w:t>
      </w:r>
    </w:p>
    <w:p>
      <w:pPr>
        <w:pStyle w:val="24"/>
        <w:spacing w:before="0" w:beforeAutospacing="0" w:after="0" w:afterAutospacing="0"/>
        <w:ind w:firstLine="480"/>
        <w:rPr>
          <w:rFonts w:hint="eastAsia" w:asciiTheme="minorEastAsia" w:hAnsiTheme="minorEastAsia" w:eastAsiaTheme="minorEastAsia" w:cstheme="minorEastAsia"/>
          <w:kern w:val="2"/>
        </w:rPr>
      </w:pPr>
      <w:r>
        <w:rPr>
          <w:rFonts w:hint="eastAsia" w:asciiTheme="minorEastAsia" w:hAnsiTheme="minorEastAsia" w:eastAsiaTheme="minorEastAsia" w:cstheme="minorEastAsia"/>
          <w:kern w:val="2"/>
        </w:rPr>
        <w:t>5.该产品的关键工序要求实施前，“关键工序”栏可不填，下同。</w:t>
      </w:r>
    </w:p>
    <w:p>
      <w:pPr>
        <w:ind w:firstLine="602"/>
        <w:jc w:val="center"/>
        <w:rPr>
          <w:rFonts w:hint="eastAsia" w:asciiTheme="minorEastAsia" w:hAnsiTheme="minorEastAsia" w:eastAsiaTheme="minorEastAsia" w:cstheme="minorEastAsia"/>
          <w:b/>
          <w:bCs/>
          <w:sz w:val="30"/>
          <w:szCs w:val="30"/>
        </w:rPr>
      </w:pPr>
    </w:p>
    <w:p>
      <w:pPr>
        <w:ind w:firstLine="0" w:firstLineChars="0"/>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中国境内生产的组件成本核算基本规则</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产品在中国境内生产的组件成本，一般按照其二级组件的相关成本进行核算。按照产品的一级组件进行成本核算能够满足中国境内生产的组件成本判定需求的，可以按照一级组件的相关成本进行核算。</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一、产品的一级组件是指直接组成产品的组件。产品的二级组件是指直接组成产品一级组件的组件。一级组件不可分解的，视同二级组件。</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二、二级组件在中国境内生产的，其全部成本计入中国境内生产的组件成本；二级组件不在中国境内生产的，其成本不计入中国境内生产的组件成本。</w:t>
      </w:r>
    </w:p>
    <w:p>
      <w:pPr>
        <w:ind w:firstLine="480"/>
        <w:rPr>
          <w:rFonts w:hint="eastAsia" w:asciiTheme="minorEastAsia" w:hAnsiTheme="minorEastAsia" w:eastAsiaTheme="minorEastAsia" w:cstheme="minorEastAsia"/>
        </w:rPr>
      </w:pPr>
      <w:r>
        <w:rPr>
          <w:rFonts w:hint="eastAsia" w:asciiTheme="minorEastAsia" w:hAnsiTheme="minorEastAsia" w:eastAsiaTheme="minorEastAsia" w:cstheme="minorEastAsia"/>
        </w:rPr>
        <w:t>三、产品总成本和组件成本以相关会计核算数据、采购合同、进货记录等为基础进行计算。</w:t>
      </w:r>
    </w:p>
    <w:p>
      <w:pPr>
        <w:ind w:firstLine="0" w:firstLineChars="0"/>
        <w:rPr>
          <w:rFonts w:hint="eastAsia" w:asciiTheme="minorEastAsia" w:hAnsiTheme="minorEastAsia" w:eastAsiaTheme="minorEastAsia" w:cstheme="minorEastAsia"/>
          <w:b/>
        </w:rPr>
      </w:pPr>
      <w:r>
        <w:rPr>
          <w:rFonts w:hint="eastAsia" w:asciiTheme="minorEastAsia" w:hAnsiTheme="minorEastAsia" w:eastAsiaTheme="minorEastAsia" w:cstheme="minorEastAsia"/>
        </w:rPr>
        <w:t>四、需要对成本核算规则予以进一步明确的其他有关事项，由财政部会同有关部门另行规定。</w:t>
      </w:r>
    </w:p>
    <w:sectPr>
      <w:headerReference r:id="rId11" w:type="default"/>
      <w:footerReference r:id="rId12" w:type="default"/>
      <w:pgSz w:w="11906" w:h="16838"/>
      <w:pgMar w:top="1440" w:right="1800" w:bottom="1440" w:left="1800" w:header="851" w:footer="850" w:gutter="0"/>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仿宋_GB2312">
    <w:altName w:val="方正仿宋_GBK"/>
    <w:panose1 w:val="00000000000000000000"/>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Segoe UI">
    <w:altName w:val="Noto Naskh Arabic"/>
    <w:panose1 w:val="020B0502040204020203"/>
    <w:charset w:val="00"/>
    <w:family w:val="swiss"/>
    <w:pitch w:val="default"/>
    <w:sig w:usb0="00000000" w:usb1="00000000" w:usb2="00000009" w:usb3="00000000" w:csb0="000001FF" w:csb1="00000000"/>
  </w:font>
  <w:font w:name="Noto Naskh Arabic">
    <w:panose1 w:val="020B0502040504020204"/>
    <w:charset w:val="00"/>
    <w:family w:val="auto"/>
    <w:pitch w:val="default"/>
    <w:sig w:usb0="80002003" w:usb1="80002000" w:usb2="00000008" w:usb3="00000000" w:csb0="00000041" w:csb1="00080000"/>
  </w:font>
  <w:font w:name="Verdana">
    <w:altName w:val="DejaVu Sans"/>
    <w:panose1 w:val="020B0604030504040204"/>
    <w:charset w:val="00"/>
    <w:family w:val="swiss"/>
    <w:pitch w:val="default"/>
    <w:sig w:usb0="00000000" w:usb1="00000000" w:usb2="00000010" w:usb3="00000000" w:csb0="2000019F" w:csb1="00000000"/>
  </w:font>
  <w:font w:name="方正黑体_GBK">
    <w:panose1 w:val="02000000000000000000"/>
    <w:charset w:val="86"/>
    <w:family w:val="auto"/>
    <w:pitch w:val="default"/>
    <w:sig w:usb0="00000001" w:usb1="08000000" w:usb2="00000000" w:usb3="00000000" w:csb0="00040000" w:csb1="00000000"/>
  </w:font>
  <w:font w:name="微软雅黑">
    <w:altName w:val="方正黑体_GBK"/>
    <w:panose1 w:val="020B0503020204020204"/>
    <w:charset w:val="86"/>
    <w:family w:val="swiss"/>
    <w:pitch w:val="default"/>
    <w:sig w:usb0="00000000" w:usb1="00000000" w:usb2="00000016" w:usb3="00000000" w:csb0="0004001F" w:csb1="00000000"/>
  </w:font>
  <w:font w:name="楷体_GB2312">
    <w:altName w:val="方正楷体_GBK"/>
    <w:panose1 w:val="00000000000000000000"/>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w:altName w:val="Noto Sans CJK SC"/>
    <w:panose1 w:val="02010600030101010101"/>
    <w:charset w:val="86"/>
    <w:family w:val="auto"/>
    <w:pitch w:val="default"/>
    <w:sig w:usb0="00000000" w:usb1="00000000" w:usb2="00000016" w:usb3="00000000" w:csb0="0004000F" w:csb1="00000000"/>
  </w:font>
  <w:font w:name="Noto Sans CJK SC">
    <w:panose1 w:val="020B0500000000000000"/>
    <w:charset w:val="86"/>
    <w:family w:val="auto"/>
    <w:pitch w:val="default"/>
    <w:sig w:usb0="30000003" w:usb1="2BDF3C10" w:usb2="00000016" w:usb3="00000000" w:csb0="602E0107" w:csb1="00000000"/>
  </w:font>
  <w:font w:name="汉仪叶叶相思体简">
    <w:panose1 w:val="02010509060101010101"/>
    <w:charset w:val="86"/>
    <w:family w:val="auto"/>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ind w:firstLine="360"/>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ind w:firstLine="482"/>
                            <w:jc w:val="center"/>
                          </w:pPr>
                          <w:r>
                            <w:rPr>
                              <w:b/>
                              <w:bCs/>
                              <w:sz w:val="24"/>
                              <w:szCs w:val="24"/>
                            </w:rPr>
                            <w:fldChar w:fldCharType="begin"/>
                          </w:r>
                          <w:r>
                            <w:rPr>
                              <w:b/>
                              <w:bCs/>
                            </w:rPr>
                            <w:instrText xml:space="preserve">PAGE</w:instrText>
                          </w:r>
                          <w:r>
                            <w:rPr>
                              <w:b/>
                              <w:bCs/>
                              <w:sz w:val="24"/>
                              <w:szCs w:val="24"/>
                            </w:rPr>
                            <w:fldChar w:fldCharType="separate"/>
                          </w:r>
                          <w:r>
                            <w:rPr>
                              <w:b/>
                              <w:bCs/>
                            </w:rPr>
                            <w:t>106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106</w:t>
                          </w:r>
                          <w:r>
                            <w:rPr>
                              <w:b/>
                              <w:bCs/>
                              <w:sz w:val="24"/>
                              <w:szCs w:val="24"/>
                            </w:rPr>
                            <w:fldChar w:fldCharType="end"/>
                          </w:r>
                        </w:p>
                      </w:txbxContent>
                    </wps:txbx>
                    <wps:bodyPr wrap="none" lIns="0" tIns="0" rIns="0" bIns="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WAAAAZHJzL1BLAQIUABQAAAAIAIdO4kDOqXm5zwAAAAUBAAAPAAAAAAAAAAEAIAAAADgAAABk&#10;cnMvZG93bnJldi54bWxQSwECFAAUAAAACACHTuJAMUiPP8ABAACNAwAADgAAAAAAAAABACAAAAA0&#10;AQAAZHJzL2Uyb0RvYy54bWxQSwUGAAAAAAYABgBZAQAAZgUAAAAA&#10;">
              <v:fill on="f" focussize="0,0"/>
              <v:stroke on="f"/>
              <v:imagedata o:title=""/>
              <o:lock v:ext="edit" aspectratio="f"/>
              <v:textbox inset="0mm,0mm,0mm,0mm" style="mso-fit-shape-to-text:t;">
                <w:txbxContent>
                  <w:p>
                    <w:pPr>
                      <w:pStyle w:val="17"/>
                      <w:ind w:firstLine="482"/>
                      <w:jc w:val="center"/>
                    </w:pPr>
                    <w:r>
                      <w:rPr>
                        <w:b/>
                        <w:bCs/>
                        <w:sz w:val="24"/>
                        <w:szCs w:val="24"/>
                      </w:rPr>
                      <w:fldChar w:fldCharType="begin"/>
                    </w:r>
                    <w:r>
                      <w:rPr>
                        <w:b/>
                        <w:bCs/>
                      </w:rPr>
                      <w:instrText xml:space="preserve">PAGE</w:instrText>
                    </w:r>
                    <w:r>
                      <w:rPr>
                        <w:b/>
                        <w:bCs/>
                        <w:sz w:val="24"/>
                        <w:szCs w:val="24"/>
                      </w:rPr>
                      <w:fldChar w:fldCharType="separate"/>
                    </w:r>
                    <w:r>
                      <w:rPr>
                        <w:b/>
                        <w:bCs/>
                      </w:rPr>
                      <w:t>106</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106</w:t>
                    </w:r>
                    <w:r>
                      <w:rPr>
                        <w:b/>
                        <w:bCs/>
                        <w:sz w:val="24"/>
                        <w:szCs w:val="24"/>
                      </w:rPr>
                      <w:fldChar w:fldCharType="end"/>
                    </w:r>
                  </w:p>
                </w:txbxContent>
              </v:textbox>
            </v:shape>
          </w:pict>
        </mc:Fallback>
      </mc:AlternateContent>
    </w:r>
  </w:p>
  <w:p>
    <w:pPr>
      <w:pStyle w:val="17"/>
      <w:ind w:right="720" w:firstLine="210" w:firstLineChars="100"/>
      <w:jc w:val="center"/>
      <w:rPr>
        <w:sz w:val="21"/>
        <w:szCs w:val="21"/>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1"/>
      <w:rPr>
        <w:rFonts w:hint="eastAsia"/>
      </w:rPr>
    </w:pPr>
    <w:r>
      <w:rPr>
        <w:rFonts w:hint="eastAsia"/>
      </w:rPr>
      <w:t xml:space="preserve">                                  </w:t>
    </w:r>
  </w:p>
  <w:p>
    <w:pPr>
      <w:ind w:firstLine="360"/>
      <w:rPr>
        <w:rFonts w:ascii="仿宋_GB2312" w:eastAsia="仿宋_GB2312"/>
        <w:b/>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4F4430"/>
    <w:multiLevelType w:val="singleLevel"/>
    <w:tmpl w:val="FE4F4430"/>
    <w:lvl w:ilvl="0" w:tentative="0">
      <w:start w:val="2"/>
      <w:numFmt w:val="chineseCounting"/>
      <w:suff w:val="nothing"/>
      <w:lvlText w:val="%1、"/>
      <w:lvlJc w:val="left"/>
      <w:rPr>
        <w:rFonts w:hint="eastAsia"/>
      </w:rPr>
    </w:lvl>
  </w:abstractNum>
  <w:abstractNum w:abstractNumId="1">
    <w:nsid w:val="FFBE0A5E"/>
    <w:multiLevelType w:val="singleLevel"/>
    <w:tmpl w:val="FFBE0A5E"/>
    <w:lvl w:ilvl="0" w:tentative="0">
      <w:start w:val="2"/>
      <w:numFmt w:val="decimal"/>
      <w:lvlText w:val="%1."/>
      <w:lvlJc w:val="left"/>
      <w:pPr>
        <w:tabs>
          <w:tab w:val="left" w:pos="312"/>
        </w:tabs>
      </w:pPr>
    </w:lvl>
  </w:abstractNum>
  <w:abstractNum w:abstractNumId="2">
    <w:nsid w:val="00000001"/>
    <w:multiLevelType w:val="multilevel"/>
    <w:tmpl w:val="00000001"/>
    <w:lvl w:ilvl="0" w:tentative="0">
      <w:start w:val="1"/>
      <w:numFmt w:val="none"/>
      <w:suff w:val="nothing"/>
      <w:lvlText w:val=""/>
      <w:lvlJc w:val="left"/>
      <w:pPr>
        <w:tabs>
          <w:tab w:val="left" w:pos="0"/>
        </w:tabs>
        <w:ind w:left="0" w:firstLine="0"/>
      </w:pPr>
      <w:rPr>
        <w:rFonts w:hint="eastAsia" w:ascii="宋体" w:hAnsi="宋体" w:cs="Arial"/>
        <w:b/>
        <w:kern w:val="1"/>
        <w:szCs w:val="21"/>
      </w:r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3">
    <w:nsid w:val="00000006"/>
    <w:multiLevelType w:val="multilevel"/>
    <w:tmpl w:val="00000006"/>
    <w:lvl w:ilvl="0" w:tentative="0">
      <w:start w:val="1"/>
      <w:numFmt w:val="none"/>
      <w:suff w:val="nothing"/>
      <w:lvlText w:val=""/>
      <w:lvlJc w:val="left"/>
      <w:pPr>
        <w:tabs>
          <w:tab w:val="left" w:pos="0"/>
        </w:tabs>
        <w:ind w:left="0" w:firstLine="0"/>
      </w:pPr>
      <w:rPr>
        <w:rFonts w:hint="eastAsia" w:ascii="宋体" w:hAnsi="宋体" w:cs="Arial"/>
        <w:b/>
        <w:kern w:val="1"/>
        <w:szCs w:val="21"/>
      </w:r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4">
    <w:nsid w:val="00000007"/>
    <w:multiLevelType w:val="multilevel"/>
    <w:tmpl w:val="00000007"/>
    <w:lvl w:ilvl="0" w:tentative="0">
      <w:start w:val="1"/>
      <w:numFmt w:val="none"/>
      <w:suff w:val="nothing"/>
      <w:lvlText w:val=""/>
      <w:lvlJc w:val="left"/>
      <w:pPr>
        <w:tabs>
          <w:tab w:val="left" w:pos="0"/>
        </w:tabs>
        <w:ind w:left="0" w:firstLine="0"/>
      </w:pPr>
      <w:rPr>
        <w:rFonts w:hint="eastAsia" w:ascii="宋体" w:hAnsi="宋体" w:cs="Arial"/>
        <w:b/>
        <w:kern w:val="1"/>
        <w:szCs w:val="21"/>
      </w:rPr>
    </w:lvl>
    <w:lvl w:ilvl="1" w:tentative="0">
      <w:start w:val="1"/>
      <w:numFmt w:val="none"/>
      <w:suff w:val="nothing"/>
      <w:lvlText w:val=""/>
      <w:lvlJc w:val="left"/>
      <w:pPr>
        <w:tabs>
          <w:tab w:val="left" w:pos="0"/>
        </w:tabs>
        <w:ind w:left="0" w:firstLine="0"/>
      </w:pPr>
    </w:lvl>
    <w:lvl w:ilvl="2" w:tentative="0">
      <w:start w:val="1"/>
      <w:numFmt w:val="none"/>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5">
    <w:nsid w:val="0000000B"/>
    <w:multiLevelType w:val="singleLevel"/>
    <w:tmpl w:val="0000000B"/>
    <w:lvl w:ilvl="0" w:tentative="0">
      <w:start w:val="1"/>
      <w:numFmt w:val="decimal"/>
      <w:pStyle w:val="5"/>
      <w:lvlText w:val="%1."/>
      <w:lvlJc w:val="left"/>
      <w:pPr>
        <w:tabs>
          <w:tab w:val="left" w:pos="360"/>
        </w:tabs>
        <w:ind w:left="360" w:hanging="360"/>
      </w:pPr>
    </w:lvl>
  </w:abstractNum>
  <w:abstractNum w:abstractNumId="6">
    <w:nsid w:val="014B0334"/>
    <w:multiLevelType w:val="singleLevel"/>
    <w:tmpl w:val="014B0334"/>
    <w:lvl w:ilvl="0" w:tentative="0">
      <w:start w:val="1"/>
      <w:numFmt w:val="decimal"/>
      <w:suff w:val="nothing"/>
      <w:lvlText w:val="%1、"/>
      <w:lvlJc w:val="left"/>
    </w:lvl>
  </w:abstractNum>
  <w:abstractNum w:abstractNumId="7">
    <w:nsid w:val="7DC90F36"/>
    <w:multiLevelType w:val="singleLevel"/>
    <w:tmpl w:val="7DC90F36"/>
    <w:lvl w:ilvl="0" w:tentative="0">
      <w:start w:val="1"/>
      <w:numFmt w:val="decimal"/>
      <w:suff w:val="nothing"/>
      <w:lvlText w:val="%1、"/>
      <w:lvlJc w:val="left"/>
    </w:lvl>
  </w:abstractNum>
  <w:num w:numId="1">
    <w:abstractNumId w:val="5"/>
  </w:num>
  <w:num w:numId="2">
    <w:abstractNumId w:val="6"/>
  </w:num>
  <w:num w:numId="3">
    <w:abstractNumId w:val="1"/>
  </w:num>
  <w:num w:numId="4">
    <w:abstractNumId w:val="4"/>
  </w:num>
  <w:num w:numId="5">
    <w:abstractNumId w:val="7"/>
  </w:num>
  <w:num w:numId="6">
    <w:abstractNumId w:val="3"/>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oNotShadeFormData w:val="1"/>
  <w:noPunctuationKerning w:val="1"/>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hN2JkZWVjMWQwNDc3N2MyMzJmMWEwZjRkMmFlOGEifQ=="/>
    <w:docVar w:name="KSO_WPS_MARK_KEY" w:val="90daa2cf-05bb-4529-9042-4b5d2669d906"/>
  </w:docVars>
  <w:rsids>
    <w:rsidRoot w:val="00172A27"/>
    <w:rsid w:val="0000242B"/>
    <w:rsid w:val="00002787"/>
    <w:rsid w:val="00005A66"/>
    <w:rsid w:val="00010128"/>
    <w:rsid w:val="00015EAF"/>
    <w:rsid w:val="00021AC9"/>
    <w:rsid w:val="00022339"/>
    <w:rsid w:val="00027CB6"/>
    <w:rsid w:val="00036CA0"/>
    <w:rsid w:val="000500A3"/>
    <w:rsid w:val="00055E3B"/>
    <w:rsid w:val="00060038"/>
    <w:rsid w:val="00060488"/>
    <w:rsid w:val="00060E5C"/>
    <w:rsid w:val="00063C66"/>
    <w:rsid w:val="00063E08"/>
    <w:rsid w:val="00064512"/>
    <w:rsid w:val="000700E0"/>
    <w:rsid w:val="0007334C"/>
    <w:rsid w:val="00073C4C"/>
    <w:rsid w:val="00074F3E"/>
    <w:rsid w:val="000765F7"/>
    <w:rsid w:val="0007725D"/>
    <w:rsid w:val="0008621B"/>
    <w:rsid w:val="000907B0"/>
    <w:rsid w:val="0009144B"/>
    <w:rsid w:val="0009145D"/>
    <w:rsid w:val="00091C49"/>
    <w:rsid w:val="00096371"/>
    <w:rsid w:val="000A35F5"/>
    <w:rsid w:val="000B6373"/>
    <w:rsid w:val="000B7D69"/>
    <w:rsid w:val="000C18BB"/>
    <w:rsid w:val="000C1D53"/>
    <w:rsid w:val="000C274F"/>
    <w:rsid w:val="000C6E51"/>
    <w:rsid w:val="000D0C72"/>
    <w:rsid w:val="000D1BD0"/>
    <w:rsid w:val="000D4FD7"/>
    <w:rsid w:val="000D68A4"/>
    <w:rsid w:val="000E20AD"/>
    <w:rsid w:val="000E74F9"/>
    <w:rsid w:val="000F4EB7"/>
    <w:rsid w:val="00101883"/>
    <w:rsid w:val="00104488"/>
    <w:rsid w:val="00105BF5"/>
    <w:rsid w:val="00106471"/>
    <w:rsid w:val="001069F4"/>
    <w:rsid w:val="00112655"/>
    <w:rsid w:val="00112BE2"/>
    <w:rsid w:val="00113D2B"/>
    <w:rsid w:val="001155CF"/>
    <w:rsid w:val="0012203E"/>
    <w:rsid w:val="00127F32"/>
    <w:rsid w:val="001404EB"/>
    <w:rsid w:val="001417D6"/>
    <w:rsid w:val="0014184B"/>
    <w:rsid w:val="001420EE"/>
    <w:rsid w:val="00143371"/>
    <w:rsid w:val="00143376"/>
    <w:rsid w:val="001460D1"/>
    <w:rsid w:val="001476C0"/>
    <w:rsid w:val="0015153E"/>
    <w:rsid w:val="0015743D"/>
    <w:rsid w:val="00162DD8"/>
    <w:rsid w:val="00163387"/>
    <w:rsid w:val="001645F2"/>
    <w:rsid w:val="00167968"/>
    <w:rsid w:val="00172A27"/>
    <w:rsid w:val="00174C2E"/>
    <w:rsid w:val="00175309"/>
    <w:rsid w:val="0017752C"/>
    <w:rsid w:val="0018290F"/>
    <w:rsid w:val="00183C90"/>
    <w:rsid w:val="00190944"/>
    <w:rsid w:val="001918D5"/>
    <w:rsid w:val="001937B2"/>
    <w:rsid w:val="00193C7D"/>
    <w:rsid w:val="00196D0E"/>
    <w:rsid w:val="001A4BF1"/>
    <w:rsid w:val="001A5D74"/>
    <w:rsid w:val="001A64C4"/>
    <w:rsid w:val="001A6521"/>
    <w:rsid w:val="001A746D"/>
    <w:rsid w:val="001A78F5"/>
    <w:rsid w:val="001B261C"/>
    <w:rsid w:val="001B4605"/>
    <w:rsid w:val="001B74CC"/>
    <w:rsid w:val="001B79BB"/>
    <w:rsid w:val="001C127E"/>
    <w:rsid w:val="001C18CA"/>
    <w:rsid w:val="001C267C"/>
    <w:rsid w:val="001C75A8"/>
    <w:rsid w:val="001C7C37"/>
    <w:rsid w:val="001D01BB"/>
    <w:rsid w:val="001D7636"/>
    <w:rsid w:val="001D7B5B"/>
    <w:rsid w:val="001E078C"/>
    <w:rsid w:val="001E7E82"/>
    <w:rsid w:val="001F32B2"/>
    <w:rsid w:val="00201393"/>
    <w:rsid w:val="00211092"/>
    <w:rsid w:val="002159F9"/>
    <w:rsid w:val="00223078"/>
    <w:rsid w:val="0022344B"/>
    <w:rsid w:val="00223C67"/>
    <w:rsid w:val="00224EC6"/>
    <w:rsid w:val="00226185"/>
    <w:rsid w:val="0023347C"/>
    <w:rsid w:val="00234490"/>
    <w:rsid w:val="00235263"/>
    <w:rsid w:val="00236E53"/>
    <w:rsid w:val="0023723C"/>
    <w:rsid w:val="002402FB"/>
    <w:rsid w:val="00242184"/>
    <w:rsid w:val="002421C6"/>
    <w:rsid w:val="002428BD"/>
    <w:rsid w:val="00242C31"/>
    <w:rsid w:val="00244955"/>
    <w:rsid w:val="00246B5C"/>
    <w:rsid w:val="00246DDF"/>
    <w:rsid w:val="0025094F"/>
    <w:rsid w:val="00253032"/>
    <w:rsid w:val="00255252"/>
    <w:rsid w:val="00256E83"/>
    <w:rsid w:val="00260D26"/>
    <w:rsid w:val="002631EA"/>
    <w:rsid w:val="002656BC"/>
    <w:rsid w:val="002700FC"/>
    <w:rsid w:val="00271E37"/>
    <w:rsid w:val="00275321"/>
    <w:rsid w:val="00280C27"/>
    <w:rsid w:val="00280FEA"/>
    <w:rsid w:val="00283B62"/>
    <w:rsid w:val="002866D6"/>
    <w:rsid w:val="00290567"/>
    <w:rsid w:val="002972E9"/>
    <w:rsid w:val="002A0497"/>
    <w:rsid w:val="002A2DE4"/>
    <w:rsid w:val="002A3ED2"/>
    <w:rsid w:val="002A4C46"/>
    <w:rsid w:val="002A4EF2"/>
    <w:rsid w:val="002B00F4"/>
    <w:rsid w:val="002B109D"/>
    <w:rsid w:val="002B13A7"/>
    <w:rsid w:val="002B1C9C"/>
    <w:rsid w:val="002B2CD5"/>
    <w:rsid w:val="002B4418"/>
    <w:rsid w:val="002C30BB"/>
    <w:rsid w:val="002D1792"/>
    <w:rsid w:val="002E65B8"/>
    <w:rsid w:val="002E6DF1"/>
    <w:rsid w:val="002F0E79"/>
    <w:rsid w:val="002F1474"/>
    <w:rsid w:val="002F2C33"/>
    <w:rsid w:val="002F5457"/>
    <w:rsid w:val="002F55EF"/>
    <w:rsid w:val="002F6DD0"/>
    <w:rsid w:val="0030006F"/>
    <w:rsid w:val="003027C2"/>
    <w:rsid w:val="00306B3F"/>
    <w:rsid w:val="00307A62"/>
    <w:rsid w:val="00310043"/>
    <w:rsid w:val="00310D28"/>
    <w:rsid w:val="0031728B"/>
    <w:rsid w:val="0032368D"/>
    <w:rsid w:val="003245AA"/>
    <w:rsid w:val="00325A2B"/>
    <w:rsid w:val="003262E8"/>
    <w:rsid w:val="003276B1"/>
    <w:rsid w:val="003302F8"/>
    <w:rsid w:val="003304EA"/>
    <w:rsid w:val="0033117F"/>
    <w:rsid w:val="00332BF0"/>
    <w:rsid w:val="00333240"/>
    <w:rsid w:val="003343E7"/>
    <w:rsid w:val="00336720"/>
    <w:rsid w:val="00336758"/>
    <w:rsid w:val="00341A1B"/>
    <w:rsid w:val="00341E01"/>
    <w:rsid w:val="00342480"/>
    <w:rsid w:val="0034506B"/>
    <w:rsid w:val="00347A73"/>
    <w:rsid w:val="00355891"/>
    <w:rsid w:val="00360682"/>
    <w:rsid w:val="003624C7"/>
    <w:rsid w:val="00364935"/>
    <w:rsid w:val="00371EE0"/>
    <w:rsid w:val="00374FA6"/>
    <w:rsid w:val="003754B3"/>
    <w:rsid w:val="003766D7"/>
    <w:rsid w:val="00376D38"/>
    <w:rsid w:val="00381557"/>
    <w:rsid w:val="003844C5"/>
    <w:rsid w:val="0038551B"/>
    <w:rsid w:val="00390170"/>
    <w:rsid w:val="00391778"/>
    <w:rsid w:val="00391CD3"/>
    <w:rsid w:val="00391F1E"/>
    <w:rsid w:val="0039556A"/>
    <w:rsid w:val="003A18A2"/>
    <w:rsid w:val="003A608B"/>
    <w:rsid w:val="003A7203"/>
    <w:rsid w:val="003B22B7"/>
    <w:rsid w:val="003B73B4"/>
    <w:rsid w:val="003C1B56"/>
    <w:rsid w:val="003C3A14"/>
    <w:rsid w:val="003D17B6"/>
    <w:rsid w:val="003D3CEE"/>
    <w:rsid w:val="003D7B8D"/>
    <w:rsid w:val="003E254C"/>
    <w:rsid w:val="003E2DF6"/>
    <w:rsid w:val="003E574D"/>
    <w:rsid w:val="003F306F"/>
    <w:rsid w:val="003F4F0B"/>
    <w:rsid w:val="003F57C7"/>
    <w:rsid w:val="00405EAB"/>
    <w:rsid w:val="0040719A"/>
    <w:rsid w:val="00414C25"/>
    <w:rsid w:val="00416059"/>
    <w:rsid w:val="00420147"/>
    <w:rsid w:val="004216DE"/>
    <w:rsid w:val="00421A45"/>
    <w:rsid w:val="00422FD2"/>
    <w:rsid w:val="0042330A"/>
    <w:rsid w:val="00424905"/>
    <w:rsid w:val="0042716A"/>
    <w:rsid w:val="0043059A"/>
    <w:rsid w:val="00433973"/>
    <w:rsid w:val="0043602D"/>
    <w:rsid w:val="00436BBA"/>
    <w:rsid w:val="00443922"/>
    <w:rsid w:val="00450D0C"/>
    <w:rsid w:val="00453C2F"/>
    <w:rsid w:val="0045459C"/>
    <w:rsid w:val="004573BB"/>
    <w:rsid w:val="00460A5A"/>
    <w:rsid w:val="004610FF"/>
    <w:rsid w:val="00464730"/>
    <w:rsid w:val="004647E9"/>
    <w:rsid w:val="004658CF"/>
    <w:rsid w:val="00465C49"/>
    <w:rsid w:val="00475B30"/>
    <w:rsid w:val="00481EF5"/>
    <w:rsid w:val="00482342"/>
    <w:rsid w:val="004824B7"/>
    <w:rsid w:val="0048738D"/>
    <w:rsid w:val="0049359D"/>
    <w:rsid w:val="004A4BFB"/>
    <w:rsid w:val="004A7572"/>
    <w:rsid w:val="004B1A3E"/>
    <w:rsid w:val="004B2B39"/>
    <w:rsid w:val="004B3F18"/>
    <w:rsid w:val="004B765F"/>
    <w:rsid w:val="004C0239"/>
    <w:rsid w:val="004C3955"/>
    <w:rsid w:val="004C3BEA"/>
    <w:rsid w:val="004C3FE1"/>
    <w:rsid w:val="004C5C10"/>
    <w:rsid w:val="004D35B5"/>
    <w:rsid w:val="004D409A"/>
    <w:rsid w:val="004D79EB"/>
    <w:rsid w:val="004E3549"/>
    <w:rsid w:val="004E58D7"/>
    <w:rsid w:val="004F0A0E"/>
    <w:rsid w:val="004F3BC9"/>
    <w:rsid w:val="004F6909"/>
    <w:rsid w:val="004F7B3D"/>
    <w:rsid w:val="00500A2A"/>
    <w:rsid w:val="00505242"/>
    <w:rsid w:val="00507B2D"/>
    <w:rsid w:val="005126C5"/>
    <w:rsid w:val="00514361"/>
    <w:rsid w:val="00514634"/>
    <w:rsid w:val="00515E20"/>
    <w:rsid w:val="005229FE"/>
    <w:rsid w:val="00523389"/>
    <w:rsid w:val="00525D10"/>
    <w:rsid w:val="00526A18"/>
    <w:rsid w:val="00530784"/>
    <w:rsid w:val="005327C0"/>
    <w:rsid w:val="00533FDB"/>
    <w:rsid w:val="00535685"/>
    <w:rsid w:val="005409B8"/>
    <w:rsid w:val="005422AC"/>
    <w:rsid w:val="00542940"/>
    <w:rsid w:val="00542FE7"/>
    <w:rsid w:val="00545C7D"/>
    <w:rsid w:val="00547775"/>
    <w:rsid w:val="00550E63"/>
    <w:rsid w:val="0055552F"/>
    <w:rsid w:val="00556467"/>
    <w:rsid w:val="00562EE9"/>
    <w:rsid w:val="00563622"/>
    <w:rsid w:val="00564BF1"/>
    <w:rsid w:val="0056592D"/>
    <w:rsid w:val="00566520"/>
    <w:rsid w:val="005668EA"/>
    <w:rsid w:val="00567FC3"/>
    <w:rsid w:val="00574486"/>
    <w:rsid w:val="00580143"/>
    <w:rsid w:val="00586C57"/>
    <w:rsid w:val="00594ED4"/>
    <w:rsid w:val="0059607F"/>
    <w:rsid w:val="005977E9"/>
    <w:rsid w:val="00597AF1"/>
    <w:rsid w:val="005A3975"/>
    <w:rsid w:val="005A5856"/>
    <w:rsid w:val="005B0AB6"/>
    <w:rsid w:val="005B18F9"/>
    <w:rsid w:val="005B4BB4"/>
    <w:rsid w:val="005C235B"/>
    <w:rsid w:val="005C5039"/>
    <w:rsid w:val="005C64E1"/>
    <w:rsid w:val="005C6ADC"/>
    <w:rsid w:val="005C7517"/>
    <w:rsid w:val="005C7AD1"/>
    <w:rsid w:val="005D45E3"/>
    <w:rsid w:val="005D5A9F"/>
    <w:rsid w:val="005D6B5D"/>
    <w:rsid w:val="005E105D"/>
    <w:rsid w:val="005E21C7"/>
    <w:rsid w:val="005E33B0"/>
    <w:rsid w:val="005E34A2"/>
    <w:rsid w:val="005E43BB"/>
    <w:rsid w:val="005E4528"/>
    <w:rsid w:val="005E58AF"/>
    <w:rsid w:val="005E66C3"/>
    <w:rsid w:val="005E6B49"/>
    <w:rsid w:val="005F0A6C"/>
    <w:rsid w:val="005F35CD"/>
    <w:rsid w:val="005F38D7"/>
    <w:rsid w:val="005F5C41"/>
    <w:rsid w:val="005F605C"/>
    <w:rsid w:val="006006B1"/>
    <w:rsid w:val="00600847"/>
    <w:rsid w:val="006016C7"/>
    <w:rsid w:val="006112F2"/>
    <w:rsid w:val="006149E1"/>
    <w:rsid w:val="00615EA1"/>
    <w:rsid w:val="00622BA3"/>
    <w:rsid w:val="00624ACD"/>
    <w:rsid w:val="00627070"/>
    <w:rsid w:val="00631381"/>
    <w:rsid w:val="00634851"/>
    <w:rsid w:val="00635418"/>
    <w:rsid w:val="006377CD"/>
    <w:rsid w:val="00641433"/>
    <w:rsid w:val="0064156B"/>
    <w:rsid w:val="00643167"/>
    <w:rsid w:val="00643FB4"/>
    <w:rsid w:val="00652164"/>
    <w:rsid w:val="00657887"/>
    <w:rsid w:val="00657B65"/>
    <w:rsid w:val="00660689"/>
    <w:rsid w:val="00663D22"/>
    <w:rsid w:val="006658C7"/>
    <w:rsid w:val="00667E21"/>
    <w:rsid w:val="00673FD5"/>
    <w:rsid w:val="006772E5"/>
    <w:rsid w:val="00681921"/>
    <w:rsid w:val="006849DC"/>
    <w:rsid w:val="00684C0F"/>
    <w:rsid w:val="00686A3D"/>
    <w:rsid w:val="00687997"/>
    <w:rsid w:val="0069421D"/>
    <w:rsid w:val="0069570E"/>
    <w:rsid w:val="006A1091"/>
    <w:rsid w:val="006A7B7C"/>
    <w:rsid w:val="006B1372"/>
    <w:rsid w:val="006B4AA2"/>
    <w:rsid w:val="006B5803"/>
    <w:rsid w:val="006B7DE1"/>
    <w:rsid w:val="006B7E31"/>
    <w:rsid w:val="006C0AE6"/>
    <w:rsid w:val="006C0AEF"/>
    <w:rsid w:val="006C4D02"/>
    <w:rsid w:val="006C4D5B"/>
    <w:rsid w:val="006D17BF"/>
    <w:rsid w:val="006E0C8E"/>
    <w:rsid w:val="006E3322"/>
    <w:rsid w:val="006E3B88"/>
    <w:rsid w:val="006E47B2"/>
    <w:rsid w:val="006E6A27"/>
    <w:rsid w:val="006F0264"/>
    <w:rsid w:val="006F19A2"/>
    <w:rsid w:val="006F61CD"/>
    <w:rsid w:val="006F6C9E"/>
    <w:rsid w:val="0070206C"/>
    <w:rsid w:val="0070559D"/>
    <w:rsid w:val="0070584B"/>
    <w:rsid w:val="00706F9F"/>
    <w:rsid w:val="00713583"/>
    <w:rsid w:val="00723013"/>
    <w:rsid w:val="0072466E"/>
    <w:rsid w:val="00725983"/>
    <w:rsid w:val="00733E4B"/>
    <w:rsid w:val="00734164"/>
    <w:rsid w:val="00735121"/>
    <w:rsid w:val="00742CB1"/>
    <w:rsid w:val="00747EED"/>
    <w:rsid w:val="00752DF8"/>
    <w:rsid w:val="00753C14"/>
    <w:rsid w:val="00753FED"/>
    <w:rsid w:val="00755B13"/>
    <w:rsid w:val="00761B3D"/>
    <w:rsid w:val="00762B24"/>
    <w:rsid w:val="00765449"/>
    <w:rsid w:val="00767CD4"/>
    <w:rsid w:val="00776329"/>
    <w:rsid w:val="007806D1"/>
    <w:rsid w:val="0078177C"/>
    <w:rsid w:val="007818C1"/>
    <w:rsid w:val="00781E32"/>
    <w:rsid w:val="00783151"/>
    <w:rsid w:val="00784272"/>
    <w:rsid w:val="00784937"/>
    <w:rsid w:val="007926D7"/>
    <w:rsid w:val="007935F4"/>
    <w:rsid w:val="0079446B"/>
    <w:rsid w:val="0079601C"/>
    <w:rsid w:val="007964F4"/>
    <w:rsid w:val="007A2E47"/>
    <w:rsid w:val="007A56BF"/>
    <w:rsid w:val="007A581F"/>
    <w:rsid w:val="007A7818"/>
    <w:rsid w:val="007B0F21"/>
    <w:rsid w:val="007B1523"/>
    <w:rsid w:val="007B16BA"/>
    <w:rsid w:val="007B4C83"/>
    <w:rsid w:val="007B6A34"/>
    <w:rsid w:val="007C009E"/>
    <w:rsid w:val="007C4214"/>
    <w:rsid w:val="007D5664"/>
    <w:rsid w:val="007E14CC"/>
    <w:rsid w:val="007F0349"/>
    <w:rsid w:val="007F2C2E"/>
    <w:rsid w:val="007F4EA1"/>
    <w:rsid w:val="007F6533"/>
    <w:rsid w:val="008006F4"/>
    <w:rsid w:val="00802B51"/>
    <w:rsid w:val="00803C99"/>
    <w:rsid w:val="00805331"/>
    <w:rsid w:val="00807109"/>
    <w:rsid w:val="008222F6"/>
    <w:rsid w:val="00822796"/>
    <w:rsid w:val="00822D26"/>
    <w:rsid w:val="00826052"/>
    <w:rsid w:val="008279E0"/>
    <w:rsid w:val="00830763"/>
    <w:rsid w:val="00830847"/>
    <w:rsid w:val="00833C81"/>
    <w:rsid w:val="008346A3"/>
    <w:rsid w:val="00836379"/>
    <w:rsid w:val="008454E9"/>
    <w:rsid w:val="00852C94"/>
    <w:rsid w:val="00852EDE"/>
    <w:rsid w:val="008556CF"/>
    <w:rsid w:val="0085571C"/>
    <w:rsid w:val="0085642F"/>
    <w:rsid w:val="008608BD"/>
    <w:rsid w:val="00863CA7"/>
    <w:rsid w:val="00864FC0"/>
    <w:rsid w:val="00865A7F"/>
    <w:rsid w:val="008675DB"/>
    <w:rsid w:val="00867D10"/>
    <w:rsid w:val="00870705"/>
    <w:rsid w:val="00882F51"/>
    <w:rsid w:val="008844C3"/>
    <w:rsid w:val="00884D0F"/>
    <w:rsid w:val="008867EB"/>
    <w:rsid w:val="00891004"/>
    <w:rsid w:val="008937D0"/>
    <w:rsid w:val="00893FD0"/>
    <w:rsid w:val="00897B56"/>
    <w:rsid w:val="008A163D"/>
    <w:rsid w:val="008A7EBB"/>
    <w:rsid w:val="008B2966"/>
    <w:rsid w:val="008B38D9"/>
    <w:rsid w:val="008B5076"/>
    <w:rsid w:val="008C3694"/>
    <w:rsid w:val="008C3925"/>
    <w:rsid w:val="008C61E6"/>
    <w:rsid w:val="008D18A9"/>
    <w:rsid w:val="008D20E9"/>
    <w:rsid w:val="008D3E30"/>
    <w:rsid w:val="008E092C"/>
    <w:rsid w:val="008E2DAD"/>
    <w:rsid w:val="008E4881"/>
    <w:rsid w:val="008E5A2C"/>
    <w:rsid w:val="008F1056"/>
    <w:rsid w:val="008F39FA"/>
    <w:rsid w:val="008F6ABB"/>
    <w:rsid w:val="009014B7"/>
    <w:rsid w:val="00902A9D"/>
    <w:rsid w:val="0090344E"/>
    <w:rsid w:val="00905931"/>
    <w:rsid w:val="00907053"/>
    <w:rsid w:val="00910198"/>
    <w:rsid w:val="009168E9"/>
    <w:rsid w:val="00917330"/>
    <w:rsid w:val="00921ADE"/>
    <w:rsid w:val="00925621"/>
    <w:rsid w:val="009267AA"/>
    <w:rsid w:val="00926DC9"/>
    <w:rsid w:val="0092770D"/>
    <w:rsid w:val="00931D86"/>
    <w:rsid w:val="00936CE5"/>
    <w:rsid w:val="00940395"/>
    <w:rsid w:val="00944014"/>
    <w:rsid w:val="00946ED3"/>
    <w:rsid w:val="0095058C"/>
    <w:rsid w:val="009508D7"/>
    <w:rsid w:val="00956E51"/>
    <w:rsid w:val="009579FE"/>
    <w:rsid w:val="00960D16"/>
    <w:rsid w:val="00961FCC"/>
    <w:rsid w:val="00965857"/>
    <w:rsid w:val="00966E4C"/>
    <w:rsid w:val="009716FB"/>
    <w:rsid w:val="00973FB8"/>
    <w:rsid w:val="00975C57"/>
    <w:rsid w:val="00975DE0"/>
    <w:rsid w:val="00981388"/>
    <w:rsid w:val="00991EE2"/>
    <w:rsid w:val="00995CC6"/>
    <w:rsid w:val="00996BCD"/>
    <w:rsid w:val="00997D30"/>
    <w:rsid w:val="009A6F49"/>
    <w:rsid w:val="009A776E"/>
    <w:rsid w:val="009A79BD"/>
    <w:rsid w:val="009B34D6"/>
    <w:rsid w:val="009B43AA"/>
    <w:rsid w:val="009B4F09"/>
    <w:rsid w:val="009B55B8"/>
    <w:rsid w:val="009C04C2"/>
    <w:rsid w:val="009C41A5"/>
    <w:rsid w:val="009C54E2"/>
    <w:rsid w:val="009D1F83"/>
    <w:rsid w:val="009D2985"/>
    <w:rsid w:val="009D35F2"/>
    <w:rsid w:val="009D6087"/>
    <w:rsid w:val="009D7A46"/>
    <w:rsid w:val="009E1C1A"/>
    <w:rsid w:val="009E1E38"/>
    <w:rsid w:val="009E3F32"/>
    <w:rsid w:val="009E569E"/>
    <w:rsid w:val="009F070E"/>
    <w:rsid w:val="00A0154E"/>
    <w:rsid w:val="00A01671"/>
    <w:rsid w:val="00A02433"/>
    <w:rsid w:val="00A059AC"/>
    <w:rsid w:val="00A114E4"/>
    <w:rsid w:val="00A1261B"/>
    <w:rsid w:val="00A16374"/>
    <w:rsid w:val="00A22667"/>
    <w:rsid w:val="00A25ACF"/>
    <w:rsid w:val="00A30047"/>
    <w:rsid w:val="00A30D24"/>
    <w:rsid w:val="00A30F30"/>
    <w:rsid w:val="00A37D84"/>
    <w:rsid w:val="00A421F7"/>
    <w:rsid w:val="00A54EFC"/>
    <w:rsid w:val="00A55184"/>
    <w:rsid w:val="00A55968"/>
    <w:rsid w:val="00A56376"/>
    <w:rsid w:val="00A6127B"/>
    <w:rsid w:val="00A666A6"/>
    <w:rsid w:val="00A66DC0"/>
    <w:rsid w:val="00A67A77"/>
    <w:rsid w:val="00A7067F"/>
    <w:rsid w:val="00A72456"/>
    <w:rsid w:val="00A75476"/>
    <w:rsid w:val="00A75AD3"/>
    <w:rsid w:val="00A84C93"/>
    <w:rsid w:val="00A84E85"/>
    <w:rsid w:val="00A866C9"/>
    <w:rsid w:val="00A9105D"/>
    <w:rsid w:val="00A9528A"/>
    <w:rsid w:val="00AA0348"/>
    <w:rsid w:val="00AA46C0"/>
    <w:rsid w:val="00AA6027"/>
    <w:rsid w:val="00AA63A2"/>
    <w:rsid w:val="00AB0653"/>
    <w:rsid w:val="00AB1440"/>
    <w:rsid w:val="00AB261C"/>
    <w:rsid w:val="00AB2C6C"/>
    <w:rsid w:val="00AB518A"/>
    <w:rsid w:val="00AC0844"/>
    <w:rsid w:val="00AC1D84"/>
    <w:rsid w:val="00AC418A"/>
    <w:rsid w:val="00AC552B"/>
    <w:rsid w:val="00AC6F26"/>
    <w:rsid w:val="00AC7352"/>
    <w:rsid w:val="00AD0D2C"/>
    <w:rsid w:val="00AD0DB5"/>
    <w:rsid w:val="00AD1B00"/>
    <w:rsid w:val="00AD3D3D"/>
    <w:rsid w:val="00AD648F"/>
    <w:rsid w:val="00AD6B71"/>
    <w:rsid w:val="00AE4ADB"/>
    <w:rsid w:val="00AF017D"/>
    <w:rsid w:val="00AF1618"/>
    <w:rsid w:val="00AF2034"/>
    <w:rsid w:val="00AF2071"/>
    <w:rsid w:val="00AF23D8"/>
    <w:rsid w:val="00AF600B"/>
    <w:rsid w:val="00B01502"/>
    <w:rsid w:val="00B02D6A"/>
    <w:rsid w:val="00B03D49"/>
    <w:rsid w:val="00B111E6"/>
    <w:rsid w:val="00B1495D"/>
    <w:rsid w:val="00B166FB"/>
    <w:rsid w:val="00B203DD"/>
    <w:rsid w:val="00B20674"/>
    <w:rsid w:val="00B2165B"/>
    <w:rsid w:val="00B25C28"/>
    <w:rsid w:val="00B32EB5"/>
    <w:rsid w:val="00B338FB"/>
    <w:rsid w:val="00B33BDF"/>
    <w:rsid w:val="00B35441"/>
    <w:rsid w:val="00B3701A"/>
    <w:rsid w:val="00B37C39"/>
    <w:rsid w:val="00B437EF"/>
    <w:rsid w:val="00B4518D"/>
    <w:rsid w:val="00B51015"/>
    <w:rsid w:val="00B53FCE"/>
    <w:rsid w:val="00B5406A"/>
    <w:rsid w:val="00B574DD"/>
    <w:rsid w:val="00B617F4"/>
    <w:rsid w:val="00B63022"/>
    <w:rsid w:val="00B660A8"/>
    <w:rsid w:val="00B662B0"/>
    <w:rsid w:val="00B66C11"/>
    <w:rsid w:val="00B74E6F"/>
    <w:rsid w:val="00B7636C"/>
    <w:rsid w:val="00B80F21"/>
    <w:rsid w:val="00B84FA3"/>
    <w:rsid w:val="00B86223"/>
    <w:rsid w:val="00B91097"/>
    <w:rsid w:val="00B91529"/>
    <w:rsid w:val="00B92E67"/>
    <w:rsid w:val="00B93C50"/>
    <w:rsid w:val="00B94647"/>
    <w:rsid w:val="00B948A2"/>
    <w:rsid w:val="00B96CAF"/>
    <w:rsid w:val="00BA6D13"/>
    <w:rsid w:val="00BA6DB3"/>
    <w:rsid w:val="00BB25C0"/>
    <w:rsid w:val="00BB2F1C"/>
    <w:rsid w:val="00BB4A8D"/>
    <w:rsid w:val="00BB4DD0"/>
    <w:rsid w:val="00BB5A4F"/>
    <w:rsid w:val="00BB75D0"/>
    <w:rsid w:val="00BC09B3"/>
    <w:rsid w:val="00BC1087"/>
    <w:rsid w:val="00BC2955"/>
    <w:rsid w:val="00BC2DB4"/>
    <w:rsid w:val="00BC614C"/>
    <w:rsid w:val="00BC6986"/>
    <w:rsid w:val="00BC6B11"/>
    <w:rsid w:val="00BC7068"/>
    <w:rsid w:val="00BC757B"/>
    <w:rsid w:val="00BD1C86"/>
    <w:rsid w:val="00BD5853"/>
    <w:rsid w:val="00BD70BF"/>
    <w:rsid w:val="00BE0B5E"/>
    <w:rsid w:val="00BE2FE3"/>
    <w:rsid w:val="00BE636D"/>
    <w:rsid w:val="00BE7C89"/>
    <w:rsid w:val="00BF231B"/>
    <w:rsid w:val="00BF25FE"/>
    <w:rsid w:val="00BF2DEA"/>
    <w:rsid w:val="00BF30D9"/>
    <w:rsid w:val="00C11402"/>
    <w:rsid w:val="00C11F58"/>
    <w:rsid w:val="00C12F6E"/>
    <w:rsid w:val="00C15FB6"/>
    <w:rsid w:val="00C16E40"/>
    <w:rsid w:val="00C30B9D"/>
    <w:rsid w:val="00C370C0"/>
    <w:rsid w:val="00C400F6"/>
    <w:rsid w:val="00C40C2A"/>
    <w:rsid w:val="00C41B75"/>
    <w:rsid w:val="00C43390"/>
    <w:rsid w:val="00C46B35"/>
    <w:rsid w:val="00C47483"/>
    <w:rsid w:val="00C53882"/>
    <w:rsid w:val="00C55CD5"/>
    <w:rsid w:val="00C57456"/>
    <w:rsid w:val="00C63A30"/>
    <w:rsid w:val="00C649F1"/>
    <w:rsid w:val="00C80ED3"/>
    <w:rsid w:val="00C8249F"/>
    <w:rsid w:val="00C85E86"/>
    <w:rsid w:val="00C86A4D"/>
    <w:rsid w:val="00C96D1D"/>
    <w:rsid w:val="00C974F5"/>
    <w:rsid w:val="00C97FD8"/>
    <w:rsid w:val="00CA0783"/>
    <w:rsid w:val="00CA54F4"/>
    <w:rsid w:val="00CA5627"/>
    <w:rsid w:val="00CB08C7"/>
    <w:rsid w:val="00CB1FB5"/>
    <w:rsid w:val="00CB350B"/>
    <w:rsid w:val="00CB47BE"/>
    <w:rsid w:val="00CB74F5"/>
    <w:rsid w:val="00CC510C"/>
    <w:rsid w:val="00CC63A1"/>
    <w:rsid w:val="00CC7A1A"/>
    <w:rsid w:val="00CD19D2"/>
    <w:rsid w:val="00CD1C42"/>
    <w:rsid w:val="00CD224E"/>
    <w:rsid w:val="00CD4313"/>
    <w:rsid w:val="00CD4F94"/>
    <w:rsid w:val="00CD65E4"/>
    <w:rsid w:val="00CD6904"/>
    <w:rsid w:val="00CD770C"/>
    <w:rsid w:val="00CD7DF8"/>
    <w:rsid w:val="00CE1D36"/>
    <w:rsid w:val="00CE1E46"/>
    <w:rsid w:val="00CE1EB8"/>
    <w:rsid w:val="00CE316F"/>
    <w:rsid w:val="00CE3CD5"/>
    <w:rsid w:val="00CF00F3"/>
    <w:rsid w:val="00CF05EA"/>
    <w:rsid w:val="00CF315E"/>
    <w:rsid w:val="00CF503F"/>
    <w:rsid w:val="00CF616D"/>
    <w:rsid w:val="00D035CB"/>
    <w:rsid w:val="00D042AC"/>
    <w:rsid w:val="00D054FA"/>
    <w:rsid w:val="00D11153"/>
    <w:rsid w:val="00D11EEE"/>
    <w:rsid w:val="00D12C80"/>
    <w:rsid w:val="00D1328D"/>
    <w:rsid w:val="00D13949"/>
    <w:rsid w:val="00D15648"/>
    <w:rsid w:val="00D20386"/>
    <w:rsid w:val="00D216CD"/>
    <w:rsid w:val="00D279B5"/>
    <w:rsid w:val="00D279E3"/>
    <w:rsid w:val="00D27FC0"/>
    <w:rsid w:val="00D302A1"/>
    <w:rsid w:val="00D330F1"/>
    <w:rsid w:val="00D338B3"/>
    <w:rsid w:val="00D34D91"/>
    <w:rsid w:val="00D36262"/>
    <w:rsid w:val="00D37F06"/>
    <w:rsid w:val="00D4014B"/>
    <w:rsid w:val="00D44082"/>
    <w:rsid w:val="00D44335"/>
    <w:rsid w:val="00D458A6"/>
    <w:rsid w:val="00D46436"/>
    <w:rsid w:val="00D5063D"/>
    <w:rsid w:val="00D50F69"/>
    <w:rsid w:val="00D51729"/>
    <w:rsid w:val="00D518A2"/>
    <w:rsid w:val="00D541FF"/>
    <w:rsid w:val="00D547CD"/>
    <w:rsid w:val="00D57B87"/>
    <w:rsid w:val="00D600A1"/>
    <w:rsid w:val="00D609DE"/>
    <w:rsid w:val="00D62383"/>
    <w:rsid w:val="00D62D74"/>
    <w:rsid w:val="00D661DB"/>
    <w:rsid w:val="00D71A4D"/>
    <w:rsid w:val="00D75726"/>
    <w:rsid w:val="00D77B46"/>
    <w:rsid w:val="00D84E4A"/>
    <w:rsid w:val="00D8516D"/>
    <w:rsid w:val="00D8566D"/>
    <w:rsid w:val="00D865E9"/>
    <w:rsid w:val="00D915F2"/>
    <w:rsid w:val="00D96278"/>
    <w:rsid w:val="00D9701E"/>
    <w:rsid w:val="00DA0857"/>
    <w:rsid w:val="00DA0F88"/>
    <w:rsid w:val="00DA5A80"/>
    <w:rsid w:val="00DB3855"/>
    <w:rsid w:val="00DB5937"/>
    <w:rsid w:val="00DB7EDC"/>
    <w:rsid w:val="00DC1349"/>
    <w:rsid w:val="00DC2B12"/>
    <w:rsid w:val="00DC37A4"/>
    <w:rsid w:val="00DC7639"/>
    <w:rsid w:val="00DC7C1D"/>
    <w:rsid w:val="00DD2912"/>
    <w:rsid w:val="00DD2F14"/>
    <w:rsid w:val="00DD5BCC"/>
    <w:rsid w:val="00DE2E77"/>
    <w:rsid w:val="00DE41EF"/>
    <w:rsid w:val="00DE7685"/>
    <w:rsid w:val="00DF0665"/>
    <w:rsid w:val="00DF6C0B"/>
    <w:rsid w:val="00E00A7F"/>
    <w:rsid w:val="00E01291"/>
    <w:rsid w:val="00E0570D"/>
    <w:rsid w:val="00E06705"/>
    <w:rsid w:val="00E11C36"/>
    <w:rsid w:val="00E121A3"/>
    <w:rsid w:val="00E135B3"/>
    <w:rsid w:val="00E17793"/>
    <w:rsid w:val="00E2019B"/>
    <w:rsid w:val="00E21743"/>
    <w:rsid w:val="00E245A6"/>
    <w:rsid w:val="00E25A20"/>
    <w:rsid w:val="00E2604E"/>
    <w:rsid w:val="00E33236"/>
    <w:rsid w:val="00E35F0E"/>
    <w:rsid w:val="00E36CC0"/>
    <w:rsid w:val="00E42969"/>
    <w:rsid w:val="00E42E58"/>
    <w:rsid w:val="00E43748"/>
    <w:rsid w:val="00E43B72"/>
    <w:rsid w:val="00E443DC"/>
    <w:rsid w:val="00E4523E"/>
    <w:rsid w:val="00E473EA"/>
    <w:rsid w:val="00E50B97"/>
    <w:rsid w:val="00E52C15"/>
    <w:rsid w:val="00E53846"/>
    <w:rsid w:val="00E578F1"/>
    <w:rsid w:val="00E57AF8"/>
    <w:rsid w:val="00E6151E"/>
    <w:rsid w:val="00E618B3"/>
    <w:rsid w:val="00E6412D"/>
    <w:rsid w:val="00E64618"/>
    <w:rsid w:val="00E726AD"/>
    <w:rsid w:val="00E7324F"/>
    <w:rsid w:val="00E74418"/>
    <w:rsid w:val="00E74914"/>
    <w:rsid w:val="00E74E38"/>
    <w:rsid w:val="00E76FB7"/>
    <w:rsid w:val="00E83ADF"/>
    <w:rsid w:val="00E93D0C"/>
    <w:rsid w:val="00E94BEF"/>
    <w:rsid w:val="00E96BF0"/>
    <w:rsid w:val="00EA0BA3"/>
    <w:rsid w:val="00EB163D"/>
    <w:rsid w:val="00EB2A98"/>
    <w:rsid w:val="00EB305D"/>
    <w:rsid w:val="00EB711C"/>
    <w:rsid w:val="00EB7E49"/>
    <w:rsid w:val="00EC0905"/>
    <w:rsid w:val="00EC31C0"/>
    <w:rsid w:val="00EC522A"/>
    <w:rsid w:val="00EC735D"/>
    <w:rsid w:val="00ED124D"/>
    <w:rsid w:val="00ED4C26"/>
    <w:rsid w:val="00ED5ECF"/>
    <w:rsid w:val="00ED667D"/>
    <w:rsid w:val="00ED7181"/>
    <w:rsid w:val="00ED72E6"/>
    <w:rsid w:val="00EE41F7"/>
    <w:rsid w:val="00EE434D"/>
    <w:rsid w:val="00EE6F8E"/>
    <w:rsid w:val="00EE7EB2"/>
    <w:rsid w:val="00EF0D6E"/>
    <w:rsid w:val="00EF394C"/>
    <w:rsid w:val="00EF7D48"/>
    <w:rsid w:val="00EF7EBF"/>
    <w:rsid w:val="00F00B62"/>
    <w:rsid w:val="00F018D9"/>
    <w:rsid w:val="00F0597A"/>
    <w:rsid w:val="00F0654E"/>
    <w:rsid w:val="00F066EC"/>
    <w:rsid w:val="00F0716D"/>
    <w:rsid w:val="00F1108B"/>
    <w:rsid w:val="00F12F72"/>
    <w:rsid w:val="00F1403A"/>
    <w:rsid w:val="00F150F6"/>
    <w:rsid w:val="00F16223"/>
    <w:rsid w:val="00F17DCF"/>
    <w:rsid w:val="00F21E52"/>
    <w:rsid w:val="00F233C0"/>
    <w:rsid w:val="00F2730C"/>
    <w:rsid w:val="00F3264E"/>
    <w:rsid w:val="00F35646"/>
    <w:rsid w:val="00F35997"/>
    <w:rsid w:val="00F36F5D"/>
    <w:rsid w:val="00F41485"/>
    <w:rsid w:val="00F42672"/>
    <w:rsid w:val="00F469A2"/>
    <w:rsid w:val="00F50735"/>
    <w:rsid w:val="00F55E37"/>
    <w:rsid w:val="00F56CB1"/>
    <w:rsid w:val="00F606E2"/>
    <w:rsid w:val="00F628FA"/>
    <w:rsid w:val="00F665AC"/>
    <w:rsid w:val="00F70724"/>
    <w:rsid w:val="00F8042C"/>
    <w:rsid w:val="00F81A84"/>
    <w:rsid w:val="00F81D86"/>
    <w:rsid w:val="00F834F6"/>
    <w:rsid w:val="00F837F6"/>
    <w:rsid w:val="00F8619A"/>
    <w:rsid w:val="00F90FDE"/>
    <w:rsid w:val="00F9134C"/>
    <w:rsid w:val="00F91783"/>
    <w:rsid w:val="00F93401"/>
    <w:rsid w:val="00F95123"/>
    <w:rsid w:val="00F960A6"/>
    <w:rsid w:val="00F96FF6"/>
    <w:rsid w:val="00FA0620"/>
    <w:rsid w:val="00FA152D"/>
    <w:rsid w:val="00FA2ACF"/>
    <w:rsid w:val="00FA30A3"/>
    <w:rsid w:val="00FA7FB8"/>
    <w:rsid w:val="00FB0DCF"/>
    <w:rsid w:val="00FB276B"/>
    <w:rsid w:val="00FB6558"/>
    <w:rsid w:val="00FC12AF"/>
    <w:rsid w:val="00FC5638"/>
    <w:rsid w:val="00FD0BF6"/>
    <w:rsid w:val="00FD23BE"/>
    <w:rsid w:val="00FD249D"/>
    <w:rsid w:val="00FD4227"/>
    <w:rsid w:val="00FF0D9B"/>
    <w:rsid w:val="00FF402F"/>
    <w:rsid w:val="00FF75BC"/>
    <w:rsid w:val="01001B5E"/>
    <w:rsid w:val="01154EDD"/>
    <w:rsid w:val="015730EB"/>
    <w:rsid w:val="0161401B"/>
    <w:rsid w:val="016E2F6B"/>
    <w:rsid w:val="018E4955"/>
    <w:rsid w:val="01A06F09"/>
    <w:rsid w:val="01E273A8"/>
    <w:rsid w:val="02002AED"/>
    <w:rsid w:val="02316844"/>
    <w:rsid w:val="02555ED9"/>
    <w:rsid w:val="026B0EA7"/>
    <w:rsid w:val="0280680B"/>
    <w:rsid w:val="02CD1980"/>
    <w:rsid w:val="030A0A72"/>
    <w:rsid w:val="030D6F96"/>
    <w:rsid w:val="0362741F"/>
    <w:rsid w:val="038325D2"/>
    <w:rsid w:val="03912F41"/>
    <w:rsid w:val="03B92498"/>
    <w:rsid w:val="03BD3D36"/>
    <w:rsid w:val="03CA5DE2"/>
    <w:rsid w:val="03D01018"/>
    <w:rsid w:val="03D93961"/>
    <w:rsid w:val="03F139E0"/>
    <w:rsid w:val="0402799B"/>
    <w:rsid w:val="042B5143"/>
    <w:rsid w:val="044B190C"/>
    <w:rsid w:val="046046C1"/>
    <w:rsid w:val="046A4771"/>
    <w:rsid w:val="04707D88"/>
    <w:rsid w:val="048C54B6"/>
    <w:rsid w:val="048D195A"/>
    <w:rsid w:val="04D56B83"/>
    <w:rsid w:val="04DA4474"/>
    <w:rsid w:val="04F33787"/>
    <w:rsid w:val="04FF037E"/>
    <w:rsid w:val="050B6D23"/>
    <w:rsid w:val="051E5AEF"/>
    <w:rsid w:val="052C3508"/>
    <w:rsid w:val="0535135E"/>
    <w:rsid w:val="055230F7"/>
    <w:rsid w:val="05524952"/>
    <w:rsid w:val="055A55B4"/>
    <w:rsid w:val="055A7363"/>
    <w:rsid w:val="056D1E1F"/>
    <w:rsid w:val="057C552B"/>
    <w:rsid w:val="05882122"/>
    <w:rsid w:val="05E03D0C"/>
    <w:rsid w:val="05F3436E"/>
    <w:rsid w:val="05FE0636"/>
    <w:rsid w:val="05FF51B6"/>
    <w:rsid w:val="060858EC"/>
    <w:rsid w:val="066C559F"/>
    <w:rsid w:val="06922CB5"/>
    <w:rsid w:val="06A02917"/>
    <w:rsid w:val="06F62122"/>
    <w:rsid w:val="073F1ABC"/>
    <w:rsid w:val="074917EE"/>
    <w:rsid w:val="07AB3B7E"/>
    <w:rsid w:val="07D89279"/>
    <w:rsid w:val="07DC15D4"/>
    <w:rsid w:val="07F551B6"/>
    <w:rsid w:val="07F7533D"/>
    <w:rsid w:val="082A5712"/>
    <w:rsid w:val="083B347B"/>
    <w:rsid w:val="084F33CB"/>
    <w:rsid w:val="0880295B"/>
    <w:rsid w:val="088B556C"/>
    <w:rsid w:val="089D4136"/>
    <w:rsid w:val="08C33729"/>
    <w:rsid w:val="08C83852"/>
    <w:rsid w:val="08F75555"/>
    <w:rsid w:val="08FA50E4"/>
    <w:rsid w:val="09052F9A"/>
    <w:rsid w:val="09063A89"/>
    <w:rsid w:val="09095327"/>
    <w:rsid w:val="09293C1C"/>
    <w:rsid w:val="092A7093"/>
    <w:rsid w:val="09300B06"/>
    <w:rsid w:val="09307864"/>
    <w:rsid w:val="096561AF"/>
    <w:rsid w:val="09781FDD"/>
    <w:rsid w:val="09900E3E"/>
    <w:rsid w:val="09B62E60"/>
    <w:rsid w:val="09BC541C"/>
    <w:rsid w:val="09C071CB"/>
    <w:rsid w:val="09CC59C7"/>
    <w:rsid w:val="09D11FB5"/>
    <w:rsid w:val="09D516AE"/>
    <w:rsid w:val="09EF6C13"/>
    <w:rsid w:val="0A0501E5"/>
    <w:rsid w:val="0A142FF8"/>
    <w:rsid w:val="0A195A3E"/>
    <w:rsid w:val="0A293064"/>
    <w:rsid w:val="0A405563"/>
    <w:rsid w:val="0A4A544B"/>
    <w:rsid w:val="0A8E01DA"/>
    <w:rsid w:val="0A8E69C4"/>
    <w:rsid w:val="0AB30ABE"/>
    <w:rsid w:val="0AEB606B"/>
    <w:rsid w:val="0AF85A60"/>
    <w:rsid w:val="0AFC6DC6"/>
    <w:rsid w:val="0B3C2F83"/>
    <w:rsid w:val="0B4F48E5"/>
    <w:rsid w:val="0B646ACD"/>
    <w:rsid w:val="0B867103"/>
    <w:rsid w:val="0B946B45"/>
    <w:rsid w:val="0BA63F60"/>
    <w:rsid w:val="0BB772BD"/>
    <w:rsid w:val="0C045FB5"/>
    <w:rsid w:val="0C132492"/>
    <w:rsid w:val="0C193C4F"/>
    <w:rsid w:val="0C642DA1"/>
    <w:rsid w:val="0C6B4C1D"/>
    <w:rsid w:val="0C774C9E"/>
    <w:rsid w:val="0C7B478E"/>
    <w:rsid w:val="0C8353F1"/>
    <w:rsid w:val="0C8C24F7"/>
    <w:rsid w:val="0C9C19A0"/>
    <w:rsid w:val="0CCC6D98"/>
    <w:rsid w:val="0CFAA4A2"/>
    <w:rsid w:val="0CFF4446"/>
    <w:rsid w:val="0D002774"/>
    <w:rsid w:val="0D09663B"/>
    <w:rsid w:val="0D137DEA"/>
    <w:rsid w:val="0D4454E4"/>
    <w:rsid w:val="0D676AC1"/>
    <w:rsid w:val="0D847672"/>
    <w:rsid w:val="0D8E229F"/>
    <w:rsid w:val="0D951880"/>
    <w:rsid w:val="0DCC76F2"/>
    <w:rsid w:val="0DED3F7D"/>
    <w:rsid w:val="0DF465A6"/>
    <w:rsid w:val="0E196E69"/>
    <w:rsid w:val="0E444BC6"/>
    <w:rsid w:val="0E56550E"/>
    <w:rsid w:val="0EAB697C"/>
    <w:rsid w:val="0EB73E78"/>
    <w:rsid w:val="0ED44466"/>
    <w:rsid w:val="0EF95E3E"/>
    <w:rsid w:val="0F0D417B"/>
    <w:rsid w:val="0F24110D"/>
    <w:rsid w:val="0F3B2E32"/>
    <w:rsid w:val="0F5867DF"/>
    <w:rsid w:val="0FA844D5"/>
    <w:rsid w:val="0FA97864"/>
    <w:rsid w:val="0FAC4C5F"/>
    <w:rsid w:val="109B53FF"/>
    <w:rsid w:val="10CF0FE9"/>
    <w:rsid w:val="10DE4449"/>
    <w:rsid w:val="10ED552F"/>
    <w:rsid w:val="110079DA"/>
    <w:rsid w:val="11302126"/>
    <w:rsid w:val="114B2F99"/>
    <w:rsid w:val="116A6B7F"/>
    <w:rsid w:val="1170063A"/>
    <w:rsid w:val="118D55CF"/>
    <w:rsid w:val="11916802"/>
    <w:rsid w:val="11BF8DE2"/>
    <w:rsid w:val="11C63C5C"/>
    <w:rsid w:val="11C96BFF"/>
    <w:rsid w:val="11CB3AC2"/>
    <w:rsid w:val="11E9584E"/>
    <w:rsid w:val="12091837"/>
    <w:rsid w:val="122923D5"/>
    <w:rsid w:val="123A40FC"/>
    <w:rsid w:val="128F2D41"/>
    <w:rsid w:val="12913DF6"/>
    <w:rsid w:val="12971BF6"/>
    <w:rsid w:val="12B03C54"/>
    <w:rsid w:val="12B46304"/>
    <w:rsid w:val="12BC58EB"/>
    <w:rsid w:val="12E3308D"/>
    <w:rsid w:val="12FA0165"/>
    <w:rsid w:val="130D399B"/>
    <w:rsid w:val="13347445"/>
    <w:rsid w:val="134827AE"/>
    <w:rsid w:val="13505D80"/>
    <w:rsid w:val="13682A85"/>
    <w:rsid w:val="137FE7FF"/>
    <w:rsid w:val="1393060F"/>
    <w:rsid w:val="13AFE1EC"/>
    <w:rsid w:val="13B43EE8"/>
    <w:rsid w:val="13BF582E"/>
    <w:rsid w:val="13C24A51"/>
    <w:rsid w:val="13EE1CEA"/>
    <w:rsid w:val="13FA6B54"/>
    <w:rsid w:val="13FA79C8"/>
    <w:rsid w:val="140164DF"/>
    <w:rsid w:val="14065285"/>
    <w:rsid w:val="14357918"/>
    <w:rsid w:val="146D0E60"/>
    <w:rsid w:val="14A95C11"/>
    <w:rsid w:val="14EF2C7D"/>
    <w:rsid w:val="14FD578D"/>
    <w:rsid w:val="14FE41AE"/>
    <w:rsid w:val="151E7799"/>
    <w:rsid w:val="155C08F0"/>
    <w:rsid w:val="15F265EC"/>
    <w:rsid w:val="16091A2C"/>
    <w:rsid w:val="160D2D3C"/>
    <w:rsid w:val="16244E3E"/>
    <w:rsid w:val="1624772B"/>
    <w:rsid w:val="16315EBE"/>
    <w:rsid w:val="164B51D1"/>
    <w:rsid w:val="16685D83"/>
    <w:rsid w:val="166F12BC"/>
    <w:rsid w:val="1692064E"/>
    <w:rsid w:val="16AD2BAC"/>
    <w:rsid w:val="16BE3BF5"/>
    <w:rsid w:val="17476A7D"/>
    <w:rsid w:val="176378BF"/>
    <w:rsid w:val="17942BA8"/>
    <w:rsid w:val="17944956"/>
    <w:rsid w:val="17BF1F39"/>
    <w:rsid w:val="17C81910"/>
    <w:rsid w:val="17CE212E"/>
    <w:rsid w:val="17D01B09"/>
    <w:rsid w:val="17DA505A"/>
    <w:rsid w:val="17E07B9B"/>
    <w:rsid w:val="17EA5768"/>
    <w:rsid w:val="17F16D34"/>
    <w:rsid w:val="182E6534"/>
    <w:rsid w:val="18357EE7"/>
    <w:rsid w:val="18534811"/>
    <w:rsid w:val="186327D0"/>
    <w:rsid w:val="188D2271"/>
    <w:rsid w:val="189F1804"/>
    <w:rsid w:val="18B0539E"/>
    <w:rsid w:val="18B12573"/>
    <w:rsid w:val="18BB3479"/>
    <w:rsid w:val="18C820AD"/>
    <w:rsid w:val="190F698A"/>
    <w:rsid w:val="19366F97"/>
    <w:rsid w:val="199B4AB5"/>
    <w:rsid w:val="19C77265"/>
    <w:rsid w:val="19D158A1"/>
    <w:rsid w:val="19D159ED"/>
    <w:rsid w:val="19D32EE6"/>
    <w:rsid w:val="19F704E3"/>
    <w:rsid w:val="1A18361C"/>
    <w:rsid w:val="1A51026B"/>
    <w:rsid w:val="1A5605E9"/>
    <w:rsid w:val="1A60726F"/>
    <w:rsid w:val="1A7F72A4"/>
    <w:rsid w:val="1A864A2A"/>
    <w:rsid w:val="1A872550"/>
    <w:rsid w:val="1AAC38DB"/>
    <w:rsid w:val="1AAC63D3"/>
    <w:rsid w:val="1ABC044C"/>
    <w:rsid w:val="1AD0039B"/>
    <w:rsid w:val="1AE31FAA"/>
    <w:rsid w:val="1AE9356B"/>
    <w:rsid w:val="1AFC6A9A"/>
    <w:rsid w:val="1AFF658A"/>
    <w:rsid w:val="1B244243"/>
    <w:rsid w:val="1B291859"/>
    <w:rsid w:val="1B2B737F"/>
    <w:rsid w:val="1B4B5C73"/>
    <w:rsid w:val="1B6603B7"/>
    <w:rsid w:val="1B8076CB"/>
    <w:rsid w:val="1B917B2A"/>
    <w:rsid w:val="1B937A0D"/>
    <w:rsid w:val="1B9E3FF5"/>
    <w:rsid w:val="1BD10426"/>
    <w:rsid w:val="1BD72872"/>
    <w:rsid w:val="1BF67634"/>
    <w:rsid w:val="1BFF36EF"/>
    <w:rsid w:val="1C1E6EE4"/>
    <w:rsid w:val="1C39076D"/>
    <w:rsid w:val="1C8467D0"/>
    <w:rsid w:val="1C8C20A0"/>
    <w:rsid w:val="1C9D24FF"/>
    <w:rsid w:val="1CA64E8E"/>
    <w:rsid w:val="1CDB3E65"/>
    <w:rsid w:val="1CE912A0"/>
    <w:rsid w:val="1CEC2B3E"/>
    <w:rsid w:val="1D1964A7"/>
    <w:rsid w:val="1D232A04"/>
    <w:rsid w:val="1D570900"/>
    <w:rsid w:val="1D6E79F7"/>
    <w:rsid w:val="1D736673"/>
    <w:rsid w:val="1D9E18C3"/>
    <w:rsid w:val="1DA707E4"/>
    <w:rsid w:val="1DB05356"/>
    <w:rsid w:val="1DC35B34"/>
    <w:rsid w:val="1DCC309C"/>
    <w:rsid w:val="1DCD7F67"/>
    <w:rsid w:val="1DE067AB"/>
    <w:rsid w:val="1DEF13DA"/>
    <w:rsid w:val="1DF938BA"/>
    <w:rsid w:val="1E0D7210"/>
    <w:rsid w:val="1E124827"/>
    <w:rsid w:val="1E370F75"/>
    <w:rsid w:val="1E3824DF"/>
    <w:rsid w:val="1E6FA18A"/>
    <w:rsid w:val="1E97D97C"/>
    <w:rsid w:val="1E9E68B5"/>
    <w:rsid w:val="1E9F430C"/>
    <w:rsid w:val="1EEB219B"/>
    <w:rsid w:val="1F2A4EE3"/>
    <w:rsid w:val="1F5F77A5"/>
    <w:rsid w:val="1F705CA9"/>
    <w:rsid w:val="1F745799"/>
    <w:rsid w:val="1F7F7C9A"/>
    <w:rsid w:val="1F9E22F9"/>
    <w:rsid w:val="1F9F4C63"/>
    <w:rsid w:val="1FBFECBE"/>
    <w:rsid w:val="1FCE578B"/>
    <w:rsid w:val="1FCF29CF"/>
    <w:rsid w:val="1FE346CD"/>
    <w:rsid w:val="1FF97B42"/>
    <w:rsid w:val="2011123A"/>
    <w:rsid w:val="20140D2A"/>
    <w:rsid w:val="201A347A"/>
    <w:rsid w:val="201C35AB"/>
    <w:rsid w:val="20280331"/>
    <w:rsid w:val="20306DE5"/>
    <w:rsid w:val="20384A18"/>
    <w:rsid w:val="20570DB0"/>
    <w:rsid w:val="205B24B5"/>
    <w:rsid w:val="205C79C2"/>
    <w:rsid w:val="207215AC"/>
    <w:rsid w:val="207E43F5"/>
    <w:rsid w:val="20A630D0"/>
    <w:rsid w:val="20AF0CF5"/>
    <w:rsid w:val="20B322F1"/>
    <w:rsid w:val="20B809DB"/>
    <w:rsid w:val="20D5014F"/>
    <w:rsid w:val="210D5BBA"/>
    <w:rsid w:val="21143A54"/>
    <w:rsid w:val="212524B9"/>
    <w:rsid w:val="214327CB"/>
    <w:rsid w:val="2154271C"/>
    <w:rsid w:val="216B6728"/>
    <w:rsid w:val="217009D2"/>
    <w:rsid w:val="21C422DC"/>
    <w:rsid w:val="21D32D30"/>
    <w:rsid w:val="21D753F3"/>
    <w:rsid w:val="21E14C3C"/>
    <w:rsid w:val="21E8421C"/>
    <w:rsid w:val="21F43511"/>
    <w:rsid w:val="21F798DD"/>
    <w:rsid w:val="221606FC"/>
    <w:rsid w:val="2232340B"/>
    <w:rsid w:val="22327245"/>
    <w:rsid w:val="223618E5"/>
    <w:rsid w:val="22486A69"/>
    <w:rsid w:val="2251430E"/>
    <w:rsid w:val="22590C76"/>
    <w:rsid w:val="22592A24"/>
    <w:rsid w:val="226E2973"/>
    <w:rsid w:val="22B12860"/>
    <w:rsid w:val="22B97967"/>
    <w:rsid w:val="22C504CA"/>
    <w:rsid w:val="22C73E44"/>
    <w:rsid w:val="22D80C7C"/>
    <w:rsid w:val="22FF3105"/>
    <w:rsid w:val="232F0CA6"/>
    <w:rsid w:val="23377209"/>
    <w:rsid w:val="233F7E6C"/>
    <w:rsid w:val="234F06FC"/>
    <w:rsid w:val="2355143D"/>
    <w:rsid w:val="2357249F"/>
    <w:rsid w:val="2366364A"/>
    <w:rsid w:val="239C706C"/>
    <w:rsid w:val="23BC326A"/>
    <w:rsid w:val="23E823AB"/>
    <w:rsid w:val="23EF01D3"/>
    <w:rsid w:val="23FE7D27"/>
    <w:rsid w:val="240867B3"/>
    <w:rsid w:val="240D1D18"/>
    <w:rsid w:val="245E6F13"/>
    <w:rsid w:val="2466506F"/>
    <w:rsid w:val="246E3694"/>
    <w:rsid w:val="24B53585"/>
    <w:rsid w:val="24D60850"/>
    <w:rsid w:val="250B7813"/>
    <w:rsid w:val="254C600C"/>
    <w:rsid w:val="257B5B6E"/>
    <w:rsid w:val="25891872"/>
    <w:rsid w:val="25CD0B0A"/>
    <w:rsid w:val="2600601B"/>
    <w:rsid w:val="26092407"/>
    <w:rsid w:val="26396DF4"/>
    <w:rsid w:val="266A3452"/>
    <w:rsid w:val="26B70245"/>
    <w:rsid w:val="26C62652"/>
    <w:rsid w:val="26CC5EBA"/>
    <w:rsid w:val="26D66D39"/>
    <w:rsid w:val="26D70893"/>
    <w:rsid w:val="26E1123A"/>
    <w:rsid w:val="26FB67A0"/>
    <w:rsid w:val="26FF9DA5"/>
    <w:rsid w:val="271A7439"/>
    <w:rsid w:val="271B51C0"/>
    <w:rsid w:val="27313F6F"/>
    <w:rsid w:val="275D2FB6"/>
    <w:rsid w:val="275F0ADD"/>
    <w:rsid w:val="276DBEE3"/>
    <w:rsid w:val="27835B72"/>
    <w:rsid w:val="278E4F1E"/>
    <w:rsid w:val="279D7857"/>
    <w:rsid w:val="27A961FC"/>
    <w:rsid w:val="27B01338"/>
    <w:rsid w:val="27CE6E7A"/>
    <w:rsid w:val="27D7C117"/>
    <w:rsid w:val="27E16F6F"/>
    <w:rsid w:val="27E6D4BA"/>
    <w:rsid w:val="27E87434"/>
    <w:rsid w:val="27F5030D"/>
    <w:rsid w:val="28065D38"/>
    <w:rsid w:val="28173165"/>
    <w:rsid w:val="28237D5C"/>
    <w:rsid w:val="283F090E"/>
    <w:rsid w:val="284657F9"/>
    <w:rsid w:val="28582792"/>
    <w:rsid w:val="286839C1"/>
    <w:rsid w:val="28700AC7"/>
    <w:rsid w:val="288E0F4E"/>
    <w:rsid w:val="2895052E"/>
    <w:rsid w:val="28D92681"/>
    <w:rsid w:val="290271E9"/>
    <w:rsid w:val="291E49C7"/>
    <w:rsid w:val="293D4E4D"/>
    <w:rsid w:val="294C5091"/>
    <w:rsid w:val="295D104C"/>
    <w:rsid w:val="2980235B"/>
    <w:rsid w:val="29C74C07"/>
    <w:rsid w:val="2A187669"/>
    <w:rsid w:val="2A316188"/>
    <w:rsid w:val="2A3C3357"/>
    <w:rsid w:val="2A576FAF"/>
    <w:rsid w:val="2A6521DF"/>
    <w:rsid w:val="2A6D3510"/>
    <w:rsid w:val="2A6E7289"/>
    <w:rsid w:val="2A760508"/>
    <w:rsid w:val="2A7B7ED1"/>
    <w:rsid w:val="2A810D6A"/>
    <w:rsid w:val="2AB729DE"/>
    <w:rsid w:val="2AD6555A"/>
    <w:rsid w:val="2AE228F7"/>
    <w:rsid w:val="2B1971F4"/>
    <w:rsid w:val="2B4754B4"/>
    <w:rsid w:val="2B4C1378"/>
    <w:rsid w:val="2B5D66C0"/>
    <w:rsid w:val="2B7BED56"/>
    <w:rsid w:val="2BA32F62"/>
    <w:rsid w:val="2BAD3A62"/>
    <w:rsid w:val="2BAE3DE1"/>
    <w:rsid w:val="2BD71517"/>
    <w:rsid w:val="2BFB18F7"/>
    <w:rsid w:val="2C033000"/>
    <w:rsid w:val="2C063C1D"/>
    <w:rsid w:val="2C106849"/>
    <w:rsid w:val="2C1A1476"/>
    <w:rsid w:val="2C2E0A7D"/>
    <w:rsid w:val="2C304621"/>
    <w:rsid w:val="2C5F211E"/>
    <w:rsid w:val="2C8C13C3"/>
    <w:rsid w:val="2CB85926"/>
    <w:rsid w:val="2CE132A0"/>
    <w:rsid w:val="2CE618B6"/>
    <w:rsid w:val="2CF32F9B"/>
    <w:rsid w:val="2CFA4E04"/>
    <w:rsid w:val="2D2105E2"/>
    <w:rsid w:val="2D306A77"/>
    <w:rsid w:val="2D4E190D"/>
    <w:rsid w:val="2D7446BA"/>
    <w:rsid w:val="2D984D48"/>
    <w:rsid w:val="2D9F7247"/>
    <w:rsid w:val="2DBE4083"/>
    <w:rsid w:val="2DBF7F69"/>
    <w:rsid w:val="2DF31F7F"/>
    <w:rsid w:val="2DFDB744"/>
    <w:rsid w:val="2E232138"/>
    <w:rsid w:val="2E27643E"/>
    <w:rsid w:val="2E5A09CB"/>
    <w:rsid w:val="2E5C78DD"/>
    <w:rsid w:val="2E67296D"/>
    <w:rsid w:val="2E981437"/>
    <w:rsid w:val="2E9B3900"/>
    <w:rsid w:val="2EBB5722"/>
    <w:rsid w:val="2EF977DC"/>
    <w:rsid w:val="2EFC30B5"/>
    <w:rsid w:val="2F0F5FD2"/>
    <w:rsid w:val="2F1A2088"/>
    <w:rsid w:val="2F34284F"/>
    <w:rsid w:val="2F4A2072"/>
    <w:rsid w:val="2F4C1DCD"/>
    <w:rsid w:val="2F7F7AC9"/>
    <w:rsid w:val="2F803CE6"/>
    <w:rsid w:val="2F8310E0"/>
    <w:rsid w:val="2F871396"/>
    <w:rsid w:val="2FA33530"/>
    <w:rsid w:val="2FB94153"/>
    <w:rsid w:val="2FC00586"/>
    <w:rsid w:val="2FD656B4"/>
    <w:rsid w:val="2FD951A4"/>
    <w:rsid w:val="2FE83639"/>
    <w:rsid w:val="2FF2647E"/>
    <w:rsid w:val="2FF9F873"/>
    <w:rsid w:val="2FFD36C7"/>
    <w:rsid w:val="2FFF10AF"/>
    <w:rsid w:val="300F5CEA"/>
    <w:rsid w:val="301663F8"/>
    <w:rsid w:val="301C4729"/>
    <w:rsid w:val="303C375D"/>
    <w:rsid w:val="30534F57"/>
    <w:rsid w:val="307A6987"/>
    <w:rsid w:val="30AD21D0"/>
    <w:rsid w:val="3109767B"/>
    <w:rsid w:val="313308E4"/>
    <w:rsid w:val="31442AF1"/>
    <w:rsid w:val="31523460"/>
    <w:rsid w:val="315E0057"/>
    <w:rsid w:val="317A4FC5"/>
    <w:rsid w:val="31853836"/>
    <w:rsid w:val="31960F05"/>
    <w:rsid w:val="319C697D"/>
    <w:rsid w:val="31E3055C"/>
    <w:rsid w:val="31F12C79"/>
    <w:rsid w:val="31F57450"/>
    <w:rsid w:val="321B29BC"/>
    <w:rsid w:val="3267118D"/>
    <w:rsid w:val="32CF24E7"/>
    <w:rsid w:val="32D103B5"/>
    <w:rsid w:val="32D8384A"/>
    <w:rsid w:val="32DA54BB"/>
    <w:rsid w:val="32E75E2A"/>
    <w:rsid w:val="32E93950"/>
    <w:rsid w:val="32EB591A"/>
    <w:rsid w:val="32EB76C8"/>
    <w:rsid w:val="331664EB"/>
    <w:rsid w:val="33295E08"/>
    <w:rsid w:val="332B770D"/>
    <w:rsid w:val="333D3C9C"/>
    <w:rsid w:val="337630C1"/>
    <w:rsid w:val="33A06705"/>
    <w:rsid w:val="33BF2903"/>
    <w:rsid w:val="33C237B1"/>
    <w:rsid w:val="33C3F449"/>
    <w:rsid w:val="33D7C7DC"/>
    <w:rsid w:val="33DC5392"/>
    <w:rsid w:val="33E660E2"/>
    <w:rsid w:val="340053F5"/>
    <w:rsid w:val="347A51A8"/>
    <w:rsid w:val="34D32B0A"/>
    <w:rsid w:val="34DBE22D"/>
    <w:rsid w:val="34E645EB"/>
    <w:rsid w:val="351647A5"/>
    <w:rsid w:val="351F3659"/>
    <w:rsid w:val="35374E47"/>
    <w:rsid w:val="355C665B"/>
    <w:rsid w:val="35607FF9"/>
    <w:rsid w:val="35713CB0"/>
    <w:rsid w:val="35B50461"/>
    <w:rsid w:val="35D031AA"/>
    <w:rsid w:val="363D0266"/>
    <w:rsid w:val="3647730B"/>
    <w:rsid w:val="365FD8A1"/>
    <w:rsid w:val="366B5955"/>
    <w:rsid w:val="36816FE0"/>
    <w:rsid w:val="36C50003"/>
    <w:rsid w:val="36D03285"/>
    <w:rsid w:val="36DA4B7F"/>
    <w:rsid w:val="36E9829F"/>
    <w:rsid w:val="36EF3503"/>
    <w:rsid w:val="36F918FC"/>
    <w:rsid w:val="36FBE60D"/>
    <w:rsid w:val="36FFF017"/>
    <w:rsid w:val="37621F23"/>
    <w:rsid w:val="376A6D6B"/>
    <w:rsid w:val="376ED69F"/>
    <w:rsid w:val="37B97D22"/>
    <w:rsid w:val="37D3697D"/>
    <w:rsid w:val="37EA063D"/>
    <w:rsid w:val="37F54B45"/>
    <w:rsid w:val="37FEBF2A"/>
    <w:rsid w:val="37FF8EF6"/>
    <w:rsid w:val="37FFF1D4"/>
    <w:rsid w:val="380E4F08"/>
    <w:rsid w:val="383F08C7"/>
    <w:rsid w:val="38750761"/>
    <w:rsid w:val="387C0DC3"/>
    <w:rsid w:val="387E4B3B"/>
    <w:rsid w:val="38912AC0"/>
    <w:rsid w:val="38A11FED"/>
    <w:rsid w:val="38AD19AF"/>
    <w:rsid w:val="38FA68B7"/>
    <w:rsid w:val="391B4A7F"/>
    <w:rsid w:val="39345B9E"/>
    <w:rsid w:val="393E1B4C"/>
    <w:rsid w:val="3951224F"/>
    <w:rsid w:val="395823EC"/>
    <w:rsid w:val="39700927"/>
    <w:rsid w:val="39761CB6"/>
    <w:rsid w:val="39C53536"/>
    <w:rsid w:val="39D318E6"/>
    <w:rsid w:val="39FF6EB3"/>
    <w:rsid w:val="3A741D56"/>
    <w:rsid w:val="3A7BB112"/>
    <w:rsid w:val="3A821497"/>
    <w:rsid w:val="3AAC1E33"/>
    <w:rsid w:val="3AC53E41"/>
    <w:rsid w:val="3ACD7931"/>
    <w:rsid w:val="3AFCC1C1"/>
    <w:rsid w:val="3AFF2385"/>
    <w:rsid w:val="3B2220F5"/>
    <w:rsid w:val="3B7FA7AE"/>
    <w:rsid w:val="3BA0301A"/>
    <w:rsid w:val="3BBD3BCC"/>
    <w:rsid w:val="3BD33F70"/>
    <w:rsid w:val="3BDC04F6"/>
    <w:rsid w:val="3BE20494"/>
    <w:rsid w:val="3BEA0C15"/>
    <w:rsid w:val="3BEF0CED"/>
    <w:rsid w:val="3BF97DD3"/>
    <w:rsid w:val="3BFE01CF"/>
    <w:rsid w:val="3C0C6C32"/>
    <w:rsid w:val="3C3C5FDA"/>
    <w:rsid w:val="3C461E13"/>
    <w:rsid w:val="3C522566"/>
    <w:rsid w:val="3C705350"/>
    <w:rsid w:val="3C7626F9"/>
    <w:rsid w:val="3CEF89DE"/>
    <w:rsid w:val="3CFD294E"/>
    <w:rsid w:val="3CFD6976"/>
    <w:rsid w:val="3D11415D"/>
    <w:rsid w:val="3D1A6229"/>
    <w:rsid w:val="3D344362"/>
    <w:rsid w:val="3D3F29B4"/>
    <w:rsid w:val="3D915310"/>
    <w:rsid w:val="3D9FCECD"/>
    <w:rsid w:val="3DB406F6"/>
    <w:rsid w:val="3DDA6CB7"/>
    <w:rsid w:val="3DEB44F2"/>
    <w:rsid w:val="3DF14E3C"/>
    <w:rsid w:val="3DF15DAF"/>
    <w:rsid w:val="3DF74846"/>
    <w:rsid w:val="3DFFF989"/>
    <w:rsid w:val="3E18333B"/>
    <w:rsid w:val="3E407430"/>
    <w:rsid w:val="3E67B52B"/>
    <w:rsid w:val="3E7C38CA"/>
    <w:rsid w:val="3E9814BC"/>
    <w:rsid w:val="3EB63280"/>
    <w:rsid w:val="3EEF4138"/>
    <w:rsid w:val="3EFF2905"/>
    <w:rsid w:val="3F00274D"/>
    <w:rsid w:val="3F1575C0"/>
    <w:rsid w:val="3F2006FA"/>
    <w:rsid w:val="3F2226C4"/>
    <w:rsid w:val="3F26A12B"/>
    <w:rsid w:val="3F2F1BA2"/>
    <w:rsid w:val="3F381EE7"/>
    <w:rsid w:val="3F4343E8"/>
    <w:rsid w:val="3F473ED8"/>
    <w:rsid w:val="3F577E93"/>
    <w:rsid w:val="3F5B0AC9"/>
    <w:rsid w:val="3F803F00"/>
    <w:rsid w:val="3F991F42"/>
    <w:rsid w:val="3F9D78D8"/>
    <w:rsid w:val="3FAC4683"/>
    <w:rsid w:val="3FB72948"/>
    <w:rsid w:val="3FBB55DC"/>
    <w:rsid w:val="3FBE7F13"/>
    <w:rsid w:val="3FBFDD68"/>
    <w:rsid w:val="3FCFFCCD"/>
    <w:rsid w:val="3FD31C10"/>
    <w:rsid w:val="3FDF05B5"/>
    <w:rsid w:val="3FDFE8D5"/>
    <w:rsid w:val="3FF7167E"/>
    <w:rsid w:val="3FF9810A"/>
    <w:rsid w:val="3FFAA1E8"/>
    <w:rsid w:val="3FFB31F4"/>
    <w:rsid w:val="3FFB8D9A"/>
    <w:rsid w:val="3FFEE163"/>
    <w:rsid w:val="4013025E"/>
    <w:rsid w:val="40152228"/>
    <w:rsid w:val="40490124"/>
    <w:rsid w:val="40752CC7"/>
    <w:rsid w:val="40D55514"/>
    <w:rsid w:val="40D93256"/>
    <w:rsid w:val="40F57964"/>
    <w:rsid w:val="41097E60"/>
    <w:rsid w:val="411249BA"/>
    <w:rsid w:val="41326E0A"/>
    <w:rsid w:val="413E57AF"/>
    <w:rsid w:val="41780407"/>
    <w:rsid w:val="417E7959"/>
    <w:rsid w:val="41986B84"/>
    <w:rsid w:val="41DC38CA"/>
    <w:rsid w:val="41E8333B"/>
    <w:rsid w:val="4206245F"/>
    <w:rsid w:val="422C207A"/>
    <w:rsid w:val="422E37D9"/>
    <w:rsid w:val="423A41C8"/>
    <w:rsid w:val="42436E81"/>
    <w:rsid w:val="4251506E"/>
    <w:rsid w:val="42687570"/>
    <w:rsid w:val="426E1B54"/>
    <w:rsid w:val="42AE24C0"/>
    <w:rsid w:val="42D71EDC"/>
    <w:rsid w:val="42D77C69"/>
    <w:rsid w:val="42DC527F"/>
    <w:rsid w:val="42EF31B0"/>
    <w:rsid w:val="42F94CA5"/>
    <w:rsid w:val="430F7403"/>
    <w:rsid w:val="432804C5"/>
    <w:rsid w:val="43371610"/>
    <w:rsid w:val="433B1FA6"/>
    <w:rsid w:val="43667916"/>
    <w:rsid w:val="43807B00"/>
    <w:rsid w:val="43EF0FE2"/>
    <w:rsid w:val="43F310D6"/>
    <w:rsid w:val="441D3409"/>
    <w:rsid w:val="443C4228"/>
    <w:rsid w:val="4452279A"/>
    <w:rsid w:val="44580936"/>
    <w:rsid w:val="447663EE"/>
    <w:rsid w:val="447D1452"/>
    <w:rsid w:val="448405D7"/>
    <w:rsid w:val="448434D9"/>
    <w:rsid w:val="44CC6C2E"/>
    <w:rsid w:val="44E67CEF"/>
    <w:rsid w:val="44EB79FC"/>
    <w:rsid w:val="44EE129A"/>
    <w:rsid w:val="450911FE"/>
    <w:rsid w:val="45091C30"/>
    <w:rsid w:val="451E1540"/>
    <w:rsid w:val="45230F44"/>
    <w:rsid w:val="45350C77"/>
    <w:rsid w:val="458A0FC3"/>
    <w:rsid w:val="45A8769B"/>
    <w:rsid w:val="45BF7035"/>
    <w:rsid w:val="45C60C48"/>
    <w:rsid w:val="45CC3CFC"/>
    <w:rsid w:val="45E02B6E"/>
    <w:rsid w:val="4656001F"/>
    <w:rsid w:val="466CF2D2"/>
    <w:rsid w:val="467D28D5"/>
    <w:rsid w:val="467D6463"/>
    <w:rsid w:val="46955E71"/>
    <w:rsid w:val="469B296B"/>
    <w:rsid w:val="46A7753D"/>
    <w:rsid w:val="470B1C8F"/>
    <w:rsid w:val="47165462"/>
    <w:rsid w:val="4723522B"/>
    <w:rsid w:val="472520E8"/>
    <w:rsid w:val="475FEC25"/>
    <w:rsid w:val="478951D1"/>
    <w:rsid w:val="479A577C"/>
    <w:rsid w:val="47A65D2A"/>
    <w:rsid w:val="47A80320"/>
    <w:rsid w:val="47B71E17"/>
    <w:rsid w:val="47B73CEA"/>
    <w:rsid w:val="47E50732"/>
    <w:rsid w:val="47EA5161"/>
    <w:rsid w:val="47FC5A7C"/>
    <w:rsid w:val="480A1F47"/>
    <w:rsid w:val="48274A94"/>
    <w:rsid w:val="483E7E42"/>
    <w:rsid w:val="48405FE7"/>
    <w:rsid w:val="48657AC5"/>
    <w:rsid w:val="48B06F92"/>
    <w:rsid w:val="48B439FC"/>
    <w:rsid w:val="48BA70A2"/>
    <w:rsid w:val="48BD6383"/>
    <w:rsid w:val="49036814"/>
    <w:rsid w:val="492E435B"/>
    <w:rsid w:val="49504438"/>
    <w:rsid w:val="497108FF"/>
    <w:rsid w:val="498A2208"/>
    <w:rsid w:val="49A1031E"/>
    <w:rsid w:val="49A534E2"/>
    <w:rsid w:val="49B6283C"/>
    <w:rsid w:val="49DA528B"/>
    <w:rsid w:val="49DA76D6"/>
    <w:rsid w:val="49F26D13"/>
    <w:rsid w:val="49F51014"/>
    <w:rsid w:val="49FB758F"/>
    <w:rsid w:val="49FD92A8"/>
    <w:rsid w:val="4A253068"/>
    <w:rsid w:val="4A5A3F86"/>
    <w:rsid w:val="4A7EDBA5"/>
    <w:rsid w:val="4A834233"/>
    <w:rsid w:val="4A867813"/>
    <w:rsid w:val="4A9B77CE"/>
    <w:rsid w:val="4AA35141"/>
    <w:rsid w:val="4AE253FD"/>
    <w:rsid w:val="4AE37EC1"/>
    <w:rsid w:val="4AF173EE"/>
    <w:rsid w:val="4B03749E"/>
    <w:rsid w:val="4B2A0DC6"/>
    <w:rsid w:val="4B2E065E"/>
    <w:rsid w:val="4B3B2FC9"/>
    <w:rsid w:val="4B3D54D1"/>
    <w:rsid w:val="4B502367"/>
    <w:rsid w:val="4B752587"/>
    <w:rsid w:val="4B7BBCE5"/>
    <w:rsid w:val="4BAC58C6"/>
    <w:rsid w:val="4BB62E22"/>
    <w:rsid w:val="4BB9615E"/>
    <w:rsid w:val="4BBF129A"/>
    <w:rsid w:val="4BE3142D"/>
    <w:rsid w:val="4BF57EF2"/>
    <w:rsid w:val="4C767876"/>
    <w:rsid w:val="4C7D4B0E"/>
    <w:rsid w:val="4C96649F"/>
    <w:rsid w:val="4C983FC5"/>
    <w:rsid w:val="4C9E5354"/>
    <w:rsid w:val="4CC72AFC"/>
    <w:rsid w:val="4CC90623"/>
    <w:rsid w:val="4D1D096E"/>
    <w:rsid w:val="4D2515D1"/>
    <w:rsid w:val="4D5554F7"/>
    <w:rsid w:val="4D7C4CF4"/>
    <w:rsid w:val="4D9C1893"/>
    <w:rsid w:val="4D9F75D5"/>
    <w:rsid w:val="4DD23507"/>
    <w:rsid w:val="4DD3102D"/>
    <w:rsid w:val="4DDF5C24"/>
    <w:rsid w:val="4DEF230B"/>
    <w:rsid w:val="4DFF1D39"/>
    <w:rsid w:val="4E1B58BB"/>
    <w:rsid w:val="4E406CE4"/>
    <w:rsid w:val="4E4F07C7"/>
    <w:rsid w:val="4E7B594C"/>
    <w:rsid w:val="4E810AF6"/>
    <w:rsid w:val="4EBD4EA8"/>
    <w:rsid w:val="4EFE20DA"/>
    <w:rsid w:val="4EFFB518"/>
    <w:rsid w:val="4F2565AE"/>
    <w:rsid w:val="4F2B184A"/>
    <w:rsid w:val="4F4C553B"/>
    <w:rsid w:val="4F4D46BC"/>
    <w:rsid w:val="4F620A3C"/>
    <w:rsid w:val="4F7D693D"/>
    <w:rsid w:val="4F7F3752"/>
    <w:rsid w:val="4F8F60C9"/>
    <w:rsid w:val="4F9A1DAF"/>
    <w:rsid w:val="4FB21D1D"/>
    <w:rsid w:val="4FB349BB"/>
    <w:rsid w:val="4FBFB21F"/>
    <w:rsid w:val="4FDC81C3"/>
    <w:rsid w:val="4FDF6B52"/>
    <w:rsid w:val="4FEF1319"/>
    <w:rsid w:val="4FF7F3EF"/>
    <w:rsid w:val="4FF93AD5"/>
    <w:rsid w:val="4FFB486F"/>
    <w:rsid w:val="4FFE54E1"/>
    <w:rsid w:val="50047BC4"/>
    <w:rsid w:val="500F7833"/>
    <w:rsid w:val="50821CC9"/>
    <w:rsid w:val="509C1BAA"/>
    <w:rsid w:val="50A84DBA"/>
    <w:rsid w:val="50AC7A2F"/>
    <w:rsid w:val="50C57353"/>
    <w:rsid w:val="50E377D9"/>
    <w:rsid w:val="50E428BB"/>
    <w:rsid w:val="51355A82"/>
    <w:rsid w:val="51593EFC"/>
    <w:rsid w:val="51967DC5"/>
    <w:rsid w:val="51976CDE"/>
    <w:rsid w:val="519A0DF5"/>
    <w:rsid w:val="51DF659C"/>
    <w:rsid w:val="51FED7AB"/>
    <w:rsid w:val="520B6FE7"/>
    <w:rsid w:val="521B1CEA"/>
    <w:rsid w:val="522B006F"/>
    <w:rsid w:val="523B68DD"/>
    <w:rsid w:val="523C1A67"/>
    <w:rsid w:val="526037D7"/>
    <w:rsid w:val="527F424D"/>
    <w:rsid w:val="529945F3"/>
    <w:rsid w:val="52CA50F4"/>
    <w:rsid w:val="52CB6777"/>
    <w:rsid w:val="52DC3C97"/>
    <w:rsid w:val="52E361B6"/>
    <w:rsid w:val="52F92B19"/>
    <w:rsid w:val="5325232B"/>
    <w:rsid w:val="5329506D"/>
    <w:rsid w:val="533607EE"/>
    <w:rsid w:val="533B56AA"/>
    <w:rsid w:val="534103F4"/>
    <w:rsid w:val="53420DCF"/>
    <w:rsid w:val="534D53DE"/>
    <w:rsid w:val="53A05C56"/>
    <w:rsid w:val="53AC2BCA"/>
    <w:rsid w:val="53D76A77"/>
    <w:rsid w:val="53E7E405"/>
    <w:rsid w:val="53F73CC7"/>
    <w:rsid w:val="53FA6C4E"/>
    <w:rsid w:val="53FB2E56"/>
    <w:rsid w:val="53FF6F08"/>
    <w:rsid w:val="54104BE3"/>
    <w:rsid w:val="541E5FD3"/>
    <w:rsid w:val="544300F0"/>
    <w:rsid w:val="54442D1E"/>
    <w:rsid w:val="547D8586"/>
    <w:rsid w:val="549534E0"/>
    <w:rsid w:val="54977258"/>
    <w:rsid w:val="54DC4C6B"/>
    <w:rsid w:val="54E81361"/>
    <w:rsid w:val="54FE1085"/>
    <w:rsid w:val="553339CD"/>
    <w:rsid w:val="5534089F"/>
    <w:rsid w:val="55652EB2"/>
    <w:rsid w:val="55983288"/>
    <w:rsid w:val="55D21A29"/>
    <w:rsid w:val="55D91508"/>
    <w:rsid w:val="55E22755"/>
    <w:rsid w:val="5617029B"/>
    <w:rsid w:val="561843C9"/>
    <w:rsid w:val="562D42EF"/>
    <w:rsid w:val="56336B0D"/>
    <w:rsid w:val="5640476E"/>
    <w:rsid w:val="565F3DA6"/>
    <w:rsid w:val="565F7902"/>
    <w:rsid w:val="56617F27"/>
    <w:rsid w:val="56941CA1"/>
    <w:rsid w:val="56B304CD"/>
    <w:rsid w:val="56BFDB94"/>
    <w:rsid w:val="56E655D6"/>
    <w:rsid w:val="56F77BD2"/>
    <w:rsid w:val="570E779A"/>
    <w:rsid w:val="571C2577"/>
    <w:rsid w:val="5736A60F"/>
    <w:rsid w:val="57560D05"/>
    <w:rsid w:val="57570C8F"/>
    <w:rsid w:val="576D5F2E"/>
    <w:rsid w:val="577C80BC"/>
    <w:rsid w:val="578735B4"/>
    <w:rsid w:val="57A83EFF"/>
    <w:rsid w:val="57AFF4FA"/>
    <w:rsid w:val="57BBE7B5"/>
    <w:rsid w:val="57C73F79"/>
    <w:rsid w:val="57D39113"/>
    <w:rsid w:val="57D577A7"/>
    <w:rsid w:val="57E38950"/>
    <w:rsid w:val="57F6C490"/>
    <w:rsid w:val="57F7C209"/>
    <w:rsid w:val="57FF087F"/>
    <w:rsid w:val="57FFDFF2"/>
    <w:rsid w:val="5801019B"/>
    <w:rsid w:val="580F5357"/>
    <w:rsid w:val="583059FA"/>
    <w:rsid w:val="584E18FE"/>
    <w:rsid w:val="587666F5"/>
    <w:rsid w:val="58A9622A"/>
    <w:rsid w:val="58AB6E2E"/>
    <w:rsid w:val="58BECD19"/>
    <w:rsid w:val="59042028"/>
    <w:rsid w:val="59097B33"/>
    <w:rsid w:val="590F1AB3"/>
    <w:rsid w:val="595C281E"/>
    <w:rsid w:val="595F034B"/>
    <w:rsid w:val="59774B32"/>
    <w:rsid w:val="597920CE"/>
    <w:rsid w:val="597F7DE2"/>
    <w:rsid w:val="59946492"/>
    <w:rsid w:val="5999137D"/>
    <w:rsid w:val="59E20F76"/>
    <w:rsid w:val="59F42A57"/>
    <w:rsid w:val="59F4536F"/>
    <w:rsid w:val="5A087E4A"/>
    <w:rsid w:val="5A117165"/>
    <w:rsid w:val="5A33532D"/>
    <w:rsid w:val="5A40496A"/>
    <w:rsid w:val="5A45152F"/>
    <w:rsid w:val="5A5E1837"/>
    <w:rsid w:val="5A683600"/>
    <w:rsid w:val="5A6C2E98"/>
    <w:rsid w:val="5A721AB2"/>
    <w:rsid w:val="5A7B722F"/>
    <w:rsid w:val="5A7D733A"/>
    <w:rsid w:val="5A817C06"/>
    <w:rsid w:val="5A8262B5"/>
    <w:rsid w:val="5AB3196B"/>
    <w:rsid w:val="5AC276BF"/>
    <w:rsid w:val="5AC875BF"/>
    <w:rsid w:val="5AEBF26C"/>
    <w:rsid w:val="5AFEA297"/>
    <w:rsid w:val="5B1D6F76"/>
    <w:rsid w:val="5B4377F2"/>
    <w:rsid w:val="5B587784"/>
    <w:rsid w:val="5B5A14A4"/>
    <w:rsid w:val="5B7200D7"/>
    <w:rsid w:val="5B7FAC32"/>
    <w:rsid w:val="5B9242D5"/>
    <w:rsid w:val="5BB57816"/>
    <w:rsid w:val="5BBE35C1"/>
    <w:rsid w:val="5BDAA8A3"/>
    <w:rsid w:val="5BDFC270"/>
    <w:rsid w:val="5BE30FD5"/>
    <w:rsid w:val="5BE32634"/>
    <w:rsid w:val="5BFCAA5C"/>
    <w:rsid w:val="5BFF586D"/>
    <w:rsid w:val="5C1D44E7"/>
    <w:rsid w:val="5C401BBF"/>
    <w:rsid w:val="5C4C59E0"/>
    <w:rsid w:val="5C4D10D2"/>
    <w:rsid w:val="5C8271B2"/>
    <w:rsid w:val="5C850C98"/>
    <w:rsid w:val="5C950521"/>
    <w:rsid w:val="5CA22C3E"/>
    <w:rsid w:val="5CB30237"/>
    <w:rsid w:val="5CDE0A6C"/>
    <w:rsid w:val="5CEDAB5A"/>
    <w:rsid w:val="5CF36FF6"/>
    <w:rsid w:val="5CF8285E"/>
    <w:rsid w:val="5D086F45"/>
    <w:rsid w:val="5D2C77ED"/>
    <w:rsid w:val="5D335644"/>
    <w:rsid w:val="5D4A100B"/>
    <w:rsid w:val="5D7874FB"/>
    <w:rsid w:val="5D7F1174"/>
    <w:rsid w:val="5D7FAA8A"/>
    <w:rsid w:val="5D845EA0"/>
    <w:rsid w:val="5D972AB6"/>
    <w:rsid w:val="5D9FF798"/>
    <w:rsid w:val="5DA84029"/>
    <w:rsid w:val="5DC6074C"/>
    <w:rsid w:val="5DD15A0B"/>
    <w:rsid w:val="5DD706C5"/>
    <w:rsid w:val="5DEF973C"/>
    <w:rsid w:val="5DF479FF"/>
    <w:rsid w:val="5DF81F3B"/>
    <w:rsid w:val="5DFCCC3D"/>
    <w:rsid w:val="5DFD25EA"/>
    <w:rsid w:val="5DFF988F"/>
    <w:rsid w:val="5E185521"/>
    <w:rsid w:val="5E337FF2"/>
    <w:rsid w:val="5E730BF7"/>
    <w:rsid w:val="5E7EE25F"/>
    <w:rsid w:val="5E84479E"/>
    <w:rsid w:val="5E9FEBBF"/>
    <w:rsid w:val="5EA467FA"/>
    <w:rsid w:val="5EBB3B43"/>
    <w:rsid w:val="5EE44E48"/>
    <w:rsid w:val="5EED1DA3"/>
    <w:rsid w:val="5EF15747"/>
    <w:rsid w:val="5EF76F37"/>
    <w:rsid w:val="5EFA7CCD"/>
    <w:rsid w:val="5EFEAF17"/>
    <w:rsid w:val="5F0F0DE3"/>
    <w:rsid w:val="5F27742B"/>
    <w:rsid w:val="5F2E07B9"/>
    <w:rsid w:val="5F754330"/>
    <w:rsid w:val="5F7C38E7"/>
    <w:rsid w:val="5F7ECB06"/>
    <w:rsid w:val="5F9C832B"/>
    <w:rsid w:val="5FB37E88"/>
    <w:rsid w:val="5FB92ABC"/>
    <w:rsid w:val="5FBDEFF4"/>
    <w:rsid w:val="5FBEB5CD"/>
    <w:rsid w:val="5FCC266D"/>
    <w:rsid w:val="5FCF9AB4"/>
    <w:rsid w:val="5FD25AE5"/>
    <w:rsid w:val="5FDF4929"/>
    <w:rsid w:val="5FE5356E"/>
    <w:rsid w:val="5FEFB1A9"/>
    <w:rsid w:val="5FF25C88"/>
    <w:rsid w:val="5FF310BE"/>
    <w:rsid w:val="5FF3A9EF"/>
    <w:rsid w:val="5FF52AE7"/>
    <w:rsid w:val="5FF7C1C8"/>
    <w:rsid w:val="5FFB2BC8"/>
    <w:rsid w:val="5FFB5A99"/>
    <w:rsid w:val="5FFBA955"/>
    <w:rsid w:val="5FFC2665"/>
    <w:rsid w:val="5FFD14E6"/>
    <w:rsid w:val="5FFDA8AC"/>
    <w:rsid w:val="5FFDC474"/>
    <w:rsid w:val="5FFDFBA4"/>
    <w:rsid w:val="5FFF9D2D"/>
    <w:rsid w:val="600D6BAF"/>
    <w:rsid w:val="60251BBC"/>
    <w:rsid w:val="60427896"/>
    <w:rsid w:val="60483AFC"/>
    <w:rsid w:val="60530DBA"/>
    <w:rsid w:val="6067E0D8"/>
    <w:rsid w:val="60746B6D"/>
    <w:rsid w:val="607D37A6"/>
    <w:rsid w:val="60820FA5"/>
    <w:rsid w:val="6094532E"/>
    <w:rsid w:val="60A74C4D"/>
    <w:rsid w:val="60B96C4E"/>
    <w:rsid w:val="61087886"/>
    <w:rsid w:val="61241E74"/>
    <w:rsid w:val="613E0998"/>
    <w:rsid w:val="61406582"/>
    <w:rsid w:val="614E087A"/>
    <w:rsid w:val="616A1675"/>
    <w:rsid w:val="619230F2"/>
    <w:rsid w:val="619947DD"/>
    <w:rsid w:val="61A15272"/>
    <w:rsid w:val="61A86601"/>
    <w:rsid w:val="61B33FC6"/>
    <w:rsid w:val="61D2000C"/>
    <w:rsid w:val="61D411B5"/>
    <w:rsid w:val="61DA0784"/>
    <w:rsid w:val="62087F1A"/>
    <w:rsid w:val="62323D14"/>
    <w:rsid w:val="6238015C"/>
    <w:rsid w:val="623B5AAC"/>
    <w:rsid w:val="62843025"/>
    <w:rsid w:val="628C5F22"/>
    <w:rsid w:val="62920834"/>
    <w:rsid w:val="62CB1A6A"/>
    <w:rsid w:val="63356726"/>
    <w:rsid w:val="63473BF7"/>
    <w:rsid w:val="635D048F"/>
    <w:rsid w:val="636724EC"/>
    <w:rsid w:val="637013A0"/>
    <w:rsid w:val="63C03819"/>
    <w:rsid w:val="63D62198"/>
    <w:rsid w:val="63EA0E7C"/>
    <w:rsid w:val="63ED097A"/>
    <w:rsid w:val="63EE731A"/>
    <w:rsid w:val="641F6922"/>
    <w:rsid w:val="644078E4"/>
    <w:rsid w:val="64570D38"/>
    <w:rsid w:val="64795492"/>
    <w:rsid w:val="64AC28AC"/>
    <w:rsid w:val="64E262CE"/>
    <w:rsid w:val="64FF6B28"/>
    <w:rsid w:val="65372E04"/>
    <w:rsid w:val="65405808"/>
    <w:rsid w:val="6577117A"/>
    <w:rsid w:val="65AE4402"/>
    <w:rsid w:val="65BB64CB"/>
    <w:rsid w:val="65DA4BB8"/>
    <w:rsid w:val="65EE8314"/>
    <w:rsid w:val="65F70405"/>
    <w:rsid w:val="65F84D6C"/>
    <w:rsid w:val="65FA31A3"/>
    <w:rsid w:val="66344F77"/>
    <w:rsid w:val="6650370B"/>
    <w:rsid w:val="66723681"/>
    <w:rsid w:val="669FCD15"/>
    <w:rsid w:val="66AB0941"/>
    <w:rsid w:val="66C0619B"/>
    <w:rsid w:val="66FB610D"/>
    <w:rsid w:val="67000C8D"/>
    <w:rsid w:val="67095D94"/>
    <w:rsid w:val="671B403E"/>
    <w:rsid w:val="672F1572"/>
    <w:rsid w:val="672F2F15"/>
    <w:rsid w:val="6732229F"/>
    <w:rsid w:val="67380270"/>
    <w:rsid w:val="673C18BF"/>
    <w:rsid w:val="6753195B"/>
    <w:rsid w:val="675D7E8D"/>
    <w:rsid w:val="676A6106"/>
    <w:rsid w:val="67770EC1"/>
    <w:rsid w:val="6779459B"/>
    <w:rsid w:val="67B5764A"/>
    <w:rsid w:val="67B66292"/>
    <w:rsid w:val="67B73DDD"/>
    <w:rsid w:val="67BC1058"/>
    <w:rsid w:val="67BEA24A"/>
    <w:rsid w:val="67BF28F6"/>
    <w:rsid w:val="67CD6B25"/>
    <w:rsid w:val="67D94A23"/>
    <w:rsid w:val="67E64968"/>
    <w:rsid w:val="67EB7247"/>
    <w:rsid w:val="68100589"/>
    <w:rsid w:val="685748DD"/>
    <w:rsid w:val="686D045B"/>
    <w:rsid w:val="687234C5"/>
    <w:rsid w:val="687E455F"/>
    <w:rsid w:val="689A6E74"/>
    <w:rsid w:val="68A57C30"/>
    <w:rsid w:val="68B00491"/>
    <w:rsid w:val="68B03FED"/>
    <w:rsid w:val="68C17D20"/>
    <w:rsid w:val="68E25001"/>
    <w:rsid w:val="68FF780C"/>
    <w:rsid w:val="69515C05"/>
    <w:rsid w:val="695D23C7"/>
    <w:rsid w:val="695FE979"/>
    <w:rsid w:val="69765236"/>
    <w:rsid w:val="69951B60"/>
    <w:rsid w:val="69981651"/>
    <w:rsid w:val="699C79DD"/>
    <w:rsid w:val="699D27C3"/>
    <w:rsid w:val="69D72179"/>
    <w:rsid w:val="69DA3A17"/>
    <w:rsid w:val="69E421A0"/>
    <w:rsid w:val="69E953A4"/>
    <w:rsid w:val="69E970CD"/>
    <w:rsid w:val="69EE73C8"/>
    <w:rsid w:val="69F543AD"/>
    <w:rsid w:val="69F92941"/>
    <w:rsid w:val="69FD3262"/>
    <w:rsid w:val="6A1D54FD"/>
    <w:rsid w:val="6A2829D5"/>
    <w:rsid w:val="6A3702E5"/>
    <w:rsid w:val="6A645F90"/>
    <w:rsid w:val="6A9B2936"/>
    <w:rsid w:val="6AF208ED"/>
    <w:rsid w:val="6AFB06BC"/>
    <w:rsid w:val="6B036F9E"/>
    <w:rsid w:val="6B405AFC"/>
    <w:rsid w:val="6B4368F3"/>
    <w:rsid w:val="6B52582F"/>
    <w:rsid w:val="6B5B0B88"/>
    <w:rsid w:val="6B6860EC"/>
    <w:rsid w:val="6B6BC3D0"/>
    <w:rsid w:val="6B747EEA"/>
    <w:rsid w:val="6BA63569"/>
    <w:rsid w:val="6BBF7E61"/>
    <w:rsid w:val="6BBFCBB1"/>
    <w:rsid w:val="6BCD4DD3"/>
    <w:rsid w:val="6BCD75AA"/>
    <w:rsid w:val="6BD4420A"/>
    <w:rsid w:val="6BD4F4B2"/>
    <w:rsid w:val="6BE648F5"/>
    <w:rsid w:val="6C007039"/>
    <w:rsid w:val="6C136D6D"/>
    <w:rsid w:val="6C2B6B55"/>
    <w:rsid w:val="6C384A25"/>
    <w:rsid w:val="6C3C1880"/>
    <w:rsid w:val="6C44161C"/>
    <w:rsid w:val="6C671C0D"/>
    <w:rsid w:val="6C877E4F"/>
    <w:rsid w:val="6C90660F"/>
    <w:rsid w:val="6CBD0D50"/>
    <w:rsid w:val="6CC41B30"/>
    <w:rsid w:val="6CD96208"/>
    <w:rsid w:val="6CE32BE3"/>
    <w:rsid w:val="6CFABF02"/>
    <w:rsid w:val="6CFF245D"/>
    <w:rsid w:val="6D142DFB"/>
    <w:rsid w:val="6D4A4A10"/>
    <w:rsid w:val="6D7C3F94"/>
    <w:rsid w:val="6D7D3037"/>
    <w:rsid w:val="6D8AF986"/>
    <w:rsid w:val="6D8D2B4F"/>
    <w:rsid w:val="6D992397"/>
    <w:rsid w:val="6D9A79B4"/>
    <w:rsid w:val="6DBF508E"/>
    <w:rsid w:val="6DBFE41B"/>
    <w:rsid w:val="6DC3039A"/>
    <w:rsid w:val="6DC76061"/>
    <w:rsid w:val="6DDD3AD6"/>
    <w:rsid w:val="6DE15944"/>
    <w:rsid w:val="6DEC505A"/>
    <w:rsid w:val="6DFEF326"/>
    <w:rsid w:val="6DFF4C0F"/>
    <w:rsid w:val="6E1D6D9D"/>
    <w:rsid w:val="6E2A36C5"/>
    <w:rsid w:val="6E6C29D1"/>
    <w:rsid w:val="6E7004A6"/>
    <w:rsid w:val="6E7837FF"/>
    <w:rsid w:val="6E967FAD"/>
    <w:rsid w:val="6EAE6C5A"/>
    <w:rsid w:val="6EBC193D"/>
    <w:rsid w:val="6ED81269"/>
    <w:rsid w:val="6EE13B87"/>
    <w:rsid w:val="6EF8407C"/>
    <w:rsid w:val="6EFE004A"/>
    <w:rsid w:val="6EFF9EFA"/>
    <w:rsid w:val="6F117447"/>
    <w:rsid w:val="6F3717C7"/>
    <w:rsid w:val="6F3C482C"/>
    <w:rsid w:val="6F3E19CA"/>
    <w:rsid w:val="6F413BF1"/>
    <w:rsid w:val="6F5222A2"/>
    <w:rsid w:val="6F563B40"/>
    <w:rsid w:val="6F757F0B"/>
    <w:rsid w:val="6F7B6AA3"/>
    <w:rsid w:val="6F800BBD"/>
    <w:rsid w:val="6F8A7191"/>
    <w:rsid w:val="6F8F5599"/>
    <w:rsid w:val="6F9DF6B8"/>
    <w:rsid w:val="6FAE7307"/>
    <w:rsid w:val="6FB63CC8"/>
    <w:rsid w:val="6FB95C6E"/>
    <w:rsid w:val="6FBD00EB"/>
    <w:rsid w:val="6FBF5D53"/>
    <w:rsid w:val="6FBF913A"/>
    <w:rsid w:val="6FBFB1BC"/>
    <w:rsid w:val="6FC551E6"/>
    <w:rsid w:val="6FD827A7"/>
    <w:rsid w:val="6FE0340A"/>
    <w:rsid w:val="6FF73A16"/>
    <w:rsid w:val="6FF764C0"/>
    <w:rsid w:val="6FFA58A4"/>
    <w:rsid w:val="6FFE50D8"/>
    <w:rsid w:val="6FFFA0DF"/>
    <w:rsid w:val="70027A68"/>
    <w:rsid w:val="700729B8"/>
    <w:rsid w:val="700C7EB2"/>
    <w:rsid w:val="700E4448"/>
    <w:rsid w:val="70241B23"/>
    <w:rsid w:val="704E5CFF"/>
    <w:rsid w:val="707B6ABE"/>
    <w:rsid w:val="7083625A"/>
    <w:rsid w:val="70871AD7"/>
    <w:rsid w:val="70AD7E11"/>
    <w:rsid w:val="70DA42FD"/>
    <w:rsid w:val="70E707C8"/>
    <w:rsid w:val="71094BE2"/>
    <w:rsid w:val="711F4406"/>
    <w:rsid w:val="71213CDA"/>
    <w:rsid w:val="712B6906"/>
    <w:rsid w:val="713608C5"/>
    <w:rsid w:val="71433D3F"/>
    <w:rsid w:val="714552D8"/>
    <w:rsid w:val="71493231"/>
    <w:rsid w:val="71713EBF"/>
    <w:rsid w:val="717209D9"/>
    <w:rsid w:val="7177123C"/>
    <w:rsid w:val="71A339C3"/>
    <w:rsid w:val="71A70DCD"/>
    <w:rsid w:val="71B1565D"/>
    <w:rsid w:val="71B52402"/>
    <w:rsid w:val="71D855FD"/>
    <w:rsid w:val="71DB657E"/>
    <w:rsid w:val="71F465F0"/>
    <w:rsid w:val="72015FA9"/>
    <w:rsid w:val="720A0C12"/>
    <w:rsid w:val="72274896"/>
    <w:rsid w:val="722C53D9"/>
    <w:rsid w:val="722DE310"/>
    <w:rsid w:val="722F3AB1"/>
    <w:rsid w:val="723F3B91"/>
    <w:rsid w:val="72595076"/>
    <w:rsid w:val="727BB809"/>
    <w:rsid w:val="727F1E82"/>
    <w:rsid w:val="7294672D"/>
    <w:rsid w:val="72DE372F"/>
    <w:rsid w:val="72F37A88"/>
    <w:rsid w:val="72F773E8"/>
    <w:rsid w:val="73025D8D"/>
    <w:rsid w:val="73173A9D"/>
    <w:rsid w:val="732001C8"/>
    <w:rsid w:val="732D6BF7"/>
    <w:rsid w:val="73462DDE"/>
    <w:rsid w:val="734B0FCB"/>
    <w:rsid w:val="736F2636"/>
    <w:rsid w:val="73734595"/>
    <w:rsid w:val="739305CE"/>
    <w:rsid w:val="73B2330F"/>
    <w:rsid w:val="73BB653F"/>
    <w:rsid w:val="73C80D84"/>
    <w:rsid w:val="73CD7039"/>
    <w:rsid w:val="73D47E32"/>
    <w:rsid w:val="73D61F9E"/>
    <w:rsid w:val="73EB9FC2"/>
    <w:rsid w:val="740D560C"/>
    <w:rsid w:val="74363F40"/>
    <w:rsid w:val="745B39A7"/>
    <w:rsid w:val="7499002B"/>
    <w:rsid w:val="74AF8776"/>
    <w:rsid w:val="74B530B7"/>
    <w:rsid w:val="74B71CAD"/>
    <w:rsid w:val="74C23A26"/>
    <w:rsid w:val="74CF0BF4"/>
    <w:rsid w:val="74D77CB0"/>
    <w:rsid w:val="74DF5A0A"/>
    <w:rsid w:val="74EF2EE0"/>
    <w:rsid w:val="750B1B93"/>
    <w:rsid w:val="75171486"/>
    <w:rsid w:val="752124FA"/>
    <w:rsid w:val="75267B11"/>
    <w:rsid w:val="753C37D8"/>
    <w:rsid w:val="753F4CAC"/>
    <w:rsid w:val="75575D1F"/>
    <w:rsid w:val="755FF3E0"/>
    <w:rsid w:val="757B57F4"/>
    <w:rsid w:val="757D7128"/>
    <w:rsid w:val="757DE146"/>
    <w:rsid w:val="757F7D7D"/>
    <w:rsid w:val="75810ECC"/>
    <w:rsid w:val="758E3908"/>
    <w:rsid w:val="75A42552"/>
    <w:rsid w:val="75D05CCE"/>
    <w:rsid w:val="75DC26A8"/>
    <w:rsid w:val="75E1612D"/>
    <w:rsid w:val="761262E7"/>
    <w:rsid w:val="762848E9"/>
    <w:rsid w:val="76580C24"/>
    <w:rsid w:val="76703590"/>
    <w:rsid w:val="769F5FB4"/>
    <w:rsid w:val="76AB5E93"/>
    <w:rsid w:val="76AD6ABA"/>
    <w:rsid w:val="76BB7BFD"/>
    <w:rsid w:val="76BB87A4"/>
    <w:rsid w:val="76BD26F7"/>
    <w:rsid w:val="76BD6253"/>
    <w:rsid w:val="76DD5719"/>
    <w:rsid w:val="76E986B4"/>
    <w:rsid w:val="76EBE19A"/>
    <w:rsid w:val="771F429D"/>
    <w:rsid w:val="773E4B00"/>
    <w:rsid w:val="7775D982"/>
    <w:rsid w:val="77771A6F"/>
    <w:rsid w:val="77933457"/>
    <w:rsid w:val="77B82965"/>
    <w:rsid w:val="77BFD910"/>
    <w:rsid w:val="77DBFD08"/>
    <w:rsid w:val="77E7E1D6"/>
    <w:rsid w:val="77EEEF19"/>
    <w:rsid w:val="77EF301A"/>
    <w:rsid w:val="77F51D1A"/>
    <w:rsid w:val="77F75794"/>
    <w:rsid w:val="77FF0E3E"/>
    <w:rsid w:val="77FF310A"/>
    <w:rsid w:val="782B443F"/>
    <w:rsid w:val="78326254"/>
    <w:rsid w:val="783F4FC2"/>
    <w:rsid w:val="78606ECA"/>
    <w:rsid w:val="7866005F"/>
    <w:rsid w:val="78683D59"/>
    <w:rsid w:val="7897086D"/>
    <w:rsid w:val="78A2159E"/>
    <w:rsid w:val="78D34F15"/>
    <w:rsid w:val="78F850CF"/>
    <w:rsid w:val="791F1447"/>
    <w:rsid w:val="792567C9"/>
    <w:rsid w:val="793F3502"/>
    <w:rsid w:val="793F8A37"/>
    <w:rsid w:val="798474FC"/>
    <w:rsid w:val="79892D64"/>
    <w:rsid w:val="79984D55"/>
    <w:rsid w:val="799BBF27"/>
    <w:rsid w:val="799F3C44"/>
    <w:rsid w:val="79B763F6"/>
    <w:rsid w:val="79B871A5"/>
    <w:rsid w:val="79BD71CD"/>
    <w:rsid w:val="79DF7439"/>
    <w:rsid w:val="79DFDF20"/>
    <w:rsid w:val="79E104AA"/>
    <w:rsid w:val="79E70452"/>
    <w:rsid w:val="79EE2BC7"/>
    <w:rsid w:val="79F87ED2"/>
    <w:rsid w:val="79FB716F"/>
    <w:rsid w:val="79FB9E5F"/>
    <w:rsid w:val="79FBA4EC"/>
    <w:rsid w:val="79FC7092"/>
    <w:rsid w:val="79FF9FD0"/>
    <w:rsid w:val="7A074B1F"/>
    <w:rsid w:val="7A15284A"/>
    <w:rsid w:val="7A2B6382"/>
    <w:rsid w:val="7A2F5507"/>
    <w:rsid w:val="7A3A0766"/>
    <w:rsid w:val="7A6E1433"/>
    <w:rsid w:val="7A6F9319"/>
    <w:rsid w:val="7A714F7D"/>
    <w:rsid w:val="7A796935"/>
    <w:rsid w:val="7A7AE08D"/>
    <w:rsid w:val="7A97500D"/>
    <w:rsid w:val="7AAD65DE"/>
    <w:rsid w:val="7AAD86CD"/>
    <w:rsid w:val="7AC1208A"/>
    <w:rsid w:val="7ADB314B"/>
    <w:rsid w:val="7AEE8734"/>
    <w:rsid w:val="7B2674FC"/>
    <w:rsid w:val="7B3A6C6B"/>
    <w:rsid w:val="7B3E46B3"/>
    <w:rsid w:val="7B4C5FF2"/>
    <w:rsid w:val="7B5607A2"/>
    <w:rsid w:val="7B641393"/>
    <w:rsid w:val="7B877776"/>
    <w:rsid w:val="7B890DF9"/>
    <w:rsid w:val="7B894744"/>
    <w:rsid w:val="7B8A1F61"/>
    <w:rsid w:val="7BB3231A"/>
    <w:rsid w:val="7BB573F5"/>
    <w:rsid w:val="7BB764FF"/>
    <w:rsid w:val="7BB78958"/>
    <w:rsid w:val="7BBC2F7D"/>
    <w:rsid w:val="7BBD0AA3"/>
    <w:rsid w:val="7BD73C80"/>
    <w:rsid w:val="7BDAA80F"/>
    <w:rsid w:val="7BDBEE10"/>
    <w:rsid w:val="7BE40725"/>
    <w:rsid w:val="7BE78901"/>
    <w:rsid w:val="7BE95DDE"/>
    <w:rsid w:val="7BF7619F"/>
    <w:rsid w:val="7BF796AF"/>
    <w:rsid w:val="7BFD5343"/>
    <w:rsid w:val="7BFDD925"/>
    <w:rsid w:val="7BFE0B11"/>
    <w:rsid w:val="7BFE8DD2"/>
    <w:rsid w:val="7BFEB5E1"/>
    <w:rsid w:val="7C0B35E0"/>
    <w:rsid w:val="7C13144C"/>
    <w:rsid w:val="7C356EF9"/>
    <w:rsid w:val="7C4D42B1"/>
    <w:rsid w:val="7C8E537C"/>
    <w:rsid w:val="7C8F68E3"/>
    <w:rsid w:val="7C900F90"/>
    <w:rsid w:val="7CB93960"/>
    <w:rsid w:val="7CBEC4F2"/>
    <w:rsid w:val="7CC3033B"/>
    <w:rsid w:val="7CD10CAA"/>
    <w:rsid w:val="7CFD1A9F"/>
    <w:rsid w:val="7CFF0A0C"/>
    <w:rsid w:val="7D097C4A"/>
    <w:rsid w:val="7D172435"/>
    <w:rsid w:val="7D19602E"/>
    <w:rsid w:val="7D364FB1"/>
    <w:rsid w:val="7D3C4DFD"/>
    <w:rsid w:val="7D515947"/>
    <w:rsid w:val="7D6C2781"/>
    <w:rsid w:val="7D713C17"/>
    <w:rsid w:val="7D736D22"/>
    <w:rsid w:val="7DB0206C"/>
    <w:rsid w:val="7DB71EFE"/>
    <w:rsid w:val="7DB7345E"/>
    <w:rsid w:val="7DBA7990"/>
    <w:rsid w:val="7DBAE334"/>
    <w:rsid w:val="7DBFC526"/>
    <w:rsid w:val="7DD70A28"/>
    <w:rsid w:val="7DDF1566"/>
    <w:rsid w:val="7DEEAE39"/>
    <w:rsid w:val="7DEF6492"/>
    <w:rsid w:val="7DEFFFDC"/>
    <w:rsid w:val="7DF71506"/>
    <w:rsid w:val="7DFB2AAA"/>
    <w:rsid w:val="7DFB4230"/>
    <w:rsid w:val="7DFF3996"/>
    <w:rsid w:val="7DFF9621"/>
    <w:rsid w:val="7DFF9B0F"/>
    <w:rsid w:val="7E0B3D48"/>
    <w:rsid w:val="7E1A21DD"/>
    <w:rsid w:val="7E3A24BD"/>
    <w:rsid w:val="7E505BFE"/>
    <w:rsid w:val="7E7C10CF"/>
    <w:rsid w:val="7E7F27F3"/>
    <w:rsid w:val="7E924469"/>
    <w:rsid w:val="7ECF746B"/>
    <w:rsid w:val="7ED335E4"/>
    <w:rsid w:val="7EDCE1CD"/>
    <w:rsid w:val="7EDD0E7B"/>
    <w:rsid w:val="7EE36A72"/>
    <w:rsid w:val="7EE4EB4E"/>
    <w:rsid w:val="7EEA23A1"/>
    <w:rsid w:val="7EEC1DCB"/>
    <w:rsid w:val="7EEC201E"/>
    <w:rsid w:val="7EF062C1"/>
    <w:rsid w:val="7EFA7BD9"/>
    <w:rsid w:val="7EFBBE40"/>
    <w:rsid w:val="7EFE91C0"/>
    <w:rsid w:val="7F017A32"/>
    <w:rsid w:val="7F192494"/>
    <w:rsid w:val="7F1CD753"/>
    <w:rsid w:val="7F2F2C8D"/>
    <w:rsid w:val="7F374B3B"/>
    <w:rsid w:val="7F379DF1"/>
    <w:rsid w:val="7F4F5EB6"/>
    <w:rsid w:val="7F5636E8"/>
    <w:rsid w:val="7F5D48D5"/>
    <w:rsid w:val="7F604567"/>
    <w:rsid w:val="7F6D9FF6"/>
    <w:rsid w:val="7F6DFB43"/>
    <w:rsid w:val="7F6FC68B"/>
    <w:rsid w:val="7F7814B2"/>
    <w:rsid w:val="7F7CD99D"/>
    <w:rsid w:val="7F7D58EC"/>
    <w:rsid w:val="7F7F5519"/>
    <w:rsid w:val="7F806F63"/>
    <w:rsid w:val="7F8F9A6B"/>
    <w:rsid w:val="7FA31757"/>
    <w:rsid w:val="7FAB3A34"/>
    <w:rsid w:val="7FBA5E1D"/>
    <w:rsid w:val="7FBF1083"/>
    <w:rsid w:val="7FBF1AAB"/>
    <w:rsid w:val="7FBF31A3"/>
    <w:rsid w:val="7FBF33D9"/>
    <w:rsid w:val="7FBF8D41"/>
    <w:rsid w:val="7FBFE734"/>
    <w:rsid w:val="7FC93EBA"/>
    <w:rsid w:val="7FCDA19C"/>
    <w:rsid w:val="7FD4460D"/>
    <w:rsid w:val="7FDF7672"/>
    <w:rsid w:val="7FE02FB2"/>
    <w:rsid w:val="7FEDC41A"/>
    <w:rsid w:val="7FEDCC7C"/>
    <w:rsid w:val="7FEDD583"/>
    <w:rsid w:val="7FEE435A"/>
    <w:rsid w:val="7FEF47E0"/>
    <w:rsid w:val="7FEF6062"/>
    <w:rsid w:val="7FEF8E1A"/>
    <w:rsid w:val="7FF9C1D1"/>
    <w:rsid w:val="7FFAFD62"/>
    <w:rsid w:val="7FFB2055"/>
    <w:rsid w:val="7FFB2E4F"/>
    <w:rsid w:val="7FFB8253"/>
    <w:rsid w:val="7FFBE233"/>
    <w:rsid w:val="7FFBF037"/>
    <w:rsid w:val="7FFCA614"/>
    <w:rsid w:val="7FFD5B3B"/>
    <w:rsid w:val="7FFEE044"/>
    <w:rsid w:val="7FFF1A1B"/>
    <w:rsid w:val="7FFF26C6"/>
    <w:rsid w:val="7FFF4F78"/>
    <w:rsid w:val="7FFF653A"/>
    <w:rsid w:val="7FFF9A9E"/>
    <w:rsid w:val="7FFFC852"/>
    <w:rsid w:val="7FFFDBDF"/>
    <w:rsid w:val="87B71315"/>
    <w:rsid w:val="8BFB11A9"/>
    <w:rsid w:val="8D7BFEC2"/>
    <w:rsid w:val="8E47028C"/>
    <w:rsid w:val="91DD24FE"/>
    <w:rsid w:val="92FFFEA8"/>
    <w:rsid w:val="933E67D4"/>
    <w:rsid w:val="9CE38CFC"/>
    <w:rsid w:val="9D4B5CFF"/>
    <w:rsid w:val="9FB7B0F2"/>
    <w:rsid w:val="9FD3C35F"/>
    <w:rsid w:val="9FDBE7B3"/>
    <w:rsid w:val="9FDFA72E"/>
    <w:rsid w:val="9FF706C0"/>
    <w:rsid w:val="9FF79EF9"/>
    <w:rsid w:val="9FFFD74F"/>
    <w:rsid w:val="A6F38F3B"/>
    <w:rsid w:val="A6FF801A"/>
    <w:rsid w:val="A75FA3D8"/>
    <w:rsid w:val="A77D4773"/>
    <w:rsid w:val="A7FD028A"/>
    <w:rsid w:val="A9C80914"/>
    <w:rsid w:val="A9FD2290"/>
    <w:rsid w:val="A9FE9FC5"/>
    <w:rsid w:val="A9FEC645"/>
    <w:rsid w:val="A9FFB15B"/>
    <w:rsid w:val="AA7BA8D8"/>
    <w:rsid w:val="AA96DFFE"/>
    <w:rsid w:val="ABDE4AAB"/>
    <w:rsid w:val="ACDCD82F"/>
    <w:rsid w:val="ACE7F23B"/>
    <w:rsid w:val="AE62C922"/>
    <w:rsid w:val="AEAC550F"/>
    <w:rsid w:val="AEDE0661"/>
    <w:rsid w:val="AEE7FDD7"/>
    <w:rsid w:val="AEF7691D"/>
    <w:rsid w:val="AF7E1C7E"/>
    <w:rsid w:val="AFB773DD"/>
    <w:rsid w:val="AFBDE81D"/>
    <w:rsid w:val="AFDEE8EA"/>
    <w:rsid w:val="AFF7C27C"/>
    <w:rsid w:val="AFFF537E"/>
    <w:rsid w:val="B26F059D"/>
    <w:rsid w:val="B276C6CB"/>
    <w:rsid w:val="B34F17F1"/>
    <w:rsid w:val="B4F97B34"/>
    <w:rsid w:val="B5B5FC77"/>
    <w:rsid w:val="B5BBF81D"/>
    <w:rsid w:val="B5F600F7"/>
    <w:rsid w:val="B727770C"/>
    <w:rsid w:val="B75DAE28"/>
    <w:rsid w:val="B7EA7F0B"/>
    <w:rsid w:val="B7FDEA05"/>
    <w:rsid w:val="B7FFBEDC"/>
    <w:rsid w:val="B97F4539"/>
    <w:rsid w:val="BA7B23C6"/>
    <w:rsid w:val="BB4EC757"/>
    <w:rsid w:val="BB8FDF87"/>
    <w:rsid w:val="BBAF21E9"/>
    <w:rsid w:val="BBCF8E1A"/>
    <w:rsid w:val="BBDB231C"/>
    <w:rsid w:val="BBE732F2"/>
    <w:rsid w:val="BBFDCC65"/>
    <w:rsid w:val="BBFF306A"/>
    <w:rsid w:val="BBFFDECD"/>
    <w:rsid w:val="BCF73C0F"/>
    <w:rsid w:val="BD773F5D"/>
    <w:rsid w:val="BDAD65B6"/>
    <w:rsid w:val="BDBF68FB"/>
    <w:rsid w:val="BDBFE390"/>
    <w:rsid w:val="BDDE2F19"/>
    <w:rsid w:val="BE6B6B51"/>
    <w:rsid w:val="BEF26D95"/>
    <w:rsid w:val="BF3FE762"/>
    <w:rsid w:val="BF4F72A9"/>
    <w:rsid w:val="BF5AB11F"/>
    <w:rsid w:val="BF7DCF5C"/>
    <w:rsid w:val="BFBF888F"/>
    <w:rsid w:val="BFDF8ACB"/>
    <w:rsid w:val="BFEF02F0"/>
    <w:rsid w:val="BFEFCD66"/>
    <w:rsid w:val="BFF34016"/>
    <w:rsid w:val="BFF836C4"/>
    <w:rsid w:val="BFFEC223"/>
    <w:rsid w:val="BFFEF6D1"/>
    <w:rsid w:val="BFFF40A1"/>
    <w:rsid w:val="BFFF5537"/>
    <w:rsid w:val="C1BF94A0"/>
    <w:rsid w:val="C3B7E159"/>
    <w:rsid w:val="C5F337BA"/>
    <w:rsid w:val="C75A88F7"/>
    <w:rsid w:val="C7FE2C96"/>
    <w:rsid w:val="C7FF2891"/>
    <w:rsid w:val="C8AF2016"/>
    <w:rsid w:val="C96FCF47"/>
    <w:rsid w:val="C97F3751"/>
    <w:rsid w:val="CAA7FF6A"/>
    <w:rsid w:val="CBDFEDBF"/>
    <w:rsid w:val="CBFF3192"/>
    <w:rsid w:val="CCF581CC"/>
    <w:rsid w:val="CDBAF3C4"/>
    <w:rsid w:val="CEB5F16A"/>
    <w:rsid w:val="CEF761B5"/>
    <w:rsid w:val="CFBD3B92"/>
    <w:rsid w:val="CFBFC8DF"/>
    <w:rsid w:val="CFFBCC84"/>
    <w:rsid w:val="CFFF55EF"/>
    <w:rsid w:val="D19D6BB1"/>
    <w:rsid w:val="D2FF666A"/>
    <w:rsid w:val="D3EBA2B9"/>
    <w:rsid w:val="D3FF0661"/>
    <w:rsid w:val="D47F9F30"/>
    <w:rsid w:val="D54535AB"/>
    <w:rsid w:val="D5B7C336"/>
    <w:rsid w:val="D67B0FE2"/>
    <w:rsid w:val="D6DFF010"/>
    <w:rsid w:val="D77FC2EA"/>
    <w:rsid w:val="D79D0F13"/>
    <w:rsid w:val="D7B74726"/>
    <w:rsid w:val="D7BFFEC6"/>
    <w:rsid w:val="D7F79D33"/>
    <w:rsid w:val="D7FE5E16"/>
    <w:rsid w:val="D977392B"/>
    <w:rsid w:val="D9AF8C5B"/>
    <w:rsid w:val="DA7FA035"/>
    <w:rsid w:val="DAFD79B3"/>
    <w:rsid w:val="DBAFC6C7"/>
    <w:rsid w:val="DBBFA0A1"/>
    <w:rsid w:val="DBDF3F53"/>
    <w:rsid w:val="DBF31278"/>
    <w:rsid w:val="DBFFBDC9"/>
    <w:rsid w:val="DC7EE23D"/>
    <w:rsid w:val="DC7F42A0"/>
    <w:rsid w:val="DCF77290"/>
    <w:rsid w:val="DCF7EF48"/>
    <w:rsid w:val="DD5DB1E3"/>
    <w:rsid w:val="DDD9C19D"/>
    <w:rsid w:val="DDE7F400"/>
    <w:rsid w:val="DDF19D7F"/>
    <w:rsid w:val="DEA4DF70"/>
    <w:rsid w:val="DEB73E40"/>
    <w:rsid w:val="DECBCCE1"/>
    <w:rsid w:val="DEEDB5C3"/>
    <w:rsid w:val="DEEF0D4E"/>
    <w:rsid w:val="DEFDC191"/>
    <w:rsid w:val="DF1EFB68"/>
    <w:rsid w:val="DF2F2B2A"/>
    <w:rsid w:val="DF5735F4"/>
    <w:rsid w:val="DF7BCF16"/>
    <w:rsid w:val="DF7E3F0D"/>
    <w:rsid w:val="DF7ECF23"/>
    <w:rsid w:val="DF9F5C94"/>
    <w:rsid w:val="DFC6F0EE"/>
    <w:rsid w:val="DFD26598"/>
    <w:rsid w:val="DFD7C183"/>
    <w:rsid w:val="DFDFAA63"/>
    <w:rsid w:val="DFDFAA82"/>
    <w:rsid w:val="DFEF3E35"/>
    <w:rsid w:val="DFF610D2"/>
    <w:rsid w:val="DFFB18D1"/>
    <w:rsid w:val="DFFBFF34"/>
    <w:rsid w:val="DFFE5F0F"/>
    <w:rsid w:val="DFFE9B0F"/>
    <w:rsid w:val="DFFEC170"/>
    <w:rsid w:val="DFFF5895"/>
    <w:rsid w:val="DFFF8291"/>
    <w:rsid w:val="E1AF066A"/>
    <w:rsid w:val="E5A784F3"/>
    <w:rsid w:val="E5DA4020"/>
    <w:rsid w:val="E69CB849"/>
    <w:rsid w:val="E6F539C2"/>
    <w:rsid w:val="E6F71455"/>
    <w:rsid w:val="E75D3E51"/>
    <w:rsid w:val="E76FBC9E"/>
    <w:rsid w:val="E7AAD431"/>
    <w:rsid w:val="E7BE1DE7"/>
    <w:rsid w:val="E7DE9B31"/>
    <w:rsid w:val="E7DFBC5E"/>
    <w:rsid w:val="E7EDC8FA"/>
    <w:rsid w:val="E7EFAC42"/>
    <w:rsid w:val="E7FF2596"/>
    <w:rsid w:val="E8BF6EBE"/>
    <w:rsid w:val="E9F71EFB"/>
    <w:rsid w:val="EA6F96D3"/>
    <w:rsid w:val="EB2F0B36"/>
    <w:rsid w:val="EBFBD6E8"/>
    <w:rsid w:val="ECAF1AD3"/>
    <w:rsid w:val="ECBB20F8"/>
    <w:rsid w:val="ED6F4B43"/>
    <w:rsid w:val="ED7C1454"/>
    <w:rsid w:val="EDBF6E84"/>
    <w:rsid w:val="EDCC7513"/>
    <w:rsid w:val="EDDB3852"/>
    <w:rsid w:val="EDDDF5DA"/>
    <w:rsid w:val="EE7DD84E"/>
    <w:rsid w:val="EE7F32BE"/>
    <w:rsid w:val="EEBF70AA"/>
    <w:rsid w:val="EED52423"/>
    <w:rsid w:val="EEE1B051"/>
    <w:rsid w:val="EEF7C880"/>
    <w:rsid w:val="EEFA334D"/>
    <w:rsid w:val="EEFD57A9"/>
    <w:rsid w:val="EF3E606E"/>
    <w:rsid w:val="EF64AECE"/>
    <w:rsid w:val="EF7FB477"/>
    <w:rsid w:val="EF9B14F9"/>
    <w:rsid w:val="EF9F185F"/>
    <w:rsid w:val="EFB9407E"/>
    <w:rsid w:val="EFBB531D"/>
    <w:rsid w:val="EFCB3C0D"/>
    <w:rsid w:val="EFCFA832"/>
    <w:rsid w:val="EFD7082A"/>
    <w:rsid w:val="EFD98FFB"/>
    <w:rsid w:val="EFDB3C10"/>
    <w:rsid w:val="EFDDCB8D"/>
    <w:rsid w:val="EFE347D7"/>
    <w:rsid w:val="EFE7A348"/>
    <w:rsid w:val="EFE92B99"/>
    <w:rsid w:val="EFF77CA3"/>
    <w:rsid w:val="EFFB51F6"/>
    <w:rsid w:val="EFFB9591"/>
    <w:rsid w:val="EFFF2CC7"/>
    <w:rsid w:val="EFFFA284"/>
    <w:rsid w:val="EFFFB7D1"/>
    <w:rsid w:val="F0AFE09F"/>
    <w:rsid w:val="F0F3F2A8"/>
    <w:rsid w:val="F155C260"/>
    <w:rsid w:val="F16F91B9"/>
    <w:rsid w:val="F1EBBEAA"/>
    <w:rsid w:val="F26F6602"/>
    <w:rsid w:val="F2F1AB51"/>
    <w:rsid w:val="F38B759B"/>
    <w:rsid w:val="F3BFB8FD"/>
    <w:rsid w:val="F3FE4E94"/>
    <w:rsid w:val="F4EC47AE"/>
    <w:rsid w:val="F5CBAE22"/>
    <w:rsid w:val="F5FD2AB9"/>
    <w:rsid w:val="F5FEBEAC"/>
    <w:rsid w:val="F5FF95D5"/>
    <w:rsid w:val="F634D9AD"/>
    <w:rsid w:val="F67D93BD"/>
    <w:rsid w:val="F67FABE5"/>
    <w:rsid w:val="F6EEA826"/>
    <w:rsid w:val="F6F4A2DF"/>
    <w:rsid w:val="F6FF2E19"/>
    <w:rsid w:val="F74FCE20"/>
    <w:rsid w:val="F794FC56"/>
    <w:rsid w:val="F799F641"/>
    <w:rsid w:val="F7BC39BC"/>
    <w:rsid w:val="F7CA2C12"/>
    <w:rsid w:val="F7DC6A3D"/>
    <w:rsid w:val="F7E3BFD2"/>
    <w:rsid w:val="F7EEDEF1"/>
    <w:rsid w:val="F7EFCD26"/>
    <w:rsid w:val="F7F52E1E"/>
    <w:rsid w:val="F7F7F9B9"/>
    <w:rsid w:val="F7FAA282"/>
    <w:rsid w:val="F7FB71FF"/>
    <w:rsid w:val="F7FFC9F8"/>
    <w:rsid w:val="F7FFDBA5"/>
    <w:rsid w:val="F8E5227A"/>
    <w:rsid w:val="F9BFDD27"/>
    <w:rsid w:val="F9F5EEE3"/>
    <w:rsid w:val="F9F7316F"/>
    <w:rsid w:val="F9FD06A6"/>
    <w:rsid w:val="F9FDB0CF"/>
    <w:rsid w:val="F9FDB17A"/>
    <w:rsid w:val="FA1B1AF3"/>
    <w:rsid w:val="FA37867F"/>
    <w:rsid w:val="FA758C2E"/>
    <w:rsid w:val="FA97B833"/>
    <w:rsid w:val="FADFB9AB"/>
    <w:rsid w:val="FAEEA70C"/>
    <w:rsid w:val="FAFF1188"/>
    <w:rsid w:val="FB1F0AE1"/>
    <w:rsid w:val="FB5B840F"/>
    <w:rsid w:val="FB71CF2C"/>
    <w:rsid w:val="FB77E816"/>
    <w:rsid w:val="FB8F963D"/>
    <w:rsid w:val="FB9B19B7"/>
    <w:rsid w:val="FB9F174F"/>
    <w:rsid w:val="FBBA44DB"/>
    <w:rsid w:val="FBD3FBF3"/>
    <w:rsid w:val="FBEBC95E"/>
    <w:rsid w:val="FBF5701A"/>
    <w:rsid w:val="FBFBC647"/>
    <w:rsid w:val="FBFE4980"/>
    <w:rsid w:val="FBFFE28E"/>
    <w:rsid w:val="FC3FB3F7"/>
    <w:rsid w:val="FC7DCB7C"/>
    <w:rsid w:val="FCF2E8B7"/>
    <w:rsid w:val="FCF76AB5"/>
    <w:rsid w:val="FD5BA627"/>
    <w:rsid w:val="FD873489"/>
    <w:rsid w:val="FDBF2B9E"/>
    <w:rsid w:val="FDD3E7F8"/>
    <w:rsid w:val="FDD682BE"/>
    <w:rsid w:val="FDDB0FC7"/>
    <w:rsid w:val="FDE314D7"/>
    <w:rsid w:val="FDE79ED6"/>
    <w:rsid w:val="FDED938A"/>
    <w:rsid w:val="FDED9476"/>
    <w:rsid w:val="FDEF6100"/>
    <w:rsid w:val="FDFAD660"/>
    <w:rsid w:val="FDFB8C7B"/>
    <w:rsid w:val="FDFB9070"/>
    <w:rsid w:val="FDFC641D"/>
    <w:rsid w:val="FDFF0CB2"/>
    <w:rsid w:val="FE1DFF08"/>
    <w:rsid w:val="FE2A2A1A"/>
    <w:rsid w:val="FE6BE724"/>
    <w:rsid w:val="FE734873"/>
    <w:rsid w:val="FE762B16"/>
    <w:rsid w:val="FE7763B9"/>
    <w:rsid w:val="FE7F3612"/>
    <w:rsid w:val="FEADF384"/>
    <w:rsid w:val="FEAEB789"/>
    <w:rsid w:val="FED7A665"/>
    <w:rsid w:val="FEFBC69A"/>
    <w:rsid w:val="FEFD4CF2"/>
    <w:rsid w:val="FEFF3226"/>
    <w:rsid w:val="FF2E724B"/>
    <w:rsid w:val="FF2FCA8E"/>
    <w:rsid w:val="FF3D7217"/>
    <w:rsid w:val="FF3F74C3"/>
    <w:rsid w:val="FF4EC92E"/>
    <w:rsid w:val="FF5FD39F"/>
    <w:rsid w:val="FF6DF93E"/>
    <w:rsid w:val="FF6FCADF"/>
    <w:rsid w:val="FF7479EC"/>
    <w:rsid w:val="FF74A210"/>
    <w:rsid w:val="FF762775"/>
    <w:rsid w:val="FF7DE999"/>
    <w:rsid w:val="FF7F4E70"/>
    <w:rsid w:val="FF847DF3"/>
    <w:rsid w:val="FF8722B0"/>
    <w:rsid w:val="FF89494C"/>
    <w:rsid w:val="FF8D819B"/>
    <w:rsid w:val="FF8F1D25"/>
    <w:rsid w:val="FF91F7EE"/>
    <w:rsid w:val="FF9C423D"/>
    <w:rsid w:val="FF9E2641"/>
    <w:rsid w:val="FF9F884D"/>
    <w:rsid w:val="FF9FF6AA"/>
    <w:rsid w:val="FFAFB778"/>
    <w:rsid w:val="FFB3B86C"/>
    <w:rsid w:val="FFB5AAC2"/>
    <w:rsid w:val="FFB72C04"/>
    <w:rsid w:val="FFB74A60"/>
    <w:rsid w:val="FFBD6645"/>
    <w:rsid w:val="FFBE3BA0"/>
    <w:rsid w:val="FFBF5F9F"/>
    <w:rsid w:val="FFBFF30E"/>
    <w:rsid w:val="FFBFF814"/>
    <w:rsid w:val="FFC4A3FF"/>
    <w:rsid w:val="FFCA0756"/>
    <w:rsid w:val="FFCDB875"/>
    <w:rsid w:val="FFCEACEF"/>
    <w:rsid w:val="FFD703D4"/>
    <w:rsid w:val="FFD77FEA"/>
    <w:rsid w:val="FFDDB5CD"/>
    <w:rsid w:val="FFE77069"/>
    <w:rsid w:val="FFEAA3FA"/>
    <w:rsid w:val="FFEB26B8"/>
    <w:rsid w:val="FFEEE893"/>
    <w:rsid w:val="FFEFA741"/>
    <w:rsid w:val="FFEFCE06"/>
    <w:rsid w:val="FFEFFBED"/>
    <w:rsid w:val="FFEFFF83"/>
    <w:rsid w:val="FFF296BC"/>
    <w:rsid w:val="FFF3B00C"/>
    <w:rsid w:val="FFF66AF7"/>
    <w:rsid w:val="FFF74D85"/>
    <w:rsid w:val="FFF7724E"/>
    <w:rsid w:val="FFF8DFF0"/>
    <w:rsid w:val="FFFA2201"/>
    <w:rsid w:val="FFFA43D4"/>
    <w:rsid w:val="FFFAB08D"/>
    <w:rsid w:val="FFFBC494"/>
    <w:rsid w:val="FFFBD3FE"/>
    <w:rsid w:val="FFFC2CAA"/>
    <w:rsid w:val="FFFD249C"/>
    <w:rsid w:val="FFFD7279"/>
    <w:rsid w:val="FFFD907E"/>
    <w:rsid w:val="FFFD9A57"/>
    <w:rsid w:val="FFFE4A8B"/>
    <w:rsid w:val="FFFE787E"/>
    <w:rsid w:val="FFFF279F"/>
    <w:rsid w:val="FFFF2A07"/>
    <w:rsid w:val="FFFF38E0"/>
    <w:rsid w:val="FFFF5152"/>
    <w:rsid w:val="FFFFC3B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1" w:semiHidden="0" w:name="heading 3"/>
    <w:lsdException w:qFormat="1" w:uiPriority="1" w:name="heading 4"/>
    <w:lsdException w:qFormat="1" w:uiPriority="1" w:name="heading 5"/>
    <w:lsdException w:qFormat="1" w:uiPriority="1" w:name="heading 6"/>
    <w:lsdException w:qFormat="1" w:uiPriority="1" w:name="heading 7"/>
    <w:lsdException w:qFormat="1" w:uiPriority="1" w:name="heading 8"/>
    <w:lsdException w:qFormat="1" w:uiPriority="1" w:name="heading 9"/>
    <w:lsdException w:unhideWhenUsed="0" w:uiPriority="1" w:semiHidden="0" w:name="index 1"/>
    <w:lsdException w:unhideWhenUsed="0" w:uiPriority="1" w:semiHidden="0" w:name="index 2"/>
    <w:lsdException w:unhideWhenUsed="0" w:uiPriority="1" w:semiHidden="0" w:name="index 3"/>
    <w:lsdException w:qFormat="1" w:unhideWhenUsed="0" w:uiPriority="1" w:semiHidden="0" w:name="index 4"/>
    <w:lsdException w:unhideWhenUsed="0" w:uiPriority="1" w:semiHidden="0" w:name="index 5"/>
    <w:lsdException w:unhideWhenUsed="0" w:uiPriority="1" w:semiHidden="0" w:name="index 6"/>
    <w:lsdException w:unhideWhenUsed="0" w:uiPriority="1" w:semiHidden="0" w:name="index 7"/>
    <w:lsdException w:unhideWhenUsed="0" w:uiPriority="1" w:semiHidden="0" w:name="index 8"/>
    <w:lsdException w:unhideWhenUsed="0" w:uiPriority="1" w:semiHidden="0" w:name="index 9"/>
    <w:lsdException w:qFormat="1" w:unhideWhenUsed="0" w:uiPriority="1" w:semiHidden="0" w:name="toc 1"/>
    <w:lsdException w:qFormat="1" w:unhideWhenUsed="0" w:uiPriority="1" w:semiHidden="0" w:name="toc 2"/>
    <w:lsdException w:unhideWhenUsed="0" w:uiPriority="1" w:semiHidden="0" w:name="toc 3"/>
    <w:lsdException w:unhideWhenUsed="0" w:uiPriority="1" w:semiHidden="0" w:name="toc 4"/>
    <w:lsdException w:unhideWhenUsed="0" w:uiPriority="1" w:semiHidden="0" w:name="toc 5"/>
    <w:lsdException w:qFormat="1" w:unhideWhenUsed="0" w:uiPriority="0" w:semiHidden="0" w:name="toc 6"/>
    <w:lsdException w:unhideWhenUsed="0" w:uiPriority="1" w:semiHidden="0" w:name="toc 7"/>
    <w:lsdException w:unhideWhenUsed="0" w:uiPriority="1" w:semiHidden="0" w:name="toc 8"/>
    <w:lsdException w:unhideWhenUsed="0" w:uiPriority="1" w:semiHidden="0" w:name="toc 9"/>
    <w:lsdException w:qFormat="1" w:unhideWhenUsed="0" w:uiPriority="1" w:semiHidden="0" w:name="Normal Indent"/>
    <w:lsdException w:unhideWhenUsed="0" w:uiPriority="1" w:semiHidden="0" w:name="footnote text"/>
    <w:lsdException w:qFormat="1" w:unhideWhenUsed="0" w:uiPriority="1" w:semiHidden="0" w:name="annotation text"/>
    <w:lsdException w:qFormat="1" w:unhideWhenUsed="0" w:uiPriority="1" w:semiHidden="0" w:name="header"/>
    <w:lsdException w:qFormat="1" w:unhideWhenUsed="0" w:uiPriority="1" w:semiHidden="0" w:name="footer"/>
    <w:lsdException w:unhideWhenUsed="0" w:uiPriority="1" w:semiHidden="0" w:name="index heading"/>
    <w:lsdException w:qFormat="1" w:uiPriority="1" w:name="caption"/>
    <w:lsdException w:qFormat="1" w:unhideWhenUsed="0" w:uiPriority="0" w:semiHidden="0" w:name="table of figures"/>
    <w:lsdException w:unhideWhenUsed="0" w:uiPriority="1" w:semiHidden="0" w:name="envelope address"/>
    <w:lsdException w:qFormat="1" w:unhideWhenUsed="0" w:uiPriority="1" w:semiHidden="0" w:name="envelope return"/>
    <w:lsdException w:unhideWhenUsed="0" w:uiPriority="1" w:semiHidden="0" w:name="footnote reference"/>
    <w:lsdException w:qFormat="1" w:unhideWhenUsed="0" w:uiPriority="1" w:semiHidden="0" w:name="annotation reference"/>
    <w:lsdException w:unhideWhenUsed="0" w:uiPriority="1" w:semiHidden="0" w:name="line number"/>
    <w:lsdException w:qFormat="1" w:unhideWhenUsed="0" w:uiPriority="1" w:semiHidden="0" w:name="page number"/>
    <w:lsdException w:unhideWhenUsed="0" w:uiPriority="1" w:semiHidden="0" w:name="endnote reference"/>
    <w:lsdException w:unhideWhenUsed="0" w:uiPriority="1" w:semiHidden="0" w:name="endnote text"/>
    <w:lsdException w:unhideWhenUsed="0" w:uiPriority="1" w:semiHidden="0" w:name="table of authorities"/>
    <w:lsdException w:unhideWhenUsed="0" w:uiPriority="1" w:semiHidden="0" w:name="macro"/>
    <w:lsdException w:unhideWhenUsed="0" w:uiPriority="1" w:semiHidden="0" w:name="toa heading"/>
    <w:lsdException w:unhideWhenUsed="0" w:uiPriority="1" w:semiHidden="0" w:name="List"/>
    <w:lsdException w:unhideWhenUsed="0" w:uiPriority="1" w:semiHidden="0" w:name="List Bullet"/>
    <w:lsdException w:qFormat="1" w:unhideWhenUsed="0" w:uiPriority="1" w:semiHidden="0" w:name="List Number"/>
    <w:lsdException w:unhideWhenUsed="0" w:uiPriority="1" w:semiHidden="0" w:name="List 2"/>
    <w:lsdException w:unhideWhenUsed="0" w:uiPriority="1" w:semiHidden="0" w:name="List 3"/>
    <w:lsdException w:unhideWhenUsed="0" w:uiPriority="1" w:semiHidden="0" w:name="List 4"/>
    <w:lsdException w:unhideWhenUsed="0" w:uiPriority="1" w:semiHidden="0" w:name="List 5"/>
    <w:lsdException w:unhideWhenUsed="0" w:uiPriority="1" w:semiHidden="0" w:name="List Bullet 2"/>
    <w:lsdException w:unhideWhenUsed="0" w:uiPriority="1" w:semiHidden="0" w:name="List Bullet 3"/>
    <w:lsdException w:unhideWhenUsed="0" w:uiPriority="1" w:semiHidden="0" w:name="List Bullet 4"/>
    <w:lsdException w:unhideWhenUsed="0" w:uiPriority="1" w:semiHidden="0" w:name="List Bullet 5"/>
    <w:lsdException w:unhideWhenUsed="0" w:uiPriority="1" w:semiHidden="0" w:name="List Number 2"/>
    <w:lsdException w:unhideWhenUsed="0" w:uiPriority="1" w:semiHidden="0" w:name="List Number 3"/>
    <w:lsdException w:unhideWhenUsed="0" w:uiPriority="1" w:semiHidden="0" w:name="List Number 4"/>
    <w:lsdException w:unhideWhenUsed="0" w:uiPriority="1" w:semiHidden="0" w:name="List Number 5"/>
    <w:lsdException w:qFormat="1" w:unhideWhenUsed="0" w:uiPriority="1" w:semiHidden="0" w:name="Title"/>
    <w:lsdException w:unhideWhenUsed="0" w:uiPriority="1" w:semiHidden="0" w:name="Closing"/>
    <w:lsdException w:unhideWhenUsed="0" w:uiPriority="1" w:semiHidden="0" w:name="Signature"/>
    <w:lsdException w:qFormat="1" w:uiPriority="1" w:name="Default Paragraph Font"/>
    <w:lsdException w:qFormat="1" w:unhideWhenUsed="0" w:uiPriority="1" w:semiHidden="0" w:name="Body Text"/>
    <w:lsdException w:qFormat="1" w:unhideWhenUsed="0" w:uiPriority="1" w:semiHidden="0" w:name="Body Text Indent"/>
    <w:lsdException w:unhideWhenUsed="0" w:uiPriority="1" w:semiHidden="0" w:name="List Continue"/>
    <w:lsdException w:unhideWhenUsed="0" w:uiPriority="1" w:semiHidden="0" w:name="List Continue 2"/>
    <w:lsdException w:unhideWhenUsed="0" w:uiPriority="1" w:semiHidden="0" w:name="List Continue 3"/>
    <w:lsdException w:unhideWhenUsed="0" w:uiPriority="1" w:semiHidden="0" w:name="List Continue 4"/>
    <w:lsdException w:unhideWhenUsed="0" w:uiPriority="1" w:semiHidden="0" w:name="List Continue 5"/>
    <w:lsdException w:unhideWhenUsed="0" w:uiPriority="1" w:semiHidden="0" w:name="Message Header"/>
    <w:lsdException w:qFormat="1" w:unhideWhenUsed="0" w:uiPriority="1" w:semiHidden="0" w:name="Subtitle"/>
    <w:lsdException w:unhideWhenUsed="0" w:uiPriority="1" w:semiHidden="0" w:name="Salutation"/>
    <w:lsdException w:unhideWhenUsed="0" w:uiPriority="1" w:semiHidden="0" w:name="Date"/>
    <w:lsdException w:qFormat="1" w:unhideWhenUsed="0" w:uiPriority="1" w:semiHidden="0" w:name="Body Text First Indent"/>
    <w:lsdException w:qFormat="1" w:unhideWhenUsed="0" w:uiPriority="1" w:semiHidden="0" w:name="Body Text First Indent 2"/>
    <w:lsdException w:unhideWhenUsed="0" w:uiPriority="1" w:semiHidden="0" w:name="Note Heading"/>
    <w:lsdException w:unhideWhenUsed="0" w:uiPriority="1" w:semiHidden="0" w:name="Body Text 2"/>
    <w:lsdException w:qFormat="1" w:unhideWhenUsed="0" w:uiPriority="1" w:semiHidden="0" w:name="Body Text 3"/>
    <w:lsdException w:unhideWhenUsed="0" w:uiPriority="1" w:semiHidden="0" w:name="Body Text Indent 2"/>
    <w:lsdException w:qFormat="1" w:unhideWhenUsed="0" w:uiPriority="1" w:semiHidden="0" w:name="Body Text Indent 3"/>
    <w:lsdException w:qFormat="1" w:unhideWhenUsed="0" w:uiPriority="1" w:semiHidden="0" w:name="Block Text"/>
    <w:lsdException w:qFormat="1" w:unhideWhenUsed="0" w:uiPriority="1" w:semiHidden="0" w:name="Hyperlink"/>
    <w:lsdException w:unhideWhenUsed="0" w:uiPriority="1" w:semiHidden="0" w:name="FollowedHyperlink"/>
    <w:lsdException w:qFormat="1" w:unhideWhenUsed="0" w:uiPriority="1" w:semiHidden="0" w:name="Strong"/>
    <w:lsdException w:qFormat="1" w:unhideWhenUsed="0" w:uiPriority="1" w:semiHidden="0" w:name="Emphasis"/>
    <w:lsdException w:unhideWhenUsed="0" w:uiPriority="1" w:semiHidden="0" w:name="Document Map"/>
    <w:lsdException w:qFormat="1" w:unhideWhenUsed="0" w:uiPriority="1" w:semiHidden="0" w:name="Plain Text"/>
    <w:lsdException w:unhideWhenUsed="0" w:uiPriority="1" w:semiHidden="0" w:name="E-mail Signature"/>
    <w:lsdException w:qFormat="1" w:unhideWhenUsed="0" w:uiPriority="1" w:semiHidden="0" w:name="Normal (Web)"/>
    <w:lsdException w:unhideWhenUsed="0" w:uiPriority="1" w:semiHidden="0" w:name="HTML Acronym"/>
    <w:lsdException w:unhideWhenUsed="0" w:uiPriority="1" w:semiHidden="0" w:name="HTML Address"/>
    <w:lsdException w:unhideWhenUsed="0" w:uiPriority="1" w:semiHidden="0" w:name="HTML Cite"/>
    <w:lsdException w:unhideWhenUsed="0" w:uiPriority="1" w:semiHidden="0" w:name="HTML Code"/>
    <w:lsdException w:unhideWhenUsed="0" w:uiPriority="1" w:semiHidden="0" w:name="HTML Definition"/>
    <w:lsdException w:unhideWhenUsed="0" w:uiPriority="1" w:semiHidden="0" w:name="HTML Keyboard"/>
    <w:lsdException w:unhideWhenUsed="0" w:uiPriority="1" w:semiHidden="0" w:name="HTML Preformatted"/>
    <w:lsdException w:unhideWhenUsed="0" w:uiPriority="1" w:semiHidden="0" w:name="HTML Sample"/>
    <w:lsdException w:unhideWhenUsed="0" w:uiPriority="1" w:semiHidden="0" w:name="HTML Typewriter"/>
    <w:lsdException w:unhideWhenUsed="0" w:uiPriority="1" w:semiHidden="0" w:name="HTML Variable"/>
    <w:lsdException w:qFormat="1" w:uiPriority="99" w:name="Normal Table"/>
    <w:lsdException w:qFormat="1" w:unhideWhenUsed="0" w:uiPriority="1"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1"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ind w:firstLine="200" w:firstLineChars="200"/>
      <w:jc w:val="both"/>
    </w:pPr>
    <w:rPr>
      <w:rFonts w:ascii="Times New Roman" w:hAnsi="Times New Roman" w:eastAsia="宋体" w:cs="宋体"/>
      <w:kern w:val="2"/>
      <w:sz w:val="24"/>
      <w:szCs w:val="24"/>
      <w:lang w:val="en-US" w:eastAsia="zh-CN" w:bidi="ar-SA"/>
    </w:rPr>
  </w:style>
  <w:style w:type="paragraph" w:styleId="3">
    <w:name w:val="heading 1"/>
    <w:basedOn w:val="1"/>
    <w:next w:val="1"/>
    <w:link w:val="40"/>
    <w:qFormat/>
    <w:uiPriority w:val="0"/>
    <w:pPr>
      <w:spacing w:before="120" w:beforeLines="50" w:after="120" w:afterLines="50"/>
      <w:ind w:firstLine="0" w:firstLineChars="0"/>
      <w:jc w:val="center"/>
      <w:outlineLvl w:val="0"/>
    </w:pPr>
    <w:rPr>
      <w:b/>
      <w:sz w:val="36"/>
    </w:rPr>
  </w:style>
  <w:style w:type="paragraph" w:styleId="2">
    <w:name w:val="heading 2"/>
    <w:basedOn w:val="1"/>
    <w:next w:val="1"/>
    <w:qFormat/>
    <w:uiPriority w:val="0"/>
    <w:pPr>
      <w:keepNext/>
      <w:keepLines/>
      <w:spacing w:before="120" w:beforeLines="50"/>
      <w:ind w:firstLine="482"/>
      <w:jc w:val="left"/>
      <w:outlineLvl w:val="1"/>
    </w:pPr>
    <w:rPr>
      <w:rFonts w:ascii="宋体" w:hAnsi="宋体"/>
      <w:b/>
      <w:bCs/>
      <w:kern w:val="0"/>
      <w:szCs w:val="32"/>
    </w:rPr>
  </w:style>
  <w:style w:type="paragraph" w:styleId="4">
    <w:name w:val="heading 3"/>
    <w:basedOn w:val="1"/>
    <w:next w:val="1"/>
    <w:qFormat/>
    <w:uiPriority w:val="1"/>
    <w:pPr>
      <w:keepNext/>
      <w:keepLines/>
      <w:ind w:firstLine="482"/>
      <w:jc w:val="left"/>
      <w:outlineLvl w:val="2"/>
    </w:pPr>
    <w:rPr>
      <w:rFonts w:ascii="Cambria" w:hAnsi="Cambria" w:cs="Times New Roman"/>
      <w:b/>
      <w:bC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5">
    <w:name w:val="List Number"/>
    <w:basedOn w:val="1"/>
    <w:qFormat/>
    <w:uiPriority w:val="1"/>
    <w:pPr>
      <w:numPr>
        <w:ilvl w:val="0"/>
        <w:numId w:val="1"/>
      </w:numPr>
    </w:pPr>
    <w:rPr>
      <w:rFonts w:cs="Times New Roman"/>
    </w:rPr>
  </w:style>
  <w:style w:type="paragraph" w:styleId="6">
    <w:name w:val="Normal Indent"/>
    <w:basedOn w:val="1"/>
    <w:next w:val="1"/>
    <w:qFormat/>
    <w:uiPriority w:val="1"/>
    <w:pPr>
      <w:ind w:firstLine="420"/>
    </w:pPr>
    <w:rPr>
      <w:rFonts w:cs="Times New Roman"/>
      <w:szCs w:val="22"/>
    </w:rPr>
  </w:style>
  <w:style w:type="paragraph" w:styleId="7">
    <w:name w:val="annotation text"/>
    <w:basedOn w:val="1"/>
    <w:link w:val="41"/>
    <w:qFormat/>
    <w:uiPriority w:val="1"/>
    <w:pPr>
      <w:jc w:val="left"/>
    </w:pPr>
    <w:rPr>
      <w:rFonts w:cs="Times New Roman"/>
    </w:rPr>
  </w:style>
  <w:style w:type="paragraph" w:styleId="8">
    <w:name w:val="Body Text 3"/>
    <w:basedOn w:val="1"/>
    <w:qFormat/>
    <w:uiPriority w:val="1"/>
    <w:pPr>
      <w:snapToGrid w:val="0"/>
      <w:spacing w:before="50" w:after="50"/>
    </w:pPr>
    <w:rPr>
      <w:rFonts w:hAnsi="宋体" w:eastAsia="仿宋_GB2312"/>
      <w:b/>
      <w:bCs/>
      <w:szCs w:val="20"/>
    </w:rPr>
  </w:style>
  <w:style w:type="paragraph" w:styleId="9">
    <w:name w:val="Body Text"/>
    <w:basedOn w:val="1"/>
    <w:next w:val="10"/>
    <w:qFormat/>
    <w:uiPriority w:val="1"/>
    <w:pPr>
      <w:spacing w:after="120"/>
    </w:pPr>
    <w:rPr>
      <w:sz w:val="28"/>
    </w:rPr>
  </w:style>
  <w:style w:type="paragraph" w:styleId="10">
    <w:name w:val="Body Text First Indent"/>
    <w:basedOn w:val="9"/>
    <w:next w:val="1"/>
    <w:qFormat/>
    <w:uiPriority w:val="1"/>
    <w:pPr>
      <w:spacing w:line="300" w:lineRule="auto"/>
      <w:ind w:firstLine="476"/>
    </w:pPr>
  </w:style>
  <w:style w:type="paragraph" w:styleId="11">
    <w:name w:val="Body Text Indent"/>
    <w:basedOn w:val="1"/>
    <w:next w:val="12"/>
    <w:qFormat/>
    <w:uiPriority w:val="1"/>
    <w:pPr>
      <w:spacing w:line="200" w:lineRule="exact"/>
      <w:ind w:firstLine="301"/>
    </w:pPr>
    <w:rPr>
      <w:rFonts w:ascii="宋体" w:hAnsi="Courier New" w:cs="Times New Roman"/>
      <w:spacing w:val="-4"/>
      <w:kern w:val="0"/>
      <w:sz w:val="18"/>
      <w:szCs w:val="20"/>
    </w:rPr>
  </w:style>
  <w:style w:type="paragraph" w:styleId="12">
    <w:name w:val="envelope return"/>
    <w:basedOn w:val="1"/>
    <w:qFormat/>
    <w:uiPriority w:val="1"/>
    <w:pPr>
      <w:snapToGrid w:val="0"/>
    </w:pPr>
    <w:rPr>
      <w:rFonts w:ascii="Segoe UI" w:hAnsi="Segoe UI" w:cs="Segoe UI"/>
    </w:rPr>
  </w:style>
  <w:style w:type="paragraph" w:styleId="13">
    <w:name w:val="Block Text"/>
    <w:basedOn w:val="1"/>
    <w:qFormat/>
    <w:uiPriority w:val="1"/>
    <w:pPr>
      <w:spacing w:before="120"/>
      <w:ind w:left="824" w:right="202"/>
    </w:pPr>
    <w:rPr>
      <w:rFonts w:ascii="宋体" w:cs="Times New Roman"/>
      <w:szCs w:val="21"/>
    </w:rPr>
  </w:style>
  <w:style w:type="paragraph" w:styleId="14">
    <w:name w:val="index 4"/>
    <w:basedOn w:val="1"/>
    <w:next w:val="1"/>
    <w:qFormat/>
    <w:uiPriority w:val="1"/>
    <w:pPr>
      <w:ind w:left="600" w:leftChars="600"/>
    </w:pPr>
    <w:rPr>
      <w:rFonts w:ascii="Verdana" w:hAnsi="Verdana" w:cs="Times New Roman"/>
      <w:kern w:val="0"/>
      <w:sz w:val="20"/>
      <w:szCs w:val="20"/>
    </w:rPr>
  </w:style>
  <w:style w:type="paragraph" w:styleId="15">
    <w:name w:val="Plain Text"/>
    <w:basedOn w:val="1"/>
    <w:next w:val="1"/>
    <w:qFormat/>
    <w:uiPriority w:val="1"/>
    <w:pPr>
      <w:spacing w:beforeLines="50" w:afterLines="50" w:line="400" w:lineRule="exact"/>
    </w:pPr>
    <w:rPr>
      <w:rFonts w:ascii="宋体" w:hAnsi="Courier New" w:cs="Times New Roman"/>
      <w:kern w:val="0"/>
    </w:rPr>
  </w:style>
  <w:style w:type="paragraph" w:styleId="16">
    <w:name w:val="Balloon Text"/>
    <w:basedOn w:val="1"/>
    <w:link w:val="42"/>
    <w:qFormat/>
    <w:uiPriority w:val="1"/>
    <w:rPr>
      <w:rFonts w:cs="Times New Roman"/>
      <w:kern w:val="0"/>
      <w:sz w:val="18"/>
      <w:szCs w:val="18"/>
    </w:rPr>
  </w:style>
  <w:style w:type="paragraph" w:styleId="17">
    <w:name w:val="footer"/>
    <w:basedOn w:val="1"/>
    <w:qFormat/>
    <w:uiPriority w:val="1"/>
    <w:pPr>
      <w:tabs>
        <w:tab w:val="center" w:pos="4153"/>
        <w:tab w:val="right" w:pos="8306"/>
      </w:tabs>
      <w:snapToGrid w:val="0"/>
      <w:jc w:val="left"/>
    </w:pPr>
    <w:rPr>
      <w:rFonts w:cs="Times New Roman"/>
      <w:kern w:val="0"/>
      <w:sz w:val="18"/>
      <w:szCs w:val="18"/>
    </w:rPr>
  </w:style>
  <w:style w:type="paragraph" w:styleId="18">
    <w:name w:val="header"/>
    <w:basedOn w:val="1"/>
    <w:link w:val="43"/>
    <w:qFormat/>
    <w:uiPriority w:val="1"/>
    <w:pPr>
      <w:pBdr>
        <w:bottom w:val="single" w:color="auto" w:sz="6" w:space="1"/>
      </w:pBdr>
      <w:tabs>
        <w:tab w:val="center" w:pos="4153"/>
        <w:tab w:val="right" w:pos="8306"/>
      </w:tabs>
      <w:snapToGrid w:val="0"/>
      <w:jc w:val="center"/>
    </w:pPr>
    <w:rPr>
      <w:rFonts w:cs="Times New Roman"/>
      <w:sz w:val="18"/>
      <w:szCs w:val="18"/>
    </w:rPr>
  </w:style>
  <w:style w:type="paragraph" w:styleId="19">
    <w:name w:val="toc 1"/>
    <w:basedOn w:val="1"/>
    <w:next w:val="1"/>
    <w:qFormat/>
    <w:uiPriority w:val="1"/>
    <w:rPr>
      <w:rFonts w:cs="Times New Roman"/>
    </w:rPr>
  </w:style>
  <w:style w:type="paragraph" w:styleId="20">
    <w:name w:val="toc 6"/>
    <w:basedOn w:val="1"/>
    <w:next w:val="1"/>
    <w:qFormat/>
    <w:uiPriority w:val="0"/>
    <w:pPr>
      <w:ind w:left="2100" w:leftChars="1000"/>
    </w:pPr>
    <w:rPr>
      <w:rFonts w:ascii="Calibri" w:hAnsi="Calibri" w:cs="Times New Roman"/>
      <w:szCs w:val="22"/>
    </w:rPr>
  </w:style>
  <w:style w:type="paragraph" w:styleId="21">
    <w:name w:val="Body Text Indent 3"/>
    <w:basedOn w:val="1"/>
    <w:qFormat/>
    <w:uiPriority w:val="1"/>
    <w:pPr>
      <w:snapToGrid w:val="0"/>
      <w:ind w:firstLine="480"/>
      <w:jc w:val="left"/>
    </w:pPr>
    <w:rPr>
      <w:rFonts w:ascii="仿宋_GB2312" w:hAnsi="宋体" w:eastAsia="仿宋_GB2312" w:cs="Times New Roman"/>
      <w:color w:val="000000"/>
      <w:kern w:val="0"/>
    </w:rPr>
  </w:style>
  <w:style w:type="paragraph" w:styleId="22">
    <w:name w:val="table of figures"/>
    <w:basedOn w:val="1"/>
    <w:next w:val="1"/>
    <w:qFormat/>
    <w:uiPriority w:val="0"/>
    <w:pPr>
      <w:ind w:left="200" w:leftChars="200" w:hanging="200" w:hangingChars="200"/>
    </w:pPr>
  </w:style>
  <w:style w:type="paragraph" w:styleId="23">
    <w:name w:val="toc 2"/>
    <w:basedOn w:val="1"/>
    <w:next w:val="1"/>
    <w:qFormat/>
    <w:uiPriority w:val="1"/>
    <w:pPr>
      <w:ind w:left="420" w:leftChars="200"/>
    </w:pPr>
  </w:style>
  <w:style w:type="paragraph" w:styleId="24">
    <w:name w:val="Normal (Web)"/>
    <w:basedOn w:val="1"/>
    <w:qFormat/>
    <w:uiPriority w:val="1"/>
    <w:pPr>
      <w:widowControl/>
      <w:spacing w:before="100" w:beforeAutospacing="1" w:after="100" w:afterAutospacing="1"/>
      <w:jc w:val="left"/>
    </w:pPr>
    <w:rPr>
      <w:rFonts w:ascii="宋体" w:hAnsi="宋体" w:cs="Times New Roman"/>
      <w:kern w:val="0"/>
    </w:rPr>
  </w:style>
  <w:style w:type="paragraph" w:styleId="25">
    <w:name w:val="Title"/>
    <w:basedOn w:val="1"/>
    <w:qFormat/>
    <w:uiPriority w:val="1"/>
    <w:pPr>
      <w:widowControl/>
      <w:overflowPunct w:val="0"/>
      <w:autoSpaceDE w:val="0"/>
      <w:autoSpaceDN w:val="0"/>
      <w:jc w:val="center"/>
      <w:textAlignment w:val="baseline"/>
    </w:pPr>
    <w:rPr>
      <w:b/>
      <w:kern w:val="0"/>
      <w:lang w:val="en-GB"/>
    </w:rPr>
  </w:style>
  <w:style w:type="paragraph" w:styleId="26">
    <w:name w:val="annotation subject"/>
    <w:basedOn w:val="7"/>
    <w:next w:val="7"/>
    <w:link w:val="44"/>
    <w:qFormat/>
    <w:uiPriority w:val="1"/>
    <w:rPr>
      <w:b/>
      <w:bCs/>
    </w:rPr>
  </w:style>
  <w:style w:type="paragraph" w:styleId="27">
    <w:name w:val="Body Text First Indent 2"/>
    <w:basedOn w:val="11"/>
    <w:next w:val="28"/>
    <w:qFormat/>
    <w:uiPriority w:val="1"/>
    <w:pPr>
      <w:spacing w:after="120" w:line="240" w:lineRule="auto"/>
      <w:ind w:left="420" w:leftChars="200" w:firstLine="420"/>
    </w:pPr>
    <w:rPr>
      <w:sz w:val="21"/>
      <w:szCs w:val="24"/>
    </w:rPr>
  </w:style>
  <w:style w:type="paragraph" w:customStyle="1" w:styleId="28">
    <w:name w:val="xl53"/>
    <w:basedOn w:val="1"/>
    <w:next w:val="1"/>
    <w:qFormat/>
    <w:uiPriority w:val="0"/>
    <w:pPr>
      <w:spacing w:before="280" w:after="280" w:line="100" w:lineRule="exact"/>
      <w:jc w:val="center"/>
    </w:pPr>
    <w:rPr>
      <w:rFonts w:cs="Times New Roman"/>
      <w:b/>
      <w:sz w:val="20"/>
    </w:rPr>
  </w:style>
  <w:style w:type="table" w:styleId="30">
    <w:name w:val="Table Grid"/>
    <w:basedOn w:val="29"/>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qFormat/>
    <w:uiPriority w:val="1"/>
    <w:rPr>
      <w:rFonts w:ascii="Times New Roman" w:hAnsi="Times New Roman" w:eastAsia="宋体" w:cs="Times New Roman"/>
      <w:b/>
      <w:bCs/>
    </w:rPr>
  </w:style>
  <w:style w:type="character" w:styleId="33">
    <w:name w:val="page number"/>
    <w:qFormat/>
    <w:uiPriority w:val="1"/>
    <w:rPr>
      <w:rFonts w:ascii="Times New Roman" w:hAnsi="Times New Roman" w:eastAsia="宋体" w:cs="Times New Roman"/>
    </w:rPr>
  </w:style>
  <w:style w:type="character" w:styleId="34">
    <w:name w:val="Emphasis"/>
    <w:qFormat/>
    <w:uiPriority w:val="1"/>
    <w:rPr>
      <w:rFonts w:ascii="Times New Roman" w:hAnsi="Times New Roman" w:eastAsia="宋体" w:cs="Times New Roman"/>
      <w:i/>
      <w:iCs/>
    </w:rPr>
  </w:style>
  <w:style w:type="character" w:styleId="35">
    <w:name w:val="Hyperlink"/>
    <w:qFormat/>
    <w:uiPriority w:val="1"/>
    <w:rPr>
      <w:rFonts w:ascii="Times New Roman" w:hAnsi="Times New Roman" w:eastAsia="宋体" w:cs="Times New Roman"/>
      <w:color w:val="0000FF"/>
      <w:u w:val="single"/>
    </w:rPr>
  </w:style>
  <w:style w:type="character" w:styleId="36">
    <w:name w:val="annotation reference"/>
    <w:qFormat/>
    <w:uiPriority w:val="1"/>
    <w:rPr>
      <w:rFonts w:ascii="Times New Roman" w:hAnsi="Times New Roman" w:eastAsia="宋体" w:cs="Times New Roman"/>
      <w:sz w:val="21"/>
      <w:szCs w:val="21"/>
    </w:rPr>
  </w:style>
  <w:style w:type="paragraph" w:customStyle="1" w:styleId="37">
    <w:name w:val="正文空2字"/>
    <w:basedOn w:val="38"/>
    <w:qFormat/>
    <w:uiPriority w:val="99"/>
    <w:pPr>
      <w:widowControl w:val="0"/>
      <w:snapToGrid w:val="0"/>
      <w:spacing w:line="560" w:lineRule="exact"/>
      <w:ind w:firstLine="640" w:firstLineChars="200"/>
    </w:pPr>
    <w:rPr>
      <w:rFonts w:ascii="仿宋_GB2312" w:hAnsi="仿宋_GB2312" w:cs="仿宋_GB2312"/>
      <w:lang w:val="zh-TW"/>
    </w:rPr>
  </w:style>
  <w:style w:type="paragraph" w:customStyle="1" w:styleId="38">
    <w:name w:val="左对齐正文"/>
    <w:qFormat/>
    <w:uiPriority w:val="99"/>
    <w:rPr>
      <w:rFonts w:ascii="Calibri" w:hAnsi="Calibri" w:eastAsia="仿宋_GB2312" w:cs="Calibri"/>
      <w:kern w:val="2"/>
      <w:sz w:val="32"/>
      <w:szCs w:val="32"/>
      <w:lang w:val="en-US" w:eastAsia="zh-CN" w:bidi="ar-SA"/>
    </w:rPr>
  </w:style>
  <w:style w:type="paragraph" w:customStyle="1" w:styleId="39">
    <w:name w:val="标准正文"/>
    <w:basedOn w:val="1"/>
    <w:qFormat/>
    <w:uiPriority w:val="1"/>
    <w:rPr>
      <w:rFonts w:cs="Times New Roman"/>
      <w:szCs w:val="20"/>
    </w:rPr>
  </w:style>
  <w:style w:type="character" w:customStyle="1" w:styleId="40">
    <w:name w:val="标题 1 字符"/>
    <w:link w:val="3"/>
    <w:qFormat/>
    <w:uiPriority w:val="0"/>
    <w:rPr>
      <w:b/>
      <w:sz w:val="36"/>
    </w:rPr>
  </w:style>
  <w:style w:type="character" w:customStyle="1" w:styleId="41">
    <w:name w:val="批注文字 字符"/>
    <w:link w:val="7"/>
    <w:qFormat/>
    <w:uiPriority w:val="1"/>
    <w:rPr>
      <w:kern w:val="2"/>
      <w:sz w:val="24"/>
      <w:szCs w:val="24"/>
    </w:rPr>
  </w:style>
  <w:style w:type="character" w:customStyle="1" w:styleId="42">
    <w:name w:val="批注框文本 字符"/>
    <w:link w:val="16"/>
    <w:qFormat/>
    <w:uiPriority w:val="1"/>
    <w:rPr>
      <w:sz w:val="18"/>
      <w:szCs w:val="18"/>
    </w:rPr>
  </w:style>
  <w:style w:type="character" w:customStyle="1" w:styleId="43">
    <w:name w:val="页眉 字符"/>
    <w:link w:val="18"/>
    <w:qFormat/>
    <w:uiPriority w:val="1"/>
    <w:rPr>
      <w:kern w:val="2"/>
      <w:sz w:val="18"/>
      <w:szCs w:val="18"/>
    </w:rPr>
  </w:style>
  <w:style w:type="character" w:customStyle="1" w:styleId="44">
    <w:name w:val="批注主题 字符"/>
    <w:link w:val="26"/>
    <w:qFormat/>
    <w:uiPriority w:val="1"/>
    <w:rPr>
      <w:b/>
      <w:bCs/>
      <w:kern w:val="2"/>
      <w:sz w:val="24"/>
      <w:szCs w:val="24"/>
    </w:rPr>
  </w:style>
  <w:style w:type="character" w:customStyle="1" w:styleId="45">
    <w:name w:val="font51"/>
    <w:qFormat/>
    <w:uiPriority w:val="1"/>
    <w:rPr>
      <w:rFonts w:hint="eastAsia" w:ascii="仿宋_GB2312" w:hAnsi="Times New Roman" w:eastAsia="仿宋_GB2312" w:cs="仿宋_GB2312"/>
      <w:color w:val="000000"/>
      <w:sz w:val="21"/>
      <w:szCs w:val="21"/>
      <w:u w:val="none"/>
    </w:rPr>
  </w:style>
  <w:style w:type="character" w:customStyle="1" w:styleId="46">
    <w:name w:val="_Style 44"/>
    <w:qFormat/>
    <w:uiPriority w:val="1"/>
    <w:rPr>
      <w:rFonts w:ascii="Times New Roman" w:hAnsi="Times New Roman" w:eastAsia="宋体" w:cs="Times New Roman"/>
      <w:i/>
      <w:iCs/>
      <w:color w:val="404040"/>
    </w:rPr>
  </w:style>
  <w:style w:type="character" w:customStyle="1" w:styleId="47">
    <w:name w:val="NormalCharacter"/>
    <w:qFormat/>
    <w:uiPriority w:val="1"/>
    <w:rPr>
      <w:rFonts w:ascii="Times New Roman" w:hAnsi="Times New Roman" w:eastAsia="宋体" w:cs="Times New Roman"/>
    </w:rPr>
  </w:style>
  <w:style w:type="character" w:customStyle="1" w:styleId="48">
    <w:name w:val="font71"/>
    <w:qFormat/>
    <w:uiPriority w:val="0"/>
    <w:rPr>
      <w:rFonts w:hint="eastAsia" w:ascii="宋体" w:hAnsi="宋体" w:eastAsia="宋体" w:cs="宋体"/>
      <w:color w:val="auto"/>
      <w:sz w:val="18"/>
      <w:szCs w:val="18"/>
      <w:u w:val="none"/>
    </w:rPr>
  </w:style>
  <w:style w:type="character" w:customStyle="1" w:styleId="49">
    <w:name w:val="font01"/>
    <w:qFormat/>
    <w:uiPriority w:val="0"/>
    <w:rPr>
      <w:rFonts w:hint="eastAsia" w:ascii="宋体" w:hAnsi="宋体" w:eastAsia="宋体" w:cs="宋体"/>
      <w:color w:val="000000"/>
      <w:sz w:val="22"/>
      <w:szCs w:val="22"/>
      <w:u w:val="none"/>
    </w:rPr>
  </w:style>
  <w:style w:type="character" w:customStyle="1" w:styleId="50">
    <w:name w:val="font11"/>
    <w:qFormat/>
    <w:uiPriority w:val="1"/>
    <w:rPr>
      <w:rFonts w:hint="eastAsia" w:ascii="宋体" w:hAnsi="宋体" w:eastAsia="宋体" w:cs="宋体"/>
      <w:color w:val="000000"/>
      <w:sz w:val="22"/>
      <w:szCs w:val="22"/>
      <w:u w:val="none"/>
    </w:rPr>
  </w:style>
  <w:style w:type="character" w:customStyle="1" w:styleId="51">
    <w:name w:val="font21"/>
    <w:qFormat/>
    <w:uiPriority w:val="1"/>
    <w:rPr>
      <w:rFonts w:ascii="方正书宋_GBK" w:hAnsi="方正书宋_GBK" w:eastAsia="方正书宋_GBK" w:cs="方正书宋_GBK"/>
      <w:color w:val="000000"/>
      <w:sz w:val="18"/>
      <w:szCs w:val="18"/>
      <w:u w:val="none"/>
    </w:rPr>
  </w:style>
  <w:style w:type="character" w:customStyle="1" w:styleId="52">
    <w:name w:val="font31"/>
    <w:qFormat/>
    <w:uiPriority w:val="1"/>
    <w:rPr>
      <w:rFonts w:hint="eastAsia" w:ascii="宋体" w:hAnsi="宋体" w:eastAsia="宋体" w:cs="宋体"/>
      <w:color w:val="000000"/>
      <w:sz w:val="24"/>
      <w:szCs w:val="24"/>
      <w:u w:val="none"/>
    </w:rPr>
  </w:style>
  <w:style w:type="character" w:customStyle="1" w:styleId="53">
    <w:name w:val="标题 1 Char Char"/>
    <w:qFormat/>
    <w:uiPriority w:val="1"/>
    <w:rPr>
      <w:rFonts w:ascii="Times New Roman" w:hAnsi="Times New Roman" w:eastAsia="宋体" w:cs="Times New Roman"/>
      <w:b/>
      <w:spacing w:val="-2"/>
      <w:sz w:val="24"/>
      <w:lang w:val="en-US" w:eastAsia="zh-CN" w:bidi="ar-SA"/>
    </w:rPr>
  </w:style>
  <w:style w:type="character" w:customStyle="1" w:styleId="54">
    <w:name w:val="UserStyle_3"/>
    <w:qFormat/>
    <w:uiPriority w:val="1"/>
    <w:rPr>
      <w:rFonts w:ascii="Calibri" w:hAnsi="Calibri" w:eastAsia="宋体" w:cs="Times New Roman"/>
      <w:color w:val="000000"/>
      <w:sz w:val="22"/>
      <w:szCs w:val="22"/>
    </w:rPr>
  </w:style>
  <w:style w:type="character" w:customStyle="1" w:styleId="55">
    <w:name w:val="font41"/>
    <w:qFormat/>
    <w:uiPriority w:val="1"/>
    <w:rPr>
      <w:rFonts w:hint="default" w:ascii="Times New Roman" w:hAnsi="Times New Roman" w:cs="Times New Roman"/>
      <w:color w:val="FF0000"/>
      <w:sz w:val="24"/>
      <w:szCs w:val="24"/>
      <w:u w:val="none"/>
    </w:rPr>
  </w:style>
  <w:style w:type="character" w:customStyle="1" w:styleId="56">
    <w:name w:val="font61"/>
    <w:qFormat/>
    <w:uiPriority w:val="1"/>
    <w:rPr>
      <w:rFonts w:ascii="Segoe UI" w:hAnsi="Segoe UI" w:eastAsia="宋体" w:cs="Segoe UI"/>
      <w:color w:val="000000"/>
      <w:sz w:val="22"/>
      <w:szCs w:val="22"/>
      <w:u w:val="none"/>
    </w:rPr>
  </w:style>
  <w:style w:type="character" w:customStyle="1" w:styleId="57">
    <w:name w:val="UserStyle_2"/>
    <w:qFormat/>
    <w:uiPriority w:val="1"/>
    <w:rPr>
      <w:rFonts w:ascii="宋体" w:hAnsi="宋体" w:eastAsia="宋体" w:cs="Times New Roman"/>
      <w:color w:val="000000"/>
      <w:sz w:val="21"/>
      <w:szCs w:val="21"/>
    </w:rPr>
  </w:style>
  <w:style w:type="paragraph" w:customStyle="1" w:styleId="58">
    <w:name w:val="_Style 56"/>
    <w:qFormat/>
    <w:uiPriority w:val="1"/>
    <w:rPr>
      <w:rFonts w:ascii="Times New Roman" w:hAnsi="Times New Roman" w:eastAsia="宋体" w:cs="宋体"/>
      <w:kern w:val="2"/>
      <w:sz w:val="24"/>
      <w:szCs w:val="24"/>
      <w:lang w:val="en-US" w:eastAsia="zh-CN" w:bidi="ar-SA"/>
    </w:rPr>
  </w:style>
  <w:style w:type="paragraph" w:customStyle="1" w:styleId="59">
    <w:name w:val="trs_editor"/>
    <w:basedOn w:val="1"/>
    <w:qFormat/>
    <w:uiPriority w:val="1"/>
    <w:pPr>
      <w:widowControl/>
      <w:spacing w:before="100" w:beforeAutospacing="1" w:after="100" w:afterAutospacing="1"/>
      <w:jc w:val="left"/>
    </w:pPr>
    <w:rPr>
      <w:rFonts w:ascii="宋体" w:hAnsi="宋体"/>
      <w:kern w:val="0"/>
    </w:rPr>
  </w:style>
  <w:style w:type="paragraph" w:customStyle="1" w:styleId="60">
    <w:name w:val="样式 正文（首行缩进两字） + 宋体"/>
    <w:basedOn w:val="6"/>
    <w:qFormat/>
    <w:uiPriority w:val="1"/>
    <w:pPr>
      <w:spacing w:line="460" w:lineRule="exact"/>
      <w:ind w:firstLine="200"/>
    </w:pPr>
    <w:rPr>
      <w:rFonts w:ascii="宋体" w:hAnsi="宋体"/>
      <w:spacing w:val="6"/>
      <w:kern w:val="24"/>
    </w:rPr>
  </w:style>
  <w:style w:type="paragraph" w:customStyle="1" w:styleId="61">
    <w:name w:val="Other|1"/>
    <w:basedOn w:val="1"/>
    <w:qFormat/>
    <w:uiPriority w:val="1"/>
    <w:rPr>
      <w:rFonts w:cs="Times New Roman"/>
      <w:lang w:val="zh-TW" w:eastAsia="zh-TW" w:bidi="zh-TW"/>
    </w:rPr>
  </w:style>
  <w:style w:type="paragraph" w:customStyle="1" w:styleId="62">
    <w:name w:val="179"/>
    <w:basedOn w:val="1"/>
    <w:qFormat/>
    <w:uiPriority w:val="1"/>
    <w:pPr>
      <w:ind w:firstLine="420"/>
    </w:pPr>
    <w:rPr>
      <w:rFonts w:cs="Times New Roman"/>
    </w:rPr>
  </w:style>
  <w:style w:type="paragraph" w:customStyle="1" w:styleId="63">
    <w:name w:val="正文2"/>
    <w:basedOn w:val="1"/>
    <w:qFormat/>
    <w:uiPriority w:val="1"/>
    <w:pPr>
      <w:spacing w:before="156"/>
      <w:ind w:firstLine="510"/>
    </w:pPr>
    <w:rPr>
      <w:szCs w:val="20"/>
    </w:rPr>
  </w:style>
  <w:style w:type="paragraph" w:customStyle="1" w:styleId="64">
    <w:name w:val="纯文本_0_0"/>
    <w:basedOn w:val="65"/>
    <w:qFormat/>
    <w:uiPriority w:val="1"/>
    <w:rPr>
      <w:rFonts w:ascii="宋体" w:hAnsi="Courier New"/>
      <w:szCs w:val="21"/>
    </w:rPr>
  </w:style>
  <w:style w:type="paragraph" w:customStyle="1" w:styleId="65">
    <w:name w:val="表格正文"/>
    <w:qFormat/>
    <w:uiPriority w:val="1"/>
    <w:pPr>
      <w:widowControl w:val="0"/>
      <w:spacing w:line="360" w:lineRule="auto"/>
      <w:jc w:val="both"/>
    </w:pPr>
    <w:rPr>
      <w:rFonts w:ascii="Times New Roman" w:hAnsi="Times New Roman" w:eastAsia="宋体" w:cs="Times New Roman"/>
      <w:kern w:val="2"/>
      <w:sz w:val="24"/>
      <w:szCs w:val="24"/>
      <w:lang w:val="en-US" w:eastAsia="zh-CN" w:bidi="ar-SA"/>
    </w:rPr>
  </w:style>
  <w:style w:type="paragraph" w:customStyle="1" w:styleId="66">
    <w:name w:val="Table caption|1"/>
    <w:basedOn w:val="1"/>
    <w:qFormat/>
    <w:uiPriority w:val="1"/>
    <w:pPr>
      <w:spacing w:line="324" w:lineRule="auto"/>
    </w:pPr>
    <w:rPr>
      <w:rFonts w:ascii="宋体" w:hAnsi="宋体" w:cs="Times New Roman"/>
      <w:sz w:val="22"/>
      <w:szCs w:val="22"/>
      <w:lang w:val="zh-TW" w:eastAsia="zh-TW" w:bidi="zh-TW"/>
    </w:rPr>
  </w:style>
  <w:style w:type="paragraph" w:customStyle="1" w:styleId="67">
    <w:name w:val="Table Paragraph"/>
    <w:basedOn w:val="1"/>
    <w:qFormat/>
    <w:uiPriority w:val="0"/>
    <w:pPr>
      <w:autoSpaceDE w:val="0"/>
      <w:autoSpaceDN w:val="0"/>
      <w:adjustRightInd w:val="0"/>
      <w:spacing w:line="240" w:lineRule="auto"/>
      <w:ind w:firstLine="0" w:firstLineChars="0"/>
      <w:jc w:val="left"/>
    </w:pPr>
    <w:rPr>
      <w:rFonts w:ascii="黑体" w:eastAsia="黑体"/>
      <w:kern w:val="0"/>
    </w:rPr>
  </w:style>
  <w:style w:type="paragraph" w:customStyle="1" w:styleId="68">
    <w:name w:val="Default"/>
    <w:qFormat/>
    <w:uiPriority w:val="1"/>
    <w:pPr>
      <w:widowControl w:val="0"/>
      <w:autoSpaceDE w:val="0"/>
      <w:autoSpaceDN w:val="0"/>
      <w:adjustRightInd w:val="0"/>
    </w:pPr>
    <w:rPr>
      <w:rFonts w:ascii="微软雅黑" w:hAnsi="Times New Roman" w:eastAsia="微软雅黑" w:cs="微软雅黑"/>
      <w:color w:val="000000"/>
      <w:sz w:val="24"/>
      <w:szCs w:val="24"/>
      <w:lang w:val="en-US" w:eastAsia="zh-CN" w:bidi="ar-SA"/>
    </w:rPr>
  </w:style>
  <w:style w:type="paragraph" w:customStyle="1" w:styleId="69">
    <w:name w:val="Normal_45"/>
    <w:qFormat/>
    <w:uiPriority w:val="1"/>
    <w:pPr>
      <w:spacing w:before="120" w:after="240"/>
      <w:jc w:val="both"/>
    </w:pPr>
    <w:rPr>
      <w:rFonts w:ascii="Times New Roman" w:hAnsi="Times New Roman" w:eastAsia="Calibri" w:cs="Times New Roman"/>
      <w:sz w:val="22"/>
      <w:szCs w:val="22"/>
      <w:lang w:val="en-US" w:eastAsia="en-US" w:bidi="ar-SA"/>
    </w:rPr>
  </w:style>
  <w:style w:type="paragraph" w:customStyle="1" w:styleId="70">
    <w:name w:val="纯文本1"/>
    <w:qFormat/>
    <w:uiPriority w:val="1"/>
    <w:pPr>
      <w:widowControl w:val="0"/>
      <w:adjustRightInd w:val="0"/>
      <w:jc w:val="both"/>
      <w:textAlignment w:val="baseline"/>
    </w:pPr>
    <w:rPr>
      <w:rFonts w:ascii="宋体" w:hAnsi="Courier New" w:eastAsia="楷体_GB2312" w:cs="Times New Roman"/>
      <w:kern w:val="2"/>
      <w:sz w:val="26"/>
      <w:lang w:val="en-US" w:eastAsia="zh-CN" w:bidi="ar-SA"/>
    </w:rPr>
  </w:style>
  <w:style w:type="paragraph" w:customStyle="1" w:styleId="71">
    <w:name w:val="text-tag"/>
    <w:basedOn w:val="1"/>
    <w:semiHidden/>
    <w:qFormat/>
    <w:uiPriority w:val="99"/>
    <w:pPr>
      <w:widowControl/>
      <w:spacing w:before="100" w:beforeAutospacing="1" w:after="100" w:afterAutospacing="1"/>
      <w:jc w:val="left"/>
    </w:pPr>
    <w:rPr>
      <w:rFonts w:ascii="宋体" w:hAnsi="宋体"/>
      <w:kern w:val="0"/>
    </w:rPr>
  </w:style>
  <w:style w:type="paragraph" w:customStyle="1" w:styleId="72">
    <w:name w:val="纯文本11"/>
    <w:basedOn w:val="1"/>
    <w:qFormat/>
    <w:uiPriority w:val="1"/>
    <w:pPr>
      <w:adjustRightInd w:val="0"/>
      <w:textAlignment w:val="baseline"/>
    </w:pPr>
    <w:rPr>
      <w:rFonts w:ascii="宋体" w:hAnsi="Courier New" w:eastAsia="楷体_GB2312" w:cs="Times New Roman"/>
      <w:sz w:val="26"/>
      <w:szCs w:val="20"/>
    </w:rPr>
  </w:style>
  <w:style w:type="paragraph" w:customStyle="1" w:styleId="73">
    <w:name w:val="Normal_48"/>
    <w:qFormat/>
    <w:uiPriority w:val="1"/>
    <w:pPr>
      <w:spacing w:before="120" w:after="240"/>
      <w:jc w:val="both"/>
    </w:pPr>
    <w:rPr>
      <w:rFonts w:ascii="Times New Roman" w:hAnsi="Times New Roman" w:eastAsia="Calibri" w:cs="Times New Roman"/>
      <w:sz w:val="22"/>
      <w:szCs w:val="22"/>
      <w:lang w:val="en-US" w:eastAsia="en-US" w:bidi="ar-SA"/>
    </w:rPr>
  </w:style>
  <w:style w:type="paragraph" w:customStyle="1" w:styleId="74">
    <w:name w:val="部分1"/>
    <w:basedOn w:val="1"/>
    <w:qFormat/>
    <w:uiPriority w:val="1"/>
    <w:pPr>
      <w:keepNext/>
      <w:pageBreakBefore/>
      <w:tabs>
        <w:tab w:val="left" w:pos="720"/>
      </w:tabs>
      <w:jc w:val="center"/>
      <w:outlineLvl w:val="0"/>
    </w:pPr>
    <w:rPr>
      <w:rFonts w:eastAsia="黑体"/>
      <w:b/>
      <w:kern w:val="44"/>
      <w:sz w:val="36"/>
      <w:szCs w:val="20"/>
    </w:rPr>
  </w:style>
  <w:style w:type="paragraph" w:customStyle="1" w:styleId="75">
    <w:name w:val="Picture caption|1"/>
    <w:basedOn w:val="1"/>
    <w:qFormat/>
    <w:uiPriority w:val="1"/>
    <w:rPr>
      <w:rFonts w:cs="Times New Roman"/>
      <w:sz w:val="14"/>
      <w:szCs w:val="14"/>
    </w:rPr>
  </w:style>
  <w:style w:type="paragraph" w:customStyle="1" w:styleId="76">
    <w:name w:val="纯文本2"/>
    <w:basedOn w:val="1"/>
    <w:qFormat/>
    <w:uiPriority w:val="1"/>
    <w:pPr>
      <w:adjustRightInd w:val="0"/>
      <w:textAlignment w:val="baseline"/>
    </w:pPr>
    <w:rPr>
      <w:rFonts w:ascii="宋体" w:hAnsi="Courier New" w:eastAsia="楷体_GB2312" w:cs="Times New Roman"/>
      <w:sz w:val="26"/>
      <w:szCs w:val="20"/>
    </w:rPr>
  </w:style>
  <w:style w:type="paragraph" w:styleId="77">
    <w:name w:val="List Paragraph"/>
    <w:basedOn w:val="1"/>
    <w:qFormat/>
    <w:uiPriority w:val="1"/>
    <w:pPr>
      <w:ind w:firstLine="420"/>
    </w:pPr>
    <w:rPr>
      <w:rFonts w:cs="Times New Roman"/>
      <w:sz w:val="21"/>
      <w:szCs w:val="20"/>
    </w:rPr>
  </w:style>
  <w:style w:type="paragraph" w:customStyle="1" w:styleId="78">
    <w:name w:val="正文_0"/>
    <w:qFormat/>
    <w:uiPriority w:val="1"/>
    <w:rPr>
      <w:rFonts w:ascii="Times New Roman" w:hAnsi="Times New Roman" w:eastAsia="宋体" w:cs="Times New Roman"/>
      <w:sz w:val="21"/>
      <w:lang w:val="en-US" w:eastAsia="zh-CN" w:bidi="ar-SA"/>
    </w:rPr>
  </w:style>
  <w:style w:type="paragraph" w:customStyle="1" w:styleId="79">
    <w:name w:val="索引 11"/>
    <w:basedOn w:val="1"/>
    <w:next w:val="1"/>
    <w:qFormat/>
    <w:uiPriority w:val="99"/>
    <w:rPr>
      <w:rFonts w:ascii="仿宋_GB2312" w:eastAsia="仿宋_GB2312"/>
      <w:szCs w:val="20"/>
    </w:rPr>
  </w:style>
  <w:style w:type="paragraph" w:customStyle="1" w:styleId="80">
    <w:name w:val="1"/>
    <w:basedOn w:val="3"/>
    <w:qFormat/>
    <w:uiPriority w:val="1"/>
    <w:pPr>
      <w:adjustRightInd w:val="0"/>
      <w:snapToGrid w:val="0"/>
      <w:spacing w:before="240" w:after="240"/>
    </w:pPr>
    <w:rPr>
      <w:rFonts w:ascii="微软雅黑" w:hAnsi="微软雅黑" w:eastAsia="微软雅黑"/>
      <w:sz w:val="28"/>
    </w:rPr>
  </w:style>
  <w:style w:type="paragraph" w:customStyle="1" w:styleId="81">
    <w:name w:val="Table Text"/>
    <w:basedOn w:val="1"/>
    <w:semiHidden/>
    <w:qFormat/>
    <w:uiPriority w:val="1"/>
    <w:rPr>
      <w:rFonts w:ascii="黑体" w:hAnsi="黑体" w:eastAsia="黑体" w:cs="黑体"/>
      <w:sz w:val="18"/>
      <w:szCs w:val="18"/>
      <w:lang w:eastAsia="en-US"/>
    </w:rPr>
  </w:style>
  <w:style w:type="paragraph" w:customStyle="1" w:styleId="82">
    <w:name w:val="正文缩进1"/>
    <w:basedOn w:val="1"/>
    <w:next w:val="11"/>
    <w:qFormat/>
    <w:uiPriority w:val="1"/>
    <w:pPr>
      <w:autoSpaceDE w:val="0"/>
      <w:autoSpaceDN w:val="0"/>
      <w:snapToGrid w:val="0"/>
      <w:spacing w:after="120"/>
      <w:ind w:left="420" w:leftChars="200" w:firstLine="480"/>
    </w:pPr>
    <w:rPr>
      <w:szCs w:val="21"/>
    </w:rPr>
  </w:style>
  <w:style w:type="paragraph" w:customStyle="1" w:styleId="83">
    <w:name w:val="文件正文版式"/>
    <w:basedOn w:val="1"/>
    <w:qFormat/>
    <w:uiPriority w:val="1"/>
    <w:pPr>
      <w:spacing w:line="460" w:lineRule="atLeast"/>
    </w:pPr>
    <w:rPr>
      <w:rFonts w:ascii="宋体" w:hAnsi="宋体"/>
      <w:b/>
      <w:bCs/>
    </w:rPr>
  </w:style>
  <w:style w:type="paragraph" w:customStyle="1" w:styleId="84">
    <w:name w:val="正文1"/>
    <w:basedOn w:val="1"/>
    <w:qFormat/>
    <w:uiPriority w:val="0"/>
    <w:pPr>
      <w:widowControl/>
      <w:spacing w:line="240" w:lineRule="auto"/>
      <w:ind w:firstLine="0" w:firstLineChars="0"/>
    </w:pPr>
    <w:rPr>
      <w:rFonts w:ascii="等线" w:hAnsi="等线"/>
      <w:sz w:val="21"/>
      <w:szCs w:val="21"/>
    </w:rPr>
  </w:style>
  <w:style w:type="paragraph" w:customStyle="1" w:styleId="85">
    <w:name w:val="表内文字"/>
    <w:basedOn w:val="1"/>
    <w:qFormat/>
    <w:uiPriority w:val="1"/>
    <w:pPr>
      <w:tabs>
        <w:tab w:val="left" w:pos="1418"/>
      </w:tabs>
      <w:jc w:val="center"/>
    </w:pPr>
    <w:rPr>
      <w:rFonts w:ascii="仿宋_GB2312" w:eastAsia="仿宋_GB2312" w:cs="Times New Roman"/>
      <w:spacing w:val="-20"/>
      <w:kern w:val="0"/>
    </w:rPr>
  </w:style>
  <w:style w:type="paragraph" w:customStyle="1" w:styleId="86">
    <w:name w:val="Heading1"/>
    <w:basedOn w:val="1"/>
    <w:next w:val="1"/>
    <w:qFormat/>
    <w:uiPriority w:val="1"/>
    <w:pPr>
      <w:keepNext/>
      <w:keepLines/>
      <w:spacing w:before="340" w:after="330" w:line="578" w:lineRule="auto"/>
      <w:jc w:val="center"/>
    </w:pPr>
    <w:rPr>
      <w:rFonts w:eastAsia="仿宋_GB2312" w:cs="Times New Roman"/>
      <w:b/>
      <w:bCs/>
      <w:kern w:val="44"/>
      <w:sz w:val="36"/>
      <w:szCs w:val="44"/>
    </w:rPr>
  </w:style>
  <w:style w:type="paragraph" w:customStyle="1" w:styleId="87">
    <w:name w:val="af17cgridlangnp1033langf"/>
    <w:qFormat/>
    <w:uiPriority w:val="1"/>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88">
    <w:name w:val="_Style 89"/>
    <w:basedOn w:val="1"/>
    <w:next w:val="77"/>
    <w:qFormat/>
    <w:uiPriority w:val="1"/>
    <w:pPr>
      <w:ind w:firstLine="420"/>
    </w:pPr>
    <w:rPr>
      <w:rFonts w:cs="Times New Roman"/>
      <w:sz w:val="21"/>
      <w:szCs w:val="20"/>
    </w:rPr>
  </w:style>
  <w:style w:type="table" w:customStyle="1" w:styleId="89">
    <w:name w:val="Table Normal"/>
    <w:unhideWhenUsed/>
    <w:qFormat/>
    <w:uiPriority w:val="0"/>
    <w:tblPr>
      <w:tblCellMar>
        <w:top w:w="0" w:type="dxa"/>
        <w:left w:w="0" w:type="dxa"/>
        <w:bottom w:w="0" w:type="dxa"/>
        <w:right w:w="0" w:type="dxa"/>
      </w:tblCellMar>
    </w:tblPr>
  </w:style>
  <w:style w:type="paragraph" w:customStyle="1" w:styleId="90">
    <w:name w:val="修订1"/>
    <w:hidden/>
    <w:unhideWhenUsed/>
    <w:qFormat/>
    <w:uiPriority w:val="99"/>
    <w:rPr>
      <w:rFonts w:ascii="Times New Roman" w:hAnsi="Times New Roman" w:eastAsia="宋体" w:cs="宋体"/>
      <w:kern w:val="2"/>
      <w:sz w:val="24"/>
      <w:szCs w:val="24"/>
      <w:lang w:val="en-US" w:eastAsia="zh-CN" w:bidi="ar-SA"/>
    </w:rPr>
  </w:style>
  <w:style w:type="paragraph" w:customStyle="1" w:styleId="91">
    <w:name w:val="修订2"/>
    <w:hidden/>
    <w:unhideWhenUsed/>
    <w:qFormat/>
    <w:uiPriority w:val="99"/>
    <w:rPr>
      <w:rFonts w:ascii="Times New Roman" w:hAnsi="Times New Roman" w:eastAsia="宋体" w:cs="宋体"/>
      <w:kern w:val="2"/>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Microsoft</Company>
  <Pages>102</Pages>
  <Words>8776</Words>
  <Characters>50028</Characters>
  <Lines>416</Lines>
  <Paragraphs>117</Paragraphs>
  <TotalTime>34</TotalTime>
  <ScaleCrop>false</ScaleCrop>
  <LinksUpToDate>false</LinksUpToDate>
  <CharactersWithSpaces>58687</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2026-07-05T00:49:00Z</dcterms:created>
  <dc:creator>Administrator</dc:creator>
  <cp:lastModifiedBy>thtf-3</cp:lastModifiedBy>
  <cp:lastPrinted>2024-08-17T20:01:00Z</cp:lastPrinted>
  <dcterms:modified xsi:type="dcterms:W3CDTF">2026-07-03T16:35:35Z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E51A53FB344F556A965E436A5E92FC3D_43</vt:lpwstr>
  </property>
  <property fmtid="{D5CDD505-2E9C-101B-9397-08002B2CF9AE}" pid="4" name="KSOTemplateDocerSaveRecord">
    <vt:lpwstr>eyJoZGlkIjoiNTU0ZmIwYTQ3NzlmZGUxZmU3Zjk0M2IyZTNmM2IxNjAiLCJ1c2VySWQiOiIyODcyODkzNDYifQ==</vt:lpwstr>
  </property>
</Properties>
</file>