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版本号：N511001202600013120260713001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2026年度台式计算机采购项目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N5110012026000131</w:t>
      </w:r>
    </w:p>
    <w:p>
      <w:pPr>
        <w:pStyle w:val="null3"/>
        <w:jc w:val="left"/>
        <w:outlineLvl w:val="2"/>
      </w:pPr>
      <w:r>
        <w:rPr>
          <w:rFonts w:ascii="仿宋_GB2312" w:hAnsi="仿宋_GB2312" w:cs="仿宋_GB2312" w:eastAsia="仿宋_GB2312"/>
          <w:sz w:val="28"/>
          <w:b/>
        </w:rPr>
        <w:t>内江市第一人民医院</w:t>
      </w:r>
    </w:p>
    <w:p>
      <w:pPr>
        <w:pStyle w:val="null3"/>
        <w:jc w:val="center"/>
        <w:outlineLvl w:val="2"/>
      </w:pPr>
      <w:r>
        <w:rPr>
          <w:rFonts w:ascii="仿宋_GB2312" w:hAnsi="仿宋_GB2312" w:cs="仿宋_GB2312" w:eastAsia="仿宋_GB2312"/>
          <w:sz w:val="28"/>
          <w:b/>
        </w:rPr>
        <w:t>内江市政府采购中心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2026年07月13日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内江市政府采购中心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内江市第一人民医院</w:t>
      </w:r>
      <w:r>
        <w:rPr>
          <w:rFonts w:ascii="仿宋_GB2312" w:hAnsi="仿宋_GB2312" w:cs="仿宋_GB2312" w:eastAsia="仿宋_GB2312"/>
        </w:rPr>
        <w:t xml:space="preserve"> 委托，拟对 </w:t>
      </w:r>
      <w:r>
        <w:rPr>
          <w:rFonts w:ascii="仿宋_GB2312" w:hAnsi="仿宋_GB2312" w:cs="仿宋_GB2312" w:eastAsia="仿宋_GB2312"/>
        </w:rPr>
        <w:t>2026年度台式计算机采购项目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内江市市本级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N5110012026000131</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2026年度台式计算机采购项目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计划采购台式计算机一批，按实际使用量据实结算。</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内江市第一人民医院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四川省内江市市中区汉安大道西段1866号、沱中路41号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641000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杨先生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0832-2256120</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内江市政府采购中心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四川省内江市东兴区兰桂大道436号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641000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文编科（文件咨询罗老师）、评审科（评审咨询2029224）、组织科（开标咨询2022630）</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0832-2029224(评审)、2263953（文件）、2022630（开标）</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采购包1：920,000.00元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采购包1：最低评标价法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内江市第一人民医院</w:t>
      </w:r>
      <w:r>
        <w:rPr>
          <w:rFonts w:ascii="仿宋_GB2312" w:hAnsi="仿宋_GB2312" w:cs="仿宋_GB2312" w:eastAsia="仿宋_GB2312"/>
        </w:rPr>
        <w:t xml:space="preserve"> 和 </w:t>
      </w:r>
      <w:r>
        <w:rPr>
          <w:rFonts w:ascii="仿宋_GB2312" w:hAnsi="仿宋_GB2312" w:cs="仿宋_GB2312" w:eastAsia="仿宋_GB2312"/>
        </w:rPr>
        <w:t>内江市政府采购中心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内江市第一人民医院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内江市政府采购中心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验收由招标人组织，投标人配合，按照招标文件规定的验收标准进行验收</w:t>
      </w:r>
      <w:r>
        <w:rPr>
          <w:rFonts w:ascii="仿宋_GB2312" w:hAnsi="仿宋_GB2312" w:cs="仿宋_GB2312" w:eastAsia="仿宋_GB2312"/>
        </w:rPr>
        <w:t xml:space="preserve"> ，达到验收条件起 </w:t>
      </w:r>
      <w:r>
        <w:rPr>
          <w:rFonts w:ascii="仿宋_GB2312" w:hAnsi="仿宋_GB2312" w:cs="仿宋_GB2312" w:eastAsia="仿宋_GB2312"/>
        </w:rPr>
        <w:t>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以采购合同实际约定为准。</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以采购合同实际约定为准。</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按照《财政部关于进一步加强政府采购需求和履约验收管理的指导意见》(财库〔2016〕205号)以及本项目服务及合同的要求进行验收。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按照《财政部关于进一步加强政府采购需求和履约验收管理的指导意见》(财库〔2016〕205号)以及本项目服务及合同的要求进行验收。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内江市第一人民医院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内江市政府采购中心</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内江市政府采购中心</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 杨先生</w:t>
      </w:r>
    </w:p>
    <w:p>
      <w:pPr>
        <w:pStyle w:val="null3"/>
        <w:jc w:val="left"/>
      </w:pPr>
      <w:r>
        <w:rPr>
          <w:rFonts w:ascii="仿宋_GB2312" w:hAnsi="仿宋_GB2312" w:cs="仿宋_GB2312" w:eastAsia="仿宋_GB2312"/>
        </w:rPr>
        <w:t>联系电话： 0832-2256120</w:t>
      </w:r>
    </w:p>
    <w:p>
      <w:pPr>
        <w:pStyle w:val="null3"/>
        <w:jc w:val="left"/>
      </w:pPr>
      <w:r>
        <w:rPr>
          <w:rFonts w:ascii="仿宋_GB2312" w:hAnsi="仿宋_GB2312" w:cs="仿宋_GB2312" w:eastAsia="仿宋_GB2312"/>
        </w:rPr>
        <w:t>地址： 四川省内江市市中区汉安大道西段1866号、沱中路41号</w:t>
      </w:r>
    </w:p>
    <w:p>
      <w:pPr>
        <w:pStyle w:val="null3"/>
        <w:jc w:val="left"/>
      </w:pPr>
      <w:r>
        <w:rPr>
          <w:rFonts w:ascii="仿宋_GB2312" w:hAnsi="仿宋_GB2312" w:cs="仿宋_GB2312" w:eastAsia="仿宋_GB2312"/>
        </w:rPr>
        <w:t>邮编：641000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联系人：陈老师</w:t>
      </w:r>
    </w:p>
    <w:p>
      <w:pPr>
        <w:pStyle w:val="null3"/>
        <w:jc w:val="left"/>
      </w:pPr>
      <w:r>
        <w:rPr>
          <w:rFonts w:ascii="仿宋_GB2312" w:hAnsi="仿宋_GB2312" w:cs="仿宋_GB2312" w:eastAsia="仿宋_GB2312"/>
        </w:rPr>
        <w:t>联系电话：0832-2042306</w:t>
      </w:r>
    </w:p>
    <w:p>
      <w:pPr>
        <w:pStyle w:val="null3"/>
        <w:jc w:val="left"/>
      </w:pPr>
      <w:r>
        <w:rPr>
          <w:rFonts w:ascii="仿宋_GB2312" w:hAnsi="仿宋_GB2312" w:cs="仿宋_GB2312" w:eastAsia="仿宋_GB2312"/>
        </w:rPr>
        <w:t>地址：内江市东兴区兰桂大道377号川南电商中心主楼三楼305办公室</w:t>
      </w:r>
    </w:p>
    <w:p>
      <w:pPr>
        <w:pStyle w:val="null3"/>
        <w:jc w:val="left"/>
      </w:pPr>
      <w:r>
        <w:rPr>
          <w:rFonts w:ascii="仿宋_GB2312" w:hAnsi="仿宋_GB2312" w:cs="仿宋_GB2312" w:eastAsia="仿宋_GB2312"/>
        </w:rPr>
        <w:t>邮编：641000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920,000.00</w:t>
      </w:r>
    </w:p>
    <w:p>
      <w:pPr>
        <w:pStyle w:val="null3"/>
        <w:jc w:val="left"/>
      </w:pPr>
      <w:r>
        <w:rPr>
          <w:rFonts w:ascii="仿宋_GB2312" w:hAnsi="仿宋_GB2312" w:cs="仿宋_GB2312" w:eastAsia="仿宋_GB2312"/>
        </w:rPr>
        <w:t>采购包最高限价（元）: 920,000.00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台式计算机</w:t>
            </w:r>
          </w:p>
        </w:tc>
        <w:tc>
          <w:tcPr>
            <w:tcW w:type="dxa" w:w="821"/>
          </w:tcPr>
          <w:p>
            <w:pPr>
              <w:pStyle w:val="null3"/>
              <w:jc w:val="right"/>
            </w:pPr>
            <w:r>
              <w:rPr>
                <w:rFonts w:ascii="仿宋_GB2312" w:hAnsi="仿宋_GB2312" w:cs="仿宋_GB2312" w:eastAsia="仿宋_GB2312"/>
              </w:rPr>
              <w:t>184.00（台）</w:t>
            </w:r>
          </w:p>
        </w:tc>
        <w:tc>
          <w:tcPr>
            <w:tcW w:type="dxa" w:w="821"/>
          </w:tcPr>
          <w:p>
            <w:pPr>
              <w:pStyle w:val="null3"/>
              <w:jc w:val="right"/>
            </w:pPr>
            <w:r>
              <w:rPr>
                <w:rFonts w:ascii="仿宋_GB2312" w:hAnsi="仿宋_GB2312" w:cs="仿宋_GB2312" w:eastAsia="仿宋_GB2312"/>
              </w:rPr>
              <w:t>920,000.00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台式计算机</w:t>
            </w:r>
          </w:p>
        </w:tc>
        <w:tc>
          <w:tcPr>
            <w:tcW w:type="dxa" w:w="1138"/>
          </w:tcPr>
          <w:p>
            <w:pPr>
              <w:pStyle w:val="null3"/>
              <w:jc w:val="center"/>
            </w:pPr>
            <w:r>
              <w:rPr>
                <w:rFonts w:ascii="仿宋_GB2312" w:hAnsi="仿宋_GB2312" w:cs="仿宋_GB2312" w:eastAsia="仿宋_GB2312"/>
              </w:rPr>
              <w:t>184.00（台）</w:t>
            </w:r>
          </w:p>
        </w:tc>
        <w:tc>
          <w:tcPr>
            <w:tcW w:type="dxa" w:w="1365"/>
          </w:tcPr>
          <w:p>
            <w:pPr>
              <w:pStyle w:val="null3"/>
              <w:jc w:val="center"/>
            </w:pPr>
            <w:r>
              <w:rPr>
                <w:rFonts w:ascii="仿宋_GB2312" w:hAnsi="仿宋_GB2312" w:cs="仿宋_GB2312" w:eastAsia="仿宋_GB2312"/>
              </w:rPr>
              <w:t>920,000.00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台式计算机</w:t>
            </w:r>
          </w:p>
        </w:tc>
        <w:tc>
          <w:tcPr>
            <w:tcW w:type="dxa" w:w="2492"/>
          </w:tcPr>
          <w:p>
            <w:pPr>
              <w:pStyle w:val="null3"/>
              <w:jc w:val="left"/>
            </w:pPr>
            <w:r>
              <w:rPr>
                <w:rFonts w:ascii="仿宋_GB2312" w:hAnsi="仿宋_GB2312" w:cs="仿宋_GB2312" w:eastAsia="仿宋_GB2312"/>
              </w:rPr>
              <w:t>台式计算机</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台式计算机</w:t>
            </w:r>
          </w:p>
        </w:tc>
        <w:tc>
          <w:tcPr>
            <w:tcW w:type="dxa" w:w="2492"/>
          </w:tcPr>
          <w:p>
            <w:pPr>
              <w:pStyle w:val="null3"/>
              <w:jc w:val="left"/>
            </w:pPr>
            <w:r>
              <w:rPr>
                <w:rFonts w:ascii="仿宋_GB2312" w:hAnsi="仿宋_GB2312" w:cs="仿宋_GB2312" w:eastAsia="仿宋_GB2312"/>
              </w:rPr>
              <w:t>台式计算机</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台式计算机</w:t>
            </w:r>
          </w:p>
        </w:tc>
        <w:tc>
          <w:tcPr>
            <w:tcW w:type="dxa" w:w="2492"/>
          </w:tcPr>
          <w:p>
            <w:pPr>
              <w:pStyle w:val="null3"/>
              <w:jc w:val="left"/>
            </w:pPr>
            <w:r>
              <w:rPr>
                <w:rFonts w:ascii="仿宋_GB2312" w:hAnsi="仿宋_GB2312" w:cs="仿宋_GB2312" w:eastAsia="仿宋_GB2312"/>
              </w:rPr>
              <w:t>台式计算机</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标的名称：台式计算机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技术参数与其他要求</w:t>
            </w:r>
          </w:p>
        </w:tc>
        <w:tc>
          <w:tcPr>
            <w:tcW w:type="dxa" w:w="5814"/>
          </w:tcPr>
          <w:p>
            <w:pPr>
              <w:pStyle w:val="null3"/>
              <w:ind w:firstLine="478"/>
              <w:jc w:val="left"/>
            </w:pPr>
            <w:r>
              <w:rPr>
                <w:rFonts w:ascii="仿宋_GB2312" w:hAnsi="仿宋_GB2312" w:cs="仿宋_GB2312" w:eastAsia="仿宋_GB2312"/>
                <w:sz w:val="24"/>
                <w:b/>
                <w:color w:val="000000"/>
              </w:rPr>
              <w:t>一、技术参数</w:t>
            </w:r>
          </w:p>
          <w:p>
            <w:pPr>
              <w:pStyle w:val="null3"/>
              <w:ind w:firstLine="476"/>
              <w:jc w:val="left"/>
            </w:pPr>
            <w:r>
              <w:rPr>
                <w:rFonts w:ascii="仿宋_GB2312" w:hAnsi="仿宋_GB2312" w:cs="仿宋_GB2312" w:eastAsia="仿宋_GB2312"/>
                <w:sz w:val="24"/>
                <w:color w:val="000000"/>
              </w:rPr>
              <w:t>1、针对此项目的原厂原配产品，主机序列号可在原厂官网查询配置（不接受改配，否则不给予验收）；</w:t>
            </w:r>
          </w:p>
          <w:p>
            <w:pPr>
              <w:pStyle w:val="null3"/>
              <w:ind w:firstLine="476"/>
              <w:jc w:val="left"/>
            </w:pPr>
            <w:r>
              <w:rPr>
                <w:rFonts w:ascii="仿宋_GB2312" w:hAnsi="仿宋_GB2312" w:cs="仿宋_GB2312" w:eastAsia="仿宋_GB2312"/>
                <w:sz w:val="24"/>
                <w:color w:val="000000"/>
              </w:rPr>
              <w:t>2、中央处理器：基础主频≥2.5GHz，最高可睿频至4.4GHz，≥6核心，≥12线程；基础功耗：≥65W；内存：≥16G DDR4 3200；硬盘：512GB  Nvme M.2 SSD；显卡：集成显卡；操作系统：原装Windows11 64位正版操作系统；</w:t>
            </w:r>
          </w:p>
          <w:p>
            <w:pPr>
              <w:pStyle w:val="null3"/>
              <w:ind w:firstLine="476"/>
              <w:jc w:val="left"/>
            </w:pPr>
            <w:r>
              <w:rPr>
                <w:rFonts w:ascii="仿宋_GB2312" w:hAnsi="仿宋_GB2312" w:cs="仿宋_GB2312" w:eastAsia="仿宋_GB2312"/>
                <w:sz w:val="24"/>
                <w:color w:val="000000"/>
              </w:rPr>
              <w:t>3、主板芯片：≥B760芯片组，单路供电，100%全固态电容；≥4个SATA接口，≥1个PCI，≥2个PCIe*1, ≥1个PCIe*16，≥3个M.2插槽；</w:t>
            </w:r>
          </w:p>
          <w:p>
            <w:pPr>
              <w:pStyle w:val="null3"/>
              <w:ind w:firstLine="476"/>
              <w:jc w:val="left"/>
            </w:pPr>
            <w:r>
              <w:rPr>
                <w:rFonts w:ascii="仿宋_GB2312" w:hAnsi="仿宋_GB2312" w:cs="仿宋_GB2312" w:eastAsia="仿宋_GB2312"/>
                <w:sz w:val="24"/>
                <w:color w:val="000000"/>
              </w:rPr>
              <w:t>4、主板原生I\O接口：USB 接口≥10个（前置至少6个USB3.2 Type-A）；≥1个VGA，≥1个HDMI，≥1个DP，≥5个音频接口，≥1个串口，≥2个PS/2；</w:t>
            </w:r>
          </w:p>
          <w:p>
            <w:pPr>
              <w:pStyle w:val="null3"/>
              <w:ind w:firstLine="476"/>
              <w:jc w:val="left"/>
            </w:pPr>
            <w:r>
              <w:rPr>
                <w:rFonts w:ascii="仿宋_GB2312" w:hAnsi="仿宋_GB2312" w:cs="仿宋_GB2312" w:eastAsia="仿宋_GB2312"/>
                <w:sz w:val="24"/>
                <w:color w:val="000000"/>
              </w:rPr>
              <w:t>5、机箱：≥15升，前面板有可拆洗防尘罩，后面板有串并口专用扩展位，顶置提手、开关键、Reset键及资产管理标签位；机箱标配键盘、鼠标安全锁扣，防止基础配件丢失；支持硬盘、Slim ODD设备及PCI扩展卡免工具拆卸；</w:t>
            </w:r>
          </w:p>
          <w:p>
            <w:pPr>
              <w:pStyle w:val="null3"/>
              <w:ind w:firstLine="476"/>
              <w:jc w:val="left"/>
            </w:pPr>
            <w:r>
              <w:rPr>
                <w:rFonts w:ascii="仿宋_GB2312" w:hAnsi="仿宋_GB2312" w:cs="仿宋_GB2312" w:eastAsia="仿宋_GB2312"/>
                <w:sz w:val="24"/>
                <w:color w:val="000000"/>
              </w:rPr>
              <w:t>6、显示器与主机同品牌：≥23.8英寸液晶显示屏，灰阶响应时间≤5ms，刷新率≥100Hz、亮度≥250cd/m² 、广色域≥95%SRGB、可视角度≥178°，具备VGA+HDMI双接口；</w:t>
            </w:r>
          </w:p>
          <w:p>
            <w:pPr>
              <w:pStyle w:val="null3"/>
              <w:ind w:firstLine="476"/>
              <w:jc w:val="left"/>
            </w:pPr>
            <w:r>
              <w:rPr>
                <w:rFonts w:ascii="仿宋_GB2312" w:hAnsi="仿宋_GB2312" w:cs="仿宋_GB2312" w:eastAsia="仿宋_GB2312"/>
                <w:sz w:val="24"/>
                <w:color w:val="000000"/>
              </w:rPr>
              <w:t>7、提供与主机同品牌的有线键鼠；</w:t>
            </w:r>
          </w:p>
          <w:p>
            <w:pPr>
              <w:pStyle w:val="null3"/>
              <w:ind w:firstLine="476"/>
              <w:jc w:val="left"/>
            </w:pPr>
            <w:r>
              <w:rPr>
                <w:rFonts w:ascii="仿宋_GB2312" w:hAnsi="仿宋_GB2312" w:cs="仿宋_GB2312" w:eastAsia="仿宋_GB2312"/>
                <w:sz w:val="24"/>
                <w:color w:val="000000"/>
              </w:rPr>
              <w:t>8、供应商所响应产品平均无故障时间（MTBF）</w:t>
            </w:r>
            <w:r>
              <w:rPr>
                <w:rFonts w:ascii="仿宋_GB2312" w:hAnsi="仿宋_GB2312" w:cs="仿宋_GB2312" w:eastAsia="仿宋_GB2312"/>
                <w:sz w:val="24"/>
                <w:color w:val="000000"/>
              </w:rPr>
              <w:t>≥</w:t>
            </w:r>
            <w:r>
              <w:rPr>
                <w:rFonts w:ascii="仿宋_GB2312" w:hAnsi="仿宋_GB2312" w:cs="仿宋_GB2312" w:eastAsia="仿宋_GB2312"/>
                <w:sz w:val="24"/>
                <w:color w:val="000000"/>
              </w:rPr>
              <w:t>100万小时;</w:t>
            </w:r>
            <w:r>
              <w:rPr>
                <w:rFonts w:ascii="仿宋_GB2312" w:hAnsi="仿宋_GB2312" w:cs="仿宋_GB2312" w:eastAsia="仿宋_GB2312"/>
                <w:sz w:val="24"/>
                <w:b/>
                <w:color w:val="000000"/>
              </w:rPr>
              <w:t>（供应商可提供承诺函承诺合同签订前提供《产品可靠性检验证书》或在响应文件中提供该证书复印件并加盖电子签章）</w:t>
            </w:r>
          </w:p>
          <w:p>
            <w:pPr>
              <w:pStyle w:val="null3"/>
              <w:ind w:firstLine="476"/>
              <w:jc w:val="left"/>
            </w:pPr>
            <w:r>
              <w:rPr>
                <w:rFonts w:ascii="仿宋_GB2312" w:hAnsi="仿宋_GB2312" w:cs="仿宋_GB2312" w:eastAsia="仿宋_GB2312"/>
                <w:sz w:val="24"/>
                <w:color w:val="000000"/>
              </w:rPr>
              <w:t>9、提供同品牌终端管理软件官网免费下载链接，可实现：（1）硬件主要参数检测（包括CPU、内存、硬盘、显卡等），便于硬件审计；（2）系统垃圾清理（包括浏览器缓存、临时文件、回收站等）；（3）硬盘清理程序；（4）原厂BIOS及应用程序下载链接；（5）网络诊断，便于网络设置（包括接入点、IP、网关、掩码等），（6）自动识别品牌型号，自动识别序列号，方便资产维护；</w:t>
            </w:r>
          </w:p>
          <w:p>
            <w:pPr>
              <w:pStyle w:val="null3"/>
              <w:ind w:firstLine="476"/>
              <w:jc w:val="left"/>
            </w:pPr>
            <w:r>
              <w:rPr>
                <w:rFonts w:ascii="仿宋_GB2312" w:hAnsi="仿宋_GB2312" w:cs="仿宋_GB2312" w:eastAsia="仿宋_GB2312"/>
                <w:sz w:val="24"/>
                <w:color w:val="000000"/>
              </w:rPr>
              <w:t>10、提供同品牌安全管理软件，具有文件加密及解密、文件粉碎功能，只需要拖放相关文件或单击“添加文件或文件夹”图标添加相关文件即可实现快速加密及解密、文件粉碎，保障个人数据安全：</w:t>
            </w:r>
            <w:r>
              <w:rPr>
                <w:rFonts w:ascii="仿宋_GB2312" w:hAnsi="仿宋_GB2312" w:cs="仿宋_GB2312" w:eastAsia="仿宋_GB2312"/>
                <w:sz w:val="24"/>
                <w:b/>
                <w:color w:val="000000"/>
              </w:rPr>
              <w:t>（提供此功能界面截图证明并加盖电子签章）</w:t>
            </w:r>
          </w:p>
          <w:p>
            <w:pPr>
              <w:pStyle w:val="null3"/>
              <w:ind w:firstLine="476"/>
              <w:jc w:val="left"/>
            </w:pPr>
            <w:r>
              <w:rPr>
                <w:rFonts w:ascii="仿宋_GB2312" w:hAnsi="仿宋_GB2312" w:cs="仿宋_GB2312" w:eastAsia="仿宋_GB2312"/>
                <w:sz w:val="24"/>
                <w:color w:val="000000"/>
              </w:rPr>
              <w:t>11、</w:t>
            </w:r>
            <w:r>
              <w:rPr>
                <w:rFonts w:ascii="仿宋_GB2312" w:hAnsi="仿宋_GB2312" w:cs="仿宋_GB2312" w:eastAsia="仿宋_GB2312"/>
                <w:sz w:val="24"/>
                <w:color w:val="000000"/>
              </w:rPr>
              <w:t>其他要求：</w:t>
            </w:r>
            <w:r>
              <w:rPr>
                <w:rFonts w:ascii="仿宋_GB2312" w:hAnsi="仿宋_GB2312" w:cs="仿宋_GB2312" w:eastAsia="仿宋_GB2312"/>
                <w:sz w:val="24"/>
                <w:color w:val="000000"/>
              </w:rPr>
              <w:t>除以上技术参数与性能指标外，投标人所提供台式计算机还应满足《财政部工业和信息化部关于印发</w:t>
            </w:r>
            <w:r>
              <w:rPr>
                <w:rFonts w:ascii="仿宋_GB2312" w:hAnsi="仿宋_GB2312" w:cs="仿宋_GB2312" w:eastAsia="仿宋_GB2312"/>
                <w:sz w:val="24"/>
                <w:color w:val="000000"/>
              </w:rPr>
              <w:t>&lt;关于印发《台式计算机政府采购需求标准（2023年版）的通知》（财库〔2023〕29号）的附件“台式计算机政府采购需求标准（2023年版）”中全部加*指标要求（CPU 、操作系统符合安全可靠测评、机械硬盘除外）。</w:t>
            </w:r>
            <w:r>
              <w:rPr>
                <w:rFonts w:ascii="仿宋_GB2312" w:hAnsi="仿宋_GB2312" w:cs="仿宋_GB2312" w:eastAsia="仿宋_GB2312"/>
                <w:sz w:val="24"/>
                <w:b/>
                <w:color w:val="000000"/>
              </w:rPr>
              <w:t>（说明：投标人在响应文件中提供承诺函，格式自拟）</w:t>
            </w:r>
          </w:p>
          <w:p>
            <w:pPr>
              <w:pStyle w:val="null3"/>
              <w:ind w:firstLine="476"/>
              <w:jc w:val="left"/>
            </w:pPr>
            <w:r>
              <w:rPr>
                <w:rFonts w:ascii="仿宋_GB2312" w:hAnsi="仿宋_GB2312" w:cs="仿宋_GB2312" w:eastAsia="仿宋_GB2312"/>
                <w:sz w:val="24"/>
                <w:color w:val="000000"/>
              </w:rPr>
              <w:t>二、其他要求</w:t>
            </w:r>
          </w:p>
          <w:p>
            <w:pPr>
              <w:pStyle w:val="null3"/>
              <w:ind w:firstLine="476"/>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安装调试：</w:t>
            </w:r>
          </w:p>
          <w:p>
            <w:pPr>
              <w:pStyle w:val="null3"/>
              <w:ind w:firstLine="476"/>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中标人负责产品安装、调试直至采购人能正常使用，所需的一切材料、备件、专业工具均由中标人负责提供（医院安装方式为集中供货，分散零星安装；各部门有需要使用时联系投标人随时提供上门分散零星安装服务）。</w:t>
            </w:r>
          </w:p>
          <w:p>
            <w:pPr>
              <w:pStyle w:val="null3"/>
              <w:ind w:firstLine="476"/>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2）必须保证提供的货物（包括零部件）是全新的、未使用过的，具有稳定性、可靠性、安全性，并完全符合国家、行业规定的质量、规格和性能要求等技术标准。</w:t>
            </w:r>
          </w:p>
          <w:p>
            <w:pPr>
              <w:pStyle w:val="null3"/>
              <w:ind w:firstLine="476"/>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3）为保证使用效果，</w:t>
            </w:r>
            <w:r>
              <w:rPr>
                <w:rFonts w:ascii="仿宋_GB2312" w:hAnsi="仿宋_GB2312" w:cs="仿宋_GB2312" w:eastAsia="仿宋_GB2312"/>
                <w:sz w:val="24"/>
                <w:color w:val="000000"/>
              </w:rPr>
              <w:t>以上所有软硬件产品</w:t>
            </w:r>
            <w:r>
              <w:rPr>
                <w:rFonts w:ascii="仿宋_GB2312" w:hAnsi="仿宋_GB2312" w:cs="仿宋_GB2312" w:eastAsia="仿宋_GB2312"/>
                <w:sz w:val="24"/>
                <w:color w:val="000000"/>
              </w:rPr>
              <w:t>在</w:t>
            </w:r>
            <w:r>
              <w:rPr>
                <w:rFonts w:ascii="仿宋_GB2312" w:hAnsi="仿宋_GB2312" w:cs="仿宋_GB2312" w:eastAsia="仿宋_GB2312"/>
                <w:sz w:val="24"/>
                <w:color w:val="000000"/>
              </w:rPr>
              <w:t>“技术参数要求”中的所有功能参数，</w:t>
            </w:r>
            <w:r>
              <w:rPr>
                <w:rFonts w:ascii="仿宋_GB2312" w:hAnsi="仿宋_GB2312" w:cs="仿宋_GB2312" w:eastAsia="仿宋_GB2312"/>
                <w:sz w:val="24"/>
                <w:color w:val="000000"/>
              </w:rPr>
              <w:t>在交付使用前提供功能性测试，测试不通过视为虚假应标，</w:t>
            </w:r>
            <w:r>
              <w:rPr>
                <w:rFonts w:ascii="仿宋_GB2312" w:hAnsi="仿宋_GB2312" w:cs="仿宋_GB2312" w:eastAsia="仿宋_GB2312"/>
                <w:sz w:val="24"/>
                <w:color w:val="000000"/>
              </w:rPr>
              <w:t>将予以退货处理，并按规定上报财政部门。</w:t>
            </w:r>
          </w:p>
          <w:p>
            <w:pPr>
              <w:pStyle w:val="null3"/>
              <w:ind w:firstLine="476"/>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为保证产品质量，供货时中标人须向采购人提供该批次货物采购文件要求的检测报告原件、证书原件或截图；如未提供或与响应文件中提供的检测报告复印件、证书复印件或截图不一致的视为虚假应标</w:t>
            </w:r>
            <w:r>
              <w:rPr>
                <w:rFonts w:ascii="仿宋_GB2312" w:hAnsi="仿宋_GB2312" w:cs="仿宋_GB2312" w:eastAsia="仿宋_GB2312"/>
                <w:sz w:val="24"/>
                <w:color w:val="000000"/>
              </w:rPr>
              <w:t>，将予以退货处理，并按规定上报财政部门。</w:t>
            </w:r>
          </w:p>
          <w:p>
            <w:pPr>
              <w:pStyle w:val="null3"/>
              <w:ind w:firstLine="476"/>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5）为保证使用效果，设备</w:t>
            </w:r>
            <w:r>
              <w:rPr>
                <w:rFonts w:ascii="仿宋_GB2312" w:hAnsi="仿宋_GB2312" w:cs="仿宋_GB2312" w:eastAsia="仿宋_GB2312"/>
                <w:sz w:val="24"/>
                <w:color w:val="000000"/>
              </w:rPr>
              <w:t>首次安装调试需原厂工程师上门安装调试。</w:t>
            </w:r>
          </w:p>
          <w:p>
            <w:pPr>
              <w:pStyle w:val="null3"/>
              <w:ind w:firstLine="476"/>
              <w:jc w:val="left"/>
            </w:pPr>
            <w:r>
              <w:rPr>
                <w:rFonts w:ascii="仿宋_GB2312" w:hAnsi="仿宋_GB2312" w:cs="仿宋_GB2312" w:eastAsia="仿宋_GB2312"/>
                <w:sz w:val="24"/>
                <w:color w:val="000000"/>
              </w:rPr>
              <w:t>2.包装要求</w:t>
            </w:r>
          </w:p>
          <w:p>
            <w:pPr>
              <w:pStyle w:val="null3"/>
              <w:ind w:firstLine="476"/>
              <w:jc w:val="left"/>
            </w:pPr>
            <w:r>
              <w:rPr>
                <w:rFonts w:ascii="仿宋_GB2312" w:hAnsi="仿宋_GB2312" w:cs="仿宋_GB2312" w:eastAsia="仿宋_GB2312"/>
                <w:sz w:val="24"/>
                <w:color w:val="000000"/>
              </w:rPr>
              <w:t>投标人在提供产品及相关快递服务时，涉及包装的，具体包装要求需严格按照</w:t>
            </w:r>
            <w:r>
              <w:rPr>
                <w:rFonts w:ascii="仿宋_GB2312" w:hAnsi="仿宋_GB2312" w:cs="仿宋_GB2312" w:eastAsia="仿宋_GB2312"/>
                <w:sz w:val="24"/>
                <w:color w:val="000000"/>
              </w:rPr>
              <w:t>“商品包装政府采购需求标准（试行）”及“快递包装政府采购需求标准（试行）”执行。</w:t>
            </w:r>
          </w:p>
          <w:p>
            <w:pPr>
              <w:pStyle w:val="null3"/>
              <w:ind w:firstLine="476"/>
              <w:jc w:val="left"/>
            </w:pPr>
            <w:r>
              <w:rPr>
                <w:rFonts w:ascii="仿宋_GB2312" w:hAnsi="仿宋_GB2312" w:cs="仿宋_GB2312" w:eastAsia="仿宋_GB2312"/>
                <w:sz w:val="24"/>
                <w:color w:val="000000"/>
              </w:rPr>
              <w:t>2.2投标人所配送的货物包装均为货物出厂时的原包装，并保证所提供的货物在装卸、运输和仓储过程中有足够的包装保护，防止货物破损、受潮、霉变、被腐蚀、受到冲撞以及其他不可预</w:t>
            </w:r>
            <w:r>
              <w:rPr>
                <w:rFonts w:ascii="仿宋_GB2312" w:hAnsi="仿宋_GB2312" w:cs="仿宋_GB2312" w:eastAsia="仿宋_GB2312"/>
                <w:sz w:val="24"/>
                <w:color w:val="000000"/>
              </w:rPr>
              <w:t>见的损坏。因包装原因造成的货物损失由投标人自行承担责任。</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签订合同后一年内按采购人要求分批、分散送到客户指定位置；完成交货、安装、调试。</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内江市第一人民医院院内</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预付款，如中标人为中小企业的，合同签订生效且投标人向采购人提供相应金额发票后支付预付款，达到付款条件起15日内，据实情况说明为支付合同总金额的50%。尾款，收到采购人的供货安装要求后，采购人根据中标人实际供货进度并安装验收完成后按进度付款，优先抵扣预付款，待预付款抵扣完后据实结算</w:t>
            </w:r>
          </w:p>
          <w:p>
            <w:pPr>
              <w:pStyle w:val="null3"/>
              <w:jc w:val="left"/>
            </w:pPr>
            <w:r>
              <w:rPr>
                <w:rFonts w:ascii="仿宋_GB2312" w:hAnsi="仿宋_GB2312" w:cs="仿宋_GB2312" w:eastAsia="仿宋_GB2312"/>
              </w:rPr>
              <w:t>2、中标人为非中小企业的，合同签订生效后，采购人根据中标人实际供货进度完成验收，且投标人向采购人提供相应金额发票后，达到付款条件起15日内，据实情况说明为按照实际供货进度据实结算</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按照《财政部关于进一步加强政府采购需求和履约验收管理的指导意见》(财库〔2016〕205号)以及本项目服务及合同的要求进行验收。</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质保期3年，自采购人验收合格之日起开始计算。</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（1）投标人交付的设备质量不符合合同规定的，在约定的交货时间内经 1 次调换仍不能达到合同约定的质量要求，不能通过验收的，采购人有权单方面解除合同，剩余合同金额采购人不再支付，采购人有权要求投标人返还已支付的货款。且投标人应当按照合同总价的 10%向采购人支付违约金。 （2）质保期内出现质量问题，经 2 次维修仍不能达到合同约定的质量要求，采购人有权单方面解除合同，并要求退货，要求投标人返还已支付的货款及支付货款对应的利息（其利率按全国银行间同业拆借中心公布的1年期贷款市场报价利率（LPR） 计算），投标人还应当按照合同总价的 10%支付违约金。 （3）投标人逾期交付设备，每逾期一天，须向采购人支付合同总额千分之三的违约金。投标人逾期交货超过60天，采购人有权单方面解除合同，有权要求投标人返还已支付的相应货款。且投标人应当向采购人累计支付违约金。 （4）投标人在安装调试设备过程中以及售后服务等服务过程中，因未按操作规程施工、操作不当、未采取必要的安全防范措施等原因直接或间接造成采购人及第三方人身损害或财产损失的，由投标人承担全部责任。 （5）投标人保证本合同设备的权利无瑕疵，包括设备所有权及知识产权等权利无瑕疵。如任何第三方经法院（或仲裁机构）裁决有权对上述设备主张权利或国家机关依法对设备进行没收查处的，投标人除应向采购人返还已收款项外，还应另按合同总价的 10%向采购人支付违约金并赔偿因此给采购人造成的一切损失。 （6）若采购人单方面解除合同，则解除通知到达投标人时，本合同即解除。若双方协商解除合同的，则应当签订解除协议。 （7）投标人因上述违约行为支付的违约金不足以弥补采购人损失的，还应按采购人实际经济损失足额补足。 （8）投标人擅自变更、中止、终止、解除合同的，应按合同总金额30%支付违约金，同时采购人有权单方解除合同。 （9）投标人拒不提供货物或不履行其主要合同义务的或明示,默示不提供货物的，构成根本性违约，应当向采购人支付合同总金额30%的违约金，同时采购人有权单方面解除本合同。 （10）投标人保证其提供的服务未侵犯第三人之著作权、商标权、专利权等知识产权及肖像权、名誉权、个人信息等其他合法权益，不会侵犯任何第三人的商业秘密或对任何第三人构成不正当竞争，如因此与第三人发生争议、诉讼或仲裁案件，由投标人承担全部责任，并负责赔偿采购人由此而遭受的全部损失。 （11）双方应协商解决，协商不成，提交采购人住所地人民法院管辖。 （12）缔约过失责任： 1、投标人无正当理由未能在规定时间内与采购人签订合同的，需向采购人支付中标（成交）金额20%的赔偿金。赔偿金不足以弥补采购人全部损失的，还应赔偿采购人全部损失； 2、若投标投标人提交的投标(响应)文件存在虚假材料或虚假响应的情况，投标投标人应向采购人支付项目预算总金额30%的赔偿金。</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投标人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⑤投标人属于银行、保险、石油石化、电力、电信、移动、联通、广电等有行业特殊情况的，可提供企业分支机构统一社会信用代码的营业执照（扫描件）及其他企业分支机构证明文件，法定代表人签署和授权可由分支机构负责人签署和授权。以上①-⑤项任意提供一项作为证明材料并进行电子签章。</w:t>
            </w:r>
          </w:p>
        </w:tc>
        <w:tc>
          <w:tcPr>
            <w:tcW w:type="dxa" w:w="1661"/>
          </w:tcPr>
          <w:p>
            <w:pPr>
              <w:pStyle w:val="null3"/>
              <w:jc w:val="left"/>
            </w:pPr>
            <w:r>
              <w:rPr>
                <w:rFonts w:ascii="仿宋_GB2312" w:hAnsi="仿宋_GB2312" w:cs="仿宋_GB2312" w:eastAsia="仿宋_GB2312"/>
              </w:rPr>
              <w:t>投标人应提交的相关证明材料,投标文件封面,投标（响应）函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台式计算机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w:t>
            </w:r>
          </w:p>
        </w:tc>
        <w:tc>
          <w:tcPr>
            <w:tcW w:type="dxa" w:w="3322"/>
          </w:tcPr>
          <w:p>
            <w:pPr>
              <w:pStyle w:val="null3"/>
              <w:jc w:val="left"/>
            </w:pPr>
            <w:r>
              <w:rPr>
                <w:rFonts w:ascii="仿宋_GB2312" w:hAnsi="仿宋_GB2312" w:cs="仿宋_GB2312" w:eastAsia="仿宋_GB2312"/>
              </w:rPr>
              <w:t>台式计算机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w:t>
            </w:r>
          </w:p>
        </w:tc>
        <w:tc>
          <w:tcPr>
            <w:tcW w:type="dxa" w:w="1661"/>
          </w:tcPr>
          <w:p>
            <w:pPr>
              <w:pStyle w:val="null3"/>
              <w:jc w:val="left"/>
            </w:pPr>
            <w:r>
              <w:rPr>
                <w:rFonts w:ascii="仿宋_GB2312" w:hAnsi="仿宋_GB2312" w:cs="仿宋_GB2312" w:eastAsia="仿宋_GB2312"/>
              </w:rPr>
              <w:t>其他证明材料.docx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供应商须按采购文件中技术服务要求、商务要求等实质性响应的内容进行响应。</w:t>
            </w:r>
          </w:p>
        </w:tc>
        <w:tc>
          <w:tcPr>
            <w:tcW w:type="dxa" w:w="3322"/>
          </w:tcPr>
          <w:p>
            <w:pPr>
              <w:pStyle w:val="null3"/>
              <w:jc w:val="left"/>
            </w:pPr>
            <w:r>
              <w:rPr>
                <w:rFonts w:ascii="仿宋_GB2312" w:hAnsi="仿宋_GB2312" w:cs="仿宋_GB2312" w:eastAsia="仿宋_GB2312"/>
              </w:rPr>
              <w:t>供应商须按采购文件中技术服务要求、商务要求等实质性响应的内容进行响应。</w:t>
            </w:r>
          </w:p>
        </w:tc>
        <w:tc>
          <w:tcPr>
            <w:tcW w:type="dxa" w:w="1661"/>
          </w:tcPr>
          <w:p>
            <w:pPr>
              <w:pStyle w:val="null3"/>
              <w:jc w:val="left"/>
            </w:pPr>
            <w:r>
              <w:rPr>
                <w:rFonts w:ascii="仿宋_GB2312" w:hAnsi="仿宋_GB2312" w:cs="仿宋_GB2312" w:eastAsia="仿宋_GB2312"/>
              </w:rPr>
              <w:t>产品技术参数响应表,其他证明材料.docx,服务应答表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价格评审系数=(基准价／评审价)×评审价格权重×100。满足采购文件要求且评审价最低的为基准价，因落实政府采购政策进行价格调整的，以调整后的价格计算基准价和评审价。注：不涉及价格扣除的评审价=投标（响应）报价，涉及价格扣除的评审价=投标（响应）报价×（1-扣除比例）。</w:t>
            </w:r>
          </w:p>
        </w:tc>
        <w:tc>
          <w:tcPr>
            <w:tcW w:type="dxa" w:w="2123"/>
          </w:tcPr>
          <w:p>
            <w:pPr>
              <w:pStyle w:val="null3"/>
              <w:jc w:val="left"/>
            </w:pPr>
            <w:r>
              <w:rPr>
                <w:rFonts w:ascii="仿宋_GB2312" w:hAnsi="仿宋_GB2312" w:cs="仿宋_GB2312" w:eastAsia="仿宋_GB2312"/>
              </w:rPr>
              <w:t>其他证明材料.docx,报价表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其他证明材料.docx</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 xml:space="preserve"> 本项目授权评标委员会在评标报告确定的中标候选人名单中按顺序直接确定1名中标人，确认后代理机构在四川政府采购网发布中标公告，同时向中标人发出中标通知书。</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详见附件：其他证明材料.docx</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