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版本号：N511403202600008120260730002</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2026年教学用计算机采购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N5114032026000081</w:t>
      </w:r>
    </w:p>
    <w:p>
      <w:pPr>
        <w:pStyle w:val="null3"/>
        <w:jc w:val="left"/>
        <w:outlineLvl w:val="2"/>
      </w:pPr>
      <w:r>
        <w:rPr>
          <w:rFonts w:ascii="仿宋_GB2312" w:hAnsi="仿宋_GB2312" w:cs="仿宋_GB2312" w:eastAsia="仿宋_GB2312"/>
          <w:sz w:val="28"/>
          <w:b/>
        </w:rPr>
        <w:t>眉山市彭山区教育和体育局</w:t>
      </w:r>
    </w:p>
    <w:p>
      <w:pPr>
        <w:pStyle w:val="null3"/>
        <w:jc w:val="center"/>
        <w:outlineLvl w:val="2"/>
      </w:pPr>
      <w:r>
        <w:rPr>
          <w:rFonts w:ascii="仿宋_GB2312" w:hAnsi="仿宋_GB2312" w:cs="仿宋_GB2312" w:eastAsia="仿宋_GB2312"/>
          <w:sz w:val="28"/>
          <w:b/>
        </w:rPr>
        <w:t>眉山市政府采购中心彭山区分中心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眉山市政府采购中心彭山区分中心</w:t>
      </w:r>
      <w:r>
        <w:rPr>
          <w:rFonts w:ascii="仿宋_GB2312" w:hAnsi="仿宋_GB2312" w:cs="仿宋_GB2312" w:eastAsia="仿宋_GB2312"/>
        </w:rPr>
        <w:t xml:space="preserve"> （以下简称“代理机构”）受 </w:t>
      </w:r>
      <w:r>
        <w:rPr>
          <w:rFonts w:ascii="仿宋_GB2312" w:hAnsi="仿宋_GB2312" w:cs="仿宋_GB2312" w:eastAsia="仿宋_GB2312"/>
        </w:rPr>
        <w:t>眉山市彭山区教育和体育局</w:t>
      </w:r>
      <w:r>
        <w:rPr>
          <w:rFonts w:ascii="仿宋_GB2312" w:hAnsi="仿宋_GB2312" w:cs="仿宋_GB2312" w:eastAsia="仿宋_GB2312"/>
        </w:rPr>
        <w:t xml:space="preserve"> 委托，拟对 </w:t>
      </w:r>
      <w:r>
        <w:rPr>
          <w:rFonts w:ascii="仿宋_GB2312" w:hAnsi="仿宋_GB2312" w:cs="仿宋_GB2312" w:eastAsia="仿宋_GB2312"/>
        </w:rPr>
        <w:t>2026年教学用计算机采购</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眉山市彭山区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N5114032026000081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2026年教学用计算机采购</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学校教学用台式一体机计算机及正版系统软件、办公软件，共80套。公义小学40套、江口学校40套。</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眉山市彭山区教育和体育局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彭山区凤鸣街道紫薇路35号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620860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余莹</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0237631820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眉山市政府采购中心彭山区分中心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四川省眉山市彭山区观音街道寂照街西段2号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620860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028-37629895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采购包1：360,000.00元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眉山市彭山区教育和体育局</w:t>
      </w:r>
      <w:r>
        <w:rPr>
          <w:rFonts w:ascii="仿宋_GB2312" w:hAnsi="仿宋_GB2312" w:cs="仿宋_GB2312" w:eastAsia="仿宋_GB2312"/>
        </w:rPr>
        <w:t xml:space="preserve"> 和 </w:t>
      </w:r>
      <w:r>
        <w:rPr>
          <w:rFonts w:ascii="仿宋_GB2312" w:hAnsi="仿宋_GB2312" w:cs="仿宋_GB2312" w:eastAsia="仿宋_GB2312"/>
        </w:rPr>
        <w:t>眉山市政府采购中心彭山区分中心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眉山市彭山区教育和体育局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眉山市政府采购中心彭山区分中心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所有设备软件安装、调试正常工作</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以采购文件中的采购清单、技术参数要求、响应文件、合同文本内容要求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按照《财政部关于进一步加强政府采购需求和履约验收管理的指导意见》（财库〔2016〕205号）规定、《政府采购需求管理办法》（财库〔2021〕22号）规定及国家和地方相关的法律</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眉山市彭山区教育和体育局</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眉山市政府采购中心彭山区分中心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眉山市政府采购中心彭山区分中心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余莹</w:t>
      </w:r>
    </w:p>
    <w:p>
      <w:pPr>
        <w:pStyle w:val="null3"/>
        <w:jc w:val="left"/>
      </w:pPr>
      <w:r>
        <w:rPr>
          <w:rFonts w:ascii="仿宋_GB2312" w:hAnsi="仿宋_GB2312" w:cs="仿宋_GB2312" w:eastAsia="仿宋_GB2312"/>
        </w:rPr>
        <w:t>联系电话： 0237631820</w:t>
      </w:r>
    </w:p>
    <w:p>
      <w:pPr>
        <w:pStyle w:val="null3"/>
        <w:jc w:val="left"/>
      </w:pPr>
      <w:r>
        <w:rPr>
          <w:rFonts w:ascii="仿宋_GB2312" w:hAnsi="仿宋_GB2312" w:cs="仿宋_GB2312" w:eastAsia="仿宋_GB2312"/>
        </w:rPr>
        <w:t>地址：彭山区凤鸣街道紫薇路35号</w:t>
      </w:r>
    </w:p>
    <w:p>
      <w:pPr>
        <w:pStyle w:val="null3"/>
        <w:jc w:val="left"/>
      </w:pPr>
      <w:r>
        <w:rPr>
          <w:rFonts w:ascii="仿宋_GB2312" w:hAnsi="仿宋_GB2312" w:cs="仿宋_GB2312" w:eastAsia="仿宋_GB2312"/>
        </w:rPr>
        <w:t>邮编：620860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 028-37629895</w:t>
      </w:r>
    </w:p>
    <w:p>
      <w:pPr>
        <w:pStyle w:val="null3"/>
        <w:jc w:val="left"/>
      </w:pPr>
      <w:r>
        <w:rPr>
          <w:rFonts w:ascii="仿宋_GB2312" w:hAnsi="仿宋_GB2312" w:cs="仿宋_GB2312" w:eastAsia="仿宋_GB2312"/>
        </w:rPr>
        <w:t>地址：四川省眉山市彭山区观音街道寂照街西段2号</w:t>
      </w:r>
    </w:p>
    <w:p>
      <w:pPr>
        <w:pStyle w:val="null3"/>
        <w:jc w:val="left"/>
      </w:pPr>
      <w:r>
        <w:rPr>
          <w:rFonts w:ascii="仿宋_GB2312" w:hAnsi="仿宋_GB2312" w:cs="仿宋_GB2312" w:eastAsia="仿宋_GB2312"/>
        </w:rPr>
        <w:t>邮编：620860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360,000.00</w:t>
      </w:r>
    </w:p>
    <w:p>
      <w:pPr>
        <w:pStyle w:val="null3"/>
        <w:jc w:val="left"/>
      </w:pPr>
      <w:r>
        <w:rPr>
          <w:rFonts w:ascii="仿宋_GB2312" w:hAnsi="仿宋_GB2312" w:cs="仿宋_GB2312" w:eastAsia="仿宋_GB2312"/>
        </w:rPr>
        <w:t>采购包最高限价（元）: 360,000.00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2026年教学用计算机采购</w:t>
            </w:r>
          </w:p>
        </w:tc>
        <w:tc>
          <w:tcPr>
            <w:tcW w:type="dxa" w:w="821"/>
          </w:tcPr>
          <w:p>
            <w:pPr>
              <w:pStyle w:val="null3"/>
              <w:jc w:val="right"/>
            </w:pPr>
            <w:r>
              <w:rPr>
                <w:rFonts w:ascii="仿宋_GB2312" w:hAnsi="仿宋_GB2312" w:cs="仿宋_GB2312" w:eastAsia="仿宋_GB2312"/>
              </w:rPr>
              <w:t>80.00（台）</w:t>
            </w:r>
          </w:p>
        </w:tc>
        <w:tc>
          <w:tcPr>
            <w:tcW w:type="dxa" w:w="821"/>
          </w:tcPr>
          <w:p>
            <w:pPr>
              <w:pStyle w:val="null3"/>
              <w:jc w:val="right"/>
            </w:pPr>
            <w:r>
              <w:rPr>
                <w:rFonts w:ascii="仿宋_GB2312" w:hAnsi="仿宋_GB2312" w:cs="仿宋_GB2312" w:eastAsia="仿宋_GB2312"/>
              </w:rPr>
              <w:t>360,000.00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2026年教学用计算机采购</w:t>
            </w:r>
          </w:p>
        </w:tc>
        <w:tc>
          <w:tcPr>
            <w:tcW w:type="dxa" w:w="1138"/>
          </w:tcPr>
          <w:p>
            <w:pPr>
              <w:pStyle w:val="null3"/>
              <w:jc w:val="center"/>
            </w:pPr>
            <w:r>
              <w:rPr>
                <w:rFonts w:ascii="仿宋_GB2312" w:hAnsi="仿宋_GB2312" w:cs="仿宋_GB2312" w:eastAsia="仿宋_GB2312"/>
              </w:rPr>
              <w:t>80.00（台）</w:t>
            </w:r>
          </w:p>
        </w:tc>
        <w:tc>
          <w:tcPr>
            <w:tcW w:type="dxa" w:w="1365"/>
          </w:tcPr>
          <w:p>
            <w:pPr>
              <w:pStyle w:val="null3"/>
              <w:jc w:val="center"/>
            </w:pPr>
            <w:r>
              <w:rPr>
                <w:rFonts w:ascii="仿宋_GB2312" w:hAnsi="仿宋_GB2312" w:cs="仿宋_GB2312" w:eastAsia="仿宋_GB2312"/>
              </w:rPr>
              <w:t>360,000.00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2026年教学用计算机采购</w:t>
            </w:r>
          </w:p>
        </w:tc>
        <w:tc>
          <w:tcPr>
            <w:tcW w:type="dxa" w:w="2492"/>
          </w:tcPr>
          <w:p>
            <w:pPr>
              <w:pStyle w:val="null3"/>
              <w:jc w:val="left"/>
            </w:pPr>
            <w:r>
              <w:rPr>
                <w:rFonts w:ascii="仿宋_GB2312" w:hAnsi="仿宋_GB2312" w:cs="仿宋_GB2312" w:eastAsia="仿宋_GB2312"/>
              </w:rPr>
              <w:t>计算机</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2026年教学用计算机采购</w:t>
            </w:r>
          </w:p>
        </w:tc>
        <w:tc>
          <w:tcPr>
            <w:tcW w:type="dxa" w:w="2492"/>
          </w:tcPr>
          <w:p>
            <w:pPr>
              <w:pStyle w:val="null3"/>
              <w:jc w:val="left"/>
            </w:pPr>
            <w:r>
              <w:rPr>
                <w:rFonts w:ascii="仿宋_GB2312" w:hAnsi="仿宋_GB2312" w:cs="仿宋_GB2312" w:eastAsia="仿宋_GB2312"/>
              </w:rPr>
              <w:t>计算机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2026年教学用计算机采购</w:t>
            </w:r>
          </w:p>
        </w:tc>
        <w:tc>
          <w:tcPr>
            <w:tcW w:type="dxa" w:w="2492"/>
          </w:tcPr>
          <w:p>
            <w:pPr>
              <w:pStyle w:val="null3"/>
              <w:jc w:val="left"/>
            </w:pPr>
            <w:r>
              <w:rPr>
                <w:rFonts w:ascii="仿宋_GB2312" w:hAnsi="仿宋_GB2312" w:cs="仿宋_GB2312" w:eastAsia="仿宋_GB2312"/>
              </w:rPr>
              <w:t xml:space="preserve"> 计算机</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标的名称：2026年教学用计算机采购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台式计算机</w:t>
            </w:r>
          </w:p>
        </w:tc>
        <w:tc>
          <w:tcPr>
            <w:tcW w:type="dxa" w:w="5814"/>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1、屏幕：≥23.8英寸IPS 液晶屏幕、分辨率≥1920x1080、亮度：≥250cd/㎡、宽高比：16 : 9 、响应时间：≤6ms，刷新率≥ 60Hz。</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2、CPU：主频≥2.0GHz，八核十二线程及以上规格</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3、内存：≥8GB  DDR4。</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硬盘：</w:t>
            </w:r>
            <w:r>
              <w:rPr>
                <w:rFonts w:ascii="仿宋_GB2312" w:hAnsi="仿宋_GB2312" w:cs="仿宋_GB2312" w:eastAsia="仿宋_GB2312"/>
                <w:sz w:val="20"/>
              </w:rPr>
              <w:t>≥512GB SSD 固态硬盘。</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显卡：内置集成显卡。</w:t>
            </w:r>
          </w:p>
          <w:p>
            <w:pPr>
              <w:pStyle w:val="null3"/>
              <w:jc w:val="both"/>
            </w:pPr>
            <w:r>
              <w:rPr>
                <w:rFonts w:ascii="仿宋_GB2312" w:hAnsi="仿宋_GB2312" w:cs="仿宋_GB2312" w:eastAsia="仿宋_GB2312"/>
                <w:sz w:val="20"/>
              </w:rPr>
              <w:t>6、USB 接口：≥2×USB3.0、≥4×USB2.0、1×Type-C 接口。</w:t>
            </w:r>
          </w:p>
          <w:p>
            <w:pPr>
              <w:pStyle w:val="null3"/>
              <w:jc w:val="both"/>
            </w:pPr>
            <w:r>
              <w:rPr>
                <w:rFonts w:ascii="仿宋_GB2312" w:hAnsi="仿宋_GB2312" w:cs="仿宋_GB2312" w:eastAsia="仿宋_GB2312"/>
                <w:sz w:val="20"/>
              </w:rPr>
              <w:t>7、视频输出： HDMI输出接口≥ 1个、DP输出接口≥ 1个。</w:t>
            </w:r>
          </w:p>
          <w:p>
            <w:pPr>
              <w:pStyle w:val="null3"/>
              <w:jc w:val="both"/>
            </w:pPr>
            <w:r>
              <w:rPr>
                <w:rFonts w:ascii="仿宋_GB2312" w:hAnsi="仿宋_GB2312" w:cs="仿宋_GB2312" w:eastAsia="仿宋_GB2312"/>
                <w:sz w:val="20"/>
              </w:rPr>
              <w:t>8、网络配置：支持 2.4G+5G 双频无线 WiFi、蓝牙 4.2 及以上版本、RJ45 Gigabit LAN ≥1个。</w:t>
            </w:r>
          </w:p>
          <w:p>
            <w:pPr>
              <w:pStyle w:val="null3"/>
              <w:jc w:val="both"/>
            </w:pPr>
            <w:r>
              <w:rPr>
                <w:rFonts w:ascii="仿宋_GB2312" w:hAnsi="仿宋_GB2312" w:cs="仿宋_GB2312" w:eastAsia="仿宋_GB2312"/>
                <w:sz w:val="20"/>
              </w:rPr>
              <w:t>9、内置立体声扬声器、内置摄像头</w:t>
            </w:r>
          </w:p>
          <w:p>
            <w:pPr>
              <w:pStyle w:val="null3"/>
              <w:jc w:val="both"/>
            </w:pPr>
            <w:r>
              <w:rPr>
                <w:rFonts w:ascii="仿宋_GB2312" w:hAnsi="仿宋_GB2312" w:cs="仿宋_GB2312" w:eastAsia="仿宋_GB2312"/>
                <w:sz w:val="20"/>
              </w:rPr>
              <w:t>10、键盘鼠标：USB</w:t>
            </w:r>
            <w:r>
              <w:rPr>
                <w:rFonts w:ascii="仿宋_GB2312" w:hAnsi="仿宋_GB2312" w:cs="仿宋_GB2312" w:eastAsia="仿宋_GB2312"/>
                <w:sz w:val="20"/>
              </w:rPr>
              <w:t>抗菌</w:t>
            </w:r>
            <w:r>
              <w:rPr>
                <w:rFonts w:ascii="仿宋_GB2312" w:hAnsi="仿宋_GB2312" w:cs="仿宋_GB2312" w:eastAsia="仿宋_GB2312"/>
                <w:sz w:val="20"/>
              </w:rPr>
              <w:t>键盘鼠标</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11、</w:t>
            </w:r>
            <w:r>
              <w:rPr>
                <w:rFonts w:ascii="仿宋_GB2312" w:hAnsi="仿宋_GB2312" w:cs="仿宋_GB2312" w:eastAsia="仿宋_GB2312"/>
                <w:sz w:val="20"/>
              </w:rPr>
              <w:t>计算机类型：一体机。</w:t>
            </w:r>
          </w:p>
          <w:p>
            <w:pPr>
              <w:pStyle w:val="null3"/>
              <w:jc w:val="both"/>
            </w:pPr>
            <w:r>
              <w:rPr>
                <w:rFonts w:ascii="仿宋_GB2312" w:hAnsi="仿宋_GB2312" w:cs="仿宋_GB2312" w:eastAsia="仿宋_GB2312"/>
                <w:sz w:val="20"/>
              </w:rPr>
              <w:t>12、配备升降旋转支架，支持屏幕升降、旋转多角度调节、采用三面微边框设计。</w:t>
            </w:r>
          </w:p>
          <w:p>
            <w:pPr>
              <w:pStyle w:val="null3"/>
              <w:jc w:val="both"/>
            </w:pPr>
            <w:r>
              <w:rPr>
                <w:rFonts w:ascii="仿宋_GB2312" w:hAnsi="仿宋_GB2312" w:cs="仿宋_GB2312" w:eastAsia="仿宋_GB2312"/>
                <w:sz w:val="20"/>
              </w:rPr>
              <w:t>13、散热：采用科学风道散热设计，低风扇噪音结构，实现低温低噪运行。</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配备正版操作系统，</w:t>
            </w:r>
            <w:r>
              <w:rPr>
                <w:rFonts w:ascii="仿宋_GB2312" w:hAnsi="仿宋_GB2312" w:cs="仿宋_GB2312" w:eastAsia="仿宋_GB2312"/>
                <w:sz w:val="20"/>
              </w:rPr>
              <w:t>交付至最终用户时须提供官方可查的序列号或相关证明</w:t>
            </w:r>
            <w:r>
              <w:rPr>
                <w:rFonts w:ascii="仿宋_GB2312" w:hAnsi="仿宋_GB2312" w:cs="仿宋_GB2312" w:eastAsia="仿宋_GB2312"/>
                <w:sz w:val="20"/>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0"/>
                <w:b/>
              </w:rPr>
              <w:t>15、</w:t>
            </w:r>
            <w:r>
              <w:rPr>
                <w:rFonts w:ascii="仿宋_GB2312" w:hAnsi="仿宋_GB2312" w:cs="仿宋_GB2312" w:eastAsia="仿宋_GB2312"/>
                <w:sz w:val="20"/>
                <w:b/>
              </w:rPr>
              <w:t>其他要求：</w:t>
            </w:r>
            <w:r>
              <w:rPr>
                <w:rFonts w:ascii="仿宋_GB2312" w:hAnsi="仿宋_GB2312" w:cs="仿宋_GB2312" w:eastAsia="仿宋_GB2312"/>
                <w:sz w:val="20"/>
                <w:b/>
              </w:rPr>
              <w:t>投标人所投台式计算机除“CPU和操作系统”外应满足“台式计算机政府采购需求标准（2023 年版）”中全部加“*”指标要求。</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教学用办公软件</w:t>
            </w:r>
          </w:p>
        </w:tc>
        <w:tc>
          <w:tcPr>
            <w:tcW w:type="dxa" w:w="5814"/>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国产正版软件产品，包含文字处理、电子表格和演示文稿、</w:t>
            </w:r>
            <w:r>
              <w:rPr>
                <w:rFonts w:ascii="仿宋_GB2312" w:hAnsi="仿宋_GB2312" w:cs="仿宋_GB2312" w:eastAsia="仿宋_GB2312"/>
                <w:sz w:val="20"/>
              </w:rPr>
              <w:t>PDF阅读器等功能模块，各模块可整合在同一窗口下，亦可分别可在独立窗口中运行。</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文件格式要求：所投办公软件能生成</w:t>
            </w:r>
            <w:r>
              <w:rPr>
                <w:rFonts w:ascii="仿宋_GB2312" w:hAnsi="仿宋_GB2312" w:cs="仿宋_GB2312" w:eastAsia="仿宋_GB2312"/>
                <w:sz w:val="20"/>
              </w:rPr>
              <w:t>.doc/.docx/.dot/.wps/.xls/.xlsx/.ppt/.pptx等文件格式。（提供软件功能截图）</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包含</w:t>
            </w:r>
            <w:r>
              <w:rPr>
                <w:rFonts w:ascii="仿宋_GB2312" w:hAnsi="仿宋_GB2312" w:cs="仿宋_GB2312" w:eastAsia="仿宋_GB2312"/>
                <w:sz w:val="20"/>
              </w:rPr>
              <w:t>PDF版式文件格式互转功能，可与Word、Excel、PPT格式文档相互转换。（提供软件功能截图）</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在服务端配合下，投标产品需要有文档安全功能服务，保障文档安全可控，可提供文档的阅读、打印、编辑、另存、复制、离线、授权等权限控件。</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文字模块提供智能导航窗格的功能，根据文章的内容可以自动生成文章结构预览。</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文字模块提供多种视图模式，需包含普通视图、阅读版式、</w:t>
            </w:r>
            <w:r>
              <w:rPr>
                <w:rFonts w:ascii="仿宋_GB2312" w:hAnsi="仿宋_GB2312" w:cs="仿宋_GB2312" w:eastAsia="仿宋_GB2312"/>
                <w:sz w:val="20"/>
              </w:rPr>
              <w:t>Web版式、大纲视图、全屏模式、护眼模式。</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文字模块提供文字编辑、段落快速布局、目录、书签等设置；支持图文混排、文件修订、样式应用等功能。</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文字模块提供段落布局工具，通过拖动方式直观调整悬挂缩进、段落间距等格式。</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演示模块制作演示文档，支持插入图片、图形、视频和音频来展示多彩的图像。所嵌入文件独立于来源文件，即使删除来源文件，已经嵌入文件仍能播放。</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支持文档、电子表格、演示文档支持输出为图片。输出为图片支持添加水印内容，选择图片品质。</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支持实时通讯能力，支持编辑在线智能文档格式时基于文档开启组织内成员的会话聊天，支持传统</w:t>
            </w:r>
            <w:r>
              <w:rPr>
                <w:rFonts w:ascii="仿宋_GB2312" w:hAnsi="仿宋_GB2312" w:cs="仿宋_GB2312" w:eastAsia="仿宋_GB2312"/>
                <w:sz w:val="20"/>
              </w:rPr>
              <w:t>IM工具界面的一对一单聊会话和创建群聊会话；会话支持设置消息免打扰、聊天列表置顶等功能。</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基于会议模块的</w:t>
            </w:r>
            <w:r>
              <w:rPr>
                <w:rFonts w:ascii="仿宋_GB2312" w:hAnsi="仿宋_GB2312" w:cs="仿宋_GB2312" w:eastAsia="仿宋_GB2312"/>
                <w:sz w:val="20"/>
              </w:rPr>
              <w:t>AI能力：可智能分析教学研讨的会议内容，对会议内容进行章节化，并自动生成章节主要内容、会议大纲及会议要点。针对会议内容，能够以思维导图的形式进行展示及下载。</w:t>
            </w:r>
          </w:p>
          <w:p>
            <w:pPr>
              <w:pStyle w:val="null3"/>
              <w:jc w:val="both"/>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自合同签订之日起30日历天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1付款条件：合同签订生效后支付预付款，达到该付款条件起15个工作日内，支付合同总金额的40.00%</w:t>
            </w:r>
          </w:p>
          <w:p>
            <w:pPr>
              <w:pStyle w:val="null3"/>
              <w:jc w:val="left"/>
            </w:pPr>
            <w:r>
              <w:rPr>
                <w:rFonts w:ascii="仿宋_GB2312" w:hAnsi="仿宋_GB2312" w:cs="仿宋_GB2312" w:eastAsia="仿宋_GB2312"/>
              </w:rPr>
              <w:t>2付款条件：所有设备安装调试完成经采购人验收合格且供应商向采购人出具合法有效完整的完税发票及支付资料后，达到该付款条件起15个工作日内，支付合同总金额的60.00%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由采购人组织，成交供应商配合进行。按照《财政部关于进一步加强政府采购需求和履约验收管理的指导意见》（财库〔2016〕205号）规定、《政府采购需求管理办法》（财库〔2021〕22号）规定及国家和地方相关的法律、规范及行业标准及谈判文件、响应文件执行以满足采购人的实际需求为准。 2.验收时如发现所交付的货物有短装、次品、损坏或其他不符合标准及合同规定之情形者，采购人应做出详尽的现场记录，或由双方签署备忘录，此现场记录或备忘录可用作补充、缺失和更换损坏部件的有效证据，由此产生的时间延误与有关费用由成交供应商承担，验收期限相应顺延；如质量验收合格，双方签署质量验收报告。 3.成交供应商应将所提供货物的装箱清单、配件、随机工具等资料交付给采购人；成交供应商不能完整交付货物及本款规定的单证和工具的，必须负责补齐，否则视为未按合同约定交货。</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所有货物质保期为验收合格后3年，质保期内出现质量问题，成交供应商需无条件更换新产品。在质保期间接到采购人电话、传真等服务呼叫后，成交供应商2小时内响应到场，24小时内完成维修或更换，并承担修理调换的费用，如货物经成交供应商2次维修或更换仍不能达到政府采购合同约定的质量标准，视作未能按时交货，采购方有权退货并追究成交供应商的违约责任。货到现场后由于采购人保管不当造成的问题，成交供应商亦应负责修复，但费用由采购人负担（由采购人使用不当造成的除外）。在质保期外，成交供应商提供电话咨询服务和产品上门维护服务，提供设备的更换、维修只收取成本费用。</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1.甲方违约责任 （1）甲方无正当理由拒收货物、拒付货款的，甲方应向乙方偿付拒付货款20％的违约金。 （2）甲方无正当理由未按合同规定的期限向乙方支付货款的，每逾期1天甲方向乙方偿付欠款总额的0.5%违约金，但累计违约金总额不超过欠款总额的20％。 2.乙方违约责任 （1）乙方所交付的货物不符合本合同规定的，甲方有权拒收，同时乙方应向甲方支付合同总价20％的违约金。乙方应在得到甲方通知之日起7个工作日内采取补救措施。若乙方上述期限内所提供的货物仍不符合规定，乙方应向甲方另行支付合同总价10%的违约金，同时甲方有权单方面无条件解除合同，并要求乙方退还已支付的所有资金。 （2）乙方无正当理由逾期交付货物或完成安装的，每逾期1天，乙方向甲方偿付货款总金额的0.5%的违约金。如乙方逾期交货达30天，甲方有权解除合同，甲方解除合同的通知自到达乙方时生效，同时乙方应向甲方另行支付合同总价 20%的违约金，并退还所有已收取的资金。在此情况下，乙方给甲方造成的实际损失高于违约金的，对高出违约金的部分乙方应予以赔偿。 （3）在乙方承诺的或国家规定的质量保证期内（取两者中最长的期限），如经乙方2次维修，货物仍不能达到合同约定的质量标准、运行效果的，甲方有权要求乙方更换为全新合格货物并按本条第1款处理，同时，乙方还须赔偿甲方因此遭受的损失。 （4）乙方保证本合同货物的权利无瑕疵，包括货物所有权及知识产权等权利无瑕疵。如产生了任何的纠纷、索赔或诉讼等，乙方除应向甲方返还已收款项外，还应另按合同总价的25%向甲方支付违约金并赔偿因此给甲方造成的一切损失。 （5）乙方未按照响应文件承诺和本合同约定提供售后服务的，每出现一次视为一次违约（逾期一天视为违约一次），乙方应按合同总价的0.5%向甲方支付违约金，并按照甲方要求及时整改。售后服务期内出现三次以上违约的，甲方有权直接解除合同，自解除通知到达乙方时即生效，除应向甲方返还已收款项外，还应另按合同总价的20%向甲方支付违约金并赔偿因此给甲方造成的一切损失。 3.一方偿付的违约金不足以弥补另一方损失的，还应按另一方损失尚未弥补的部分，支付赔偿金给另一方。 争议解决 （1）凡因履行本协议导致的纠纷由双方本着诚信、友好之原则积极协商，如协商无果，可向采购人所在地有管辖权的人民法院提起诉讼。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供应商需在项目电子化交易系统中按要求填写《投标（响应）函》完成承诺并进行电子签章。(注：因系统格式固化，投标时仅提供《投标（响应）函》即可）</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服务应答表,投标（响应）函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带“★”的参数需求为实质性要求</w:t>
            </w:r>
          </w:p>
        </w:tc>
        <w:tc>
          <w:tcPr>
            <w:tcW w:type="dxa" w:w="3322"/>
          </w:tcPr>
          <w:p>
            <w:pPr>
              <w:pStyle w:val="null3"/>
              <w:jc w:val="left"/>
            </w:pPr>
            <w:r>
              <w:rPr>
                <w:rFonts w:ascii="仿宋_GB2312" w:hAnsi="仿宋_GB2312" w:cs="仿宋_GB2312" w:eastAsia="仿宋_GB2312"/>
              </w:rPr>
              <w:t>供应商必须响应并满足的参数需求</w:t>
            </w:r>
          </w:p>
        </w:tc>
        <w:tc>
          <w:tcPr>
            <w:tcW w:type="dxa" w:w="1661"/>
          </w:tcPr>
          <w:p>
            <w:pPr>
              <w:pStyle w:val="null3"/>
              <w:jc w:val="left"/>
            </w:pPr>
            <w:r>
              <w:rPr>
                <w:rFonts w:ascii="仿宋_GB2312" w:hAnsi="仿宋_GB2312" w:cs="仿宋_GB2312" w:eastAsia="仿宋_GB2312"/>
              </w:rPr>
              <w:t>产品技术参数响应表,供应商应提交的相关证明材料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强制采购节能产品</w:t>
            </w:r>
          </w:p>
        </w:tc>
        <w:tc>
          <w:tcPr>
            <w:tcW w:type="dxa" w:w="3322"/>
          </w:tcPr>
          <w:p>
            <w:pPr>
              <w:pStyle w:val="null3"/>
              <w:jc w:val="left"/>
            </w:pPr>
            <w:r>
              <w:rPr>
                <w:rFonts w:ascii="仿宋_GB2312" w:hAnsi="仿宋_GB2312" w:cs="仿宋_GB2312" w:eastAsia="仿宋_GB2312"/>
              </w:rPr>
              <w:t>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