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版本号：N510104202600007420260603001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2026年新建学校计算机网络教室设备采购项目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N5101042026000074</w:t>
      </w:r>
    </w:p>
    <w:p>
      <w:pPr>
        <w:pStyle w:val="null3"/>
        <w:jc w:val="left"/>
        <w:outlineLvl w:val="2"/>
      </w:pPr>
      <w:r>
        <w:rPr>
          <w:rFonts w:ascii="仿宋_GB2312" w:hAnsi="仿宋_GB2312" w:cs="仿宋_GB2312" w:eastAsia="仿宋_GB2312"/>
          <w:sz w:val="28"/>
          <w:b/>
        </w:rPr>
        <w:t>成都市锦江区教育科学研究院</w:t>
      </w:r>
    </w:p>
    <w:p>
      <w:pPr>
        <w:pStyle w:val="null3"/>
        <w:jc w:val="center"/>
        <w:outlineLvl w:val="2"/>
      </w:pPr>
      <w:r>
        <w:rPr>
          <w:rFonts w:ascii="仿宋_GB2312" w:hAnsi="仿宋_GB2312" w:cs="仿宋_GB2312" w:eastAsia="仿宋_GB2312"/>
          <w:sz w:val="28"/>
          <w:b/>
        </w:rPr>
        <w:t>成都市锦江区政府采购中心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成都市锦江区政府采购中心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成都市锦江区教育科学研究院</w:t>
      </w:r>
      <w:r>
        <w:rPr>
          <w:rFonts w:ascii="仿宋_GB2312" w:hAnsi="仿宋_GB2312" w:cs="仿宋_GB2312" w:eastAsia="仿宋_GB2312"/>
        </w:rPr>
        <w:t xml:space="preserve"> 委托，拟对 </w:t>
      </w:r>
      <w:r>
        <w:rPr>
          <w:rFonts w:ascii="仿宋_GB2312" w:hAnsi="仿宋_GB2312" w:cs="仿宋_GB2312" w:eastAsia="仿宋_GB2312"/>
        </w:rPr>
        <w:t>2026年新建学校计算机网络教室设备采购项目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成都市锦江区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N5101042026000074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2026年新建学校计算机网络教室设备采购项目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为满足锦江区教育发展需求，推进信创工作，拟采购一批2026年新建学校计算机网络教室设备。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成都市锦江区教育科学研究院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成都市锦江区皇经楼三街1号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周皓</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84471172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成都市锦江区政府采购中心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成都市锦江区南三环路二段1号6101室锦江区政府采购中心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温智明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028-86614055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供应商应在领取中标(成交）通知书后，在合同签订前，以非现金的方式（允许自主选择以支票、汇票、本票、保函等非现金形式提交）向采购人提交规定金额的履约保证金，履约保证金为合同金额的5%。履约保证金在项目验收合格后，中标供应商提交履约保证金退还申请，采购人在收到申请后的 10 个日历日内无息退还中标供应商的履约保证金；如果中标供应商未能履行合同规定的部分或全部义务，该保证金将视情况予以部分或全部没收。如果采购人无正当理由逾期退还履约保证金的，每逾期一天，应以全国银行间同业拆借中心公布的贷款市场报价利率为标准向中标供应商支付违约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成都市锦江区教育科学研究院</w:t>
      </w:r>
      <w:r>
        <w:rPr>
          <w:rFonts w:ascii="仿宋_GB2312" w:hAnsi="仿宋_GB2312" w:cs="仿宋_GB2312" w:eastAsia="仿宋_GB2312"/>
        </w:rPr>
        <w:t xml:space="preserve"> 和 </w:t>
      </w:r>
      <w:r>
        <w:rPr>
          <w:rFonts w:ascii="仿宋_GB2312" w:hAnsi="仿宋_GB2312" w:cs="仿宋_GB2312" w:eastAsia="仿宋_GB2312"/>
        </w:rPr>
        <w:t>成都市锦江区政府采购中心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成都市锦江区教育科学研究院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成都市锦江区政府采购中心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采购文件及响应文件中的技术部分。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采购文件及响应文件中的商务部分。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成都市锦江区教育科学研究院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联系人：周皓</w:t>
      </w:r>
    </w:p>
    <w:p>
      <w:pPr>
        <w:pStyle w:val="null3"/>
        <w:jc w:val="left"/>
      </w:pPr>
      <w:r>
        <w:rPr>
          <w:rFonts w:ascii="仿宋_GB2312" w:hAnsi="仿宋_GB2312" w:cs="仿宋_GB2312" w:eastAsia="仿宋_GB2312"/>
        </w:rPr>
        <w:t>联系电话：84471172</w:t>
      </w:r>
    </w:p>
    <w:p>
      <w:pPr>
        <w:pStyle w:val="null3"/>
        <w:jc w:val="left"/>
      </w:pPr>
      <w:r>
        <w:rPr>
          <w:rFonts w:ascii="仿宋_GB2312" w:hAnsi="仿宋_GB2312" w:cs="仿宋_GB2312" w:eastAsia="仿宋_GB2312"/>
        </w:rPr>
        <w:t>地址：成都市锦江区皇经楼三街1号</w:t>
      </w:r>
    </w:p>
    <w:p>
      <w:pPr>
        <w:pStyle w:val="null3"/>
        <w:jc w:val="left"/>
      </w:pPr>
      <w:r>
        <w:rPr>
          <w:rFonts w:ascii="仿宋_GB2312" w:hAnsi="仿宋_GB2312" w:cs="仿宋_GB2312" w:eastAsia="仿宋_GB2312"/>
        </w:rPr>
        <w:t>邮编：610023</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联系人：乔慧琳</w:t>
      </w:r>
    </w:p>
    <w:p>
      <w:pPr>
        <w:pStyle w:val="null3"/>
        <w:jc w:val="left"/>
      </w:pPr>
      <w:r>
        <w:rPr>
          <w:rFonts w:ascii="仿宋_GB2312" w:hAnsi="仿宋_GB2312" w:cs="仿宋_GB2312" w:eastAsia="仿宋_GB2312"/>
        </w:rPr>
        <w:t>联系电话：028-86755728</w:t>
      </w:r>
    </w:p>
    <w:p>
      <w:pPr>
        <w:pStyle w:val="null3"/>
        <w:jc w:val="left"/>
      </w:pPr>
      <w:r>
        <w:rPr>
          <w:rFonts w:ascii="仿宋_GB2312" w:hAnsi="仿宋_GB2312" w:cs="仿宋_GB2312" w:eastAsia="仿宋_GB2312"/>
        </w:rPr>
        <w:t>地址：成都市锦江区南三环路二段1号6101室锦江区政府采购中心</w:t>
      </w:r>
    </w:p>
    <w:p>
      <w:pPr>
        <w:pStyle w:val="null3"/>
        <w:jc w:val="left"/>
      </w:pPr>
      <w:r>
        <w:rPr>
          <w:rFonts w:ascii="仿宋_GB2312" w:hAnsi="仿宋_GB2312" w:cs="仿宋_GB2312" w:eastAsia="仿宋_GB2312"/>
        </w:rPr>
        <w:t>邮编：610023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2,820,000.00</w:t>
      </w:r>
    </w:p>
    <w:p>
      <w:pPr>
        <w:pStyle w:val="null3"/>
        <w:jc w:val="left"/>
      </w:pPr>
      <w:r>
        <w:rPr>
          <w:rFonts w:ascii="仿宋_GB2312" w:hAnsi="仿宋_GB2312" w:cs="仿宋_GB2312" w:eastAsia="仿宋_GB2312"/>
        </w:rPr>
        <w:t>采购包最高限价（元）: 2,820,000.00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计算机网络教室设备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2,820,000.00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计算机网络教室设备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2,820,000.00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学生台式机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A02010104 台式计算机（教师台式机、学生台式机）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A0201060401 液晶显示器（液晶显示器）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A02010104 台式计算机（教师台式机、学生台式机）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A0201060401 液晶显示器（液晶显示器）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A060205 木制台、桌类（学生双人微机桌1、学生双人微机桌2、教师演示桌）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A060301 金属骨架为主的椅凳类（微机凳、教师椅）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A060503 金属质柜类（定制储物柜（钢制））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计算机网络教室设备</w:t>
            </w:r>
          </w:p>
        </w:tc>
        <w:tc>
          <w:tcPr>
            <w:tcW w:type="dxa" w:w="2492"/>
          </w:tcPr>
          <w:p>
            <w:pPr>
              <w:pStyle w:val="null3"/>
              <w:jc w:val="left"/>
            </w:pPr>
            <w:r>
              <w:rPr>
                <w:rFonts w:ascii="仿宋_GB2312" w:hAnsi="仿宋_GB2312" w:cs="仿宋_GB2312" w:eastAsia="仿宋_GB2312"/>
              </w:rPr>
              <w:t>A060501 木质柜类（定制储物柜（木制））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标的名称：计算机网络教室设备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ind w:firstLine="472"/>
              <w:jc w:val="both"/>
            </w:pPr>
            <w:r>
              <w:rPr>
                <w:rFonts w:ascii="仿宋_GB2312" w:hAnsi="仿宋_GB2312" w:cs="仿宋_GB2312" w:eastAsia="仿宋_GB2312"/>
                <w:sz w:val="24"/>
              </w:rPr>
              <w:t>本包核心产品：学生台式机</w:t>
            </w:r>
          </w:p>
          <w:tbl>
            <w:tblPr>
              <w:tblInd w:type="dxa" w:w="210"/>
              <w:tblBorders>
                <w:top w:val="none" w:color="000000" w:sz="4"/>
                <w:left w:val="none" w:color="000000" w:sz="4"/>
                <w:bottom w:val="none" w:color="000000" w:sz="4"/>
                <w:right w:val="none" w:color="000000" w:sz="4"/>
                <w:insideH w:val="none"/>
                <w:insideV w:val="none"/>
              </w:tblBorders>
            </w:tblPr>
            <w:tblGrid>
              <w:gridCol w:w="575"/>
              <w:gridCol w:w="1812"/>
              <w:gridCol w:w="1057"/>
              <w:gridCol w:w="1264"/>
              <w:gridCol w:w="2284"/>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p>
                  <w:pPr>
                    <w:pStyle w:val="null3"/>
                    <w:jc w:val="center"/>
                  </w:pPr>
                  <w:r>
                    <w:rPr>
                      <w:rFonts w:ascii="仿宋_GB2312" w:hAnsi="仿宋_GB2312" w:cs="仿宋_GB2312" w:eastAsia="仿宋_GB2312"/>
                      <w:sz w:val="20"/>
                      <w:b/>
                      <w:color w:val="000000"/>
                    </w:rPr>
                    <w:t>（标的名称）</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教师台式机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学生台式机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24口网络交换机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多媒体软件系统</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软件和信息技术服务业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微机凳</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教师演示桌</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网络机柜</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无线扩声音响系统</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定制储物柜（木制）</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定制储物柜（钢制）</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bl>
          <w:p>
            <w:pPr>
              <w:pStyle w:val="null3"/>
              <w:jc w:val="both"/>
            </w:pPr>
            <w:r>
              <w:rPr>
                <w:rFonts w:ascii="仿宋_GB2312" w:hAnsi="仿宋_GB2312" w:cs="仿宋_GB2312" w:eastAsia="仿宋_GB2312"/>
                <w:sz w:val="20"/>
              </w:rPr>
              <w:t>本项目因一体化平台固定格式限制，投标人填写《中小企业声明函》时，标的名称及所属行业必须按照上表内容填写，若标的名称及所属行业填写错误，不属于投标文件澄清范围。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★教师台式机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1、CPU：兼容x86指令集的国产处理器。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≥8核，主频≥3.0GHz，线程数量≥</w:t>
                  </w:r>
                  <w:r>
                    <w:rPr>
                      <w:rFonts w:ascii="仿宋_GB2312" w:hAnsi="仿宋_GB2312" w:cs="仿宋_GB2312" w:eastAsia="仿宋_GB2312"/>
                      <w:sz w:val="20"/>
                      <w:color w:val="000000"/>
                    </w:rPr>
                    <w:t>8。</w:t>
                  </w:r>
                  <w:r>
                    <w:br/>
                  </w:r>
                  <w:r>
                    <w:rPr>
                      <w:rFonts w:ascii="仿宋_GB2312" w:hAnsi="仿宋_GB2312" w:cs="仿宋_GB2312" w:eastAsia="仿宋_GB2312"/>
                      <w:sz w:val="20"/>
                      <w:color w:val="000000"/>
                    </w:rPr>
                    <w:t>2、内存≥16GB。</w:t>
                  </w:r>
                  <w:r>
                    <w:br/>
                  </w:r>
                  <w:r>
                    <w:rPr>
                      <w:rFonts w:ascii="仿宋_GB2312" w:hAnsi="仿宋_GB2312" w:cs="仿宋_GB2312" w:eastAsia="仿宋_GB2312"/>
                      <w:sz w:val="20"/>
                      <w:color w:val="000000"/>
                    </w:rPr>
                    <w:t>3、固态硬盘容量≥1TB，机械硬盘容量≥500GB。</w:t>
                  </w:r>
                  <w:r>
                    <w:br/>
                  </w:r>
                  <w:r>
                    <w:rPr>
                      <w:rFonts w:ascii="仿宋_GB2312" w:hAnsi="仿宋_GB2312" w:cs="仿宋_GB2312" w:eastAsia="仿宋_GB2312"/>
                      <w:sz w:val="20"/>
                      <w:color w:val="000000"/>
                    </w:rPr>
                    <w:t>4、独立显卡，显存容量≥2GB。</w:t>
                  </w:r>
                  <w:r>
                    <w:br/>
                  </w:r>
                  <w:r>
                    <w:rPr>
                      <w:rFonts w:ascii="仿宋_GB2312" w:hAnsi="仿宋_GB2312" w:cs="仿宋_GB2312" w:eastAsia="仿宋_GB2312"/>
                      <w:sz w:val="20"/>
                      <w:color w:val="000000"/>
                    </w:rPr>
                    <w:t>5、板载单口千兆网卡，1000/100M自适应。</w:t>
                  </w:r>
                  <w:r>
                    <w:br/>
                  </w:r>
                  <w:r>
                    <w:rPr>
                      <w:rFonts w:ascii="仿宋_GB2312" w:hAnsi="仿宋_GB2312" w:cs="仿宋_GB2312" w:eastAsia="仿宋_GB2312"/>
                      <w:sz w:val="20"/>
                      <w:color w:val="000000"/>
                    </w:rPr>
                    <w:t>6、USB接口数量≥8，含4个USB3.0及以上接口。</w:t>
                  </w:r>
                  <w:r>
                    <w:br/>
                  </w:r>
                  <w:r>
                    <w:rPr>
                      <w:rFonts w:ascii="仿宋_GB2312" w:hAnsi="仿宋_GB2312" w:cs="仿宋_GB2312" w:eastAsia="仿宋_GB2312"/>
                      <w:sz w:val="20"/>
                      <w:color w:val="000000"/>
                    </w:rPr>
                    <w:t>7、液晶显示器，显示器尺寸≥23英寸，分辨率≥1920x1080，刷新率≥100Hz，接口支持VGA和HDMI。</w:t>
                  </w:r>
                  <w:r>
                    <w:br/>
                  </w:r>
                  <w:r>
                    <w:rPr>
                      <w:rFonts w:ascii="仿宋_GB2312" w:hAnsi="仿宋_GB2312" w:cs="仿宋_GB2312" w:eastAsia="仿宋_GB2312"/>
                      <w:sz w:val="20"/>
                      <w:color w:val="000000"/>
                    </w:rPr>
                    <w:t>8、整机平均无故障时间MTBF(m1)≥30万小时。</w:t>
                  </w:r>
                  <w:r>
                    <w:br/>
                  </w:r>
                  <w:r>
                    <w:rPr>
                      <w:rFonts w:ascii="仿宋_GB2312" w:hAnsi="仿宋_GB2312" w:cs="仿宋_GB2312" w:eastAsia="仿宋_GB2312"/>
                      <w:sz w:val="20"/>
                      <w:color w:val="000000"/>
                    </w:rPr>
                    <w:t>9、配有线键盘鼠标。</w:t>
                  </w:r>
                  <w:r>
                    <w:br/>
                  </w:r>
                  <w:r>
                    <w:rPr>
                      <w:rFonts w:ascii="仿宋_GB2312" w:hAnsi="仿宋_GB2312" w:cs="仿宋_GB2312" w:eastAsia="仿宋_GB2312"/>
                      <w:sz w:val="20"/>
                      <w:color w:val="000000"/>
                    </w:rPr>
                    <w:t>10、预装操作系统：预装符合桌面操作系统政府采购需求标准的正版操作系统。</w:t>
                  </w:r>
                  <w:r>
                    <w:br/>
                  </w:r>
                  <w:r>
                    <w:rPr>
                      <w:rFonts w:ascii="仿宋_GB2312" w:hAnsi="仿宋_GB2312" w:cs="仿宋_GB2312" w:eastAsia="仿宋_GB2312"/>
                      <w:sz w:val="20"/>
                      <w:color w:val="000000"/>
                    </w:rPr>
                    <w:t>11、预装网络同传软件。</w:t>
                  </w:r>
                  <w:r>
                    <w:br/>
                  </w:r>
                  <w:r>
                    <w:rPr>
                      <w:rFonts w:ascii="仿宋_GB2312" w:hAnsi="仿宋_GB2312" w:cs="仿宋_GB2312" w:eastAsia="仿宋_GB2312"/>
                      <w:sz w:val="20"/>
                      <w:color w:val="000000"/>
                    </w:rPr>
                    <w:t>12、CPU和操作系统等关键部件应满足财库〔2023〕29 号《关于印发《台式计算机政府采购需求标准（2023年版）》的通知》的附件《台式计算机政府采购需求标准（2023年版）》序号183的指标要求。</w:t>
                  </w:r>
                  <w:r>
                    <w:br/>
                  </w:r>
                  <w:r>
                    <w:rPr>
                      <w:rFonts w:ascii="仿宋_GB2312" w:hAnsi="仿宋_GB2312" w:cs="仿宋_GB2312" w:eastAsia="仿宋_GB2312"/>
                      <w:sz w:val="20"/>
                      <w:color w:val="000000"/>
                    </w:rPr>
                    <w:t>13、投标人所投产品应满足财库〔2023〕29 号《关于印发《台式计算机政府采购需求标准（2023年版）》的通知》中全部加*指标要求，并提供承诺函，承诺函格式自拟。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★学生台式机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1、CPU：兼容x86指令集的国产处理器。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≥8核，主频≥3.0GHz，线程数量≥</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2、内存≥8GB。</w:t>
                  </w:r>
                  <w:r>
                    <w:br/>
                  </w:r>
                  <w:r>
                    <w:rPr>
                      <w:rFonts w:ascii="仿宋_GB2312" w:hAnsi="仿宋_GB2312" w:cs="仿宋_GB2312" w:eastAsia="仿宋_GB2312"/>
                      <w:sz w:val="20"/>
                      <w:color w:val="000000"/>
                    </w:rPr>
                    <w:t>3、固态硬盘容量≥512GB，机械硬盘容量≥500GB。</w:t>
                  </w:r>
                  <w:r>
                    <w:br/>
                  </w:r>
                  <w:r>
                    <w:rPr>
                      <w:rFonts w:ascii="仿宋_GB2312" w:hAnsi="仿宋_GB2312" w:cs="仿宋_GB2312" w:eastAsia="仿宋_GB2312"/>
                      <w:sz w:val="20"/>
                      <w:color w:val="000000"/>
                    </w:rPr>
                    <w:t>4、独立显卡，显存容量≥2GB。</w:t>
                  </w:r>
                  <w:r>
                    <w:br/>
                  </w:r>
                  <w:r>
                    <w:rPr>
                      <w:rFonts w:ascii="仿宋_GB2312" w:hAnsi="仿宋_GB2312" w:cs="仿宋_GB2312" w:eastAsia="仿宋_GB2312"/>
                      <w:sz w:val="20"/>
                      <w:color w:val="000000"/>
                    </w:rPr>
                    <w:t>5、板载单口千兆网卡，1000/100M自适应。</w:t>
                  </w:r>
                  <w:r>
                    <w:br/>
                  </w:r>
                  <w:r>
                    <w:rPr>
                      <w:rFonts w:ascii="仿宋_GB2312" w:hAnsi="仿宋_GB2312" w:cs="仿宋_GB2312" w:eastAsia="仿宋_GB2312"/>
                      <w:sz w:val="20"/>
                      <w:color w:val="000000"/>
                    </w:rPr>
                    <w:t>6、USB接口数量≥8，含4个USB3.0及以上接口。</w:t>
                  </w:r>
                  <w:r>
                    <w:br/>
                  </w:r>
                  <w:r>
                    <w:rPr>
                      <w:rFonts w:ascii="仿宋_GB2312" w:hAnsi="仿宋_GB2312" w:cs="仿宋_GB2312" w:eastAsia="仿宋_GB2312"/>
                      <w:sz w:val="20"/>
                      <w:color w:val="000000"/>
                    </w:rPr>
                    <w:t>7、液晶显示器，显示器尺寸≥23英寸，分辨率≥1920x1080，刷新率≥100Hz，接口支持VGA和HDMI。</w:t>
                  </w:r>
                  <w:r>
                    <w:br/>
                  </w:r>
                  <w:r>
                    <w:rPr>
                      <w:rFonts w:ascii="仿宋_GB2312" w:hAnsi="仿宋_GB2312" w:cs="仿宋_GB2312" w:eastAsia="仿宋_GB2312"/>
                      <w:sz w:val="20"/>
                      <w:color w:val="000000"/>
                    </w:rPr>
                    <w:t>8、整机平均无故障时间MTBF(m1)≥30万小时。</w:t>
                  </w:r>
                  <w:r>
                    <w:br/>
                  </w:r>
                  <w:r>
                    <w:rPr>
                      <w:rFonts w:ascii="仿宋_GB2312" w:hAnsi="仿宋_GB2312" w:cs="仿宋_GB2312" w:eastAsia="仿宋_GB2312"/>
                      <w:sz w:val="20"/>
                      <w:color w:val="000000"/>
                    </w:rPr>
                    <w:t>9、配有线键盘鼠标。</w:t>
                  </w:r>
                  <w:r>
                    <w:br/>
                  </w:r>
                  <w:r>
                    <w:rPr>
                      <w:rFonts w:ascii="仿宋_GB2312" w:hAnsi="仿宋_GB2312" w:cs="仿宋_GB2312" w:eastAsia="仿宋_GB2312"/>
                      <w:sz w:val="20"/>
                      <w:color w:val="000000"/>
                    </w:rPr>
                    <w:t>10、预装操作系统：预装符合桌面操作系统政府采购需求标准的正版操作系统。</w:t>
                  </w:r>
                  <w:r>
                    <w:br/>
                  </w:r>
                  <w:r>
                    <w:rPr>
                      <w:rFonts w:ascii="仿宋_GB2312" w:hAnsi="仿宋_GB2312" w:cs="仿宋_GB2312" w:eastAsia="仿宋_GB2312"/>
                      <w:sz w:val="20"/>
                      <w:color w:val="000000"/>
                    </w:rPr>
                    <w:t>11、预装网络同传软件。</w:t>
                  </w:r>
                  <w:r>
                    <w:br/>
                  </w:r>
                  <w:r>
                    <w:rPr>
                      <w:rFonts w:ascii="仿宋_GB2312" w:hAnsi="仿宋_GB2312" w:cs="仿宋_GB2312" w:eastAsia="仿宋_GB2312"/>
                      <w:sz w:val="20"/>
                      <w:color w:val="000000"/>
                    </w:rPr>
                    <w:t>12、CPU和操作系统等关键部件应满足财库〔2023〕29 号《关于印发《台式计算机政府采购需求标准（2023年版）》的通知》的附件《台式计算机政府采购需求标准（2023年版）》序号183的指标要求。</w:t>
                  </w:r>
                  <w:r>
                    <w:br/>
                  </w:r>
                  <w:r>
                    <w:rPr>
                      <w:rFonts w:ascii="仿宋_GB2312" w:hAnsi="仿宋_GB2312" w:cs="仿宋_GB2312" w:eastAsia="仿宋_GB2312"/>
                      <w:sz w:val="20"/>
                      <w:color w:val="000000"/>
                    </w:rPr>
                    <w:t>13、投标人所投产品应满足财库〔2023〕29 号《关于印发《台式计算机政府采购需求标准（2023年版）》的通知》中全部加*指标要求，并提供承诺函，承诺函格式自拟。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24口网络交换机</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1、配置24个10/100/1000M自适应端口，配置1G SFP光接口≥2个，配置千兆上联电口≥2个。</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多媒体软件系统</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1、正版电子教室软件，至少支持网络文件分发、广播教学、黑屏功能。</w:t>
                  </w:r>
                  <w:r>
                    <w:br/>
                  </w:r>
                  <w:r>
                    <w:rPr>
                      <w:rFonts w:ascii="仿宋_GB2312" w:hAnsi="仿宋_GB2312" w:cs="仿宋_GB2312" w:eastAsia="仿宋_GB2312"/>
                      <w:sz w:val="20"/>
                      <w:color w:val="000000"/>
                    </w:rPr>
                    <w:t>2、在教师台式机、学生台式机所配操作系统上使用。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r>
          </w:tbl>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1</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1200*6</w:t>
                  </w:r>
                  <w:r>
                    <w:rPr>
                      <w:rFonts w:ascii="仿宋_GB2312" w:hAnsi="仿宋_GB2312" w:cs="仿宋_GB2312" w:eastAsia="仿宋_GB2312"/>
                      <w:sz w:val="20"/>
                      <w:color w:val="000000"/>
                    </w:rPr>
                    <w:t>5</w:t>
                  </w:r>
                  <w:r>
                    <w:rPr>
                      <w:rFonts w:ascii="仿宋_GB2312" w:hAnsi="仿宋_GB2312" w:cs="仿宋_GB2312" w:eastAsia="仿宋_GB2312"/>
                      <w:sz w:val="20"/>
                      <w:color w:val="000000"/>
                    </w:rPr>
                    <w:t>0*760 mm(±5mm)；台面设双线孔，桌体（中）侧板设置二至四个电线、网络线穿线孔，桌体后部配置电线、网络线隐藏盒。有两个滑动键盘, 通用滑轨。桌面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≥25mm三聚氢氨饰面板，下柜</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学生双人微机桌</w:t>
                  </w:r>
                  <w:r>
                    <w:rPr>
                      <w:rFonts w:ascii="仿宋_GB2312" w:hAnsi="仿宋_GB2312" w:cs="仿宋_GB2312" w:eastAsia="仿宋_GB2312"/>
                      <w:sz w:val="20"/>
                      <w:color w:val="000000"/>
                    </w:rPr>
                    <w:t>2</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00*6</w:t>
                  </w:r>
                  <w:r>
                    <w:rPr>
                      <w:rFonts w:ascii="仿宋_GB2312" w:hAnsi="仿宋_GB2312" w:cs="仿宋_GB2312" w:eastAsia="仿宋_GB2312"/>
                      <w:sz w:val="20"/>
                      <w:color w:val="000000"/>
                    </w:rPr>
                    <w:t>5</w:t>
                  </w:r>
                  <w:r>
                    <w:rPr>
                      <w:rFonts w:ascii="仿宋_GB2312" w:hAnsi="仿宋_GB2312" w:cs="仿宋_GB2312" w:eastAsia="仿宋_GB2312"/>
                      <w:sz w:val="20"/>
                      <w:color w:val="000000"/>
                    </w:rPr>
                    <w:t>0*760 mm(±5mm)；台面设双线孔，桌体（中）侧板设置二至四个电线、网络线穿线孔，桌体后部配置电线、网络线隐藏盒。有两个滑动键盘, 通用滑轨。桌面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≥25mm三聚氢氨饰面板，下柜</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≥16mm三聚氢氨饰面板。</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微机凳</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1、凳面为≥25mm</w:t>
                  </w:r>
                  <w:r>
                    <w:rPr>
                      <w:rFonts w:ascii="仿宋_GB2312" w:hAnsi="仿宋_GB2312" w:cs="仿宋_GB2312" w:eastAsia="仿宋_GB2312"/>
                      <w:sz w:val="20"/>
                      <w:color w:val="000000"/>
                    </w:rPr>
                    <w:t>橡胶木拼接板</w:t>
                  </w:r>
                  <w:r>
                    <w:rPr>
                      <w:rFonts w:ascii="仿宋_GB2312" w:hAnsi="仿宋_GB2312" w:cs="仿宋_GB2312" w:eastAsia="仿宋_GB2312"/>
                      <w:sz w:val="20"/>
                      <w:color w:val="000000"/>
                    </w:rPr>
                    <w:t>，上清漆。下脚为钢架结构，采用</w:t>
                  </w:r>
                  <w:r>
                    <w:rPr>
                      <w:rFonts w:ascii="仿宋_GB2312" w:hAnsi="仿宋_GB2312" w:cs="仿宋_GB2312" w:eastAsia="仿宋_GB2312"/>
                      <w:sz w:val="20"/>
                      <w:color w:val="000000"/>
                    </w:rPr>
                    <w:t>≥25*25*1.2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的方管。钢架严格经过酸洗、磷化、喷塑处理</w:t>
                  </w:r>
                  <w:r>
                    <w:rPr>
                      <w:rFonts w:ascii="仿宋_GB2312" w:hAnsi="仿宋_GB2312" w:cs="仿宋_GB2312" w:eastAsia="仿宋_GB2312"/>
                      <w:sz w:val="20"/>
                      <w:color w:val="000000"/>
                    </w:rPr>
                    <w:t>。</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教师演示桌</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1、(长*宽*高）1800mm*800mm*800 mm(±5mm)，桌面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≥25mm三聚氰氨刨花板，其他部位</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≥16mm三聚氰氨刨花板，封直边，抽屉滑轨：采用优质厚度≥1.3mm冷轧钢滑轨。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教师升降转椅（网面）</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最大座高</w:t>
                  </w:r>
                  <w:r>
                    <w:rPr>
                      <w:rFonts w:ascii="仿宋_GB2312" w:hAnsi="仿宋_GB2312" w:cs="仿宋_GB2312" w:eastAsia="仿宋_GB2312"/>
                      <w:sz w:val="20"/>
                      <w:color w:val="000000"/>
                    </w:rPr>
                    <w:t>460mm</w:t>
                  </w:r>
                  <w:r>
                    <w:rPr>
                      <w:rFonts w:ascii="仿宋_GB2312" w:hAnsi="仿宋_GB2312" w:cs="仿宋_GB2312" w:eastAsia="仿宋_GB2312"/>
                      <w:sz w:val="20"/>
                      <w:color w:val="000000"/>
                    </w:rPr>
                    <w:t>。</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网络机柜</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22U及以上标准机柜，含理线架。</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无线扩声音响系统</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1、红外无线技术，勿需对频；具有物理啸叫抑制功能；独立功放；颈挂或领夹式无线麦克风；壁挂式扬声器一对，单箱额定功率60W；音响防坠落设计，带安装件。</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静电地板</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1、(长*宽*厚）600*600*30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(±5mm)</w:t>
                  </w:r>
                  <w:r>
                    <w:rPr>
                      <w:rFonts w:ascii="仿宋_GB2312" w:hAnsi="仿宋_GB2312" w:cs="仿宋_GB2312" w:eastAsia="仿宋_GB2312"/>
                      <w:sz w:val="20"/>
                      <w:color w:val="000000"/>
                    </w:rPr>
                    <w:t>；支架采用无缝钢管，上板厚度</w:t>
                  </w:r>
                  <w:r>
                    <w:rPr>
                      <w:rFonts w:ascii="仿宋_GB2312" w:hAnsi="仿宋_GB2312" w:cs="仿宋_GB2312" w:eastAsia="仿宋_GB2312"/>
                      <w:sz w:val="20"/>
                      <w:color w:val="000000"/>
                    </w:rPr>
                    <w:t>≥3mm，下板厚度≥2mm，管壁厚度≥1.2mm，横梁壁厚≥1mm，表面防腐处理；一间教室约90平米带一个吸盘；地板架空高度≥150mm,如有讲台，则根据实际情况架空。</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定制储物柜（木制）</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800mm×400mm×1800mm(±5mm)，隔板厚度≥25mm。</w:t>
                  </w:r>
                </w:p>
                <w:p>
                  <w:pPr>
                    <w:pStyle w:val="null3"/>
                    <w:jc w:val="both"/>
                  </w:pPr>
                  <w:r>
                    <w:rPr>
                      <w:rFonts w:ascii="仿宋_GB2312" w:hAnsi="仿宋_GB2312" w:cs="仿宋_GB2312" w:eastAsia="仿宋_GB2312"/>
                      <w:sz w:val="20"/>
                      <w:color w:val="000000"/>
                    </w:rPr>
                    <w:t>2、采用上下两层结构，均为对开门设计，上下两层内部空间高度相等，且都分两层，层高度可按需调节；上下两层的对开门均需安装≥B级锁芯的锁具，钥匙插拔轻松无卡顿，门把手采用隐藏式设计。基材采用中密度纤维板，面材采用木皮，厚度≥1mm，油漆采用PU聚氨酯透明面漆，底漆采用水性白底漆。</w:t>
                  </w:r>
                </w:p>
                <w:p>
                  <w:pPr>
                    <w:pStyle w:val="null3"/>
                    <w:jc w:val="both"/>
                  </w:pPr>
                  <w:r>
                    <w:rPr>
                      <w:rFonts w:ascii="仿宋_GB2312" w:hAnsi="仿宋_GB2312" w:cs="仿宋_GB2312" w:eastAsia="仿宋_GB2312"/>
                      <w:sz w:val="20"/>
                      <w:color w:val="000000"/>
                    </w:rPr>
                    <w:t>3、产品材料要求、外观要求、理化性能、力学性能符合GB/T 3324-2024《木家具通用技术条件》。</w:t>
                  </w:r>
                </w:p>
                <w:p>
                  <w:pPr>
                    <w:pStyle w:val="null3"/>
                    <w:jc w:val="both"/>
                  </w:pPr>
                  <w:r>
                    <w:rPr>
                      <w:rFonts w:ascii="仿宋_GB2312" w:hAnsi="仿宋_GB2312" w:cs="仿宋_GB2312" w:eastAsia="仿宋_GB2312"/>
                      <w:sz w:val="20"/>
                      <w:color w:val="000000"/>
                    </w:rPr>
                    <w:t>4、在柜体左旁板外侧安装采用金属材质制作的标牌，标牌内容至少包含生产企业名称、生产时间和售后电话。标牌在正常使用及外部环境影响下，不会出现松动、脱落或移位的情况。</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Ind w:type="dxa" w:w="255"/>
              <w:tblBorders>
                <w:top w:val="none" w:color="000000" w:sz="4"/>
                <w:left w:val="none" w:color="000000" w:sz="4"/>
                <w:bottom w:val="none" w:color="000000" w:sz="4"/>
                <w:right w:val="none" w:color="000000" w:sz="4"/>
                <w:insideH w:val="none"/>
                <w:insideV w:val="none"/>
              </w:tblBorders>
            </w:tblPr>
            <w:tblGrid>
              <w:gridCol w:w="635"/>
              <w:gridCol w:w="768"/>
              <w:gridCol w:w="4336"/>
              <w:gridCol w:w="616"/>
              <w:gridCol w:w="645"/>
            </w:tblGrid>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定制储物柜（钢制）</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1、尺寸：</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850mm×400mm×1800mm(±5mm)。</w:t>
                  </w:r>
                </w:p>
                <w:p>
                  <w:pPr>
                    <w:pStyle w:val="null3"/>
                    <w:jc w:val="both"/>
                  </w:pPr>
                  <w:r>
                    <w:rPr>
                      <w:rFonts w:ascii="仿宋_GB2312" w:hAnsi="仿宋_GB2312" w:cs="仿宋_GB2312" w:eastAsia="仿宋_GB2312"/>
                      <w:sz w:val="20"/>
                      <w:color w:val="000000"/>
                    </w:rPr>
                    <w:t>2、采用上下两层结构，均为对开门设计，上下两层内部空间高度相等，且都分两层，层高度可按需调节，活动隔板厚度≥25mm，倒圆半径≥7mm；门板开合用中弯铰链，所有门板为无锁杆闭锁结构。整体柜体采用激光切割、数控折弯，后组箱焊接成型，横竖组合边框采用激光焊接。左门板上下装无锁自弹装置，右门板关闭后左门板自然锁闭。右门中部设口舌穿叉闭合锁具，锁具锁芯等级≥B 级；门拉手采用三向一次性冲压拉伸工艺，在三个不同方向对金属板材施加压力，借助冲压模具实现一次性拉伸成型。采用裸板冷轧钢板，裸板厚度≥0.8mm。</w:t>
                  </w:r>
                </w:p>
                <w:p>
                  <w:pPr>
                    <w:pStyle w:val="null3"/>
                    <w:jc w:val="both"/>
                  </w:pPr>
                  <w:r>
                    <w:rPr>
                      <w:rFonts w:ascii="仿宋_GB2312" w:hAnsi="仿宋_GB2312" w:cs="仿宋_GB2312" w:eastAsia="仿宋_GB2312"/>
                      <w:sz w:val="20"/>
                      <w:color w:val="000000"/>
                    </w:rPr>
                    <w:t>3、产品力学性能符合GB/T 10357.5-2023《家具力学性能试验 第5部分：柜类强度和耐久性》、GB/T 10357.4-2023《家具力学性能试验 第4部分：柜类稳定性》；产品外观、表面理化性能符合GB/T 13668-2015《钢制书柜、资料柜通用技术条件》；依据标准GB/T3325-2024《金属家具通用技术条件》标准，金属喷漆（塑）涂层硬度、冲击强度、耐盐浴、附着力检测均合格。</w:t>
                  </w:r>
                </w:p>
                <w:p>
                  <w:pPr>
                    <w:pStyle w:val="null3"/>
                    <w:jc w:val="both"/>
                  </w:pPr>
                  <w:r>
                    <w:rPr>
                      <w:rFonts w:ascii="仿宋_GB2312" w:hAnsi="仿宋_GB2312" w:cs="仿宋_GB2312" w:eastAsia="仿宋_GB2312"/>
                      <w:sz w:val="20"/>
                      <w:color w:val="000000"/>
                    </w:rPr>
                    <w:t>4、在柜体左旁板外侧安装采用金属材质制作的标牌，标牌内容至少包含生产企业名称、生产时间和售后电话。标牌在正常使用及外部环境影响下，不会出现松动、脱落或移位的情况。</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⾃合同签订之⽇起30⽇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锦江区行政区范围内所涉及中小学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1、第一期款项，合同签订后，采购人在收到中标人出具合法有效完整的完税发票后10个工作日内，达到付款条件起14日内，支付合同总金额的40.00%</w:t>
            </w:r>
          </w:p>
          <w:p>
            <w:pPr>
              <w:pStyle w:val="null3"/>
              <w:jc w:val="left"/>
            </w:pPr>
            <w:r>
              <w:rPr>
                <w:rFonts w:ascii="仿宋_GB2312" w:hAnsi="仿宋_GB2312" w:cs="仿宋_GB2312" w:eastAsia="仿宋_GB2312"/>
              </w:rPr>
              <w:t>2、第二期款项，所有设备安装调试完毕，经项目最终验收合格并签署验收合格报告后，采购人在收到中标人出具合法有效完整的完税发票后10个工作日内，达到付款条件起14日内，支付合同总金额的60.00%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(1)本项目履约验收主体为成都市锦江区教育科学研究院，邀请实际使用人（学校）参与验收工作，邀请专家参与验收工作，验收由采购人组织，中标供应商配合进行。 (2)履约验收时间为中标人提出验收申请之日起10日内组织验收。验收方式为自行组织验收，履约验收内容为合同约定内容、招标（采购）文件的技术和商务要求、投标（响应）文件中响应和承诺。 (3)履约验收方式：本项目采用一次性验收方式。 (4)验收程序 ①中标人按照采购合同要求，完成项目全部货物（服务）的供应、安装、调试及其他等内容建设； ②中标人所提供的货物（包括服务）实现功能、技术指标、建设质量等符合采购合同、采购文件、投标（响应）文件要求，并进行试运行及用户培训，设备/系统运行正常，无安全隐患等； ③项目全面完成，由相关学校初验并出具初验报告表。 ④以上履约及验收准备工作完成后，中标人向采购人提交书面验收申请，经项目负责人和验收负责人检查同意后，开展履约验收。 ⑤采购人拟定验收方案，组织由政府采购专家和学校代表组成的验收小组进行最终验收。最终验收严格按照履约验收标准对每一项技术和商务要求的履约情况进行查验，包括对收货单的检查、产品功能验收及性能验收。终验合格后，经双方确认，形成终验报告，验收小组签字生效。 (5)履约验收标准：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等产生的一切费用由中标供应商负责，采购人无需另外支付任何费用。 (2)产品出现质量问题，如不能通过电话指导解决问题，乙方维修人员需在接到甲方或者使用人（学校、幼儿园）的维修通知后4小时内响应、8小时内到达现场，及时排除故障；如发生安全隐患，必须在4小时内到达现场，24小时内消除隐患。若产品出现问题且在24小时内无法修复，乙方须无条件提供不低于原产品性能的备用设备供学校使用，直至原设备修复。 (3)中标供应商须指派专人负责与采购人联系售后服务事宜。姓名： ，岗位： ，电话： ，邮箱： 。（针对此条提供单独承诺函，格式自拟）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质量瑕疵的违约责任 （1）乙方提供的货物不符合合同约定的质量标准或存在产品质量缺陷，应在合同工期内免费更换合格的货物，逾期未更换的，视为乙方不能交货，按本合同第十一条第2款第（2）项承担违约责任。 （2）乙方货物及配套服务第一次验收不合格的，甲方出具书面整改通知，乙方限期整改；整改后再次验收仍不合格的，甲方有权解除合同，乙方按合同总价20%支付违约金，并全额退还甲方已付货款及利息（按全国银行间同业拆借中心公布的贷款市场报价利率计算）。 2. 迟延交货的违约责任 （1）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除应及时交足货物和提供相关服务外，逾期交货超过30天，甲方有权终止本合同，乙方则应按合同总价金额的20%向甲方偿付违约金，并须全额退还甲方已支付给乙方的货款，并按合同总价金额为基数计算利息（利息按同期全国银行间同业拆借中心公布的一年期贷款市场报价利率（LPR）的4倍计算，自甲方首次付款之日起至款项全额退还之日止）。 3. 迟延支付的违约责任 甲方逾期支付货款的，除应及时付足货款外，还应就逾期未付部分的金额，按同期全国银行间同业拆借中心公布的一年期贷款市场报价利率（LPR）的4倍计算，向乙方支付逾期付款利息，直至款项付清之日为止。 4. 其他违约责任 （1）对质量或技术参数要求甲乙双方存在争议的货物，或根据采购文件要求进行检测的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付合同总价的20%的违约金给甲方。检测结果认定货物质量不符合本合同规定标准的，检测费用由乙方承担。 （2）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20%向甲方支付违约金。 （3）乙方偿付的违约金不足以弥补甲方损失的，还应按甲方损失尚未弥补的部分，支付赔偿金给甲方，包括但不限于律师费、诉讼费、公证费、鉴定费、保全费、保全保险费、差旅费等，因乙方违约给甲方造成损失的，乙方应全额赔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 投标人所投产品若涉及国家强制性产品认证（CCC认证）或前置许可认证的，须在投标文件中提交符合国家相关强制认证、前置许可要求的单独承诺函（加盖供应商公章）；在供货环节，须将相关许可、认证材料一并提交，确保所供产品的认证文件齐全、有效，符合国家相关规定。 ★2. 本采购项目应遵循以下标准、规范及要求：供应商提供的货物应达到以下标准要求，供应商应在实际施工中遵循以下标准要求，项目验收也将以下标准要求（以最新的标准规范为准）作为验收标准。《音视频、信息技术和通信技术设备 第1部分：安全要求》GB 4943.1-2022、《低压配电设计规范》GB 50054-2011、《室内装饰装修材料 人造板及其制品中甲醛释放限量》GB 18580-2025、《家具中有害物质限量》GB 18584-2024。 ★3. 系统集成要求：9间计算机网络教室系统集成，含RJ45水晶头、电线插板、线槽、线管、辅材、拆旧、设备安装调试、人工等，超五类非屏蔽网线总长约8300米。 ★4. 付款方式补充说明：（1）支付时限：合同签订后，采购人在收到中标人出具合法有效完整的完税发票后10个工作日内，支付合同总金额的40%（第一期款项），所有设备安装调试完毕，经项目最终验收合格并签署验收合格报告后，采购人在收到中标人出具合法有效完整的完税发票后10个工作日内，支付合同总金额的60%（第二期款项）。（2）完税发票必须由中标人指定专人送达：姓名： ，岗位： ，电话： ，送达采购人指定人员，姓名： ，岗位： ，电话： ，送达地址：成都市锦江区皇经楼三街1号 ，采购人拒绝接收邮寄和快递等方式送达的发票。（3）若因中标人所供货物及配套服务未达到合同、招标（采购）文件及投标（响应）文件中明确的技术要求和商务要求，导致项目验收不合格的，采购人将向中标人出具书面整改通知，责令其在规定期限内采取措施依法进行整改。整改工作完成后，中标人须向采购单位提交整改验收申请，采购人将重新组织验收。若验收仍不合格的，采购人将停止支付采购资金，并严格按照采购合同约定，依法追究中标人的违约责任。 （说明：投标⼈在投标⽂件中响应）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在评标过程中，关于异常低价问题，应当严格按照《关于推动解决政府采购异常低价问题的通知》（财库〔2026〕2号）相关要求予以处理： （一）政府采购评审中出现下列情形之一的，评审委员会应当启动异常低价投标（响应）审查程序：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人提交的书面说明、证明材料，应当加盖投标人法定名称章，在评标委员会要求的时间内通过项目电子化交易系统进行提交，否则视为未提供书面说明、证明材料。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法定代表人或主要负责人身份证扫描件件或护照扫描件</w:t>
            </w:r>
          </w:p>
        </w:tc>
        <w:tc>
          <w:tcPr>
            <w:tcW w:type="dxa" w:w="3322"/>
          </w:tcPr>
          <w:p>
            <w:pPr>
              <w:pStyle w:val="null3"/>
              <w:jc w:val="left"/>
            </w:pPr>
            <w:r>
              <w:rPr>
                <w:rFonts w:ascii="仿宋_GB2312" w:hAnsi="仿宋_GB2312" w:cs="仿宋_GB2312" w:eastAsia="仿宋_GB2312"/>
              </w:rPr>
              <w:t>身份证扫描件或护照扫描件【注：法定代表人或主要负责人身份证扫描件（身份证两面均应扫描，在有效期内）或护照扫描件（法定代表人或主要负责人为外籍人士的，按此提供）】。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详见附件：法定代表人或主要负责人身份证明书.docx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详见附件：教科院政府采购合同模板（2026年货物类）.docx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