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698A9">
      <w:pPr>
        <w:outlineLvl w:val="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</w:t>
      </w:r>
    </w:p>
    <w:p w14:paraId="4EEF2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仿宋" w:hAnsi="仿宋" w:eastAsia="仿宋" w:cs="仿宋"/>
          <w:sz w:val="28"/>
          <w:szCs w:val="28"/>
        </w:rPr>
      </w:pPr>
      <w:bookmarkStart w:id="0" w:name="_GoBack"/>
      <w:r>
        <w:rPr>
          <w:rFonts w:hint="eastAsia" w:eastAsia="宋体"/>
          <w:b/>
          <w:bCs/>
          <w:sz w:val="28"/>
          <w:szCs w:val="28"/>
        </w:rPr>
        <w:t>成都市双流区中医医院计算机设备维修和保养服务</w:t>
      </w:r>
      <w:r>
        <w:rPr>
          <w:rFonts w:hint="eastAsia"/>
          <w:b/>
          <w:bCs/>
          <w:sz w:val="28"/>
          <w:szCs w:val="28"/>
        </w:rPr>
        <w:t>质量</w:t>
      </w:r>
      <w:r>
        <w:rPr>
          <w:rFonts w:hint="eastAsia" w:eastAsia="宋体"/>
          <w:b/>
          <w:bCs/>
          <w:sz w:val="28"/>
          <w:szCs w:val="28"/>
        </w:rPr>
        <w:t>考核表</w:t>
      </w:r>
      <w:bookmarkEnd w:id="0"/>
    </w:p>
    <w:p w14:paraId="3B8C52C0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考核时间：                   考核科室：</w:t>
      </w:r>
    </w:p>
    <w:tbl>
      <w:tblPr>
        <w:tblStyle w:val="4"/>
        <w:tblW w:w="487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801"/>
        <w:gridCol w:w="2263"/>
        <w:gridCol w:w="756"/>
        <w:gridCol w:w="2349"/>
        <w:gridCol w:w="976"/>
        <w:gridCol w:w="758"/>
      </w:tblGrid>
      <w:tr w14:paraId="154CE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Align w:val="center"/>
          </w:tcPr>
          <w:p w14:paraId="5FF69C79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482" w:type="pct"/>
            <w:vAlign w:val="center"/>
          </w:tcPr>
          <w:p w14:paraId="1AC7451C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考核  内容</w:t>
            </w:r>
          </w:p>
        </w:tc>
        <w:tc>
          <w:tcPr>
            <w:tcW w:w="1361" w:type="pct"/>
            <w:vAlign w:val="center"/>
          </w:tcPr>
          <w:p w14:paraId="5EDF7178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工作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要求</w:t>
            </w:r>
          </w:p>
        </w:tc>
        <w:tc>
          <w:tcPr>
            <w:tcW w:w="454" w:type="pct"/>
            <w:vAlign w:val="center"/>
          </w:tcPr>
          <w:p w14:paraId="045095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分值</w:t>
            </w:r>
          </w:p>
          <w:p w14:paraId="3CC52A87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（分）</w:t>
            </w:r>
          </w:p>
        </w:tc>
        <w:tc>
          <w:tcPr>
            <w:tcW w:w="1413" w:type="pct"/>
            <w:vAlign w:val="center"/>
          </w:tcPr>
          <w:p w14:paraId="433DD001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考核标准</w:t>
            </w:r>
          </w:p>
        </w:tc>
        <w:tc>
          <w:tcPr>
            <w:tcW w:w="587" w:type="pct"/>
            <w:vAlign w:val="center"/>
          </w:tcPr>
          <w:p w14:paraId="57B98611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扣分及原因</w:t>
            </w:r>
          </w:p>
        </w:tc>
        <w:tc>
          <w:tcPr>
            <w:tcW w:w="456" w:type="pct"/>
            <w:vAlign w:val="center"/>
          </w:tcPr>
          <w:p w14:paraId="35DD7D28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得分</w:t>
            </w:r>
          </w:p>
        </w:tc>
      </w:tr>
      <w:tr w14:paraId="4B2D9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restart"/>
            <w:vAlign w:val="center"/>
          </w:tcPr>
          <w:p w14:paraId="3A3CCCA0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482" w:type="pct"/>
            <w:vMerge w:val="restart"/>
            <w:vAlign w:val="center"/>
          </w:tcPr>
          <w:p w14:paraId="05D5070A">
            <w:pPr>
              <w:jc w:val="center"/>
              <w:rPr>
                <w:rStyle w:val="6"/>
                <w:rFonts w:ascii="仿宋" w:hAnsi="仿宋" w:eastAsia="仿宋" w:cs="仿宋"/>
                <w:b w:val="0"/>
                <w:bCs w:val="0"/>
                <w:color w:val="auto"/>
                <w:sz w:val="24"/>
                <w:shd w:val="clear" w:color="auto" w:fill="FFFFFF"/>
              </w:rPr>
            </w:pPr>
            <w:r>
              <w:rPr>
                <w:rStyle w:val="6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hd w:val="clear" w:color="auto" w:fill="FFFFFF"/>
              </w:rPr>
              <w:t>响应    时效</w:t>
            </w:r>
          </w:p>
          <w:p w14:paraId="000E86B2">
            <w:pPr>
              <w:jc w:val="center"/>
              <w:rPr>
                <w:rStyle w:val="6"/>
                <w:rFonts w:ascii="仿宋" w:hAnsi="仿宋" w:eastAsia="仿宋" w:cs="仿宋"/>
                <w:b w:val="0"/>
                <w:bCs w:val="0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361" w:type="pct"/>
            <w:vAlign w:val="center"/>
          </w:tcPr>
          <w:p w14:paraId="23714D1B"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eastAsia="zh-CN"/>
              </w:rPr>
              <w:t>电话响应时间：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工作日上班时间≤2分钟，非上班时间≤5分钟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eastAsia="zh-CN"/>
              </w:rPr>
              <w:t>。</w:t>
            </w:r>
          </w:p>
        </w:tc>
        <w:tc>
          <w:tcPr>
            <w:tcW w:w="454" w:type="pct"/>
            <w:vAlign w:val="center"/>
          </w:tcPr>
          <w:p w14:paraId="1C8D4157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1413" w:type="pct"/>
            <w:vAlign w:val="center"/>
          </w:tcPr>
          <w:p w14:paraId="57D6DAFE">
            <w:pPr>
              <w:jc w:val="left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每超时1次扣2分，累计3次以上按违约处理</w:t>
            </w:r>
          </w:p>
        </w:tc>
        <w:tc>
          <w:tcPr>
            <w:tcW w:w="587" w:type="pct"/>
            <w:vAlign w:val="center"/>
          </w:tcPr>
          <w:p w14:paraId="5FCD8B5D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477BF20E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2AEF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continue"/>
            <w:vAlign w:val="center"/>
          </w:tcPr>
          <w:p w14:paraId="0BD4D1D9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2" w:type="pct"/>
            <w:vMerge w:val="continue"/>
            <w:vAlign w:val="center"/>
          </w:tcPr>
          <w:p w14:paraId="1DBAD2EB">
            <w:pPr>
              <w:jc w:val="center"/>
              <w:rPr>
                <w:rStyle w:val="6"/>
                <w:rFonts w:ascii="仿宋" w:hAnsi="仿宋" w:eastAsia="仿宋" w:cs="仿宋"/>
                <w:b w:val="0"/>
                <w:bCs w:val="0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361" w:type="pct"/>
            <w:vAlign w:val="center"/>
          </w:tcPr>
          <w:p w14:paraId="1D1FD37A">
            <w:pPr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到达现场时间：工作日上班时间≤5分钟、非上班时间≤30分钟。</w:t>
            </w:r>
          </w:p>
        </w:tc>
        <w:tc>
          <w:tcPr>
            <w:tcW w:w="454" w:type="pct"/>
            <w:vAlign w:val="center"/>
          </w:tcPr>
          <w:p w14:paraId="78D270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1413" w:type="pct"/>
            <w:vAlign w:val="center"/>
          </w:tcPr>
          <w:p w14:paraId="1A49C2AD">
            <w:pPr>
              <w:jc w:val="left"/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工作日上班时间超时1次扣2分；非上班时间超时1次扣3分</w:t>
            </w:r>
          </w:p>
        </w:tc>
        <w:tc>
          <w:tcPr>
            <w:tcW w:w="587" w:type="pct"/>
            <w:vAlign w:val="center"/>
          </w:tcPr>
          <w:p w14:paraId="522FA2F2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664826C7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74FF1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continue"/>
            <w:vAlign w:val="center"/>
          </w:tcPr>
          <w:p w14:paraId="6518C743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2" w:type="pct"/>
            <w:vMerge w:val="continue"/>
            <w:vAlign w:val="center"/>
          </w:tcPr>
          <w:p w14:paraId="7AF3711A">
            <w:pPr>
              <w:jc w:val="center"/>
              <w:rPr>
                <w:rStyle w:val="6"/>
                <w:rFonts w:ascii="仿宋" w:hAnsi="仿宋" w:eastAsia="仿宋" w:cs="仿宋"/>
                <w:b w:val="0"/>
                <w:bCs w:val="0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361" w:type="pct"/>
            <w:vAlign w:val="center"/>
          </w:tcPr>
          <w:p w14:paraId="38108258">
            <w:pPr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工作时间安排专人值守维护热线电话并做好登记台账、派遣维护人员，非工作时间安排电话值班人员并保持通讯畅通、随传随到。</w:t>
            </w:r>
          </w:p>
        </w:tc>
        <w:tc>
          <w:tcPr>
            <w:tcW w:w="454" w:type="pct"/>
            <w:vAlign w:val="center"/>
          </w:tcPr>
          <w:p w14:paraId="030B863E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10</w:t>
            </w:r>
          </w:p>
        </w:tc>
        <w:tc>
          <w:tcPr>
            <w:tcW w:w="1413" w:type="pct"/>
            <w:vAlign w:val="center"/>
          </w:tcPr>
          <w:p w14:paraId="08813AF9">
            <w:pPr>
              <w:jc w:val="left"/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凡电话不通无法联系维保人员，1次扣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分。连续出现三次，且拒不改正，采购人有权提前终止合同。</w:t>
            </w:r>
          </w:p>
        </w:tc>
        <w:tc>
          <w:tcPr>
            <w:tcW w:w="587" w:type="pct"/>
            <w:vAlign w:val="center"/>
          </w:tcPr>
          <w:p w14:paraId="7385077B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05969BAE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48086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restart"/>
            <w:vAlign w:val="center"/>
          </w:tcPr>
          <w:p w14:paraId="1E3AD140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482" w:type="pct"/>
            <w:vMerge w:val="restart"/>
            <w:vAlign w:val="center"/>
          </w:tcPr>
          <w:p w14:paraId="2FE6DC7E">
            <w:pPr>
              <w:jc w:val="center"/>
              <w:rPr>
                <w:rStyle w:val="6"/>
                <w:rFonts w:ascii="仿宋" w:hAnsi="仿宋" w:eastAsia="仿宋" w:cs="仿宋"/>
                <w:b w:val="0"/>
                <w:bCs w:val="0"/>
                <w:color w:val="auto"/>
                <w:sz w:val="24"/>
                <w:shd w:val="clear" w:color="auto" w:fill="FFFFFF"/>
              </w:rPr>
            </w:pPr>
            <w:r>
              <w:rPr>
                <w:rStyle w:val="6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hd w:val="clear" w:color="auto" w:fill="FFFFFF"/>
              </w:rPr>
              <w:t>故障   处理</w:t>
            </w:r>
          </w:p>
          <w:p w14:paraId="0616639C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1" w:type="pct"/>
            <w:vAlign w:val="center"/>
          </w:tcPr>
          <w:p w14:paraId="68813161">
            <w:pP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现场修复率≥90%。</w:t>
            </w:r>
          </w:p>
        </w:tc>
        <w:tc>
          <w:tcPr>
            <w:tcW w:w="454" w:type="pct"/>
            <w:vAlign w:val="center"/>
          </w:tcPr>
          <w:p w14:paraId="29F217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1413" w:type="pct"/>
            <w:vAlign w:val="center"/>
          </w:tcPr>
          <w:p w14:paraId="6157BC4F">
            <w:pPr>
              <w:jc w:val="left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每低5%扣3分</w:t>
            </w:r>
          </w:p>
        </w:tc>
        <w:tc>
          <w:tcPr>
            <w:tcW w:w="587" w:type="pct"/>
            <w:vAlign w:val="center"/>
          </w:tcPr>
          <w:p w14:paraId="59D33861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555470AA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0AC61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continue"/>
            <w:vAlign w:val="center"/>
          </w:tcPr>
          <w:p w14:paraId="033D347C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2" w:type="pct"/>
            <w:vMerge w:val="continue"/>
            <w:vAlign w:val="center"/>
          </w:tcPr>
          <w:p w14:paraId="56EAD880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1" w:type="pct"/>
            <w:vAlign w:val="center"/>
          </w:tcPr>
          <w:p w14:paraId="721D578F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500" w:lineRule="exact"/>
              <w:ind w:left="0" w:leftChars="0" w:right="0" w:firstLine="0" w:firstLineChars="0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  <w:t>设备无法在现场修复的，必须在1小时内提供备件，保证工作的正常开展。</w:t>
            </w:r>
          </w:p>
        </w:tc>
        <w:tc>
          <w:tcPr>
            <w:tcW w:w="454" w:type="pct"/>
            <w:vAlign w:val="center"/>
          </w:tcPr>
          <w:p w14:paraId="1B76778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1413" w:type="pct"/>
            <w:vAlign w:val="center"/>
          </w:tcPr>
          <w:p w14:paraId="27498531">
            <w:pPr>
              <w:jc w:val="left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未按要求执行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1次扣5分</w:t>
            </w:r>
          </w:p>
        </w:tc>
        <w:tc>
          <w:tcPr>
            <w:tcW w:w="587" w:type="pct"/>
            <w:vAlign w:val="center"/>
          </w:tcPr>
          <w:p w14:paraId="0F341E1E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6EB3C086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65903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continue"/>
            <w:vAlign w:val="center"/>
          </w:tcPr>
          <w:p w14:paraId="56663BE9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2" w:type="pct"/>
            <w:vMerge w:val="continue"/>
            <w:vAlign w:val="center"/>
          </w:tcPr>
          <w:p w14:paraId="44BBD276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1" w:type="pct"/>
            <w:vAlign w:val="center"/>
          </w:tcPr>
          <w:p w14:paraId="4CB8A826"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按照医院要求配合应急处理（重大事件响应）。</w:t>
            </w:r>
          </w:p>
        </w:tc>
        <w:tc>
          <w:tcPr>
            <w:tcW w:w="454" w:type="pct"/>
            <w:vAlign w:val="center"/>
          </w:tcPr>
          <w:p w14:paraId="10AFA336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10</w:t>
            </w:r>
          </w:p>
        </w:tc>
        <w:tc>
          <w:tcPr>
            <w:tcW w:w="1413" w:type="pct"/>
            <w:vAlign w:val="center"/>
          </w:tcPr>
          <w:p w14:paraId="6204ED4F">
            <w:pPr>
              <w:jc w:val="left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未按要求配合应急处理的，1次扣10分</w:t>
            </w:r>
          </w:p>
        </w:tc>
        <w:tc>
          <w:tcPr>
            <w:tcW w:w="587" w:type="pct"/>
            <w:vAlign w:val="center"/>
          </w:tcPr>
          <w:p w14:paraId="1CF1FF5D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2855E486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4C7D8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continue"/>
            <w:vAlign w:val="center"/>
          </w:tcPr>
          <w:p w14:paraId="22BA8D1D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2" w:type="pct"/>
            <w:vMerge w:val="continue"/>
            <w:vAlign w:val="center"/>
          </w:tcPr>
          <w:p w14:paraId="4745C2A8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1" w:type="pct"/>
            <w:vAlign w:val="center"/>
          </w:tcPr>
          <w:p w14:paraId="00CB2B73">
            <w:pPr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每次故障不能因处理不当影响正常办公。</w:t>
            </w:r>
          </w:p>
        </w:tc>
        <w:tc>
          <w:tcPr>
            <w:tcW w:w="454" w:type="pct"/>
            <w:vAlign w:val="center"/>
          </w:tcPr>
          <w:p w14:paraId="444C6C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1413" w:type="pct"/>
            <w:vAlign w:val="center"/>
          </w:tcPr>
          <w:p w14:paraId="64766C18">
            <w:pPr>
              <w:jc w:val="left"/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每有1次超过24小时，扣3分，以此类推</w:t>
            </w:r>
          </w:p>
        </w:tc>
        <w:tc>
          <w:tcPr>
            <w:tcW w:w="587" w:type="pct"/>
            <w:vAlign w:val="center"/>
          </w:tcPr>
          <w:p w14:paraId="0CB8A40D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5616EEC9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6CDA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restart"/>
            <w:vAlign w:val="center"/>
          </w:tcPr>
          <w:p w14:paraId="6158B6D4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482" w:type="pct"/>
            <w:vMerge w:val="restart"/>
            <w:vAlign w:val="center"/>
          </w:tcPr>
          <w:p w14:paraId="575CE771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Style w:val="6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hd w:val="clear" w:color="auto" w:fill="FFFFFF"/>
              </w:rPr>
              <w:t>服务   质量</w:t>
            </w:r>
          </w:p>
        </w:tc>
        <w:tc>
          <w:tcPr>
            <w:tcW w:w="1361" w:type="pct"/>
            <w:vAlign w:val="center"/>
          </w:tcPr>
          <w:p w14:paraId="464634F3">
            <w:pPr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每月对服务范围内所有维保设备开展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100%巡检工作，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记录巡检情况，并由各科室签字确认。</w:t>
            </w:r>
          </w:p>
        </w:tc>
        <w:tc>
          <w:tcPr>
            <w:tcW w:w="454" w:type="pct"/>
            <w:vAlign w:val="center"/>
          </w:tcPr>
          <w:p w14:paraId="0FD4FD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1413" w:type="pct"/>
            <w:vAlign w:val="center"/>
          </w:tcPr>
          <w:p w14:paraId="65988717">
            <w:pPr>
              <w:jc w:val="left"/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每漏检1台设备扣1分；</w:t>
            </w:r>
          </w:p>
        </w:tc>
        <w:tc>
          <w:tcPr>
            <w:tcW w:w="587" w:type="pct"/>
            <w:vAlign w:val="center"/>
          </w:tcPr>
          <w:p w14:paraId="706C9277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7B4D8620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47B26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continue"/>
            <w:vAlign w:val="center"/>
          </w:tcPr>
          <w:p w14:paraId="751B3F28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2" w:type="pct"/>
            <w:vMerge w:val="continue"/>
            <w:vAlign w:val="center"/>
          </w:tcPr>
          <w:p w14:paraId="2D3CB8E6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1" w:type="pct"/>
            <w:vAlign w:val="center"/>
          </w:tcPr>
          <w:p w14:paraId="3EC9AAEB">
            <w:pPr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巡检问题处理率≥80%。</w:t>
            </w:r>
          </w:p>
        </w:tc>
        <w:tc>
          <w:tcPr>
            <w:tcW w:w="454" w:type="pct"/>
            <w:vAlign w:val="center"/>
          </w:tcPr>
          <w:p w14:paraId="423BCA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1413" w:type="pct"/>
            <w:vAlign w:val="center"/>
          </w:tcPr>
          <w:p w14:paraId="19761C6E">
            <w:pPr>
              <w:jc w:val="left"/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每低5%扣2分</w:t>
            </w:r>
          </w:p>
        </w:tc>
        <w:tc>
          <w:tcPr>
            <w:tcW w:w="587" w:type="pct"/>
            <w:vAlign w:val="center"/>
          </w:tcPr>
          <w:p w14:paraId="12C0FE98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1B66E555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4ADA5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continue"/>
            <w:vAlign w:val="center"/>
          </w:tcPr>
          <w:p w14:paraId="5DB90B77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2" w:type="pct"/>
            <w:vMerge w:val="continue"/>
            <w:vAlign w:val="center"/>
          </w:tcPr>
          <w:p w14:paraId="6A76F6F0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1" w:type="pct"/>
            <w:vAlign w:val="center"/>
          </w:tcPr>
          <w:p w14:paraId="030CCF2E">
            <w:pPr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每次故障、巡检需有详细记录。</w:t>
            </w:r>
          </w:p>
        </w:tc>
        <w:tc>
          <w:tcPr>
            <w:tcW w:w="454" w:type="pct"/>
            <w:vAlign w:val="center"/>
          </w:tcPr>
          <w:p w14:paraId="134858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1413" w:type="pct"/>
            <w:vAlign w:val="center"/>
          </w:tcPr>
          <w:p w14:paraId="5301919A">
            <w:pPr>
              <w:jc w:val="left"/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记录</w:t>
            </w:r>
            <w:r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  <w:t>不完整、不准确、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缺失1次扣2分</w:t>
            </w:r>
          </w:p>
        </w:tc>
        <w:tc>
          <w:tcPr>
            <w:tcW w:w="587" w:type="pct"/>
            <w:vAlign w:val="center"/>
          </w:tcPr>
          <w:p w14:paraId="2F00A871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2C0DF02F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5687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continue"/>
            <w:vAlign w:val="center"/>
          </w:tcPr>
          <w:p w14:paraId="11D8E2D9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2" w:type="pct"/>
            <w:vMerge w:val="continue"/>
            <w:vAlign w:val="center"/>
          </w:tcPr>
          <w:p w14:paraId="393E486F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1" w:type="pct"/>
            <w:vAlign w:val="center"/>
          </w:tcPr>
          <w:p w14:paraId="11816ADC">
            <w:pP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每次维护工作结束后由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报障部门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签署满意度,每月由信息科人员审核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eastAsia="zh-CN"/>
              </w:rPr>
              <w:t>。</w:t>
            </w:r>
          </w:p>
        </w:tc>
        <w:tc>
          <w:tcPr>
            <w:tcW w:w="454" w:type="pct"/>
            <w:vAlign w:val="center"/>
          </w:tcPr>
          <w:p w14:paraId="63B279F3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1413" w:type="pct"/>
            <w:vAlign w:val="center"/>
          </w:tcPr>
          <w:p w14:paraId="40394538">
            <w:pPr>
              <w:jc w:val="left"/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每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月满意度低于90%，扣3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分；</w:t>
            </w:r>
          </w:p>
        </w:tc>
        <w:tc>
          <w:tcPr>
            <w:tcW w:w="587" w:type="pct"/>
            <w:vAlign w:val="center"/>
          </w:tcPr>
          <w:p w14:paraId="2BB714E4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344E949A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62D4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continue"/>
            <w:vAlign w:val="center"/>
          </w:tcPr>
          <w:p w14:paraId="25DAA7A0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2" w:type="pct"/>
            <w:vMerge w:val="continue"/>
            <w:vAlign w:val="center"/>
          </w:tcPr>
          <w:p w14:paraId="41CD0343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1" w:type="pct"/>
            <w:vAlign w:val="center"/>
          </w:tcPr>
          <w:p w14:paraId="4CFD8488">
            <w:pPr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对各类设备进行维修时，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不得私自拷贝电脑及存储设备中资料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。</w:t>
            </w:r>
          </w:p>
        </w:tc>
        <w:tc>
          <w:tcPr>
            <w:tcW w:w="454" w:type="pct"/>
            <w:vAlign w:val="center"/>
          </w:tcPr>
          <w:p w14:paraId="245B2B1B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10</w:t>
            </w:r>
          </w:p>
        </w:tc>
        <w:tc>
          <w:tcPr>
            <w:tcW w:w="1413" w:type="pct"/>
            <w:vAlign w:val="center"/>
          </w:tcPr>
          <w:p w14:paraId="3B07B0B5">
            <w:pPr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发生1次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扣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分，并依法追究相关人员的法律责任。</w:t>
            </w:r>
          </w:p>
        </w:tc>
        <w:tc>
          <w:tcPr>
            <w:tcW w:w="587" w:type="pct"/>
            <w:vAlign w:val="center"/>
          </w:tcPr>
          <w:p w14:paraId="61EAD198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55FC322D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6100D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restart"/>
            <w:vAlign w:val="center"/>
          </w:tcPr>
          <w:p w14:paraId="1BB40AE3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</w:t>
            </w:r>
          </w:p>
        </w:tc>
        <w:tc>
          <w:tcPr>
            <w:tcW w:w="482" w:type="pct"/>
            <w:vMerge w:val="restart"/>
            <w:vAlign w:val="center"/>
          </w:tcPr>
          <w:p w14:paraId="574E2AB2">
            <w:pPr>
              <w:jc w:val="center"/>
              <w:rPr>
                <w:rStyle w:val="6"/>
                <w:rFonts w:ascii="仿宋" w:hAnsi="仿宋" w:eastAsia="仿宋" w:cs="仿宋"/>
                <w:b w:val="0"/>
                <w:bCs w:val="0"/>
                <w:color w:val="auto"/>
                <w:sz w:val="24"/>
                <w:shd w:val="clear" w:color="auto" w:fill="FFFFFF"/>
              </w:rPr>
            </w:pPr>
            <w:r>
              <w:rPr>
                <w:rStyle w:val="6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hd w:val="clear" w:color="auto" w:fill="FFFFFF"/>
              </w:rPr>
              <w:t>人员   管理</w:t>
            </w:r>
          </w:p>
        </w:tc>
        <w:tc>
          <w:tcPr>
            <w:tcW w:w="1361" w:type="pct"/>
            <w:vAlign w:val="center"/>
          </w:tcPr>
          <w:p w14:paraId="2E1A5D25">
            <w:pPr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驻场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运维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人员配置要求：工作日2人，节假日1人。</w:t>
            </w:r>
          </w:p>
        </w:tc>
        <w:tc>
          <w:tcPr>
            <w:tcW w:w="454" w:type="pct"/>
            <w:vAlign w:val="center"/>
          </w:tcPr>
          <w:p w14:paraId="03D56A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1413" w:type="pct"/>
            <w:vAlign w:val="center"/>
          </w:tcPr>
          <w:p w14:paraId="48646782">
            <w:pPr>
              <w:jc w:val="left"/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工作日缺岗1人扣2分/天；节假日缺岗扣5分/天</w:t>
            </w:r>
          </w:p>
        </w:tc>
        <w:tc>
          <w:tcPr>
            <w:tcW w:w="587" w:type="pct"/>
            <w:vAlign w:val="center"/>
          </w:tcPr>
          <w:p w14:paraId="3E1F9476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43ECEB72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2F108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continue"/>
            <w:vAlign w:val="center"/>
          </w:tcPr>
          <w:p w14:paraId="6DA52A76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2" w:type="pct"/>
            <w:vMerge w:val="continue"/>
            <w:vAlign w:val="center"/>
          </w:tcPr>
          <w:p w14:paraId="4D8F04F7">
            <w:pPr>
              <w:jc w:val="center"/>
              <w:rPr>
                <w:rStyle w:val="6"/>
                <w:rFonts w:ascii="仿宋" w:hAnsi="仿宋" w:eastAsia="仿宋" w:cs="仿宋"/>
                <w:b w:val="0"/>
                <w:bCs w:val="0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361" w:type="pct"/>
            <w:vAlign w:val="center"/>
          </w:tcPr>
          <w:p w14:paraId="485E606B">
            <w:pPr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工作纪律要求：驻场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运维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人员不发生迟到、早退、擅自离岗。</w:t>
            </w:r>
          </w:p>
        </w:tc>
        <w:tc>
          <w:tcPr>
            <w:tcW w:w="454" w:type="pct"/>
            <w:vAlign w:val="center"/>
          </w:tcPr>
          <w:p w14:paraId="1832BF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1413" w:type="pct"/>
            <w:vAlign w:val="center"/>
          </w:tcPr>
          <w:p w14:paraId="10CDE12E">
            <w:pPr>
              <w:jc w:val="left"/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发生1次扣2分</w:t>
            </w:r>
          </w:p>
        </w:tc>
        <w:tc>
          <w:tcPr>
            <w:tcW w:w="587" w:type="pct"/>
            <w:vAlign w:val="center"/>
          </w:tcPr>
          <w:p w14:paraId="46984217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6081D9D8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3086B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continue"/>
            <w:vAlign w:val="center"/>
          </w:tcPr>
          <w:p w14:paraId="146846CA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2" w:type="pct"/>
            <w:vMerge w:val="continue"/>
            <w:vAlign w:val="center"/>
          </w:tcPr>
          <w:p w14:paraId="762512C2">
            <w:pPr>
              <w:jc w:val="center"/>
              <w:rPr>
                <w:rStyle w:val="6"/>
                <w:rFonts w:ascii="仿宋" w:hAnsi="仿宋" w:eastAsia="仿宋" w:cs="仿宋"/>
                <w:b w:val="0"/>
                <w:bCs w:val="0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361" w:type="pct"/>
            <w:vAlign w:val="center"/>
          </w:tcPr>
          <w:p w14:paraId="5492017F">
            <w:pPr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工作态度要求：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驻场运维人员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始终保持主动积极的工作态度，对故障的解决不拖延、不回避、不推诿。</w:t>
            </w:r>
          </w:p>
        </w:tc>
        <w:tc>
          <w:tcPr>
            <w:tcW w:w="454" w:type="pct"/>
            <w:vAlign w:val="center"/>
          </w:tcPr>
          <w:p w14:paraId="0DFB24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1413" w:type="pct"/>
            <w:vAlign w:val="center"/>
          </w:tcPr>
          <w:p w14:paraId="19ADAB47">
            <w:pPr>
              <w:jc w:val="left"/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发生一次扣2分</w:t>
            </w:r>
          </w:p>
        </w:tc>
        <w:tc>
          <w:tcPr>
            <w:tcW w:w="587" w:type="pct"/>
            <w:vAlign w:val="center"/>
          </w:tcPr>
          <w:p w14:paraId="704C1129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6FC6D122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7976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" w:type="pct"/>
            <w:vMerge w:val="continue"/>
            <w:vAlign w:val="center"/>
          </w:tcPr>
          <w:p w14:paraId="6992C290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2" w:type="pct"/>
            <w:vMerge w:val="continue"/>
            <w:vAlign w:val="center"/>
          </w:tcPr>
          <w:p w14:paraId="31969C1A">
            <w:pPr>
              <w:jc w:val="center"/>
              <w:rPr>
                <w:rStyle w:val="6"/>
                <w:rFonts w:ascii="仿宋" w:hAnsi="仿宋" w:eastAsia="仿宋" w:cs="仿宋"/>
                <w:b w:val="0"/>
                <w:bCs w:val="0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361" w:type="pct"/>
            <w:vAlign w:val="center"/>
          </w:tcPr>
          <w:p w14:paraId="1A6B641C">
            <w:pPr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保密要求：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驻场运维人员工作期间严格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遵守安全保密相关规定。</w:t>
            </w:r>
          </w:p>
        </w:tc>
        <w:tc>
          <w:tcPr>
            <w:tcW w:w="454" w:type="pct"/>
            <w:vAlign w:val="center"/>
          </w:tcPr>
          <w:p w14:paraId="5E0FF0A5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10</w:t>
            </w:r>
          </w:p>
        </w:tc>
        <w:tc>
          <w:tcPr>
            <w:tcW w:w="1413" w:type="pct"/>
            <w:vAlign w:val="center"/>
          </w:tcPr>
          <w:p w14:paraId="44CA020B">
            <w:pPr>
              <w:jc w:val="left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发生一次扣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分</w:t>
            </w:r>
          </w:p>
        </w:tc>
        <w:tc>
          <w:tcPr>
            <w:tcW w:w="587" w:type="pct"/>
            <w:vAlign w:val="center"/>
          </w:tcPr>
          <w:p w14:paraId="33014677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55D4F712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4778D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5000" w:type="pct"/>
            <w:gridSpan w:val="7"/>
            <w:vAlign w:val="center"/>
          </w:tcPr>
          <w:p w14:paraId="64EC1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得分</w:t>
            </w: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eastAsia="zh-CN"/>
              </w:rPr>
              <w:t>：</w:t>
            </w:r>
          </w:p>
        </w:tc>
      </w:tr>
      <w:tr w14:paraId="3A93D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  <w:vAlign w:val="center"/>
          </w:tcPr>
          <w:p w14:paraId="4A9A53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afterLines="0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考核要求：</w:t>
            </w:r>
          </w:p>
          <w:p w14:paraId="4F0F245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/>
              <w:textAlignment w:val="auto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①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考核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得分为80分（包含80分）以上，支付当季度服务费的100%；</w:t>
            </w:r>
          </w:p>
          <w:p w14:paraId="7E10275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/>
              <w:textAlignment w:val="auto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考核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得分为70-79分（包含79分），支付当季度服务费的90%</w:t>
            </w:r>
          </w:p>
          <w:p w14:paraId="4486C0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afterLines="0"/>
              <w:ind w:firstLine="480" w:firstLineChars="200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③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考核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得分为69分（包含69分）以下按照采购人要求进行整改，整改到位后支付当季度服务费的90%；整改未到位或连续3个月得分为69分（包含69分）以下，采购人不予支付当季度服务费且有权解除合同。</w:t>
            </w:r>
          </w:p>
        </w:tc>
      </w:tr>
      <w:tr w14:paraId="1D7A1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000" w:type="pct"/>
            <w:gridSpan w:val="7"/>
            <w:vAlign w:val="center"/>
          </w:tcPr>
          <w:p w14:paraId="5B3CC9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afterLines="0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考核人签名：</w:t>
            </w:r>
          </w:p>
        </w:tc>
      </w:tr>
      <w:tr w14:paraId="561C2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5000" w:type="pct"/>
            <w:gridSpan w:val="7"/>
            <w:vAlign w:val="center"/>
          </w:tcPr>
          <w:p w14:paraId="273143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afterLines="0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供应商代表签名：</w:t>
            </w:r>
          </w:p>
        </w:tc>
      </w:tr>
    </w:tbl>
    <w:p w14:paraId="14B267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细黑">
    <w:altName w:val="微软雅黑"/>
    <w:panose1 w:val="020106000400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855B2"/>
    <w:rsid w:val="3A415C18"/>
    <w:rsid w:val="3EB8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  <w:bCs/>
    </w:rPr>
  </w:style>
  <w:style w:type="paragraph" w:customStyle="1" w:styleId="7">
    <w:name w:val="方案正文"/>
    <w:basedOn w:val="1"/>
    <w:qFormat/>
    <w:uiPriority w:val="0"/>
    <w:pPr>
      <w:spacing w:before="120"/>
      <w:ind w:firstLine="425" w:firstLineChars="177"/>
    </w:pPr>
    <w:rPr>
      <w:rFonts w:ascii="华文细黑" w:hAnsi="华文细黑" w:eastAsia="华文细黑"/>
      <w:kern w:val="0"/>
    </w:rPr>
  </w:style>
  <w:style w:type="paragraph" w:customStyle="1" w:styleId="8">
    <w:name w:val="列表段落1"/>
    <w:basedOn w:val="1"/>
    <w:qFormat/>
    <w:uiPriority w:val="0"/>
    <w:pPr>
      <w:ind w:firstLine="420" w:firstLineChars="200"/>
    </w:pPr>
    <w:rPr>
      <w:rFonts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2026-06-24T02:26:00Z</dcterms:created>
  <dc:creator>ly</dc:creator>
  <cp:lastModifiedBy>ly</cp:lastModifiedBy>
  <dcterms:modified xsi:type="dcterms:W3CDTF">2026-06-24T02:27:42Z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AF3FA87FE6294387BE44BF8B0C680ECD_11</vt:lpwstr>
  </property>
  <property fmtid="{D5CDD505-2E9C-101B-9397-08002B2CF9AE}" pid="4" name="KSOTemplateDocerSaveRecord">
    <vt:lpwstr>eyJoZGlkIjoiN2YwZmI5MTQ5N2NhNmZlYTNkMWZmNjlmMmRkOGM0YWQiLCJ1c2VySWQiOiIzMTkwMTYzMzIifQ==</vt:lpwstr>
  </property>
</Properties>
</file>