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F179EC">
      <w:pPr>
        <w:shd w:val="clear"/>
        <w:spacing w:line="480" w:lineRule="auto"/>
        <w:ind w:firstLine="420" w:firstLineChars="0"/>
        <w:jc w:val="center"/>
        <w:rPr>
          <w:rFonts w:hint="eastAsia" w:ascii="宋体" w:hAnsi="宋体" w:eastAsia="宋体" w:cs="宋体"/>
          <w:b/>
          <w:color w:val="auto"/>
          <w:sz w:val="28"/>
          <w:szCs w:val="100"/>
          <w:highlight w:val="none"/>
        </w:rPr>
      </w:pPr>
    </w:p>
    <w:p w14:paraId="242EB937">
      <w:pPr>
        <w:pStyle w:val="60"/>
        <w:shd w:val="clear"/>
        <w:rPr>
          <w:rFonts w:hint="eastAsia" w:ascii="宋体" w:hAnsi="宋体" w:eastAsia="宋体" w:cs="宋体"/>
          <w:color w:val="auto"/>
          <w:highlight w:val="none"/>
        </w:rPr>
      </w:pPr>
    </w:p>
    <w:p w14:paraId="1AD240A5">
      <w:pPr>
        <w:pStyle w:val="60"/>
        <w:shd w:val="clear"/>
        <w:ind w:left="0" w:leftChars="0" w:firstLine="0" w:firstLineChars="0"/>
        <w:jc w:val="center"/>
        <w:rPr>
          <w:rFonts w:hint="eastAsia" w:ascii="宋体" w:hAnsi="宋体" w:eastAsia="宋体" w:cs="宋体"/>
          <w:b/>
          <w:bCs/>
          <w:color w:val="auto"/>
          <w:sz w:val="36"/>
          <w:szCs w:val="44"/>
          <w:highlight w:val="none"/>
        </w:rPr>
      </w:pPr>
      <w:r>
        <w:rPr>
          <w:rFonts w:hint="eastAsia" w:ascii="宋体" w:hAnsi="宋体" w:eastAsia="宋体" w:cs="宋体"/>
          <w:b/>
          <w:bCs/>
          <w:color w:val="auto"/>
          <w:sz w:val="36"/>
          <w:szCs w:val="44"/>
          <w:highlight w:val="none"/>
        </w:rPr>
        <w:t>公共计算机机房建设-配套及标准化考场系统技术支持服务</w:t>
      </w:r>
    </w:p>
    <w:p w14:paraId="60017B0E">
      <w:pPr>
        <w:shd w:val="clear"/>
        <w:rPr>
          <w:rFonts w:hint="eastAsia" w:ascii="宋体" w:hAnsi="宋体" w:eastAsia="宋体" w:cs="宋体"/>
          <w:color w:val="auto"/>
          <w:highlight w:val="none"/>
        </w:rPr>
      </w:pPr>
    </w:p>
    <w:p w14:paraId="01355C61">
      <w:pPr>
        <w:shd w:val="clear"/>
        <w:rPr>
          <w:rFonts w:hint="eastAsia" w:ascii="宋体" w:hAnsi="宋体" w:eastAsia="宋体" w:cs="宋体"/>
          <w:color w:val="auto"/>
          <w:highlight w:val="none"/>
        </w:rPr>
      </w:pPr>
    </w:p>
    <w:p w14:paraId="07359021">
      <w:pPr>
        <w:shd w:val="clear"/>
        <w:rPr>
          <w:rFonts w:hint="eastAsia" w:ascii="宋体" w:hAnsi="宋体" w:eastAsia="宋体" w:cs="宋体"/>
          <w:color w:val="auto"/>
          <w:highlight w:val="none"/>
        </w:rPr>
      </w:pPr>
    </w:p>
    <w:p w14:paraId="688F1E49">
      <w:pPr>
        <w:shd w:val="clear"/>
        <w:rPr>
          <w:rFonts w:hint="eastAsia" w:ascii="宋体" w:hAnsi="宋体" w:eastAsia="宋体" w:cs="宋体"/>
          <w:color w:val="auto"/>
          <w:highlight w:val="none"/>
        </w:rPr>
      </w:pPr>
    </w:p>
    <w:p w14:paraId="29D60852">
      <w:pPr>
        <w:pStyle w:val="60"/>
        <w:shd w:val="clear"/>
        <w:rPr>
          <w:rFonts w:hint="eastAsia" w:ascii="宋体" w:hAnsi="宋体" w:eastAsia="宋体" w:cs="宋体"/>
          <w:color w:val="auto"/>
          <w:highlight w:val="none"/>
        </w:rPr>
      </w:pPr>
    </w:p>
    <w:p w14:paraId="1B368A9E">
      <w:pPr>
        <w:shd w:val="clear"/>
        <w:spacing w:line="276" w:lineRule="auto"/>
        <w:jc w:val="center"/>
        <w:rPr>
          <w:rFonts w:hint="eastAsia" w:ascii="宋体" w:hAnsi="宋体" w:eastAsia="宋体" w:cs="宋体"/>
          <w:b/>
          <w:bCs/>
          <w:color w:val="auto"/>
          <w:sz w:val="118"/>
          <w:szCs w:val="144"/>
          <w:highlight w:val="none"/>
        </w:rPr>
      </w:pPr>
      <w:r>
        <w:rPr>
          <w:rFonts w:hint="eastAsia" w:ascii="宋体" w:hAnsi="宋体" w:eastAsia="宋体" w:cs="宋体"/>
          <w:b/>
          <w:bCs/>
          <w:color w:val="auto"/>
          <w:sz w:val="70"/>
          <w:szCs w:val="100"/>
          <w:highlight w:val="none"/>
        </w:rPr>
        <w:t>竞争性磋商文件</w:t>
      </w:r>
    </w:p>
    <w:p w14:paraId="5439E63B">
      <w:pPr>
        <w:shd w:val="clear"/>
        <w:spacing w:line="480" w:lineRule="auto"/>
        <w:jc w:val="center"/>
        <w:rPr>
          <w:rFonts w:hint="default" w:ascii="宋体" w:hAnsi="宋体" w:eastAsia="宋体" w:cs="宋体"/>
          <w:b/>
          <w:bCs/>
          <w:color w:val="auto"/>
          <w:sz w:val="32"/>
          <w:szCs w:val="72"/>
          <w:highlight w:val="none"/>
          <w:lang w:val="en-US" w:eastAsia="zh-CN"/>
        </w:rPr>
      </w:pPr>
      <w:r>
        <w:rPr>
          <w:rFonts w:hint="eastAsia" w:ascii="宋体" w:hAnsi="宋体" w:eastAsia="宋体" w:cs="宋体"/>
          <w:b/>
          <w:bCs/>
          <w:color w:val="auto"/>
          <w:sz w:val="32"/>
          <w:szCs w:val="72"/>
          <w:highlight w:val="none"/>
          <w:lang w:val="en-US" w:eastAsia="zh-CN"/>
        </w:rPr>
        <w:t>项目编号：采购计划-[2026]-19707号</w:t>
      </w:r>
      <w:r>
        <w:rPr>
          <w:rFonts w:hint="eastAsia" w:ascii="宋体" w:hAnsi="宋体" w:cs="宋体"/>
          <w:b/>
          <w:bCs/>
          <w:color w:val="auto"/>
          <w:sz w:val="32"/>
          <w:szCs w:val="72"/>
          <w:highlight w:val="none"/>
          <w:lang w:val="en-US" w:eastAsia="zh-CN"/>
        </w:rPr>
        <w:t>-001</w:t>
      </w:r>
    </w:p>
    <w:p w14:paraId="786865BB">
      <w:pPr>
        <w:shd w:val="clear"/>
        <w:spacing w:line="276" w:lineRule="auto"/>
        <w:rPr>
          <w:rFonts w:hint="eastAsia" w:ascii="宋体" w:hAnsi="宋体" w:eastAsia="宋体" w:cs="宋体"/>
          <w:b/>
          <w:bCs/>
          <w:color w:val="auto"/>
          <w:sz w:val="30"/>
          <w:szCs w:val="36"/>
          <w:highlight w:val="none"/>
        </w:rPr>
      </w:pPr>
    </w:p>
    <w:p w14:paraId="34CD6DA2">
      <w:pPr>
        <w:shd w:val="clear"/>
        <w:spacing w:line="276" w:lineRule="auto"/>
        <w:rPr>
          <w:rFonts w:hint="eastAsia" w:ascii="宋体" w:hAnsi="宋体" w:eastAsia="宋体" w:cs="宋体"/>
          <w:b/>
          <w:bCs/>
          <w:color w:val="auto"/>
          <w:sz w:val="30"/>
          <w:szCs w:val="36"/>
          <w:highlight w:val="none"/>
        </w:rPr>
      </w:pPr>
    </w:p>
    <w:p w14:paraId="05762BC6">
      <w:pPr>
        <w:shd w:val="clear"/>
        <w:spacing w:line="276" w:lineRule="auto"/>
        <w:jc w:val="center"/>
        <w:rPr>
          <w:rFonts w:hint="eastAsia" w:ascii="宋体" w:hAnsi="宋体" w:eastAsia="宋体" w:cs="宋体"/>
          <w:b/>
          <w:bCs/>
          <w:color w:val="auto"/>
          <w:sz w:val="30"/>
          <w:szCs w:val="36"/>
          <w:highlight w:val="none"/>
        </w:rPr>
      </w:pPr>
    </w:p>
    <w:p w14:paraId="1A1DCB18">
      <w:pPr>
        <w:shd w:val="clear"/>
        <w:spacing w:line="276" w:lineRule="auto"/>
        <w:rPr>
          <w:rFonts w:hint="eastAsia" w:ascii="宋体" w:hAnsi="宋体" w:eastAsia="宋体" w:cs="宋体"/>
          <w:b/>
          <w:bCs/>
          <w:color w:val="auto"/>
          <w:sz w:val="30"/>
          <w:szCs w:val="36"/>
          <w:highlight w:val="none"/>
        </w:rPr>
      </w:pPr>
    </w:p>
    <w:p w14:paraId="2F8FAEF0">
      <w:pPr>
        <w:shd w:val="clear"/>
        <w:spacing w:line="276" w:lineRule="auto"/>
        <w:rPr>
          <w:rFonts w:hint="eastAsia" w:ascii="宋体" w:hAnsi="宋体" w:eastAsia="宋体" w:cs="宋体"/>
          <w:b/>
          <w:bCs/>
          <w:color w:val="auto"/>
          <w:sz w:val="30"/>
          <w:szCs w:val="36"/>
          <w:highlight w:val="none"/>
        </w:rPr>
      </w:pPr>
    </w:p>
    <w:p w14:paraId="2C63EEBD">
      <w:pPr>
        <w:pStyle w:val="59"/>
        <w:shd w:val="clear"/>
        <w:rPr>
          <w:rFonts w:hint="eastAsia" w:ascii="宋体" w:hAnsi="宋体" w:eastAsia="宋体" w:cs="宋体"/>
          <w:color w:val="auto"/>
          <w:highlight w:val="none"/>
        </w:rPr>
      </w:pPr>
    </w:p>
    <w:p w14:paraId="17B3C7D6">
      <w:pPr>
        <w:shd w:val="clear"/>
        <w:spacing w:line="276" w:lineRule="auto"/>
        <w:rPr>
          <w:rFonts w:hint="eastAsia" w:ascii="宋体" w:hAnsi="宋体" w:eastAsia="宋体" w:cs="宋体"/>
          <w:b/>
          <w:bCs/>
          <w:color w:val="auto"/>
          <w:sz w:val="32"/>
          <w:szCs w:val="36"/>
          <w:highlight w:val="none"/>
        </w:rPr>
      </w:pPr>
    </w:p>
    <w:p w14:paraId="7EBE2075">
      <w:pPr>
        <w:shd w:val="clear"/>
        <w:spacing w:line="276" w:lineRule="auto"/>
        <w:ind w:firstLine="723" w:firstLineChars="200"/>
        <w:rPr>
          <w:rFonts w:hint="eastAsia" w:ascii="宋体" w:hAnsi="宋体" w:eastAsia="宋体" w:cs="宋体"/>
          <w:b/>
          <w:bCs/>
          <w:color w:val="auto"/>
          <w:sz w:val="36"/>
          <w:szCs w:val="40"/>
          <w:highlight w:val="none"/>
        </w:rPr>
      </w:pPr>
    </w:p>
    <w:p w14:paraId="2BAC0A84">
      <w:pPr>
        <w:shd w:val="clear"/>
        <w:spacing w:line="276" w:lineRule="auto"/>
        <w:ind w:firstLine="723" w:firstLineChars="200"/>
        <w:rPr>
          <w:rFonts w:hint="eastAsia" w:ascii="宋体" w:hAnsi="宋体" w:eastAsia="宋体" w:cs="宋体"/>
          <w:b/>
          <w:bCs/>
          <w:color w:val="auto"/>
          <w:sz w:val="36"/>
          <w:szCs w:val="40"/>
          <w:highlight w:val="none"/>
        </w:rPr>
      </w:pPr>
    </w:p>
    <w:p w14:paraId="34F9FCBC">
      <w:pPr>
        <w:shd w:val="clear"/>
        <w:spacing w:line="276" w:lineRule="auto"/>
        <w:ind w:firstLine="723" w:firstLineChars="200"/>
        <w:rPr>
          <w:rFonts w:hint="eastAsia" w:ascii="宋体" w:hAnsi="宋体" w:eastAsia="宋体" w:cs="宋体"/>
          <w:b/>
          <w:bCs/>
          <w:color w:val="auto"/>
          <w:sz w:val="36"/>
          <w:szCs w:val="40"/>
          <w:highlight w:val="none"/>
        </w:rPr>
      </w:pPr>
    </w:p>
    <w:p w14:paraId="43A397A0">
      <w:pPr>
        <w:shd w:val="clear"/>
        <w:spacing w:line="276" w:lineRule="auto"/>
        <w:ind w:firstLine="723" w:firstLineChars="200"/>
        <w:rPr>
          <w:rFonts w:hint="default" w:ascii="宋体" w:hAnsi="宋体" w:eastAsia="宋体" w:cs="宋体"/>
          <w:b/>
          <w:bCs/>
          <w:color w:val="auto"/>
          <w:sz w:val="36"/>
          <w:szCs w:val="40"/>
          <w:highlight w:val="none"/>
          <w:lang w:val="en-US" w:eastAsia="zh-CN"/>
        </w:rPr>
      </w:pPr>
      <w:r>
        <w:rPr>
          <w:rFonts w:hint="eastAsia" w:ascii="宋体" w:hAnsi="宋体" w:eastAsia="宋体" w:cs="宋体"/>
          <w:b/>
          <w:bCs/>
          <w:color w:val="auto"/>
          <w:sz w:val="36"/>
          <w:szCs w:val="40"/>
          <w:highlight w:val="none"/>
        </w:rPr>
        <w:t>采   购   人：吉林交通职业技术学院</w:t>
      </w:r>
    </w:p>
    <w:p w14:paraId="482A8974">
      <w:pPr>
        <w:shd w:val="clear"/>
        <w:spacing w:line="276" w:lineRule="auto"/>
        <w:ind w:firstLine="723" w:firstLineChars="200"/>
        <w:rPr>
          <w:rFonts w:hint="eastAsia" w:ascii="宋体" w:hAnsi="宋体" w:eastAsia="宋体" w:cs="宋体"/>
          <w:b/>
          <w:bCs/>
          <w:color w:val="auto"/>
          <w:sz w:val="36"/>
          <w:szCs w:val="40"/>
          <w:highlight w:val="none"/>
        </w:rPr>
      </w:pPr>
    </w:p>
    <w:p w14:paraId="17E20B6A">
      <w:pPr>
        <w:shd w:val="clear"/>
        <w:spacing w:line="276" w:lineRule="auto"/>
        <w:ind w:firstLine="723" w:firstLineChars="200"/>
        <w:rPr>
          <w:rFonts w:hint="eastAsia" w:ascii="宋体" w:hAnsi="宋体" w:eastAsia="宋体" w:cs="宋体"/>
          <w:b/>
          <w:bCs/>
          <w:color w:val="auto"/>
          <w:sz w:val="36"/>
          <w:szCs w:val="40"/>
          <w:highlight w:val="none"/>
        </w:rPr>
      </w:pPr>
    </w:p>
    <w:p w14:paraId="35287DEB">
      <w:pPr>
        <w:shd w:val="clear"/>
        <w:spacing w:line="276" w:lineRule="auto"/>
        <w:ind w:firstLine="723" w:firstLineChars="200"/>
        <w:rPr>
          <w:rFonts w:hint="eastAsia" w:ascii="宋体" w:hAnsi="宋体" w:eastAsia="宋体" w:cs="宋体"/>
          <w:b/>
          <w:bCs/>
          <w:color w:val="auto"/>
          <w:sz w:val="36"/>
          <w:szCs w:val="40"/>
          <w:highlight w:val="none"/>
          <w:lang w:eastAsia="zh-CN"/>
        </w:rPr>
      </w:pPr>
      <w:r>
        <w:rPr>
          <w:rFonts w:hint="eastAsia" w:ascii="宋体" w:hAnsi="宋体" w:eastAsia="宋体" w:cs="宋体"/>
          <w:b/>
          <w:bCs/>
          <w:color w:val="auto"/>
          <w:sz w:val="36"/>
          <w:szCs w:val="40"/>
          <w:highlight w:val="none"/>
        </w:rPr>
        <w:t>采购代理公司：</w:t>
      </w:r>
      <w:r>
        <w:rPr>
          <w:rFonts w:hint="eastAsia" w:ascii="宋体" w:hAnsi="宋体" w:eastAsia="宋体" w:cs="宋体"/>
          <w:b/>
          <w:bCs/>
          <w:color w:val="auto"/>
          <w:sz w:val="36"/>
          <w:szCs w:val="40"/>
          <w:highlight w:val="none"/>
          <w:lang w:val="zh-CN"/>
        </w:rPr>
        <w:t>吉林省百利邦项目管理咨询有限公司</w:t>
      </w:r>
    </w:p>
    <w:p w14:paraId="31720545">
      <w:pPr>
        <w:shd w:val="clear"/>
        <w:spacing w:line="276" w:lineRule="auto"/>
        <w:ind w:firstLine="723" w:firstLineChars="200"/>
        <w:rPr>
          <w:rFonts w:hint="eastAsia" w:ascii="宋体" w:hAnsi="宋体" w:eastAsia="宋体" w:cs="宋体"/>
          <w:b/>
          <w:bCs/>
          <w:color w:val="auto"/>
          <w:sz w:val="36"/>
          <w:szCs w:val="40"/>
          <w:highlight w:val="none"/>
        </w:rPr>
      </w:pPr>
    </w:p>
    <w:p w14:paraId="0150BDBA">
      <w:pPr>
        <w:shd w:val="clear"/>
        <w:spacing w:line="276" w:lineRule="auto"/>
        <w:ind w:firstLine="723" w:firstLineChars="200"/>
        <w:jc w:val="center"/>
        <w:rPr>
          <w:rFonts w:hint="eastAsia" w:ascii="宋体" w:hAnsi="宋体" w:eastAsia="宋体" w:cs="宋体"/>
          <w:b/>
          <w:bCs/>
          <w:color w:val="auto"/>
          <w:sz w:val="36"/>
          <w:szCs w:val="40"/>
          <w:highlight w:val="none"/>
        </w:rPr>
        <w:sectPr>
          <w:headerReference r:id="rId5" w:type="first"/>
          <w:headerReference r:id="rId3" w:type="default"/>
          <w:headerReference r:id="rId4" w:type="even"/>
          <w:footerReference r:id="rId6" w:type="even"/>
          <w:pgSz w:w="11907" w:h="16840"/>
          <w:pgMar w:top="1417" w:right="1134" w:bottom="1134" w:left="1134" w:header="680" w:footer="1191" w:gutter="0"/>
          <w:cols w:space="720" w:num="1"/>
          <w:titlePg/>
          <w:docGrid w:linePitch="286" w:charSpace="0"/>
        </w:sectPr>
      </w:pPr>
      <w:r>
        <w:rPr>
          <w:rFonts w:hint="eastAsia" w:ascii="宋体" w:hAnsi="宋体" w:eastAsia="宋体" w:cs="宋体"/>
          <w:b/>
          <w:bCs/>
          <w:color w:val="auto"/>
          <w:sz w:val="36"/>
          <w:szCs w:val="40"/>
          <w:highlight w:val="none"/>
          <w:lang w:val="zh-CN"/>
        </w:rPr>
        <w:t>二〇二</w:t>
      </w:r>
      <w:r>
        <w:rPr>
          <w:rFonts w:hint="eastAsia" w:ascii="宋体" w:hAnsi="宋体" w:cs="宋体"/>
          <w:b/>
          <w:bCs/>
          <w:color w:val="auto"/>
          <w:sz w:val="36"/>
          <w:szCs w:val="40"/>
          <w:highlight w:val="none"/>
          <w:lang w:val="en-US" w:eastAsia="zh-CN"/>
        </w:rPr>
        <w:t>六</w:t>
      </w:r>
      <w:r>
        <w:rPr>
          <w:rFonts w:hint="eastAsia" w:ascii="宋体" w:hAnsi="宋体" w:eastAsia="宋体" w:cs="宋体"/>
          <w:b/>
          <w:bCs/>
          <w:color w:val="auto"/>
          <w:sz w:val="36"/>
          <w:szCs w:val="40"/>
          <w:highlight w:val="none"/>
          <w:lang w:val="zh-CN"/>
        </w:rPr>
        <w:t>年</w:t>
      </w:r>
      <w:r>
        <w:rPr>
          <w:rFonts w:hint="eastAsia" w:ascii="宋体" w:hAnsi="宋体" w:cs="宋体"/>
          <w:b/>
          <w:bCs/>
          <w:color w:val="auto"/>
          <w:sz w:val="36"/>
          <w:szCs w:val="40"/>
          <w:highlight w:val="none"/>
          <w:lang w:val="en-US" w:eastAsia="zh-CN"/>
        </w:rPr>
        <w:t>八</w:t>
      </w:r>
      <w:r>
        <w:rPr>
          <w:rFonts w:hint="eastAsia" w:ascii="宋体" w:hAnsi="宋体" w:eastAsia="宋体" w:cs="宋体"/>
          <w:b/>
          <w:bCs/>
          <w:color w:val="auto"/>
          <w:sz w:val="36"/>
          <w:szCs w:val="40"/>
          <w:highlight w:val="none"/>
          <w:lang w:val="zh-CN"/>
        </w:rPr>
        <w:t>月</w:t>
      </w:r>
    </w:p>
    <w:p w14:paraId="1BE90AC6">
      <w:pPr>
        <w:shd w:val="clear"/>
        <w:spacing w:line="276" w:lineRule="auto"/>
        <w:rPr>
          <w:rFonts w:hint="eastAsia" w:ascii="宋体" w:hAnsi="宋体" w:eastAsia="宋体" w:cs="宋体"/>
          <w:b/>
          <w:bCs/>
          <w:color w:val="auto"/>
          <w:sz w:val="32"/>
          <w:szCs w:val="32"/>
          <w:highlight w:val="none"/>
        </w:rPr>
      </w:pPr>
    </w:p>
    <w:p w14:paraId="54311678">
      <w:pPr>
        <w:pStyle w:val="51"/>
        <w:shd w:val="clear"/>
        <w:ind w:left="0"/>
        <w:jc w:val="center"/>
        <w:rPr>
          <w:rFonts w:hint="eastAsia" w:ascii="宋体" w:hAnsi="宋体" w:eastAsia="宋体" w:cs="宋体"/>
          <w:color w:val="auto"/>
          <w:sz w:val="40"/>
          <w:highlight w:val="none"/>
        </w:rPr>
      </w:pPr>
      <w:r>
        <w:rPr>
          <w:rFonts w:hint="eastAsia" w:ascii="宋体" w:hAnsi="宋体" w:eastAsia="宋体" w:cs="宋体"/>
          <w:color w:val="auto"/>
          <w:sz w:val="40"/>
          <w:highlight w:val="none"/>
        </w:rPr>
        <w:t>目   录</w:t>
      </w:r>
    </w:p>
    <w:p w14:paraId="6922A6D5">
      <w:pPr>
        <w:shd w:val="clear"/>
        <w:rPr>
          <w:rFonts w:hint="eastAsia" w:ascii="宋体" w:hAnsi="宋体" w:eastAsia="宋体" w:cs="宋体"/>
          <w:color w:val="auto"/>
          <w:highlight w:val="none"/>
        </w:rPr>
      </w:pPr>
    </w:p>
    <w:p w14:paraId="0463F2B1">
      <w:pPr>
        <w:shd w:val="clear"/>
        <w:jc w:val="distribute"/>
        <w:rPr>
          <w:rFonts w:hint="eastAsia" w:ascii="宋体" w:hAnsi="宋体" w:eastAsia="宋体" w:cs="宋体"/>
          <w:color w:val="auto"/>
          <w:highlight w:val="none"/>
        </w:rPr>
      </w:pPr>
    </w:p>
    <w:p w14:paraId="06115B2A">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TOC \o "1-4" \h \z \u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"_Toc465069550"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第一章 竞争性磋商公告</w:t>
      </w:r>
      <w:r>
        <w:rPr>
          <w:rFonts w:hint="eastAsia" w:ascii="宋体" w:hAnsi="宋体" w:eastAsia="宋体" w:cs="宋体"/>
          <w:color w:val="auto"/>
          <w:highlight w:val="none"/>
        </w:rPr>
        <w:fldChar w:fldCharType="end"/>
      </w:r>
    </w:p>
    <w:p w14:paraId="0B9F077B">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"_Toc465069551"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第二章 竞争性磋商文件</w:t>
      </w:r>
      <w:r>
        <w:rPr>
          <w:rFonts w:hint="eastAsia" w:ascii="宋体" w:hAnsi="宋体" w:eastAsia="宋体" w:cs="宋体"/>
          <w:color w:val="auto"/>
          <w:highlight w:val="none"/>
        </w:rPr>
        <w:fldChar w:fldCharType="end"/>
      </w:r>
    </w:p>
    <w:p w14:paraId="36B7FFEE">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t>（一）竞争性磋商须知前附表</w:t>
      </w:r>
    </w:p>
    <w:p w14:paraId="283BA47E">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"_Toc465069553"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（二）供应商须知</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 xml:space="preserve"> </w:t>
      </w:r>
    </w:p>
    <w:p w14:paraId="704FB297">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第三章 磋商评审细则 </w:t>
      </w:r>
    </w:p>
    <w:p w14:paraId="6CDFCA50">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"_Toc465069568"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第四章 合同条款及格式</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 xml:space="preserve"> </w:t>
      </w:r>
    </w:p>
    <w:p w14:paraId="341E2B1E">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"_Toc465069604"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 xml:space="preserve">第五章 </w:t>
      </w:r>
      <w:r>
        <w:rPr>
          <w:rFonts w:hint="eastAsia" w:ascii="宋体" w:hAnsi="宋体" w:eastAsia="宋体" w:cs="宋体"/>
          <w:color w:val="auto"/>
          <w:highlight w:val="none"/>
          <w:lang w:val="en-US" w:eastAsia="zh-CN"/>
        </w:rPr>
        <w:t>技术</w:t>
      </w:r>
      <w:r>
        <w:rPr>
          <w:rFonts w:hint="eastAsia" w:ascii="宋体" w:hAnsi="宋体" w:eastAsia="宋体" w:cs="宋体"/>
          <w:color w:val="auto"/>
          <w:highlight w:val="none"/>
        </w:rPr>
        <w:fldChar w:fldCharType="end"/>
      </w:r>
      <w:r>
        <w:rPr>
          <w:rFonts w:hint="eastAsia" w:ascii="宋体" w:hAnsi="宋体" w:eastAsia="宋体" w:cs="宋体"/>
          <w:color w:val="auto"/>
          <w:highlight w:val="none"/>
          <w:lang w:val="en-US" w:eastAsia="zh-CN"/>
        </w:rPr>
        <w:t>标准与要求</w:t>
      </w:r>
      <w:r>
        <w:rPr>
          <w:rFonts w:hint="eastAsia" w:ascii="宋体" w:hAnsi="宋体" w:eastAsia="宋体" w:cs="宋体"/>
          <w:color w:val="auto"/>
          <w:highlight w:val="none"/>
        </w:rPr>
        <w:t xml:space="preserve"> </w:t>
      </w:r>
    </w:p>
    <w:p w14:paraId="2AF82D1D">
      <w:pPr>
        <w:pStyle w:val="51"/>
        <w:shd w:val="clear"/>
        <w:spacing w:line="480" w:lineRule="auto"/>
        <w:ind w:left="0" w:firstLine="643" w:firstLineChars="200"/>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"_Toc465069607"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第六章 磋商响应文件格式</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 xml:space="preserve"> </w:t>
      </w:r>
    </w:p>
    <w:p w14:paraId="5B081850">
      <w:pPr>
        <w:pStyle w:val="51"/>
        <w:shd w:val="clear"/>
        <w:spacing w:line="480" w:lineRule="auto"/>
        <w:ind w:left="0"/>
        <w:rPr>
          <w:rFonts w:hint="eastAsia" w:ascii="宋体" w:hAnsi="宋体" w:eastAsia="宋体" w:cs="宋体"/>
          <w:color w:val="auto"/>
          <w:highlight w:val="none"/>
        </w:rPr>
      </w:pPr>
      <w:r>
        <w:rPr>
          <w:rFonts w:hint="eastAsia" w:ascii="宋体" w:hAnsi="宋体" w:eastAsia="宋体" w:cs="宋体"/>
          <w:color w:val="auto"/>
          <w:highlight w:val="none"/>
        </w:rPr>
        <w:fldChar w:fldCharType="end"/>
      </w:r>
    </w:p>
    <w:p w14:paraId="129EE676">
      <w:pPr>
        <w:shd w:val="clear"/>
        <w:jc w:val="distribute"/>
        <w:rPr>
          <w:rFonts w:hint="eastAsia" w:ascii="宋体" w:hAnsi="宋体" w:eastAsia="宋体" w:cs="宋体"/>
          <w:color w:val="auto"/>
          <w:highlight w:val="none"/>
        </w:rPr>
      </w:pPr>
    </w:p>
    <w:p w14:paraId="79A6D279">
      <w:pPr>
        <w:shd w:val="clear"/>
        <w:jc w:val="distribute"/>
        <w:rPr>
          <w:rFonts w:hint="eastAsia" w:ascii="宋体" w:hAnsi="宋体" w:eastAsia="宋体" w:cs="宋体"/>
          <w:color w:val="auto"/>
          <w:highlight w:val="none"/>
        </w:rPr>
      </w:pPr>
    </w:p>
    <w:p w14:paraId="5A39CE49">
      <w:pPr>
        <w:shd w:val="clear"/>
        <w:jc w:val="distribute"/>
        <w:rPr>
          <w:rFonts w:hint="eastAsia" w:ascii="宋体" w:hAnsi="宋体" w:eastAsia="宋体" w:cs="宋体"/>
          <w:color w:val="auto"/>
          <w:highlight w:val="none"/>
        </w:rPr>
      </w:pPr>
    </w:p>
    <w:p w14:paraId="48E09C06">
      <w:pPr>
        <w:shd w:val="clear"/>
        <w:jc w:val="distribute"/>
        <w:rPr>
          <w:rFonts w:hint="eastAsia" w:ascii="宋体" w:hAnsi="宋体" w:eastAsia="宋体" w:cs="宋体"/>
          <w:color w:val="auto"/>
          <w:highlight w:val="none"/>
        </w:rPr>
      </w:pPr>
    </w:p>
    <w:p w14:paraId="287C10AA">
      <w:pPr>
        <w:shd w:val="clear"/>
        <w:jc w:val="distribute"/>
        <w:rPr>
          <w:rFonts w:hint="eastAsia" w:ascii="宋体" w:hAnsi="宋体" w:eastAsia="宋体" w:cs="宋体"/>
          <w:color w:val="auto"/>
          <w:highlight w:val="none"/>
        </w:rPr>
      </w:pPr>
    </w:p>
    <w:p w14:paraId="087B884E">
      <w:pPr>
        <w:shd w:val="clear"/>
        <w:autoSpaceDE w:val="0"/>
        <w:autoSpaceDN w:val="0"/>
        <w:adjustRightInd w:val="0"/>
        <w:snapToGrid w:val="0"/>
        <w:spacing w:before="120" w:beforeLines="50" w:after="120" w:afterLines="50" w:line="312" w:lineRule="auto"/>
        <w:jc w:val="distribute"/>
        <w:rPr>
          <w:rFonts w:hint="eastAsia" w:ascii="宋体" w:hAnsi="宋体" w:eastAsia="宋体" w:cs="宋体"/>
          <w:color w:val="auto"/>
          <w:sz w:val="24"/>
          <w:highlight w:val="none"/>
          <w:u w:val="single"/>
        </w:rPr>
      </w:pPr>
    </w:p>
    <w:p w14:paraId="79217A6A">
      <w:pPr>
        <w:shd w:val="clear"/>
        <w:autoSpaceDE w:val="0"/>
        <w:autoSpaceDN w:val="0"/>
        <w:adjustRightInd w:val="0"/>
        <w:snapToGrid w:val="0"/>
        <w:spacing w:before="120" w:beforeLines="50" w:after="120" w:afterLines="50" w:line="312" w:lineRule="auto"/>
        <w:jc w:val="distribute"/>
        <w:rPr>
          <w:rFonts w:hint="eastAsia" w:ascii="宋体" w:hAnsi="宋体" w:eastAsia="宋体" w:cs="宋体"/>
          <w:color w:val="auto"/>
          <w:sz w:val="24"/>
          <w:highlight w:val="none"/>
          <w:u w:val="single"/>
        </w:rPr>
      </w:pPr>
    </w:p>
    <w:p w14:paraId="1AC2F1AE">
      <w:pPr>
        <w:shd w:val="clear"/>
        <w:autoSpaceDE w:val="0"/>
        <w:autoSpaceDN w:val="0"/>
        <w:adjustRightInd w:val="0"/>
        <w:snapToGrid w:val="0"/>
        <w:spacing w:before="120" w:beforeLines="50" w:after="120" w:afterLines="50" w:line="312" w:lineRule="auto"/>
        <w:jc w:val="distribute"/>
        <w:rPr>
          <w:rFonts w:hint="eastAsia" w:ascii="宋体" w:hAnsi="宋体" w:eastAsia="宋体" w:cs="宋体"/>
          <w:color w:val="auto"/>
          <w:sz w:val="24"/>
          <w:highlight w:val="none"/>
          <w:u w:val="single"/>
        </w:rPr>
      </w:pPr>
    </w:p>
    <w:p w14:paraId="094470FC">
      <w:pPr>
        <w:shd w:val="clear"/>
        <w:autoSpaceDE w:val="0"/>
        <w:autoSpaceDN w:val="0"/>
        <w:adjustRightInd w:val="0"/>
        <w:snapToGrid w:val="0"/>
        <w:spacing w:before="120" w:beforeLines="50" w:after="120" w:afterLines="50" w:line="312" w:lineRule="auto"/>
        <w:jc w:val="distribute"/>
        <w:rPr>
          <w:rFonts w:hint="eastAsia" w:ascii="宋体" w:hAnsi="宋体" w:eastAsia="宋体" w:cs="宋体"/>
          <w:color w:val="auto"/>
          <w:sz w:val="24"/>
          <w:highlight w:val="none"/>
          <w:u w:val="single"/>
        </w:rPr>
      </w:pPr>
    </w:p>
    <w:p w14:paraId="6DF1DD66">
      <w:pPr>
        <w:shd w:val="clear"/>
        <w:autoSpaceDE w:val="0"/>
        <w:autoSpaceDN w:val="0"/>
        <w:adjustRightInd w:val="0"/>
        <w:snapToGrid w:val="0"/>
        <w:spacing w:before="120" w:beforeLines="50" w:after="120" w:afterLines="50" w:line="312" w:lineRule="auto"/>
        <w:jc w:val="distribute"/>
        <w:rPr>
          <w:rFonts w:hint="eastAsia" w:ascii="宋体" w:hAnsi="宋体" w:eastAsia="宋体" w:cs="宋体"/>
          <w:color w:val="auto"/>
          <w:sz w:val="24"/>
          <w:highlight w:val="none"/>
          <w:u w:val="single"/>
        </w:rPr>
      </w:pPr>
    </w:p>
    <w:p w14:paraId="5FFC45F2">
      <w:pPr>
        <w:shd w:val="clear"/>
        <w:autoSpaceDE w:val="0"/>
        <w:autoSpaceDN w:val="0"/>
        <w:adjustRightInd w:val="0"/>
        <w:snapToGrid w:val="0"/>
        <w:spacing w:before="120" w:beforeLines="50" w:after="120" w:afterLines="50" w:line="312" w:lineRule="auto"/>
        <w:jc w:val="left"/>
        <w:rPr>
          <w:rFonts w:hint="eastAsia" w:ascii="宋体" w:hAnsi="宋体" w:eastAsia="宋体" w:cs="宋体"/>
          <w:color w:val="auto"/>
          <w:sz w:val="24"/>
          <w:highlight w:val="none"/>
          <w:u w:val="single"/>
        </w:rPr>
      </w:pPr>
    </w:p>
    <w:p w14:paraId="1D426929">
      <w:pPr>
        <w:shd w:val="clear"/>
        <w:adjustRightInd w:val="0"/>
        <w:snapToGrid w:val="0"/>
        <w:spacing w:line="360" w:lineRule="auto"/>
        <w:rPr>
          <w:rFonts w:hint="eastAsia" w:ascii="宋体" w:hAnsi="宋体" w:eastAsia="宋体" w:cs="宋体"/>
          <w:b/>
          <w:bCs/>
          <w:color w:val="auto"/>
          <w:sz w:val="48"/>
          <w:szCs w:val="48"/>
          <w:highlight w:val="none"/>
        </w:rPr>
        <w:sectPr>
          <w:footerReference r:id="rId8" w:type="first"/>
          <w:footerReference r:id="rId7" w:type="default"/>
          <w:pgSz w:w="11907" w:h="16840"/>
          <w:pgMar w:top="1417" w:right="1134" w:bottom="1134" w:left="1050" w:header="680" w:footer="1191" w:gutter="0"/>
          <w:pgNumType w:fmt="decimal" w:start="1"/>
          <w:cols w:space="720" w:num="1"/>
          <w:docGrid w:linePitch="286" w:charSpace="0"/>
        </w:sectPr>
      </w:pPr>
    </w:p>
    <w:p w14:paraId="19F67160">
      <w:pPr>
        <w:pStyle w:val="3"/>
        <w:shd w:val="clear"/>
        <w:spacing w:line="276" w:lineRule="auto"/>
        <w:rPr>
          <w:rFonts w:hint="eastAsia" w:ascii="宋体" w:hAnsi="宋体" w:eastAsia="宋体" w:cs="宋体"/>
          <w:color w:val="auto"/>
          <w:sz w:val="40"/>
          <w:highlight w:val="none"/>
        </w:rPr>
      </w:pPr>
      <w:bookmarkStart w:id="0" w:name="_Toc465069550"/>
      <w:bookmarkStart w:id="1" w:name="_Toc10757"/>
      <w:r>
        <w:rPr>
          <w:rFonts w:hint="eastAsia" w:ascii="宋体" w:hAnsi="宋体" w:eastAsia="宋体" w:cs="宋体"/>
          <w:color w:val="auto"/>
          <w:sz w:val="40"/>
          <w:highlight w:val="none"/>
        </w:rPr>
        <w:t>第一章 竞争性磋商公告</w:t>
      </w:r>
      <w:bookmarkEnd w:id="0"/>
    </w:p>
    <w:bookmarkEnd w:id="1"/>
    <w:p w14:paraId="5FB0A0B4">
      <w:pPr>
        <w:pStyle w:val="324"/>
        <w:shd w:val="clear" w:color="auto"/>
        <w:spacing w:before="0" w:beforeAutospacing="0" w:after="0" w:afterAutospacing="0"/>
        <w:jc w:val="center"/>
        <w:outlineLvl w:val="0"/>
        <w:rPr>
          <w:rStyle w:val="64"/>
          <w:rFonts w:hint="eastAsia" w:eastAsia="宋体"/>
          <w:color w:val="auto"/>
          <w:sz w:val="28"/>
          <w:szCs w:val="28"/>
          <w:highlight w:val="none"/>
          <w:lang w:val="en-US" w:eastAsia="zh-CN"/>
        </w:rPr>
      </w:pPr>
      <w:bookmarkStart w:id="2" w:name="_Toc465069551"/>
      <w:bookmarkStart w:id="3" w:name="_Toc73"/>
      <w:r>
        <w:rPr>
          <w:rStyle w:val="64"/>
          <w:rFonts w:hint="eastAsia"/>
          <w:color w:val="auto"/>
          <w:sz w:val="28"/>
          <w:szCs w:val="28"/>
          <w:highlight w:val="none"/>
        </w:rPr>
        <w:t>公共计算机机房建设</w:t>
      </w:r>
      <w:r>
        <w:rPr>
          <w:rStyle w:val="64"/>
          <w:rFonts w:hint="eastAsia"/>
          <w:color w:val="auto"/>
          <w:sz w:val="28"/>
          <w:szCs w:val="28"/>
          <w:highlight w:val="none"/>
          <w:lang w:val="en-US" w:eastAsia="zh-CN"/>
        </w:rPr>
        <w:t>-配套及标准化考场系统技术支持服务</w:t>
      </w:r>
    </w:p>
    <w:p w14:paraId="0B403C57">
      <w:pPr>
        <w:pStyle w:val="324"/>
        <w:shd w:val="clear" w:color="auto"/>
        <w:spacing w:before="0" w:beforeAutospacing="0" w:after="0" w:afterAutospacing="0"/>
        <w:jc w:val="center"/>
        <w:outlineLvl w:val="0"/>
        <w:rPr>
          <w:rStyle w:val="64"/>
          <w:rFonts w:hint="eastAsia"/>
          <w:color w:val="auto"/>
          <w:sz w:val="32"/>
          <w:szCs w:val="32"/>
          <w:highlight w:val="none"/>
        </w:rPr>
      </w:pPr>
      <w:r>
        <w:rPr>
          <w:rStyle w:val="64"/>
          <w:rFonts w:hint="eastAsia"/>
          <w:color w:val="auto"/>
          <w:sz w:val="28"/>
          <w:szCs w:val="28"/>
          <w:highlight w:val="none"/>
        </w:rPr>
        <w:t>竞争性磋商公告</w:t>
      </w:r>
    </w:p>
    <w:p w14:paraId="477C57DD">
      <w:pPr>
        <w:pBdr>
          <w:top w:val="single" w:color="auto" w:sz="4" w:space="1"/>
          <w:left w:val="single" w:color="auto" w:sz="4" w:space="4"/>
          <w:bottom w:val="single" w:color="auto" w:sz="4" w:space="1"/>
          <w:right w:val="single" w:color="auto" w:sz="4" w:space="4"/>
        </w:pBdr>
        <w:shd w:val="clear"/>
        <w:spacing w:line="400" w:lineRule="exact"/>
        <w:rPr>
          <w:rFonts w:hint="eastAsia" w:ascii="宋体" w:hAnsi="宋体" w:cs="宋体"/>
          <w:color w:val="auto"/>
          <w:szCs w:val="21"/>
          <w:highlight w:val="none"/>
        </w:rPr>
      </w:pPr>
      <w:r>
        <w:rPr>
          <w:rFonts w:hint="eastAsia" w:ascii="宋体" w:hAnsi="宋体" w:cs="宋体"/>
          <w:color w:val="auto"/>
          <w:szCs w:val="21"/>
          <w:highlight w:val="none"/>
        </w:rPr>
        <w:t>项目概况</w:t>
      </w:r>
    </w:p>
    <w:p w14:paraId="18E2A49D">
      <w:pPr>
        <w:keepNext w:val="0"/>
        <w:keepLines w:val="0"/>
        <w:pageBreakBefore w:val="0"/>
        <w:widowControl w:val="0"/>
        <w:pBdr>
          <w:top w:val="single" w:color="auto" w:sz="4" w:space="1"/>
          <w:left w:val="single" w:color="auto" w:sz="4" w:space="4"/>
          <w:bottom w:val="single" w:color="auto" w:sz="4" w:space="1"/>
          <w:right w:val="single" w:color="auto" w:sz="4" w:space="4"/>
        </w:pBdr>
        <w:shd w:val="clear"/>
        <w:kinsoku/>
        <w:wordWrap w:val="0"/>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olor w:val="auto"/>
          <w:szCs w:val="21"/>
          <w:highlight w:val="none"/>
        </w:rPr>
        <w:t>公共计算机机房建设的潜在投标人应在政采云平台（网址：http:/</w:t>
      </w:r>
      <w:r>
        <w:rPr>
          <w:rFonts w:hint="eastAsia" w:ascii="宋体" w:hAnsi="宋体"/>
          <w:color w:val="auto"/>
          <w:szCs w:val="21"/>
          <w:highlight w:val="none"/>
          <w:u w:val="none"/>
        </w:rPr>
        <w:t>/</w:t>
      </w:r>
      <w:r>
        <w:rPr>
          <w:rFonts w:hint="eastAsia"/>
          <w:color w:val="auto"/>
          <w:highlight w:val="none"/>
          <w:u w:val="none"/>
        </w:rPr>
        <w:t>www.zcygov.cn）获取招标文件</w:t>
      </w:r>
      <w:r>
        <w:rPr>
          <w:rFonts w:hint="eastAsia"/>
          <w:color w:val="auto"/>
          <w:highlight w:val="none"/>
          <w:u w:val="none"/>
          <w:lang w:eastAsia="zh-CN"/>
        </w:rPr>
        <w:t>，</w:t>
      </w:r>
      <w:r>
        <w:rPr>
          <w:rFonts w:hint="eastAsia"/>
          <w:color w:val="auto"/>
          <w:highlight w:val="none"/>
          <w:u w:val="none"/>
          <w:lang w:val="en-US" w:eastAsia="zh-CN"/>
        </w:rPr>
        <w:t>并于2026年</w:t>
      </w:r>
      <w:r>
        <w:rPr>
          <w:rStyle w:val="73"/>
          <w:rFonts w:hint="eastAsia"/>
          <w:color w:val="auto"/>
          <w:highlight w:val="none"/>
          <w:u w:val="none"/>
          <w:lang w:val="en-US" w:eastAsia="zh-CN"/>
        </w:rPr>
        <w:t>9</w:t>
      </w:r>
      <w:r>
        <w:rPr>
          <w:rStyle w:val="73"/>
          <w:rFonts w:hint="eastAsia"/>
          <w:color w:val="auto"/>
          <w:highlight w:val="none"/>
          <w:u w:val="none"/>
        </w:rPr>
        <w:t>月</w:t>
      </w:r>
      <w:r>
        <w:rPr>
          <w:rStyle w:val="73"/>
          <w:rFonts w:hint="eastAsia"/>
          <w:color w:val="auto"/>
          <w:highlight w:val="none"/>
          <w:u w:val="none"/>
          <w:lang w:val="en-US" w:eastAsia="zh-CN"/>
        </w:rPr>
        <w:t>8</w:t>
      </w:r>
      <w:r>
        <w:rPr>
          <w:rStyle w:val="73"/>
          <w:rFonts w:hint="eastAsia"/>
          <w:color w:val="auto"/>
          <w:highlight w:val="none"/>
          <w:u w:val="none"/>
        </w:rPr>
        <w:t>日</w:t>
      </w:r>
      <w:r>
        <w:rPr>
          <w:rStyle w:val="73"/>
          <w:rFonts w:hint="eastAsia"/>
          <w:color w:val="auto"/>
          <w:highlight w:val="none"/>
          <w:u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分（北京时间）前递交投标文件。</w:t>
      </w:r>
    </w:p>
    <w:p w14:paraId="1F1FE5A4">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bookmarkStart w:id="4" w:name="_Toc35393621"/>
      <w:bookmarkStart w:id="5" w:name="_Toc28359002"/>
      <w:bookmarkStart w:id="6" w:name="_Toc28359079"/>
      <w:bookmarkStart w:id="7" w:name="_Toc35393790"/>
      <w:bookmarkStart w:id="8" w:name="_Hlk24379207"/>
      <w:r>
        <w:rPr>
          <w:rStyle w:val="64"/>
          <w:rFonts w:hint="eastAsia"/>
          <w:color w:val="auto"/>
          <w:sz w:val="21"/>
          <w:szCs w:val="21"/>
          <w:highlight w:val="none"/>
        </w:rPr>
        <w:t>一、项目基本情况</w:t>
      </w:r>
      <w:bookmarkEnd w:id="4"/>
      <w:bookmarkEnd w:id="5"/>
      <w:bookmarkEnd w:id="6"/>
      <w:bookmarkEnd w:id="7"/>
    </w:p>
    <w:bookmarkEnd w:id="8"/>
    <w:p w14:paraId="31EF5B18">
      <w:pPr>
        <w:pStyle w:val="324"/>
        <w:shd w:val="clear" w:color="auto"/>
        <w:spacing w:before="0" w:beforeAutospacing="0" w:after="0" w:afterAutospacing="0" w:line="360" w:lineRule="auto"/>
        <w:ind w:firstLine="420" w:firstLineChars="200"/>
        <w:jc w:val="both"/>
        <w:rPr>
          <w:rStyle w:val="64"/>
          <w:rFonts w:hint="eastAsia" w:eastAsia="宋体"/>
          <w:b w:val="0"/>
          <w:color w:val="auto"/>
          <w:sz w:val="21"/>
          <w:szCs w:val="21"/>
          <w:highlight w:val="none"/>
          <w:lang w:eastAsia="zh-CN"/>
        </w:rPr>
      </w:pPr>
      <w:r>
        <w:rPr>
          <w:rStyle w:val="64"/>
          <w:rFonts w:hint="eastAsia" w:eastAsia="宋体"/>
          <w:b w:val="0"/>
          <w:color w:val="auto"/>
          <w:sz w:val="21"/>
          <w:szCs w:val="21"/>
          <w:highlight w:val="none"/>
          <w:lang w:eastAsia="zh-CN"/>
        </w:rPr>
        <w:t>政府采购计划编号：采购计划-[2026]-19707号</w:t>
      </w:r>
    </w:p>
    <w:p w14:paraId="7C3FAA56">
      <w:pPr>
        <w:pStyle w:val="324"/>
        <w:shd w:val="clear" w:color="auto"/>
        <w:spacing w:before="0" w:beforeAutospacing="0" w:after="0" w:afterAutospacing="0" w:line="360" w:lineRule="auto"/>
        <w:ind w:firstLine="420" w:firstLineChars="200"/>
        <w:jc w:val="both"/>
        <w:rPr>
          <w:rStyle w:val="64"/>
          <w:rFonts w:hint="eastAsia" w:eastAsia="宋体"/>
          <w:b w:val="0"/>
          <w:color w:val="auto"/>
          <w:sz w:val="21"/>
          <w:szCs w:val="21"/>
          <w:highlight w:val="none"/>
          <w:lang w:eastAsia="zh-CN"/>
        </w:rPr>
      </w:pPr>
      <w:r>
        <w:rPr>
          <w:rStyle w:val="64"/>
          <w:rFonts w:hint="eastAsia" w:eastAsia="宋体"/>
          <w:b w:val="0"/>
          <w:color w:val="auto"/>
          <w:sz w:val="21"/>
          <w:szCs w:val="21"/>
          <w:highlight w:val="none"/>
          <w:lang w:eastAsia="zh-CN"/>
        </w:rPr>
        <w:t>项目编号：采购计划-[2026]-19707号-001</w:t>
      </w:r>
    </w:p>
    <w:p w14:paraId="663A653B">
      <w:pPr>
        <w:pStyle w:val="324"/>
        <w:shd w:val="clear" w:color="auto"/>
        <w:spacing w:before="0" w:beforeAutospacing="0" w:after="0" w:afterAutospacing="0" w:line="360" w:lineRule="auto"/>
        <w:ind w:firstLine="420" w:firstLineChars="200"/>
        <w:jc w:val="both"/>
        <w:rPr>
          <w:rStyle w:val="64"/>
          <w:rFonts w:hint="eastAsia" w:eastAsia="宋体"/>
          <w:b w:val="0"/>
          <w:color w:val="auto"/>
          <w:sz w:val="21"/>
          <w:szCs w:val="21"/>
          <w:highlight w:val="none"/>
          <w:lang w:val="en-US" w:eastAsia="zh-CN"/>
        </w:rPr>
      </w:pPr>
      <w:r>
        <w:rPr>
          <w:rStyle w:val="64"/>
          <w:rFonts w:hint="eastAsia"/>
          <w:b w:val="0"/>
          <w:color w:val="auto"/>
          <w:sz w:val="21"/>
          <w:szCs w:val="21"/>
          <w:highlight w:val="none"/>
        </w:rPr>
        <w:t>项目名称：公共计算机机房建设</w:t>
      </w:r>
      <w:r>
        <w:rPr>
          <w:rFonts w:hint="eastAsia"/>
          <w:color w:val="auto"/>
          <w:highlight w:val="none"/>
          <w:lang w:val="en-US" w:eastAsia="zh-CN"/>
        </w:rPr>
        <w:t>-配套及标准化考场系统技术支持服务</w:t>
      </w:r>
    </w:p>
    <w:p w14:paraId="06345570">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 xml:space="preserve">采购方式：竞争性磋商 </w:t>
      </w:r>
    </w:p>
    <w:p w14:paraId="08345C87">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预算金额：</w:t>
      </w:r>
      <w:r>
        <w:rPr>
          <w:rFonts w:hint="eastAsia" w:ascii="宋体" w:cs="Times New Roman"/>
          <w:color w:val="auto"/>
          <w:highlight w:val="none"/>
          <w:lang w:val="en-US" w:eastAsia="zh-CN"/>
        </w:rPr>
        <w:t>560000元</w:t>
      </w:r>
    </w:p>
    <w:p w14:paraId="026AFF5F">
      <w:pPr>
        <w:pStyle w:val="324"/>
        <w:shd w:val="clear" w:color="auto"/>
        <w:spacing w:before="0" w:beforeAutospacing="0" w:after="0" w:afterAutospacing="0" w:line="360" w:lineRule="auto"/>
        <w:ind w:firstLine="420" w:firstLineChars="200"/>
        <w:jc w:val="both"/>
        <w:rPr>
          <w:rStyle w:val="64"/>
          <w:rFonts w:hint="eastAsia"/>
          <w:b w:val="0"/>
          <w:bCs w:val="0"/>
          <w:color w:val="auto"/>
          <w:sz w:val="21"/>
          <w:szCs w:val="21"/>
          <w:highlight w:val="none"/>
        </w:rPr>
      </w:pPr>
      <w:r>
        <w:rPr>
          <w:rStyle w:val="64"/>
          <w:rFonts w:hint="eastAsia"/>
          <w:b w:val="0"/>
          <w:bCs w:val="0"/>
          <w:color w:val="auto"/>
          <w:sz w:val="21"/>
          <w:szCs w:val="21"/>
          <w:highlight w:val="none"/>
        </w:rPr>
        <w:t>采购需求：公共计算机机房建设-配套及标准化考场系统技术支持服务，详细内容详见</w:t>
      </w:r>
      <w:r>
        <w:rPr>
          <w:rFonts w:hint="eastAsia" w:ascii="宋体" w:hAnsi="宋体" w:eastAsia="宋体" w:cs="宋体"/>
          <w:color w:val="auto"/>
          <w:szCs w:val="21"/>
          <w:highlight w:val="none"/>
          <w:lang w:val="en-US" w:eastAsia="zh-CN"/>
        </w:rPr>
        <w:t>竞争性磋商文件</w:t>
      </w:r>
    </w:p>
    <w:p w14:paraId="0484719A">
      <w:pPr>
        <w:pStyle w:val="324"/>
        <w:shd w:val="clear" w:color="auto"/>
        <w:spacing w:before="0" w:beforeAutospacing="0" w:after="0" w:afterAutospacing="0" w:line="360" w:lineRule="auto"/>
        <w:ind w:firstLine="420" w:firstLineChars="200"/>
        <w:jc w:val="both"/>
        <w:rPr>
          <w:rFonts w:hint="default" w:ascii="宋体" w:hAnsi="宋体" w:cs="宋体"/>
          <w:color w:val="auto"/>
          <w:kern w:val="0"/>
          <w:szCs w:val="21"/>
          <w:highlight w:val="none"/>
          <w:lang w:val="en-US" w:eastAsia="zh-CN"/>
        </w:rPr>
      </w:pPr>
      <w:r>
        <w:rPr>
          <w:rStyle w:val="64"/>
          <w:rFonts w:hint="eastAsia"/>
          <w:b w:val="0"/>
          <w:bCs w:val="0"/>
          <w:color w:val="auto"/>
          <w:sz w:val="21"/>
          <w:szCs w:val="21"/>
          <w:highlight w:val="none"/>
        </w:rPr>
        <w:t>合同履行期限：采购合同签订之日起</w:t>
      </w:r>
      <w:r>
        <w:rPr>
          <w:rStyle w:val="64"/>
          <w:rFonts w:hint="eastAsia"/>
          <w:b w:val="0"/>
          <w:bCs w:val="0"/>
          <w:color w:val="auto"/>
          <w:sz w:val="21"/>
          <w:szCs w:val="21"/>
          <w:highlight w:val="none"/>
          <w:lang w:val="en-US" w:eastAsia="zh-CN"/>
        </w:rPr>
        <w:t>30</w:t>
      </w:r>
      <w:r>
        <w:rPr>
          <w:rStyle w:val="64"/>
          <w:rFonts w:hint="eastAsia"/>
          <w:b w:val="0"/>
          <w:bCs w:val="0"/>
          <w:color w:val="auto"/>
          <w:sz w:val="21"/>
          <w:szCs w:val="21"/>
          <w:highlight w:val="none"/>
        </w:rPr>
        <w:t>天内</w:t>
      </w:r>
      <w:r>
        <w:rPr>
          <w:rFonts w:hint="eastAsia" w:ascii="宋体" w:hAnsi="宋体" w:cs="宋体"/>
          <w:color w:val="auto"/>
          <w:kern w:val="0"/>
          <w:szCs w:val="21"/>
          <w:highlight w:val="none"/>
          <w:lang w:val="en-US" w:eastAsia="zh-CN"/>
        </w:rPr>
        <w:t>供货，并完成安装调试</w:t>
      </w:r>
    </w:p>
    <w:p w14:paraId="4B735450">
      <w:pPr>
        <w:pStyle w:val="324"/>
        <w:shd w:val="clear" w:color="auto"/>
        <w:spacing w:before="0" w:beforeAutospacing="0" w:after="0" w:afterAutospacing="0" w:line="360" w:lineRule="auto"/>
        <w:ind w:firstLine="420" w:firstLineChars="200"/>
        <w:jc w:val="both"/>
        <w:rPr>
          <w:rFonts w:hint="default" w:ascii="宋体" w:hAnsi="宋体" w:cs="宋体"/>
          <w:color w:val="auto"/>
          <w:kern w:val="0"/>
          <w:szCs w:val="21"/>
          <w:highlight w:val="none"/>
          <w:lang w:val="en-US" w:eastAsia="zh-CN"/>
        </w:rPr>
      </w:pPr>
      <w:r>
        <w:rPr>
          <w:rFonts w:hint="eastAsia" w:ascii="宋体" w:hAnsi="宋体" w:eastAsia="宋体" w:cs="宋体"/>
          <w:color w:val="auto"/>
          <w:highlight w:val="none"/>
        </w:rPr>
        <w:t>质量标准：合格</w:t>
      </w:r>
    </w:p>
    <w:p w14:paraId="7D4D338D">
      <w:pPr>
        <w:pStyle w:val="324"/>
        <w:shd w:val="clear" w:color="auto"/>
        <w:spacing w:before="0" w:beforeAutospacing="0" w:after="0" w:afterAutospacing="0" w:line="360" w:lineRule="auto"/>
        <w:ind w:firstLine="420" w:firstLineChars="200"/>
        <w:jc w:val="both"/>
        <w:rPr>
          <w:rStyle w:val="64"/>
          <w:rFonts w:hint="eastAsia"/>
          <w:b w:val="0"/>
          <w:bCs w:val="0"/>
          <w:color w:val="auto"/>
          <w:sz w:val="21"/>
          <w:szCs w:val="21"/>
          <w:highlight w:val="none"/>
        </w:rPr>
      </w:pPr>
      <w:bookmarkStart w:id="9" w:name="_Toc28359080"/>
      <w:bookmarkStart w:id="10" w:name="_Toc35393622"/>
      <w:bookmarkStart w:id="11" w:name="_Toc28359003"/>
      <w:bookmarkStart w:id="12" w:name="_Toc35393791"/>
      <w:r>
        <w:rPr>
          <w:rStyle w:val="64"/>
          <w:rFonts w:hint="eastAsia"/>
          <w:b w:val="0"/>
          <w:bCs w:val="0"/>
          <w:color w:val="auto"/>
          <w:sz w:val="21"/>
          <w:szCs w:val="21"/>
          <w:highlight w:val="none"/>
        </w:rPr>
        <w:t>本项目不接受联合体</w:t>
      </w:r>
      <w:r>
        <w:rPr>
          <w:rStyle w:val="64"/>
          <w:rFonts w:hint="eastAsia"/>
          <w:b w:val="0"/>
          <w:bCs w:val="0"/>
          <w:color w:val="auto"/>
          <w:sz w:val="21"/>
          <w:szCs w:val="21"/>
          <w:highlight w:val="none"/>
          <w:lang w:val="en-US" w:eastAsia="zh-CN"/>
        </w:rPr>
        <w:t>投标</w:t>
      </w:r>
    </w:p>
    <w:p w14:paraId="49E80C27">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二、申请人的资格要求：</w:t>
      </w:r>
      <w:bookmarkEnd w:id="9"/>
      <w:bookmarkEnd w:id="10"/>
      <w:bookmarkEnd w:id="11"/>
      <w:bookmarkEnd w:id="12"/>
    </w:p>
    <w:p w14:paraId="20026F08">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1.满足《中华人民共和国政府采购法》第二十二条规定；</w:t>
      </w:r>
    </w:p>
    <w:p w14:paraId="6F0CDB6C">
      <w:pPr>
        <w:shd w:val="clear"/>
        <w:spacing w:line="400" w:lineRule="exact"/>
        <w:ind w:firstLine="420" w:firstLineChars="200"/>
        <w:rPr>
          <w:rStyle w:val="64"/>
          <w:rFonts w:hint="eastAsia" w:ascii="宋体" w:hAnsi="宋体" w:eastAsia="宋体" w:cs="宋体"/>
          <w:b w:val="0"/>
          <w:color w:val="auto"/>
          <w:sz w:val="21"/>
          <w:szCs w:val="21"/>
          <w:highlight w:val="none"/>
        </w:rPr>
      </w:pPr>
      <w:bookmarkStart w:id="13" w:name="_Toc28359004"/>
      <w:bookmarkStart w:id="14" w:name="_Toc28359081"/>
      <w:r>
        <w:rPr>
          <w:rStyle w:val="64"/>
          <w:rFonts w:hint="eastAsia"/>
          <w:b w:val="0"/>
          <w:color w:val="auto"/>
          <w:sz w:val="21"/>
          <w:szCs w:val="21"/>
          <w:highlight w:val="none"/>
        </w:rPr>
        <w:t>2.落实政府</w:t>
      </w:r>
      <w:r>
        <w:rPr>
          <w:rStyle w:val="64"/>
          <w:rFonts w:hint="eastAsia" w:ascii="宋体" w:hAnsi="宋体" w:eastAsia="宋体" w:cs="宋体"/>
          <w:b w:val="0"/>
          <w:color w:val="auto"/>
          <w:sz w:val="21"/>
          <w:szCs w:val="21"/>
          <w:highlight w:val="none"/>
        </w:rPr>
        <w:t>采购政策需满足的资格要求：</w:t>
      </w:r>
    </w:p>
    <w:p w14:paraId="18D21409">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（1）本项目为</w:t>
      </w:r>
      <w:r>
        <w:rPr>
          <w:rStyle w:val="64"/>
          <w:rFonts w:hint="eastAsia" w:cs="Times New Roman"/>
          <w:b w:val="0"/>
          <w:bCs w:val="0"/>
          <w:color w:val="auto"/>
          <w:sz w:val="21"/>
          <w:szCs w:val="21"/>
          <w:highlight w:val="none"/>
          <w:lang w:val="en-US" w:eastAsia="zh-CN"/>
        </w:rPr>
        <w:t>非</w:t>
      </w:r>
      <w:r>
        <w:rPr>
          <w:rStyle w:val="64"/>
          <w:rFonts w:hint="eastAsia" w:ascii="Times New Roman" w:hAnsi="Times New Roman" w:eastAsia="宋体" w:cs="Times New Roman"/>
          <w:b w:val="0"/>
          <w:bCs w:val="0"/>
          <w:color w:val="auto"/>
          <w:sz w:val="21"/>
          <w:szCs w:val="21"/>
          <w:highlight w:val="none"/>
        </w:rPr>
        <w:t>专门面向中小企业的采购项目；</w:t>
      </w:r>
    </w:p>
    <w:p w14:paraId="3C5B12E5">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（2）依据《中华人民共和国政府采购法》及《中华人民共和国政府采购法实施条例》的有关规定，落实政府采购政策，详见竞争性磋商文件。</w:t>
      </w:r>
    </w:p>
    <w:p w14:paraId="2AA82371">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①《政府采购促进中小企业发展管理办法》（财库[2020]46号）；</w:t>
      </w:r>
    </w:p>
    <w:p w14:paraId="3C7FB6AC">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②《关于进一步加大政府采购支持中小企业力度的通知》财库〔2022〕19号；</w:t>
      </w:r>
    </w:p>
    <w:p w14:paraId="0243D5C1">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③《财政部司法部关于政府采购支持监狱企业发展有关问题的通知》（财库[2014]68号）；</w:t>
      </w:r>
    </w:p>
    <w:p w14:paraId="30212B37">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④《关于促进残疾人就业政府采购政策的通知》（财库〔2017〕141号）；</w:t>
      </w:r>
    </w:p>
    <w:p w14:paraId="29DA9BA5">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⑤《关于调整优化节能产品、环境标志产品政府采购执行机制的通知》（财库[2019]9号）</w:t>
      </w:r>
      <w:bookmarkStart w:id="15" w:name="_Toc35393623"/>
      <w:bookmarkStart w:id="16" w:name="_Toc35393792"/>
      <w:r>
        <w:rPr>
          <w:rStyle w:val="64"/>
          <w:rFonts w:hint="eastAsia" w:ascii="Times New Roman" w:hAnsi="Times New Roman" w:eastAsia="宋体" w:cs="Times New Roman"/>
          <w:b w:val="0"/>
          <w:bCs w:val="0"/>
          <w:color w:val="auto"/>
          <w:sz w:val="21"/>
          <w:szCs w:val="21"/>
          <w:highlight w:val="none"/>
        </w:rPr>
        <w:t>；</w:t>
      </w:r>
    </w:p>
    <w:p w14:paraId="6EEE787C">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⑥《国务院办公厅关于在政府采购中实施本国产品标准及相关政策的通知》（国办发〔2025〕34号）等国家最新政策。</w:t>
      </w:r>
    </w:p>
    <w:p w14:paraId="4C33BD0C">
      <w:pPr>
        <w:pStyle w:val="324"/>
        <w:shd w:val="clear" w:color="auto"/>
        <w:spacing w:before="0" w:beforeAutospacing="0" w:after="0" w:afterAutospacing="0" w:line="360" w:lineRule="auto"/>
        <w:ind w:firstLine="420" w:firstLineChars="200"/>
        <w:jc w:val="both"/>
        <w:rPr>
          <w:rStyle w:val="64"/>
          <w:rFonts w:hint="eastAsia" w:ascii="宋体" w:hAnsi="宋体" w:eastAsia="宋体" w:cs="宋体"/>
          <w:b w:val="0"/>
          <w:color w:val="auto"/>
          <w:sz w:val="21"/>
          <w:szCs w:val="21"/>
          <w:highlight w:val="none"/>
        </w:rPr>
      </w:pPr>
      <w:r>
        <w:rPr>
          <w:rStyle w:val="64"/>
          <w:rFonts w:hint="eastAsia" w:ascii="宋体" w:hAnsi="宋体" w:eastAsia="宋体" w:cs="宋体"/>
          <w:b w:val="0"/>
          <w:color w:val="auto"/>
          <w:sz w:val="21"/>
          <w:szCs w:val="21"/>
          <w:highlight w:val="none"/>
        </w:rPr>
        <w:t>3.本项目的特定资格要求：</w:t>
      </w:r>
    </w:p>
    <w:p w14:paraId="3B91066E">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（1）投标人须是在中国境内注册具有独立承担民事责任能力的独立法人或其他组织形式，具备有效的营业执照，具有履行合同所必需的设备和专业技术能力；</w:t>
      </w:r>
    </w:p>
    <w:p w14:paraId="0594D421">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2）具有良好的商业信誉和健全的财务会计制度，财务状况良好，具有经会计师事务所或审计机构出具的财务审计报告（提供近三年（2023年－2025年）任意一年的财务审计报告）或具有其基本开户银行出具的《资信证明书》；</w:t>
      </w:r>
    </w:p>
    <w:p w14:paraId="2925F2C5">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（3）具有近半年（202</w:t>
      </w:r>
      <w:r>
        <w:rPr>
          <w:rStyle w:val="64"/>
          <w:rFonts w:hint="eastAsia" w:cs="Times New Roman"/>
          <w:b w:val="0"/>
          <w:bCs w:val="0"/>
          <w:color w:val="auto"/>
          <w:sz w:val="21"/>
          <w:szCs w:val="21"/>
          <w:highlight w:val="none"/>
          <w:lang w:val="en-US" w:eastAsia="zh-CN"/>
        </w:rPr>
        <w:t>6</w:t>
      </w:r>
      <w:r>
        <w:rPr>
          <w:rStyle w:val="64"/>
          <w:rFonts w:hint="eastAsia" w:ascii="Times New Roman" w:hAnsi="Times New Roman" w:eastAsia="宋体" w:cs="Times New Roman"/>
          <w:b w:val="0"/>
          <w:bCs w:val="0"/>
          <w:color w:val="auto"/>
          <w:sz w:val="21"/>
          <w:szCs w:val="21"/>
          <w:highlight w:val="none"/>
        </w:rPr>
        <w:t>年</w:t>
      </w:r>
      <w:r>
        <w:rPr>
          <w:rStyle w:val="64"/>
          <w:rFonts w:hint="eastAsia" w:cs="Times New Roman"/>
          <w:b w:val="0"/>
          <w:bCs w:val="0"/>
          <w:color w:val="auto"/>
          <w:sz w:val="21"/>
          <w:szCs w:val="21"/>
          <w:highlight w:val="none"/>
          <w:lang w:val="en-US" w:eastAsia="zh-CN"/>
        </w:rPr>
        <w:t>1</w:t>
      </w:r>
      <w:r>
        <w:rPr>
          <w:rStyle w:val="64"/>
          <w:rFonts w:hint="eastAsia" w:ascii="Times New Roman" w:hAnsi="Times New Roman" w:eastAsia="宋体" w:cs="Times New Roman"/>
          <w:b w:val="0"/>
          <w:bCs w:val="0"/>
          <w:color w:val="auto"/>
          <w:sz w:val="21"/>
          <w:szCs w:val="21"/>
          <w:highlight w:val="none"/>
        </w:rPr>
        <w:t>月－至今）任意一个月依法缴纳税收的相关材料（提供纳税证明材料）；</w:t>
      </w:r>
    </w:p>
    <w:p w14:paraId="63990D55">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（4）具有近半年（202</w:t>
      </w:r>
      <w:r>
        <w:rPr>
          <w:rStyle w:val="64"/>
          <w:rFonts w:hint="eastAsia" w:cs="Times New Roman"/>
          <w:b w:val="0"/>
          <w:bCs w:val="0"/>
          <w:color w:val="auto"/>
          <w:sz w:val="21"/>
          <w:szCs w:val="21"/>
          <w:highlight w:val="none"/>
          <w:lang w:val="en-US" w:eastAsia="zh-CN"/>
        </w:rPr>
        <w:t>6</w:t>
      </w:r>
      <w:r>
        <w:rPr>
          <w:rStyle w:val="64"/>
          <w:rFonts w:hint="eastAsia" w:ascii="Times New Roman" w:hAnsi="Times New Roman" w:eastAsia="宋体" w:cs="Times New Roman"/>
          <w:b w:val="0"/>
          <w:bCs w:val="0"/>
          <w:color w:val="auto"/>
          <w:sz w:val="21"/>
          <w:szCs w:val="21"/>
          <w:highlight w:val="none"/>
        </w:rPr>
        <w:t>年</w:t>
      </w:r>
      <w:r>
        <w:rPr>
          <w:rStyle w:val="64"/>
          <w:rFonts w:hint="eastAsia" w:cs="Times New Roman"/>
          <w:b w:val="0"/>
          <w:bCs w:val="0"/>
          <w:color w:val="auto"/>
          <w:sz w:val="21"/>
          <w:szCs w:val="21"/>
          <w:highlight w:val="none"/>
          <w:lang w:val="en-US" w:eastAsia="zh-CN"/>
        </w:rPr>
        <w:t>1</w:t>
      </w:r>
      <w:r>
        <w:rPr>
          <w:rStyle w:val="64"/>
          <w:rFonts w:hint="eastAsia" w:ascii="Times New Roman" w:hAnsi="Times New Roman" w:eastAsia="宋体" w:cs="Times New Roman"/>
          <w:b w:val="0"/>
          <w:bCs w:val="0"/>
          <w:color w:val="auto"/>
          <w:sz w:val="21"/>
          <w:szCs w:val="21"/>
          <w:highlight w:val="none"/>
        </w:rPr>
        <w:t>月－至今）任意一个月依法缴纳社会保障资金的相关材料（提供社会保障资金缴纳证明材料）；</w:t>
      </w:r>
    </w:p>
    <w:p w14:paraId="7297F3F1">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（5）参加政府采购活动前三年内在经营活动中没有重大违法记录；</w:t>
      </w:r>
    </w:p>
    <w:p w14:paraId="4C060F99">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（6）投标人近三年（2023年1月1日－至今）内投标人、法定代表人未在“中国裁判文书网”（www.wenshu.court.gov.cn）有行贿犯罪记录；</w:t>
      </w:r>
    </w:p>
    <w:p w14:paraId="75F3F833">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（7）拒绝列入政府取消投标资格记录期间的企业或个人投标；</w:t>
      </w:r>
    </w:p>
    <w:p w14:paraId="2DFD6158">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（8）投标人不能列入失信被执行人、重大税收违法案件当事人名单、政府采购严重违法失信行为记录名单（详见财库〔2016〕125号）；</w:t>
      </w:r>
    </w:p>
    <w:p w14:paraId="726655CD">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（9）拒绝在国家企业信用信息公示系统中列入严重违法失信企业名单的参与投标；</w:t>
      </w:r>
    </w:p>
    <w:p w14:paraId="21327486">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10）与招标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p w14:paraId="13FD0465">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三、获取采购文件</w:t>
      </w:r>
      <w:bookmarkEnd w:id="13"/>
      <w:bookmarkEnd w:id="14"/>
      <w:bookmarkEnd w:id="15"/>
      <w:bookmarkEnd w:id="16"/>
    </w:p>
    <w:p w14:paraId="15FF2680">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时间：202</w:t>
      </w:r>
      <w:r>
        <w:rPr>
          <w:rStyle w:val="64"/>
          <w:rFonts w:hint="eastAsia"/>
          <w:b w:val="0"/>
          <w:color w:val="auto"/>
          <w:sz w:val="21"/>
          <w:szCs w:val="21"/>
          <w:highlight w:val="none"/>
          <w:lang w:val="en-US" w:eastAsia="zh-CN"/>
        </w:rPr>
        <w:t>6</w:t>
      </w:r>
      <w:r>
        <w:rPr>
          <w:rStyle w:val="64"/>
          <w:rFonts w:hint="eastAsia"/>
          <w:b w:val="0"/>
          <w:color w:val="auto"/>
          <w:sz w:val="21"/>
          <w:szCs w:val="21"/>
          <w:highlight w:val="none"/>
        </w:rPr>
        <w:t>年</w:t>
      </w:r>
      <w:r>
        <w:rPr>
          <w:rStyle w:val="64"/>
          <w:rFonts w:hint="eastAsia"/>
          <w:b w:val="0"/>
          <w:color w:val="auto"/>
          <w:sz w:val="21"/>
          <w:szCs w:val="21"/>
          <w:highlight w:val="none"/>
          <w:lang w:val="en-US" w:eastAsia="zh-CN"/>
        </w:rPr>
        <w:t>8</w:t>
      </w:r>
      <w:r>
        <w:rPr>
          <w:rStyle w:val="64"/>
          <w:rFonts w:hint="eastAsia"/>
          <w:b w:val="0"/>
          <w:color w:val="auto"/>
          <w:sz w:val="21"/>
          <w:szCs w:val="21"/>
          <w:highlight w:val="none"/>
        </w:rPr>
        <w:t>月</w:t>
      </w:r>
      <w:r>
        <w:rPr>
          <w:rStyle w:val="64"/>
          <w:rFonts w:hint="eastAsia"/>
          <w:b w:val="0"/>
          <w:color w:val="auto"/>
          <w:sz w:val="21"/>
          <w:szCs w:val="21"/>
          <w:highlight w:val="none"/>
          <w:lang w:val="en-US" w:eastAsia="zh-CN"/>
        </w:rPr>
        <w:t>25</w:t>
      </w:r>
      <w:r>
        <w:rPr>
          <w:rStyle w:val="64"/>
          <w:rFonts w:hint="eastAsia"/>
          <w:b w:val="0"/>
          <w:color w:val="auto"/>
          <w:sz w:val="21"/>
          <w:szCs w:val="21"/>
          <w:highlight w:val="none"/>
        </w:rPr>
        <w:t>日至202</w:t>
      </w:r>
      <w:r>
        <w:rPr>
          <w:rStyle w:val="64"/>
          <w:rFonts w:hint="eastAsia"/>
          <w:b w:val="0"/>
          <w:color w:val="auto"/>
          <w:sz w:val="21"/>
          <w:szCs w:val="21"/>
          <w:highlight w:val="none"/>
          <w:lang w:val="en-US" w:eastAsia="zh-CN"/>
        </w:rPr>
        <w:t>6</w:t>
      </w:r>
      <w:r>
        <w:rPr>
          <w:rStyle w:val="64"/>
          <w:rFonts w:hint="eastAsia"/>
          <w:b w:val="0"/>
          <w:color w:val="auto"/>
          <w:sz w:val="21"/>
          <w:szCs w:val="21"/>
          <w:highlight w:val="none"/>
        </w:rPr>
        <w:t>年</w:t>
      </w:r>
      <w:r>
        <w:rPr>
          <w:rStyle w:val="64"/>
          <w:rFonts w:hint="eastAsia"/>
          <w:b w:val="0"/>
          <w:color w:val="auto"/>
          <w:sz w:val="21"/>
          <w:szCs w:val="21"/>
          <w:highlight w:val="none"/>
          <w:lang w:val="en-US" w:eastAsia="zh-CN"/>
        </w:rPr>
        <w:t>9</w:t>
      </w:r>
      <w:r>
        <w:rPr>
          <w:rStyle w:val="64"/>
          <w:rFonts w:hint="eastAsia"/>
          <w:b w:val="0"/>
          <w:color w:val="auto"/>
          <w:sz w:val="21"/>
          <w:szCs w:val="21"/>
          <w:highlight w:val="none"/>
        </w:rPr>
        <w:t>月</w:t>
      </w:r>
      <w:r>
        <w:rPr>
          <w:rStyle w:val="64"/>
          <w:rFonts w:hint="eastAsia"/>
          <w:b w:val="0"/>
          <w:color w:val="auto"/>
          <w:sz w:val="21"/>
          <w:szCs w:val="21"/>
          <w:highlight w:val="none"/>
          <w:lang w:val="en-US" w:eastAsia="zh-CN"/>
        </w:rPr>
        <w:t>1</w:t>
      </w:r>
      <w:r>
        <w:rPr>
          <w:rStyle w:val="64"/>
          <w:rFonts w:hint="eastAsia"/>
          <w:b w:val="0"/>
          <w:color w:val="auto"/>
          <w:sz w:val="21"/>
          <w:szCs w:val="21"/>
          <w:highlight w:val="none"/>
        </w:rPr>
        <w:t>日，每天0</w:t>
      </w:r>
      <w:r>
        <w:rPr>
          <w:rStyle w:val="64"/>
          <w:rFonts w:hint="eastAsia"/>
          <w:b w:val="0"/>
          <w:color w:val="auto"/>
          <w:sz w:val="21"/>
          <w:szCs w:val="21"/>
          <w:highlight w:val="none"/>
          <w:lang w:val="en-US" w:eastAsia="zh-CN"/>
        </w:rPr>
        <w:t>0</w:t>
      </w:r>
      <w:r>
        <w:rPr>
          <w:rStyle w:val="64"/>
          <w:rFonts w:hint="eastAsia"/>
          <w:b w:val="0"/>
          <w:color w:val="auto"/>
          <w:sz w:val="21"/>
          <w:szCs w:val="21"/>
          <w:highlight w:val="none"/>
        </w:rPr>
        <w:t>:00至</w:t>
      </w:r>
      <w:r>
        <w:rPr>
          <w:rStyle w:val="64"/>
          <w:rFonts w:hint="eastAsia"/>
          <w:b w:val="0"/>
          <w:color w:val="auto"/>
          <w:sz w:val="21"/>
          <w:szCs w:val="21"/>
          <w:highlight w:val="none"/>
          <w:lang w:val="en-US" w:eastAsia="zh-CN"/>
        </w:rPr>
        <w:t>23</w:t>
      </w:r>
      <w:r>
        <w:rPr>
          <w:rStyle w:val="64"/>
          <w:rFonts w:hint="eastAsia"/>
          <w:b w:val="0"/>
          <w:color w:val="auto"/>
          <w:sz w:val="21"/>
          <w:szCs w:val="21"/>
          <w:highlight w:val="none"/>
        </w:rPr>
        <w:t>:</w:t>
      </w:r>
      <w:r>
        <w:rPr>
          <w:rStyle w:val="64"/>
          <w:rFonts w:hint="eastAsia"/>
          <w:b w:val="0"/>
          <w:color w:val="auto"/>
          <w:sz w:val="21"/>
          <w:szCs w:val="21"/>
          <w:highlight w:val="none"/>
          <w:lang w:val="en-US" w:eastAsia="zh-CN"/>
        </w:rPr>
        <w:t>59</w:t>
      </w:r>
      <w:r>
        <w:rPr>
          <w:rStyle w:val="64"/>
          <w:rFonts w:hint="eastAsia"/>
          <w:b w:val="0"/>
          <w:color w:val="auto"/>
          <w:sz w:val="21"/>
          <w:szCs w:val="21"/>
          <w:highlight w:val="none"/>
        </w:rPr>
        <w:t xml:space="preserve">（北京时间，法定节假日除外）； </w:t>
      </w:r>
    </w:p>
    <w:p w14:paraId="78348397">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地点：政府采购云平台（网址：http:// www.zcygov.cn）；</w:t>
      </w:r>
    </w:p>
    <w:p w14:paraId="7B250F4F">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方式：网上免费获取。潜在供应商可自行在“政采云”平台（网址：http：//www.zcygov.cn）下载</w:t>
      </w:r>
      <w:r>
        <w:rPr>
          <w:rFonts w:hint="eastAsia" w:ascii="宋体" w:hAnsi="宋体" w:cs="宋体"/>
          <w:color w:val="auto"/>
          <w:highlight w:val="none"/>
        </w:rPr>
        <w:t>采购文件</w:t>
      </w:r>
      <w:r>
        <w:rPr>
          <w:rStyle w:val="64"/>
          <w:rFonts w:hint="eastAsia"/>
          <w:b w:val="0"/>
          <w:color w:val="auto"/>
          <w:sz w:val="21"/>
          <w:szCs w:val="21"/>
          <w:highlight w:val="none"/>
        </w:rPr>
        <w:t>（操作路径：登录“政采云”平台-项目采购-获取采购文件-找到本项目-点击“申请获取采购文件”），其他途径获取的采购文件开标时一律按无效投标处理。</w:t>
      </w:r>
    </w:p>
    <w:p w14:paraId="3EF7DF37">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售价：0元。</w:t>
      </w:r>
    </w:p>
    <w:p w14:paraId="0C5511E7">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bookmarkStart w:id="17" w:name="_Toc35393624"/>
      <w:bookmarkStart w:id="18" w:name="_Toc28359082"/>
      <w:bookmarkStart w:id="19" w:name="_Toc35393793"/>
      <w:bookmarkStart w:id="20" w:name="_Toc28359005"/>
      <w:r>
        <w:rPr>
          <w:rStyle w:val="64"/>
          <w:rFonts w:hint="eastAsia"/>
          <w:color w:val="auto"/>
          <w:sz w:val="21"/>
          <w:szCs w:val="21"/>
          <w:highlight w:val="none"/>
        </w:rPr>
        <w:t>四、</w:t>
      </w:r>
      <w:bookmarkEnd w:id="17"/>
      <w:bookmarkEnd w:id="18"/>
      <w:bookmarkEnd w:id="19"/>
      <w:bookmarkEnd w:id="20"/>
      <w:r>
        <w:rPr>
          <w:rStyle w:val="64"/>
          <w:rFonts w:hint="eastAsia"/>
          <w:color w:val="auto"/>
          <w:sz w:val="21"/>
          <w:szCs w:val="21"/>
          <w:highlight w:val="none"/>
        </w:rPr>
        <w:t>响应文件提交</w:t>
      </w:r>
    </w:p>
    <w:p w14:paraId="3C6A6F3A">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截止时间：</w:t>
      </w:r>
      <w:r>
        <w:rPr>
          <w:rFonts w:hint="eastAsia"/>
          <w:color w:val="auto"/>
          <w:highlight w:val="none"/>
          <w:u w:val="none"/>
          <w:lang w:val="en-US" w:eastAsia="zh-CN"/>
        </w:rPr>
        <w:t>2026年</w:t>
      </w:r>
      <w:r>
        <w:rPr>
          <w:rStyle w:val="73"/>
          <w:rFonts w:hint="eastAsia"/>
          <w:color w:val="auto"/>
          <w:highlight w:val="none"/>
          <w:u w:val="none"/>
          <w:lang w:val="en-US" w:eastAsia="zh-CN"/>
        </w:rPr>
        <w:t>9</w:t>
      </w:r>
      <w:r>
        <w:rPr>
          <w:rStyle w:val="73"/>
          <w:rFonts w:hint="eastAsia"/>
          <w:color w:val="auto"/>
          <w:highlight w:val="none"/>
          <w:u w:val="none"/>
        </w:rPr>
        <w:t>月</w:t>
      </w:r>
      <w:r>
        <w:rPr>
          <w:rStyle w:val="73"/>
          <w:rFonts w:hint="eastAsia"/>
          <w:color w:val="auto"/>
          <w:highlight w:val="none"/>
          <w:u w:val="none"/>
          <w:lang w:val="en-US" w:eastAsia="zh-CN"/>
        </w:rPr>
        <w:t>8</w:t>
      </w:r>
      <w:r>
        <w:rPr>
          <w:rStyle w:val="73"/>
          <w:rFonts w:hint="eastAsia"/>
          <w:color w:val="auto"/>
          <w:highlight w:val="none"/>
          <w:u w:val="none"/>
        </w:rPr>
        <w:t>日</w:t>
      </w:r>
      <w:r>
        <w:rPr>
          <w:rStyle w:val="73"/>
          <w:rFonts w:hint="eastAsia"/>
          <w:color w:val="auto"/>
          <w:highlight w:val="none"/>
          <w:u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w:t>
      </w:r>
      <w:r>
        <w:rPr>
          <w:rStyle w:val="64"/>
          <w:rFonts w:hint="eastAsia"/>
          <w:b w:val="0"/>
          <w:color w:val="auto"/>
          <w:sz w:val="21"/>
          <w:szCs w:val="21"/>
          <w:highlight w:val="none"/>
        </w:rPr>
        <w:t>（北京时间）。</w:t>
      </w:r>
    </w:p>
    <w:p w14:paraId="3CAC00D8">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bookmarkStart w:id="21" w:name="_Toc28359084"/>
      <w:bookmarkStart w:id="22" w:name="_Toc28359007"/>
      <w:bookmarkStart w:id="23" w:name="_Toc35393794"/>
      <w:bookmarkStart w:id="24" w:name="_Toc35393625"/>
      <w:r>
        <w:rPr>
          <w:rStyle w:val="64"/>
          <w:rFonts w:hint="eastAsia" w:ascii="Times New Roman" w:hAnsi="Times New Roman" w:eastAsia="宋体" w:cs="Times New Roman"/>
          <w:b w:val="0"/>
          <w:bCs w:val="0"/>
          <w:color w:val="auto"/>
          <w:sz w:val="21"/>
          <w:szCs w:val="21"/>
          <w:highlight w:val="none"/>
        </w:rPr>
        <w:t>地点：南关区人民大街9999号吉林省公共资源交易中心4楼开标区开标仓-16室（供应商无须到现场）</w:t>
      </w:r>
      <w:r>
        <w:rPr>
          <w:rStyle w:val="64"/>
          <w:rFonts w:hint="eastAsia" w:ascii="Times New Roman" w:hAnsi="Times New Roman" w:eastAsia="宋体" w:cs="Times New Roman"/>
          <w:b w:val="0"/>
          <w:bCs w:val="0"/>
          <w:color w:val="auto"/>
          <w:sz w:val="21"/>
          <w:szCs w:val="21"/>
          <w:highlight w:val="none"/>
          <w:lang w:val="zh-CN"/>
        </w:rPr>
        <w:t>。</w:t>
      </w:r>
    </w:p>
    <w:p w14:paraId="0D5943D9">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本项目采用全流程电子化采购，需通过政府采购云平台（https://www.zcygov.cn/）递交电子</w:t>
      </w:r>
      <w:r>
        <w:rPr>
          <w:rStyle w:val="64"/>
          <w:rFonts w:hint="eastAsia" w:ascii="Times New Roman" w:hAnsi="Times New Roman" w:eastAsia="宋体" w:cs="Times New Roman"/>
          <w:b w:val="0"/>
          <w:bCs w:val="0"/>
          <w:color w:val="auto"/>
          <w:sz w:val="21"/>
          <w:szCs w:val="21"/>
          <w:highlight w:val="none"/>
          <w:lang w:eastAsia="zh-CN"/>
        </w:rPr>
        <w:t>响应文件</w:t>
      </w:r>
      <w:r>
        <w:rPr>
          <w:rStyle w:val="64"/>
          <w:rFonts w:hint="eastAsia" w:ascii="Times New Roman" w:hAnsi="Times New Roman" w:eastAsia="宋体" w:cs="Times New Roman"/>
          <w:b w:val="0"/>
          <w:bCs w:val="0"/>
          <w:color w:val="auto"/>
          <w:sz w:val="21"/>
          <w:szCs w:val="21"/>
          <w:highlight w:val="none"/>
        </w:rPr>
        <w:t>。</w:t>
      </w:r>
      <w:r>
        <w:rPr>
          <w:rStyle w:val="64"/>
          <w:rFonts w:hint="eastAsia" w:ascii="Times New Roman" w:hAnsi="Times New Roman" w:eastAsia="宋体" w:cs="Times New Roman"/>
          <w:b w:val="0"/>
          <w:bCs w:val="0"/>
          <w:color w:val="auto"/>
          <w:sz w:val="21"/>
          <w:szCs w:val="21"/>
          <w:highlight w:val="none"/>
          <w:lang w:val="en-US" w:eastAsia="zh-CN"/>
        </w:rPr>
        <w:t>开启时间后30分钟内完成解密。</w:t>
      </w:r>
    </w:p>
    <w:p w14:paraId="1A3D2015">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操作流程：投标人在政府采购云平台注册入库成为正式投标人后，在平台按《政府采购项目电子交易管理操作指南-供应商》进行操作。由于投标人自身原因在递交</w:t>
      </w:r>
      <w:r>
        <w:rPr>
          <w:rStyle w:val="64"/>
          <w:rFonts w:hint="eastAsia" w:ascii="Times New Roman" w:hAnsi="Times New Roman" w:eastAsia="宋体" w:cs="Times New Roman"/>
          <w:b w:val="0"/>
          <w:bCs w:val="0"/>
          <w:color w:val="auto"/>
          <w:sz w:val="21"/>
          <w:szCs w:val="21"/>
          <w:highlight w:val="none"/>
          <w:lang w:eastAsia="zh-CN"/>
        </w:rPr>
        <w:t>响应文件</w:t>
      </w:r>
      <w:r>
        <w:rPr>
          <w:rStyle w:val="64"/>
          <w:rFonts w:hint="eastAsia" w:ascii="Times New Roman" w:hAnsi="Times New Roman" w:eastAsia="宋体" w:cs="Times New Roman"/>
          <w:b w:val="0"/>
          <w:bCs w:val="0"/>
          <w:color w:val="auto"/>
          <w:sz w:val="21"/>
          <w:szCs w:val="21"/>
          <w:highlight w:val="none"/>
        </w:rPr>
        <w:t>截止时间前无法完成办理的，后果自负。</w:t>
      </w:r>
    </w:p>
    <w:p w14:paraId="6A70D68E">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五、开启</w:t>
      </w:r>
    </w:p>
    <w:p w14:paraId="142E3A46">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开启时间：</w:t>
      </w:r>
      <w:r>
        <w:rPr>
          <w:rFonts w:hint="eastAsia"/>
          <w:color w:val="auto"/>
          <w:highlight w:val="none"/>
          <w:u w:val="none"/>
          <w:lang w:val="en-US" w:eastAsia="zh-CN"/>
        </w:rPr>
        <w:t>2026年</w:t>
      </w:r>
      <w:r>
        <w:rPr>
          <w:rStyle w:val="73"/>
          <w:rFonts w:hint="eastAsia"/>
          <w:color w:val="auto"/>
          <w:highlight w:val="none"/>
          <w:u w:val="none"/>
          <w:lang w:val="en-US" w:eastAsia="zh-CN"/>
        </w:rPr>
        <w:t>9</w:t>
      </w:r>
      <w:r>
        <w:rPr>
          <w:rStyle w:val="73"/>
          <w:rFonts w:hint="eastAsia"/>
          <w:color w:val="auto"/>
          <w:highlight w:val="none"/>
          <w:u w:val="none"/>
        </w:rPr>
        <w:t>月</w:t>
      </w:r>
      <w:r>
        <w:rPr>
          <w:rStyle w:val="73"/>
          <w:rFonts w:hint="eastAsia"/>
          <w:color w:val="auto"/>
          <w:highlight w:val="none"/>
          <w:u w:val="none"/>
          <w:lang w:val="en-US" w:eastAsia="zh-CN"/>
        </w:rPr>
        <w:t>8</w:t>
      </w:r>
      <w:r>
        <w:rPr>
          <w:rStyle w:val="73"/>
          <w:rFonts w:hint="eastAsia"/>
          <w:color w:val="auto"/>
          <w:highlight w:val="none"/>
          <w:u w:val="none"/>
        </w:rPr>
        <w:t>日</w:t>
      </w:r>
      <w:r>
        <w:rPr>
          <w:rStyle w:val="73"/>
          <w:rFonts w:hint="eastAsia"/>
          <w:color w:val="auto"/>
          <w:highlight w:val="none"/>
          <w:u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分</w:t>
      </w:r>
      <w:r>
        <w:rPr>
          <w:rStyle w:val="64"/>
          <w:rFonts w:hint="eastAsia"/>
          <w:b w:val="0"/>
          <w:color w:val="auto"/>
          <w:sz w:val="21"/>
          <w:szCs w:val="21"/>
          <w:highlight w:val="none"/>
        </w:rPr>
        <w:t>（北京时间）。</w:t>
      </w:r>
    </w:p>
    <w:p w14:paraId="623960E7">
      <w:pPr>
        <w:pStyle w:val="324"/>
        <w:shd w:val="clear" w:color="auto"/>
        <w:spacing w:before="0" w:beforeAutospacing="0" w:after="0" w:afterAutospacing="0" w:line="360" w:lineRule="auto"/>
        <w:ind w:firstLine="420" w:firstLineChars="200"/>
        <w:jc w:val="both"/>
        <w:rPr>
          <w:rStyle w:val="64"/>
          <w:rFonts w:hint="eastAsia" w:ascii="Times New Roman" w:hAnsi="Times New Roman" w:eastAsia="宋体" w:cs="Times New Roman"/>
          <w:b w:val="0"/>
          <w:color w:val="auto"/>
          <w:sz w:val="21"/>
          <w:szCs w:val="21"/>
          <w:highlight w:val="none"/>
        </w:rPr>
      </w:pPr>
      <w:r>
        <w:rPr>
          <w:rStyle w:val="64"/>
          <w:rFonts w:hint="eastAsia" w:ascii="Times New Roman" w:hAnsi="Times New Roman" w:eastAsia="宋体" w:cs="Times New Roman"/>
          <w:b w:val="0"/>
          <w:color w:val="auto"/>
          <w:sz w:val="21"/>
          <w:szCs w:val="21"/>
          <w:highlight w:val="none"/>
        </w:rPr>
        <w:t>地点：南关区人民大街9999号吉林省公共资源交易中心4楼开标区开标仓-1</w:t>
      </w:r>
      <w:r>
        <w:rPr>
          <w:rStyle w:val="64"/>
          <w:rFonts w:hint="eastAsia" w:cs="Times New Roman"/>
          <w:b w:val="0"/>
          <w:color w:val="auto"/>
          <w:sz w:val="21"/>
          <w:szCs w:val="21"/>
          <w:highlight w:val="none"/>
          <w:lang w:val="en-US" w:eastAsia="zh-CN"/>
        </w:rPr>
        <w:t>6</w:t>
      </w:r>
      <w:r>
        <w:rPr>
          <w:rStyle w:val="64"/>
          <w:rFonts w:hint="eastAsia" w:ascii="Times New Roman" w:hAnsi="Times New Roman" w:eastAsia="宋体" w:cs="Times New Roman"/>
          <w:b w:val="0"/>
          <w:color w:val="auto"/>
          <w:sz w:val="21"/>
          <w:szCs w:val="21"/>
          <w:highlight w:val="none"/>
        </w:rPr>
        <w:t>室（供应商无须到现场）</w:t>
      </w:r>
      <w:r>
        <w:rPr>
          <w:rStyle w:val="64"/>
          <w:rFonts w:hint="eastAsia" w:ascii="Times New Roman" w:hAnsi="Times New Roman" w:eastAsia="宋体" w:cs="Times New Roman"/>
          <w:b w:val="0"/>
          <w:color w:val="auto"/>
          <w:sz w:val="21"/>
          <w:szCs w:val="21"/>
          <w:highlight w:val="none"/>
          <w:lang w:val="zh-CN"/>
        </w:rPr>
        <w:t>。</w:t>
      </w:r>
    </w:p>
    <w:bookmarkEnd w:id="21"/>
    <w:bookmarkEnd w:id="22"/>
    <w:bookmarkEnd w:id="23"/>
    <w:bookmarkEnd w:id="24"/>
    <w:p w14:paraId="374F9396">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六、公告期限</w:t>
      </w:r>
    </w:p>
    <w:p w14:paraId="2740907D">
      <w:pPr>
        <w:pStyle w:val="324"/>
        <w:shd w:val="clear" w:color="auto"/>
        <w:spacing w:before="0" w:beforeAutospacing="0" w:after="0" w:afterAutospacing="0" w:line="360" w:lineRule="auto"/>
        <w:ind w:firstLine="420" w:firstLineChars="200"/>
        <w:jc w:val="both"/>
        <w:rPr>
          <w:rStyle w:val="64"/>
          <w:rFonts w:hint="eastAsia"/>
          <w:b w:val="0"/>
          <w:color w:val="auto"/>
          <w:sz w:val="21"/>
          <w:szCs w:val="21"/>
          <w:highlight w:val="none"/>
        </w:rPr>
      </w:pPr>
      <w:r>
        <w:rPr>
          <w:rStyle w:val="64"/>
          <w:rFonts w:hint="eastAsia"/>
          <w:b w:val="0"/>
          <w:color w:val="auto"/>
          <w:sz w:val="21"/>
          <w:szCs w:val="21"/>
          <w:highlight w:val="none"/>
        </w:rPr>
        <w:t>自本公告发布之日起3个工作日。</w:t>
      </w:r>
    </w:p>
    <w:p w14:paraId="5ADE411A">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七、其他补充事宜</w:t>
      </w:r>
    </w:p>
    <w:p w14:paraId="058EFBDB">
      <w:pPr>
        <w:shd w:val="clear"/>
        <w:wordWrap w:val="0"/>
        <w:spacing w:line="380" w:lineRule="exact"/>
        <w:ind w:firstLine="420" w:firstLineChars="200"/>
        <w:jc w:val="left"/>
        <w:rPr>
          <w:rFonts w:hint="eastAsia" w:ascii="宋体" w:hAnsi="宋体" w:cs="宋体"/>
          <w:color w:val="auto"/>
          <w:szCs w:val="21"/>
          <w:highlight w:val="none"/>
        </w:rPr>
      </w:pPr>
      <w:bookmarkStart w:id="25" w:name="_Toc28359085"/>
      <w:bookmarkStart w:id="26" w:name="_Toc35393627"/>
      <w:bookmarkStart w:id="27" w:name="_Toc28359008"/>
      <w:bookmarkStart w:id="28" w:name="_Toc35393796"/>
      <w:r>
        <w:rPr>
          <w:rFonts w:hint="eastAsia" w:ascii="宋体" w:hAnsi="宋体" w:cs="宋体"/>
          <w:color w:val="auto"/>
          <w:szCs w:val="21"/>
          <w:highlight w:val="none"/>
        </w:rPr>
        <w:t>1.CA锁办理网址：请供应商自行办理CA锁，网址链接（http://www.anxinca.com/kehu/zcy/kh-zcy-zsshenqing.html）；</w:t>
      </w:r>
    </w:p>
    <w:p w14:paraId="375AE15A">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2.收到 CA锁以后在“政采云”登陆界面，点击 CA 登录-CA 驱动下载-下载并安装政采云投标客户端和安信CA 驱动，账号绑定 CA 后才能进行响应文件制作；</w:t>
      </w:r>
    </w:p>
    <w:p w14:paraId="79486D9C">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3.未进行网上注册并办理 CA 认证的响应人将无法参与本次采购活动。数字证书办理时限为3-5个工作日，响应人须自行考虑办理时间，由于响应人自身原因在开启前无法完成办理，后果自负；</w:t>
      </w:r>
    </w:p>
    <w:p w14:paraId="29A5D9CF">
      <w:pPr>
        <w:shd w:val="clea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4.若对项目采购电子交易系统操作有疑问，可登录“政采云”平台（https://www.zcygov.cn/），点击右侧咨询小采获取采小蜜智能服务管家帮助或拨打政采云服务热线400-881-7190获取热线服务帮助；</w:t>
      </w:r>
    </w:p>
    <w:p w14:paraId="414D4A84">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5.本次公告在</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政采云</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zh-CN"/>
        </w:rPr>
        <w:t>平台</w:t>
      </w:r>
      <w:r>
        <w:rPr>
          <w:rFonts w:hint="eastAsia" w:ascii="宋体" w:hAnsi="宋体" w:cs="宋体"/>
          <w:color w:val="auto"/>
          <w:kern w:val="0"/>
          <w:szCs w:val="21"/>
          <w:highlight w:val="none"/>
        </w:rPr>
        <w:t>（http:// www.zcygov.cn）发布，</w:t>
      </w:r>
      <w:r>
        <w:rPr>
          <w:rFonts w:hint="eastAsia" w:ascii="宋体" w:hAnsi="宋体" w:cs="宋体"/>
          <w:color w:val="auto"/>
          <w:kern w:val="0"/>
          <w:szCs w:val="21"/>
          <w:highlight w:val="none"/>
          <w:lang w:val="zh-CN"/>
        </w:rPr>
        <w:t>同步推送到</w:t>
      </w:r>
      <w:r>
        <w:rPr>
          <w:rFonts w:hint="eastAsia" w:ascii="宋体" w:hAnsi="宋体" w:cs="宋体"/>
          <w:color w:val="auto"/>
          <w:kern w:val="0"/>
          <w:szCs w:val="21"/>
          <w:highlight w:val="none"/>
          <w:shd w:val="clear" w:color="auto" w:fill="FFFFFF"/>
        </w:rPr>
        <w:t>吉林省公共资源交易公共服务平台</w:t>
      </w:r>
      <w:r>
        <w:rPr>
          <w:rFonts w:hint="eastAsia" w:ascii="宋体" w:hAnsi="宋体" w:cs="宋体"/>
          <w:color w:val="auto"/>
          <w:kern w:val="0"/>
          <w:szCs w:val="21"/>
          <w:highlight w:val="none"/>
          <w:lang w:val="zh-CN"/>
        </w:rPr>
        <w:t>、吉林省政府采购网</w:t>
      </w:r>
      <w:r>
        <w:rPr>
          <w:rFonts w:hint="eastAsia" w:ascii="宋体" w:hAnsi="宋体" w:cs="宋体"/>
          <w:color w:val="auto"/>
          <w:kern w:val="0"/>
          <w:szCs w:val="21"/>
          <w:highlight w:val="none"/>
        </w:rPr>
        <w:t>（http://www.ccgp-jilin.gov.cn/）</w:t>
      </w:r>
      <w:r>
        <w:rPr>
          <w:rFonts w:hint="eastAsia" w:ascii="宋体" w:hAnsi="宋体" w:cs="宋体"/>
          <w:color w:val="auto"/>
          <w:kern w:val="0"/>
          <w:szCs w:val="21"/>
          <w:highlight w:val="none"/>
          <w:shd w:val="clear" w:color="auto" w:fill="FFFFFF"/>
        </w:rPr>
        <w:t>、</w:t>
      </w:r>
      <w:r>
        <w:rPr>
          <w:rFonts w:hint="eastAsia" w:ascii="宋体" w:hAnsi="宋体" w:cs="宋体"/>
          <w:color w:val="auto"/>
          <w:kern w:val="0"/>
          <w:szCs w:val="21"/>
          <w:highlight w:val="none"/>
          <w:lang w:val="zh-CN"/>
        </w:rPr>
        <w:t>中国政府采购网</w:t>
      </w:r>
      <w:r>
        <w:rPr>
          <w:rFonts w:hint="eastAsia" w:ascii="宋体" w:hAnsi="宋体" w:cs="宋体"/>
          <w:color w:val="auto"/>
          <w:szCs w:val="21"/>
          <w:highlight w:val="none"/>
        </w:rPr>
        <w:t>；</w:t>
      </w:r>
    </w:p>
    <w:p w14:paraId="67566DD7">
      <w:pPr>
        <w:shd w:val="clear"/>
        <w:spacing w:line="38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6.有效递交响应文件的供应商不足三家时，采购人另行组织采购。</w:t>
      </w:r>
    </w:p>
    <w:p w14:paraId="3A4225B1">
      <w:pPr>
        <w:pStyle w:val="324"/>
        <w:shd w:val="clear" w:color="auto"/>
        <w:spacing w:before="0" w:beforeAutospacing="0" w:after="0" w:afterAutospacing="0" w:line="360" w:lineRule="auto"/>
        <w:ind w:firstLine="422" w:firstLineChars="200"/>
        <w:jc w:val="both"/>
        <w:rPr>
          <w:rStyle w:val="64"/>
          <w:rFonts w:hint="eastAsia"/>
          <w:color w:val="auto"/>
          <w:sz w:val="21"/>
          <w:szCs w:val="21"/>
          <w:highlight w:val="none"/>
        </w:rPr>
      </w:pPr>
      <w:r>
        <w:rPr>
          <w:rStyle w:val="64"/>
          <w:rFonts w:hint="eastAsia"/>
          <w:color w:val="auto"/>
          <w:sz w:val="21"/>
          <w:szCs w:val="21"/>
          <w:highlight w:val="none"/>
        </w:rPr>
        <w:t>八、</w:t>
      </w:r>
      <w:bookmarkEnd w:id="25"/>
      <w:bookmarkEnd w:id="26"/>
      <w:bookmarkEnd w:id="27"/>
      <w:bookmarkEnd w:id="28"/>
      <w:r>
        <w:rPr>
          <w:rStyle w:val="64"/>
          <w:rFonts w:hint="eastAsia"/>
          <w:color w:val="auto"/>
          <w:sz w:val="21"/>
          <w:szCs w:val="21"/>
          <w:highlight w:val="none"/>
        </w:rPr>
        <w:t>凡对本次采购提出询问，请按以下方式联系。</w:t>
      </w:r>
    </w:p>
    <w:p w14:paraId="479575B0">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7B9E9106">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采购人：吉林交通职业技术学院</w:t>
      </w:r>
    </w:p>
    <w:p w14:paraId="05FC80ED">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地址：长春市高新区新电台街63号</w:t>
      </w:r>
    </w:p>
    <w:p w14:paraId="699600AC">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联系人：刘冰</w:t>
      </w:r>
    </w:p>
    <w:p w14:paraId="64E88711">
      <w:pPr>
        <w:shd w:val="clea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联系电话：0431-85541020</w:t>
      </w:r>
    </w:p>
    <w:p w14:paraId="2D4EBE39">
      <w:pPr>
        <w:widowControl/>
        <w:shd w:val="clear"/>
        <w:spacing w:line="360" w:lineRule="auto"/>
        <w:ind w:left="494" w:leftChars="200" w:hanging="74" w:hangingChars="35"/>
        <w:jc w:val="left"/>
        <w:outlineLvl w:val="1"/>
        <w:rPr>
          <w:rFonts w:hint="eastAsia" w:ascii="宋体" w:hAnsi="宋体" w:cs="宋体"/>
          <w:b/>
          <w:bCs/>
          <w:color w:val="auto"/>
          <w:szCs w:val="21"/>
          <w:highlight w:val="none"/>
        </w:rPr>
      </w:pPr>
      <w:r>
        <w:rPr>
          <w:rFonts w:hint="eastAsia" w:ascii="宋体" w:hAnsi="宋体" w:cs="宋体"/>
          <w:b/>
          <w:bCs/>
          <w:color w:val="auto"/>
          <w:szCs w:val="21"/>
          <w:highlight w:val="none"/>
        </w:rPr>
        <w:t>2.采购代理机构信息</w:t>
      </w:r>
    </w:p>
    <w:p w14:paraId="27405D72">
      <w:pPr>
        <w:widowControl/>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名称：吉林省百利邦项目管理咨询有限公司</w:t>
      </w:r>
    </w:p>
    <w:p w14:paraId="5D3DEEF9">
      <w:pPr>
        <w:widowControl/>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地址：长春净月高新技术产业开发区生态东街3330号吉林省国家广告产业园　</w:t>
      </w:r>
    </w:p>
    <w:p w14:paraId="1FAD0F53">
      <w:pPr>
        <w:widowControl/>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联系方式：0431-81685832</w:t>
      </w:r>
    </w:p>
    <w:p w14:paraId="3CF4A531">
      <w:pPr>
        <w:widowControl/>
        <w:shd w:val="clear"/>
        <w:spacing w:line="360" w:lineRule="auto"/>
        <w:ind w:left="494" w:leftChars="200" w:hanging="74" w:hangingChars="35"/>
        <w:jc w:val="left"/>
        <w:outlineLvl w:val="1"/>
        <w:rPr>
          <w:rFonts w:hint="eastAsia" w:ascii="宋体" w:hAnsi="宋体" w:cs="宋体"/>
          <w:b/>
          <w:bCs/>
          <w:color w:val="auto"/>
          <w:szCs w:val="21"/>
          <w:highlight w:val="none"/>
        </w:rPr>
      </w:pPr>
      <w:r>
        <w:rPr>
          <w:rFonts w:hint="eastAsia" w:ascii="宋体" w:hAnsi="宋体" w:cs="宋体"/>
          <w:b/>
          <w:bCs/>
          <w:color w:val="auto"/>
          <w:szCs w:val="21"/>
          <w:highlight w:val="none"/>
        </w:rPr>
        <w:t>3.项目联系方式</w:t>
      </w:r>
    </w:p>
    <w:p w14:paraId="2DAC0B16">
      <w:pPr>
        <w:widowControl/>
        <w:shd w:val="clea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项目联系人：马欢欢 </w:t>
      </w:r>
    </w:p>
    <w:p w14:paraId="465D354B">
      <w:pPr>
        <w:widowControl/>
        <w:shd w:val="clea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电话：0431-81685832</w:t>
      </w:r>
    </w:p>
    <w:p w14:paraId="37FA4195">
      <w:pPr>
        <w:pStyle w:val="55"/>
        <w:keepNext w:val="0"/>
        <w:keepLines w:val="0"/>
        <w:widowControl/>
        <w:suppressLineNumbers w:val="0"/>
        <w:shd w:val="clear"/>
        <w:spacing w:before="0" w:beforeAutospacing="0" w:after="0" w:afterAutospacing="0" w:line="360" w:lineRule="auto"/>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来源：吉林省百利邦项目管理咨询有限公司</w:t>
      </w:r>
    </w:p>
    <w:p w14:paraId="449FD3F4">
      <w:pPr>
        <w:shd w:val="clear"/>
        <w:wordWrap w:val="0"/>
        <w:spacing w:line="38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初审：</w:t>
      </w:r>
      <w:r>
        <w:rPr>
          <w:rFonts w:hint="eastAsia" w:ascii="宋体" w:hAnsi="宋体" w:cs="宋体"/>
          <w:color w:val="auto"/>
          <w:szCs w:val="21"/>
          <w:highlight w:val="none"/>
          <w:lang w:val="en-US" w:eastAsia="zh-CN"/>
        </w:rPr>
        <w:t>王小影</w:t>
      </w:r>
    </w:p>
    <w:p w14:paraId="71E9BC98">
      <w:pPr>
        <w:shd w:val="clear"/>
        <w:wordWrap w:val="0"/>
        <w:spacing w:line="38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复审：马欢欢</w:t>
      </w:r>
    </w:p>
    <w:p w14:paraId="329F55D2">
      <w:pPr>
        <w:widowControl/>
        <w:shd w:val="clear"/>
        <w:spacing w:line="38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终审：</w:t>
      </w:r>
      <w:r>
        <w:rPr>
          <w:rFonts w:hint="eastAsia" w:ascii="宋体" w:hAnsi="宋体" w:cs="宋体"/>
          <w:color w:val="auto"/>
          <w:szCs w:val="21"/>
          <w:highlight w:val="none"/>
          <w:lang w:val="en-US" w:eastAsia="zh-CN"/>
        </w:rPr>
        <w:t>刘冰</w:t>
      </w:r>
    </w:p>
    <w:p w14:paraId="219BE66E">
      <w:pPr>
        <w:widowControl/>
        <w:shd w:val="clear"/>
        <w:spacing w:line="360" w:lineRule="auto"/>
        <w:ind w:firstLine="420" w:firstLineChars="200"/>
        <w:rPr>
          <w:rFonts w:hint="eastAsia" w:ascii="宋体" w:hAnsi="宋体" w:eastAsia="宋体" w:cs="宋体"/>
          <w:color w:val="auto"/>
          <w:szCs w:val="21"/>
          <w:highlight w:val="none"/>
        </w:rPr>
      </w:pPr>
    </w:p>
    <w:p w14:paraId="29BFB23D">
      <w:pPr>
        <w:shd w:val="clear"/>
        <w:rPr>
          <w:rFonts w:hint="eastAsia" w:ascii="宋体" w:hAnsi="宋体" w:eastAsia="宋体" w:cs="宋体"/>
          <w:b/>
          <w:bCs/>
          <w:color w:val="auto"/>
          <w:sz w:val="36"/>
          <w:highlight w:val="none"/>
        </w:rPr>
      </w:pPr>
      <w:r>
        <w:rPr>
          <w:rFonts w:hint="eastAsia" w:ascii="宋体" w:hAnsi="宋体" w:eastAsia="宋体" w:cs="宋体"/>
          <w:b/>
          <w:bCs/>
          <w:color w:val="auto"/>
          <w:sz w:val="36"/>
          <w:highlight w:val="none"/>
        </w:rPr>
        <w:br w:type="page"/>
      </w:r>
    </w:p>
    <w:p w14:paraId="762E626D">
      <w:pPr>
        <w:widowControl/>
        <w:shd w:val="clear"/>
        <w:spacing w:line="360" w:lineRule="auto"/>
        <w:ind w:firstLine="723" w:firstLineChars="200"/>
        <w:jc w:val="center"/>
        <w:rPr>
          <w:rFonts w:hint="eastAsia" w:ascii="宋体" w:hAnsi="宋体" w:eastAsia="宋体" w:cs="宋体"/>
          <w:color w:val="auto"/>
          <w:sz w:val="36"/>
          <w:highlight w:val="none"/>
        </w:rPr>
      </w:pPr>
      <w:r>
        <w:rPr>
          <w:rFonts w:hint="eastAsia" w:ascii="宋体" w:hAnsi="宋体" w:eastAsia="宋体" w:cs="宋体"/>
          <w:b/>
          <w:bCs/>
          <w:color w:val="auto"/>
          <w:sz w:val="36"/>
          <w:highlight w:val="none"/>
        </w:rPr>
        <w:t>第二章 竞争性磋商文件</w:t>
      </w:r>
      <w:bookmarkEnd w:id="2"/>
      <w:bookmarkEnd w:id="3"/>
    </w:p>
    <w:p w14:paraId="58B94022">
      <w:pPr>
        <w:pStyle w:val="4"/>
        <w:numPr>
          <w:ilvl w:val="2"/>
          <w:numId w:val="0"/>
        </w:numPr>
        <w:shd w:val="clear"/>
        <w:spacing w:line="240" w:lineRule="auto"/>
        <w:ind w:firstLine="2393" w:firstLineChars="745"/>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bookmarkStart w:id="29" w:name="_Toc465069552"/>
      <w:bookmarkStart w:id="30" w:name="_Toc18770"/>
      <w:r>
        <w:rPr>
          <w:rFonts w:hint="eastAsia" w:ascii="宋体" w:hAnsi="宋体" w:eastAsia="宋体" w:cs="宋体"/>
          <w:color w:val="auto"/>
          <w:highlight w:val="none"/>
        </w:rPr>
        <w:t>（一）供应商须知前附表</w:t>
      </w:r>
      <w:bookmarkEnd w:id="29"/>
      <w:bookmarkEnd w:id="30"/>
    </w:p>
    <w:tbl>
      <w:tblPr>
        <w:tblStyle w:val="61"/>
        <w:tblW w:w="976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9"/>
        <w:gridCol w:w="8806"/>
      </w:tblGrid>
      <w:tr w14:paraId="347375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3" w:hRule="atLeast"/>
        </w:trPr>
        <w:tc>
          <w:tcPr>
            <w:tcW w:w="959" w:type="dxa"/>
            <w:tcBorders>
              <w:top w:val="single" w:color="000000" w:sz="4" w:space="0"/>
              <w:bottom w:val="single" w:color="000000" w:sz="4" w:space="0"/>
              <w:right w:val="single" w:color="auto" w:sz="4" w:space="0"/>
            </w:tcBorders>
            <w:noWrap w:val="0"/>
            <w:vAlign w:val="center"/>
          </w:tcPr>
          <w:p w14:paraId="08CBFEBC">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8806" w:type="dxa"/>
            <w:tcBorders>
              <w:top w:val="single" w:color="000000" w:sz="4" w:space="0"/>
              <w:left w:val="single" w:color="auto" w:sz="4" w:space="0"/>
              <w:bottom w:val="single" w:color="000000" w:sz="4" w:space="0"/>
            </w:tcBorders>
            <w:noWrap w:val="0"/>
            <w:vAlign w:val="center"/>
          </w:tcPr>
          <w:p w14:paraId="57FFEA93">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内      容</w:t>
            </w:r>
          </w:p>
        </w:tc>
      </w:tr>
      <w:tr w14:paraId="33BC60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6" w:hRule="atLeast"/>
        </w:trPr>
        <w:tc>
          <w:tcPr>
            <w:tcW w:w="959" w:type="dxa"/>
            <w:tcBorders>
              <w:top w:val="single" w:color="000000" w:sz="4" w:space="0"/>
              <w:bottom w:val="single" w:color="000000" w:sz="4" w:space="0"/>
              <w:right w:val="single" w:color="auto" w:sz="4" w:space="0"/>
            </w:tcBorders>
            <w:noWrap w:val="0"/>
            <w:vAlign w:val="center"/>
          </w:tcPr>
          <w:p w14:paraId="50B1655F">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8806" w:type="dxa"/>
            <w:tcBorders>
              <w:top w:val="single" w:color="000000" w:sz="4" w:space="0"/>
              <w:left w:val="single" w:color="auto" w:sz="4" w:space="0"/>
              <w:bottom w:val="single" w:color="000000" w:sz="4" w:space="0"/>
            </w:tcBorders>
            <w:noWrap w:val="0"/>
            <w:vAlign w:val="center"/>
          </w:tcPr>
          <w:p w14:paraId="797EE4B5">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采购人：吉林交通职业技术学院</w:t>
            </w:r>
          </w:p>
          <w:p w14:paraId="7EB7C108">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地址：长春市高新区新电台街63号</w:t>
            </w:r>
          </w:p>
          <w:p w14:paraId="640640BE">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联系人：刘冰</w:t>
            </w:r>
          </w:p>
          <w:p w14:paraId="3A97F534">
            <w:pPr>
              <w:widowControl/>
              <w:shd w:val="clear"/>
              <w:adjustRightInd w:val="0"/>
              <w:spacing w:line="400" w:lineRule="exact"/>
              <w:jc w:val="left"/>
              <w:textAlignment w:val="baseline"/>
              <w:rPr>
                <w:rFonts w:hint="default" w:ascii="宋体" w:hAnsi="宋体" w:eastAsia="宋体" w:cs="宋体"/>
                <w:color w:val="auto"/>
                <w:highlight w:val="none"/>
                <w:lang w:val="en-US" w:eastAsia="zh-CN"/>
              </w:rPr>
            </w:pPr>
            <w:r>
              <w:rPr>
                <w:rFonts w:hint="eastAsia" w:ascii="宋体" w:hAnsi="宋体" w:cs="宋体"/>
                <w:color w:val="auto"/>
                <w:kern w:val="0"/>
                <w:szCs w:val="21"/>
                <w:highlight w:val="none"/>
                <w:shd w:val="clear" w:color="auto" w:fill="FFFFFF"/>
              </w:rPr>
              <w:t>联系电话：0431-85541020</w:t>
            </w:r>
          </w:p>
        </w:tc>
      </w:tr>
      <w:tr w14:paraId="312DB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959" w:type="dxa"/>
            <w:tcBorders>
              <w:top w:val="single" w:color="000000" w:sz="4" w:space="0"/>
              <w:bottom w:val="single" w:color="auto" w:sz="4" w:space="0"/>
              <w:right w:val="single" w:color="000000" w:sz="4" w:space="0"/>
            </w:tcBorders>
            <w:noWrap w:val="0"/>
            <w:vAlign w:val="center"/>
          </w:tcPr>
          <w:p w14:paraId="1DD626E0">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8806" w:type="dxa"/>
            <w:tcBorders>
              <w:top w:val="single" w:color="000000" w:sz="4" w:space="0"/>
              <w:left w:val="single" w:color="000000" w:sz="4" w:space="0"/>
              <w:bottom w:val="single" w:color="auto" w:sz="4" w:space="0"/>
              <w:right w:val="single" w:color="000000" w:sz="4" w:space="0"/>
            </w:tcBorders>
            <w:noWrap w:val="0"/>
            <w:vAlign w:val="center"/>
          </w:tcPr>
          <w:p w14:paraId="4099CFB4">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名称：</w:t>
            </w:r>
            <w:r>
              <w:rPr>
                <w:rFonts w:hint="eastAsia" w:ascii="宋体" w:hAnsi="宋体" w:cs="宋体"/>
                <w:color w:val="auto"/>
                <w:szCs w:val="21"/>
                <w:highlight w:val="none"/>
              </w:rPr>
              <w:t>吉林省百利邦项目管理咨询有限公司</w:t>
            </w:r>
          </w:p>
          <w:p w14:paraId="006AB57E">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地址：长春净月高新技术产业开发区生态东街3330号吉林省国家广告产业园</w:t>
            </w:r>
          </w:p>
          <w:p w14:paraId="2C7E3CCC">
            <w:pPr>
              <w:widowControl/>
              <w:shd w:val="clear"/>
              <w:adjustRightInd w:val="0"/>
              <w:spacing w:line="400" w:lineRule="exact"/>
              <w:jc w:val="left"/>
              <w:textAlignment w:val="baseline"/>
              <w:rPr>
                <w:rFonts w:hint="eastAsia" w:ascii="宋体" w:hAnsi="宋体" w:cs="宋体"/>
                <w:color w:val="auto"/>
                <w:kern w:val="0"/>
                <w:szCs w:val="21"/>
                <w:highlight w:val="none"/>
                <w:shd w:val="clear" w:color="auto" w:fill="FFFFFF"/>
              </w:rPr>
            </w:pPr>
            <w:r>
              <w:rPr>
                <w:rFonts w:hint="eastAsia" w:ascii="宋体" w:hAnsi="宋体" w:cs="宋体"/>
                <w:color w:val="auto"/>
                <w:kern w:val="0"/>
                <w:szCs w:val="21"/>
                <w:highlight w:val="none"/>
                <w:shd w:val="clear" w:color="auto" w:fill="FFFFFF"/>
              </w:rPr>
              <w:t>联系人：</w:t>
            </w:r>
            <w:r>
              <w:rPr>
                <w:rFonts w:hint="eastAsia" w:ascii="宋体" w:hAnsi="宋体" w:cs="宋体"/>
                <w:color w:val="auto"/>
                <w:szCs w:val="21"/>
                <w:highlight w:val="none"/>
              </w:rPr>
              <w:t xml:space="preserve">马欢欢 </w:t>
            </w:r>
          </w:p>
          <w:p w14:paraId="7C44C63A">
            <w:pPr>
              <w:widowControl/>
              <w:shd w:val="clear"/>
              <w:adjustRightInd w:val="0"/>
              <w:spacing w:line="400" w:lineRule="exact"/>
              <w:jc w:val="left"/>
              <w:textAlignment w:val="baseline"/>
              <w:rPr>
                <w:rFonts w:hint="eastAsia" w:ascii="宋体" w:hAnsi="宋体" w:eastAsia="宋体" w:cs="宋体"/>
                <w:color w:val="auto"/>
                <w:highlight w:val="none"/>
                <w:lang w:eastAsia="zh-CN"/>
              </w:rPr>
            </w:pPr>
            <w:r>
              <w:rPr>
                <w:rFonts w:hint="eastAsia" w:ascii="宋体" w:hAnsi="宋体" w:cs="宋体"/>
                <w:color w:val="auto"/>
                <w:kern w:val="0"/>
                <w:szCs w:val="21"/>
                <w:highlight w:val="none"/>
                <w:shd w:val="clear" w:color="auto" w:fill="FFFFFF"/>
              </w:rPr>
              <w:t>联系电话：</w:t>
            </w:r>
            <w:r>
              <w:rPr>
                <w:rFonts w:hint="eastAsia" w:ascii="宋体" w:hAnsi="宋体" w:cs="宋体"/>
                <w:color w:val="auto"/>
                <w:szCs w:val="21"/>
                <w:highlight w:val="none"/>
              </w:rPr>
              <w:t>0431-81685832</w:t>
            </w:r>
          </w:p>
        </w:tc>
      </w:tr>
      <w:tr w14:paraId="078B3B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2" w:hRule="atLeast"/>
        </w:trPr>
        <w:tc>
          <w:tcPr>
            <w:tcW w:w="959" w:type="dxa"/>
            <w:tcBorders>
              <w:top w:val="single" w:color="auto" w:sz="4" w:space="0"/>
              <w:bottom w:val="single" w:color="000000" w:sz="4" w:space="0"/>
              <w:right w:val="single" w:color="000000" w:sz="4" w:space="0"/>
            </w:tcBorders>
            <w:noWrap w:val="0"/>
            <w:vAlign w:val="center"/>
          </w:tcPr>
          <w:p w14:paraId="0D679BB4">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8806" w:type="dxa"/>
            <w:tcBorders>
              <w:top w:val="single" w:color="auto" w:sz="4" w:space="0"/>
              <w:left w:val="single" w:color="000000" w:sz="4" w:space="0"/>
              <w:bottom w:val="single" w:color="000000" w:sz="4" w:space="0"/>
              <w:right w:val="single" w:color="000000" w:sz="4" w:space="0"/>
            </w:tcBorders>
            <w:noWrap w:val="0"/>
            <w:vAlign w:val="top"/>
          </w:tcPr>
          <w:p w14:paraId="6DD4F750">
            <w:pPr>
              <w:shd w:val="clear"/>
              <w:spacing w:line="360" w:lineRule="auto"/>
              <w:rPr>
                <w:rFonts w:hint="eastAsia" w:ascii="宋体" w:hAnsi="宋体" w:eastAsia="宋体" w:cs="宋体"/>
                <w:color w:val="auto"/>
                <w:kern w:val="0"/>
                <w:szCs w:val="21"/>
                <w:highlight w:val="none"/>
                <w:lang w:eastAsia="zh-CN"/>
              </w:rPr>
            </w:pPr>
            <w:r>
              <w:rPr>
                <w:rFonts w:hint="eastAsia" w:ascii="宋体" w:hAnsi="宋体" w:eastAsia="宋体" w:cs="宋体"/>
                <w:color w:val="auto"/>
                <w:highlight w:val="none"/>
              </w:rPr>
              <w:t>项目</w:t>
            </w:r>
            <w:r>
              <w:rPr>
                <w:rFonts w:hint="eastAsia" w:ascii="宋体" w:hAnsi="宋体" w:eastAsia="宋体" w:cs="宋体"/>
                <w:color w:val="auto"/>
                <w:szCs w:val="21"/>
                <w:highlight w:val="none"/>
              </w:rPr>
              <w:t>名称：公共计算机机房建设-配套及标准化考场系统技术支持服务</w:t>
            </w:r>
          </w:p>
          <w:p w14:paraId="012AB895">
            <w:pPr>
              <w:shd w:val="clea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项目</w:t>
            </w:r>
            <w:r>
              <w:rPr>
                <w:rFonts w:hint="eastAsia" w:ascii="宋体" w:hAnsi="宋体" w:eastAsia="宋体" w:cs="宋体"/>
                <w:color w:val="auto"/>
                <w:szCs w:val="21"/>
                <w:highlight w:val="none"/>
              </w:rPr>
              <w:t>编号：采购计划-[2026]-19707号-001</w:t>
            </w:r>
          </w:p>
        </w:tc>
      </w:tr>
      <w:tr w14:paraId="231A46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000000" w:sz="4" w:space="0"/>
              <w:right w:val="single" w:color="000000" w:sz="4" w:space="0"/>
            </w:tcBorders>
            <w:noWrap w:val="0"/>
            <w:vAlign w:val="center"/>
          </w:tcPr>
          <w:p w14:paraId="64D1D3C9">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8806" w:type="dxa"/>
            <w:tcBorders>
              <w:top w:val="single" w:color="000000" w:sz="4" w:space="0"/>
              <w:left w:val="single" w:color="000000" w:sz="4" w:space="0"/>
              <w:bottom w:val="single" w:color="000000" w:sz="4" w:space="0"/>
            </w:tcBorders>
            <w:noWrap w:val="0"/>
            <w:vAlign w:val="center"/>
          </w:tcPr>
          <w:p w14:paraId="5823E0BD">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采购方式：竞争性磋商</w:t>
            </w:r>
          </w:p>
          <w:p w14:paraId="44E63256">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资格审查：资格后审</w:t>
            </w:r>
          </w:p>
          <w:p w14:paraId="0E7B1CC3">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评审方法：综合评分法</w:t>
            </w:r>
          </w:p>
        </w:tc>
      </w:tr>
      <w:tr w14:paraId="4439F1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000000" w:sz="4" w:space="0"/>
              <w:right w:val="single" w:color="000000" w:sz="4" w:space="0"/>
            </w:tcBorders>
            <w:noWrap w:val="0"/>
            <w:vAlign w:val="center"/>
          </w:tcPr>
          <w:p w14:paraId="5582B41F">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8806" w:type="dxa"/>
            <w:tcBorders>
              <w:top w:val="single" w:color="000000" w:sz="4" w:space="0"/>
              <w:left w:val="single" w:color="000000" w:sz="4" w:space="0"/>
              <w:bottom w:val="single" w:color="000000" w:sz="4" w:space="0"/>
            </w:tcBorders>
            <w:noWrap w:val="0"/>
            <w:vAlign w:val="center"/>
          </w:tcPr>
          <w:p w14:paraId="6B0C659F">
            <w:pPr>
              <w:shd w:val="clear"/>
              <w:spacing w:line="360" w:lineRule="auto"/>
              <w:rPr>
                <w:rFonts w:hint="default" w:ascii="宋体" w:hAnsi="宋体" w:eastAsia="宋体" w:cs="宋体"/>
                <w:color w:val="auto"/>
                <w:highlight w:val="none"/>
                <w:lang w:val="en-US"/>
              </w:rPr>
            </w:pPr>
            <w:r>
              <w:rPr>
                <w:rFonts w:hint="eastAsia" w:ascii="宋体" w:hAnsi="宋体" w:eastAsia="宋体" w:cs="宋体"/>
                <w:color w:val="auto"/>
                <w:highlight w:val="none"/>
              </w:rPr>
              <w:t>资金来源：</w:t>
            </w:r>
            <w:r>
              <w:rPr>
                <w:rFonts w:hint="eastAsia" w:ascii="宋体" w:cs="Times New Roman"/>
                <w:color w:val="auto"/>
                <w:highlight w:val="none"/>
                <w:lang w:val="en-US" w:eastAsia="zh-CN"/>
              </w:rPr>
              <w:t>财政资金</w:t>
            </w:r>
          </w:p>
          <w:p w14:paraId="67568529">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落实情况：已落实</w:t>
            </w:r>
          </w:p>
        </w:tc>
      </w:tr>
      <w:tr w14:paraId="0B5547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000000" w:sz="4" w:space="0"/>
              <w:right w:val="single" w:color="000000" w:sz="4" w:space="0"/>
            </w:tcBorders>
            <w:noWrap w:val="0"/>
            <w:vAlign w:val="center"/>
          </w:tcPr>
          <w:p w14:paraId="7318A5A2">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8806" w:type="dxa"/>
            <w:tcBorders>
              <w:top w:val="single" w:color="000000" w:sz="4" w:space="0"/>
              <w:left w:val="single" w:color="000000" w:sz="4" w:space="0"/>
              <w:bottom w:val="single" w:color="000000" w:sz="4" w:space="0"/>
            </w:tcBorders>
            <w:noWrap w:val="0"/>
            <w:vAlign w:val="center"/>
          </w:tcPr>
          <w:p w14:paraId="629549D6">
            <w:pPr>
              <w:shd w:val="clea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rPr>
              <w:t>采购需求：</w:t>
            </w:r>
            <w:r>
              <w:rPr>
                <w:rStyle w:val="64"/>
                <w:rFonts w:hint="eastAsia"/>
                <w:b w:val="0"/>
                <w:color w:val="auto"/>
                <w:sz w:val="21"/>
                <w:szCs w:val="21"/>
                <w:highlight w:val="none"/>
                <w:lang w:eastAsia="zh-CN"/>
              </w:rPr>
              <w:t>公共计算机机房建设-配套及标准化考场系统技术支持服务，详细内容详见竞争性磋商文件</w:t>
            </w:r>
          </w:p>
        </w:tc>
      </w:tr>
      <w:tr w14:paraId="727158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000000" w:sz="4" w:space="0"/>
              <w:right w:val="single" w:color="000000" w:sz="4" w:space="0"/>
            </w:tcBorders>
            <w:noWrap w:val="0"/>
            <w:vAlign w:val="center"/>
          </w:tcPr>
          <w:p w14:paraId="42E7EB5C">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8806" w:type="dxa"/>
            <w:tcBorders>
              <w:top w:val="single" w:color="000000" w:sz="4" w:space="0"/>
              <w:left w:val="single" w:color="000000" w:sz="4" w:space="0"/>
              <w:bottom w:val="single" w:color="000000" w:sz="4" w:space="0"/>
            </w:tcBorders>
            <w:noWrap w:val="0"/>
            <w:vAlign w:val="center"/>
          </w:tcPr>
          <w:p w14:paraId="6536A6BD">
            <w:pPr>
              <w:widowControl/>
              <w:shd w:val="clea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kern w:val="0"/>
                <w:szCs w:val="21"/>
                <w:highlight w:val="none"/>
              </w:rPr>
              <w:t>合同履行期限：</w:t>
            </w:r>
            <w:r>
              <w:rPr>
                <w:rStyle w:val="64"/>
                <w:rFonts w:hint="eastAsia"/>
                <w:b w:val="0"/>
                <w:bCs w:val="0"/>
                <w:color w:val="auto"/>
                <w:sz w:val="21"/>
                <w:szCs w:val="21"/>
                <w:highlight w:val="none"/>
              </w:rPr>
              <w:t>采购合同签订之日起</w:t>
            </w:r>
            <w:r>
              <w:rPr>
                <w:rStyle w:val="64"/>
                <w:rFonts w:hint="eastAsia"/>
                <w:b w:val="0"/>
                <w:bCs w:val="0"/>
                <w:color w:val="auto"/>
                <w:sz w:val="21"/>
                <w:szCs w:val="21"/>
                <w:highlight w:val="none"/>
                <w:lang w:val="en-US" w:eastAsia="zh-CN"/>
              </w:rPr>
              <w:t>30</w:t>
            </w:r>
            <w:r>
              <w:rPr>
                <w:rStyle w:val="64"/>
                <w:rFonts w:hint="eastAsia"/>
                <w:b w:val="0"/>
                <w:bCs w:val="0"/>
                <w:color w:val="auto"/>
                <w:sz w:val="21"/>
                <w:szCs w:val="21"/>
                <w:highlight w:val="none"/>
              </w:rPr>
              <w:t>天内</w:t>
            </w:r>
            <w:r>
              <w:rPr>
                <w:rFonts w:hint="eastAsia" w:ascii="宋体" w:hAnsi="宋体" w:cs="宋体"/>
                <w:color w:val="auto"/>
                <w:kern w:val="0"/>
                <w:szCs w:val="21"/>
                <w:highlight w:val="none"/>
                <w:lang w:val="en-US" w:eastAsia="zh-CN"/>
              </w:rPr>
              <w:t>供货，并完成安装调试</w:t>
            </w:r>
          </w:p>
        </w:tc>
      </w:tr>
      <w:tr w14:paraId="7C556C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959" w:type="dxa"/>
            <w:tcBorders>
              <w:top w:val="single" w:color="000000" w:sz="4" w:space="0"/>
              <w:bottom w:val="single" w:color="000000" w:sz="4" w:space="0"/>
              <w:right w:val="single" w:color="000000" w:sz="4" w:space="0"/>
            </w:tcBorders>
            <w:noWrap w:val="0"/>
            <w:vAlign w:val="center"/>
          </w:tcPr>
          <w:p w14:paraId="3813F7C8">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8806" w:type="dxa"/>
            <w:tcBorders>
              <w:top w:val="single" w:color="000000" w:sz="4" w:space="0"/>
              <w:left w:val="single" w:color="000000" w:sz="4" w:space="0"/>
              <w:bottom w:val="single" w:color="000000" w:sz="4" w:space="0"/>
            </w:tcBorders>
            <w:noWrap w:val="0"/>
            <w:vAlign w:val="center"/>
          </w:tcPr>
          <w:p w14:paraId="20D67037">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质量标准：合格</w:t>
            </w:r>
          </w:p>
        </w:tc>
      </w:tr>
      <w:tr w14:paraId="4AA278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000000" w:sz="4" w:space="0"/>
              <w:right w:val="single" w:color="000000" w:sz="4" w:space="0"/>
            </w:tcBorders>
            <w:noWrap w:val="0"/>
            <w:vAlign w:val="center"/>
          </w:tcPr>
          <w:p w14:paraId="36994064">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8806" w:type="dxa"/>
            <w:tcBorders>
              <w:top w:val="single" w:color="000000" w:sz="4" w:space="0"/>
              <w:left w:val="single" w:color="000000" w:sz="4" w:space="0"/>
              <w:bottom w:val="single" w:color="000000" w:sz="4" w:space="0"/>
            </w:tcBorders>
            <w:noWrap w:val="0"/>
            <w:vAlign w:val="center"/>
          </w:tcPr>
          <w:p w14:paraId="3B0DE170">
            <w:pPr>
              <w:shd w:val="clea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供货</w:t>
            </w:r>
            <w:r>
              <w:rPr>
                <w:rFonts w:hint="eastAsia" w:ascii="宋体" w:hAnsi="宋体" w:eastAsia="宋体" w:cs="宋体"/>
                <w:color w:val="auto"/>
                <w:highlight w:val="none"/>
              </w:rPr>
              <w:t>地点：</w:t>
            </w:r>
            <w:r>
              <w:rPr>
                <w:rFonts w:hint="eastAsia" w:cs="Times New Roman"/>
                <w:bCs/>
                <w:color w:val="auto"/>
                <w:szCs w:val="21"/>
                <w:highlight w:val="none"/>
                <w:lang w:val="en-US" w:eastAsia="zh-CN"/>
              </w:rPr>
              <w:t>采购人指定地点</w:t>
            </w:r>
          </w:p>
        </w:tc>
      </w:tr>
      <w:tr w14:paraId="02C70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59" w:type="dxa"/>
            <w:tcBorders>
              <w:top w:val="single" w:color="000000" w:sz="4" w:space="0"/>
              <w:bottom w:val="single" w:color="auto" w:sz="4" w:space="0"/>
              <w:right w:val="single" w:color="000000" w:sz="4" w:space="0"/>
            </w:tcBorders>
            <w:noWrap w:val="0"/>
            <w:vAlign w:val="center"/>
          </w:tcPr>
          <w:p w14:paraId="5C5FE510">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8806" w:type="dxa"/>
            <w:tcBorders>
              <w:top w:val="single" w:color="000000" w:sz="4" w:space="0"/>
              <w:left w:val="single" w:color="000000" w:sz="4" w:space="0"/>
              <w:bottom w:val="single" w:color="auto" w:sz="4" w:space="0"/>
            </w:tcBorders>
            <w:noWrap w:val="0"/>
            <w:vAlign w:val="center"/>
          </w:tcPr>
          <w:p w14:paraId="02D0CB71">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供应商资质条件、能力和信誉：</w:t>
            </w:r>
          </w:p>
          <w:p w14:paraId="5361F433">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1.满足《中华人民共和国政府采购法》第二十二条规定；</w:t>
            </w:r>
          </w:p>
          <w:p w14:paraId="2D4446AC">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2.落实政府采购政策需满足的资格要求：</w:t>
            </w:r>
          </w:p>
          <w:p w14:paraId="489048B4">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（1）本项目为非专门面向中小企业的采购项目；</w:t>
            </w:r>
          </w:p>
          <w:p w14:paraId="6F82E3E1">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（2）依据《中华人民共和国政府采购法》及《中华人民共和国政府采购法实施条例》的有关规定，落实政府采购政策，详见竞争性磋商文件。</w:t>
            </w:r>
          </w:p>
          <w:p w14:paraId="683CA25F">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①《政府采购促进中小企业发展管理办法》（财库[2020]46号）；</w:t>
            </w:r>
          </w:p>
          <w:p w14:paraId="671D2C5B">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②《关于进一步加大政府采购支持中小企业力度的通知》财库〔2022〕19号；</w:t>
            </w:r>
          </w:p>
          <w:p w14:paraId="6D687941">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③《财政部司法部关于政府采购支持监狱企业发展有关问题的通知》（财库[2014]68号）；</w:t>
            </w:r>
          </w:p>
          <w:p w14:paraId="65CC3F9D">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④《关于促进残疾人就业政府采购政策的通知》（财库〔2017〕141号）；</w:t>
            </w:r>
          </w:p>
          <w:p w14:paraId="4ADCF744">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⑤《关于调整优化节能产品、环境标志产品政府采购执行机制的通知》（财库[2019]9号）；</w:t>
            </w:r>
          </w:p>
          <w:p w14:paraId="2FE68113">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⑥《国务院办公厅关于在政府采购中实施本国产品标准及相关政策的通知》（国办发〔2025〕34号）等国家最新政策。</w:t>
            </w:r>
          </w:p>
          <w:p w14:paraId="41F88FAA">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3.本项目的特定资格要求：</w:t>
            </w:r>
          </w:p>
          <w:p w14:paraId="2E808185">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（1）投标人须是在中国境内注册具有独立承担民事责任能力的独立法人或其他组织形式，具备有效的营业执照，具有履行合同所必需的设备和专业技术能力；</w:t>
            </w:r>
          </w:p>
          <w:p w14:paraId="29EC23EB">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2）具有良好的商业信誉和健全的财务会计制度，财务状况良好，具有经会计师事务所或审计机构出具的财务审计报告（提供近三年（2023年－2025年）任意一年的财务审计报告）或具有其基本开户银行出具的《资信证明书》；</w:t>
            </w:r>
          </w:p>
          <w:p w14:paraId="5D68599D">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（3）具有近</w:t>
            </w:r>
            <w:r>
              <w:rPr>
                <w:rStyle w:val="64"/>
                <w:rFonts w:hint="eastAsia" w:ascii="Times New Roman" w:hAnsi="Times New Roman" w:eastAsia="宋体" w:cs="Times New Roman"/>
                <w:b w:val="0"/>
                <w:bCs w:val="0"/>
                <w:color w:val="auto"/>
                <w:sz w:val="21"/>
                <w:szCs w:val="21"/>
                <w:highlight w:val="none"/>
                <w:lang w:val="en-US" w:eastAsia="zh-CN"/>
              </w:rPr>
              <w:t>半年（202</w:t>
            </w:r>
            <w:r>
              <w:rPr>
                <w:rStyle w:val="64"/>
                <w:rFonts w:hint="eastAsia" w:cs="Times New Roman"/>
                <w:b w:val="0"/>
                <w:bCs w:val="0"/>
                <w:color w:val="auto"/>
                <w:sz w:val="21"/>
                <w:szCs w:val="21"/>
                <w:highlight w:val="none"/>
                <w:lang w:val="en-US" w:eastAsia="zh-CN"/>
              </w:rPr>
              <w:t>6</w:t>
            </w:r>
            <w:r>
              <w:rPr>
                <w:rStyle w:val="64"/>
                <w:rFonts w:hint="eastAsia" w:ascii="Times New Roman" w:hAnsi="Times New Roman" w:eastAsia="宋体" w:cs="Times New Roman"/>
                <w:b w:val="0"/>
                <w:bCs w:val="0"/>
                <w:color w:val="auto"/>
                <w:sz w:val="21"/>
                <w:szCs w:val="21"/>
                <w:highlight w:val="none"/>
                <w:lang w:val="en-US" w:eastAsia="zh-CN"/>
              </w:rPr>
              <w:t>年</w:t>
            </w:r>
            <w:r>
              <w:rPr>
                <w:rStyle w:val="64"/>
                <w:rFonts w:hint="eastAsia" w:cs="Times New Roman"/>
                <w:b w:val="0"/>
                <w:bCs w:val="0"/>
                <w:color w:val="auto"/>
                <w:sz w:val="21"/>
                <w:szCs w:val="21"/>
                <w:highlight w:val="none"/>
                <w:lang w:val="en-US" w:eastAsia="zh-CN"/>
              </w:rPr>
              <w:t>1</w:t>
            </w:r>
            <w:r>
              <w:rPr>
                <w:rStyle w:val="64"/>
                <w:rFonts w:hint="eastAsia" w:ascii="Times New Roman" w:hAnsi="Times New Roman" w:eastAsia="宋体" w:cs="Times New Roman"/>
                <w:b w:val="0"/>
                <w:bCs w:val="0"/>
                <w:color w:val="auto"/>
                <w:sz w:val="21"/>
                <w:szCs w:val="21"/>
                <w:highlight w:val="none"/>
                <w:lang w:val="en-US" w:eastAsia="zh-CN"/>
              </w:rPr>
              <w:t>月－至今）</w:t>
            </w:r>
            <w:r>
              <w:rPr>
                <w:rStyle w:val="64"/>
                <w:rFonts w:hint="eastAsia" w:ascii="Times New Roman" w:hAnsi="Times New Roman" w:eastAsia="宋体" w:cs="Times New Roman"/>
                <w:b w:val="0"/>
                <w:bCs w:val="0"/>
                <w:color w:val="auto"/>
                <w:sz w:val="21"/>
                <w:szCs w:val="21"/>
                <w:highlight w:val="none"/>
              </w:rPr>
              <w:t>任意一个月依法缴纳税收的相关材料（提供纳税证明材料）；</w:t>
            </w:r>
          </w:p>
          <w:p w14:paraId="2DAD9F09">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（4）具有近</w:t>
            </w:r>
            <w:r>
              <w:rPr>
                <w:rStyle w:val="64"/>
                <w:rFonts w:hint="eastAsia" w:ascii="Times New Roman" w:hAnsi="Times New Roman" w:eastAsia="宋体" w:cs="Times New Roman"/>
                <w:b w:val="0"/>
                <w:bCs w:val="0"/>
                <w:color w:val="auto"/>
                <w:sz w:val="21"/>
                <w:szCs w:val="21"/>
                <w:highlight w:val="none"/>
                <w:lang w:val="en-US" w:eastAsia="zh-CN"/>
              </w:rPr>
              <w:t>半年（202</w:t>
            </w:r>
            <w:r>
              <w:rPr>
                <w:rStyle w:val="64"/>
                <w:rFonts w:hint="eastAsia" w:cs="Times New Roman"/>
                <w:b w:val="0"/>
                <w:bCs w:val="0"/>
                <w:color w:val="auto"/>
                <w:sz w:val="21"/>
                <w:szCs w:val="21"/>
                <w:highlight w:val="none"/>
                <w:lang w:val="en-US" w:eastAsia="zh-CN"/>
              </w:rPr>
              <w:t>6</w:t>
            </w:r>
            <w:r>
              <w:rPr>
                <w:rStyle w:val="64"/>
                <w:rFonts w:hint="eastAsia" w:ascii="Times New Roman" w:hAnsi="Times New Roman" w:eastAsia="宋体" w:cs="Times New Roman"/>
                <w:b w:val="0"/>
                <w:bCs w:val="0"/>
                <w:color w:val="auto"/>
                <w:sz w:val="21"/>
                <w:szCs w:val="21"/>
                <w:highlight w:val="none"/>
                <w:lang w:val="en-US" w:eastAsia="zh-CN"/>
              </w:rPr>
              <w:t>年</w:t>
            </w:r>
            <w:r>
              <w:rPr>
                <w:rStyle w:val="64"/>
                <w:rFonts w:hint="eastAsia" w:cs="Times New Roman"/>
                <w:b w:val="0"/>
                <w:bCs w:val="0"/>
                <w:color w:val="auto"/>
                <w:sz w:val="21"/>
                <w:szCs w:val="21"/>
                <w:highlight w:val="none"/>
                <w:lang w:val="en-US" w:eastAsia="zh-CN"/>
              </w:rPr>
              <w:t>1</w:t>
            </w:r>
            <w:r>
              <w:rPr>
                <w:rStyle w:val="64"/>
                <w:rFonts w:hint="eastAsia" w:ascii="Times New Roman" w:hAnsi="Times New Roman" w:eastAsia="宋体" w:cs="Times New Roman"/>
                <w:b w:val="0"/>
                <w:bCs w:val="0"/>
                <w:color w:val="auto"/>
                <w:sz w:val="21"/>
                <w:szCs w:val="21"/>
                <w:highlight w:val="none"/>
                <w:lang w:val="en-US" w:eastAsia="zh-CN"/>
              </w:rPr>
              <w:t>月－至今）</w:t>
            </w:r>
            <w:r>
              <w:rPr>
                <w:rStyle w:val="64"/>
                <w:rFonts w:hint="eastAsia" w:ascii="Times New Roman" w:hAnsi="Times New Roman" w:eastAsia="宋体" w:cs="Times New Roman"/>
                <w:b w:val="0"/>
                <w:bCs w:val="0"/>
                <w:color w:val="auto"/>
                <w:sz w:val="21"/>
                <w:szCs w:val="21"/>
                <w:highlight w:val="none"/>
              </w:rPr>
              <w:t>任意一个月</w:t>
            </w:r>
            <w:r>
              <w:rPr>
                <w:rStyle w:val="64"/>
                <w:rFonts w:hint="eastAsia" w:ascii="Times New Roman" w:hAnsi="Times New Roman" w:eastAsia="宋体" w:cs="Times New Roman"/>
                <w:b w:val="0"/>
                <w:bCs w:val="0"/>
                <w:color w:val="auto"/>
                <w:sz w:val="21"/>
                <w:szCs w:val="21"/>
                <w:highlight w:val="none"/>
                <w:lang w:eastAsia="zh-CN"/>
              </w:rPr>
              <w:t>依法</w:t>
            </w:r>
            <w:r>
              <w:rPr>
                <w:rStyle w:val="64"/>
                <w:rFonts w:hint="eastAsia" w:ascii="Times New Roman" w:hAnsi="Times New Roman" w:eastAsia="宋体" w:cs="Times New Roman"/>
                <w:b w:val="0"/>
                <w:bCs w:val="0"/>
                <w:color w:val="auto"/>
                <w:sz w:val="21"/>
                <w:szCs w:val="21"/>
                <w:highlight w:val="none"/>
              </w:rPr>
              <w:t>缴纳社会保障资金的相关材料（提供社会保障资金缴纳证明材料）；</w:t>
            </w:r>
          </w:p>
          <w:p w14:paraId="1826CB48">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（5）参加政府采购活动前三年内在经营活动中没有重大违法记录；</w:t>
            </w:r>
          </w:p>
          <w:p w14:paraId="321BE2EC">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（6）投标人近三年（202</w:t>
            </w:r>
            <w:r>
              <w:rPr>
                <w:rStyle w:val="64"/>
                <w:rFonts w:hint="eastAsia" w:ascii="Times New Roman" w:hAnsi="Times New Roman" w:eastAsia="宋体" w:cs="Times New Roman"/>
                <w:b w:val="0"/>
                <w:bCs w:val="0"/>
                <w:color w:val="auto"/>
                <w:sz w:val="21"/>
                <w:szCs w:val="21"/>
                <w:highlight w:val="none"/>
                <w:lang w:val="en-US" w:eastAsia="zh-CN"/>
              </w:rPr>
              <w:t>3</w:t>
            </w:r>
            <w:r>
              <w:rPr>
                <w:rStyle w:val="64"/>
                <w:rFonts w:hint="eastAsia" w:ascii="Times New Roman" w:hAnsi="Times New Roman" w:eastAsia="宋体" w:cs="Times New Roman"/>
                <w:b w:val="0"/>
                <w:bCs w:val="0"/>
                <w:color w:val="auto"/>
                <w:sz w:val="21"/>
                <w:szCs w:val="21"/>
                <w:highlight w:val="none"/>
              </w:rPr>
              <w:t>年1月1日－至今）内投标人、法定代表人未在“中国裁判文书网”（www.wenshu.court.gov.cn）有行贿犯罪记录；</w:t>
            </w:r>
          </w:p>
          <w:p w14:paraId="6CCF967C">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（7）拒绝列入政府取消投标资格记录期间的企业或个人投标；</w:t>
            </w:r>
          </w:p>
          <w:p w14:paraId="48BD57B5">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（8）投标人不能列入失信被执行人、重大税收违法案件当事人名单、政府采购严重违法失信行为记录名单（详见财库〔2016〕125号）；</w:t>
            </w:r>
          </w:p>
          <w:p w14:paraId="1B958F6C">
            <w:pPr>
              <w:shd w:val="clear"/>
              <w:spacing w:line="400" w:lineRule="exact"/>
              <w:rPr>
                <w:rStyle w:val="64"/>
                <w:rFonts w:hint="eastAsia" w:ascii="Times New Roman" w:hAnsi="Times New Roman" w:eastAsia="宋体" w:cs="Times New Roman"/>
                <w:b w:val="0"/>
                <w:bCs w:val="0"/>
                <w:color w:val="auto"/>
                <w:sz w:val="21"/>
                <w:szCs w:val="21"/>
                <w:highlight w:val="none"/>
              </w:rPr>
            </w:pPr>
            <w:r>
              <w:rPr>
                <w:rStyle w:val="64"/>
                <w:rFonts w:hint="eastAsia" w:ascii="Times New Roman" w:hAnsi="Times New Roman" w:eastAsia="宋体" w:cs="Times New Roman"/>
                <w:b w:val="0"/>
                <w:bCs w:val="0"/>
                <w:color w:val="auto"/>
                <w:sz w:val="21"/>
                <w:szCs w:val="21"/>
                <w:highlight w:val="none"/>
              </w:rPr>
              <w:t>（9）拒绝在国家企业信用信息公示系统中列入严重违法失信企业名单的参与投标；</w:t>
            </w:r>
          </w:p>
          <w:p w14:paraId="7A9D105A">
            <w:pPr>
              <w:shd w:val="clear"/>
              <w:spacing w:line="400" w:lineRule="exact"/>
              <w:rPr>
                <w:rFonts w:hint="eastAsia" w:ascii="宋体" w:hAnsi="宋体" w:eastAsia="宋体" w:cs="宋体"/>
                <w:color w:val="auto"/>
                <w:highlight w:val="none"/>
              </w:rPr>
            </w:pPr>
            <w:r>
              <w:rPr>
                <w:rStyle w:val="64"/>
                <w:rFonts w:hint="eastAsia" w:ascii="Times New Roman" w:hAnsi="Times New Roman" w:eastAsia="宋体" w:cs="Times New Roman"/>
                <w:b w:val="0"/>
                <w:bCs w:val="0"/>
                <w:color w:val="auto"/>
                <w:sz w:val="21"/>
                <w:szCs w:val="21"/>
                <w:highlight w:val="none"/>
              </w:rPr>
              <w:t>（10）与招标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tc>
      </w:tr>
      <w:tr w14:paraId="710D5E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59" w:type="dxa"/>
            <w:tcBorders>
              <w:top w:val="single" w:color="000000" w:sz="4" w:space="0"/>
              <w:bottom w:val="single" w:color="auto" w:sz="4" w:space="0"/>
              <w:right w:val="single" w:color="000000" w:sz="4" w:space="0"/>
            </w:tcBorders>
            <w:noWrap w:val="0"/>
            <w:vAlign w:val="center"/>
          </w:tcPr>
          <w:p w14:paraId="0836FBC8">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8806" w:type="dxa"/>
            <w:tcBorders>
              <w:top w:val="single" w:color="000000" w:sz="4" w:space="0"/>
              <w:left w:val="single" w:color="000000" w:sz="4" w:space="0"/>
              <w:bottom w:val="single" w:color="auto" w:sz="4" w:space="0"/>
            </w:tcBorders>
            <w:noWrap w:val="0"/>
            <w:vAlign w:val="center"/>
          </w:tcPr>
          <w:p w14:paraId="31AF40DA">
            <w:pPr>
              <w:shd w:val="clear"/>
              <w:spacing w:line="360" w:lineRule="auto"/>
              <w:rPr>
                <w:rFonts w:hint="eastAsia" w:ascii="宋体" w:hAnsi="宋体" w:cs="宋体"/>
                <w:color w:val="auto"/>
                <w:highlight w:val="none"/>
                <w:lang w:eastAsia="zh-CN"/>
              </w:rPr>
            </w:pPr>
            <w:r>
              <w:rPr>
                <w:rFonts w:hint="eastAsia" w:ascii="宋体" w:hAnsi="宋体" w:eastAsia="宋体" w:cs="宋体"/>
                <w:color w:val="auto"/>
                <w:highlight w:val="none"/>
              </w:rPr>
              <w:t>踏勘现场：</w:t>
            </w:r>
            <w:r>
              <w:rPr>
                <w:rFonts w:hint="eastAsia" w:ascii="宋体" w:hAnsi="宋体" w:cs="宋体"/>
                <w:color w:val="auto"/>
                <w:highlight w:val="none"/>
                <w:lang w:val="en-US" w:eastAsia="zh-CN"/>
              </w:rPr>
              <w:t>不组织</w:t>
            </w:r>
            <w:r>
              <w:rPr>
                <w:rFonts w:hint="eastAsia" w:ascii="宋体" w:hAnsi="宋体" w:cs="宋体"/>
                <w:color w:val="auto"/>
                <w:highlight w:val="none"/>
                <w:lang w:eastAsia="zh-CN"/>
              </w:rPr>
              <w:t>。</w:t>
            </w:r>
          </w:p>
          <w:p w14:paraId="2BEE24CF">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磋商预备会：不召开</w:t>
            </w:r>
          </w:p>
        </w:tc>
      </w:tr>
      <w:tr w14:paraId="35D49B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959" w:type="dxa"/>
            <w:tcBorders>
              <w:top w:val="single" w:color="000000" w:sz="4" w:space="0"/>
              <w:bottom w:val="single" w:color="auto" w:sz="4" w:space="0"/>
              <w:right w:val="single" w:color="000000" w:sz="4" w:space="0"/>
            </w:tcBorders>
            <w:noWrap w:val="0"/>
            <w:vAlign w:val="center"/>
          </w:tcPr>
          <w:p w14:paraId="42FA5C7B">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8806" w:type="dxa"/>
            <w:tcBorders>
              <w:top w:val="single" w:color="000000" w:sz="4" w:space="0"/>
              <w:left w:val="single" w:color="000000" w:sz="4" w:space="0"/>
              <w:bottom w:val="single" w:color="auto" w:sz="4" w:space="0"/>
            </w:tcBorders>
            <w:noWrap w:val="0"/>
            <w:vAlign w:val="center"/>
          </w:tcPr>
          <w:p w14:paraId="314B2D6C">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供应商提出问题的截止时间：磋商截止时间5日前将质疑问题以加盖供应商单位公章的书面材料递交至采购代理机构，否则不予解答；</w:t>
            </w:r>
          </w:p>
          <w:p w14:paraId="0FB95A0F">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采购人书面澄清的时间：磋商截止时间5日前。</w:t>
            </w:r>
          </w:p>
          <w:p w14:paraId="30D855EE">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zh-CN"/>
              </w:rPr>
              <w:t>若供应商未按规定提交投标疑问，则视为其无疑问。</w:t>
            </w:r>
          </w:p>
        </w:tc>
      </w:tr>
      <w:tr w14:paraId="347C01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3" w:hRule="atLeast"/>
        </w:trPr>
        <w:tc>
          <w:tcPr>
            <w:tcW w:w="959" w:type="dxa"/>
            <w:tcBorders>
              <w:top w:val="single" w:color="000000" w:sz="4" w:space="0"/>
              <w:bottom w:val="single" w:color="auto" w:sz="4" w:space="0"/>
              <w:right w:val="single" w:color="000000" w:sz="4" w:space="0"/>
            </w:tcBorders>
            <w:noWrap w:val="0"/>
            <w:vAlign w:val="center"/>
          </w:tcPr>
          <w:p w14:paraId="1CF51E71">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13</w:t>
            </w:r>
          </w:p>
        </w:tc>
        <w:tc>
          <w:tcPr>
            <w:tcW w:w="8806" w:type="dxa"/>
            <w:tcBorders>
              <w:top w:val="single" w:color="000000" w:sz="4" w:space="0"/>
              <w:left w:val="single" w:color="000000" w:sz="4" w:space="0"/>
              <w:bottom w:val="single" w:color="auto" w:sz="4" w:space="0"/>
            </w:tcBorders>
            <w:noWrap w:val="0"/>
            <w:vAlign w:val="center"/>
          </w:tcPr>
          <w:p w14:paraId="3803CAAE">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磋商有效期：</w:t>
            </w:r>
            <w:r>
              <w:rPr>
                <w:rFonts w:hint="eastAsia" w:ascii="宋体" w:hAnsi="宋体" w:cs="宋体"/>
                <w:color w:val="auto"/>
                <w:highlight w:val="none"/>
                <w:lang w:val="en-US" w:eastAsia="zh-CN"/>
              </w:rPr>
              <w:t>90</w:t>
            </w:r>
            <w:r>
              <w:rPr>
                <w:rFonts w:hint="eastAsia" w:ascii="宋体" w:hAnsi="宋体" w:eastAsia="宋体" w:cs="宋体"/>
                <w:color w:val="auto"/>
                <w:highlight w:val="none"/>
              </w:rPr>
              <w:t>天</w:t>
            </w:r>
          </w:p>
        </w:tc>
      </w:tr>
      <w:tr w14:paraId="7BB42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5247B253">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14</w:t>
            </w:r>
          </w:p>
        </w:tc>
        <w:tc>
          <w:tcPr>
            <w:tcW w:w="8806" w:type="dxa"/>
            <w:tcBorders>
              <w:top w:val="single" w:color="000000" w:sz="4" w:space="0"/>
              <w:left w:val="single" w:color="000000" w:sz="4" w:space="0"/>
              <w:bottom w:val="single" w:color="auto" w:sz="4" w:space="0"/>
            </w:tcBorders>
            <w:noWrap w:val="0"/>
            <w:vAlign w:val="center"/>
          </w:tcPr>
          <w:p w14:paraId="3572E400">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签字或盖章要求：</w:t>
            </w:r>
          </w:p>
          <w:p w14:paraId="5A74EBFD">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（1）所有要求签字的地方都应用不褪色的墨水或签字笔由本人亲笔手写签字（包括姓和名），不得用盖章（如签名章、签字章等）代替，也不得由他人代签；</w:t>
            </w:r>
          </w:p>
          <w:p w14:paraId="23E294F3">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（2）所有要求盖章的地方都应加盖投标单位（法定名称）章（鲜章），不得使用专用章（如经济合同章、投标专用章等）或下属单位印章代替；</w:t>
            </w:r>
          </w:p>
          <w:p w14:paraId="5E94E29B">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3）竞争性磋商文件格式中要求供应商“法定代表人或其委托代理人”签字的，如法定代表人亲自磋商而不委托代理人磋商，由法定代表人签字；如法定代表人授权委托代理人磋商，由委托代理人签字，也可由法定代表人签字。</w:t>
            </w:r>
          </w:p>
        </w:tc>
      </w:tr>
      <w:tr w14:paraId="19BC81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5E4B0E0B">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15</w:t>
            </w:r>
          </w:p>
        </w:tc>
        <w:tc>
          <w:tcPr>
            <w:tcW w:w="8806" w:type="dxa"/>
            <w:tcBorders>
              <w:top w:val="single" w:color="000000" w:sz="4" w:space="0"/>
              <w:left w:val="single" w:color="000000" w:sz="4" w:space="0"/>
              <w:bottom w:val="single" w:color="auto" w:sz="4" w:space="0"/>
            </w:tcBorders>
            <w:noWrap w:val="0"/>
            <w:vAlign w:val="center"/>
          </w:tcPr>
          <w:p w14:paraId="74867419">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竞争性磋商响应文件份数：</w:t>
            </w:r>
          </w:p>
          <w:p w14:paraId="44579BAA">
            <w:pPr>
              <w:shd w:val="clea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1. 供应商在“政采云”平台（http：//www.zcygov.cn）上制作响应文件一份（此响应文件须上传至“政采云”平台）。 </w:t>
            </w:r>
          </w:p>
          <w:p w14:paraId="7A877E00">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2.纸质版响应文件份数要求：</w:t>
            </w:r>
            <w:r>
              <w:rPr>
                <w:rFonts w:hint="eastAsia" w:ascii="宋体" w:hAnsi="宋体" w:eastAsia="宋体" w:cs="宋体"/>
                <w:bCs/>
                <w:color w:val="auto"/>
                <w:szCs w:val="21"/>
                <w:highlight w:val="none"/>
                <w:lang w:val="en-US" w:eastAsia="zh-CN"/>
              </w:rPr>
              <w:t>因本项目为政采云远程电子标，无需递交纸质文件</w:t>
            </w:r>
          </w:p>
        </w:tc>
      </w:tr>
      <w:tr w14:paraId="258726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4671EBB1">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16</w:t>
            </w:r>
          </w:p>
        </w:tc>
        <w:tc>
          <w:tcPr>
            <w:tcW w:w="8806" w:type="dxa"/>
            <w:tcBorders>
              <w:top w:val="single" w:color="000000" w:sz="4" w:space="0"/>
              <w:left w:val="single" w:color="000000" w:sz="4" w:space="0"/>
              <w:bottom w:val="single" w:color="auto" w:sz="4" w:space="0"/>
            </w:tcBorders>
            <w:noWrap w:val="0"/>
            <w:vAlign w:val="center"/>
          </w:tcPr>
          <w:p w14:paraId="41075DF0">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递交磋商响应文件：</w:t>
            </w:r>
          </w:p>
          <w:p w14:paraId="3991FF49">
            <w:pPr>
              <w:shd w:val="clear"/>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地点：</w:t>
            </w:r>
            <w:r>
              <w:rPr>
                <w:rStyle w:val="64"/>
                <w:rFonts w:hint="eastAsia" w:ascii="Times New Roman" w:hAnsi="Times New Roman" w:eastAsia="宋体" w:cs="Times New Roman"/>
                <w:b w:val="0"/>
                <w:color w:val="auto"/>
                <w:sz w:val="21"/>
                <w:szCs w:val="21"/>
                <w:highlight w:val="none"/>
              </w:rPr>
              <w:t>南关区人民大街9999号吉林省公共资源交易中心4楼开标区开标仓-1</w:t>
            </w:r>
            <w:r>
              <w:rPr>
                <w:rStyle w:val="64"/>
                <w:rFonts w:hint="eastAsia" w:cs="Times New Roman"/>
                <w:b w:val="0"/>
                <w:color w:val="auto"/>
                <w:sz w:val="21"/>
                <w:szCs w:val="21"/>
                <w:highlight w:val="none"/>
                <w:lang w:val="en-US" w:eastAsia="zh-CN"/>
              </w:rPr>
              <w:t>6</w:t>
            </w:r>
            <w:r>
              <w:rPr>
                <w:rStyle w:val="64"/>
                <w:rFonts w:hint="eastAsia" w:ascii="Times New Roman" w:hAnsi="Times New Roman" w:eastAsia="宋体" w:cs="Times New Roman"/>
                <w:b w:val="0"/>
                <w:color w:val="auto"/>
                <w:sz w:val="21"/>
                <w:szCs w:val="21"/>
                <w:highlight w:val="none"/>
              </w:rPr>
              <w:t>室（供应商无须到现场）</w:t>
            </w:r>
          </w:p>
          <w:p w14:paraId="021C4EDC">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提交截止时间：</w:t>
            </w:r>
            <w:r>
              <w:rPr>
                <w:rFonts w:hint="eastAsia"/>
                <w:color w:val="0000FF"/>
                <w:highlight w:val="none"/>
                <w:u w:val="none"/>
                <w:lang w:val="en-US" w:eastAsia="zh-CN"/>
              </w:rPr>
              <w:t>2026年</w:t>
            </w:r>
            <w:r>
              <w:rPr>
                <w:rStyle w:val="73"/>
                <w:rFonts w:hint="eastAsia"/>
                <w:color w:val="0000FF"/>
                <w:highlight w:val="none"/>
                <w:u w:val="none"/>
                <w:lang w:val="en-US" w:eastAsia="zh-CN"/>
              </w:rPr>
              <w:t>9</w:t>
            </w:r>
            <w:r>
              <w:rPr>
                <w:rStyle w:val="73"/>
                <w:rFonts w:hint="eastAsia"/>
                <w:color w:val="0000FF"/>
                <w:highlight w:val="none"/>
                <w:u w:val="none"/>
              </w:rPr>
              <w:t>月</w:t>
            </w:r>
            <w:r>
              <w:rPr>
                <w:rStyle w:val="73"/>
                <w:rFonts w:hint="eastAsia"/>
                <w:color w:val="0000FF"/>
                <w:highlight w:val="none"/>
                <w:u w:val="none"/>
                <w:lang w:val="en-US" w:eastAsia="zh-CN"/>
              </w:rPr>
              <w:t>8</w:t>
            </w:r>
            <w:r>
              <w:rPr>
                <w:rStyle w:val="73"/>
                <w:rFonts w:hint="eastAsia"/>
                <w:color w:val="0000FF"/>
                <w:highlight w:val="none"/>
                <w:u w:val="none"/>
              </w:rPr>
              <w:t>日</w:t>
            </w:r>
            <w:r>
              <w:rPr>
                <w:rStyle w:val="73"/>
                <w:rFonts w:hint="eastAsia"/>
                <w:color w:val="0000FF"/>
                <w:highlight w:val="none"/>
                <w:u w:val="none"/>
                <w:lang w:val="en-US" w:eastAsia="zh-CN"/>
              </w:rPr>
              <w:t>9</w:t>
            </w:r>
            <w:r>
              <w:rPr>
                <w:rFonts w:hint="eastAsia" w:ascii="宋体" w:hAnsi="宋体" w:cs="宋体"/>
                <w:color w:val="0000FF"/>
                <w:szCs w:val="21"/>
                <w:highlight w:val="none"/>
              </w:rPr>
              <w:t>时</w:t>
            </w:r>
            <w:r>
              <w:rPr>
                <w:rFonts w:hint="eastAsia" w:ascii="宋体" w:hAnsi="宋体" w:cs="宋体"/>
                <w:color w:val="0000FF"/>
                <w:szCs w:val="21"/>
                <w:highlight w:val="none"/>
                <w:lang w:val="en-US" w:eastAsia="zh-CN"/>
              </w:rPr>
              <w:t>00</w:t>
            </w:r>
            <w:r>
              <w:rPr>
                <w:rFonts w:hint="eastAsia" w:ascii="宋体" w:hAnsi="宋体" w:cs="宋体"/>
                <w:color w:val="0000FF"/>
                <w:szCs w:val="21"/>
                <w:highlight w:val="none"/>
              </w:rPr>
              <w:t>分</w:t>
            </w:r>
            <w:r>
              <w:rPr>
                <w:rFonts w:hint="eastAsia" w:ascii="宋体" w:hAnsi="宋体" w:eastAsia="宋体" w:cs="宋体"/>
                <w:color w:val="auto"/>
                <w:highlight w:val="none"/>
              </w:rPr>
              <w:t>（北京时间）</w:t>
            </w:r>
          </w:p>
        </w:tc>
      </w:tr>
      <w:tr w14:paraId="41B556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4727B8A8">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17</w:t>
            </w:r>
          </w:p>
        </w:tc>
        <w:tc>
          <w:tcPr>
            <w:tcW w:w="8806" w:type="dxa"/>
            <w:tcBorders>
              <w:top w:val="single" w:color="000000" w:sz="4" w:space="0"/>
              <w:left w:val="single" w:color="000000" w:sz="4" w:space="0"/>
              <w:bottom w:val="single" w:color="auto" w:sz="4" w:space="0"/>
            </w:tcBorders>
            <w:noWrap w:val="0"/>
            <w:vAlign w:val="center"/>
          </w:tcPr>
          <w:p w14:paraId="4B9A83F8">
            <w:pPr>
              <w:shd w:val="clear"/>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rPr>
              <w:t>是否退还磋商响应文件：否。</w:t>
            </w:r>
          </w:p>
        </w:tc>
      </w:tr>
      <w:tr w14:paraId="68E63B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53315689">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18</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62533075">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磋商时间和地点：</w:t>
            </w:r>
          </w:p>
          <w:p w14:paraId="16F3B08A">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磋商时间：同投标截止时间；</w:t>
            </w:r>
          </w:p>
          <w:p w14:paraId="532C25EC">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磋商地点：</w:t>
            </w:r>
            <w:r>
              <w:rPr>
                <w:rFonts w:hint="eastAsia" w:ascii="宋体" w:hAnsi="宋体" w:eastAsia="宋体" w:cs="宋体"/>
                <w:color w:val="auto"/>
                <w:sz w:val="21"/>
                <w:szCs w:val="21"/>
                <w:highlight w:val="none"/>
                <w:lang w:val="en-US" w:eastAsia="zh-CN"/>
              </w:rPr>
              <w:t>本项目为全流程电子化项目，通过“政采云”平台（http：//www.zcygov.cn）实行在线电子投标，供应商应先安装“政采云投标客户端”（请自行前往“政采云”平台进行下载），并按照本项目磋商文件和“政采云”平台的要求编制、加密后在响应文件截止时间前通过网络上传至“政采云”平台，供应商在“政采云”平台提交电子版响应文件时，请填写参加采购活动经办人联系方式。</w:t>
            </w:r>
          </w:p>
        </w:tc>
      </w:tr>
      <w:tr w14:paraId="35F891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031E4674">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19</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6D53A42D">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磋商程序：</w:t>
            </w:r>
          </w:p>
          <w:p w14:paraId="18F866CA">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磋商顺序：以响应文件</w:t>
            </w:r>
            <w:r>
              <w:rPr>
                <w:rFonts w:hint="eastAsia" w:ascii="宋体" w:hAnsi="宋体" w:eastAsia="宋体" w:cs="宋体"/>
                <w:color w:val="auto"/>
                <w:szCs w:val="21"/>
                <w:highlight w:val="none"/>
              </w:rPr>
              <w:t>“政采云”平台</w:t>
            </w:r>
            <w:r>
              <w:rPr>
                <w:rFonts w:hint="eastAsia" w:ascii="宋体" w:hAnsi="宋体" w:eastAsia="宋体" w:cs="宋体"/>
                <w:color w:val="auto"/>
                <w:highlight w:val="none"/>
              </w:rPr>
              <w:t>的顺序为先后。</w:t>
            </w:r>
          </w:p>
        </w:tc>
      </w:tr>
      <w:tr w14:paraId="1AFD9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7BDEADC5">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20</w:t>
            </w:r>
          </w:p>
        </w:tc>
        <w:tc>
          <w:tcPr>
            <w:tcW w:w="8806" w:type="dxa"/>
            <w:tcBorders>
              <w:top w:val="single" w:color="000000" w:sz="4" w:space="0"/>
              <w:left w:val="single" w:color="000000" w:sz="4" w:space="0"/>
              <w:bottom w:val="single" w:color="auto" w:sz="4" w:space="0"/>
            </w:tcBorders>
            <w:noWrap w:val="0"/>
            <w:vAlign w:val="center"/>
          </w:tcPr>
          <w:p w14:paraId="0A4976B9">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竞争性磋商小组的组建：</w:t>
            </w:r>
          </w:p>
          <w:p w14:paraId="3D090B31">
            <w:pPr>
              <w:shd w:val="clear"/>
              <w:spacing w:line="360" w:lineRule="auto"/>
              <w:rPr>
                <w:rFonts w:hint="default" w:ascii="宋体" w:hAnsi="宋体" w:eastAsia="宋体" w:cs="宋体"/>
                <w:color w:val="auto"/>
                <w:highlight w:val="none"/>
                <w:lang w:val="en-US" w:eastAsia="zh-CN"/>
              </w:rPr>
            </w:pPr>
            <w:r>
              <w:rPr>
                <w:rFonts w:hint="eastAsia" w:ascii="宋体" w:hAnsi="宋体" w:eastAsia="宋体" w:cs="宋体"/>
                <w:color w:val="auto"/>
                <w:highlight w:val="none"/>
              </w:rPr>
              <w:t>竞争性磋商小组构成：</w:t>
            </w:r>
            <w:r>
              <w:rPr>
                <w:rFonts w:hint="eastAsia" w:ascii="宋体" w:hAnsi="宋体" w:cs="宋体"/>
                <w:color w:val="auto"/>
                <w:highlight w:val="none"/>
                <w:lang w:val="en-US" w:eastAsia="zh-CN"/>
              </w:rPr>
              <w:t>外聘专家3人组成</w:t>
            </w:r>
            <w:r>
              <w:rPr>
                <w:rFonts w:hint="eastAsia" w:ascii="宋体" w:hAnsi="宋体" w:eastAsia="宋体" w:cs="宋体"/>
                <w:color w:val="auto"/>
                <w:highlight w:val="none"/>
                <w:lang w:val="en-US" w:eastAsia="zh-CN"/>
              </w:rPr>
              <w:t>。</w:t>
            </w:r>
            <w:r>
              <w:rPr>
                <w:rFonts w:hint="eastAsia"/>
                <w:bCs/>
                <w:color w:val="auto"/>
                <w:spacing w:val="-4"/>
                <w:szCs w:val="21"/>
                <w:highlight w:val="none"/>
                <w:lang w:val="en-US" w:eastAsia="zh-CN"/>
              </w:rPr>
              <w:t>其中采购人代表1人，经济、技术专家2人。</w:t>
            </w:r>
          </w:p>
          <w:p w14:paraId="56659C5E">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磋商专家确定方式：外聘专家从依法设立的采购专家库中随机抽取。</w:t>
            </w:r>
          </w:p>
        </w:tc>
      </w:tr>
      <w:tr w14:paraId="765CA8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7FB45BAF">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21</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5C2BD620">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是否授权竞争性磋商小组确定成交单位：是，根据各单位最终报价和合格磋商单位的响应文件进行磋商综合详细打分，按照汇总得分由高到低的顺序排序，并确定排名第一的为成交单位。</w:t>
            </w:r>
          </w:p>
        </w:tc>
      </w:tr>
      <w:tr w14:paraId="350715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53356707">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22</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199C28DD">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中标</w:t>
            </w:r>
            <w:r>
              <w:rPr>
                <w:rFonts w:hint="eastAsia" w:ascii="宋体" w:hAnsi="宋体" w:cs="宋体"/>
                <w:color w:val="auto"/>
                <w:highlight w:val="none"/>
                <w:lang w:val="en-US" w:eastAsia="zh-CN"/>
              </w:rPr>
              <w:t>结果公告</w:t>
            </w:r>
            <w:r>
              <w:rPr>
                <w:rFonts w:hint="eastAsia" w:ascii="宋体" w:hAnsi="宋体" w:eastAsia="宋体" w:cs="宋体"/>
                <w:color w:val="auto"/>
                <w:highlight w:val="none"/>
              </w:rPr>
              <w:t>媒介：发布磋商公告的相关媒介。</w:t>
            </w:r>
          </w:p>
        </w:tc>
      </w:tr>
      <w:tr w14:paraId="08F4A4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959" w:type="dxa"/>
            <w:tcBorders>
              <w:top w:val="single" w:color="000000" w:sz="4" w:space="0"/>
              <w:bottom w:val="single" w:color="auto" w:sz="4" w:space="0"/>
              <w:right w:val="single" w:color="000000" w:sz="4" w:space="0"/>
            </w:tcBorders>
            <w:noWrap w:val="0"/>
            <w:vAlign w:val="center"/>
          </w:tcPr>
          <w:p w14:paraId="66E63599">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23</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24B6A5E4">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采购预算</w:t>
            </w:r>
            <w:r>
              <w:rPr>
                <w:rFonts w:hint="eastAsia" w:ascii="宋体" w:hAnsi="宋体" w:eastAsia="宋体" w:cs="宋体"/>
                <w:color w:val="auto"/>
                <w:kern w:val="0"/>
                <w:szCs w:val="21"/>
                <w:highlight w:val="none"/>
              </w:rPr>
              <w:t>：</w:t>
            </w:r>
            <w:r>
              <w:rPr>
                <w:rFonts w:hint="eastAsia" w:ascii="宋体" w:cs="Times New Roman"/>
                <w:color w:val="auto"/>
                <w:highlight w:val="none"/>
                <w:lang w:val="en-US" w:eastAsia="zh-CN"/>
              </w:rPr>
              <w:t>560000元</w:t>
            </w:r>
          </w:p>
        </w:tc>
      </w:tr>
      <w:tr w14:paraId="22462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2FC995CC">
            <w:pPr>
              <w:shd w:val="clea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24</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3ED10EDD">
            <w:pPr>
              <w:shd w:val="clear"/>
              <w:spacing w:line="340" w:lineRule="exact"/>
              <w:rPr>
                <w:rFonts w:hint="eastAsia" w:ascii="Times New Roman" w:hAnsi="Times New Roman" w:eastAsia="宋体" w:cs="Times New Roman"/>
                <w:color w:val="auto"/>
                <w:kern w:val="0"/>
                <w:szCs w:val="21"/>
                <w:highlight w:val="none"/>
                <w:lang w:val="zh-CN" w:eastAsia="zh-CN"/>
              </w:rPr>
            </w:pPr>
            <w:r>
              <w:rPr>
                <w:rFonts w:hint="default" w:ascii="Times New Roman" w:hAnsi="Times New Roman" w:eastAsia="宋体" w:cs="Times New Roman"/>
                <w:color w:val="auto"/>
                <w:kern w:val="0"/>
                <w:szCs w:val="21"/>
                <w:highlight w:val="none"/>
                <w:lang w:val="en-US" w:eastAsia="zh-CN"/>
              </w:rPr>
              <w:t>最高限价</w:t>
            </w:r>
            <w:r>
              <w:rPr>
                <w:rFonts w:hint="eastAsia" w:ascii="Times New Roman" w:hAnsi="Times New Roman" w:eastAsia="宋体" w:cs="Times New Roman"/>
                <w:color w:val="auto"/>
                <w:kern w:val="0"/>
                <w:szCs w:val="21"/>
                <w:highlight w:val="none"/>
                <w:lang w:val="en-US" w:eastAsia="zh-CN"/>
              </w:rPr>
              <w:t>：</w:t>
            </w:r>
            <w:r>
              <w:rPr>
                <w:rFonts w:hint="eastAsia" w:ascii="宋体" w:cs="Times New Roman"/>
                <w:color w:val="auto"/>
                <w:highlight w:val="none"/>
                <w:lang w:val="en-US" w:eastAsia="zh-CN"/>
              </w:rPr>
              <w:t>560000元</w:t>
            </w:r>
            <w:r>
              <w:rPr>
                <w:rFonts w:hint="eastAsia" w:ascii="Times New Roman" w:hAnsi="Times New Roman" w:eastAsia="宋体" w:cs="Times New Roman"/>
                <w:color w:val="auto"/>
                <w:kern w:val="0"/>
                <w:szCs w:val="21"/>
                <w:highlight w:val="none"/>
                <w:lang w:val="zh-CN" w:eastAsia="zh-CN"/>
              </w:rPr>
              <w:t xml:space="preserve">                                                                                                                  </w:t>
            </w:r>
          </w:p>
          <w:p w14:paraId="2521A53F">
            <w:pPr>
              <w:shd w:val="clear"/>
              <w:spacing w:line="340" w:lineRule="exact"/>
              <w:rPr>
                <w:rFonts w:hint="eastAsia" w:ascii="宋体" w:hAnsi="宋体" w:eastAsia="宋体" w:cs="宋体"/>
                <w:color w:val="auto"/>
                <w:kern w:val="2"/>
                <w:sz w:val="21"/>
                <w:szCs w:val="24"/>
                <w:highlight w:val="none"/>
                <w:lang w:val="en-US" w:eastAsia="zh-CN" w:bidi="ar-SA"/>
              </w:rPr>
            </w:pPr>
            <w:r>
              <w:rPr>
                <w:rFonts w:hint="eastAsia" w:ascii="Times New Roman" w:hAnsi="Times New Roman" w:eastAsia="宋体" w:cs="Times New Roman"/>
                <w:color w:val="auto"/>
                <w:kern w:val="0"/>
                <w:szCs w:val="21"/>
                <w:highlight w:val="none"/>
                <w:lang w:val="zh-CN" w:eastAsia="zh-CN"/>
              </w:rPr>
              <w:t>投标单位根据自身情况进行报价。投标报价超出</w:t>
            </w:r>
            <w:r>
              <w:rPr>
                <w:rFonts w:hint="default" w:ascii="Times New Roman" w:hAnsi="Times New Roman" w:eastAsia="宋体" w:cs="Times New Roman"/>
                <w:bCs/>
                <w:color w:val="auto"/>
                <w:szCs w:val="21"/>
                <w:highlight w:val="none"/>
                <w:lang w:val="en-US" w:eastAsia="zh-CN"/>
              </w:rPr>
              <w:t>最高限价</w:t>
            </w:r>
            <w:r>
              <w:rPr>
                <w:rFonts w:hint="eastAsia" w:ascii="Times New Roman" w:hAnsi="Times New Roman" w:eastAsia="宋体" w:cs="Times New Roman"/>
                <w:color w:val="auto"/>
                <w:kern w:val="0"/>
                <w:szCs w:val="21"/>
                <w:highlight w:val="none"/>
                <w:lang w:val="zh-CN" w:eastAsia="zh-CN"/>
              </w:rPr>
              <w:t>的，其投标将被否决。</w:t>
            </w:r>
          </w:p>
        </w:tc>
      </w:tr>
      <w:tr w14:paraId="14174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11208260">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25</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71A9A2E2">
            <w:pPr>
              <w:shd w:val="clear"/>
              <w:spacing w:line="360" w:lineRule="auto"/>
              <w:rPr>
                <w:rFonts w:hint="eastAsia" w:ascii="Times New Roman" w:hAnsi="Times New Roman" w:eastAsia="宋体" w:cs="Times New Roman"/>
                <w:color w:val="auto"/>
                <w:kern w:val="0"/>
                <w:sz w:val="21"/>
                <w:szCs w:val="21"/>
                <w:highlight w:val="none"/>
                <w:lang w:val="zh-CN" w:eastAsia="zh-CN" w:bidi="ar-SA"/>
              </w:rPr>
            </w:pPr>
            <w:r>
              <w:rPr>
                <w:rFonts w:hint="eastAsia"/>
                <w:bCs/>
                <w:color w:val="auto"/>
                <w:szCs w:val="21"/>
                <w:highlight w:val="none"/>
              </w:rPr>
              <w:t>投标报价</w:t>
            </w:r>
            <w:r>
              <w:rPr>
                <w:rFonts w:hint="eastAsia"/>
                <w:bCs/>
                <w:color w:val="auto"/>
                <w:szCs w:val="21"/>
                <w:highlight w:val="none"/>
                <w:lang w:eastAsia="zh-CN"/>
              </w:rPr>
              <w:t>：</w:t>
            </w:r>
            <w:r>
              <w:rPr>
                <w:rFonts w:hint="eastAsia"/>
                <w:color w:val="auto"/>
                <w:kern w:val="0"/>
                <w:szCs w:val="21"/>
                <w:highlight w:val="none"/>
              </w:rPr>
              <w:t>投标报价不得超过采购</w:t>
            </w:r>
            <w:r>
              <w:rPr>
                <w:rFonts w:hint="eastAsia" w:ascii="Times New Roman" w:hAnsi="Times New Roman" w:eastAsia="宋体" w:cs="Times New Roman"/>
                <w:color w:val="auto"/>
                <w:kern w:val="0"/>
                <w:szCs w:val="21"/>
                <w:highlight w:val="none"/>
              </w:rPr>
              <w:t>预算</w:t>
            </w:r>
            <w:r>
              <w:rPr>
                <w:rFonts w:hint="default" w:ascii="Times New Roman" w:hAnsi="Times New Roman" w:eastAsia="宋体" w:cs="Times New Roman"/>
                <w:color w:val="auto"/>
                <w:kern w:val="0"/>
                <w:szCs w:val="21"/>
                <w:highlight w:val="none"/>
                <w:lang w:val="en-US" w:eastAsia="zh-CN"/>
              </w:rPr>
              <w:t>（最高限价</w:t>
            </w:r>
            <w:r>
              <w:rPr>
                <w:rFonts w:hint="eastAsia" w:ascii="Times New Roman" w:hAnsi="Times New Roman" w:eastAsia="宋体" w:cs="Times New Roman"/>
                <w:color w:val="auto"/>
                <w:kern w:val="0"/>
                <w:szCs w:val="21"/>
                <w:highlight w:val="none"/>
                <w:lang w:val="en-US" w:eastAsia="zh-CN"/>
              </w:rPr>
              <w:t>）</w:t>
            </w:r>
            <w:r>
              <w:rPr>
                <w:rFonts w:hint="eastAsia" w:ascii="Times New Roman" w:hAnsi="Times New Roman" w:eastAsia="宋体" w:cs="Times New Roman"/>
                <w:color w:val="auto"/>
                <w:kern w:val="0"/>
                <w:szCs w:val="21"/>
                <w:highlight w:val="none"/>
              </w:rPr>
              <w:t>，否则将被否决其投标。</w:t>
            </w:r>
          </w:p>
        </w:tc>
      </w:tr>
      <w:tr w14:paraId="717A68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0C50BAD5">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26</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6D68B977">
            <w:pPr>
              <w:shd w:val="clear"/>
              <w:spacing w:line="360" w:lineRule="auto"/>
              <w:rPr>
                <w:rFonts w:hint="eastAsia" w:ascii="宋体" w:hAnsi="宋体" w:eastAsia="宋体" w:cs="宋体"/>
                <w:color w:val="auto"/>
                <w:kern w:val="2"/>
                <w:sz w:val="21"/>
                <w:szCs w:val="24"/>
                <w:highlight w:val="none"/>
                <w:lang w:val="zh-CN" w:eastAsia="zh-CN" w:bidi="ar-SA"/>
              </w:rPr>
            </w:pPr>
            <w:r>
              <w:rPr>
                <w:rFonts w:hint="eastAsia" w:ascii="宋体" w:hAnsi="宋体" w:eastAsia="宋体" w:cs="宋体"/>
                <w:color w:val="auto"/>
                <w:highlight w:val="none"/>
              </w:rPr>
              <w:t>付款方式：</w:t>
            </w:r>
            <w:r>
              <w:rPr>
                <w:rFonts w:hint="eastAsia" w:ascii="宋体" w:hAnsi="宋体" w:cs="宋体"/>
                <w:color w:val="auto"/>
                <w:highlight w:val="none"/>
                <w:lang w:val="en-US" w:eastAsia="zh-CN"/>
              </w:rPr>
              <w:t xml:space="preserve">验收合格后30天内一次性支付 </w:t>
            </w:r>
            <w:r>
              <w:rPr>
                <w:rFonts w:hint="eastAsia" w:ascii="宋体" w:hAnsi="宋体" w:eastAsia="宋体" w:cs="宋体"/>
                <w:color w:val="auto"/>
                <w:highlight w:val="none"/>
              </w:rPr>
              <w:t>。</w:t>
            </w:r>
          </w:p>
        </w:tc>
      </w:tr>
      <w:tr w14:paraId="07694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428D7BBF">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27</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379374A3">
            <w:pPr>
              <w:shd w:val="clear"/>
              <w:spacing w:line="360" w:lineRule="auto"/>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bCs/>
                <w:color w:val="auto"/>
                <w:highlight w:val="none"/>
              </w:rPr>
              <w:t>履约担保</w:t>
            </w:r>
            <w:r>
              <w:rPr>
                <w:rFonts w:hint="eastAsia" w:ascii="宋体" w:hAnsi="宋体" w:eastAsia="宋体" w:cs="宋体"/>
                <w:bCs/>
                <w:color w:val="auto"/>
                <w:highlight w:val="none"/>
                <w:lang w:val="en-US" w:eastAsia="zh-CN"/>
              </w:rPr>
              <w:t>金额</w:t>
            </w:r>
            <w:r>
              <w:rPr>
                <w:rFonts w:hint="eastAsia" w:ascii="宋体" w:hAnsi="宋体" w:eastAsia="宋体" w:cs="宋体"/>
                <w:bCs/>
                <w:color w:val="auto"/>
                <w:highlight w:val="none"/>
              </w:rPr>
              <w:t>：</w:t>
            </w:r>
            <w:r>
              <w:rPr>
                <w:rFonts w:hint="eastAsia" w:ascii="宋体" w:hAnsi="宋体" w:cs="宋体"/>
                <w:bCs/>
                <w:color w:val="auto"/>
                <w:highlight w:val="none"/>
                <w:lang w:val="en-US" w:eastAsia="zh-CN"/>
              </w:rPr>
              <w:t>合同金额的5%</w:t>
            </w:r>
          </w:p>
        </w:tc>
      </w:tr>
      <w:tr w14:paraId="6561CF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04186AE1">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2</w:t>
            </w:r>
            <w:r>
              <w:rPr>
                <w:rFonts w:hint="eastAsia" w:ascii="宋体" w:hAnsi="宋体" w:eastAsia="宋体" w:cs="宋体"/>
                <w:color w:val="auto"/>
                <w:highlight w:val="none"/>
                <w:lang w:val="en-US" w:eastAsia="zh-CN"/>
              </w:rPr>
              <w:t>8</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1CD05C63">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bCs/>
                <w:color w:val="auto"/>
                <w:highlight w:val="none"/>
                <w:lang w:val="zh-CN"/>
              </w:rPr>
              <w:t>质保期：</w:t>
            </w:r>
            <w:r>
              <w:rPr>
                <w:rFonts w:hint="eastAsia" w:ascii="宋体" w:hAnsi="宋体" w:eastAsia="宋体" w:cs="宋体"/>
                <w:bCs/>
                <w:color w:val="auto"/>
                <w:highlight w:val="none"/>
              </w:rPr>
              <w:t>硬件及施工质保期为3年，服务质保期为1年</w:t>
            </w:r>
            <w:r>
              <w:rPr>
                <w:rFonts w:hint="eastAsia" w:ascii="宋体" w:hAnsi="宋体" w:eastAsia="宋体" w:cs="宋体"/>
                <w:bCs/>
                <w:color w:val="auto"/>
                <w:highlight w:val="none"/>
                <w:lang w:val="zh-CN"/>
              </w:rPr>
              <w:t>。</w:t>
            </w:r>
          </w:p>
        </w:tc>
      </w:tr>
      <w:tr w14:paraId="7A6697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01AEA80F">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29</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594D4E51">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知识产权：构成本竞争性磋商文件各个组成部分的文件，未经采购人书面同意，</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 xml:space="preserve">不得擅自复印和用于非本招标项目所需的其他目的。采购人全部或者部分使用未中标人响应文件中的技术成果或技术方案时，需征得其书面同意，并不得擅自复印或提供给第三人。 </w:t>
            </w:r>
          </w:p>
        </w:tc>
      </w:tr>
      <w:tr w14:paraId="287CF2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4D44F3F4">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30</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2E78D272">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构成响应文件的其他材料</w:t>
            </w:r>
          </w:p>
          <w:p w14:paraId="18E35C4B">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磋商文件要求的其他材料。</w:t>
            </w:r>
          </w:p>
          <w:p w14:paraId="27442AE3">
            <w:pPr>
              <w:shd w:val="clear"/>
              <w:spacing w:line="360" w:lineRule="auto"/>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注：响应文件中附复印件加盖公章，未能按要求提供者，将导致其投标被否决。</w:t>
            </w:r>
          </w:p>
        </w:tc>
      </w:tr>
      <w:tr w14:paraId="1C8335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21F79DCE">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31</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7122057E">
            <w:pPr>
              <w:shd w:val="clear"/>
              <w:spacing w:line="360" w:lineRule="auto"/>
              <w:rPr>
                <w:rFonts w:hint="eastAsia" w:ascii="宋体" w:hAnsi="宋体" w:eastAsia="宋体" w:cs="宋体"/>
                <w:b/>
                <w:bCs w:val="0"/>
                <w:color w:val="auto"/>
                <w:kern w:val="2"/>
                <w:sz w:val="21"/>
                <w:szCs w:val="24"/>
                <w:highlight w:val="none"/>
                <w:lang w:val="en-US" w:eastAsia="zh-CN" w:bidi="ar-SA"/>
              </w:rPr>
            </w:pPr>
            <w:r>
              <w:rPr>
                <w:rFonts w:hint="eastAsia" w:ascii="宋体" w:hAnsi="宋体" w:cs="宋体"/>
                <w:color w:val="auto"/>
                <w:highlight w:val="none"/>
                <w:lang w:val="en-US" w:eastAsia="zh-CN"/>
              </w:rPr>
              <w:t>是否采取技术标暗标评审：</w:t>
            </w:r>
            <w:r>
              <w:rPr>
                <w:rFonts w:hint="eastAsia" w:ascii="宋体" w:hAnsi="宋体" w:cs="宋体"/>
                <w:b/>
                <w:bCs w:val="0"/>
                <w:color w:val="auto"/>
                <w:szCs w:val="21"/>
                <w:highlight w:val="none"/>
                <w:lang w:val="zh-CN"/>
              </w:rPr>
              <w:t>采用</w:t>
            </w:r>
            <w:r>
              <w:rPr>
                <w:rFonts w:hint="eastAsia" w:ascii="宋体" w:hAnsi="宋体" w:cs="宋体"/>
                <w:b/>
                <w:bCs w:val="0"/>
                <w:color w:val="auto"/>
                <w:szCs w:val="21"/>
                <w:highlight w:val="none"/>
                <w:lang w:val="en-US" w:eastAsia="zh-CN"/>
              </w:rPr>
              <w:t>技术标暗标</w:t>
            </w:r>
            <w:r>
              <w:rPr>
                <w:rFonts w:hint="eastAsia" w:ascii="宋体" w:hAnsi="宋体" w:cs="宋体"/>
                <w:b/>
                <w:bCs w:val="0"/>
                <w:color w:val="auto"/>
                <w:szCs w:val="21"/>
                <w:highlight w:val="none"/>
                <w:lang w:val="zh-CN"/>
              </w:rPr>
              <w:t>评审</w:t>
            </w:r>
          </w:p>
        </w:tc>
      </w:tr>
      <w:tr w14:paraId="3E1928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noWrap w:val="0"/>
            <w:vAlign w:val="center"/>
          </w:tcPr>
          <w:p w14:paraId="3E8BDDEB">
            <w:pPr>
              <w:shd w:val="clear"/>
              <w:spacing w:line="360" w:lineRule="auto"/>
              <w:jc w:val="center"/>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32</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2D225097">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政府采购支持中小企业、监狱企业、残疾人福利性单位发展：</w:t>
            </w:r>
          </w:p>
          <w:p w14:paraId="4CC2ACD0">
            <w:pPr>
              <w:shd w:val="clear"/>
              <w:spacing w:line="360" w:lineRule="auto"/>
              <w:rPr>
                <w:rFonts w:hint="eastAsia" w:ascii="宋体" w:hAnsi="宋体" w:eastAsia="宋体" w:cs="宋体"/>
                <w:color w:val="auto"/>
                <w:highlight w:val="none"/>
                <w:lang w:val="en-US" w:eastAsia="zh-CN"/>
              </w:rPr>
            </w:pPr>
            <w:r>
              <w:rPr>
                <w:rFonts w:hint="eastAsia" w:ascii="宋体" w:hAnsi="宋体" w:cs="宋体"/>
                <w:color w:val="auto"/>
                <w:highlight w:val="none"/>
                <w:lang w:eastAsia="zh-CN"/>
              </w:rPr>
              <w:t>□</w:t>
            </w:r>
            <w:r>
              <w:rPr>
                <w:rFonts w:hint="eastAsia" w:ascii="宋体" w:hAnsi="宋体" w:eastAsia="宋体" w:cs="宋体"/>
                <w:color w:val="auto"/>
                <w:highlight w:val="none"/>
              </w:rPr>
              <w:t>专门面向中小企业采购，本项目为专门面向中小企业采购项目，供应商应提供中小企业声明函原件，评审时不再执行价格评审优惠的扶持政策。</w:t>
            </w:r>
            <w:r>
              <w:rPr>
                <w:rFonts w:hint="eastAsia" w:ascii="宋体" w:hAnsi="宋体" w:eastAsia="宋体" w:cs="宋体"/>
                <w:color w:val="auto"/>
                <w:szCs w:val="21"/>
                <w:highlight w:val="none"/>
              </w:rPr>
              <w:t>监狱企业、残疾人福利性单位</w:t>
            </w:r>
            <w:r>
              <w:rPr>
                <w:rFonts w:hint="eastAsia" w:ascii="宋体" w:hAnsi="宋体" w:eastAsia="宋体" w:cs="宋体"/>
                <w:color w:val="auto"/>
                <w:szCs w:val="21"/>
                <w:highlight w:val="none"/>
                <w:lang w:val="en-US" w:eastAsia="zh-CN"/>
              </w:rPr>
              <w:t>视同为小微企业。</w:t>
            </w:r>
          </w:p>
          <w:p w14:paraId="6D182EFB">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highlight w:val="none"/>
              </w:rPr>
              <w:sym w:font="Wingdings" w:char="00FE"/>
            </w:r>
            <w:r>
              <w:rPr>
                <w:rFonts w:hint="eastAsia" w:ascii="宋体" w:hAnsi="宋体" w:eastAsia="宋体" w:cs="宋体"/>
                <w:color w:val="auto"/>
                <w:highlight w:val="none"/>
              </w:rPr>
              <w:t xml:space="preserve"> 非专门面向中小企业、监狱企业、残疾人福利性单位采购</w:t>
            </w:r>
            <w:r>
              <w:rPr>
                <w:rFonts w:hint="eastAsia" w:ascii="宋体" w:hAnsi="宋体" w:eastAsia="宋体" w:cs="宋体"/>
                <w:color w:val="auto"/>
                <w:highlight w:val="none"/>
                <w:lang w:eastAsia="zh-CN"/>
              </w:rPr>
              <w:t>，</w:t>
            </w:r>
            <w:r>
              <w:rPr>
                <w:rFonts w:hint="eastAsia" w:ascii="宋体" w:hAnsi="宋体" w:eastAsia="宋体" w:cs="宋体"/>
                <w:color w:val="auto"/>
                <w:szCs w:val="21"/>
                <w:highlight w:val="none"/>
              </w:rPr>
              <w:t>对于小型或微型企业、监狱企业、残疾人福利性单位参与本项目投标的，给予10%的价格扣除。</w:t>
            </w:r>
          </w:p>
          <w:p w14:paraId="5D4D059D">
            <w:pPr>
              <w:shd w:val="clear"/>
              <w:spacing w:line="360" w:lineRule="auto"/>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b/>
                <w:bCs/>
                <w:color w:val="auto"/>
                <w:szCs w:val="21"/>
                <w:highlight w:val="none"/>
              </w:rPr>
              <w:t>注：</w:t>
            </w:r>
            <w:r>
              <w:rPr>
                <w:rFonts w:hint="eastAsia" w:ascii="宋体" w:hAnsi="宋体" w:eastAsia="宋体" w:cs="宋体"/>
                <w:b/>
                <w:bCs/>
                <w:color w:val="auto"/>
                <w:szCs w:val="21"/>
                <w:highlight w:val="none"/>
                <w:lang w:val="en-US" w:eastAsia="zh-CN"/>
              </w:rPr>
              <w:t>中小微</w:t>
            </w:r>
            <w:r>
              <w:rPr>
                <w:rFonts w:hint="eastAsia" w:ascii="宋体" w:hAnsi="宋体" w:eastAsia="宋体" w:cs="宋体"/>
                <w:b/>
                <w:bCs/>
                <w:color w:val="auto"/>
                <w:szCs w:val="21"/>
                <w:highlight w:val="none"/>
              </w:rPr>
              <w:t>企业提供《</w:t>
            </w:r>
            <w:r>
              <w:rPr>
                <w:rFonts w:hint="eastAsia" w:ascii="宋体" w:hAnsi="宋体" w:eastAsia="宋体" w:cs="宋体"/>
                <w:b/>
                <w:bCs/>
                <w:color w:val="auto"/>
                <w:szCs w:val="21"/>
                <w:highlight w:val="none"/>
                <w:lang w:val="en-US" w:eastAsia="zh-CN"/>
              </w:rPr>
              <w:t>中小</w:t>
            </w:r>
            <w:r>
              <w:rPr>
                <w:rFonts w:hint="eastAsia" w:ascii="宋体" w:hAnsi="宋体" w:eastAsia="宋体" w:cs="宋体"/>
                <w:b/>
                <w:bCs/>
                <w:color w:val="auto"/>
                <w:szCs w:val="21"/>
                <w:highlight w:val="none"/>
              </w:rPr>
              <w:t>企业声明函》的原件；</w:t>
            </w:r>
          </w:p>
        </w:tc>
      </w:tr>
      <w:tr w14:paraId="5860D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shd w:val="clear" w:color="auto" w:fill="auto"/>
            <w:noWrap w:val="0"/>
            <w:vAlign w:val="center"/>
          </w:tcPr>
          <w:p w14:paraId="5A0860BA">
            <w:pPr>
              <w:shd w:val="clear"/>
              <w:spacing w:line="360" w:lineRule="auto"/>
              <w:jc w:val="center"/>
              <w:rPr>
                <w:rFonts w:hint="eastAsia"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33</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104FDC5B">
            <w:pPr>
              <w:shd w:val="clear"/>
              <w:spacing w:line="360" w:lineRule="auto"/>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rPr>
              <w:t>招标代理服务费：</w:t>
            </w:r>
            <w:r>
              <w:rPr>
                <w:rFonts w:hint="eastAsia" w:ascii="宋体" w:hAnsi="宋体" w:eastAsia="宋体" w:cs="宋体"/>
                <w:bCs/>
                <w:color w:val="auto"/>
                <w:szCs w:val="21"/>
                <w:highlight w:val="none"/>
                <w:lang w:val="zh-CN"/>
              </w:rPr>
              <w:t>执行发改价格【2015】299号文件《国家发展改革委关于进一步放开建设项目专业服务价格的通知》规定，</w:t>
            </w:r>
            <w:r>
              <w:rPr>
                <w:rFonts w:hint="eastAsia" w:ascii="宋体" w:hAnsi="宋体" w:eastAsia="宋体" w:cs="宋体"/>
                <w:bCs/>
                <w:color w:val="auto"/>
                <w:szCs w:val="21"/>
                <w:highlight w:val="none"/>
              </w:rPr>
              <w:t>本项目招标代理费由招标代理机构向中标单位收取。</w:t>
            </w:r>
          </w:p>
        </w:tc>
      </w:tr>
      <w:tr w14:paraId="60CCF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959" w:type="dxa"/>
            <w:tcBorders>
              <w:top w:val="single" w:color="000000" w:sz="4" w:space="0"/>
              <w:bottom w:val="single" w:color="auto" w:sz="4" w:space="0"/>
              <w:right w:val="single" w:color="000000" w:sz="4" w:space="0"/>
            </w:tcBorders>
            <w:shd w:val="clear" w:color="auto" w:fill="auto"/>
            <w:noWrap w:val="0"/>
            <w:vAlign w:val="center"/>
          </w:tcPr>
          <w:p w14:paraId="5F6AE59A">
            <w:pPr>
              <w:shd w:val="clear"/>
              <w:spacing w:line="360" w:lineRule="auto"/>
              <w:jc w:val="center"/>
              <w:rPr>
                <w:rFonts w:hint="default" w:ascii="宋体" w:hAnsi="宋体" w:eastAsia="宋体" w:cs="宋体"/>
                <w:color w:val="auto"/>
                <w:kern w:val="2"/>
                <w:sz w:val="21"/>
                <w:szCs w:val="24"/>
                <w:highlight w:val="none"/>
                <w:lang w:val="en-US" w:eastAsia="zh-CN" w:bidi="ar-SA"/>
              </w:rPr>
            </w:pPr>
            <w:r>
              <w:rPr>
                <w:rFonts w:hint="eastAsia" w:ascii="宋体" w:hAnsi="宋体" w:eastAsia="宋体" w:cs="宋体"/>
                <w:color w:val="auto"/>
                <w:highlight w:val="none"/>
                <w:lang w:val="en-US" w:eastAsia="zh-CN"/>
              </w:rPr>
              <w:t>34</w:t>
            </w:r>
          </w:p>
        </w:tc>
        <w:tc>
          <w:tcPr>
            <w:tcW w:w="8806" w:type="dxa"/>
            <w:tcBorders>
              <w:top w:val="single" w:color="000000" w:sz="4" w:space="0"/>
              <w:left w:val="single" w:color="000000" w:sz="4" w:space="0"/>
              <w:bottom w:val="single" w:color="auto" w:sz="4" w:space="0"/>
            </w:tcBorders>
            <w:shd w:val="clear" w:color="auto" w:fill="auto"/>
            <w:noWrap w:val="0"/>
            <w:vAlign w:val="center"/>
          </w:tcPr>
          <w:p w14:paraId="6BC1BECD">
            <w:pPr>
              <w:shd w:val="clear"/>
              <w:spacing w:line="360" w:lineRule="auto"/>
              <w:rPr>
                <w:rFonts w:hint="eastAsia"/>
                <w:color w:val="auto"/>
                <w:highlight w:val="none"/>
              </w:rPr>
            </w:pPr>
            <w:r>
              <w:rPr>
                <w:rFonts w:hint="eastAsia"/>
                <w:color w:val="auto"/>
                <w:highlight w:val="none"/>
              </w:rPr>
              <w:t>电子标说明：</w:t>
            </w:r>
          </w:p>
          <w:p w14:paraId="3D11091D">
            <w:pPr>
              <w:shd w:val="clear"/>
              <w:spacing w:line="360" w:lineRule="auto"/>
              <w:rPr>
                <w:rFonts w:hint="eastAsia"/>
                <w:color w:val="auto"/>
                <w:highlight w:val="none"/>
              </w:rPr>
            </w:pPr>
            <w:r>
              <w:rPr>
                <w:rFonts w:hint="eastAsia"/>
                <w:color w:val="auto"/>
                <w:highlight w:val="none"/>
              </w:rPr>
              <w:t>上传的电子证件及资料均需按要求签字盖章上传，否则按未签章处理。</w:t>
            </w:r>
          </w:p>
          <w:p w14:paraId="6A183E94">
            <w:pPr>
              <w:shd w:val="clear"/>
              <w:spacing w:line="360" w:lineRule="auto"/>
              <w:rPr>
                <w:rFonts w:hint="eastAsia"/>
                <w:color w:val="auto"/>
                <w:highlight w:val="none"/>
              </w:rPr>
            </w:pPr>
            <w:r>
              <w:rPr>
                <w:rFonts w:hint="eastAsia"/>
                <w:color w:val="auto"/>
                <w:highlight w:val="none"/>
                <w:lang w:eastAsia="zh-CN"/>
              </w:rPr>
              <w:t>响应文件</w:t>
            </w:r>
            <w:r>
              <w:rPr>
                <w:rFonts w:hint="eastAsia"/>
                <w:color w:val="auto"/>
                <w:highlight w:val="none"/>
              </w:rPr>
              <w:t>电子版方面技术支持：95763</w:t>
            </w:r>
          </w:p>
          <w:p w14:paraId="192AA448">
            <w:pPr>
              <w:shd w:val="clear"/>
              <w:spacing w:line="360" w:lineRule="auto"/>
              <w:rPr>
                <w:rFonts w:hint="eastAsia"/>
                <w:color w:val="auto"/>
                <w:highlight w:val="none"/>
              </w:rPr>
            </w:pPr>
            <w:r>
              <w:rPr>
                <w:rFonts w:hint="eastAsia"/>
                <w:color w:val="auto"/>
                <w:highlight w:val="none"/>
              </w:rPr>
              <w:t>供应商在政府采购云平台（网址：http:// www.zcygov.cn）通过数字证书制作</w:t>
            </w:r>
            <w:r>
              <w:rPr>
                <w:rFonts w:hint="eastAsia"/>
                <w:color w:val="auto"/>
                <w:highlight w:val="none"/>
                <w:lang w:eastAsia="zh-CN"/>
              </w:rPr>
              <w:t>响应文件</w:t>
            </w:r>
            <w:r>
              <w:rPr>
                <w:rFonts w:hint="eastAsia"/>
                <w:color w:val="auto"/>
                <w:highlight w:val="none"/>
              </w:rPr>
              <w:t>1份（此</w:t>
            </w:r>
            <w:r>
              <w:rPr>
                <w:rFonts w:hint="eastAsia"/>
                <w:color w:val="auto"/>
                <w:highlight w:val="none"/>
                <w:lang w:eastAsia="zh-CN"/>
              </w:rPr>
              <w:t>响应文件</w:t>
            </w:r>
            <w:r>
              <w:rPr>
                <w:rFonts w:hint="eastAsia"/>
                <w:color w:val="auto"/>
                <w:highlight w:val="none"/>
              </w:rPr>
              <w:t>需上传至政府采购云平台，并在开标时持编制</w:t>
            </w:r>
            <w:r>
              <w:rPr>
                <w:rFonts w:hint="eastAsia"/>
                <w:color w:val="auto"/>
                <w:highlight w:val="none"/>
                <w:lang w:eastAsia="zh-CN"/>
              </w:rPr>
              <w:t>响应文件</w:t>
            </w:r>
            <w:r>
              <w:rPr>
                <w:rFonts w:hint="eastAsia"/>
                <w:color w:val="auto"/>
                <w:highlight w:val="none"/>
              </w:rPr>
              <w:t>的投标人数字证书进行远程解密）。</w:t>
            </w:r>
          </w:p>
          <w:p w14:paraId="2EB55E7A">
            <w:pPr>
              <w:shd w:val="clear"/>
              <w:spacing w:line="360" w:lineRule="auto"/>
              <w:rPr>
                <w:rFonts w:hint="eastAsia"/>
                <w:color w:val="auto"/>
                <w:highlight w:val="none"/>
              </w:rPr>
            </w:pPr>
            <w:r>
              <w:rPr>
                <w:rFonts w:hint="eastAsia"/>
                <w:color w:val="auto"/>
                <w:highlight w:val="none"/>
              </w:rPr>
              <w:t>备注：</w:t>
            </w:r>
          </w:p>
          <w:p w14:paraId="33705456">
            <w:pPr>
              <w:shd w:val="clear"/>
              <w:spacing w:line="360" w:lineRule="auto"/>
              <w:rPr>
                <w:rFonts w:hint="eastAsia"/>
                <w:color w:val="auto"/>
                <w:highlight w:val="none"/>
              </w:rPr>
            </w:pPr>
            <w:r>
              <w:rPr>
                <w:rFonts w:hint="eastAsia"/>
                <w:color w:val="auto"/>
                <w:highlight w:val="none"/>
                <w:lang w:eastAsia="zh-CN"/>
              </w:rPr>
              <w:t>响应文件</w:t>
            </w:r>
            <w:r>
              <w:rPr>
                <w:rFonts w:hint="eastAsia"/>
                <w:color w:val="auto"/>
                <w:highlight w:val="none"/>
              </w:rPr>
              <w:t>电子版(U盘)按</w:t>
            </w:r>
            <w:r>
              <w:rPr>
                <w:rFonts w:hint="eastAsia"/>
                <w:color w:val="auto"/>
                <w:highlight w:val="none"/>
                <w:lang w:val="en-US" w:eastAsia="zh-CN"/>
              </w:rPr>
              <w:t>竞争性磋商文件</w:t>
            </w:r>
            <w:r>
              <w:rPr>
                <w:rFonts w:hint="eastAsia"/>
                <w:color w:val="auto"/>
                <w:highlight w:val="none"/>
              </w:rPr>
              <w:t>规定执行，用数字证书编制的电子版按政府采购云平台要求进行投标操作。</w:t>
            </w:r>
          </w:p>
          <w:p w14:paraId="758C437E">
            <w:pPr>
              <w:shd w:val="clear"/>
              <w:spacing w:line="340" w:lineRule="exact"/>
              <w:rPr>
                <w:rFonts w:hint="eastAsia"/>
                <w:color w:val="auto"/>
                <w:highlight w:val="none"/>
              </w:rPr>
            </w:pPr>
            <w:r>
              <w:rPr>
                <w:rFonts w:hint="eastAsia"/>
                <w:color w:val="auto"/>
                <w:highlight w:val="none"/>
                <w:lang w:eastAsia="zh-CN"/>
              </w:rPr>
              <w:t>响应文件</w:t>
            </w:r>
            <w:r>
              <w:rPr>
                <w:rFonts w:hint="eastAsia"/>
                <w:color w:val="auto"/>
                <w:highlight w:val="none"/>
              </w:rPr>
              <w:t>解密：远程自行解密。</w:t>
            </w:r>
          </w:p>
          <w:p w14:paraId="6B1DCBB2">
            <w:pPr>
              <w:shd w:val="clear"/>
              <w:spacing w:line="340" w:lineRule="exact"/>
              <w:rPr>
                <w:rFonts w:hint="eastAsia" w:ascii="宋体" w:cs="宋体"/>
                <w:bCs/>
                <w:color w:val="auto"/>
                <w:szCs w:val="21"/>
                <w:highlight w:val="none"/>
              </w:rPr>
            </w:pPr>
            <w:r>
              <w:rPr>
                <w:rFonts w:hint="eastAsia"/>
                <w:color w:val="auto"/>
                <w:highlight w:val="none"/>
              </w:rPr>
              <w:t>其他要求：根据吉财采购</w:t>
            </w:r>
            <w:r>
              <w:rPr>
                <w:rFonts w:hint="eastAsia" w:ascii="宋体" w:cs="宋体"/>
                <w:bCs/>
                <w:color w:val="auto"/>
                <w:szCs w:val="21"/>
                <w:highlight w:val="none"/>
                <w:lang w:val="zh-CN"/>
              </w:rPr>
              <w:t>﹝2</w:t>
            </w:r>
            <w:r>
              <w:rPr>
                <w:rFonts w:hint="eastAsia" w:ascii="宋体" w:cs="宋体"/>
                <w:bCs/>
                <w:color w:val="auto"/>
                <w:szCs w:val="21"/>
                <w:highlight w:val="none"/>
              </w:rPr>
              <w:t>023</w:t>
            </w:r>
            <w:r>
              <w:rPr>
                <w:rFonts w:hint="eastAsia" w:ascii="宋体" w:cs="宋体"/>
                <w:bCs/>
                <w:color w:val="auto"/>
                <w:szCs w:val="21"/>
                <w:highlight w:val="none"/>
                <w:lang w:val="zh-CN"/>
              </w:rPr>
              <w:t>﹞</w:t>
            </w:r>
            <w:r>
              <w:rPr>
                <w:rFonts w:hint="eastAsia" w:ascii="宋体" w:cs="宋体"/>
                <w:bCs/>
                <w:color w:val="auto"/>
                <w:szCs w:val="21"/>
                <w:highlight w:val="none"/>
              </w:rPr>
              <w:t>721号文件规定，本项目支持中标（成交）供应商开展合同融资贷款。</w:t>
            </w:r>
          </w:p>
          <w:p w14:paraId="252A5382">
            <w:pPr>
              <w:shd w:val="clear"/>
              <w:spacing w:line="340" w:lineRule="exact"/>
              <w:rPr>
                <w:rFonts w:hint="eastAsia" w:ascii="Times New Roman" w:hAnsi="Times New Roman" w:eastAsia="宋体" w:cs="Times New Roman"/>
                <w:bCs/>
                <w:color w:val="auto"/>
                <w:kern w:val="2"/>
                <w:sz w:val="21"/>
                <w:szCs w:val="21"/>
                <w:highlight w:val="none"/>
                <w:lang w:val="en-US" w:eastAsia="zh-CN" w:bidi="ar-SA"/>
              </w:rPr>
            </w:pPr>
            <w:r>
              <w:rPr>
                <w:bCs/>
                <w:color w:val="auto"/>
                <w:szCs w:val="21"/>
                <w:highlight w:val="none"/>
              </w:rPr>
              <w:t>本项目</w:t>
            </w:r>
            <w:r>
              <w:rPr>
                <w:rFonts w:hint="eastAsia"/>
                <w:bCs/>
                <w:color w:val="auto"/>
                <w:szCs w:val="21"/>
                <w:highlight w:val="none"/>
                <w:lang w:val="en-US" w:eastAsia="zh-CN"/>
              </w:rPr>
              <w:t>磋商</w:t>
            </w:r>
            <w:r>
              <w:rPr>
                <w:bCs/>
                <w:color w:val="auto"/>
                <w:szCs w:val="21"/>
                <w:highlight w:val="none"/>
              </w:rPr>
              <w:t>公告与</w:t>
            </w:r>
            <w:r>
              <w:rPr>
                <w:rFonts w:hint="eastAsia"/>
                <w:bCs/>
                <w:color w:val="auto"/>
                <w:szCs w:val="21"/>
                <w:highlight w:val="none"/>
                <w:lang w:eastAsia="zh-CN"/>
              </w:rPr>
              <w:t>竞争性磋商文件</w:t>
            </w:r>
            <w:r>
              <w:rPr>
                <w:bCs/>
                <w:color w:val="auto"/>
                <w:szCs w:val="21"/>
                <w:highlight w:val="none"/>
              </w:rPr>
              <w:t>投标人须知内容有不符之处，以本</w:t>
            </w:r>
            <w:r>
              <w:rPr>
                <w:rFonts w:hint="eastAsia"/>
                <w:bCs/>
                <w:color w:val="auto"/>
                <w:szCs w:val="21"/>
                <w:highlight w:val="none"/>
                <w:lang w:eastAsia="zh-CN"/>
              </w:rPr>
              <w:t>竞争性磋商文件</w:t>
            </w:r>
            <w:r>
              <w:rPr>
                <w:bCs/>
                <w:color w:val="auto"/>
                <w:szCs w:val="21"/>
                <w:highlight w:val="none"/>
              </w:rPr>
              <w:t>投标人须知内容为准。</w:t>
            </w:r>
            <w:r>
              <w:rPr>
                <w:rFonts w:hint="eastAsia"/>
                <w:bCs/>
                <w:color w:val="auto"/>
                <w:szCs w:val="21"/>
                <w:highlight w:val="none"/>
                <w:lang w:eastAsia="zh-CN"/>
              </w:rPr>
              <w:t>竞争性磋商文件</w:t>
            </w:r>
            <w:r>
              <w:rPr>
                <w:rFonts w:hint="eastAsia"/>
                <w:bCs/>
                <w:color w:val="auto"/>
                <w:szCs w:val="21"/>
                <w:highlight w:val="none"/>
              </w:rPr>
              <w:t>的最终解释权归</w:t>
            </w:r>
            <w:r>
              <w:rPr>
                <w:rFonts w:hint="eastAsia"/>
                <w:bCs/>
                <w:color w:val="auto"/>
                <w:szCs w:val="21"/>
                <w:highlight w:val="none"/>
                <w:lang w:val="en-US" w:eastAsia="zh-CN"/>
              </w:rPr>
              <w:t>采购人</w:t>
            </w:r>
            <w:r>
              <w:rPr>
                <w:rFonts w:hint="eastAsia"/>
                <w:bCs/>
                <w:color w:val="auto"/>
                <w:szCs w:val="21"/>
                <w:highlight w:val="none"/>
              </w:rPr>
              <w:t>所有</w:t>
            </w:r>
            <w:r>
              <w:rPr>
                <w:color w:val="auto"/>
                <w:kern w:val="0"/>
                <w:szCs w:val="21"/>
                <w:highlight w:val="none"/>
              </w:rPr>
              <w:t>。</w:t>
            </w:r>
          </w:p>
        </w:tc>
      </w:tr>
    </w:tbl>
    <w:p w14:paraId="1D9A3B01">
      <w:pPr>
        <w:pStyle w:val="3"/>
        <w:shd w:val="clear"/>
        <w:rPr>
          <w:rFonts w:hint="eastAsia" w:ascii="宋体" w:hAnsi="宋体" w:eastAsia="宋体" w:cs="宋体"/>
          <w:color w:val="auto"/>
          <w:sz w:val="36"/>
          <w:highlight w:val="none"/>
        </w:rPr>
      </w:pPr>
      <w:bookmarkStart w:id="31" w:name="_Toc465069553"/>
      <w:bookmarkStart w:id="32" w:name="_Toc7208"/>
      <w:r>
        <w:rPr>
          <w:rFonts w:hint="eastAsia" w:ascii="宋体" w:hAnsi="宋体" w:eastAsia="宋体" w:cs="宋体"/>
          <w:color w:val="auto"/>
          <w:sz w:val="36"/>
          <w:highlight w:val="none"/>
        </w:rPr>
        <w:br w:type="page"/>
      </w:r>
      <w:r>
        <w:rPr>
          <w:rFonts w:hint="eastAsia" w:ascii="宋体" w:hAnsi="宋体" w:eastAsia="宋体" w:cs="宋体"/>
          <w:color w:val="auto"/>
          <w:sz w:val="36"/>
          <w:highlight w:val="none"/>
        </w:rPr>
        <w:t>（二）供应商须知</w:t>
      </w:r>
      <w:bookmarkEnd w:id="31"/>
    </w:p>
    <w:p w14:paraId="2B00EF33">
      <w:pPr>
        <w:shd w:val="clear"/>
        <w:spacing w:line="315" w:lineRule="auto"/>
        <w:ind w:firstLine="422" w:firstLineChars="200"/>
        <w:jc w:val="center"/>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第一部分  磋商程序</w:t>
      </w:r>
    </w:p>
    <w:p w14:paraId="247BAE18">
      <w:pPr>
        <w:numPr>
          <w:ilvl w:val="0"/>
          <w:numId w:val="12"/>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采购方式</w:t>
      </w:r>
    </w:p>
    <w:p w14:paraId="13F8912B">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本次采购采用竞争性磋商的方式，采购人及其委托代理机构采用以国家法律规定的发布磋商公告进行邀请的方式确定参加磋商的供应商。</w:t>
      </w:r>
    </w:p>
    <w:p w14:paraId="11B605CE">
      <w:pPr>
        <w:numPr>
          <w:ilvl w:val="0"/>
          <w:numId w:val="13"/>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磋商程序</w:t>
      </w:r>
    </w:p>
    <w:p w14:paraId="3E65C29A">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 在规定的时间内由供应商将磋商响应文件提交给采购代理机构，由磋商小组对磋商响应文件进行评审。</w:t>
      </w:r>
    </w:p>
    <w:p w14:paraId="2079476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就商务、技术及价格进行磋商，经过磋商小组的评审确定最终成交供应商。</w:t>
      </w:r>
    </w:p>
    <w:p w14:paraId="7ACEB527">
      <w:pPr>
        <w:numPr>
          <w:ilvl w:val="0"/>
          <w:numId w:val="13"/>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合格供应商的条件</w:t>
      </w:r>
    </w:p>
    <w:p w14:paraId="21FFA30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 具有本项目实施能力，符合、承认并承诺履行本磋商文件各项规定的国内供应商均可参加投标。</w:t>
      </w:r>
    </w:p>
    <w:p w14:paraId="1D288F25">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3.2合格的供应商资格条件详见供应商须知前附表。</w:t>
      </w:r>
    </w:p>
    <w:p w14:paraId="6D2CF6A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3.3合格的供应商应遵守有关的国家法律、法规和条例，同时具备《中华人民共和国政府采购法》和本文件中规定的条件</w:t>
      </w:r>
      <w:r>
        <w:rPr>
          <w:rFonts w:hint="eastAsia" w:ascii="宋体" w:hAnsi="宋体" w:eastAsia="宋体" w:cs="宋体"/>
          <w:color w:val="auto"/>
          <w:szCs w:val="21"/>
          <w:highlight w:val="none"/>
          <w:lang w:val="en-US" w:eastAsia="zh-CN"/>
        </w:rPr>
        <w:t>，银行、保险、石油化工、电力、电信等行业，允许该行业法人的分支机构参加响应</w:t>
      </w:r>
      <w:r>
        <w:rPr>
          <w:rFonts w:hint="eastAsia" w:ascii="宋体" w:hAnsi="宋体" w:eastAsia="宋体" w:cs="宋体"/>
          <w:color w:val="auto"/>
          <w:szCs w:val="21"/>
          <w:highlight w:val="none"/>
        </w:rPr>
        <w:t>。</w:t>
      </w:r>
    </w:p>
    <w:p w14:paraId="2B43C85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与采购人存在利害关系可能影响磋商公正性的法人、其他组织或者个人，不得参加投标。单位负责人为同一人或者存在控股、管理关系的不同单位，不得参加同一标段/标包投标或者未划分标段/标包的同一招标项目投标。违反这两款规定的，相关投标均无效。</w:t>
      </w:r>
    </w:p>
    <w:p w14:paraId="318C4E1D">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3.5如供应商代表不是法定代表人，须持有《法定代表人授权委托书》（按磋商文件格式填写）。</w:t>
      </w:r>
    </w:p>
    <w:p w14:paraId="73D7A787">
      <w:pPr>
        <w:shd w:val="clear"/>
        <w:spacing w:line="360" w:lineRule="auto"/>
        <w:ind w:firstLine="420" w:firstLineChars="200"/>
        <w:rPr>
          <w:rFonts w:hint="eastAsia" w:ascii="宋体" w:hAnsi="宋体" w:eastAsia="宋体" w:cs="宋体"/>
          <w:color w:val="auto"/>
          <w:szCs w:val="21"/>
          <w:highlight w:val="none"/>
        </w:rPr>
      </w:pPr>
      <w:bookmarkStart w:id="33" w:name="_Toc465069554"/>
      <w:bookmarkStart w:id="34" w:name="_Toc459187166"/>
      <w:r>
        <w:rPr>
          <w:rFonts w:hint="eastAsia" w:ascii="宋体" w:hAnsi="宋体" w:eastAsia="宋体" w:cs="宋体"/>
          <w:color w:val="auto"/>
          <w:szCs w:val="21"/>
          <w:highlight w:val="none"/>
        </w:rPr>
        <w:t>3.6投标供应商不得存在下列情形之一：</w:t>
      </w:r>
      <w:bookmarkEnd w:id="33"/>
      <w:bookmarkEnd w:id="34"/>
    </w:p>
    <w:p w14:paraId="7BC76C93">
      <w:pPr>
        <w:shd w:val="clear"/>
        <w:spacing w:line="360" w:lineRule="auto"/>
        <w:ind w:firstLine="420" w:firstLineChars="200"/>
        <w:rPr>
          <w:rFonts w:hint="eastAsia" w:ascii="宋体" w:hAnsi="宋体" w:eastAsia="宋体" w:cs="宋体"/>
          <w:color w:val="auto"/>
          <w:szCs w:val="21"/>
          <w:highlight w:val="none"/>
        </w:rPr>
      </w:pPr>
      <w:bookmarkStart w:id="35" w:name="_Toc443651278"/>
      <w:bookmarkStart w:id="36" w:name="_Toc3494"/>
      <w:bookmarkStart w:id="37" w:name="_Toc8201"/>
      <w:bookmarkStart w:id="38" w:name="_Toc459187178"/>
      <w:bookmarkStart w:id="39" w:name="_Toc17761"/>
      <w:bookmarkStart w:id="40" w:name="_Toc465069566"/>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l）为</w:t>
      </w:r>
      <w:r>
        <w:rPr>
          <w:rFonts w:hint="eastAsia" w:ascii="宋体" w:hAnsi="宋体" w:eastAsia="宋体" w:cs="宋体"/>
          <w:color w:val="auto"/>
          <w:szCs w:val="21"/>
          <w:highlight w:val="none"/>
          <w:lang w:val="en-US" w:eastAsia="zh-CN"/>
        </w:rPr>
        <w:t>采购人</w:t>
      </w:r>
      <w:r>
        <w:rPr>
          <w:rFonts w:hint="eastAsia" w:ascii="宋体" w:hAnsi="宋体" w:eastAsia="宋体" w:cs="宋体"/>
          <w:color w:val="auto"/>
          <w:szCs w:val="21"/>
          <w:highlight w:val="none"/>
        </w:rPr>
        <w:t xml:space="preserve">不具有独立法人资格的附属机构（单位）； </w:t>
      </w:r>
    </w:p>
    <w:p w14:paraId="7107043E">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2）为本标段提供招标代理服务的；</w:t>
      </w:r>
    </w:p>
    <w:p w14:paraId="3CBBE96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3）被责令停业的；</w:t>
      </w:r>
    </w:p>
    <w:p w14:paraId="7847E7D3">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4）被暂停或取消投标资格的；</w:t>
      </w:r>
    </w:p>
    <w:p w14:paraId="45CCCD1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5）财产被接管或冻结的；</w:t>
      </w:r>
    </w:p>
    <w:p w14:paraId="58F2D4B7">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6）在最近三年内有骗取中标或严重违约或重大质量问题的；</w:t>
      </w:r>
    </w:p>
    <w:p w14:paraId="270D903E">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7）拒绝列入政府取消投标资格记录期间的企业或个人投标。</w:t>
      </w:r>
    </w:p>
    <w:bookmarkEnd w:id="35"/>
    <w:bookmarkEnd w:id="36"/>
    <w:bookmarkEnd w:id="37"/>
    <w:bookmarkEnd w:id="38"/>
    <w:bookmarkEnd w:id="39"/>
    <w:bookmarkEnd w:id="40"/>
    <w:p w14:paraId="1550A0E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3.7磋商费用</w:t>
      </w:r>
    </w:p>
    <w:p w14:paraId="1C603BDC">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供应商应承担所有与准备和参加磋商有关的费用，采购代理机构和采购人在任何情况下均无义务和责任承担这些费用。</w:t>
      </w:r>
    </w:p>
    <w:p w14:paraId="6DAEFE7F">
      <w:pPr>
        <w:shd w:val="clear"/>
        <w:spacing w:line="360" w:lineRule="auto"/>
        <w:ind w:firstLine="422" w:firstLineChars="20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第二部分   磋商文件</w:t>
      </w:r>
    </w:p>
    <w:p w14:paraId="32ADF614">
      <w:pPr>
        <w:numPr>
          <w:ilvl w:val="0"/>
          <w:numId w:val="14"/>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供应商应认真阅读竞争性磋商文件所有的事项、格式、条款和技术规格等。如供应商没有按照磋商文件要求提交全部资料，或者磋商</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文件没有对磋商文件在各方面都作出实质性响应是供应商的风险，并可能导致其报价被拒绝。</w:t>
      </w:r>
    </w:p>
    <w:p w14:paraId="7D76BFD6">
      <w:pPr>
        <w:numPr>
          <w:ilvl w:val="0"/>
          <w:numId w:val="14"/>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磋商文件的澄清及修改</w:t>
      </w:r>
    </w:p>
    <w:p w14:paraId="3DDF48D7">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2.1任何要求对磋商文件进行澄清的供应商，磋商截止时间前均应以书面形式通知采购代理机构。采购代理机构应以书面形式予以答复，并将书面答复发给每个购买磋商文件的供应商（答复中不包括问题的来源）。</w:t>
      </w:r>
    </w:p>
    <w:p w14:paraId="7F47D3B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采购单位可主动地或在解答供应商提出的澄清问题时对磋商文件进行修改，磋商文件的修改应以书面形式通知采购代理机构，由采购代理机构通知所有购买磋商文件的供应商，并对其具有约束力。供应商在收到上述通知后，应立即向采购代理机构以书面形式回函确认。</w:t>
      </w:r>
    </w:p>
    <w:p w14:paraId="7091473E">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2.3为使供应商有足够的时间对磋商响应文件的修改部分进行研究，采购单位有权决定是否延长磋商截止期。</w:t>
      </w:r>
    </w:p>
    <w:p w14:paraId="64237CED">
      <w:pPr>
        <w:shd w:val="clear"/>
        <w:spacing w:line="360" w:lineRule="auto"/>
        <w:ind w:firstLine="422" w:firstLineChars="20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第三部分 磋商响应文件的编制</w:t>
      </w:r>
    </w:p>
    <w:p w14:paraId="6902B449">
      <w:pPr>
        <w:numPr>
          <w:ilvl w:val="0"/>
          <w:numId w:val="0"/>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highlight w:val="none"/>
        </w:rPr>
        <w:t>磋商范围及磋商相应文件中计量单位的使用</w:t>
      </w:r>
    </w:p>
    <w:p w14:paraId="57C5EEF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1.1投标供应商应按磋商文件的采购清单进行报价，不能将整个的内容拆开就其中一项或一部分进行报价。</w:t>
      </w:r>
    </w:p>
    <w:p w14:paraId="23B12175">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 磋商响应文件中所使用的计量单位，除磋商文件中有特殊要求外，应采用中华人民共和国法定计量单位。</w:t>
      </w:r>
    </w:p>
    <w:p w14:paraId="6C5A08EB">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2.磋商响应文件构成</w:t>
      </w:r>
    </w:p>
    <w:p w14:paraId="308B69FC">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供应商应完整</w:t>
      </w:r>
      <w:r>
        <w:rPr>
          <w:rFonts w:hint="eastAsia" w:ascii="宋体" w:hAnsi="宋体" w:eastAsia="宋体" w:cs="宋体"/>
          <w:color w:val="auto"/>
          <w:szCs w:val="21"/>
          <w:highlight w:val="none"/>
          <w:lang w:eastAsia="zh-CN"/>
        </w:rPr>
        <w:t>地</w:t>
      </w:r>
      <w:r>
        <w:rPr>
          <w:rFonts w:hint="eastAsia" w:ascii="宋体" w:hAnsi="宋体" w:eastAsia="宋体" w:cs="宋体"/>
          <w:color w:val="auto"/>
          <w:szCs w:val="21"/>
          <w:highlight w:val="none"/>
        </w:rPr>
        <w:t>按磋商文件提供的磋商</w:t>
      </w:r>
      <w:r>
        <w:rPr>
          <w:rFonts w:hint="eastAsia" w:ascii="宋体" w:hAnsi="宋体" w:eastAsia="宋体" w:cs="宋体"/>
          <w:color w:val="auto"/>
          <w:szCs w:val="21"/>
          <w:highlight w:val="none"/>
          <w:lang w:eastAsia="zh-CN"/>
        </w:rPr>
        <w:t>响应</w:t>
      </w:r>
      <w:r>
        <w:rPr>
          <w:rFonts w:hint="eastAsia" w:ascii="宋体" w:hAnsi="宋体" w:eastAsia="宋体" w:cs="宋体"/>
          <w:color w:val="auto"/>
          <w:szCs w:val="21"/>
          <w:highlight w:val="none"/>
        </w:rPr>
        <w:t>文件格式填写磋商响应文件，磋商响应文件应包括以下内容：</w:t>
      </w:r>
    </w:p>
    <w:p w14:paraId="78FAD534">
      <w:pPr>
        <w:shd w:val="clear"/>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报价一览表；</w:t>
      </w:r>
    </w:p>
    <w:p w14:paraId="51728576">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投标函</w:t>
      </w:r>
      <w:r>
        <w:rPr>
          <w:rFonts w:hint="eastAsia" w:ascii="宋体" w:hAnsi="宋体" w:eastAsia="宋体" w:cs="宋体"/>
          <w:color w:val="auto"/>
          <w:szCs w:val="21"/>
          <w:highlight w:val="none"/>
          <w:lang w:eastAsia="zh-CN"/>
        </w:rPr>
        <w:t>；</w:t>
      </w:r>
    </w:p>
    <w:p w14:paraId="47A56035">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投标</w:t>
      </w:r>
      <w:r>
        <w:rPr>
          <w:rFonts w:hint="eastAsia" w:ascii="宋体" w:hAnsi="宋体" w:eastAsia="宋体" w:cs="宋体"/>
          <w:color w:val="auto"/>
          <w:highlight w:val="none"/>
        </w:rPr>
        <w:t>报价一览表</w:t>
      </w:r>
      <w:r>
        <w:rPr>
          <w:rFonts w:hint="eastAsia" w:ascii="宋体" w:hAnsi="宋体" w:eastAsia="宋体" w:cs="宋体"/>
          <w:color w:val="auto"/>
          <w:szCs w:val="21"/>
          <w:highlight w:val="none"/>
        </w:rPr>
        <w:t>；</w:t>
      </w:r>
    </w:p>
    <w:p w14:paraId="5E77019E">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技术标准与要求</w:t>
      </w:r>
      <w:r>
        <w:rPr>
          <w:rFonts w:hint="eastAsia" w:ascii="宋体" w:hAnsi="宋体" w:eastAsia="宋体" w:cs="宋体"/>
          <w:color w:val="auto"/>
          <w:szCs w:val="21"/>
          <w:highlight w:val="none"/>
        </w:rPr>
        <w:t>偏离表</w:t>
      </w:r>
      <w:r>
        <w:rPr>
          <w:rFonts w:hint="eastAsia" w:ascii="宋体" w:hAnsi="宋体" w:eastAsia="宋体" w:cs="宋体"/>
          <w:color w:val="auto"/>
          <w:szCs w:val="21"/>
          <w:highlight w:val="none"/>
          <w:lang w:eastAsia="zh-CN"/>
        </w:rPr>
        <w:t>；</w:t>
      </w:r>
    </w:p>
    <w:p w14:paraId="26376403">
      <w:pPr>
        <w:shd w:val="clea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商务条款偏离表</w:t>
      </w:r>
      <w:r>
        <w:rPr>
          <w:rFonts w:hint="eastAsia" w:ascii="宋体" w:hAnsi="宋体" w:eastAsia="宋体" w:cs="宋体"/>
          <w:color w:val="auto"/>
          <w:szCs w:val="21"/>
          <w:highlight w:val="none"/>
          <w:lang w:eastAsia="zh-CN"/>
        </w:rPr>
        <w:t>；</w:t>
      </w:r>
    </w:p>
    <w:p w14:paraId="480DBE8D">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lang w:eastAsia="zh-CN"/>
        </w:rPr>
        <w:t>）售后服务承诺书</w:t>
      </w:r>
      <w:r>
        <w:rPr>
          <w:rFonts w:hint="eastAsia" w:ascii="宋体" w:hAnsi="宋体" w:eastAsia="宋体" w:cs="宋体"/>
          <w:color w:val="auto"/>
          <w:highlight w:val="none"/>
        </w:rPr>
        <w:t>；</w:t>
      </w:r>
    </w:p>
    <w:p w14:paraId="6075A819">
      <w:pPr>
        <w:shd w:val="clear"/>
        <w:spacing w:line="360" w:lineRule="auto"/>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法定代表人身份证明</w:t>
      </w:r>
      <w:r>
        <w:rPr>
          <w:rFonts w:hint="eastAsia" w:ascii="宋体" w:hAnsi="宋体" w:eastAsia="宋体" w:cs="宋体"/>
          <w:color w:val="auto"/>
          <w:highlight w:val="none"/>
          <w:lang w:eastAsia="zh-CN"/>
        </w:rPr>
        <w:t>；</w:t>
      </w:r>
    </w:p>
    <w:p w14:paraId="4A63D8B2">
      <w:pPr>
        <w:shd w:val="clea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法定代表人授权书；</w:t>
      </w:r>
    </w:p>
    <w:p w14:paraId="5BB66AD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lang w:eastAsia="zh-CN"/>
        </w:rPr>
        <w:t>）供应商资格证明文件</w:t>
      </w:r>
      <w:r>
        <w:rPr>
          <w:rFonts w:hint="eastAsia" w:ascii="宋体" w:hAnsi="宋体" w:eastAsia="宋体" w:cs="宋体"/>
          <w:color w:val="auto"/>
          <w:szCs w:val="21"/>
          <w:highlight w:val="none"/>
        </w:rPr>
        <w:t>；</w:t>
      </w:r>
    </w:p>
    <w:p w14:paraId="569E1A8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须知前附表规定的其他材料；</w:t>
      </w:r>
    </w:p>
    <w:p w14:paraId="0F1AB12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11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中小企业声明函</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如有</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w:t>
      </w:r>
    </w:p>
    <w:p w14:paraId="7DC9C53A">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编写</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文件的要求：报价</w:t>
      </w:r>
    </w:p>
    <w:p w14:paraId="66CD67ED">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3.1.1</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采购预算</w:t>
      </w:r>
      <w:r>
        <w:rPr>
          <w:rFonts w:hint="default" w:ascii="Times New Roman" w:hAnsi="Times New Roman" w:eastAsia="宋体" w:cs="Times New Roman"/>
          <w:color w:val="auto"/>
          <w:kern w:val="0"/>
          <w:szCs w:val="21"/>
          <w:highlight w:val="none"/>
          <w:lang w:val="en-US" w:eastAsia="zh-CN"/>
        </w:rPr>
        <w:t>（最高限价</w:t>
      </w:r>
      <w:r>
        <w:rPr>
          <w:rFonts w:hint="eastAsia" w:ascii="Times New Roman" w:hAnsi="Times New Roman" w:eastAsia="宋体" w:cs="Times New Roman"/>
          <w:color w:val="auto"/>
          <w:kern w:val="0"/>
          <w:szCs w:val="21"/>
          <w:highlight w:val="none"/>
          <w:lang w:val="en-US" w:eastAsia="zh-CN"/>
        </w:rPr>
        <w:t>）</w:t>
      </w:r>
      <w:r>
        <w:rPr>
          <w:rFonts w:hint="eastAsia" w:ascii="宋体" w:hAnsi="宋体" w:eastAsia="宋体" w:cs="宋体"/>
          <w:color w:val="auto"/>
          <w:szCs w:val="21"/>
          <w:highlight w:val="none"/>
        </w:rPr>
        <w:t>：</w:t>
      </w:r>
      <w:r>
        <w:rPr>
          <w:rFonts w:hint="eastAsia" w:ascii="宋体" w:hAnsi="宋体" w:cs="宋体"/>
          <w:color w:val="auto"/>
          <w:szCs w:val="21"/>
          <w:highlight w:val="none"/>
          <w:lang w:val="en-US" w:eastAsia="zh-CN"/>
        </w:rPr>
        <w:t>560000</w:t>
      </w:r>
      <w:r>
        <w:rPr>
          <w:rStyle w:val="64"/>
          <w:rFonts w:hint="default" w:ascii="Times New Roman" w:hAnsi="Times New Roman" w:eastAsia="宋体" w:cs="Times New Roman"/>
          <w:b w:val="0"/>
          <w:bCs w:val="0"/>
          <w:color w:val="auto"/>
          <w:sz w:val="21"/>
          <w:szCs w:val="21"/>
          <w:highlight w:val="none"/>
          <w:lang w:val="en-US" w:eastAsia="zh-CN"/>
        </w:rPr>
        <w:t>元</w:t>
      </w:r>
      <w:r>
        <w:rPr>
          <w:rFonts w:hint="eastAsia" w:ascii="宋体" w:hAnsi="宋体" w:eastAsia="宋体" w:cs="宋体"/>
          <w:color w:val="auto"/>
          <w:szCs w:val="21"/>
          <w:highlight w:val="none"/>
        </w:rPr>
        <w:t>。</w:t>
      </w:r>
    </w:p>
    <w:p w14:paraId="284626D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3.1.2</w:t>
      </w:r>
      <w:r>
        <w:rPr>
          <w:rFonts w:hint="eastAsia" w:ascii="宋体" w:hAnsi="宋体" w:cs="宋体"/>
          <w:color w:val="auto"/>
          <w:szCs w:val="21"/>
          <w:highlight w:val="none"/>
          <w:lang w:val="en-US" w:eastAsia="zh-CN"/>
        </w:rPr>
        <w:t xml:space="preserve"> </w:t>
      </w:r>
      <w:r>
        <w:rPr>
          <w:rFonts w:hint="eastAsia" w:ascii="宋体" w:hAnsi="宋体" w:eastAsia="宋体" w:cs="宋体"/>
          <w:color w:val="auto"/>
          <w:szCs w:val="21"/>
          <w:highlight w:val="none"/>
        </w:rPr>
        <w:t>报价超过</w:t>
      </w:r>
      <w:r>
        <w:rPr>
          <w:rFonts w:hint="eastAsia"/>
          <w:color w:val="auto"/>
          <w:kern w:val="0"/>
          <w:szCs w:val="21"/>
          <w:highlight w:val="none"/>
        </w:rPr>
        <w:t>采购</w:t>
      </w:r>
      <w:r>
        <w:rPr>
          <w:rFonts w:hint="eastAsia" w:ascii="Times New Roman" w:hAnsi="Times New Roman" w:eastAsia="宋体" w:cs="Times New Roman"/>
          <w:color w:val="auto"/>
          <w:kern w:val="0"/>
          <w:szCs w:val="21"/>
          <w:highlight w:val="none"/>
        </w:rPr>
        <w:t>预算</w:t>
      </w:r>
      <w:r>
        <w:rPr>
          <w:rFonts w:hint="default" w:ascii="Times New Roman" w:hAnsi="Times New Roman" w:eastAsia="宋体" w:cs="Times New Roman"/>
          <w:color w:val="auto"/>
          <w:kern w:val="0"/>
          <w:szCs w:val="21"/>
          <w:highlight w:val="none"/>
          <w:lang w:val="en-US" w:eastAsia="zh-CN"/>
        </w:rPr>
        <w:t>（最高限价</w:t>
      </w:r>
      <w:r>
        <w:rPr>
          <w:rFonts w:hint="eastAsia" w:ascii="Times New Roman" w:hAnsi="Times New Roman" w:eastAsia="宋体" w:cs="Times New Roman"/>
          <w:color w:val="auto"/>
          <w:kern w:val="0"/>
          <w:szCs w:val="21"/>
          <w:highlight w:val="none"/>
          <w:lang w:val="en-US" w:eastAsia="zh-CN"/>
        </w:rPr>
        <w:t>）</w:t>
      </w:r>
      <w:r>
        <w:rPr>
          <w:rFonts w:hint="eastAsia" w:ascii="宋体" w:hAnsi="宋体" w:eastAsia="宋体" w:cs="宋体"/>
          <w:color w:val="auto"/>
          <w:szCs w:val="21"/>
          <w:highlight w:val="none"/>
        </w:rPr>
        <w:t>的投标为废标，不进入评标程序。</w:t>
      </w:r>
    </w:p>
    <w:p w14:paraId="0B73F53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4.保证金</w:t>
      </w:r>
    </w:p>
    <w:p w14:paraId="3127542F">
      <w:pPr>
        <w:shd w:val="clear"/>
        <w:spacing w:line="360" w:lineRule="auto"/>
        <w:ind w:firstLine="420" w:firstLineChars="200"/>
        <w:rPr>
          <w:rFonts w:hint="eastAsia" w:ascii="宋体" w:hAnsi="宋体" w:eastAsia="宋体" w:cs="宋体"/>
          <w:color w:val="auto"/>
          <w:sz w:val="21"/>
          <w:szCs w:val="21"/>
          <w:highlight w:val="none"/>
        </w:rPr>
      </w:pPr>
      <w:r>
        <w:rPr>
          <w:rFonts w:hint="eastAsia"/>
          <w:bCs/>
          <w:color w:val="auto"/>
          <w:szCs w:val="21"/>
          <w:highlight w:val="none"/>
          <w:lang w:val="en-US" w:eastAsia="zh-CN"/>
        </w:rPr>
        <w:t>无</w:t>
      </w:r>
    </w:p>
    <w:p w14:paraId="151D9D1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5.有效期</w:t>
      </w:r>
    </w:p>
    <w:p w14:paraId="319F2BC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5.1供应商的磋商响应文件应在规定的递交磋商响应文件截止日后</w:t>
      </w:r>
      <w:r>
        <w:rPr>
          <w:rFonts w:hint="eastAsia" w:ascii="宋体" w:hAnsi="宋体" w:cs="宋体"/>
          <w:color w:val="auto"/>
          <w:szCs w:val="21"/>
          <w:highlight w:val="none"/>
          <w:lang w:val="en-US" w:eastAsia="zh-CN"/>
        </w:rPr>
        <w:t>90</w:t>
      </w:r>
      <w:r>
        <w:rPr>
          <w:rFonts w:hint="eastAsia" w:ascii="宋体" w:hAnsi="宋体" w:eastAsia="宋体" w:cs="宋体"/>
          <w:color w:val="auto"/>
          <w:szCs w:val="21"/>
          <w:highlight w:val="none"/>
        </w:rPr>
        <w:t>天内保持有效，有效期不满足要求的磋商响应文件将被视为非实质性响应而予以拒绝。</w:t>
      </w:r>
    </w:p>
    <w:p w14:paraId="4174B80C">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采购单位可根据实际情况，在原有效期截止之前，要求供应商同意延长有效期。接受该要求的供应商将不得要求修正其报价，且本须知中有关保证金的要求将在延长的有效期内继续有效。供应商也可以拒绝采购单位的这种要求，其保证金将不会被没收。上述要求和答复都应以书面形式提交。</w:t>
      </w:r>
    </w:p>
    <w:p w14:paraId="09FF948F">
      <w:pPr>
        <w:shd w:val="clear"/>
        <w:spacing w:line="360" w:lineRule="auto"/>
        <w:ind w:left="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6.磋商响应文件的签署及规定</w:t>
      </w:r>
    </w:p>
    <w:p w14:paraId="6A7FA54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6.1磋商响应文件的需打印或用不褪色墨水书写，</w:t>
      </w:r>
      <w:r>
        <w:rPr>
          <w:rFonts w:hint="eastAsia" w:ascii="宋体" w:hAnsi="宋体" w:eastAsia="宋体" w:cs="宋体"/>
          <w:color w:val="auto"/>
          <w:szCs w:val="21"/>
          <w:highlight w:val="none"/>
          <w:lang w:val="en-US" w:eastAsia="zh-CN"/>
        </w:rPr>
        <w:t>需要签字盖章的地方</w:t>
      </w:r>
      <w:r>
        <w:rPr>
          <w:rFonts w:hint="eastAsia" w:ascii="宋体" w:hAnsi="宋体" w:eastAsia="宋体" w:cs="宋体"/>
          <w:color w:val="auto"/>
          <w:szCs w:val="21"/>
          <w:highlight w:val="none"/>
        </w:rPr>
        <w:t>由供应商的法定代表人或经其授权的代表在磋商响应文件上签字并加盖单位印章。授权代表须持有书面的“法定代表人授权书”（标准格式附后），并将其附在磋商响应文件中。如磋商响应文件需进行修改，则应有供应商的法定代表人或经其授权的代表在修改的每一页上签字。磋商响应文件的副本可以是正本的复印件。</w:t>
      </w:r>
    </w:p>
    <w:p w14:paraId="7A62B183">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rPr>
        <w:t>任何行间插字、涂改和增删，必须由磋商响应按文件签字人签字或盖章后才有效。</w:t>
      </w:r>
    </w:p>
    <w:p w14:paraId="4F17CDB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磋商响应文件因字迹潦草或表达不清所引起的后果由供应商负责。</w:t>
      </w:r>
    </w:p>
    <w:p w14:paraId="43FA15A5">
      <w:pPr>
        <w:shd w:val="clear"/>
        <w:spacing w:line="360" w:lineRule="auto"/>
        <w:ind w:firstLine="422" w:firstLineChars="20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第四部分   磋商响应文件的递交</w:t>
      </w:r>
    </w:p>
    <w:p w14:paraId="65B9052C">
      <w:pPr>
        <w:numPr>
          <w:ilvl w:val="0"/>
          <w:numId w:val="15"/>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磋商响应文件的密封和标记（电子标无需纸质版响应文件）</w:t>
      </w:r>
    </w:p>
    <w:p w14:paraId="615DE635">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1.1递交磋商响应文件时，供应商应将磋商响应文件正本和所有的副本分开密封装在单独的标袋中，且在标袋正面标明“正本”“副本”字样。</w:t>
      </w:r>
    </w:p>
    <w:p w14:paraId="716BBDD7">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1.2所有标袋上均应：</w:t>
      </w:r>
    </w:p>
    <w:p w14:paraId="21FE9E56">
      <w:pPr>
        <w:numPr>
          <w:ilvl w:val="0"/>
          <w:numId w:val="0"/>
        </w:numPr>
        <w:shd w:val="clear"/>
        <w:tabs>
          <w:tab w:val="left" w:pos="331"/>
        </w:tabs>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（1）</w:t>
      </w:r>
      <w:r>
        <w:rPr>
          <w:rFonts w:hint="eastAsia" w:ascii="宋体" w:hAnsi="宋体" w:eastAsia="宋体" w:cs="宋体"/>
          <w:color w:val="auto"/>
          <w:szCs w:val="21"/>
          <w:highlight w:val="none"/>
        </w:rPr>
        <w:t xml:space="preserve">项目编号：                                       </w:t>
      </w:r>
    </w:p>
    <w:p w14:paraId="3B8172A1">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（2）</w:t>
      </w:r>
      <w:r>
        <w:rPr>
          <w:rFonts w:hint="eastAsia" w:ascii="宋体" w:hAnsi="宋体" w:eastAsia="宋体" w:cs="宋体"/>
          <w:color w:val="auto"/>
          <w:szCs w:val="21"/>
          <w:highlight w:val="none"/>
        </w:rPr>
        <w:t xml:space="preserve">采购人名称：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全称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w:t>
      </w:r>
    </w:p>
    <w:p w14:paraId="680EAE18">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（3）</w:t>
      </w:r>
      <w:r>
        <w:rPr>
          <w:rFonts w:hint="eastAsia" w:ascii="宋体" w:hAnsi="宋体" w:eastAsia="宋体" w:cs="宋体"/>
          <w:color w:val="auto"/>
          <w:szCs w:val="21"/>
          <w:highlight w:val="none"/>
        </w:rPr>
        <w:t xml:space="preserve">采购人地址：                                     </w:t>
      </w:r>
    </w:p>
    <w:p w14:paraId="372EC960">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（4）</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名称：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全称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w:t>
      </w:r>
    </w:p>
    <w:p w14:paraId="354E9D19">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（5）</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 xml:space="preserve">地址：                                     </w:t>
      </w:r>
    </w:p>
    <w:p w14:paraId="49518BFF">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（6）</w:t>
      </w:r>
      <w:r>
        <w:rPr>
          <w:rFonts w:hint="eastAsia" w:ascii="宋体" w:hAnsi="宋体" w:eastAsia="宋体" w:cs="宋体"/>
          <w:color w:val="auto"/>
          <w:szCs w:val="21"/>
          <w:highlight w:val="none"/>
        </w:rPr>
        <w:t xml:space="preserve">邮政编码：                  联系电话：           </w:t>
      </w:r>
    </w:p>
    <w:p w14:paraId="4F2EB88F">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（7）</w:t>
      </w:r>
      <w:r>
        <w:rPr>
          <w:rFonts w:hint="eastAsia" w:ascii="宋体" w:hAnsi="宋体" w:eastAsia="宋体" w:cs="宋体"/>
          <w:color w:val="auto"/>
          <w:szCs w:val="21"/>
          <w:highlight w:val="none"/>
        </w:rPr>
        <w:t>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响应文件</w:t>
      </w:r>
    </w:p>
    <w:p w14:paraId="13FC3BEF">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（8）</w:t>
      </w:r>
      <w:r>
        <w:rPr>
          <w:rFonts w:hint="eastAsia" w:ascii="宋体" w:hAnsi="宋体" w:eastAsia="宋体" w:cs="宋体"/>
          <w:color w:val="auto"/>
          <w:szCs w:val="21"/>
          <w:highlight w:val="none"/>
        </w:rPr>
        <w:t>在 　　　　　 年 　 月  　日  　时 　 分前不得开启</w:t>
      </w:r>
    </w:p>
    <w:p w14:paraId="581B5944">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（9）</w:t>
      </w:r>
      <w:r>
        <w:rPr>
          <w:rFonts w:hint="eastAsia" w:ascii="宋体" w:hAnsi="宋体" w:eastAsia="宋体" w:cs="宋体"/>
          <w:color w:val="auto"/>
          <w:szCs w:val="21"/>
          <w:highlight w:val="none"/>
        </w:rPr>
        <w:t>“正本”或“副本”或“电子版”。</w:t>
      </w:r>
    </w:p>
    <w:p w14:paraId="75B47FBB">
      <w:pPr>
        <w:numPr>
          <w:ilvl w:val="0"/>
          <w:numId w:val="0"/>
        </w:numPr>
        <w:shd w:val="clear"/>
        <w:spacing w:line="360" w:lineRule="auto"/>
        <w:ind w:left="0" w:leftChars="0" w:firstLine="420" w:firstLineChars="0"/>
        <w:rPr>
          <w:rFonts w:hint="eastAsia" w:ascii="宋体" w:hAnsi="宋体" w:eastAsia="宋体" w:cs="宋体"/>
          <w:color w:val="auto"/>
          <w:szCs w:val="21"/>
          <w:highlight w:val="none"/>
        </w:rPr>
      </w:pPr>
      <w:r>
        <w:rPr>
          <w:rFonts w:hint="default" w:ascii="宋体" w:hAnsi="宋体" w:eastAsia="宋体" w:cs="宋体"/>
          <w:color w:val="auto"/>
          <w:kern w:val="2"/>
          <w:sz w:val="21"/>
          <w:szCs w:val="21"/>
          <w:highlight w:val="none"/>
          <w:lang w:val="en-US" w:eastAsia="zh-CN" w:bidi="ar-SA"/>
        </w:rPr>
        <w:t>（10）</w:t>
      </w:r>
      <w:r>
        <w:rPr>
          <w:rFonts w:hint="eastAsia" w:ascii="宋体" w:hAnsi="宋体" w:eastAsia="宋体" w:cs="宋体"/>
          <w:color w:val="auto"/>
          <w:szCs w:val="21"/>
          <w:highlight w:val="none"/>
        </w:rPr>
        <w:t>在标袋封口处加盖供应商公章及法人签章</w:t>
      </w:r>
    </w:p>
    <w:p w14:paraId="5019DB4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1.3如果供应商未按上述要求密封及加写标记，采购单位有权拒绝接收磋商响应文件。</w:t>
      </w:r>
    </w:p>
    <w:p w14:paraId="6D1BB7C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2.截止期</w:t>
      </w:r>
    </w:p>
    <w:p w14:paraId="4F205B25">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2.1供应商应在竞争性磋商邀请书中规定的截止日期和时间内，将磋商响应文件递交至竞争性磋商邀请书中规定的地址。</w:t>
      </w:r>
    </w:p>
    <w:p w14:paraId="5FFD25C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2.2采购单位有权按本须知的规定，通过修改磋商文件延长磋商响应文件递交的截止日期。在此情况下，采购单位和供应商受截止期制约的所有权利和义务均应延长至新的截止期。</w:t>
      </w:r>
    </w:p>
    <w:p w14:paraId="582A018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2.3采购代理机构将拒绝并原封退回在本须知规定的截止期后收到的任何磋商响应文件。</w:t>
      </w:r>
    </w:p>
    <w:p w14:paraId="7BE1B077">
      <w:pPr>
        <w:numPr>
          <w:ilvl w:val="0"/>
          <w:numId w:val="16"/>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磋商响应文件的修改与撤回</w:t>
      </w:r>
    </w:p>
    <w:p w14:paraId="618AA1A6">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3.1磋商响应文件递交以后，如果供应商提出书面修改或撤标要求，在磋商响应文件递交截止时间前送达竞争性磋商邀请书中规定的地点的，采购代理机构将予以接受。</w:t>
      </w:r>
    </w:p>
    <w:p w14:paraId="0D66EF8E">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3.2供应商对磋商响应文件的修改或撤回通知应按本须知规定编制、密封、标记和发送。</w:t>
      </w:r>
    </w:p>
    <w:p w14:paraId="3C70029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3.3在截止期之后，供应商不得对其磋商响应文件做任何修改。</w:t>
      </w:r>
    </w:p>
    <w:p w14:paraId="4EED8CA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3.4从截止期至供应商在磋商响应文件格式中确定的报价有效期之间，供应商不得撤回其磋商响应文件，否则其保证金将按照本须知的规定不予退回。</w:t>
      </w:r>
    </w:p>
    <w:p w14:paraId="6D37CC78">
      <w:pPr>
        <w:shd w:val="clear"/>
        <w:spacing w:line="360" w:lineRule="auto"/>
        <w:ind w:firstLine="422" w:firstLineChars="20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第五部分   磋商开标程序</w:t>
      </w:r>
    </w:p>
    <w:p w14:paraId="0C45694F">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 开标时间和地点</w:t>
      </w:r>
    </w:p>
    <w:p w14:paraId="7BC2B4A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采购人在磋商文件规定的磋商响应文件递交截止时间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磋商时间</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和供应商须知前附表规定的地点进行磋商，并邀请所有供应商的法定代表人或其委托代理人准时参加。</w:t>
      </w:r>
    </w:p>
    <w:p w14:paraId="481E089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 磋商程序</w:t>
      </w:r>
    </w:p>
    <w:p w14:paraId="1922FA4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主持人按下列程序进行开标：</w:t>
      </w:r>
    </w:p>
    <w:p w14:paraId="7BD6552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介绍采购方代表、供应商代表等；</w:t>
      </w:r>
    </w:p>
    <w:p w14:paraId="1C4400C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（2）宣读会场纪律；</w:t>
      </w:r>
    </w:p>
    <w:p w14:paraId="36FF3D0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(3) 公布在磋商截止时间前递交磋商响应文件的供应商名称；</w:t>
      </w:r>
    </w:p>
    <w:p w14:paraId="77DDEC5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按照供应商须知前附表规定检查</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文件的密封情况；</w:t>
      </w:r>
    </w:p>
    <w:p w14:paraId="07488CA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(5) 供应商代表、采购人代表等有关人员在验封表上签字确认；</w:t>
      </w:r>
    </w:p>
    <w:p w14:paraId="79CBDA8A">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宣布开标大会结束。</w:t>
      </w:r>
    </w:p>
    <w:p w14:paraId="2DDD8A21">
      <w:pPr>
        <w:shd w:val="clear"/>
        <w:spacing w:line="360" w:lineRule="auto"/>
        <w:ind w:firstLine="422" w:firstLineChars="200"/>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第六部分  磋商响应文件的评审</w:t>
      </w:r>
    </w:p>
    <w:p w14:paraId="3D2C1B0B">
      <w:pPr>
        <w:numPr>
          <w:ilvl w:val="0"/>
          <w:numId w:val="0"/>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Cs w:val="21"/>
          <w:highlight w:val="none"/>
        </w:rPr>
        <w:t>组建磋商小组</w:t>
      </w:r>
    </w:p>
    <w:p w14:paraId="09291FE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磋商小组根据采购内容的特点进行组建，并负责评审磋商工作。磋商小组的构成及抽取方式详见供应商须知前附表。</w:t>
      </w:r>
    </w:p>
    <w:p w14:paraId="1463B389">
      <w:pPr>
        <w:numPr>
          <w:ilvl w:val="0"/>
          <w:numId w:val="0"/>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2.</w:t>
      </w:r>
      <w:r>
        <w:rPr>
          <w:rFonts w:hint="eastAsia" w:ascii="宋体" w:hAnsi="宋体" w:eastAsia="宋体" w:cs="宋体"/>
          <w:color w:val="auto"/>
          <w:szCs w:val="21"/>
          <w:highlight w:val="none"/>
        </w:rPr>
        <w:t>磋商响应文件的初审与澄清</w:t>
      </w:r>
    </w:p>
    <w:p w14:paraId="13AAA336">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响应文件的初审分为资格性检查和响应性评审。资格、响应性评审依据法律、法规和磋商文件的规定，对磋商响应文件中的资格证明等进行审查，以确定供应商是否具备综合评审资格。评审标准详见《磋商评审细则》。</w:t>
      </w:r>
    </w:p>
    <w:p w14:paraId="54CD4A2C">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3.磋商响应文件的澄清</w:t>
      </w:r>
    </w:p>
    <w:p w14:paraId="249B8BDA">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3.1在评审期间，磋商小组有权以书面方式要求供应商对其磋商响应文件中含义不明确、对同类问题表述不一致或者有明显文字和计算错误的内容做必要的澄清。供应商澄清应在磋商小组规定的时间内以书面方式进行，并不得超出磋商响应文件范围或者改变磋商响应文件的实质性内容。</w:t>
      </w:r>
    </w:p>
    <w:p w14:paraId="215B1618">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3.2澄清文件将作为磋商响应文件内容的一部分。</w:t>
      </w:r>
    </w:p>
    <w:p w14:paraId="6217E448">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4.比较与评价</w:t>
      </w:r>
    </w:p>
    <w:p w14:paraId="6A865435">
      <w:pPr>
        <w:widowControl/>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4.1经审查合格的磋商响应文件。</w:t>
      </w:r>
    </w:p>
    <w:p w14:paraId="3584DFBC">
      <w:pPr>
        <w:widowControl/>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4.1.1磋商小组所有成员应当集中与单一供应商分别进行磋商，并给予所有参加磋商的供应商平等的磋商机会。在磋商过程中，磋商小组可以根据磋商文件和磋商情况实质性变动采购需求中的技术、服务要求以及合同草案条款，但不变动磋商文件中的其他内容。实质性变动的内容，须经采购人代表确认。</w:t>
      </w:r>
    </w:p>
    <w:p w14:paraId="0CF2D787">
      <w:pPr>
        <w:widowControl/>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4.1.2对磋商文件作出的实质性变动是磋商文件的有效组成部分，磋商小组将及时以书面形式同时通知所有参加磋商的供应商。</w:t>
      </w:r>
    </w:p>
    <w:p w14:paraId="26B34CD8">
      <w:pPr>
        <w:widowControl/>
        <w:shd w:val="clear"/>
        <w:spacing w:line="360" w:lineRule="auto"/>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4.1.3供应商应当按照磋商文件的变动情况和磋商小组的要求重新提交书面文件，并由其法定代表人或授权代表签字或者加盖公章。由授权代表签字的，应当附法定代表人授权书。供应商为自然人的，应当由本人签字并附身份证明。</w:t>
      </w:r>
    </w:p>
    <w:p w14:paraId="356031BD">
      <w:pPr>
        <w:widowControl/>
        <w:shd w:val="clear"/>
        <w:spacing w:line="360" w:lineRule="auto"/>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4.1.4磋商结束后，磋商小组应当要求所有实质性响应的供应商在规定时间内提交最后报价，采购过程中符合要求的投标商的家数不足三家，根据财政部《关于政府采购竞争性磋商采购方式管理暂行办法有关问题的补充通知》财库〔2015〕124号文件执行。最后报价是供应商响应文件的有效组成部分。</w:t>
      </w:r>
    </w:p>
    <w:p w14:paraId="14E70F4B">
      <w:pPr>
        <w:widowControl/>
        <w:shd w:val="clear"/>
        <w:spacing w:line="360" w:lineRule="auto"/>
        <w:ind w:firstLine="48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4.1.5已提交响应文件的供应商，在提交最后报价之前，可以根据磋商情况退出磋商。采购人、采购代理机构将退还退出磋商的供应商的磋商保证金。</w:t>
      </w:r>
    </w:p>
    <w:p w14:paraId="572B860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4.1.6经磋商确定最终采购需求和提交最后报价的供应商后，由磋商小组采用综合评分法对提交最后报价的供应商的响应文件和最后报价进行综合评分。</w:t>
      </w:r>
    </w:p>
    <w:p w14:paraId="360EC837">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4.2评审严格按照磋商文件的要求和条件进行。评审时将考虑以下因素：</w:t>
      </w:r>
    </w:p>
    <w:p w14:paraId="62AA67D4">
      <w:pPr>
        <w:numPr>
          <w:ilvl w:val="0"/>
          <w:numId w:val="17"/>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报价的合理性；</w:t>
      </w:r>
    </w:p>
    <w:p w14:paraId="6F9F19B4">
      <w:pPr>
        <w:numPr>
          <w:ilvl w:val="0"/>
          <w:numId w:val="17"/>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商务因素响应；</w:t>
      </w:r>
    </w:p>
    <w:p w14:paraId="71CB7148">
      <w:pPr>
        <w:numPr>
          <w:ilvl w:val="0"/>
          <w:numId w:val="17"/>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实施</w:t>
      </w:r>
      <w:r>
        <w:rPr>
          <w:rFonts w:hint="eastAsia" w:ascii="宋体" w:hAnsi="宋体" w:eastAsia="宋体" w:cs="宋体"/>
          <w:color w:val="auto"/>
          <w:szCs w:val="21"/>
          <w:highlight w:val="none"/>
        </w:rPr>
        <w:t>方案</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技术暗标</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w:t>
      </w:r>
    </w:p>
    <w:p w14:paraId="57F86182">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4.3本次评审将采用下列方法：</w:t>
      </w:r>
    </w:p>
    <w:p w14:paraId="465AEE9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详见评分标准。 </w:t>
      </w:r>
    </w:p>
    <w:p w14:paraId="6AE2EA1A">
      <w:pPr>
        <w:numPr>
          <w:ilvl w:val="0"/>
          <w:numId w:val="18"/>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评审过程及保密原则</w:t>
      </w:r>
    </w:p>
    <w:p w14:paraId="3A5B7539">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5.1磋商响应文件递交后，直接授予成交供应商合同止，凡与本次采购有关人员对属于审查、澄清、评价和比较报价的有关资料以及授标意向等，均不得向供应商或其他无关的人员透露。</w:t>
      </w:r>
    </w:p>
    <w:p w14:paraId="2742F6B4">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5.2在磋商评审期间，供应商试图影响采购单位和磋商小组的任何活动，将导致其报价被拒绝，并承担相应的法律责任。</w:t>
      </w:r>
    </w:p>
    <w:p w14:paraId="4DCBEF9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6.本项目采用综合评分法，评审标准详见附表《磋商评审细则》，评审时磋商小组将严格按照评审细则中的分值设置与评审因素进行量化打分。磋商文件中没有规定的评审标准不得作为评审依据。</w:t>
      </w:r>
    </w:p>
    <w:p w14:paraId="21A417BA">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评审时，磋商小组各成员独立对每个有效响应的文件进行评价、打分，然后汇总每个供应商每项评分因素的得分。</w:t>
      </w:r>
    </w:p>
    <w:p w14:paraId="3D7BFC00">
      <w:p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7.磋商小组根据综合评分情况，按照评审得分由高到低顺序</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并确定排名第一名的供应商应成交</w:t>
      </w:r>
      <w:r>
        <w:rPr>
          <w:rFonts w:hint="eastAsia" w:ascii="宋体" w:hAnsi="宋体" w:eastAsia="宋体" w:cs="宋体"/>
          <w:color w:val="auto"/>
          <w:szCs w:val="21"/>
          <w:highlight w:val="none"/>
          <w:lang w:eastAsia="zh-CN"/>
        </w:rPr>
        <w:t>供应</w:t>
      </w:r>
      <w:r>
        <w:rPr>
          <w:rFonts w:hint="eastAsia" w:ascii="宋体" w:hAnsi="宋体" w:eastAsia="宋体" w:cs="宋体"/>
          <w:color w:val="auto"/>
          <w:szCs w:val="21"/>
          <w:highlight w:val="none"/>
        </w:rPr>
        <w:t>商，并编写评审报告。评审得分相同的，按照最后报价由低到高的顺序推荐。评审得分且最后报价相同的，按照技术部分优劣顺序推荐。</w:t>
      </w:r>
    </w:p>
    <w:p w14:paraId="7F11B7CF">
      <w:pPr>
        <w:shd w:val="clear"/>
        <w:spacing w:line="360" w:lineRule="auto"/>
        <w:ind w:firstLine="420" w:firstLineChars="200"/>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8. 原则上确定排名位于第一名的成交候选供应商为中标供应商。</w:t>
      </w:r>
      <w:r>
        <w:rPr>
          <w:rFonts w:hint="eastAsia" w:ascii="宋体" w:hAnsi="宋体" w:eastAsia="宋体" w:cs="宋体"/>
          <w:bCs/>
          <w:color w:val="auto"/>
          <w:szCs w:val="21"/>
          <w:highlight w:val="none"/>
        </w:rPr>
        <w:t>若排名</w:t>
      </w:r>
      <w:r>
        <w:rPr>
          <w:rFonts w:hint="eastAsia" w:ascii="宋体" w:hAnsi="宋体" w:eastAsia="宋体" w:cs="宋体"/>
          <w:color w:val="auto"/>
          <w:szCs w:val="21"/>
          <w:highlight w:val="none"/>
        </w:rPr>
        <w:t>第一名</w:t>
      </w:r>
      <w:r>
        <w:rPr>
          <w:rFonts w:hint="eastAsia" w:ascii="宋体" w:hAnsi="宋体" w:eastAsia="宋体" w:cs="宋体"/>
          <w:bCs/>
          <w:color w:val="auto"/>
          <w:szCs w:val="21"/>
          <w:highlight w:val="none"/>
        </w:rPr>
        <w:t>的成交候选供应商放弃中标、因不可抗力提出不能履行合同或</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bCs/>
          <w:color w:val="auto"/>
          <w:szCs w:val="21"/>
          <w:highlight w:val="none"/>
        </w:rPr>
        <w:t>文件规定应当提交履约保证金而在规定的期限内未能提交的，采购人有权选择重新招标，或者采购人确定第二名的成交候选供应商为中标供应商，以此类推。</w:t>
      </w:r>
    </w:p>
    <w:p w14:paraId="6064060A">
      <w:pPr>
        <w:shd w:val="clear"/>
        <w:autoSpaceDE w:val="0"/>
        <w:autoSpaceDN w:val="0"/>
        <w:adjustRightInd w:val="0"/>
        <w:spacing w:line="360" w:lineRule="auto"/>
        <w:ind w:firstLine="210" w:firstLineChars="1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9. 磋商小组完成评标后，应当向采购人提交书面评标报告。</w:t>
      </w:r>
      <w:bookmarkStart w:id="41" w:name="_Toc458690403"/>
      <w:bookmarkStart w:id="42" w:name="_Toc465069567"/>
    </w:p>
    <w:p w14:paraId="78BDC4FC">
      <w:pPr>
        <w:shd w:val="clear"/>
        <w:spacing w:line="360" w:lineRule="auto"/>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第七部分 合同授予</w:t>
      </w:r>
    </w:p>
    <w:p w14:paraId="3AD01CF6">
      <w:pPr>
        <w:pStyle w:val="57"/>
        <w:shd w:val="clear"/>
        <w:jc w:val="both"/>
        <w:rPr>
          <w:rFonts w:hint="eastAsia" w:ascii="宋体" w:hAnsi="宋体" w:eastAsia="宋体" w:cs="宋体"/>
          <w:color w:val="auto"/>
          <w:sz w:val="21"/>
          <w:szCs w:val="21"/>
          <w:highlight w:val="none"/>
          <w:lang w:val="zh-CN"/>
        </w:rPr>
      </w:pPr>
      <w:bookmarkStart w:id="43" w:name="_Toc201719101"/>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zh-CN"/>
        </w:rPr>
        <w:t xml:space="preserve"> 定标方式</w:t>
      </w:r>
      <w:bookmarkEnd w:id="43"/>
    </w:p>
    <w:p w14:paraId="6C48A261">
      <w:pPr>
        <w:pStyle w:val="57"/>
        <w:shd w:val="clear"/>
        <w:spacing w:line="360" w:lineRule="auto"/>
        <w:jc w:val="both"/>
        <w:rPr>
          <w:rFonts w:hint="eastAsia" w:ascii="宋体" w:hAnsi="宋体" w:eastAsia="宋体" w:cs="宋体"/>
          <w:b w:val="0"/>
          <w:bCs w:val="0"/>
          <w:color w:val="auto"/>
          <w:kern w:val="2"/>
          <w:sz w:val="21"/>
          <w:szCs w:val="21"/>
          <w:highlight w:val="none"/>
          <w:lang w:val="zh-CN"/>
        </w:rPr>
      </w:pPr>
      <w:r>
        <w:rPr>
          <w:rFonts w:hint="eastAsia" w:ascii="宋体" w:hAnsi="宋体" w:eastAsia="宋体" w:cs="宋体"/>
          <w:b w:val="0"/>
          <w:color w:val="auto"/>
          <w:sz w:val="21"/>
          <w:szCs w:val="21"/>
          <w:highlight w:val="none"/>
          <w:lang w:val="zh-CN"/>
        </w:rPr>
        <w:t xml:space="preserve">   </w:t>
      </w:r>
      <w:r>
        <w:rPr>
          <w:rFonts w:hint="eastAsia" w:ascii="宋体" w:hAnsi="宋体" w:eastAsia="宋体" w:cs="宋体"/>
          <w:b w:val="0"/>
          <w:bCs w:val="0"/>
          <w:color w:val="auto"/>
          <w:kern w:val="2"/>
          <w:sz w:val="21"/>
          <w:szCs w:val="21"/>
          <w:highlight w:val="none"/>
          <w:lang w:val="zh-CN" w:eastAsia="zh-CN" w:bidi="ar-SA"/>
        </w:rPr>
        <w:t xml:space="preserve"> 除供应商须知前附表规定评标委员会直接确定中标人外，采购人依据评标委员会推荐的中标候选人确定中标人，评标委员会推荐中标候选人的人数见供应商须知前附表。</w:t>
      </w:r>
    </w:p>
    <w:p w14:paraId="08437D39">
      <w:pPr>
        <w:pStyle w:val="57"/>
        <w:shd w:val="clear"/>
        <w:jc w:val="both"/>
        <w:rPr>
          <w:rFonts w:hint="eastAsia" w:ascii="宋体" w:hAnsi="宋体" w:eastAsia="宋体" w:cs="宋体"/>
          <w:color w:val="auto"/>
          <w:sz w:val="21"/>
          <w:szCs w:val="21"/>
          <w:highlight w:val="none"/>
          <w:lang w:val="zh-CN"/>
        </w:rPr>
      </w:pPr>
      <w:bookmarkStart w:id="44" w:name="_Toc201719102"/>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zh-CN"/>
        </w:rPr>
        <w:t>中标通知</w:t>
      </w:r>
      <w:bookmarkEnd w:id="44"/>
    </w:p>
    <w:p w14:paraId="57D4CDCE">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2.1采购代理机构应当在评标结束后2个工作日内将评标报告送采购人。</w:t>
      </w:r>
    </w:p>
    <w:p w14:paraId="03063741">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2.2 采购代理机构应当自评标委员会中标人确定之日起2个工作日内，在省级以上财政部门指定的媒体上公告中标结果，</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color w:val="auto"/>
          <w:szCs w:val="21"/>
          <w:highlight w:val="none"/>
          <w:lang w:val="zh-CN"/>
        </w:rPr>
        <w:t>文件应当随中标结果同时公告。中标公告期限为1个工作日。</w:t>
      </w:r>
    </w:p>
    <w:p w14:paraId="451B6B42">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2.3在公告中标结果的同时，采购代理机构向中标人发出中标通知书；对未通过资格审查的供应商，将告知其未通过的原因；采用综合评分法评审的，还将告知未中标人本人的评审得分与排序。</w:t>
      </w:r>
    </w:p>
    <w:p w14:paraId="78E39799">
      <w:pPr>
        <w:pStyle w:val="57"/>
        <w:shd w:val="clear"/>
        <w:jc w:val="both"/>
        <w:rPr>
          <w:rFonts w:hint="eastAsia" w:ascii="宋体" w:hAnsi="宋体" w:eastAsia="宋体" w:cs="宋体"/>
          <w:color w:val="auto"/>
          <w:sz w:val="21"/>
          <w:szCs w:val="21"/>
          <w:highlight w:val="none"/>
          <w:lang w:val="zh-CN"/>
        </w:rPr>
      </w:pPr>
      <w:bookmarkStart w:id="45" w:name="_Toc201719103"/>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zh-CN"/>
        </w:rPr>
        <w:t>履约、支付担保</w:t>
      </w:r>
      <w:bookmarkEnd w:id="45"/>
    </w:p>
    <w:p w14:paraId="21FAA266">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 在签订合同前，中标人应按供应商须知前附表规定的金额、担保形式和</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color w:val="auto"/>
          <w:szCs w:val="21"/>
          <w:highlight w:val="none"/>
          <w:lang w:val="zh-CN"/>
        </w:rPr>
        <w:t>文件第四章“合同条款及格式”规定的履约担保格式向</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提交履约担保。联合体中标的，其履约担保由牵头人递交，并应符合供应商须知前附表规定的金额、担保形式和</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color w:val="auto"/>
          <w:szCs w:val="21"/>
          <w:highlight w:val="none"/>
          <w:lang w:val="zh-CN"/>
        </w:rPr>
        <w:t>文件第四章“合同条款及格式”规定的履约担保格式要求。</w:t>
      </w:r>
    </w:p>
    <w:p w14:paraId="6227638D">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3.2 </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color w:val="auto"/>
          <w:szCs w:val="21"/>
          <w:highlight w:val="none"/>
          <w:lang w:val="zh-CN"/>
        </w:rPr>
        <w:t>文件要求中标人提交履约保证金或者其他形式履约担保的，中标人不能按本章第3.1项要求提交履约担保的，视为放弃中标，其投标保证金不予退还，给</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造成的损失超过投标保证金数额的，中标人还应当对超过部分予以赔偿。</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要求中标人提供履约保证金或其他形式履约担保的，</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应当同时向中标人提供项目款支付担保。</w:t>
      </w:r>
    </w:p>
    <w:p w14:paraId="1C5ABD34">
      <w:pPr>
        <w:pStyle w:val="57"/>
        <w:shd w:val="clear"/>
        <w:jc w:val="both"/>
        <w:rPr>
          <w:rFonts w:hint="eastAsia" w:ascii="宋体" w:hAnsi="宋体" w:eastAsia="宋体" w:cs="宋体"/>
          <w:color w:val="auto"/>
          <w:sz w:val="21"/>
          <w:szCs w:val="21"/>
          <w:highlight w:val="none"/>
          <w:lang w:val="zh-CN"/>
        </w:rPr>
      </w:pPr>
      <w:bookmarkStart w:id="46" w:name="_Toc201719104"/>
      <w:r>
        <w:rPr>
          <w:rFonts w:hint="eastAsia" w:ascii="宋体" w:hAnsi="宋体" w:eastAsia="宋体" w:cs="宋体"/>
          <w:color w:val="auto"/>
          <w:sz w:val="21"/>
          <w:szCs w:val="21"/>
          <w:highlight w:val="none"/>
          <w:lang w:val="zh-CN"/>
        </w:rPr>
        <w:t>4 签订合同</w:t>
      </w:r>
      <w:bookmarkEnd w:id="46"/>
    </w:p>
    <w:p w14:paraId="1E1AB3DD">
      <w:pPr>
        <w:shd w:val="clea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 4.1 </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和中标人应当自中标通知书发出之日起30天内，根据</w:t>
      </w:r>
      <w:r>
        <w:rPr>
          <w:rFonts w:hint="eastAsia" w:ascii="宋体" w:hAnsi="宋体" w:eastAsia="宋体" w:cs="宋体"/>
          <w:bCs/>
          <w:color w:val="auto"/>
          <w:szCs w:val="21"/>
          <w:highlight w:val="none"/>
          <w:lang w:val="en-US" w:eastAsia="zh-CN"/>
        </w:rPr>
        <w:t>竞争性磋商</w:t>
      </w:r>
      <w:r>
        <w:rPr>
          <w:rFonts w:hint="eastAsia" w:ascii="宋体" w:hAnsi="宋体" w:eastAsia="宋体" w:cs="宋体"/>
          <w:color w:val="auto"/>
          <w:szCs w:val="21"/>
          <w:highlight w:val="none"/>
          <w:lang w:val="zh-CN"/>
        </w:rPr>
        <w:t>文件和中标人的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lang w:val="zh-CN"/>
        </w:rPr>
        <w:t>文件订立书面合同。中标人无正当理由拒签合同的，</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取消其中标资格，其投标保证金不予退还；给</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造成的损失超过投标保证金数额的，中标人还应当对超过部分予以赔偿。</w:t>
      </w:r>
    </w:p>
    <w:p w14:paraId="01A43EE6">
      <w:pPr>
        <w:shd w:val="clear"/>
        <w:spacing w:line="36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 xml:space="preserve"> </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lang w:val="zh-CN"/>
        </w:rPr>
        <w:t>4.2 发出中标通知书后，</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无正当理由拒签合同的，</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lang w:val="zh-CN"/>
        </w:rPr>
        <w:t>向中标人退还投标保证金；给中标人造成损失的，还应当赔偿损失。</w:t>
      </w:r>
    </w:p>
    <w:p w14:paraId="7FBF6D5D">
      <w:pPr>
        <w:pStyle w:val="57"/>
        <w:shd w:val="clear"/>
        <w:jc w:val="both"/>
        <w:rPr>
          <w:rFonts w:hint="eastAsia" w:ascii="宋体" w:hAnsi="宋体" w:eastAsia="宋体" w:cs="宋体"/>
          <w:color w:val="auto"/>
          <w:sz w:val="21"/>
          <w:szCs w:val="21"/>
          <w:highlight w:val="none"/>
          <w:lang w:val="zh-CN"/>
        </w:rPr>
      </w:pPr>
      <w:bookmarkStart w:id="47" w:name="_Toc201719114"/>
      <w:r>
        <w:rPr>
          <w:rFonts w:hint="eastAsia" w:ascii="宋体" w:hAnsi="宋体" w:eastAsia="宋体" w:cs="宋体"/>
          <w:color w:val="auto"/>
          <w:sz w:val="21"/>
          <w:szCs w:val="21"/>
          <w:highlight w:val="none"/>
        </w:rPr>
        <w:t>5.</w:t>
      </w:r>
      <w:r>
        <w:rPr>
          <w:rFonts w:hint="eastAsia" w:ascii="宋体" w:hAnsi="宋体" w:eastAsia="宋体" w:cs="宋体"/>
          <w:color w:val="auto"/>
          <w:sz w:val="21"/>
          <w:szCs w:val="21"/>
          <w:highlight w:val="none"/>
          <w:lang w:val="zh-CN"/>
        </w:rPr>
        <w:t>需要补充的其他内容</w:t>
      </w:r>
      <w:bookmarkEnd w:id="47"/>
    </w:p>
    <w:p w14:paraId="00896942">
      <w:pPr>
        <w:pStyle w:val="57"/>
        <w:shd w:val="clear"/>
        <w:jc w:val="both"/>
        <w:rPr>
          <w:rFonts w:hint="eastAsia" w:ascii="宋体" w:hAnsi="宋体" w:eastAsia="宋体" w:cs="宋体"/>
          <w:b w:val="0"/>
          <w:color w:val="auto"/>
          <w:sz w:val="21"/>
          <w:szCs w:val="21"/>
          <w:highlight w:val="none"/>
          <w:lang w:val="zh-CN"/>
        </w:rPr>
      </w:pPr>
      <w:r>
        <w:rPr>
          <w:rFonts w:hint="eastAsia" w:ascii="宋体" w:hAnsi="宋体" w:eastAsia="宋体" w:cs="宋体"/>
          <w:b w:val="0"/>
          <w:color w:val="auto"/>
          <w:sz w:val="21"/>
          <w:szCs w:val="21"/>
          <w:highlight w:val="none"/>
          <w:lang w:val="zh-CN"/>
        </w:rPr>
        <w:t>需要补充的其他内容：见供应商须知前附表。</w:t>
      </w:r>
    </w:p>
    <w:p w14:paraId="38A44B01">
      <w:pPr>
        <w:shd w:val="clear"/>
        <w:spacing w:line="360" w:lineRule="auto"/>
        <w:ind w:firstLine="420" w:firstLineChars="200"/>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Cs w:val="21"/>
          <w:highlight w:val="none"/>
          <w:lang w:val="zh-CN"/>
        </w:rPr>
        <w:br w:type="page"/>
      </w:r>
      <w:r>
        <w:rPr>
          <w:rFonts w:hint="eastAsia" w:ascii="宋体" w:hAnsi="宋体" w:eastAsia="宋体" w:cs="宋体"/>
          <w:b/>
          <w:bCs/>
          <w:color w:val="auto"/>
          <w:sz w:val="36"/>
          <w:szCs w:val="36"/>
          <w:highlight w:val="none"/>
          <w:lang w:val="zh-CN"/>
        </w:rPr>
        <w:t>第三章 磋商评审细则</w:t>
      </w:r>
      <w:bookmarkEnd w:id="41"/>
      <w:bookmarkEnd w:id="42"/>
    </w:p>
    <w:p w14:paraId="39235672">
      <w:pPr>
        <w:shd w:val="clear"/>
        <w:autoSpaceDE w:val="0"/>
        <w:autoSpaceDN w:val="0"/>
        <w:adjustRightInd w:val="0"/>
        <w:spacing w:line="400" w:lineRule="exac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磋商评审前附表（一）</w:t>
      </w:r>
    </w:p>
    <w:p w14:paraId="12B32D6C">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评标应当遵循下列工作程序：</w:t>
      </w:r>
    </w:p>
    <w:p w14:paraId="6908A6E4">
      <w:pPr>
        <w:shd w:val="clear"/>
        <w:spacing w:line="360" w:lineRule="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1.1响应文件初审：分为资格性检查和符合性检查。</w:t>
      </w:r>
    </w:p>
    <w:p w14:paraId="489D601E">
      <w:pPr>
        <w:shd w:val="clear"/>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资格性审查表</w:t>
      </w:r>
    </w:p>
    <w:tbl>
      <w:tblPr>
        <w:tblStyle w:val="61"/>
        <w:tblW w:w="9669" w:type="dxa"/>
        <w:jc w:val="center"/>
        <w:tblLayout w:type="fixed"/>
        <w:tblCellMar>
          <w:top w:w="0" w:type="dxa"/>
          <w:left w:w="108" w:type="dxa"/>
          <w:bottom w:w="0" w:type="dxa"/>
          <w:right w:w="108" w:type="dxa"/>
        </w:tblCellMar>
      </w:tblPr>
      <w:tblGrid>
        <w:gridCol w:w="780"/>
        <w:gridCol w:w="5875"/>
        <w:gridCol w:w="1064"/>
        <w:gridCol w:w="935"/>
        <w:gridCol w:w="1015"/>
      </w:tblGrid>
      <w:tr w14:paraId="1F009163">
        <w:tblPrEx>
          <w:tblCellMar>
            <w:top w:w="0" w:type="dxa"/>
            <w:left w:w="108" w:type="dxa"/>
            <w:bottom w:w="0" w:type="dxa"/>
            <w:right w:w="108" w:type="dxa"/>
          </w:tblCellMar>
        </w:tblPrEx>
        <w:trPr>
          <w:trHeight w:val="397" w:hRule="atLeast"/>
          <w:jc w:val="center"/>
        </w:trPr>
        <w:tc>
          <w:tcPr>
            <w:tcW w:w="6655" w:type="dxa"/>
            <w:gridSpan w:val="2"/>
            <w:vMerge w:val="restart"/>
            <w:tcBorders>
              <w:top w:val="single" w:color="auto" w:sz="6" w:space="0"/>
              <w:left w:val="single" w:color="auto" w:sz="6" w:space="0"/>
              <w:bottom w:val="single" w:color="auto" w:sz="6" w:space="0"/>
              <w:right w:val="single" w:color="auto" w:sz="6" w:space="0"/>
            </w:tcBorders>
            <w:noWrap w:val="0"/>
            <w:vAlign w:val="center"/>
          </w:tcPr>
          <w:p w14:paraId="5E9EC026">
            <w:pPr>
              <w:widowControl/>
              <w:shd w:val="clear"/>
              <w:autoSpaceDE w:val="0"/>
              <w:autoSpaceDN w:val="0"/>
              <w:spacing w:line="240" w:lineRule="auto"/>
              <w:ind w:right="-34"/>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检查内容</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26A21858">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投标人</w:t>
            </w:r>
          </w:p>
        </w:tc>
        <w:tc>
          <w:tcPr>
            <w:tcW w:w="935" w:type="dxa"/>
            <w:tcBorders>
              <w:top w:val="single" w:color="auto" w:sz="6" w:space="0"/>
              <w:left w:val="single" w:color="auto" w:sz="6" w:space="0"/>
              <w:bottom w:val="single" w:color="auto" w:sz="6" w:space="0"/>
              <w:right w:val="single" w:color="auto" w:sz="4" w:space="0"/>
            </w:tcBorders>
            <w:noWrap w:val="0"/>
            <w:vAlign w:val="center"/>
          </w:tcPr>
          <w:p w14:paraId="444BD9C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投标人</w:t>
            </w:r>
          </w:p>
        </w:tc>
        <w:tc>
          <w:tcPr>
            <w:tcW w:w="1015" w:type="dxa"/>
            <w:tcBorders>
              <w:top w:val="single" w:color="auto" w:sz="6" w:space="0"/>
              <w:left w:val="single" w:color="auto" w:sz="6" w:space="0"/>
              <w:bottom w:val="single" w:color="auto" w:sz="6" w:space="0"/>
              <w:right w:val="single" w:color="auto" w:sz="4" w:space="0"/>
            </w:tcBorders>
            <w:noWrap w:val="0"/>
            <w:vAlign w:val="center"/>
          </w:tcPr>
          <w:p w14:paraId="0F654DD7">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投标人</w:t>
            </w:r>
          </w:p>
        </w:tc>
      </w:tr>
      <w:tr w14:paraId="5487BB46">
        <w:tblPrEx>
          <w:tblCellMar>
            <w:top w:w="0" w:type="dxa"/>
            <w:left w:w="108" w:type="dxa"/>
            <w:bottom w:w="0" w:type="dxa"/>
            <w:right w:w="108" w:type="dxa"/>
          </w:tblCellMar>
        </w:tblPrEx>
        <w:trPr>
          <w:trHeight w:val="397" w:hRule="atLeast"/>
          <w:jc w:val="center"/>
        </w:trPr>
        <w:tc>
          <w:tcPr>
            <w:tcW w:w="6655" w:type="dxa"/>
            <w:gridSpan w:val="2"/>
            <w:vMerge w:val="continue"/>
            <w:tcBorders>
              <w:top w:val="single" w:color="auto" w:sz="6" w:space="0"/>
              <w:left w:val="single" w:color="auto" w:sz="6" w:space="0"/>
              <w:bottom w:val="single" w:color="auto" w:sz="6" w:space="0"/>
              <w:right w:val="single" w:color="auto" w:sz="6" w:space="0"/>
            </w:tcBorders>
            <w:noWrap w:val="0"/>
            <w:vAlign w:val="center"/>
          </w:tcPr>
          <w:p w14:paraId="7D2B5437">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64" w:type="dxa"/>
            <w:tcBorders>
              <w:top w:val="single" w:color="auto" w:sz="6" w:space="0"/>
              <w:left w:val="single" w:color="auto" w:sz="6" w:space="0"/>
              <w:bottom w:val="single" w:color="auto" w:sz="6" w:space="0"/>
              <w:right w:val="single" w:color="auto" w:sz="4" w:space="0"/>
            </w:tcBorders>
            <w:noWrap w:val="0"/>
            <w:vAlign w:val="top"/>
          </w:tcPr>
          <w:p w14:paraId="64C10E19">
            <w:pPr>
              <w:widowControl/>
              <w:shd w:val="clear"/>
              <w:autoSpaceDE w:val="0"/>
              <w:autoSpaceDN w:val="0"/>
              <w:spacing w:line="240" w:lineRule="auto"/>
              <w:ind w:right="-34"/>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top"/>
          </w:tcPr>
          <w:p w14:paraId="2D7301C1">
            <w:pPr>
              <w:widowControl/>
              <w:shd w:val="clear"/>
              <w:autoSpaceDE w:val="0"/>
              <w:autoSpaceDN w:val="0"/>
              <w:spacing w:line="240" w:lineRule="auto"/>
              <w:ind w:right="-34"/>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top"/>
          </w:tcPr>
          <w:p w14:paraId="3B2C9704">
            <w:pPr>
              <w:widowControl/>
              <w:shd w:val="clear"/>
              <w:autoSpaceDE w:val="0"/>
              <w:autoSpaceDN w:val="0"/>
              <w:spacing w:line="240" w:lineRule="auto"/>
              <w:ind w:right="-34"/>
              <w:jc w:val="center"/>
              <w:textAlignment w:val="bottom"/>
              <w:rPr>
                <w:rFonts w:hint="eastAsia" w:ascii="宋体" w:hAnsi="宋体" w:cs="宋体"/>
                <w:color w:val="auto"/>
                <w:szCs w:val="21"/>
                <w:highlight w:val="none"/>
              </w:rPr>
            </w:pPr>
          </w:p>
        </w:tc>
      </w:tr>
      <w:tr w14:paraId="05FC0B0B">
        <w:tblPrEx>
          <w:tblCellMar>
            <w:top w:w="0" w:type="dxa"/>
            <w:left w:w="108" w:type="dxa"/>
            <w:bottom w:w="0" w:type="dxa"/>
            <w:right w:w="108" w:type="dxa"/>
          </w:tblCellMar>
        </w:tblPrEx>
        <w:trPr>
          <w:trHeight w:val="397" w:hRule="atLeast"/>
          <w:jc w:val="center"/>
        </w:trPr>
        <w:tc>
          <w:tcPr>
            <w:tcW w:w="780" w:type="dxa"/>
            <w:vMerge w:val="restart"/>
            <w:tcBorders>
              <w:top w:val="single" w:color="auto" w:sz="6" w:space="0"/>
              <w:left w:val="single" w:color="auto" w:sz="6" w:space="0"/>
              <w:right w:val="single" w:color="auto" w:sz="4" w:space="0"/>
            </w:tcBorders>
            <w:noWrap w:val="0"/>
            <w:vAlign w:val="center"/>
          </w:tcPr>
          <w:p w14:paraId="10CA74AD">
            <w:pPr>
              <w:shd w:val="clear"/>
              <w:spacing w:line="240" w:lineRule="auto"/>
              <w:jc w:val="center"/>
              <w:rPr>
                <w:rFonts w:hint="eastAsia" w:ascii="宋体" w:hAnsi="宋体" w:cs="宋体"/>
                <w:color w:val="auto"/>
                <w:szCs w:val="21"/>
                <w:highlight w:val="none"/>
              </w:rPr>
            </w:pPr>
            <w:r>
              <w:rPr>
                <w:rFonts w:hint="eastAsia" w:ascii="宋体" w:hAnsi="宋体" w:cs="宋体"/>
                <w:color w:val="auto"/>
                <w:szCs w:val="21"/>
                <w:highlight w:val="none"/>
              </w:rPr>
              <w:t>资格性审查</w:t>
            </w:r>
          </w:p>
        </w:tc>
        <w:tc>
          <w:tcPr>
            <w:tcW w:w="5875" w:type="dxa"/>
            <w:tcBorders>
              <w:top w:val="single" w:color="auto" w:sz="6" w:space="0"/>
              <w:left w:val="single" w:color="auto" w:sz="4" w:space="0"/>
              <w:bottom w:val="single" w:color="auto" w:sz="6" w:space="0"/>
              <w:right w:val="single" w:color="auto" w:sz="6" w:space="0"/>
            </w:tcBorders>
            <w:noWrap w:val="0"/>
            <w:vAlign w:val="center"/>
          </w:tcPr>
          <w:p w14:paraId="585EA216">
            <w:pPr>
              <w:shd w:val="clear"/>
              <w:spacing w:line="240" w:lineRule="auto"/>
              <w:jc w:val="left"/>
              <w:rPr>
                <w:rFonts w:hint="eastAsia" w:ascii="宋体" w:hAnsi="宋体" w:cs="宋体"/>
                <w:color w:val="auto"/>
                <w:szCs w:val="21"/>
                <w:highlight w:val="none"/>
              </w:rPr>
            </w:pPr>
            <w:r>
              <w:rPr>
                <w:rFonts w:hint="eastAsia"/>
                <w:color w:val="auto"/>
                <w:highlight w:val="none"/>
              </w:rPr>
              <w:t>投标人须是在中国境内注册具有独立承担民事责任能力的独立法人或其他组织形式，具备有效的营业执照，具有履行合同所必需的设备和专业技术能力</w:t>
            </w:r>
            <w:r>
              <w:rPr>
                <w:rFonts w:hint="eastAsia" w:ascii="宋体" w:hAnsi="宋体" w:cs="宋体"/>
                <w:color w:val="auto"/>
                <w:szCs w:val="21"/>
                <w:highlight w:val="none"/>
              </w:rPr>
              <w:t>，投标文件中附营业执照加盖公章复印件</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1D4400E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2E72D0D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362BAE91">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42C55E79">
        <w:tblPrEx>
          <w:tblCellMar>
            <w:top w:w="0" w:type="dxa"/>
            <w:left w:w="108" w:type="dxa"/>
            <w:bottom w:w="0" w:type="dxa"/>
            <w:right w:w="108" w:type="dxa"/>
          </w:tblCellMar>
        </w:tblPrEx>
        <w:trPr>
          <w:trHeight w:val="923" w:hRule="atLeast"/>
          <w:jc w:val="center"/>
        </w:trPr>
        <w:tc>
          <w:tcPr>
            <w:tcW w:w="780" w:type="dxa"/>
            <w:vMerge w:val="continue"/>
            <w:tcBorders>
              <w:left w:val="single" w:color="auto" w:sz="6" w:space="0"/>
              <w:right w:val="single" w:color="auto" w:sz="4" w:space="0"/>
            </w:tcBorders>
            <w:noWrap w:val="0"/>
            <w:vAlign w:val="center"/>
          </w:tcPr>
          <w:p w14:paraId="71630269">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067CE556">
            <w:pPr>
              <w:shd w:val="clear"/>
              <w:autoSpaceDE w:val="0"/>
              <w:autoSpaceDN w:val="0"/>
              <w:adjustRightInd w:val="0"/>
              <w:spacing w:line="240" w:lineRule="auto"/>
              <w:jc w:val="left"/>
              <w:rPr>
                <w:rFonts w:hint="default" w:ascii="宋体" w:hAnsi="宋体" w:cs="宋体"/>
                <w:color w:val="auto"/>
                <w:highlight w:val="none"/>
                <w:lang w:val="en-US" w:eastAsia="zh-CN"/>
              </w:rPr>
            </w:pPr>
            <w:r>
              <w:rPr>
                <w:rFonts w:hint="eastAsia" w:ascii="宋体" w:hAnsi="宋体" w:eastAsia="宋体" w:cs="宋体"/>
                <w:color w:val="auto"/>
                <w:szCs w:val="21"/>
                <w:highlight w:val="none"/>
              </w:rPr>
              <w:t>具有良好的商业信誉和健全的财务会计制度，财务状况良好，具有经会计师事务所或审计机构出具的财务审计报告（提供近三年（202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年－202</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年）任意一年的财务审计报告</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具有</w:t>
            </w:r>
            <w:r>
              <w:rPr>
                <w:rFonts w:hint="eastAsia" w:ascii="宋体" w:hAnsi="宋体" w:eastAsia="宋体" w:cs="宋体"/>
                <w:color w:val="auto"/>
                <w:szCs w:val="21"/>
                <w:highlight w:val="none"/>
              </w:rPr>
              <w:t>其基本开户银行出具的《资信证明书》</w:t>
            </w:r>
            <w:r>
              <w:rPr>
                <w:rFonts w:hint="eastAsia" w:ascii="宋体" w:hAnsi="宋体" w:cs="宋体"/>
                <w:color w:val="auto"/>
                <w:szCs w:val="21"/>
                <w:highlight w:val="none"/>
              </w:rPr>
              <w:t>，投标文件中附财务审</w:t>
            </w:r>
            <w:r>
              <w:rPr>
                <w:rFonts w:hint="eastAsia" w:ascii="Calibri" w:hAnsi="Calibri"/>
                <w:color w:val="auto"/>
                <w:szCs w:val="21"/>
                <w:highlight w:val="none"/>
              </w:rPr>
              <w:t>计报告</w:t>
            </w:r>
            <w:r>
              <w:rPr>
                <w:rFonts w:hint="eastAsia" w:ascii="Calibri" w:hAnsi="Calibri"/>
                <w:color w:val="auto"/>
                <w:szCs w:val="21"/>
                <w:highlight w:val="none"/>
                <w:lang w:eastAsia="zh-CN"/>
              </w:rPr>
              <w:t>或资信证明</w:t>
            </w:r>
            <w:r>
              <w:rPr>
                <w:rFonts w:hint="eastAsia" w:ascii="宋体" w:hAnsi="宋体" w:cs="宋体"/>
                <w:color w:val="auto"/>
                <w:szCs w:val="21"/>
                <w:highlight w:val="none"/>
              </w:rPr>
              <w:t>加盖公章复印件</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380E3ED4">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1A57D754">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27722453">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3F3C5F66">
        <w:tblPrEx>
          <w:tblCellMar>
            <w:top w:w="0" w:type="dxa"/>
            <w:left w:w="108" w:type="dxa"/>
            <w:bottom w:w="0" w:type="dxa"/>
            <w:right w:w="108" w:type="dxa"/>
          </w:tblCellMar>
        </w:tblPrEx>
        <w:trPr>
          <w:trHeight w:val="800" w:hRule="atLeast"/>
          <w:jc w:val="center"/>
        </w:trPr>
        <w:tc>
          <w:tcPr>
            <w:tcW w:w="780" w:type="dxa"/>
            <w:vMerge w:val="continue"/>
            <w:tcBorders>
              <w:left w:val="single" w:color="auto" w:sz="6" w:space="0"/>
              <w:right w:val="single" w:color="auto" w:sz="4" w:space="0"/>
            </w:tcBorders>
            <w:noWrap w:val="0"/>
            <w:vAlign w:val="center"/>
          </w:tcPr>
          <w:p w14:paraId="52329DC8">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0A31E588">
            <w:pPr>
              <w:shd w:val="clear"/>
              <w:autoSpaceDE w:val="0"/>
              <w:autoSpaceDN w:val="0"/>
              <w:adjustRightInd w:val="0"/>
              <w:spacing w:line="240" w:lineRule="auto"/>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具有近</w:t>
            </w:r>
            <w:r>
              <w:rPr>
                <w:rFonts w:hint="eastAsia" w:ascii="宋体" w:hAnsi="宋体" w:eastAsia="宋体" w:cs="宋体"/>
                <w:color w:val="auto"/>
                <w:szCs w:val="21"/>
                <w:highlight w:val="none"/>
                <w:lang w:val="en-US" w:eastAsia="zh-CN"/>
              </w:rPr>
              <w:t>半年（2026年1月－至今）</w:t>
            </w:r>
            <w:r>
              <w:rPr>
                <w:rFonts w:hint="eastAsia" w:ascii="宋体" w:hAnsi="宋体" w:eastAsia="宋体" w:cs="宋体"/>
                <w:color w:val="auto"/>
                <w:szCs w:val="21"/>
                <w:highlight w:val="none"/>
              </w:rPr>
              <w:t>任意一个月依法缴纳税收的相关材料（提供纳税证明材料）</w:t>
            </w:r>
            <w:r>
              <w:rPr>
                <w:rFonts w:hint="eastAsia" w:ascii="宋体" w:hAnsi="宋体" w:cs="宋体"/>
                <w:color w:val="auto"/>
                <w:szCs w:val="21"/>
                <w:highlight w:val="none"/>
              </w:rPr>
              <w:t>，投标文件中附加盖公章复印件</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5D846D45">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2B3855EA">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2D91F390">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3B7C942E">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19AB45A2">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0E6E66CD">
            <w:pPr>
              <w:shd w:val="clear"/>
              <w:autoSpaceDE w:val="0"/>
              <w:autoSpaceDN w:val="0"/>
              <w:adjustRightInd w:val="0"/>
              <w:spacing w:line="24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宋体"/>
                <w:color w:val="auto"/>
                <w:szCs w:val="21"/>
                <w:highlight w:val="none"/>
              </w:rPr>
              <w:t>具有近</w:t>
            </w:r>
            <w:r>
              <w:rPr>
                <w:rFonts w:hint="eastAsia" w:ascii="宋体" w:hAnsi="宋体" w:eastAsia="宋体" w:cs="宋体"/>
                <w:color w:val="auto"/>
                <w:szCs w:val="21"/>
                <w:highlight w:val="none"/>
                <w:lang w:val="en-US" w:eastAsia="zh-CN"/>
              </w:rPr>
              <w:t>半年（2026年1月－至今）</w:t>
            </w:r>
            <w:r>
              <w:rPr>
                <w:rFonts w:hint="eastAsia" w:ascii="宋体" w:hAnsi="宋体" w:eastAsia="宋体" w:cs="宋体"/>
                <w:color w:val="auto"/>
                <w:szCs w:val="21"/>
                <w:highlight w:val="none"/>
              </w:rPr>
              <w:t>任意一个月</w:t>
            </w:r>
            <w:r>
              <w:rPr>
                <w:rFonts w:hint="eastAsia" w:ascii="宋体" w:hAnsi="宋体" w:eastAsia="宋体" w:cs="宋体"/>
                <w:color w:val="auto"/>
                <w:szCs w:val="21"/>
                <w:highlight w:val="none"/>
                <w:lang w:eastAsia="zh-CN"/>
              </w:rPr>
              <w:t>依法</w:t>
            </w:r>
            <w:r>
              <w:rPr>
                <w:rFonts w:hint="eastAsia" w:ascii="宋体" w:hAnsi="宋体" w:eastAsia="宋体" w:cs="宋体"/>
                <w:color w:val="auto"/>
                <w:szCs w:val="21"/>
                <w:highlight w:val="none"/>
              </w:rPr>
              <w:t>缴纳社会保障资金的相关材料（提供社会保障资金缴纳证明材料）</w:t>
            </w:r>
            <w:r>
              <w:rPr>
                <w:rFonts w:hint="eastAsia" w:ascii="宋体" w:hAnsi="宋体" w:cs="宋体"/>
                <w:color w:val="auto"/>
                <w:szCs w:val="21"/>
                <w:highlight w:val="none"/>
              </w:rPr>
              <w:t>，投标文件中附加盖公章复印件</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6AED0771">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794C092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0754DE79">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685C9C6D">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01C9A4EF">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4504829D">
            <w:pPr>
              <w:shd w:val="clear"/>
              <w:autoSpaceDE w:val="0"/>
              <w:autoSpaceDN w:val="0"/>
              <w:adjustRightInd w:val="0"/>
              <w:spacing w:line="24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宋体"/>
                <w:color w:val="auto"/>
                <w:szCs w:val="21"/>
                <w:highlight w:val="none"/>
              </w:rPr>
              <w:t>参加政府采购活动前三年内在经营活动中没有重大违法记录</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rPr>
              <w:t>投标文件中附加盖公章及法定代表人或授权委托人</w:t>
            </w:r>
            <w:r>
              <w:rPr>
                <w:rFonts w:hint="eastAsia" w:ascii="Calibri" w:hAnsi="Calibri"/>
                <w:color w:val="auto"/>
                <w:szCs w:val="21"/>
                <w:highlight w:val="none"/>
              </w:rPr>
              <w:t>签字或盖章</w:t>
            </w:r>
            <w:r>
              <w:rPr>
                <w:rFonts w:hint="eastAsia" w:ascii="宋体" w:hAnsi="宋体" w:cs="宋体"/>
                <w:color w:val="auto"/>
                <w:szCs w:val="21"/>
                <w:highlight w:val="none"/>
              </w:rPr>
              <w:t>的前三年（202</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年1月1日</w:t>
            </w:r>
            <w:r>
              <w:rPr>
                <w:rFonts w:hint="eastAsia" w:ascii="宋体" w:hAnsi="宋体" w:cs="宋体"/>
                <w:color w:val="auto"/>
                <w:szCs w:val="21"/>
                <w:highlight w:val="none"/>
                <w:lang w:eastAsia="zh-CN"/>
              </w:rPr>
              <w:t>－</w:t>
            </w:r>
            <w:r>
              <w:rPr>
                <w:rFonts w:hint="eastAsia" w:ascii="宋体" w:hAnsi="宋体" w:cs="宋体"/>
                <w:color w:val="auto"/>
                <w:szCs w:val="21"/>
                <w:highlight w:val="none"/>
              </w:rPr>
              <w:t>至今）没有重大违法记录</w:t>
            </w:r>
            <w:r>
              <w:rPr>
                <w:rFonts w:hint="eastAsia" w:ascii="宋体" w:hAnsi="宋体" w:cs="宋体"/>
                <w:color w:val="auto"/>
                <w:szCs w:val="21"/>
                <w:highlight w:val="none"/>
                <w:lang w:eastAsia="zh-CN"/>
              </w:rPr>
              <w:t>的</w:t>
            </w:r>
            <w:r>
              <w:rPr>
                <w:rFonts w:hint="eastAsia" w:ascii="宋体" w:hAnsi="宋体" w:cs="宋体"/>
                <w:color w:val="auto"/>
                <w:szCs w:val="21"/>
                <w:highlight w:val="none"/>
              </w:rPr>
              <w:t>声明函</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33407004">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4AD30E8E">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35EF6C7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55E4E081">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329870DB">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7EA0F0C5">
            <w:pPr>
              <w:shd w:val="clear"/>
              <w:autoSpaceDE w:val="0"/>
              <w:autoSpaceDN w:val="0"/>
              <w:adjustRightInd w:val="0"/>
              <w:spacing w:line="240" w:lineRule="auto"/>
              <w:jc w:val="left"/>
              <w:rPr>
                <w:rFonts w:hint="eastAsia" w:ascii="宋体" w:hAnsi="宋体" w:eastAsia="宋体" w:cs="Times New Roman"/>
                <w:color w:val="auto"/>
                <w:szCs w:val="21"/>
                <w:highlight w:val="none"/>
                <w:lang w:val="en-US" w:eastAsia="zh-CN"/>
              </w:rPr>
            </w:pPr>
            <w:r>
              <w:rPr>
                <w:rFonts w:hint="eastAsia" w:ascii="宋体" w:hAnsi="宋体" w:eastAsia="宋体" w:cs="宋体"/>
                <w:color w:val="auto"/>
                <w:szCs w:val="21"/>
                <w:highlight w:val="none"/>
              </w:rPr>
              <w:t>投标人近三年（202</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年1月1日－至今）内投标人、法定代表人未在“中国裁判文书网”（www.wenshu.court.gov.cn）有行贿犯罪记录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投标</w:t>
            </w:r>
            <w:r>
              <w:rPr>
                <w:rFonts w:hint="eastAsia" w:ascii="宋体" w:hAnsi="宋体" w:cs="宋体"/>
                <w:color w:val="auto"/>
                <w:szCs w:val="21"/>
                <w:highlight w:val="none"/>
              </w:rPr>
              <w:t>文件中附加盖公章相关证明材料</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591ABA3E">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311CB2CF">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590B3C4D">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5F39135F">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3B4A9D96">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3BD99DB5">
            <w:pPr>
              <w:shd w:val="clear"/>
              <w:autoSpaceDE w:val="0"/>
              <w:autoSpaceDN w:val="0"/>
              <w:adjustRightInd w:val="0"/>
              <w:spacing w:line="240" w:lineRule="auto"/>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拒绝列入政府取消投标资格记录期间的企业或个人投标，投标文件中附加盖公章及法定代表人或授权委托人签字</w:t>
            </w:r>
            <w:r>
              <w:rPr>
                <w:rFonts w:hint="eastAsia" w:ascii="宋体" w:hAnsi="宋体" w:eastAsia="宋体" w:cs="Times New Roman"/>
                <w:color w:val="auto"/>
                <w:szCs w:val="21"/>
                <w:highlight w:val="none"/>
                <w:lang w:val="en-US" w:eastAsia="zh-CN"/>
              </w:rPr>
              <w:t>或盖章</w:t>
            </w:r>
            <w:r>
              <w:rPr>
                <w:rFonts w:hint="eastAsia" w:ascii="宋体" w:hAnsi="宋体" w:eastAsia="宋体" w:cs="Times New Roman"/>
                <w:color w:val="auto"/>
                <w:szCs w:val="21"/>
                <w:highlight w:val="none"/>
              </w:rPr>
              <w:t>的</w:t>
            </w:r>
            <w:r>
              <w:rPr>
                <w:rFonts w:hint="eastAsia" w:ascii="宋体" w:hAnsi="宋体" w:eastAsia="宋体" w:cs="Times New Roman"/>
                <w:color w:val="auto"/>
                <w:szCs w:val="21"/>
                <w:highlight w:val="none"/>
                <w:lang w:val="en-US" w:eastAsia="zh-CN"/>
              </w:rPr>
              <w:t>承诺书</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7BB8A5A5">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3AEF6303">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0399A9AD">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3DFB665A">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7D0C64B0">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24361659">
            <w:pPr>
              <w:shd w:val="clear"/>
              <w:autoSpaceDE w:val="0"/>
              <w:autoSpaceDN w:val="0"/>
              <w:adjustRightInd w:val="0"/>
              <w:spacing w:line="240" w:lineRule="auto"/>
              <w:jc w:val="left"/>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rPr>
              <w:t>供应商不能列入失信被执行人、重大税收违法案件当事人名单、政府采购严重违法失信行为记录名单（详见财库〔2016〕125号），投标文件中附</w:t>
            </w:r>
            <w:r>
              <w:rPr>
                <w:rFonts w:hint="eastAsia" w:ascii="宋体" w:hAnsi="宋体" w:eastAsia="宋体" w:cs="Times New Roman"/>
                <w:color w:val="auto"/>
                <w:szCs w:val="21"/>
                <w:highlight w:val="none"/>
                <w:lang w:val="en-US" w:eastAsia="zh-CN"/>
              </w:rPr>
              <w:t>相关证明材料加盖公章</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1301D728">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41A4DEFA">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75030AC8">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5ECA3259">
        <w:tblPrEx>
          <w:tblCellMar>
            <w:top w:w="0" w:type="dxa"/>
            <w:left w:w="108" w:type="dxa"/>
            <w:bottom w:w="0" w:type="dxa"/>
            <w:right w:w="108" w:type="dxa"/>
          </w:tblCellMar>
        </w:tblPrEx>
        <w:trPr>
          <w:trHeight w:val="397"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0B2D5FF2">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1EF571F0">
            <w:pPr>
              <w:shd w:val="clear"/>
              <w:autoSpaceDE w:val="0"/>
              <w:autoSpaceDN w:val="0"/>
              <w:adjustRightInd w:val="0"/>
              <w:spacing w:line="24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拒绝在国家企业信用信息公示系统中列入严重违法失信企业名单的参与投标，投标文件中附</w:t>
            </w:r>
            <w:r>
              <w:rPr>
                <w:rFonts w:hint="eastAsia" w:ascii="宋体" w:hAnsi="宋体" w:eastAsia="宋体" w:cs="Times New Roman"/>
                <w:color w:val="auto"/>
                <w:szCs w:val="21"/>
                <w:highlight w:val="none"/>
                <w:lang w:val="en-US" w:eastAsia="zh-CN"/>
              </w:rPr>
              <w:t>相关证明材料加盖公章</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4E5FAB3F">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720B0896">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4BCBA09D">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72C48C11">
        <w:tblPrEx>
          <w:tblCellMar>
            <w:top w:w="0" w:type="dxa"/>
            <w:left w:w="108" w:type="dxa"/>
            <w:bottom w:w="0" w:type="dxa"/>
            <w:right w:w="108" w:type="dxa"/>
          </w:tblCellMar>
        </w:tblPrEx>
        <w:trPr>
          <w:trHeight w:val="173" w:hRule="atLeast"/>
          <w:jc w:val="center"/>
        </w:trPr>
        <w:tc>
          <w:tcPr>
            <w:tcW w:w="780" w:type="dxa"/>
            <w:vMerge w:val="continue"/>
            <w:tcBorders>
              <w:top w:val="single" w:color="auto" w:sz="6" w:space="0"/>
              <w:left w:val="single" w:color="auto" w:sz="6" w:space="0"/>
              <w:right w:val="single" w:color="auto" w:sz="4" w:space="0"/>
            </w:tcBorders>
            <w:noWrap w:val="0"/>
            <w:vAlign w:val="center"/>
          </w:tcPr>
          <w:p w14:paraId="12D901DE">
            <w:pPr>
              <w:shd w:val="clear"/>
              <w:spacing w:line="240" w:lineRule="auto"/>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4638E084">
            <w:pPr>
              <w:shd w:val="clear"/>
              <w:autoSpaceDE w:val="0"/>
              <w:autoSpaceDN w:val="0"/>
              <w:adjustRightInd w:val="0"/>
              <w:spacing w:line="240" w:lineRule="auto"/>
              <w:jc w:val="left"/>
              <w:rPr>
                <w:rFonts w:hint="eastAsia" w:ascii="宋体" w:hAnsi="宋体" w:eastAsia="宋体" w:cs="Times New Roman"/>
                <w:color w:val="auto"/>
                <w:szCs w:val="21"/>
                <w:highlight w:val="none"/>
                <w:lang w:eastAsia="zh-CN"/>
              </w:rPr>
            </w:pPr>
            <w:r>
              <w:rPr>
                <w:rFonts w:hint="eastAsia" w:ascii="宋体" w:hAnsi="宋体" w:eastAsia="宋体" w:cs="Times New Roman"/>
                <w:color w:val="auto"/>
                <w:szCs w:val="21"/>
                <w:highlight w:val="none"/>
              </w:rPr>
              <w:t>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r>
              <w:rPr>
                <w:rFonts w:hint="eastAsia" w:ascii="宋体" w:hAnsi="宋体" w:eastAsia="宋体" w:cs="Times New Roman"/>
                <w:color w:val="auto"/>
                <w:szCs w:val="21"/>
                <w:highlight w:val="none"/>
                <w:lang w:eastAsia="zh-CN"/>
              </w:rPr>
              <w:t>。</w:t>
            </w:r>
          </w:p>
          <w:p w14:paraId="07D534AC">
            <w:pPr>
              <w:shd w:val="clear"/>
              <w:autoSpaceDE w:val="0"/>
              <w:autoSpaceDN w:val="0"/>
              <w:adjustRightInd w:val="0"/>
              <w:spacing w:line="240" w:lineRule="auto"/>
              <w:jc w:val="lef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投标文件中附加盖公章及法定代表人或授权委托人签字</w:t>
            </w:r>
            <w:r>
              <w:rPr>
                <w:rFonts w:hint="eastAsia" w:ascii="宋体" w:hAnsi="宋体" w:eastAsia="宋体" w:cs="Times New Roman"/>
                <w:color w:val="auto"/>
                <w:szCs w:val="21"/>
                <w:highlight w:val="none"/>
                <w:lang w:val="en-US" w:eastAsia="zh-CN"/>
              </w:rPr>
              <w:t>或盖章</w:t>
            </w:r>
            <w:r>
              <w:rPr>
                <w:rFonts w:hint="eastAsia" w:ascii="宋体" w:hAnsi="宋体" w:eastAsia="宋体" w:cs="Times New Roman"/>
                <w:color w:val="auto"/>
                <w:szCs w:val="21"/>
                <w:highlight w:val="none"/>
              </w:rPr>
              <w:t>的</w:t>
            </w:r>
            <w:r>
              <w:rPr>
                <w:rFonts w:hint="eastAsia" w:ascii="宋体" w:hAnsi="宋体" w:eastAsia="宋体" w:cs="Times New Roman"/>
                <w:color w:val="auto"/>
                <w:szCs w:val="21"/>
                <w:highlight w:val="none"/>
                <w:lang w:val="en-US" w:eastAsia="zh-CN"/>
              </w:rPr>
              <w:t>承诺书</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1898B629">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1A568678">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24A6E444">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1EEC4B0B">
        <w:tblPrEx>
          <w:tblCellMar>
            <w:top w:w="0" w:type="dxa"/>
            <w:left w:w="108" w:type="dxa"/>
            <w:bottom w:w="0" w:type="dxa"/>
            <w:right w:w="108" w:type="dxa"/>
          </w:tblCellMar>
        </w:tblPrEx>
        <w:trPr>
          <w:trHeight w:val="397" w:hRule="atLeast"/>
          <w:jc w:val="center"/>
        </w:trPr>
        <w:tc>
          <w:tcPr>
            <w:tcW w:w="780" w:type="dxa"/>
            <w:vMerge w:val="continue"/>
            <w:tcBorders>
              <w:left w:val="single" w:color="auto" w:sz="6" w:space="0"/>
              <w:right w:val="single" w:color="auto" w:sz="4" w:space="0"/>
            </w:tcBorders>
            <w:noWrap w:val="0"/>
            <w:vAlign w:val="center"/>
          </w:tcPr>
          <w:p w14:paraId="18D04736">
            <w:pPr>
              <w:shd w:val="clear"/>
              <w:spacing w:line="240" w:lineRule="auto"/>
              <w:ind w:firstLine="482"/>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47C70921">
            <w:pPr>
              <w:shd w:val="clear"/>
              <w:spacing w:line="240" w:lineRule="auto"/>
              <w:jc w:val="left"/>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按照招标文件规定要求签署、盖章</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745DD31B">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73AD22FB">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29525D6B">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681213FC">
        <w:tblPrEx>
          <w:tblCellMar>
            <w:top w:w="0" w:type="dxa"/>
            <w:left w:w="108" w:type="dxa"/>
            <w:bottom w:w="0" w:type="dxa"/>
            <w:right w:w="108" w:type="dxa"/>
          </w:tblCellMar>
        </w:tblPrEx>
        <w:trPr>
          <w:trHeight w:val="397" w:hRule="atLeast"/>
          <w:jc w:val="center"/>
        </w:trPr>
        <w:tc>
          <w:tcPr>
            <w:tcW w:w="780" w:type="dxa"/>
            <w:vMerge w:val="continue"/>
            <w:tcBorders>
              <w:left w:val="single" w:color="auto" w:sz="6" w:space="0"/>
              <w:bottom w:val="single" w:color="auto" w:sz="6" w:space="0"/>
              <w:right w:val="single" w:color="auto" w:sz="4" w:space="0"/>
            </w:tcBorders>
            <w:noWrap w:val="0"/>
            <w:vAlign w:val="center"/>
          </w:tcPr>
          <w:p w14:paraId="30F928C5">
            <w:pPr>
              <w:shd w:val="clear"/>
              <w:spacing w:line="240" w:lineRule="auto"/>
              <w:ind w:firstLine="482"/>
              <w:jc w:val="center"/>
              <w:rPr>
                <w:rFonts w:hint="eastAsia" w:ascii="宋体" w:hAnsi="宋体" w:cs="宋体"/>
                <w:color w:val="auto"/>
                <w:szCs w:val="21"/>
                <w:highlight w:val="none"/>
              </w:rPr>
            </w:pPr>
          </w:p>
        </w:tc>
        <w:tc>
          <w:tcPr>
            <w:tcW w:w="5875" w:type="dxa"/>
            <w:tcBorders>
              <w:top w:val="single" w:color="auto" w:sz="6" w:space="0"/>
              <w:left w:val="single" w:color="auto" w:sz="4" w:space="0"/>
              <w:bottom w:val="single" w:color="auto" w:sz="6" w:space="0"/>
              <w:right w:val="single" w:color="auto" w:sz="6" w:space="0"/>
            </w:tcBorders>
            <w:noWrap w:val="0"/>
            <w:vAlign w:val="center"/>
          </w:tcPr>
          <w:p w14:paraId="4EFD5470">
            <w:pPr>
              <w:shd w:val="clear"/>
              <w:spacing w:line="240" w:lineRule="auto"/>
              <w:jc w:val="left"/>
              <w:rPr>
                <w:rFonts w:hint="eastAsia" w:ascii="宋体" w:hAnsi="宋体" w:cs="宋体"/>
                <w:color w:val="auto"/>
                <w:szCs w:val="21"/>
                <w:highlight w:val="none"/>
              </w:rPr>
            </w:pPr>
            <w:r>
              <w:rPr>
                <w:rFonts w:hint="eastAsia" w:ascii="宋体" w:hAnsi="宋体" w:cs="宋体"/>
                <w:color w:val="auto"/>
                <w:szCs w:val="21"/>
                <w:highlight w:val="none"/>
              </w:rPr>
              <w:t>投标人不存在串通投标行为</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740DACE0">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12051597">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6D632CFD">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7BF96C6B">
        <w:tblPrEx>
          <w:tblCellMar>
            <w:top w:w="0" w:type="dxa"/>
            <w:left w:w="108" w:type="dxa"/>
            <w:bottom w:w="0" w:type="dxa"/>
            <w:right w:w="108" w:type="dxa"/>
          </w:tblCellMar>
        </w:tblPrEx>
        <w:trPr>
          <w:trHeight w:val="397" w:hRule="atLeast"/>
          <w:jc w:val="center"/>
        </w:trPr>
        <w:tc>
          <w:tcPr>
            <w:tcW w:w="6655" w:type="dxa"/>
            <w:gridSpan w:val="2"/>
            <w:tcBorders>
              <w:top w:val="single" w:color="auto" w:sz="6" w:space="0"/>
              <w:left w:val="single" w:color="auto" w:sz="6" w:space="0"/>
              <w:bottom w:val="single" w:color="auto" w:sz="6" w:space="0"/>
              <w:right w:val="single" w:color="auto" w:sz="6" w:space="0"/>
            </w:tcBorders>
            <w:noWrap w:val="0"/>
            <w:vAlign w:val="center"/>
          </w:tcPr>
          <w:p w14:paraId="75BFD08D">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r>
              <w:rPr>
                <w:rFonts w:hint="eastAsia" w:ascii="宋体" w:hAnsi="宋体" w:cs="宋体"/>
                <w:color w:val="auto"/>
                <w:szCs w:val="21"/>
                <w:highlight w:val="none"/>
              </w:rPr>
              <w:t>结论</w:t>
            </w:r>
          </w:p>
        </w:tc>
        <w:tc>
          <w:tcPr>
            <w:tcW w:w="1064" w:type="dxa"/>
            <w:tcBorders>
              <w:top w:val="single" w:color="auto" w:sz="6" w:space="0"/>
              <w:left w:val="single" w:color="auto" w:sz="6" w:space="0"/>
              <w:bottom w:val="single" w:color="auto" w:sz="6" w:space="0"/>
              <w:right w:val="single" w:color="auto" w:sz="4" w:space="0"/>
            </w:tcBorders>
            <w:noWrap w:val="0"/>
            <w:vAlign w:val="center"/>
          </w:tcPr>
          <w:p w14:paraId="7FC2156C">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935" w:type="dxa"/>
            <w:tcBorders>
              <w:top w:val="single" w:color="auto" w:sz="6" w:space="0"/>
              <w:left w:val="single" w:color="auto" w:sz="6" w:space="0"/>
              <w:bottom w:val="single" w:color="auto" w:sz="6" w:space="0"/>
              <w:right w:val="single" w:color="auto" w:sz="4" w:space="0"/>
            </w:tcBorders>
            <w:noWrap w:val="0"/>
            <w:vAlign w:val="center"/>
          </w:tcPr>
          <w:p w14:paraId="0E73BA82">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4DF28D9C">
            <w:pPr>
              <w:widowControl/>
              <w:shd w:val="clear"/>
              <w:autoSpaceDE w:val="0"/>
              <w:autoSpaceDN w:val="0"/>
              <w:spacing w:line="240" w:lineRule="auto"/>
              <w:ind w:left="525" w:right="-34" w:hanging="525" w:hangingChars="250"/>
              <w:jc w:val="center"/>
              <w:textAlignment w:val="bottom"/>
              <w:rPr>
                <w:rFonts w:hint="eastAsia" w:ascii="宋体" w:hAnsi="宋体" w:cs="宋体"/>
                <w:color w:val="auto"/>
                <w:szCs w:val="21"/>
                <w:highlight w:val="none"/>
              </w:rPr>
            </w:pPr>
          </w:p>
        </w:tc>
      </w:tr>
      <w:tr w14:paraId="284D0FBB">
        <w:tblPrEx>
          <w:tblCellMar>
            <w:top w:w="0" w:type="dxa"/>
            <w:left w:w="108" w:type="dxa"/>
            <w:bottom w:w="0" w:type="dxa"/>
            <w:right w:w="108" w:type="dxa"/>
          </w:tblCellMar>
        </w:tblPrEx>
        <w:trPr>
          <w:trHeight w:val="397" w:hRule="atLeast"/>
          <w:jc w:val="center"/>
        </w:trPr>
        <w:tc>
          <w:tcPr>
            <w:tcW w:w="7719" w:type="dxa"/>
            <w:gridSpan w:val="3"/>
            <w:tcBorders>
              <w:top w:val="single" w:color="auto" w:sz="6" w:space="0"/>
              <w:left w:val="single" w:color="auto" w:sz="6" w:space="0"/>
              <w:bottom w:val="single" w:color="auto" w:sz="6" w:space="0"/>
              <w:right w:val="single" w:color="auto" w:sz="4" w:space="0"/>
            </w:tcBorders>
            <w:noWrap w:val="0"/>
            <w:vAlign w:val="center"/>
          </w:tcPr>
          <w:p w14:paraId="2AD0C2DB">
            <w:pPr>
              <w:widowControl/>
              <w:shd w:val="clear"/>
              <w:autoSpaceDE w:val="0"/>
              <w:autoSpaceDN w:val="0"/>
              <w:spacing w:line="240" w:lineRule="auto"/>
              <w:ind w:left="525" w:right="-34" w:hanging="525" w:hangingChars="250"/>
              <w:jc w:val="left"/>
              <w:textAlignment w:val="bottom"/>
              <w:rPr>
                <w:rFonts w:hint="eastAsia" w:ascii="宋体" w:hAnsi="宋体" w:cs="宋体"/>
                <w:color w:val="auto"/>
                <w:szCs w:val="21"/>
                <w:highlight w:val="none"/>
              </w:rPr>
            </w:pPr>
            <w:r>
              <w:rPr>
                <w:rFonts w:hint="eastAsia" w:ascii="宋体" w:hAnsi="宋体" w:cs="宋体"/>
                <w:color w:val="auto"/>
                <w:szCs w:val="21"/>
                <w:highlight w:val="none"/>
              </w:rPr>
              <w:t>审查人签字：</w:t>
            </w:r>
          </w:p>
        </w:tc>
        <w:tc>
          <w:tcPr>
            <w:tcW w:w="935" w:type="dxa"/>
            <w:tcBorders>
              <w:top w:val="single" w:color="auto" w:sz="6" w:space="0"/>
              <w:left w:val="single" w:color="auto" w:sz="6" w:space="0"/>
              <w:bottom w:val="single" w:color="auto" w:sz="6" w:space="0"/>
              <w:right w:val="single" w:color="auto" w:sz="4" w:space="0"/>
            </w:tcBorders>
            <w:noWrap w:val="0"/>
            <w:vAlign w:val="center"/>
          </w:tcPr>
          <w:p w14:paraId="2D84975B">
            <w:pPr>
              <w:widowControl/>
              <w:shd w:val="clear"/>
              <w:autoSpaceDE w:val="0"/>
              <w:autoSpaceDN w:val="0"/>
              <w:spacing w:line="240" w:lineRule="auto"/>
              <w:ind w:left="525" w:right="-34" w:hanging="525" w:hangingChars="250"/>
              <w:jc w:val="left"/>
              <w:textAlignment w:val="bottom"/>
              <w:rPr>
                <w:rFonts w:hint="eastAsia" w:ascii="宋体" w:hAnsi="宋体" w:cs="宋体"/>
                <w:color w:val="auto"/>
                <w:szCs w:val="21"/>
                <w:highlight w:val="none"/>
              </w:rPr>
            </w:pPr>
          </w:p>
        </w:tc>
        <w:tc>
          <w:tcPr>
            <w:tcW w:w="1015" w:type="dxa"/>
            <w:tcBorders>
              <w:top w:val="single" w:color="auto" w:sz="6" w:space="0"/>
              <w:left w:val="single" w:color="auto" w:sz="6" w:space="0"/>
              <w:bottom w:val="single" w:color="auto" w:sz="6" w:space="0"/>
              <w:right w:val="single" w:color="auto" w:sz="4" w:space="0"/>
            </w:tcBorders>
            <w:noWrap w:val="0"/>
            <w:vAlign w:val="center"/>
          </w:tcPr>
          <w:p w14:paraId="51915A0C">
            <w:pPr>
              <w:widowControl/>
              <w:shd w:val="clear"/>
              <w:autoSpaceDE w:val="0"/>
              <w:autoSpaceDN w:val="0"/>
              <w:spacing w:line="240" w:lineRule="auto"/>
              <w:ind w:left="525" w:right="-34" w:hanging="525" w:hangingChars="250"/>
              <w:jc w:val="left"/>
              <w:textAlignment w:val="bottom"/>
              <w:rPr>
                <w:rFonts w:hint="eastAsia" w:ascii="宋体" w:hAnsi="宋体" w:cs="宋体"/>
                <w:color w:val="auto"/>
                <w:szCs w:val="21"/>
                <w:highlight w:val="none"/>
              </w:rPr>
            </w:pPr>
          </w:p>
        </w:tc>
      </w:tr>
    </w:tbl>
    <w:p w14:paraId="6B3AFF49">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注：本表中符合评审内容要求的写“√”，不符合评审内容要求的写“×”。结论为“合格”或不合格。结论不合格的不进入符合性审查阶段。</w:t>
      </w:r>
    </w:p>
    <w:p w14:paraId="38AAB9FF">
      <w:pPr>
        <w:pStyle w:val="55"/>
        <w:shd w:val="clear"/>
        <w:spacing w:before="0" w:beforeAutospacing="0" w:after="0" w:afterAutospacing="0" w:line="360" w:lineRule="auto"/>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1.1.2 评标委员会将对符合资格的</w:t>
      </w:r>
      <w:r>
        <w:rPr>
          <w:rFonts w:hint="eastAsia" w:ascii="宋体" w:hAnsi="宋体" w:eastAsia="宋体" w:cs="宋体"/>
          <w:color w:val="auto"/>
          <w:kern w:val="2"/>
          <w:sz w:val="21"/>
          <w:szCs w:val="21"/>
          <w:highlight w:val="none"/>
          <w:lang w:eastAsia="zh-CN"/>
        </w:rPr>
        <w:t>供应商</w:t>
      </w:r>
      <w:r>
        <w:rPr>
          <w:rFonts w:hint="eastAsia" w:ascii="宋体" w:hAnsi="宋体" w:eastAsia="宋体" w:cs="宋体"/>
          <w:color w:val="auto"/>
          <w:kern w:val="2"/>
          <w:sz w:val="21"/>
          <w:szCs w:val="21"/>
          <w:highlight w:val="none"/>
        </w:rPr>
        <w:t>的响应文件进行符合性审查，以确定其是否满足竞争性磋商文件的实质性要求。</w:t>
      </w:r>
    </w:p>
    <w:p w14:paraId="7F568629">
      <w:pPr>
        <w:pStyle w:val="55"/>
        <w:shd w:val="clear"/>
        <w:spacing w:before="0" w:beforeAutospacing="0" w:after="0" w:afterAutospacing="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rPr>
        <w:t>符合性审查表</w:t>
      </w:r>
    </w:p>
    <w:tbl>
      <w:tblPr>
        <w:tblStyle w:val="61"/>
        <w:tblW w:w="9449" w:type="dxa"/>
        <w:jc w:val="center"/>
        <w:tblLayout w:type="fixed"/>
        <w:tblCellMar>
          <w:top w:w="0" w:type="dxa"/>
          <w:left w:w="108" w:type="dxa"/>
          <w:bottom w:w="0" w:type="dxa"/>
          <w:right w:w="108" w:type="dxa"/>
        </w:tblCellMar>
      </w:tblPr>
      <w:tblGrid>
        <w:gridCol w:w="780"/>
        <w:gridCol w:w="5352"/>
        <w:gridCol w:w="1250"/>
        <w:gridCol w:w="1162"/>
        <w:gridCol w:w="905"/>
      </w:tblGrid>
      <w:tr w14:paraId="358DCAC3">
        <w:tblPrEx>
          <w:tblCellMar>
            <w:top w:w="0" w:type="dxa"/>
            <w:left w:w="108" w:type="dxa"/>
            <w:bottom w:w="0" w:type="dxa"/>
            <w:right w:w="108" w:type="dxa"/>
          </w:tblCellMar>
        </w:tblPrEx>
        <w:trPr>
          <w:trHeight w:val="397" w:hRule="atLeast"/>
          <w:jc w:val="center"/>
        </w:trPr>
        <w:tc>
          <w:tcPr>
            <w:tcW w:w="6132" w:type="dxa"/>
            <w:gridSpan w:val="2"/>
            <w:vMerge w:val="restart"/>
            <w:tcBorders>
              <w:top w:val="single" w:color="auto" w:sz="6" w:space="0"/>
              <w:left w:val="single" w:color="auto" w:sz="6" w:space="0"/>
              <w:bottom w:val="single" w:color="auto" w:sz="6" w:space="0"/>
              <w:right w:val="single" w:color="auto" w:sz="6" w:space="0"/>
            </w:tcBorders>
            <w:noWrap w:val="0"/>
            <w:vAlign w:val="center"/>
          </w:tcPr>
          <w:p w14:paraId="372FEED8">
            <w:pPr>
              <w:widowControl/>
              <w:shd w:val="clear"/>
              <w:autoSpaceDE w:val="0"/>
              <w:autoSpaceDN w:val="0"/>
              <w:spacing w:line="400" w:lineRule="exact"/>
              <w:ind w:right="-34"/>
              <w:jc w:val="center"/>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检查内容</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5EB6AB0A">
            <w:pPr>
              <w:widowControl/>
              <w:shd w:val="clear"/>
              <w:autoSpaceDE w:val="0"/>
              <w:autoSpaceDN w:val="0"/>
              <w:spacing w:line="400" w:lineRule="exact"/>
              <w:ind w:left="525" w:right="-34" w:hanging="525" w:hangingChars="250"/>
              <w:jc w:val="center"/>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供应商</w:t>
            </w:r>
          </w:p>
        </w:tc>
        <w:tc>
          <w:tcPr>
            <w:tcW w:w="1162" w:type="dxa"/>
            <w:tcBorders>
              <w:top w:val="single" w:color="auto" w:sz="6" w:space="0"/>
              <w:left w:val="single" w:color="auto" w:sz="6" w:space="0"/>
              <w:bottom w:val="single" w:color="auto" w:sz="6" w:space="0"/>
              <w:right w:val="single" w:color="auto" w:sz="4" w:space="0"/>
            </w:tcBorders>
            <w:noWrap w:val="0"/>
            <w:vAlign w:val="center"/>
          </w:tcPr>
          <w:p w14:paraId="1F1BBD5A">
            <w:pPr>
              <w:widowControl/>
              <w:shd w:val="clear"/>
              <w:autoSpaceDE w:val="0"/>
              <w:autoSpaceDN w:val="0"/>
              <w:spacing w:line="400" w:lineRule="exact"/>
              <w:ind w:left="525" w:right="-34" w:hanging="525" w:hangingChars="250"/>
              <w:jc w:val="center"/>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供应商</w:t>
            </w:r>
          </w:p>
        </w:tc>
        <w:tc>
          <w:tcPr>
            <w:tcW w:w="905" w:type="dxa"/>
            <w:tcBorders>
              <w:top w:val="single" w:color="auto" w:sz="6" w:space="0"/>
              <w:left w:val="single" w:color="auto" w:sz="6" w:space="0"/>
              <w:bottom w:val="single" w:color="auto" w:sz="6" w:space="0"/>
              <w:right w:val="single" w:color="auto" w:sz="4" w:space="0"/>
            </w:tcBorders>
            <w:noWrap w:val="0"/>
            <w:vAlign w:val="center"/>
          </w:tcPr>
          <w:p w14:paraId="0C20A000">
            <w:pPr>
              <w:widowControl/>
              <w:shd w:val="clear"/>
              <w:autoSpaceDE w:val="0"/>
              <w:autoSpaceDN w:val="0"/>
              <w:spacing w:line="400" w:lineRule="exact"/>
              <w:ind w:left="525" w:right="-34" w:hanging="525" w:hangingChars="250"/>
              <w:jc w:val="center"/>
              <w:textAlignment w:val="bottom"/>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供应商</w:t>
            </w:r>
          </w:p>
        </w:tc>
      </w:tr>
      <w:tr w14:paraId="1FAB3EED">
        <w:tblPrEx>
          <w:tblCellMar>
            <w:top w:w="0" w:type="dxa"/>
            <w:left w:w="108" w:type="dxa"/>
            <w:bottom w:w="0" w:type="dxa"/>
            <w:right w:w="108" w:type="dxa"/>
          </w:tblCellMar>
        </w:tblPrEx>
        <w:trPr>
          <w:trHeight w:val="397" w:hRule="atLeast"/>
          <w:jc w:val="center"/>
        </w:trPr>
        <w:tc>
          <w:tcPr>
            <w:tcW w:w="6132" w:type="dxa"/>
            <w:gridSpan w:val="2"/>
            <w:vMerge w:val="continue"/>
            <w:tcBorders>
              <w:top w:val="single" w:color="auto" w:sz="6" w:space="0"/>
              <w:left w:val="single" w:color="auto" w:sz="6" w:space="0"/>
              <w:bottom w:val="single" w:color="auto" w:sz="6" w:space="0"/>
              <w:right w:val="single" w:color="auto" w:sz="6" w:space="0"/>
            </w:tcBorders>
            <w:noWrap w:val="0"/>
            <w:vAlign w:val="center"/>
          </w:tcPr>
          <w:p w14:paraId="1048494D">
            <w:pPr>
              <w:widowControl/>
              <w:shd w:val="clear"/>
              <w:autoSpaceDE w:val="0"/>
              <w:autoSpaceDN w:val="0"/>
              <w:spacing w:line="400" w:lineRule="exact"/>
              <w:ind w:left="525" w:right="-34" w:hanging="525" w:hangingChars="250"/>
              <w:jc w:val="center"/>
              <w:textAlignment w:val="bottom"/>
              <w:rPr>
                <w:rFonts w:hint="eastAsia" w:ascii="宋体" w:hAnsi="宋体" w:eastAsia="宋体" w:cs="宋体"/>
                <w:color w:val="auto"/>
                <w:szCs w:val="21"/>
                <w:highlight w:val="none"/>
              </w:rPr>
            </w:pPr>
          </w:p>
        </w:tc>
        <w:tc>
          <w:tcPr>
            <w:tcW w:w="1250" w:type="dxa"/>
            <w:tcBorders>
              <w:top w:val="single" w:color="auto" w:sz="6" w:space="0"/>
              <w:left w:val="single" w:color="auto" w:sz="6" w:space="0"/>
              <w:bottom w:val="single" w:color="auto" w:sz="6" w:space="0"/>
              <w:right w:val="single" w:color="auto" w:sz="4" w:space="0"/>
            </w:tcBorders>
            <w:noWrap w:val="0"/>
            <w:vAlign w:val="top"/>
          </w:tcPr>
          <w:p w14:paraId="0C1E8501">
            <w:pPr>
              <w:widowControl/>
              <w:shd w:val="clear"/>
              <w:autoSpaceDE w:val="0"/>
              <w:autoSpaceDN w:val="0"/>
              <w:spacing w:line="400" w:lineRule="exact"/>
              <w:ind w:right="-34"/>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top"/>
          </w:tcPr>
          <w:p w14:paraId="1A87CDFA">
            <w:pPr>
              <w:widowControl/>
              <w:shd w:val="clear"/>
              <w:autoSpaceDE w:val="0"/>
              <w:autoSpaceDN w:val="0"/>
              <w:spacing w:line="400" w:lineRule="exact"/>
              <w:ind w:right="-34"/>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top"/>
          </w:tcPr>
          <w:p w14:paraId="654301DF">
            <w:pPr>
              <w:widowControl/>
              <w:shd w:val="clear"/>
              <w:autoSpaceDE w:val="0"/>
              <w:autoSpaceDN w:val="0"/>
              <w:spacing w:line="400" w:lineRule="exact"/>
              <w:ind w:right="-34"/>
              <w:jc w:val="center"/>
              <w:textAlignment w:val="bottom"/>
              <w:rPr>
                <w:rFonts w:hint="eastAsia" w:ascii="宋体" w:hAnsi="宋体" w:eastAsia="宋体" w:cs="宋体"/>
                <w:color w:val="auto"/>
                <w:szCs w:val="21"/>
                <w:highlight w:val="none"/>
              </w:rPr>
            </w:pPr>
          </w:p>
        </w:tc>
      </w:tr>
      <w:tr w14:paraId="3D77B937">
        <w:tblPrEx>
          <w:tblCellMar>
            <w:top w:w="0" w:type="dxa"/>
            <w:left w:w="108" w:type="dxa"/>
            <w:bottom w:w="0" w:type="dxa"/>
            <w:right w:w="108" w:type="dxa"/>
          </w:tblCellMar>
        </w:tblPrEx>
        <w:trPr>
          <w:trHeight w:val="397" w:hRule="atLeast"/>
          <w:jc w:val="center"/>
        </w:trPr>
        <w:tc>
          <w:tcPr>
            <w:tcW w:w="780" w:type="dxa"/>
            <w:vMerge w:val="restart"/>
            <w:tcBorders>
              <w:top w:val="single" w:color="auto" w:sz="6" w:space="0"/>
              <w:left w:val="single" w:color="auto" w:sz="6" w:space="0"/>
              <w:right w:val="single" w:color="auto" w:sz="4" w:space="0"/>
            </w:tcBorders>
            <w:noWrap w:val="0"/>
            <w:vAlign w:val="center"/>
          </w:tcPr>
          <w:p w14:paraId="32D82419">
            <w:pPr>
              <w:shd w:val="clear"/>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符合性审查</w:t>
            </w:r>
          </w:p>
        </w:tc>
        <w:tc>
          <w:tcPr>
            <w:tcW w:w="5352" w:type="dxa"/>
            <w:tcBorders>
              <w:top w:val="single" w:color="auto" w:sz="6" w:space="0"/>
              <w:left w:val="single" w:color="auto" w:sz="4" w:space="0"/>
              <w:right w:val="single" w:color="auto" w:sz="6" w:space="0"/>
            </w:tcBorders>
            <w:noWrap w:val="0"/>
            <w:vAlign w:val="center"/>
          </w:tcPr>
          <w:p w14:paraId="096ADFC4">
            <w:pPr>
              <w:shd w:val="clea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投标报价未超出采购预算</w:t>
            </w:r>
            <w:r>
              <w:rPr>
                <w:rFonts w:hint="eastAsia" w:ascii="宋体" w:hAnsi="宋体" w:cs="宋体"/>
                <w:color w:val="auto"/>
                <w:szCs w:val="21"/>
                <w:highlight w:val="none"/>
                <w:lang w:val="en-US" w:eastAsia="zh-CN"/>
              </w:rPr>
              <w:t>或</w:t>
            </w:r>
            <w:r>
              <w:rPr>
                <w:rFonts w:hint="default" w:ascii="宋体" w:hAnsi="宋体" w:eastAsia="宋体" w:cs="宋体"/>
                <w:color w:val="auto"/>
                <w:szCs w:val="21"/>
                <w:highlight w:val="none"/>
                <w:lang w:val="en-US" w:eastAsia="zh-CN"/>
              </w:rPr>
              <w:t>最高限价</w:t>
            </w:r>
          </w:p>
        </w:tc>
        <w:tc>
          <w:tcPr>
            <w:tcW w:w="1250" w:type="dxa"/>
            <w:tcBorders>
              <w:top w:val="single" w:color="auto" w:sz="6" w:space="0"/>
              <w:left w:val="single" w:color="auto" w:sz="6" w:space="0"/>
              <w:right w:val="single" w:color="auto" w:sz="4" w:space="0"/>
            </w:tcBorders>
            <w:noWrap w:val="0"/>
            <w:vAlign w:val="center"/>
          </w:tcPr>
          <w:p w14:paraId="317C056B">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right w:val="single" w:color="auto" w:sz="4" w:space="0"/>
            </w:tcBorders>
            <w:noWrap w:val="0"/>
            <w:vAlign w:val="center"/>
          </w:tcPr>
          <w:p w14:paraId="3A8C740C">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right w:val="single" w:color="auto" w:sz="4" w:space="0"/>
            </w:tcBorders>
            <w:noWrap w:val="0"/>
            <w:vAlign w:val="center"/>
          </w:tcPr>
          <w:p w14:paraId="43472F8A">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73D423AE">
        <w:tblPrEx>
          <w:tblCellMar>
            <w:top w:w="0" w:type="dxa"/>
            <w:left w:w="108" w:type="dxa"/>
            <w:bottom w:w="0" w:type="dxa"/>
            <w:right w:w="108" w:type="dxa"/>
          </w:tblCellMar>
        </w:tblPrEx>
        <w:trPr>
          <w:trHeight w:val="397" w:hRule="atLeast"/>
          <w:jc w:val="center"/>
        </w:trPr>
        <w:tc>
          <w:tcPr>
            <w:tcW w:w="780" w:type="dxa"/>
            <w:vMerge w:val="continue"/>
            <w:tcBorders>
              <w:left w:val="single" w:color="auto" w:sz="6" w:space="0"/>
              <w:right w:val="single" w:color="auto" w:sz="4" w:space="0"/>
            </w:tcBorders>
            <w:noWrap w:val="0"/>
            <w:vAlign w:val="center"/>
          </w:tcPr>
          <w:p w14:paraId="23A2F044">
            <w:pPr>
              <w:shd w:val="clear"/>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right w:val="single" w:color="auto" w:sz="6" w:space="0"/>
            </w:tcBorders>
            <w:noWrap w:val="0"/>
            <w:vAlign w:val="center"/>
          </w:tcPr>
          <w:p w14:paraId="5DA18545">
            <w:pPr>
              <w:shd w:val="clea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响应文件</w:t>
            </w:r>
            <w:r>
              <w:rPr>
                <w:rFonts w:hint="eastAsia" w:ascii="宋体" w:hAnsi="宋体" w:eastAsia="宋体" w:cs="宋体"/>
                <w:color w:val="auto"/>
                <w:szCs w:val="21"/>
                <w:highlight w:val="none"/>
              </w:rPr>
              <w:t>的有效性、完整性满足</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文件要求</w:t>
            </w:r>
          </w:p>
        </w:tc>
        <w:tc>
          <w:tcPr>
            <w:tcW w:w="1250" w:type="dxa"/>
            <w:tcBorders>
              <w:top w:val="single" w:color="auto" w:sz="6" w:space="0"/>
              <w:left w:val="single" w:color="auto" w:sz="6" w:space="0"/>
              <w:right w:val="single" w:color="auto" w:sz="4" w:space="0"/>
            </w:tcBorders>
            <w:noWrap w:val="0"/>
            <w:vAlign w:val="center"/>
          </w:tcPr>
          <w:p w14:paraId="35D81ECD">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right w:val="single" w:color="auto" w:sz="4" w:space="0"/>
            </w:tcBorders>
            <w:noWrap w:val="0"/>
            <w:vAlign w:val="center"/>
          </w:tcPr>
          <w:p w14:paraId="008EB6CA">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right w:val="single" w:color="auto" w:sz="4" w:space="0"/>
            </w:tcBorders>
            <w:noWrap w:val="0"/>
            <w:vAlign w:val="center"/>
          </w:tcPr>
          <w:p w14:paraId="7CE41872">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2E1DFED7">
        <w:tblPrEx>
          <w:tblCellMar>
            <w:top w:w="0" w:type="dxa"/>
            <w:left w:w="108" w:type="dxa"/>
            <w:bottom w:w="0" w:type="dxa"/>
            <w:right w:w="108" w:type="dxa"/>
          </w:tblCellMar>
        </w:tblPrEx>
        <w:trPr>
          <w:trHeight w:val="919" w:hRule="atLeast"/>
          <w:jc w:val="center"/>
        </w:trPr>
        <w:tc>
          <w:tcPr>
            <w:tcW w:w="780" w:type="dxa"/>
            <w:vMerge w:val="continue"/>
            <w:tcBorders>
              <w:left w:val="single" w:color="auto" w:sz="6" w:space="0"/>
              <w:right w:val="single" w:color="auto" w:sz="4" w:space="0"/>
            </w:tcBorders>
            <w:noWrap w:val="0"/>
            <w:vAlign w:val="center"/>
          </w:tcPr>
          <w:p w14:paraId="5BB52E48">
            <w:pPr>
              <w:shd w:val="clear"/>
              <w:ind w:firstLine="482"/>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bottom w:val="single" w:color="auto" w:sz="6" w:space="0"/>
              <w:right w:val="single" w:color="auto" w:sz="6" w:space="0"/>
            </w:tcBorders>
            <w:noWrap w:val="0"/>
            <w:vAlign w:val="center"/>
          </w:tcPr>
          <w:p w14:paraId="37BA3B57">
            <w:pPr>
              <w:shd w:val="clear"/>
              <w:spacing w:line="400" w:lineRule="exact"/>
              <w:jc w:val="left"/>
              <w:rPr>
                <w:rFonts w:hint="eastAsia" w:ascii="宋体" w:hAnsi="宋体" w:eastAsia="宋体" w:cs="宋体"/>
                <w:color w:val="auto"/>
                <w:szCs w:val="21"/>
                <w:highlight w:val="none"/>
              </w:rPr>
            </w:pPr>
            <w:r>
              <w:rPr>
                <w:rFonts w:hint="eastAsia" w:ascii="宋体" w:hAnsi="宋体" w:cs="宋体"/>
                <w:color w:val="auto"/>
                <w:szCs w:val="21"/>
                <w:highlight w:val="none"/>
              </w:rPr>
              <w:t>逐条对招标文件要求的商务</w:t>
            </w:r>
            <w:r>
              <w:rPr>
                <w:rFonts w:hint="eastAsia" w:ascii="宋体" w:hAnsi="宋体" w:cs="宋体"/>
                <w:color w:val="auto"/>
                <w:szCs w:val="21"/>
                <w:highlight w:val="none"/>
                <w:lang w:eastAsia="zh-CN"/>
              </w:rPr>
              <w:t>条款</w:t>
            </w:r>
            <w:r>
              <w:rPr>
                <w:rFonts w:hint="eastAsia" w:ascii="宋体" w:hAnsi="宋体" w:cs="宋体"/>
                <w:color w:val="auto"/>
                <w:szCs w:val="21"/>
                <w:highlight w:val="none"/>
              </w:rPr>
              <w:t>和</w:t>
            </w:r>
            <w:r>
              <w:rPr>
                <w:rFonts w:hint="eastAsia" w:ascii="宋体" w:hAnsi="宋体" w:cs="宋体"/>
                <w:color w:val="auto"/>
                <w:szCs w:val="21"/>
                <w:highlight w:val="none"/>
                <w:lang w:val="en-US" w:eastAsia="zh-CN"/>
              </w:rPr>
              <w:t>采购需求</w:t>
            </w:r>
            <w:r>
              <w:rPr>
                <w:rFonts w:hint="eastAsia" w:ascii="宋体" w:hAnsi="宋体" w:cs="宋体"/>
                <w:color w:val="auto"/>
                <w:szCs w:val="21"/>
                <w:highlight w:val="none"/>
              </w:rPr>
              <w:t>进行应答，详细填写“</w:t>
            </w:r>
            <w:r>
              <w:rPr>
                <w:rFonts w:hint="eastAsia" w:ascii="宋体" w:hAnsi="宋体" w:eastAsia="宋体" w:cs="宋体"/>
                <w:color w:val="auto"/>
                <w:szCs w:val="21"/>
                <w:highlight w:val="none"/>
              </w:rPr>
              <w:t>投标货物及技术规格偏离表</w:t>
            </w:r>
            <w:r>
              <w:rPr>
                <w:rFonts w:hint="eastAsia" w:ascii="宋体" w:hAnsi="宋体" w:cs="宋体"/>
                <w:color w:val="auto"/>
                <w:szCs w:val="21"/>
                <w:highlight w:val="none"/>
              </w:rPr>
              <w:t>、商务条款偏离表”</w:t>
            </w:r>
            <w:r>
              <w:rPr>
                <w:rFonts w:hint="eastAsia" w:ascii="宋体" w:hAnsi="宋体" w:cs="宋体"/>
                <w:color w:val="auto"/>
                <w:szCs w:val="21"/>
                <w:highlight w:val="none"/>
                <w:lang w:val="en-US" w:eastAsia="zh-CN"/>
              </w:rPr>
              <w:t>，采购需求、商务条款不允许负偏离</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6D0D5C66">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48E602C5">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7FF5AC75">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57538CE0">
        <w:tblPrEx>
          <w:tblCellMar>
            <w:top w:w="0" w:type="dxa"/>
            <w:left w:w="108" w:type="dxa"/>
            <w:bottom w:w="0" w:type="dxa"/>
            <w:right w:w="108" w:type="dxa"/>
          </w:tblCellMar>
        </w:tblPrEx>
        <w:trPr>
          <w:trHeight w:val="497" w:hRule="atLeast"/>
          <w:jc w:val="center"/>
        </w:trPr>
        <w:tc>
          <w:tcPr>
            <w:tcW w:w="780" w:type="dxa"/>
            <w:vMerge w:val="continue"/>
            <w:tcBorders>
              <w:left w:val="single" w:color="auto" w:sz="6" w:space="0"/>
              <w:right w:val="single" w:color="auto" w:sz="4" w:space="0"/>
            </w:tcBorders>
            <w:noWrap w:val="0"/>
            <w:vAlign w:val="center"/>
          </w:tcPr>
          <w:p w14:paraId="73A871BA">
            <w:pPr>
              <w:shd w:val="clear"/>
              <w:ind w:firstLine="482"/>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bottom w:val="single" w:color="auto" w:sz="6" w:space="0"/>
              <w:right w:val="single" w:color="auto" w:sz="6" w:space="0"/>
            </w:tcBorders>
            <w:shd w:val="clear" w:color="auto" w:fill="auto"/>
            <w:noWrap w:val="0"/>
            <w:vAlign w:val="center"/>
          </w:tcPr>
          <w:p w14:paraId="04A2CCCA">
            <w:pPr>
              <w:shd w:val="clear"/>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提交的投标价格</w:t>
            </w:r>
            <w:r>
              <w:rPr>
                <w:rFonts w:hint="eastAsia" w:ascii="宋体" w:hAnsi="宋体" w:cs="宋体"/>
                <w:color w:val="auto"/>
                <w:szCs w:val="21"/>
                <w:highlight w:val="none"/>
                <w:lang w:val="en-US" w:eastAsia="zh-CN"/>
              </w:rPr>
              <w:t>不存在异常低价</w:t>
            </w:r>
          </w:p>
          <w:p w14:paraId="5B8D6951">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《关于推动解决政府采购异常低价问题的通知》财库〔2026〕2号</w:t>
            </w:r>
          </w:p>
          <w:p w14:paraId="1B24ABB3">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政府采购评审中出现下列情形之一的，评审委员会应当启动异常低价投标（响应）审查程序： </w:t>
            </w:r>
          </w:p>
          <w:p w14:paraId="3716F1C5">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①投标（响应）报价低于全部通过符合性审查供应商投标（响应）报价平均值50%的，即投标（响应）报价&lt;全部通过符合性审查供应商投标（响应）报价平均值×50%； </w:t>
            </w:r>
          </w:p>
          <w:p w14:paraId="2112E43A">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②投标（响应）报价低于通过符合性审查的次低报价供应商投标（响应）报价50%的，即投标（响应）报价&lt;通过符合性审查的次低报价供应商投标（响应）报价×50%； </w:t>
            </w:r>
          </w:p>
          <w:p w14:paraId="2EDF7EE7">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③投标（响应）报价低于采购项目最高限价45%的，即投标（响应）报价&lt;采购项目最高限价×45%； </w:t>
            </w:r>
          </w:p>
          <w:p w14:paraId="3349B606">
            <w:pPr>
              <w:shd w:val="clear"/>
              <w:spacing w:line="400" w:lineRule="exact"/>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④评审委员会基于专业判断，认为供应商报价过低，有可能影响产品质量或者不能诚信履约的其他情形。 </w:t>
            </w:r>
          </w:p>
          <w:p w14:paraId="0CD29F0A">
            <w:pPr>
              <w:shd w:val="clear"/>
              <w:spacing w:line="400" w:lineRule="exact"/>
              <w:jc w:val="left"/>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szCs w:val="21"/>
                <w:highlight w:val="none"/>
                <w:lang w:val="en-US" w:eastAsia="zh-CN"/>
              </w:rPr>
              <w:t xml:space="preserve">   评审委员会启动异常低价投标（响应）审查后，要求相关供应商在30分钟内对投标（响应）价格作出解释，提供项目具体成本测算等与报价合理性相关的书面说明及必要的证明材料，包括但不限于原材料成本、人工成本、制造费用等。投标人不能证明其报价合理性的，未提供或内容不全面无法支持报价构成的，由评标委员会认定该投标人是否以恶意低价竞标。供应商不能证明其报价合理性的，评标委员会应当将其作为无效处理。</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6C876D28">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3FBC4D2A">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14B3963B">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7CA35625">
        <w:tblPrEx>
          <w:tblCellMar>
            <w:top w:w="0" w:type="dxa"/>
            <w:left w:w="108" w:type="dxa"/>
            <w:bottom w:w="0" w:type="dxa"/>
            <w:right w:w="108" w:type="dxa"/>
          </w:tblCellMar>
        </w:tblPrEx>
        <w:trPr>
          <w:trHeight w:val="511" w:hRule="atLeast"/>
          <w:jc w:val="center"/>
        </w:trPr>
        <w:tc>
          <w:tcPr>
            <w:tcW w:w="780" w:type="dxa"/>
            <w:vMerge w:val="continue"/>
            <w:tcBorders>
              <w:left w:val="single" w:color="auto" w:sz="6" w:space="0"/>
              <w:right w:val="single" w:color="auto" w:sz="4" w:space="0"/>
            </w:tcBorders>
            <w:noWrap w:val="0"/>
            <w:vAlign w:val="center"/>
          </w:tcPr>
          <w:p w14:paraId="5BEDE032">
            <w:pPr>
              <w:shd w:val="clear"/>
              <w:ind w:firstLine="482"/>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bottom w:val="single" w:color="auto" w:sz="6" w:space="0"/>
              <w:right w:val="single" w:color="auto" w:sz="6" w:space="0"/>
            </w:tcBorders>
            <w:noWrap w:val="0"/>
            <w:vAlign w:val="center"/>
          </w:tcPr>
          <w:p w14:paraId="4CC9BD57">
            <w:pPr>
              <w:shd w:val="clea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符合</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文件中合同履行期限的要求</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5208C0F9">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114F0832">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5E1E4FE4">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7A5D9D7C">
        <w:tblPrEx>
          <w:tblCellMar>
            <w:top w:w="0" w:type="dxa"/>
            <w:left w:w="108" w:type="dxa"/>
            <w:bottom w:w="0" w:type="dxa"/>
            <w:right w:w="108" w:type="dxa"/>
          </w:tblCellMar>
        </w:tblPrEx>
        <w:trPr>
          <w:trHeight w:val="483" w:hRule="atLeast"/>
          <w:jc w:val="center"/>
        </w:trPr>
        <w:tc>
          <w:tcPr>
            <w:tcW w:w="780" w:type="dxa"/>
            <w:vMerge w:val="continue"/>
            <w:tcBorders>
              <w:left w:val="single" w:color="auto" w:sz="6" w:space="0"/>
              <w:right w:val="single" w:color="auto" w:sz="4" w:space="0"/>
            </w:tcBorders>
            <w:noWrap w:val="0"/>
            <w:vAlign w:val="center"/>
          </w:tcPr>
          <w:p w14:paraId="20830DE8">
            <w:pPr>
              <w:shd w:val="clear"/>
              <w:ind w:firstLine="482"/>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bottom w:val="single" w:color="auto" w:sz="6" w:space="0"/>
              <w:right w:val="single" w:color="auto" w:sz="6" w:space="0"/>
            </w:tcBorders>
            <w:noWrap w:val="0"/>
            <w:vAlign w:val="center"/>
          </w:tcPr>
          <w:p w14:paraId="18D93077">
            <w:pPr>
              <w:shd w:val="clea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对</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文件的实质性要求作出响应</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28DC37E4">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04108BDB">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32E60512">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46D92FB6">
        <w:tblPrEx>
          <w:tblCellMar>
            <w:top w:w="0" w:type="dxa"/>
            <w:left w:w="108" w:type="dxa"/>
            <w:bottom w:w="0" w:type="dxa"/>
            <w:right w:w="108" w:type="dxa"/>
          </w:tblCellMar>
        </w:tblPrEx>
        <w:trPr>
          <w:trHeight w:val="483" w:hRule="atLeast"/>
          <w:jc w:val="center"/>
        </w:trPr>
        <w:tc>
          <w:tcPr>
            <w:tcW w:w="780" w:type="dxa"/>
            <w:vMerge w:val="continue"/>
            <w:tcBorders>
              <w:left w:val="single" w:color="auto" w:sz="6" w:space="0"/>
              <w:right w:val="single" w:color="auto" w:sz="4" w:space="0"/>
            </w:tcBorders>
            <w:noWrap w:val="0"/>
            <w:vAlign w:val="center"/>
          </w:tcPr>
          <w:p w14:paraId="0D62A2C8">
            <w:pPr>
              <w:shd w:val="clear"/>
              <w:ind w:firstLine="482"/>
              <w:jc w:val="center"/>
              <w:rPr>
                <w:rFonts w:hint="eastAsia" w:ascii="宋体" w:hAnsi="宋体" w:eastAsia="宋体" w:cs="宋体"/>
                <w:color w:val="auto"/>
                <w:szCs w:val="21"/>
                <w:highlight w:val="none"/>
              </w:rPr>
            </w:pPr>
          </w:p>
        </w:tc>
        <w:tc>
          <w:tcPr>
            <w:tcW w:w="5352" w:type="dxa"/>
            <w:tcBorders>
              <w:top w:val="single" w:color="auto" w:sz="6" w:space="0"/>
              <w:left w:val="single" w:color="auto" w:sz="4" w:space="0"/>
              <w:bottom w:val="single" w:color="auto" w:sz="6" w:space="0"/>
              <w:right w:val="single" w:color="auto" w:sz="6" w:space="0"/>
            </w:tcBorders>
            <w:noWrap w:val="0"/>
            <w:vAlign w:val="center"/>
          </w:tcPr>
          <w:p w14:paraId="07F3C781">
            <w:pPr>
              <w:shd w:val="clea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投标文件技术标必须遵守的统一格式和规范。技术标文件（暗标）未按以下“盲评”要求制作的，为无效投标，除下述要求外，不得因暗标格式问题认定为无效投标：</w:t>
            </w:r>
          </w:p>
          <w:p w14:paraId="08ECBA0B">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投标文件技术标必须遵守的统一格式和规范。</w:t>
            </w:r>
          </w:p>
          <w:p w14:paraId="7B165D06">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技术标文件（暗标）未按以下“盲评”要求制作的，为无效投标，除下述要求外，不得因暗标格式问题认定为无效投标：</w:t>
            </w:r>
          </w:p>
          <w:p w14:paraId="5BBB08F7">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一、版面要求：A4纸张大小；</w:t>
            </w:r>
          </w:p>
          <w:p w14:paraId="188D45B2">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二、颜色要求：所有文字、图、表均为黑色；</w:t>
            </w:r>
          </w:p>
          <w:p w14:paraId="75FE2798">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三、字体要求：标题及正文部分所用文字均采用“宋体”四号“常规”字；所有字体均不得出现加粗、加色、倾斜、下划线等标记；</w:t>
            </w:r>
          </w:p>
          <w:p w14:paraId="31D9C1D9">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排版要求：页边距要求上边距2.5厘米，其余均为2厘米；不得设置封面、目录；正文行间距为固定值30磅；文字内容（含正文标题、正文）统一设为左对齐，首行缩进2字符，段落前后不设置空行；不得设置页眉、页脚和页码；</w:t>
            </w:r>
          </w:p>
          <w:p w14:paraId="160F9939">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4C257AB5">
            <w:pPr>
              <w:shd w:val="clea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六、其它：除满足上述各项要求外，构成投标文件的“技术暗标”的正文中均不得出现供应商的名称和其它可识别供应商身份的字符、徽标、人员名称以及其他可能被辨别出供应商身份的任何标记。</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3E1D150F">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354881B4">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2099E97F">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5740D654">
        <w:tblPrEx>
          <w:tblCellMar>
            <w:top w:w="0" w:type="dxa"/>
            <w:left w:w="108" w:type="dxa"/>
            <w:bottom w:w="0" w:type="dxa"/>
            <w:right w:w="108" w:type="dxa"/>
          </w:tblCellMar>
        </w:tblPrEx>
        <w:trPr>
          <w:trHeight w:val="464" w:hRule="atLeast"/>
          <w:jc w:val="center"/>
        </w:trPr>
        <w:tc>
          <w:tcPr>
            <w:tcW w:w="6132" w:type="dxa"/>
            <w:gridSpan w:val="2"/>
            <w:tcBorders>
              <w:top w:val="single" w:color="auto" w:sz="6" w:space="0"/>
              <w:left w:val="single" w:color="auto" w:sz="6" w:space="0"/>
              <w:bottom w:val="single" w:color="auto" w:sz="6" w:space="0"/>
              <w:right w:val="single" w:color="auto" w:sz="6" w:space="0"/>
            </w:tcBorders>
            <w:noWrap w:val="0"/>
            <w:vAlign w:val="center"/>
          </w:tcPr>
          <w:p w14:paraId="538C4255">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结论</w:t>
            </w:r>
          </w:p>
        </w:tc>
        <w:tc>
          <w:tcPr>
            <w:tcW w:w="1250" w:type="dxa"/>
            <w:tcBorders>
              <w:top w:val="single" w:color="auto" w:sz="6" w:space="0"/>
              <w:left w:val="single" w:color="auto" w:sz="6" w:space="0"/>
              <w:bottom w:val="single" w:color="auto" w:sz="6" w:space="0"/>
              <w:right w:val="single" w:color="auto" w:sz="4" w:space="0"/>
            </w:tcBorders>
            <w:noWrap w:val="0"/>
            <w:vAlign w:val="center"/>
          </w:tcPr>
          <w:p w14:paraId="166B1721">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1162" w:type="dxa"/>
            <w:tcBorders>
              <w:top w:val="single" w:color="auto" w:sz="6" w:space="0"/>
              <w:left w:val="single" w:color="auto" w:sz="6" w:space="0"/>
              <w:bottom w:val="single" w:color="auto" w:sz="6" w:space="0"/>
              <w:right w:val="single" w:color="auto" w:sz="4" w:space="0"/>
            </w:tcBorders>
            <w:noWrap w:val="0"/>
            <w:vAlign w:val="center"/>
          </w:tcPr>
          <w:p w14:paraId="7B33EEF1">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6C8F41B9">
            <w:pPr>
              <w:widowControl/>
              <w:shd w:val="clear"/>
              <w:autoSpaceDE w:val="0"/>
              <w:autoSpaceDN w:val="0"/>
              <w:ind w:left="525" w:right="-34" w:hanging="525" w:hangingChars="250"/>
              <w:jc w:val="center"/>
              <w:textAlignment w:val="bottom"/>
              <w:rPr>
                <w:rFonts w:hint="eastAsia" w:ascii="宋体" w:hAnsi="宋体" w:eastAsia="宋体" w:cs="宋体"/>
                <w:color w:val="auto"/>
                <w:szCs w:val="21"/>
                <w:highlight w:val="none"/>
              </w:rPr>
            </w:pPr>
          </w:p>
        </w:tc>
      </w:tr>
      <w:tr w14:paraId="0C0495FD">
        <w:tblPrEx>
          <w:tblCellMar>
            <w:top w:w="0" w:type="dxa"/>
            <w:left w:w="108" w:type="dxa"/>
            <w:bottom w:w="0" w:type="dxa"/>
            <w:right w:w="108" w:type="dxa"/>
          </w:tblCellMar>
        </w:tblPrEx>
        <w:trPr>
          <w:trHeight w:val="397" w:hRule="atLeast"/>
          <w:jc w:val="center"/>
        </w:trPr>
        <w:tc>
          <w:tcPr>
            <w:tcW w:w="7382" w:type="dxa"/>
            <w:gridSpan w:val="3"/>
            <w:tcBorders>
              <w:top w:val="single" w:color="auto" w:sz="6" w:space="0"/>
              <w:left w:val="single" w:color="auto" w:sz="6" w:space="0"/>
              <w:bottom w:val="single" w:color="auto" w:sz="6" w:space="0"/>
              <w:right w:val="single" w:color="auto" w:sz="4" w:space="0"/>
            </w:tcBorders>
            <w:noWrap w:val="0"/>
            <w:vAlign w:val="center"/>
          </w:tcPr>
          <w:p w14:paraId="25B4D8EA">
            <w:pPr>
              <w:widowControl/>
              <w:shd w:val="clear"/>
              <w:autoSpaceDE w:val="0"/>
              <w:autoSpaceDN w:val="0"/>
              <w:ind w:left="525" w:right="-34" w:hanging="525" w:hangingChars="250"/>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主任评委：</w:t>
            </w:r>
          </w:p>
          <w:p w14:paraId="1721A1B1">
            <w:pPr>
              <w:widowControl/>
              <w:shd w:val="clear"/>
              <w:autoSpaceDE w:val="0"/>
              <w:autoSpaceDN w:val="0"/>
              <w:ind w:left="525" w:right="-34" w:hanging="525" w:hangingChars="250"/>
              <w:jc w:val="left"/>
              <w:textAlignment w:val="bottom"/>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其他评委：</w:t>
            </w:r>
          </w:p>
        </w:tc>
        <w:tc>
          <w:tcPr>
            <w:tcW w:w="1162" w:type="dxa"/>
            <w:tcBorders>
              <w:top w:val="single" w:color="auto" w:sz="6" w:space="0"/>
              <w:left w:val="single" w:color="auto" w:sz="6" w:space="0"/>
              <w:bottom w:val="single" w:color="auto" w:sz="6" w:space="0"/>
              <w:right w:val="single" w:color="auto" w:sz="4" w:space="0"/>
            </w:tcBorders>
            <w:noWrap w:val="0"/>
            <w:vAlign w:val="center"/>
          </w:tcPr>
          <w:p w14:paraId="322B121B">
            <w:pPr>
              <w:widowControl/>
              <w:shd w:val="clear"/>
              <w:autoSpaceDE w:val="0"/>
              <w:autoSpaceDN w:val="0"/>
              <w:ind w:left="525" w:right="-34" w:hanging="525" w:hangingChars="250"/>
              <w:jc w:val="left"/>
              <w:textAlignment w:val="bottom"/>
              <w:rPr>
                <w:rFonts w:hint="eastAsia" w:ascii="宋体" w:hAnsi="宋体" w:eastAsia="宋体" w:cs="宋体"/>
                <w:color w:val="auto"/>
                <w:szCs w:val="21"/>
                <w:highlight w:val="none"/>
              </w:rPr>
            </w:pPr>
          </w:p>
        </w:tc>
        <w:tc>
          <w:tcPr>
            <w:tcW w:w="905" w:type="dxa"/>
            <w:tcBorders>
              <w:top w:val="single" w:color="auto" w:sz="6" w:space="0"/>
              <w:left w:val="single" w:color="auto" w:sz="6" w:space="0"/>
              <w:bottom w:val="single" w:color="auto" w:sz="6" w:space="0"/>
              <w:right w:val="single" w:color="auto" w:sz="4" w:space="0"/>
            </w:tcBorders>
            <w:noWrap w:val="0"/>
            <w:vAlign w:val="center"/>
          </w:tcPr>
          <w:p w14:paraId="4E87BA8C">
            <w:pPr>
              <w:widowControl/>
              <w:shd w:val="clear"/>
              <w:autoSpaceDE w:val="0"/>
              <w:autoSpaceDN w:val="0"/>
              <w:ind w:left="525" w:right="-34" w:hanging="525" w:hangingChars="250"/>
              <w:jc w:val="left"/>
              <w:textAlignment w:val="bottom"/>
              <w:rPr>
                <w:rFonts w:hint="eastAsia" w:ascii="宋体" w:hAnsi="宋体" w:eastAsia="宋体" w:cs="宋体"/>
                <w:color w:val="auto"/>
                <w:szCs w:val="21"/>
                <w:highlight w:val="none"/>
              </w:rPr>
            </w:pPr>
          </w:p>
        </w:tc>
      </w:tr>
    </w:tbl>
    <w:p w14:paraId="31A26230">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注：本表中符合评审内容要求的写“√”，不符合评审内容要求的写“×”。结论为“合格”或不合格。结论不合格的不进入磋商最终报价及综合评审阶段。</w:t>
      </w:r>
    </w:p>
    <w:p w14:paraId="3E31F7F6">
      <w:pPr>
        <w:shd w:val="clea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响应文件属下列情况之一的，应当在资格性、符合性检查时按照无效投标处理：</w:t>
      </w:r>
    </w:p>
    <w:p w14:paraId="4B2CE840">
      <w:pPr>
        <w:shd w:val="clea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（一）应交未交投标保证金的；</w:t>
      </w:r>
    </w:p>
    <w:p w14:paraId="5255DF82">
      <w:pPr>
        <w:shd w:val="clear"/>
        <w:spacing w:line="360" w:lineRule="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（二）未按照竞争性磋商文件规定要求密封、签署、盖章的；</w:t>
      </w:r>
    </w:p>
    <w:p w14:paraId="4320D745">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（三）不具备竞争性磋商文件中规定资格要求的；</w:t>
      </w:r>
    </w:p>
    <w:p w14:paraId="40042493">
      <w:pPr>
        <w:numPr>
          <w:ilvl w:val="0"/>
          <w:numId w:val="19"/>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报价超过竞争性磋商文件中规定的预算金额或者最高限价的；</w:t>
      </w:r>
    </w:p>
    <w:p w14:paraId="081F2D3A">
      <w:pPr>
        <w:numPr>
          <w:ilvl w:val="0"/>
          <w:numId w:val="19"/>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响应文件含有采购人不能接受的附加条件的；</w:t>
      </w:r>
    </w:p>
    <w:p w14:paraId="1ED3BB47">
      <w:pPr>
        <w:numPr>
          <w:ilvl w:val="0"/>
          <w:numId w:val="19"/>
        </w:numPr>
        <w:shd w:val="clear"/>
        <w:spacing w:line="360" w:lineRule="auto"/>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不符合法律、法规和竞争性磋商文件中规定的其他实质性要求的。</w:t>
      </w:r>
    </w:p>
    <w:p w14:paraId="14B71226">
      <w:pPr>
        <w:shd w:val="clea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审查</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是否存在串通投标行为：评标委员会发现有下列情形之一的，视为</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串通投标，其投标无效：</w:t>
      </w:r>
    </w:p>
    <w:p w14:paraId="6BBBA98A">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的响应文件由同一单位或者个人编制；</w:t>
      </w:r>
    </w:p>
    <w:p w14:paraId="464DAD2B">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委托同一单位或者个人办理投标事宜；</w:t>
      </w:r>
    </w:p>
    <w:p w14:paraId="48A41E9A">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的响应文件载明的项目管理成员或者联系人员为同一人；</w:t>
      </w:r>
    </w:p>
    <w:p w14:paraId="51378460">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的响应文件异常一致或者投标报价呈规律性差异；</w:t>
      </w:r>
    </w:p>
    <w:p w14:paraId="315C6627">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的响应文件相互混装；</w:t>
      </w:r>
    </w:p>
    <w:p w14:paraId="2637BAC7">
      <w:pPr>
        <w:shd w:val="clear"/>
        <w:spacing w:line="360" w:lineRule="auto"/>
        <w:ind w:firstLine="482"/>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（六）不同</w:t>
      </w:r>
      <w:r>
        <w:rPr>
          <w:rFonts w:hint="eastAsia" w:ascii="宋体" w:hAnsi="宋体" w:eastAsia="宋体" w:cs="宋体"/>
          <w:color w:val="auto"/>
          <w:szCs w:val="21"/>
          <w:highlight w:val="none"/>
          <w:lang w:eastAsia="zh-CN"/>
        </w:rPr>
        <w:t>供应商</w:t>
      </w:r>
      <w:r>
        <w:rPr>
          <w:rFonts w:hint="eastAsia" w:ascii="宋体" w:hAnsi="宋体" w:eastAsia="宋体" w:cs="宋体"/>
          <w:color w:val="auto"/>
          <w:szCs w:val="21"/>
          <w:highlight w:val="none"/>
        </w:rPr>
        <w:t>的响应保证金从同一单位或者个人的账户转出。</w:t>
      </w:r>
    </w:p>
    <w:p w14:paraId="76B829C4">
      <w:pPr>
        <w:shd w:val="clear"/>
        <w:spacing w:line="276" w:lineRule="auto"/>
        <w:ind w:firstLine="426" w:firstLineChars="202"/>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注：</w:t>
      </w:r>
    </w:p>
    <w:p w14:paraId="2987B299">
      <w:pPr>
        <w:shd w:val="clear"/>
        <w:spacing w:line="276" w:lineRule="auto"/>
        <w:ind w:firstLine="426" w:firstLineChars="202"/>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w:t>
      </w:r>
      <w:r>
        <w:rPr>
          <w:rFonts w:hint="eastAsia" w:ascii="宋体" w:hAnsi="宋体" w:eastAsia="宋体" w:cs="宋体"/>
          <w:b/>
          <w:color w:val="auto"/>
          <w:szCs w:val="21"/>
          <w:highlight w:val="none"/>
        </w:rPr>
        <w:t>对通过资格及符合性审查的供应商进行磋商</w:t>
      </w:r>
    </w:p>
    <w:p w14:paraId="2FD8C099">
      <w:pPr>
        <w:shd w:val="clear"/>
        <w:spacing w:line="276"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（1）磋商委员会将按照公开、公平、公正的原则对待所有参与磋商单位。具体工作流程：</w:t>
      </w:r>
    </w:p>
    <w:p w14:paraId="71803BE3">
      <w:pPr>
        <w:shd w:val="clear"/>
        <w:spacing w:line="276"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磋商小组讨论、通过磋商工作流程和要点。</w:t>
      </w:r>
    </w:p>
    <w:p w14:paraId="4D270B66">
      <w:pPr>
        <w:shd w:val="clear"/>
        <w:spacing w:line="276"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磋商小组审阅参与磋商的投标单位的响应文件。</w:t>
      </w:r>
    </w:p>
    <w:p w14:paraId="2EF5BFD9">
      <w:pPr>
        <w:shd w:val="clear"/>
        <w:spacing w:line="276"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围绕磋商要点，磋商小组全体成员集中与各有效磋商单位分别进行磋商。磋商文件有实质性变动的，磋商小组将以书面形式通知所有参加的磋商单位。</w:t>
      </w:r>
    </w:p>
    <w:p w14:paraId="74C38C62">
      <w:pPr>
        <w:shd w:val="clear"/>
        <w:spacing w:line="276" w:lineRule="auto"/>
        <w:ind w:firstLine="426" w:firstLineChars="202"/>
        <w:rPr>
          <w:rFonts w:hint="eastAsia" w:ascii="宋体" w:hAnsi="宋体" w:eastAsia="宋体" w:cs="宋体"/>
          <w:b/>
          <w:color w:val="auto"/>
          <w:szCs w:val="21"/>
          <w:highlight w:val="none"/>
          <w:u w:val="single"/>
        </w:rPr>
      </w:pPr>
      <w:r>
        <w:rPr>
          <w:rFonts w:hint="eastAsia" w:ascii="宋体" w:hAnsi="宋体" w:eastAsia="宋体" w:cs="宋体"/>
          <w:b/>
          <w:color w:val="auto"/>
          <w:szCs w:val="21"/>
          <w:highlight w:val="none"/>
          <w:u w:val="single"/>
        </w:rPr>
        <w:t>磋商结束后，磋商小组将要求所有投标单位在规定时间内确定并提交</w:t>
      </w:r>
      <w:r>
        <w:rPr>
          <w:rFonts w:hint="eastAsia" w:ascii="宋体" w:hAnsi="宋体" w:eastAsia="宋体" w:cs="宋体"/>
          <w:b/>
          <w:bCs/>
          <w:color w:val="auto"/>
          <w:szCs w:val="21"/>
          <w:highlight w:val="none"/>
          <w:u w:val="single"/>
        </w:rPr>
        <w:t>最终报价</w:t>
      </w:r>
      <w:r>
        <w:rPr>
          <w:rFonts w:hint="eastAsia" w:ascii="宋体" w:hAnsi="宋体" w:eastAsia="宋体" w:cs="宋体"/>
          <w:b/>
          <w:color w:val="auto"/>
          <w:szCs w:val="21"/>
          <w:highlight w:val="none"/>
          <w:u w:val="single"/>
        </w:rPr>
        <w:t>。</w:t>
      </w:r>
    </w:p>
    <w:p w14:paraId="747A90AA">
      <w:pPr>
        <w:shd w:val="clear"/>
        <w:spacing w:line="276" w:lineRule="auto"/>
        <w:ind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在磋商过程中，采购需求不变，供应商响应服务不调整的情况下，供应商的最终报价不得超过首次报价及采购预算。</w:t>
      </w:r>
    </w:p>
    <w:p w14:paraId="0B53F24B">
      <w:pPr>
        <w:shd w:val="clear"/>
        <w:spacing w:line="276" w:lineRule="auto"/>
        <w:ind w:firstLine="426" w:firstLineChars="20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2.根据各单位最终报价和合格磋商单位的响应文件进行磋商综合详细打分，按照汇总得分由高到低的顺序排序，并确定排名第一名的为成交单位。</w:t>
      </w:r>
    </w:p>
    <w:p w14:paraId="07E2E73F">
      <w:pPr>
        <w:shd w:val="clear"/>
        <w:rPr>
          <w:rFonts w:hint="eastAsia" w:ascii="宋体" w:hAnsi="宋体" w:eastAsia="宋体" w:cs="宋体"/>
          <w:color w:val="auto"/>
          <w:szCs w:val="21"/>
          <w:highlight w:val="none"/>
        </w:rPr>
      </w:pPr>
      <w:r>
        <w:rPr>
          <w:rFonts w:hint="eastAsia" w:ascii="宋体" w:hAnsi="宋体" w:eastAsia="宋体" w:cs="宋体"/>
          <w:color w:val="auto"/>
          <w:szCs w:val="21"/>
          <w:highlight w:val="none"/>
        </w:rPr>
        <w:br w:type="page"/>
      </w:r>
      <w:r>
        <w:rPr>
          <w:rFonts w:hint="eastAsia" w:ascii="宋体" w:hAnsi="宋体" w:eastAsia="宋体" w:cs="宋体"/>
          <w:color w:val="auto"/>
          <w:szCs w:val="21"/>
          <w:highlight w:val="none"/>
        </w:rPr>
        <w:t>磋商办法前附表（二）</w:t>
      </w:r>
    </w:p>
    <w:tbl>
      <w:tblPr>
        <w:tblStyle w:val="61"/>
        <w:tblW w:w="96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3"/>
        <w:gridCol w:w="1594"/>
        <w:gridCol w:w="6150"/>
        <w:gridCol w:w="874"/>
      </w:tblGrid>
      <w:tr w14:paraId="582C6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9" w:hRule="atLeast"/>
          <w:jc w:val="center"/>
        </w:trPr>
        <w:tc>
          <w:tcPr>
            <w:tcW w:w="2577" w:type="dxa"/>
            <w:gridSpan w:val="2"/>
            <w:tcBorders>
              <w:top w:val="single" w:color="000000" w:sz="4" w:space="0"/>
              <w:left w:val="single" w:color="000000" w:sz="4" w:space="0"/>
              <w:bottom w:val="single" w:color="000000" w:sz="4" w:space="0"/>
              <w:right w:val="single" w:color="000000" w:sz="4" w:space="0"/>
            </w:tcBorders>
            <w:noWrap w:val="0"/>
            <w:vAlign w:val="center"/>
          </w:tcPr>
          <w:p w14:paraId="580C5299">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w:t>
            </w:r>
          </w:p>
        </w:tc>
        <w:tc>
          <w:tcPr>
            <w:tcW w:w="7024" w:type="dxa"/>
            <w:gridSpan w:val="2"/>
            <w:tcBorders>
              <w:top w:val="single" w:color="000000" w:sz="4" w:space="0"/>
              <w:left w:val="nil"/>
              <w:bottom w:val="single" w:color="000000" w:sz="4" w:space="0"/>
              <w:right w:val="single" w:color="000000" w:sz="4" w:space="0"/>
            </w:tcBorders>
            <w:noWrap w:val="0"/>
            <w:vAlign w:val="center"/>
          </w:tcPr>
          <w:p w14:paraId="333AED92">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评审标准</w:t>
            </w:r>
          </w:p>
        </w:tc>
      </w:tr>
      <w:tr w14:paraId="01706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2" w:hRule="atLeast"/>
          <w:jc w:val="center"/>
        </w:trPr>
        <w:tc>
          <w:tcPr>
            <w:tcW w:w="2577" w:type="dxa"/>
            <w:gridSpan w:val="2"/>
            <w:tcBorders>
              <w:top w:val="single" w:color="000000" w:sz="4" w:space="0"/>
              <w:left w:val="single" w:color="000000" w:sz="4" w:space="0"/>
              <w:bottom w:val="single" w:color="000000" w:sz="4" w:space="0"/>
              <w:right w:val="single" w:color="000000" w:sz="4" w:space="0"/>
            </w:tcBorders>
            <w:noWrap w:val="0"/>
            <w:vAlign w:val="center"/>
          </w:tcPr>
          <w:p w14:paraId="4ED7861B">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7024" w:type="dxa"/>
            <w:gridSpan w:val="2"/>
            <w:tcBorders>
              <w:top w:val="single" w:color="000000" w:sz="4" w:space="0"/>
              <w:left w:val="nil"/>
              <w:bottom w:val="single" w:color="000000" w:sz="4" w:space="0"/>
              <w:right w:val="single" w:color="000000" w:sz="4" w:space="0"/>
            </w:tcBorders>
            <w:noWrap w:val="0"/>
            <w:vAlign w:val="center"/>
          </w:tcPr>
          <w:p w14:paraId="2FDA2793">
            <w:pPr>
              <w:shd w:val="clear"/>
              <w:bidi w:val="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商务因素</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15</w:t>
            </w:r>
            <w:r>
              <w:rPr>
                <w:rFonts w:hint="eastAsia" w:ascii="宋体" w:hAnsi="宋体" w:eastAsia="宋体" w:cs="宋体"/>
                <w:color w:val="auto"/>
                <w:sz w:val="21"/>
                <w:szCs w:val="21"/>
                <w:highlight w:val="none"/>
              </w:rPr>
              <w:t xml:space="preserve">分             </w:t>
            </w:r>
            <w:r>
              <w:rPr>
                <w:rFonts w:hint="eastAsia" w:ascii="宋体" w:hAnsi="宋体" w:cs="宋体"/>
                <w:color w:val="auto"/>
                <w:sz w:val="21"/>
                <w:szCs w:val="21"/>
                <w:highlight w:val="none"/>
                <w:lang w:val="en-US" w:eastAsia="zh-CN"/>
              </w:rPr>
              <w:t>其他因素45分</w:t>
            </w:r>
            <w:bookmarkStart w:id="56" w:name="_GoBack"/>
            <w:bookmarkEnd w:id="56"/>
          </w:p>
          <w:p w14:paraId="7CC9DC13">
            <w:pPr>
              <w:shd w:val="clear"/>
              <w:bidi w:val="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价格因素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 xml:space="preserve">分            </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技术因素（暗标部分）</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分</w:t>
            </w:r>
          </w:p>
        </w:tc>
      </w:tr>
      <w:tr w14:paraId="590E7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8" w:hRule="atLeast"/>
          <w:jc w:val="center"/>
        </w:trPr>
        <w:tc>
          <w:tcPr>
            <w:tcW w:w="2577" w:type="dxa"/>
            <w:gridSpan w:val="2"/>
            <w:tcBorders>
              <w:top w:val="single" w:color="000000" w:sz="4" w:space="0"/>
              <w:left w:val="single" w:color="000000" w:sz="4" w:space="0"/>
              <w:bottom w:val="single" w:color="000000" w:sz="4" w:space="0"/>
              <w:right w:val="single" w:color="000000" w:sz="4" w:space="0"/>
            </w:tcBorders>
            <w:noWrap w:val="0"/>
            <w:vAlign w:val="center"/>
          </w:tcPr>
          <w:p w14:paraId="427E036E">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评标</w:t>
            </w:r>
            <w:r>
              <w:rPr>
                <w:rFonts w:hint="eastAsia" w:ascii="宋体" w:hAnsi="宋体" w:eastAsia="宋体" w:cs="宋体"/>
                <w:color w:val="auto"/>
                <w:sz w:val="21"/>
                <w:szCs w:val="21"/>
                <w:highlight w:val="none"/>
              </w:rPr>
              <w:t>基准价计算方法</w:t>
            </w:r>
          </w:p>
        </w:tc>
        <w:tc>
          <w:tcPr>
            <w:tcW w:w="7024" w:type="dxa"/>
            <w:gridSpan w:val="2"/>
            <w:tcBorders>
              <w:top w:val="single" w:color="000000" w:sz="4" w:space="0"/>
              <w:left w:val="nil"/>
              <w:bottom w:val="single" w:color="000000" w:sz="4" w:space="0"/>
              <w:right w:val="single" w:color="000000" w:sz="4" w:space="0"/>
            </w:tcBorders>
            <w:noWrap w:val="0"/>
            <w:vAlign w:val="center"/>
          </w:tcPr>
          <w:p w14:paraId="011409A1">
            <w:pPr>
              <w:shd w:val="clear"/>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满足</w:t>
            </w:r>
            <w:r>
              <w:rPr>
                <w:rFonts w:hint="eastAsia" w:ascii="宋体" w:hAnsi="宋体" w:eastAsia="宋体" w:cs="宋体"/>
                <w:color w:val="auto"/>
                <w:spacing w:val="4"/>
                <w:sz w:val="21"/>
                <w:szCs w:val="21"/>
                <w:highlight w:val="none"/>
                <w:lang w:val="en-US" w:eastAsia="zh-CN"/>
              </w:rPr>
              <w:t>竞争性磋商</w:t>
            </w:r>
            <w:r>
              <w:rPr>
                <w:rFonts w:hint="eastAsia" w:ascii="宋体" w:hAnsi="宋体" w:eastAsia="宋体" w:cs="宋体"/>
                <w:color w:val="auto"/>
                <w:spacing w:val="4"/>
                <w:sz w:val="21"/>
                <w:szCs w:val="21"/>
                <w:highlight w:val="none"/>
              </w:rPr>
              <w:t>文件要求且</w:t>
            </w:r>
            <w:r>
              <w:rPr>
                <w:rFonts w:hint="eastAsia" w:ascii="宋体" w:hAnsi="宋体" w:eastAsia="宋体" w:cs="宋体"/>
                <w:color w:val="auto"/>
                <w:sz w:val="21"/>
                <w:szCs w:val="21"/>
                <w:highlight w:val="none"/>
              </w:rPr>
              <w:t>最后报价</w:t>
            </w:r>
            <w:r>
              <w:rPr>
                <w:rFonts w:hint="eastAsia" w:ascii="宋体" w:hAnsi="宋体" w:eastAsia="宋体" w:cs="宋体"/>
                <w:color w:val="auto"/>
                <w:sz w:val="21"/>
                <w:szCs w:val="21"/>
                <w:highlight w:val="none"/>
                <w:lang w:val="en-US" w:eastAsia="zh-CN"/>
              </w:rPr>
              <w:t>评标</w:t>
            </w:r>
            <w:r>
              <w:rPr>
                <w:rFonts w:hint="eastAsia" w:ascii="宋体" w:hAnsi="宋体" w:eastAsia="宋体" w:cs="宋体"/>
                <w:color w:val="auto"/>
                <w:sz w:val="21"/>
                <w:szCs w:val="21"/>
                <w:highlight w:val="none"/>
                <w:lang w:val="zh-CN"/>
              </w:rPr>
              <w:t>价格最低的</w:t>
            </w:r>
            <w:r>
              <w:rPr>
                <w:rFonts w:hint="eastAsia" w:ascii="宋体" w:hAnsi="宋体" w:eastAsia="宋体" w:cs="宋体"/>
                <w:color w:val="auto"/>
                <w:spacing w:val="4"/>
                <w:sz w:val="21"/>
                <w:szCs w:val="21"/>
                <w:highlight w:val="none"/>
              </w:rPr>
              <w:t>投标报价为评标基准价，其价格分为满分。</w:t>
            </w:r>
          </w:p>
          <w:p w14:paraId="6BFD267D">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计算结果保留小数点后两位，第三位四舍五入。</w:t>
            </w:r>
          </w:p>
        </w:tc>
      </w:tr>
      <w:tr w14:paraId="5EF6D8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6" w:hRule="atLeast"/>
          <w:jc w:val="center"/>
        </w:trPr>
        <w:tc>
          <w:tcPr>
            <w:tcW w:w="2577" w:type="dxa"/>
            <w:gridSpan w:val="2"/>
            <w:tcBorders>
              <w:top w:val="single" w:color="000000" w:sz="4" w:space="0"/>
              <w:left w:val="single" w:color="000000" w:sz="4" w:space="0"/>
              <w:bottom w:val="single" w:color="000000" w:sz="4" w:space="0"/>
              <w:right w:val="single" w:color="000000" w:sz="4" w:space="0"/>
            </w:tcBorders>
            <w:noWrap w:val="0"/>
            <w:vAlign w:val="center"/>
          </w:tcPr>
          <w:p w14:paraId="4BDB4850">
            <w:pPr>
              <w:shd w:val="clear"/>
              <w:bidi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投标报价得分计算公式</w:t>
            </w:r>
          </w:p>
        </w:tc>
        <w:tc>
          <w:tcPr>
            <w:tcW w:w="7024" w:type="dxa"/>
            <w:gridSpan w:val="2"/>
            <w:tcBorders>
              <w:top w:val="single" w:color="000000" w:sz="4" w:space="0"/>
              <w:left w:val="nil"/>
              <w:bottom w:val="single" w:color="000000" w:sz="4" w:space="0"/>
              <w:right w:val="single" w:color="000000" w:sz="4" w:space="0"/>
            </w:tcBorders>
            <w:noWrap w:val="0"/>
            <w:vAlign w:val="center"/>
          </w:tcPr>
          <w:p w14:paraId="0BFAC4E4">
            <w:pPr>
              <w:shd w:val="clear"/>
              <w:bidi w:val="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报价得分=（</w:t>
            </w:r>
            <w:r>
              <w:rPr>
                <w:rFonts w:hint="eastAsia" w:ascii="宋体" w:hAnsi="宋体" w:eastAsia="宋体" w:cs="宋体"/>
                <w:color w:val="auto"/>
                <w:sz w:val="21"/>
                <w:szCs w:val="21"/>
                <w:highlight w:val="none"/>
                <w:lang w:val="en-US" w:eastAsia="zh-CN"/>
              </w:rPr>
              <w:t>评标</w:t>
            </w:r>
            <w:r>
              <w:rPr>
                <w:rFonts w:hint="eastAsia" w:ascii="宋体" w:hAnsi="宋体" w:eastAsia="宋体" w:cs="宋体"/>
                <w:color w:val="auto"/>
                <w:sz w:val="21"/>
                <w:szCs w:val="21"/>
                <w:highlight w:val="none"/>
              </w:rPr>
              <w:t>基准价/</w:t>
            </w:r>
            <w:r>
              <w:rPr>
                <w:rFonts w:hint="eastAsia" w:ascii="宋体" w:hAnsi="宋体" w:eastAsia="宋体" w:cs="宋体"/>
                <w:color w:val="auto"/>
                <w:sz w:val="21"/>
                <w:szCs w:val="21"/>
                <w:highlight w:val="none"/>
                <w:lang w:val="en-US" w:eastAsia="zh-CN"/>
              </w:rPr>
              <w:t>投标</w:t>
            </w:r>
            <w:r>
              <w:rPr>
                <w:rFonts w:hint="eastAsia" w:ascii="宋体" w:hAnsi="宋体" w:eastAsia="宋体" w:cs="宋体"/>
                <w:color w:val="auto"/>
                <w:sz w:val="21"/>
                <w:szCs w:val="21"/>
                <w:highlight w:val="none"/>
              </w:rPr>
              <w:t>报价）×</w:t>
            </w:r>
            <w:r>
              <w:rPr>
                <w:rFonts w:hint="eastAsia" w:ascii="宋体" w:hAnsi="宋体" w:eastAsia="宋体" w:cs="宋体"/>
                <w:color w:val="auto"/>
                <w:sz w:val="21"/>
                <w:szCs w:val="21"/>
                <w:highlight w:val="none"/>
                <w:lang w:val="en-US" w:eastAsia="zh-CN"/>
              </w:rPr>
              <w:t>30</w:t>
            </w:r>
          </w:p>
        </w:tc>
      </w:tr>
      <w:tr w14:paraId="16C46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577" w:type="dxa"/>
            <w:gridSpan w:val="2"/>
            <w:tcBorders>
              <w:top w:val="single" w:color="000000" w:sz="4" w:space="0"/>
              <w:left w:val="single" w:color="000000" w:sz="4" w:space="0"/>
              <w:bottom w:val="single" w:color="000000" w:sz="4" w:space="0"/>
              <w:right w:val="single" w:color="000000" w:sz="4" w:space="0"/>
            </w:tcBorders>
            <w:noWrap w:val="0"/>
            <w:vAlign w:val="center"/>
          </w:tcPr>
          <w:p w14:paraId="78E57B16">
            <w:pPr>
              <w:shd w:val="clear"/>
              <w:bidi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6150" w:type="dxa"/>
            <w:tcBorders>
              <w:top w:val="single" w:color="000000" w:sz="4" w:space="0"/>
              <w:left w:val="nil"/>
              <w:bottom w:val="single" w:color="000000" w:sz="4" w:space="0"/>
              <w:right w:val="single" w:color="000000" w:sz="4" w:space="0"/>
            </w:tcBorders>
            <w:noWrap w:val="0"/>
            <w:vAlign w:val="center"/>
          </w:tcPr>
          <w:p w14:paraId="2E53A07F">
            <w:pPr>
              <w:shd w:val="clear"/>
              <w:bidi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评分标准</w:t>
            </w:r>
          </w:p>
        </w:tc>
        <w:tc>
          <w:tcPr>
            <w:tcW w:w="874" w:type="dxa"/>
            <w:tcBorders>
              <w:top w:val="single" w:color="000000" w:sz="4" w:space="0"/>
              <w:left w:val="nil"/>
              <w:bottom w:val="single" w:color="000000" w:sz="4" w:space="0"/>
              <w:right w:val="single" w:color="000000" w:sz="4" w:space="0"/>
            </w:tcBorders>
            <w:noWrap w:val="0"/>
            <w:vAlign w:val="center"/>
          </w:tcPr>
          <w:p w14:paraId="65289205">
            <w:pPr>
              <w:shd w:val="clear"/>
              <w:bidi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得分</w:t>
            </w:r>
          </w:p>
        </w:tc>
      </w:tr>
      <w:tr w14:paraId="715754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4" w:hRule="atLeast"/>
          <w:jc w:val="center"/>
        </w:trPr>
        <w:tc>
          <w:tcPr>
            <w:tcW w:w="983" w:type="dxa"/>
            <w:vMerge w:val="restart"/>
            <w:tcBorders>
              <w:top w:val="nil"/>
              <w:left w:val="single" w:color="auto" w:sz="4" w:space="0"/>
              <w:right w:val="single" w:color="000000" w:sz="4" w:space="0"/>
            </w:tcBorders>
            <w:noWrap w:val="0"/>
            <w:vAlign w:val="center"/>
          </w:tcPr>
          <w:p w14:paraId="515C8995">
            <w:pPr>
              <w:shd w:val="clear"/>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商务</w:t>
            </w:r>
          </w:p>
          <w:p w14:paraId="777CFACD">
            <w:pPr>
              <w:shd w:val="clear"/>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因素</w:t>
            </w:r>
          </w:p>
        </w:tc>
        <w:tc>
          <w:tcPr>
            <w:tcW w:w="1594" w:type="dxa"/>
            <w:tcBorders>
              <w:top w:val="single" w:color="000000" w:sz="4" w:space="0"/>
              <w:left w:val="nil"/>
              <w:right w:val="single" w:color="000000" w:sz="4" w:space="0"/>
            </w:tcBorders>
            <w:noWrap w:val="0"/>
            <w:vAlign w:val="center"/>
          </w:tcPr>
          <w:p w14:paraId="71314579">
            <w:pPr>
              <w:shd w:val="clear"/>
              <w:autoSpaceDE w:val="0"/>
              <w:autoSpaceDN w:val="0"/>
              <w:adjustRightInd w:val="0"/>
              <w:spacing w:line="276" w:lineRule="auto"/>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企业业绩</w:t>
            </w:r>
          </w:p>
        </w:tc>
        <w:tc>
          <w:tcPr>
            <w:tcW w:w="6150" w:type="dxa"/>
            <w:tcBorders>
              <w:top w:val="single" w:color="000000" w:sz="4" w:space="0"/>
              <w:left w:val="nil"/>
              <w:bottom w:val="single" w:color="000000" w:sz="4" w:space="0"/>
              <w:right w:val="single" w:color="000000" w:sz="4" w:space="0"/>
            </w:tcBorders>
            <w:noWrap w:val="0"/>
            <w:vAlign w:val="center"/>
          </w:tcPr>
          <w:p w14:paraId="36FE2181">
            <w:pPr>
              <w:keepNext w:val="0"/>
              <w:keepLines w:val="0"/>
              <w:pageBreakBefore w:val="0"/>
              <w:shd w:val="clear"/>
              <w:kinsoku/>
              <w:wordWrap/>
              <w:overflowPunct/>
              <w:topLinePunct w:val="0"/>
              <w:bidi w:val="0"/>
              <w:adjustRightInd/>
              <w:snapToGrid/>
              <w:spacing w:line="240" w:lineRule="auto"/>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投标人提供自2023年1月1日至今，提供与本项目类似的项目业绩，每提供一份合同和中标通知书复印件并加盖投标人公章得2分，最多得6分。不具备或不提供不得分。</w:t>
            </w:r>
          </w:p>
          <w:p w14:paraId="08D93F81">
            <w:pPr>
              <w:keepNext w:val="0"/>
              <w:keepLines w:val="0"/>
              <w:pageBreakBefore w:val="0"/>
              <w:shd w:val="clear"/>
              <w:kinsoku/>
              <w:wordWrap/>
              <w:overflowPunct/>
              <w:topLinePunct w:val="0"/>
              <w:bidi w:val="0"/>
              <w:adjustRightInd/>
              <w:snapToGrid/>
              <w:spacing w:line="240" w:lineRule="auto"/>
              <w:jc w:val="left"/>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评分依据：响应文件内附中标通知书和合同复印件加盖公章</w:t>
            </w:r>
          </w:p>
        </w:tc>
        <w:tc>
          <w:tcPr>
            <w:tcW w:w="874" w:type="dxa"/>
            <w:tcBorders>
              <w:top w:val="single" w:color="000000" w:sz="4" w:space="0"/>
              <w:left w:val="nil"/>
              <w:bottom w:val="single" w:color="000000" w:sz="4" w:space="0"/>
              <w:right w:val="single" w:color="000000" w:sz="4" w:space="0"/>
            </w:tcBorders>
            <w:noWrap w:val="0"/>
            <w:vAlign w:val="center"/>
          </w:tcPr>
          <w:p w14:paraId="421A8E3A">
            <w:pPr>
              <w:shd w:val="clear"/>
              <w:jc w:val="center"/>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0"/>
                <w:sz w:val="21"/>
                <w:szCs w:val="21"/>
                <w:highlight w:val="none"/>
                <w:lang w:val="en-US" w:eastAsia="zh-CN"/>
              </w:rPr>
              <w:t>分</w:t>
            </w:r>
          </w:p>
        </w:tc>
      </w:tr>
      <w:tr w14:paraId="46781D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 w:hRule="atLeast"/>
          <w:jc w:val="center"/>
        </w:trPr>
        <w:tc>
          <w:tcPr>
            <w:tcW w:w="983" w:type="dxa"/>
            <w:vMerge w:val="continue"/>
            <w:tcBorders>
              <w:left w:val="single" w:color="auto" w:sz="4" w:space="0"/>
              <w:right w:val="single" w:color="000000" w:sz="4" w:space="0"/>
            </w:tcBorders>
            <w:noWrap w:val="0"/>
            <w:vAlign w:val="center"/>
          </w:tcPr>
          <w:p w14:paraId="0F18FD41">
            <w:pPr>
              <w:shd w:val="clear"/>
              <w:bidi w:val="0"/>
              <w:jc w:val="center"/>
              <w:rPr>
                <w:rFonts w:hint="eastAsia" w:ascii="宋体" w:hAnsi="宋体" w:eastAsia="宋体" w:cs="宋体"/>
                <w:color w:val="auto"/>
                <w:sz w:val="21"/>
                <w:szCs w:val="21"/>
                <w:highlight w:val="none"/>
                <w:lang w:val="en-US" w:eastAsia="zh-CN"/>
              </w:rPr>
            </w:pPr>
          </w:p>
        </w:tc>
        <w:tc>
          <w:tcPr>
            <w:tcW w:w="1594" w:type="dxa"/>
            <w:tcBorders>
              <w:top w:val="single" w:color="000000" w:sz="4" w:space="0"/>
              <w:left w:val="nil"/>
              <w:right w:val="single" w:color="000000" w:sz="4" w:space="0"/>
            </w:tcBorders>
            <w:shd w:val="clear" w:color="auto" w:fill="auto"/>
            <w:noWrap w:val="0"/>
            <w:vAlign w:val="center"/>
          </w:tcPr>
          <w:p w14:paraId="1C5E5794">
            <w:pPr>
              <w:keepNext w:val="0"/>
              <w:keepLines w:val="0"/>
              <w:widowControl/>
              <w:suppressLineNumbers w:val="0"/>
              <w:shd w:val="clear"/>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质保承诺函</w:t>
            </w:r>
          </w:p>
        </w:tc>
        <w:tc>
          <w:tcPr>
            <w:tcW w:w="6150" w:type="dxa"/>
            <w:tcBorders>
              <w:top w:val="single" w:color="000000" w:sz="4" w:space="0"/>
              <w:left w:val="nil"/>
              <w:bottom w:val="single" w:color="000000" w:sz="4" w:space="0"/>
              <w:right w:val="single" w:color="000000" w:sz="4" w:space="0"/>
            </w:tcBorders>
            <w:shd w:val="clear" w:color="auto" w:fill="auto"/>
            <w:noWrap w:val="0"/>
            <w:vAlign w:val="center"/>
          </w:tcPr>
          <w:p w14:paraId="7571756B">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第6项《接入交换机》，整机六年质保并上门服务，提供承诺函并加盖投标人公章，得3分，不提供或不符合不得分。</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4444591A">
            <w:pPr>
              <w:shd w:val="clear"/>
              <w:autoSpaceDE w:val="0"/>
              <w:autoSpaceDN w:val="0"/>
              <w:adjustRightInd w:val="0"/>
              <w:spacing w:line="300" w:lineRule="exact"/>
              <w:jc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3分</w:t>
            </w:r>
          </w:p>
        </w:tc>
      </w:tr>
      <w:tr w14:paraId="1B4243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9" w:hRule="atLeast"/>
          <w:jc w:val="center"/>
        </w:trPr>
        <w:tc>
          <w:tcPr>
            <w:tcW w:w="983" w:type="dxa"/>
            <w:vMerge w:val="continue"/>
            <w:tcBorders>
              <w:left w:val="single" w:color="auto" w:sz="4" w:space="0"/>
              <w:right w:val="single" w:color="000000" w:sz="4" w:space="0"/>
            </w:tcBorders>
            <w:noWrap w:val="0"/>
            <w:vAlign w:val="center"/>
          </w:tcPr>
          <w:p w14:paraId="2BFC7326">
            <w:pPr>
              <w:shd w:val="clear"/>
              <w:bidi w:val="0"/>
              <w:jc w:val="center"/>
              <w:rPr>
                <w:rFonts w:hint="eastAsia" w:ascii="宋体" w:hAnsi="宋体" w:eastAsia="宋体" w:cs="宋体"/>
                <w:color w:val="auto"/>
                <w:sz w:val="21"/>
                <w:szCs w:val="21"/>
                <w:highlight w:val="none"/>
                <w:lang w:val="en-US" w:eastAsia="zh-CN"/>
              </w:rPr>
            </w:pPr>
          </w:p>
        </w:tc>
        <w:tc>
          <w:tcPr>
            <w:tcW w:w="1594" w:type="dxa"/>
            <w:tcBorders>
              <w:top w:val="single" w:color="000000" w:sz="4" w:space="0"/>
              <w:left w:val="nil"/>
              <w:right w:val="single" w:color="000000" w:sz="4" w:space="0"/>
            </w:tcBorders>
            <w:shd w:val="clear" w:color="auto" w:fill="auto"/>
            <w:noWrap w:val="0"/>
            <w:vAlign w:val="center"/>
          </w:tcPr>
          <w:p w14:paraId="114D1B65">
            <w:pPr>
              <w:keepNext w:val="0"/>
              <w:keepLines w:val="0"/>
              <w:widowControl/>
              <w:suppressLineNumbers w:val="0"/>
              <w:shd w:val="clear"/>
              <w:jc w:val="center"/>
              <w:textAlignment w:val="center"/>
              <w:rPr>
                <w:rFonts w:hint="eastAsia" w:ascii="宋体" w:hAnsi="宋体" w:eastAsia="宋体" w:cs="宋体"/>
                <w:color w:val="auto"/>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售后服务承诺</w:t>
            </w:r>
          </w:p>
        </w:tc>
        <w:tc>
          <w:tcPr>
            <w:tcW w:w="6150" w:type="dxa"/>
            <w:tcBorders>
              <w:top w:val="single" w:color="000000" w:sz="4" w:space="0"/>
              <w:left w:val="nil"/>
              <w:bottom w:val="single" w:color="000000" w:sz="4" w:space="0"/>
              <w:right w:val="single" w:color="000000" w:sz="4" w:space="0"/>
            </w:tcBorders>
            <w:shd w:val="clear" w:color="auto" w:fill="auto"/>
            <w:noWrap w:val="0"/>
            <w:vAlign w:val="center"/>
          </w:tcPr>
          <w:p w14:paraId="3911C9F7">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投标人提供针对本项目的售后服务承诺：</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1</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承诺报故障后60分钟内到达现场处理故障。</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2</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承诺对所提供的设备在质保期内每年进行2次全面巡查检测。</w:t>
            </w:r>
          </w:p>
          <w:p w14:paraId="39F2EDB1">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售后服务人员安排</w:t>
            </w:r>
            <w:r>
              <w:rPr>
                <w:rFonts w:hint="eastAsia"/>
                <w:color w:val="auto"/>
                <w:highlight w:val="none"/>
                <w:lang w:eastAsia="zh-CN"/>
              </w:rPr>
              <w:t>。</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每提供一项承诺函并加盖投标人公章得2分，满分6分，不提供或提供不全不得分。</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1CC0290B">
            <w:pPr>
              <w:shd w:val="clear"/>
              <w:autoSpaceDE w:val="0"/>
              <w:autoSpaceDN w:val="0"/>
              <w:adjustRightInd w:val="0"/>
              <w:spacing w:line="300" w:lineRule="exact"/>
              <w:jc w:val="center"/>
              <w:rPr>
                <w:rFonts w:hint="default"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6分</w:t>
            </w:r>
          </w:p>
        </w:tc>
      </w:tr>
      <w:tr w14:paraId="0D1712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9" w:hRule="atLeast"/>
          <w:jc w:val="center"/>
        </w:trPr>
        <w:tc>
          <w:tcPr>
            <w:tcW w:w="983" w:type="dxa"/>
            <w:vMerge w:val="restart"/>
            <w:tcBorders>
              <w:left w:val="single" w:color="auto" w:sz="4" w:space="0"/>
              <w:right w:val="single" w:color="000000" w:sz="4" w:space="0"/>
            </w:tcBorders>
            <w:noWrap w:val="0"/>
            <w:vAlign w:val="center"/>
          </w:tcPr>
          <w:p w14:paraId="294497BE">
            <w:pPr>
              <w:shd w:val="clear"/>
              <w:bidi w:val="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其他因素</w:t>
            </w:r>
          </w:p>
        </w:tc>
        <w:tc>
          <w:tcPr>
            <w:tcW w:w="1594" w:type="dxa"/>
            <w:tcBorders>
              <w:top w:val="single" w:color="000000" w:sz="4" w:space="0"/>
              <w:left w:val="nil"/>
              <w:right w:val="single" w:color="000000" w:sz="4" w:space="0"/>
            </w:tcBorders>
            <w:shd w:val="clear" w:color="auto" w:fill="auto"/>
            <w:noWrap w:val="0"/>
            <w:vAlign w:val="center"/>
          </w:tcPr>
          <w:p w14:paraId="60EC66D9">
            <w:pPr>
              <w:shd w:val="clear"/>
              <w:autoSpaceDE w:val="0"/>
              <w:autoSpaceDN w:val="0"/>
              <w:adjustRightInd w:val="0"/>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技术指标功能截图1</w:t>
            </w:r>
          </w:p>
        </w:tc>
        <w:tc>
          <w:tcPr>
            <w:tcW w:w="6150" w:type="dxa"/>
            <w:tcBorders>
              <w:top w:val="single" w:color="000000" w:sz="4" w:space="0"/>
              <w:left w:val="nil"/>
              <w:bottom w:val="single" w:color="000000" w:sz="4" w:space="0"/>
              <w:right w:val="single" w:color="000000" w:sz="4" w:space="0"/>
            </w:tcBorders>
            <w:shd w:val="clear" w:color="auto" w:fill="auto"/>
            <w:noWrap w:val="0"/>
            <w:vAlign w:val="top"/>
          </w:tcPr>
          <w:p w14:paraId="1BAF3348">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第9项《机房智慧管理软件》提供以下对应产品技术指标功能截图复印件或承诺函并加盖投标人公章，每提供一项得2分，最多得18分，不提供或提供不全不得分。</w:t>
            </w:r>
          </w:p>
          <w:p w14:paraId="4574D942">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1.支持在Windows和国产系统搭建，支持对终端的操作系统镜像生成与统一分发管理。</w:t>
            </w:r>
          </w:p>
          <w:p w14:paraId="77E64448">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2.支持在镜像下发时进行组内网络探测与网速传输测试；支持镜像下发时的策略设置，更新镜像时锁定终端屏幕和更新时隐藏下载窗口；支持系统镜像下发后自动执行关机、重启操作。</w:t>
            </w:r>
          </w:p>
          <w:p w14:paraId="3D18D838">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3.支持批量管理设置终端、IP地址、分辨率、时间同步等配置信息。针对不同的群组指定不同的安全管控策略。</w:t>
            </w:r>
          </w:p>
          <w:p w14:paraId="79EFC5A0">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4.支持超级镜像功能，可通过一个标准镜像可以支持多种不同硬件配置，可覆盖不同品牌、跨越不同代的CPU。</w:t>
            </w:r>
          </w:p>
          <w:p w14:paraId="2010FD5F">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5.支持离线脱网运行:客户端可在没有网络连接的情况下可离线运行与在线状态下一致的操作系统及软件，并保证同一桌面环境在线与离线数据一致。</w:t>
            </w:r>
          </w:p>
          <w:p w14:paraId="34A36534">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支持服务器集群及高性能负载均衡功能，可配置多个副I/O服务器通道同时协同工作,将终端分配至服务器集群的某一I/O服务器中的某一网卡通道下进行分流下发，进行网络流量调度，可由主机设定某一I/O服务器承载客户端的连接量。</w:t>
            </w:r>
          </w:p>
          <w:p w14:paraId="4447BF9D">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7.平台支持对存储在在服务器和本地的账号和口令信息应有保护措施，防止非授权的查看、修改、删除。</w:t>
            </w:r>
          </w:p>
          <w:p w14:paraId="40A1FB60">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8.系统符合国家信息建设标准和国家的系统管理员、系统保密员、系统审计员的三员管理划分，并且平台有详细的三员操作日志。</w:t>
            </w:r>
          </w:p>
          <w:p w14:paraId="2C1A37FA">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9.支持复杂网络环境、跨院区跨互联网部署。IP可达即可部署，支持WIFI/4G网络的更新桌面。</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43A4E043">
            <w:pPr>
              <w:shd w:val="clear"/>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18分</w:t>
            </w:r>
          </w:p>
        </w:tc>
      </w:tr>
      <w:tr w14:paraId="53003A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9" w:hRule="atLeast"/>
          <w:jc w:val="center"/>
        </w:trPr>
        <w:tc>
          <w:tcPr>
            <w:tcW w:w="983" w:type="dxa"/>
            <w:vMerge w:val="continue"/>
            <w:tcBorders>
              <w:left w:val="single" w:color="auto" w:sz="4" w:space="0"/>
              <w:right w:val="single" w:color="000000" w:sz="4" w:space="0"/>
            </w:tcBorders>
            <w:noWrap w:val="0"/>
            <w:vAlign w:val="center"/>
          </w:tcPr>
          <w:p w14:paraId="21CA3D5A">
            <w:pPr>
              <w:shd w:val="clear"/>
              <w:bidi w:val="0"/>
              <w:jc w:val="center"/>
              <w:rPr>
                <w:rFonts w:hint="eastAsia" w:ascii="宋体" w:hAnsi="宋体" w:cs="宋体"/>
                <w:color w:val="auto"/>
                <w:sz w:val="21"/>
                <w:szCs w:val="21"/>
                <w:highlight w:val="none"/>
                <w:lang w:val="en-US" w:eastAsia="zh-CN"/>
              </w:rPr>
            </w:pPr>
          </w:p>
        </w:tc>
        <w:tc>
          <w:tcPr>
            <w:tcW w:w="1594" w:type="dxa"/>
            <w:tcBorders>
              <w:top w:val="single" w:color="000000" w:sz="4" w:space="0"/>
              <w:left w:val="nil"/>
              <w:right w:val="single" w:color="000000" w:sz="4" w:space="0"/>
            </w:tcBorders>
            <w:shd w:val="clear" w:color="auto" w:fill="auto"/>
            <w:noWrap w:val="0"/>
            <w:vAlign w:val="center"/>
          </w:tcPr>
          <w:p w14:paraId="213B7789">
            <w:pPr>
              <w:shd w:val="clear"/>
              <w:autoSpaceDE w:val="0"/>
              <w:autoSpaceDN w:val="0"/>
              <w:adjustRightInd w:val="0"/>
              <w:jc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sz w:val="21"/>
                <w:szCs w:val="21"/>
                <w:highlight w:val="none"/>
                <w:lang w:val="en-US" w:eastAsia="zh-CN"/>
              </w:rPr>
              <w:t>技术指标功能截图2</w:t>
            </w:r>
          </w:p>
        </w:tc>
        <w:tc>
          <w:tcPr>
            <w:tcW w:w="6150" w:type="dxa"/>
            <w:tcBorders>
              <w:top w:val="single" w:color="000000" w:sz="4" w:space="0"/>
              <w:left w:val="nil"/>
              <w:bottom w:val="single" w:color="000000" w:sz="4" w:space="0"/>
              <w:right w:val="single" w:color="000000" w:sz="4" w:space="0"/>
            </w:tcBorders>
            <w:shd w:val="clear" w:color="auto" w:fill="auto"/>
            <w:noWrap w:val="0"/>
            <w:vAlign w:val="top"/>
          </w:tcPr>
          <w:p w14:paraId="679C1027">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第10项《机房智慧教学软件》提供以下对应产品技术指标功能截图复印件或承诺函并加盖投标人公章，每提供一项得3分，最多得15分，不提供或提供不全不得分。</w:t>
            </w:r>
          </w:p>
          <w:p w14:paraId="3CD813B1">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1.教师机可以将本地的操作和讲解过程录制为ASF录像文件，可以用 Windows 自带的 Media Player 直接播放。</w:t>
            </w:r>
          </w:p>
          <w:p w14:paraId="437FBBC2">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2.设定学生访问网站的黑名单或白名单，对学生可以访问的Internet站点进行管理。支持多浏览器限制，如QQ、IE、谷歌、360、遨游。</w:t>
            </w:r>
          </w:p>
          <w:p w14:paraId="4D846A70">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3.通过策略的应用，可防止学生在教学过程中打游戏，或使用QQ，MSN等聊天工具。</w:t>
            </w:r>
          </w:p>
          <w:p w14:paraId="5CB1A3FA">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4.具有断线保护自动锁屏技术，通过网卡的是否激活来锁定屏幕。</w:t>
            </w:r>
          </w:p>
          <w:p w14:paraId="7D307970">
            <w:pPr>
              <w:pStyle w:val="55"/>
              <w:keepNext w:val="0"/>
              <w:keepLines w:val="0"/>
              <w:pageBreakBefore w:val="0"/>
              <w:widowControl/>
              <w:suppressLineNumbers w:val="0"/>
              <w:shd w:val="clear"/>
              <w:kinsoku/>
              <w:wordWrap/>
              <w:overflowPunct/>
              <w:topLinePunct w:val="0"/>
              <w:autoSpaceDE/>
              <w:autoSpaceDN/>
              <w:bidi w:val="0"/>
              <w:adjustRightInd/>
              <w:snapToGrid/>
              <w:spacing w:beforeAutospacing="0" w:after="0" w:afterAutospacing="0" w:line="240" w:lineRule="auto"/>
              <w:ind w:left="0" w:leftChars="0"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5.具有远程设置学生桌面主题、桌面背景、屏幕保护方案、学生的频道号和音量、学生端密码，是否启用进程保护，断线锁屏，热键退出功能。</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74E29231">
            <w:pPr>
              <w:shd w:val="clear"/>
              <w:autoSpaceDE w:val="0"/>
              <w:autoSpaceDN w:val="0"/>
              <w:adjustRightInd w:val="0"/>
              <w:spacing w:line="300" w:lineRule="exact"/>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15</w:t>
            </w:r>
            <w:r>
              <w:rPr>
                <w:rFonts w:hint="eastAsia" w:ascii="宋体" w:hAnsi="宋体" w:eastAsia="宋体" w:cs="宋体"/>
                <w:color w:val="auto"/>
                <w:kern w:val="2"/>
                <w:sz w:val="21"/>
                <w:szCs w:val="21"/>
                <w:highlight w:val="none"/>
                <w:lang w:val="en-US" w:eastAsia="zh-CN" w:bidi="ar-SA"/>
              </w:rPr>
              <w:t>分</w:t>
            </w:r>
          </w:p>
        </w:tc>
      </w:tr>
      <w:tr w14:paraId="0F361F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9" w:hRule="atLeast"/>
          <w:jc w:val="center"/>
        </w:trPr>
        <w:tc>
          <w:tcPr>
            <w:tcW w:w="983" w:type="dxa"/>
            <w:vMerge w:val="continue"/>
            <w:tcBorders>
              <w:left w:val="single" w:color="auto" w:sz="4" w:space="0"/>
              <w:right w:val="single" w:color="000000" w:sz="4" w:space="0"/>
            </w:tcBorders>
            <w:noWrap w:val="0"/>
            <w:vAlign w:val="center"/>
          </w:tcPr>
          <w:p w14:paraId="38D00E96">
            <w:pPr>
              <w:shd w:val="clear"/>
              <w:bidi w:val="0"/>
              <w:jc w:val="center"/>
              <w:rPr>
                <w:rFonts w:hint="eastAsia" w:ascii="宋体" w:hAnsi="宋体" w:cs="宋体"/>
                <w:color w:val="auto"/>
                <w:sz w:val="21"/>
                <w:szCs w:val="21"/>
                <w:highlight w:val="none"/>
                <w:lang w:val="en-US" w:eastAsia="zh-CN"/>
              </w:rPr>
            </w:pPr>
          </w:p>
        </w:tc>
        <w:tc>
          <w:tcPr>
            <w:tcW w:w="1594" w:type="dxa"/>
            <w:tcBorders>
              <w:top w:val="single" w:color="000000" w:sz="4" w:space="0"/>
              <w:left w:val="nil"/>
              <w:right w:val="single" w:color="000000" w:sz="4" w:space="0"/>
            </w:tcBorders>
            <w:shd w:val="clear" w:color="auto" w:fill="auto"/>
            <w:noWrap w:val="0"/>
            <w:vAlign w:val="center"/>
          </w:tcPr>
          <w:p w14:paraId="73BE6211">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检测报告</w:t>
            </w:r>
          </w:p>
        </w:tc>
        <w:tc>
          <w:tcPr>
            <w:tcW w:w="6150" w:type="dxa"/>
            <w:tcBorders>
              <w:top w:val="single" w:color="000000" w:sz="4" w:space="0"/>
              <w:left w:val="nil"/>
              <w:bottom w:val="single" w:color="000000" w:sz="4" w:space="0"/>
              <w:right w:val="single" w:color="000000" w:sz="4" w:space="0"/>
            </w:tcBorders>
            <w:shd w:val="clear" w:color="auto" w:fill="auto"/>
            <w:noWrap w:val="0"/>
            <w:vAlign w:val="center"/>
          </w:tcPr>
          <w:p w14:paraId="17EC6175">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第9项《机房智慧管理软件》提供以下对应产品技术指标有资质的第三方检测机构出具的检测报告复印件或承诺函并加盖投标人公章，每提供一项得3分，最多得12分，不提供或提供不全不得分。</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1.支持收集所有终端硬件配置信息，包含但不限于终端名称、主板型号、CPU型号、内存容量、最近运行时间、合计运行时间、硬件变更和记录信息。</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2.支持收集软件列表，程序名称，运行时长。</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3.终端端口可分类别底层统一控制,包括但不限于控制所有 USB 存储输入输接口、光驱接口、打印机接口、串并口接口、蓝牙驱动。</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4.管理系统软件具备资产统计、开关机对比、日志、系统使用情况功能。</w:t>
            </w:r>
          </w:p>
        </w:tc>
        <w:tc>
          <w:tcPr>
            <w:tcW w:w="874" w:type="dxa"/>
            <w:tcBorders>
              <w:top w:val="single" w:color="000000" w:sz="4" w:space="0"/>
              <w:left w:val="nil"/>
              <w:bottom w:val="single" w:color="000000" w:sz="4" w:space="0"/>
              <w:right w:val="single" w:color="000000" w:sz="4" w:space="0"/>
            </w:tcBorders>
            <w:shd w:val="clear" w:color="auto" w:fill="auto"/>
            <w:noWrap w:val="0"/>
            <w:vAlign w:val="center"/>
          </w:tcPr>
          <w:p w14:paraId="7F9FBA8A">
            <w:pPr>
              <w:shd w:val="clear"/>
              <w:autoSpaceDE w:val="0"/>
              <w:autoSpaceDN w:val="0"/>
              <w:adjustRightInd w:val="0"/>
              <w:spacing w:line="300" w:lineRule="exact"/>
              <w:jc w:val="center"/>
              <w:rPr>
                <w:rFonts w:hint="eastAsia" w:ascii="宋体" w:hAnsi="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12分</w:t>
            </w:r>
          </w:p>
        </w:tc>
      </w:tr>
      <w:tr w14:paraId="1B9E0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1" w:hRule="atLeast"/>
          <w:jc w:val="center"/>
        </w:trPr>
        <w:tc>
          <w:tcPr>
            <w:tcW w:w="983" w:type="dxa"/>
            <w:vMerge w:val="restart"/>
            <w:tcBorders>
              <w:top w:val="single" w:color="000000" w:sz="4" w:space="0"/>
              <w:left w:val="single" w:color="auto" w:sz="4" w:space="0"/>
              <w:right w:val="single" w:color="000000" w:sz="4" w:space="0"/>
            </w:tcBorders>
            <w:noWrap w:val="0"/>
            <w:vAlign w:val="center"/>
          </w:tcPr>
          <w:p w14:paraId="5CEB533C">
            <w:pPr>
              <w:shd w:val="clear"/>
              <w:bidi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w:t>
            </w:r>
          </w:p>
          <w:p w14:paraId="40AB768D">
            <w:pPr>
              <w:shd w:val="clear"/>
              <w:bidi w:val="0"/>
              <w:jc w:val="center"/>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因素（暗标部分）</w:t>
            </w:r>
          </w:p>
        </w:tc>
        <w:tc>
          <w:tcPr>
            <w:tcW w:w="1594" w:type="dxa"/>
            <w:tcBorders>
              <w:top w:val="single" w:color="000000" w:sz="4" w:space="0"/>
              <w:left w:val="nil"/>
              <w:right w:val="single" w:color="000000" w:sz="4" w:space="0"/>
            </w:tcBorders>
            <w:shd w:val="clear" w:color="auto" w:fill="auto"/>
            <w:noWrap w:val="0"/>
            <w:vAlign w:val="center"/>
          </w:tcPr>
          <w:p w14:paraId="080A2AB8">
            <w:pPr>
              <w:keepNext w:val="0"/>
              <w:keepLines w:val="0"/>
              <w:widowControl/>
              <w:suppressLineNumbers w:val="0"/>
              <w:shd w:val="clear"/>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
                <w:sz w:val="21"/>
                <w:szCs w:val="21"/>
                <w:highlight w:val="none"/>
                <w:lang w:val="en-US" w:eastAsia="zh-CN" w:bidi="ar-SA"/>
              </w:rPr>
              <w:t>售后服务方案</w:t>
            </w:r>
          </w:p>
        </w:tc>
        <w:tc>
          <w:tcPr>
            <w:tcW w:w="6150" w:type="dxa"/>
            <w:tcBorders>
              <w:top w:val="single" w:color="000000" w:sz="4" w:space="0"/>
              <w:left w:val="nil"/>
              <w:right w:val="single" w:color="000000" w:sz="4" w:space="0"/>
            </w:tcBorders>
            <w:shd w:val="clear" w:color="auto" w:fill="auto"/>
            <w:noWrap w:val="0"/>
            <w:vAlign w:val="center"/>
          </w:tcPr>
          <w:p w14:paraId="46A622C3">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投标人提供针对本项目的售后服务方案，至少包含</w:t>
            </w:r>
          </w:p>
          <w:p w14:paraId="080C4032">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1.售后服务保障措施。</w:t>
            </w:r>
          </w:p>
          <w:p w14:paraId="184F59E1">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每提供1项得2分，最多得2分，不提供不得分。</w:t>
            </w:r>
          </w:p>
        </w:tc>
        <w:tc>
          <w:tcPr>
            <w:tcW w:w="874" w:type="dxa"/>
            <w:tcBorders>
              <w:top w:val="single" w:color="000000" w:sz="4" w:space="0"/>
              <w:left w:val="nil"/>
              <w:bottom w:val="single" w:color="000000" w:sz="4" w:space="0"/>
              <w:right w:val="single" w:color="000000" w:sz="4" w:space="0"/>
            </w:tcBorders>
            <w:noWrap w:val="0"/>
            <w:vAlign w:val="center"/>
          </w:tcPr>
          <w:p w14:paraId="6C9D3194">
            <w:pPr>
              <w:shd w:val="clear"/>
              <w:snapToGrid w:val="0"/>
              <w:spacing w:line="0" w:lineRule="atLeast"/>
              <w:jc w:val="center"/>
              <w:rPr>
                <w:rFonts w:hint="default" w:ascii="宋体" w:hAnsi="宋体" w:eastAsia="宋体" w:cs="宋体"/>
                <w:color w:val="auto"/>
                <w:sz w:val="21"/>
                <w:szCs w:val="21"/>
                <w:highlight w:val="none"/>
                <w:lang w:val="en-US" w:eastAsia="zh-CN" w:bidi="ar-SA"/>
              </w:rPr>
            </w:pPr>
            <w:r>
              <w:rPr>
                <w:rFonts w:hint="eastAsia" w:ascii="宋体" w:hAnsi="宋体" w:cs="宋体"/>
                <w:color w:val="auto"/>
                <w:sz w:val="21"/>
                <w:szCs w:val="21"/>
                <w:highlight w:val="none"/>
                <w:lang w:val="en-US" w:eastAsia="zh-CN" w:bidi="ar-SA"/>
              </w:rPr>
              <w:t>2分</w:t>
            </w:r>
          </w:p>
        </w:tc>
      </w:tr>
      <w:tr w14:paraId="136A6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4" w:hRule="atLeast"/>
          <w:jc w:val="center"/>
        </w:trPr>
        <w:tc>
          <w:tcPr>
            <w:tcW w:w="983" w:type="dxa"/>
            <w:vMerge w:val="continue"/>
            <w:tcBorders>
              <w:left w:val="single" w:color="auto" w:sz="4" w:space="0"/>
              <w:right w:val="single" w:color="000000" w:sz="4" w:space="0"/>
            </w:tcBorders>
            <w:noWrap w:val="0"/>
            <w:vAlign w:val="center"/>
          </w:tcPr>
          <w:p w14:paraId="68500C36">
            <w:pPr>
              <w:shd w:val="clear"/>
              <w:bidi w:val="0"/>
              <w:rPr>
                <w:rFonts w:hint="eastAsia" w:ascii="宋体" w:hAnsi="宋体" w:eastAsia="宋体" w:cs="宋体"/>
                <w:color w:val="auto"/>
                <w:sz w:val="21"/>
                <w:szCs w:val="21"/>
                <w:highlight w:val="none"/>
              </w:rPr>
            </w:pPr>
          </w:p>
        </w:tc>
        <w:tc>
          <w:tcPr>
            <w:tcW w:w="1594" w:type="dxa"/>
            <w:tcBorders>
              <w:left w:val="nil"/>
              <w:right w:val="single" w:color="000000" w:sz="4" w:space="0"/>
            </w:tcBorders>
            <w:shd w:val="clear" w:color="auto" w:fill="auto"/>
            <w:noWrap w:val="0"/>
            <w:vAlign w:val="center"/>
          </w:tcPr>
          <w:p w14:paraId="1C66F1FD">
            <w:pPr>
              <w:keepNext w:val="0"/>
              <w:keepLines w:val="0"/>
              <w:widowControl/>
              <w:suppressLineNumbers w:val="0"/>
              <w:shd w:val="clear"/>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实施方案</w:t>
            </w:r>
          </w:p>
        </w:tc>
        <w:tc>
          <w:tcPr>
            <w:tcW w:w="6150" w:type="dxa"/>
            <w:tcBorders>
              <w:top w:val="single" w:color="000000" w:sz="4" w:space="0"/>
              <w:left w:val="nil"/>
              <w:right w:val="single" w:color="000000" w:sz="4" w:space="0"/>
            </w:tcBorders>
            <w:shd w:val="clear" w:color="auto" w:fill="auto"/>
            <w:noWrap w:val="0"/>
            <w:vAlign w:val="center"/>
          </w:tcPr>
          <w:p w14:paraId="52238E61">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投标人提供针对本项目的实施方案： 至少包含 1.服务组织；2.服务计划；3.供货、安装步骤；4.文明施工措施。每提供1项得1分，最多得4分，不提供不得分。</w:t>
            </w:r>
          </w:p>
        </w:tc>
        <w:tc>
          <w:tcPr>
            <w:tcW w:w="874" w:type="dxa"/>
            <w:tcBorders>
              <w:top w:val="single" w:color="000000" w:sz="4" w:space="0"/>
              <w:left w:val="nil"/>
              <w:bottom w:val="single" w:color="000000" w:sz="4" w:space="0"/>
              <w:right w:val="single" w:color="000000" w:sz="4" w:space="0"/>
            </w:tcBorders>
            <w:noWrap w:val="0"/>
            <w:vAlign w:val="center"/>
          </w:tcPr>
          <w:p w14:paraId="6651BD97">
            <w:pPr>
              <w:shd w:val="clear"/>
              <w:jc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4分</w:t>
            </w:r>
          </w:p>
        </w:tc>
      </w:tr>
      <w:tr w14:paraId="0EF98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7" w:hRule="atLeast"/>
          <w:jc w:val="center"/>
        </w:trPr>
        <w:tc>
          <w:tcPr>
            <w:tcW w:w="983" w:type="dxa"/>
            <w:vMerge w:val="continue"/>
            <w:tcBorders>
              <w:left w:val="single" w:color="auto" w:sz="4" w:space="0"/>
              <w:right w:val="single" w:color="000000" w:sz="4" w:space="0"/>
            </w:tcBorders>
            <w:noWrap w:val="0"/>
            <w:vAlign w:val="center"/>
          </w:tcPr>
          <w:p w14:paraId="34EFC61E">
            <w:pPr>
              <w:shd w:val="clear"/>
              <w:bidi w:val="0"/>
              <w:rPr>
                <w:rFonts w:hint="eastAsia" w:ascii="宋体" w:hAnsi="宋体" w:eastAsia="宋体" w:cs="宋体"/>
                <w:color w:val="auto"/>
                <w:sz w:val="21"/>
                <w:szCs w:val="21"/>
                <w:highlight w:val="none"/>
              </w:rPr>
            </w:pPr>
          </w:p>
        </w:tc>
        <w:tc>
          <w:tcPr>
            <w:tcW w:w="1594" w:type="dxa"/>
            <w:tcBorders>
              <w:left w:val="nil"/>
              <w:right w:val="single" w:color="000000" w:sz="4" w:space="0"/>
            </w:tcBorders>
            <w:shd w:val="clear" w:color="auto" w:fill="auto"/>
            <w:noWrap w:val="0"/>
            <w:vAlign w:val="center"/>
          </w:tcPr>
          <w:p w14:paraId="6467B8AB">
            <w:pPr>
              <w:keepNext w:val="0"/>
              <w:keepLines w:val="0"/>
              <w:widowControl/>
              <w:suppressLineNumbers w:val="0"/>
              <w:shd w:val="clear"/>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安全措施方案</w:t>
            </w:r>
          </w:p>
        </w:tc>
        <w:tc>
          <w:tcPr>
            <w:tcW w:w="6150" w:type="dxa"/>
            <w:tcBorders>
              <w:top w:val="single" w:color="000000" w:sz="4" w:space="0"/>
              <w:left w:val="nil"/>
              <w:right w:val="single" w:color="000000" w:sz="4" w:space="0"/>
            </w:tcBorders>
            <w:shd w:val="clear" w:color="auto" w:fill="auto"/>
            <w:noWrap w:val="0"/>
            <w:vAlign w:val="center"/>
          </w:tcPr>
          <w:p w14:paraId="4A6AF70A">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投标人提供针对本项目的安全措施方案。 至少包括</w:t>
            </w:r>
          </w:p>
          <w:p w14:paraId="3C66CB95">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1.人员安全防范措施； 2.配电及防火安全安全防范措施。</w:t>
            </w:r>
          </w:p>
          <w:p w14:paraId="66A5E53C">
            <w:pPr>
              <w:keepNext w:val="0"/>
              <w:keepLines w:val="0"/>
              <w:widowControl/>
              <w:suppressLineNumbers w:val="0"/>
              <w:shd w:val="clear"/>
              <w:jc w:val="left"/>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每提供1项得2分，最多得4分，不提供不得分。</w:t>
            </w:r>
          </w:p>
        </w:tc>
        <w:tc>
          <w:tcPr>
            <w:tcW w:w="874" w:type="dxa"/>
            <w:tcBorders>
              <w:top w:val="single" w:color="000000" w:sz="4" w:space="0"/>
              <w:left w:val="nil"/>
              <w:bottom w:val="single" w:color="000000" w:sz="4" w:space="0"/>
              <w:right w:val="single" w:color="000000" w:sz="4" w:space="0"/>
            </w:tcBorders>
            <w:noWrap w:val="0"/>
            <w:vAlign w:val="center"/>
          </w:tcPr>
          <w:p w14:paraId="4ACD4063">
            <w:pPr>
              <w:shd w:val="clea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4分</w:t>
            </w:r>
          </w:p>
        </w:tc>
      </w:tr>
      <w:tr w14:paraId="5DF7A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atLeast"/>
          <w:jc w:val="center"/>
        </w:trPr>
        <w:tc>
          <w:tcPr>
            <w:tcW w:w="983" w:type="dxa"/>
            <w:tcBorders>
              <w:top w:val="single" w:color="000000" w:sz="4" w:space="0"/>
              <w:left w:val="single" w:color="auto" w:sz="4" w:space="0"/>
              <w:bottom w:val="single" w:color="000000" w:sz="4" w:space="0"/>
              <w:right w:val="single" w:color="000000" w:sz="4" w:space="0"/>
            </w:tcBorders>
            <w:noWrap w:val="0"/>
            <w:vAlign w:val="center"/>
          </w:tcPr>
          <w:p w14:paraId="7F5136E4">
            <w:pPr>
              <w:shd w:val="clear"/>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价格因素</w:t>
            </w:r>
          </w:p>
        </w:tc>
        <w:tc>
          <w:tcPr>
            <w:tcW w:w="1594" w:type="dxa"/>
            <w:tcBorders>
              <w:top w:val="single" w:color="000000" w:sz="4" w:space="0"/>
              <w:left w:val="nil"/>
              <w:bottom w:val="single" w:color="000000" w:sz="4" w:space="0"/>
              <w:right w:val="single" w:color="000000" w:sz="4" w:space="0"/>
            </w:tcBorders>
            <w:noWrap w:val="0"/>
            <w:vAlign w:val="center"/>
          </w:tcPr>
          <w:p w14:paraId="7F720786">
            <w:pPr>
              <w:shd w:val="clear"/>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投标报价</w:t>
            </w:r>
          </w:p>
        </w:tc>
        <w:tc>
          <w:tcPr>
            <w:tcW w:w="6150" w:type="dxa"/>
            <w:tcBorders>
              <w:top w:val="single" w:color="000000" w:sz="4" w:space="0"/>
              <w:left w:val="nil"/>
              <w:bottom w:val="single" w:color="000000" w:sz="4" w:space="0"/>
              <w:right w:val="single" w:color="000000" w:sz="4" w:space="0"/>
            </w:tcBorders>
            <w:noWrap w:val="0"/>
            <w:vAlign w:val="top"/>
          </w:tcPr>
          <w:p w14:paraId="384CC553">
            <w:pPr>
              <w:numPr>
                <w:ilvl w:val="0"/>
                <w:numId w:val="0"/>
              </w:numPr>
              <w:shd w:val="clear"/>
              <w:spacing w:line="320" w:lineRule="exact"/>
              <w:ind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满足竞争性磋商文件要求且投标价格最低的投标报价为评标基准价，其价格分为满分。其他投标人的价格分统一按照下列公式计算：投标报价得分=(评标基准价／投标报价)×30</w:t>
            </w:r>
          </w:p>
          <w:p w14:paraId="47ADC0BF">
            <w:pPr>
              <w:numPr>
                <w:ilvl w:val="0"/>
                <w:numId w:val="0"/>
              </w:numPr>
              <w:shd w:val="clear"/>
              <w:spacing w:line="320" w:lineRule="exact"/>
              <w:ind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超过采购预算的投标报价将否决其投标。</w:t>
            </w:r>
          </w:p>
          <w:p w14:paraId="68A0DA12">
            <w:pPr>
              <w:numPr>
                <w:ilvl w:val="0"/>
                <w:numId w:val="0"/>
              </w:numPr>
              <w:shd w:val="clear"/>
              <w:spacing w:line="320" w:lineRule="exact"/>
              <w:ind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计算结果保留小数点后两位，第三位四舍五入。</w:t>
            </w:r>
          </w:p>
          <w:p w14:paraId="01FBDE59">
            <w:pPr>
              <w:numPr>
                <w:ilvl w:val="0"/>
                <w:numId w:val="0"/>
              </w:numPr>
              <w:shd w:val="clear"/>
              <w:rPr>
                <w:rFonts w:hint="eastAsia" w:ascii="宋体" w:hAnsi="宋体" w:eastAsia="宋体" w:cs="宋体"/>
                <w:color w:val="auto"/>
                <w:sz w:val="21"/>
                <w:szCs w:val="21"/>
                <w:highlight w:val="none"/>
              </w:rPr>
            </w:pPr>
            <w:r>
              <w:rPr>
                <w:rFonts w:hint="eastAsia" w:ascii="宋体" w:hAnsi="宋体" w:eastAsia="宋体" w:cs="宋体"/>
                <w:color w:val="auto"/>
                <w:kern w:val="2"/>
                <w:sz w:val="21"/>
                <w:szCs w:val="21"/>
                <w:highlight w:val="none"/>
                <w:lang w:val="en-US" w:eastAsia="zh-CN" w:bidi="ar-SA"/>
              </w:rPr>
              <w:t>1、</w:t>
            </w:r>
            <w:r>
              <w:rPr>
                <w:rFonts w:hint="eastAsia" w:ascii="宋体" w:hAnsi="宋体" w:eastAsia="宋体" w:cs="宋体"/>
                <w:color w:val="auto"/>
                <w:sz w:val="21"/>
                <w:szCs w:val="21"/>
                <w:highlight w:val="none"/>
              </w:rPr>
              <w:t>本采购项目非专门面向中小企业、监狱企业、残疾人福利性单位采购，依据《财政部关于进一步加大政府采购支持中小企业力度的通知》财库〔2022〕19号规定本项目对小型和微型企业的价格给予10%的扣除，用扣除后的价格参与评审，但参加本次采购活动的中小企业应当提供本办法规定的《中小企业声明函》。供应商提供的货物既有中小企业制造货物，也有大型企业制造货物的，不享受本办法规定的中小企业扶持政策。依据《财政部司法部关于政府采购支持监狱企业发展有关问题的通知》及《关于促进残疾人就业政府采购政策的通知》文件规定，在政府采购活动中，监狱企业、残疾人福利性单视同小型、微型企业。</w:t>
            </w:r>
          </w:p>
          <w:p w14:paraId="0C2528F8">
            <w:pPr>
              <w:numPr>
                <w:ilvl w:val="0"/>
                <w:numId w:val="0"/>
              </w:numPr>
              <w:shd w:val="clea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政府采购活动中既有本国产品又有非本国产品参与竞争的，依法对本国产品给予价格评审优惠，对本国产品的报价给予20%的价格扣除，用扣除后的价格参与评审。（本项目采购本国产品，供应商不享受价格优惠）</w:t>
            </w:r>
          </w:p>
          <w:p w14:paraId="61274313">
            <w:pPr>
              <w:numPr>
                <w:ilvl w:val="0"/>
                <w:numId w:val="0"/>
              </w:numPr>
              <w:shd w:val="clear"/>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5B2D417">
            <w:pPr>
              <w:numPr>
                <w:ilvl w:val="0"/>
                <w:numId w:val="0"/>
              </w:numPr>
              <w:shd w:val="clear"/>
              <w:spacing w:line="320" w:lineRule="exact"/>
              <w:ind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4"/>
                <w:sz w:val="21"/>
                <w:szCs w:val="21"/>
                <w:highlight w:val="none"/>
              </w:rPr>
              <w:t>计算结果保留小数点后两位，第三位四舍五入。</w:t>
            </w:r>
          </w:p>
        </w:tc>
        <w:tc>
          <w:tcPr>
            <w:tcW w:w="874" w:type="dxa"/>
            <w:tcBorders>
              <w:top w:val="single" w:color="000000" w:sz="4" w:space="0"/>
              <w:left w:val="nil"/>
              <w:bottom w:val="single" w:color="000000" w:sz="4" w:space="0"/>
              <w:right w:val="single" w:color="000000" w:sz="4" w:space="0"/>
            </w:tcBorders>
            <w:noWrap w:val="0"/>
            <w:vAlign w:val="center"/>
          </w:tcPr>
          <w:p w14:paraId="31D3E0C2">
            <w:pPr>
              <w:shd w:val="clear"/>
              <w:bidi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w:t>
            </w:r>
          </w:p>
        </w:tc>
      </w:tr>
    </w:tbl>
    <w:p w14:paraId="1304AE19">
      <w:pPr>
        <w:shd w:val="clea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1.评标方法</w:t>
      </w:r>
    </w:p>
    <w:p w14:paraId="2EB3C63E">
      <w:pPr>
        <w:shd w:val="clear"/>
        <w:autoSpaceDE w:val="0"/>
        <w:autoSpaceDN w:val="0"/>
        <w:adjustRightInd w:val="0"/>
        <w:spacing w:line="360" w:lineRule="auto"/>
        <w:ind w:firstLine="411" w:firstLineChars="196"/>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本次评标采用综合评估法。磋商小组对满足</w:t>
      </w:r>
      <w:r>
        <w:rPr>
          <w:rFonts w:hint="eastAsia" w:ascii="宋体" w:hAnsi="宋体" w:eastAsia="宋体" w:cs="宋体"/>
          <w:color w:val="auto"/>
          <w:szCs w:val="21"/>
          <w:highlight w:val="none"/>
          <w:lang w:val="en-US" w:eastAsia="zh-CN"/>
        </w:rPr>
        <w:t>竞争性磋商</w:t>
      </w:r>
      <w:r>
        <w:rPr>
          <w:rFonts w:hint="eastAsia" w:ascii="宋体" w:hAnsi="宋体" w:eastAsia="宋体" w:cs="宋体"/>
          <w:color w:val="auto"/>
          <w:szCs w:val="21"/>
          <w:highlight w:val="none"/>
        </w:rPr>
        <w:t>文件实质性要求的</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文件，按照本章规定的评分标准进行打分，并按得分由高到低顺序推荐中标候选人，但投标报价低于其成本的除外。综合评分相等时，以投标报价低的优先；投标报价也相等的，以</w:t>
      </w:r>
      <w:r>
        <w:rPr>
          <w:rFonts w:hint="eastAsia" w:ascii="宋体" w:hAnsi="宋体" w:eastAsia="宋体" w:cs="宋体"/>
          <w:color w:val="auto"/>
          <w:szCs w:val="21"/>
          <w:highlight w:val="none"/>
          <w:lang w:val="en-US" w:eastAsia="zh-CN"/>
        </w:rPr>
        <w:t>技术方案</w:t>
      </w:r>
      <w:r>
        <w:rPr>
          <w:rFonts w:hint="eastAsia" w:ascii="宋体" w:hAnsi="宋体" w:eastAsia="宋体" w:cs="宋体"/>
          <w:color w:val="auto"/>
          <w:szCs w:val="21"/>
          <w:highlight w:val="none"/>
        </w:rPr>
        <w:t>得分高的优先，</w:t>
      </w:r>
      <w:r>
        <w:rPr>
          <w:rFonts w:hint="eastAsia" w:ascii="宋体" w:hAnsi="宋体" w:eastAsia="宋体" w:cs="宋体"/>
          <w:color w:val="auto"/>
          <w:szCs w:val="21"/>
          <w:highlight w:val="none"/>
          <w:lang w:val="en-US" w:eastAsia="zh-CN"/>
        </w:rPr>
        <w:t>技术方案</w:t>
      </w:r>
      <w:r>
        <w:rPr>
          <w:rFonts w:hint="eastAsia" w:ascii="宋体" w:hAnsi="宋体" w:eastAsia="宋体" w:cs="宋体"/>
          <w:color w:val="auto"/>
          <w:szCs w:val="21"/>
          <w:highlight w:val="none"/>
        </w:rPr>
        <w:t>得分也相等的，由评标委员会确定。</w:t>
      </w:r>
    </w:p>
    <w:p w14:paraId="26CEFAB3">
      <w:pPr>
        <w:pStyle w:val="23"/>
        <w:shd w:val="clea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使用综合评分法的采购项目，提供相同品牌产品（相同品牌产品特指核心产品品牌相同）且通过资格审查、符合性审查的不同投标人参加同一合同项下投标的，按一家投标人计算，评审后得分最高的同品牌投标人获得中标人推荐资格；评审得分相同的，由评标委员会采取随机抽取方式确定，其他同品牌投标人不作为中标候选人。</w:t>
      </w:r>
    </w:p>
    <w:p w14:paraId="1652EC80">
      <w:pPr>
        <w:pStyle w:val="23"/>
        <w:shd w:val="clear"/>
        <w:spacing w:line="360" w:lineRule="auto"/>
        <w:ind w:firstLine="420" w:firstLineChars="20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非单一产品采购项目，采购人根据采购项目技术构成、产品价格比重等合理确定核心产品，并在竞争性磋商文件中载明。多家投标人提供的核心产品品牌相同的，按前款规定处理。</w:t>
      </w:r>
    </w:p>
    <w:p w14:paraId="4890E0B0">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2.评审标准</w:t>
      </w:r>
    </w:p>
    <w:p w14:paraId="037897B9">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2.1初步评审标准</w:t>
      </w:r>
    </w:p>
    <w:p w14:paraId="365B2B74">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2.1.1 资格评审标准：见磋商评审前附表。</w:t>
      </w:r>
    </w:p>
    <w:p w14:paraId="78710190">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2.1.2 符合性评审标准：见磋商评审前附表。</w:t>
      </w:r>
    </w:p>
    <w:p w14:paraId="4CD56E13">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 分值构成与评分标准</w:t>
      </w:r>
    </w:p>
    <w:p w14:paraId="4905D2FC">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2.2.1 分值构成</w:t>
      </w:r>
    </w:p>
    <w:p w14:paraId="45C22E41">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技术方案</w:t>
      </w:r>
      <w:r>
        <w:rPr>
          <w:rFonts w:hint="eastAsia" w:ascii="宋体" w:hAnsi="宋体" w:eastAsia="宋体" w:cs="宋体"/>
          <w:color w:val="auto"/>
          <w:szCs w:val="21"/>
          <w:highlight w:val="none"/>
        </w:rPr>
        <w:t>：见磋商评审前附表；</w:t>
      </w:r>
    </w:p>
    <w:p w14:paraId="7D7DB5BD">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(2)企业业绩及实力：见磋商评审前附表；</w:t>
      </w:r>
    </w:p>
    <w:p w14:paraId="56030744">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(3)磋商报价：见磋商评审前附表；</w:t>
      </w:r>
    </w:p>
    <w:p w14:paraId="32ED2A8D">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2.2.2 磋商基准价计算</w:t>
      </w:r>
    </w:p>
    <w:p w14:paraId="714C7976">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磋商基准价计算方法：见磋商评审前附表。</w:t>
      </w:r>
    </w:p>
    <w:p w14:paraId="4B08BE8E">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2.2.3 投标报价的偏差率计算</w:t>
      </w:r>
    </w:p>
    <w:p w14:paraId="55892DE5">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投标报价的偏差率计算公式：见磋商评审前附表。</w:t>
      </w:r>
    </w:p>
    <w:p w14:paraId="53F3B680">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2.2.4 评分标准</w:t>
      </w:r>
    </w:p>
    <w:p w14:paraId="3C88B4AB">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技术方案</w:t>
      </w:r>
      <w:r>
        <w:rPr>
          <w:rFonts w:hint="eastAsia" w:ascii="宋体" w:hAnsi="宋体" w:eastAsia="宋体" w:cs="宋体"/>
          <w:color w:val="auto"/>
          <w:szCs w:val="21"/>
          <w:highlight w:val="none"/>
        </w:rPr>
        <w:t>评分标准：见磋商评审前附表；</w:t>
      </w:r>
    </w:p>
    <w:p w14:paraId="05CE2F6C">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(2)企业业绩及实力评分标准：见磋商评审前附表；</w:t>
      </w:r>
    </w:p>
    <w:p w14:paraId="04FED1C9">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(3)投标报价评分标准：见磋商评审前附表；</w:t>
      </w:r>
    </w:p>
    <w:p w14:paraId="6A08A76E">
      <w:pPr>
        <w:pStyle w:val="23"/>
        <w:shd w:val="clear"/>
        <w:rPr>
          <w:rFonts w:hint="default" w:ascii="宋体" w:hAnsi="宋体" w:eastAsia="宋体" w:cs="宋体"/>
          <w:b/>
          <w:bCs/>
          <w:color w:val="auto"/>
          <w:kern w:val="2"/>
          <w:sz w:val="21"/>
          <w:szCs w:val="21"/>
          <w:highlight w:val="none"/>
          <w:lang w:val="en-US" w:eastAsia="zh-CN" w:bidi="ar-SA"/>
        </w:rPr>
      </w:pPr>
      <w:bookmarkStart w:id="48" w:name="_Toc465069568"/>
      <w:r>
        <w:rPr>
          <w:rFonts w:hint="eastAsia" w:ascii="宋体" w:hAnsi="宋体" w:eastAsia="宋体" w:cs="宋体"/>
          <w:b/>
          <w:bCs/>
          <w:color w:val="auto"/>
          <w:kern w:val="2"/>
          <w:sz w:val="21"/>
          <w:szCs w:val="21"/>
          <w:highlight w:val="none"/>
          <w:lang w:val="en-US" w:eastAsia="zh-CN" w:bidi="ar-SA"/>
        </w:rPr>
        <w:t>2.2.5政府采购价格优惠政策</w:t>
      </w:r>
    </w:p>
    <w:p w14:paraId="0CE401A8">
      <w:pPr>
        <w:shd w:val="clear"/>
        <w:spacing w:line="400" w:lineRule="exact"/>
        <w:ind w:firstLine="420" w:firstLineChars="200"/>
        <w:rPr>
          <w:rFonts w:hint="eastAsia" w:ascii="宋体" w:hAnsi="宋体" w:cs="宋体"/>
          <w:color w:val="auto"/>
          <w:szCs w:val="21"/>
          <w:highlight w:val="none"/>
          <w:lang w:val="zh-CN"/>
        </w:rPr>
      </w:pPr>
      <w:r>
        <w:rPr>
          <w:rFonts w:hint="eastAsia" w:ascii="宋体" w:hAnsi="宋体" w:cs="宋体"/>
          <w:color w:val="auto"/>
          <w:szCs w:val="21"/>
          <w:highlight w:val="none"/>
          <w:lang w:val="en-US" w:eastAsia="zh-CN"/>
        </w:rPr>
        <w:t>注：</w:t>
      </w:r>
      <w:r>
        <w:rPr>
          <w:rFonts w:hint="eastAsia" w:ascii="宋体" w:hAnsi="宋体" w:cs="宋体"/>
          <w:color w:val="auto"/>
          <w:szCs w:val="21"/>
          <w:highlight w:val="none"/>
        </w:rPr>
        <w:t>本项目为</w:t>
      </w:r>
      <w:r>
        <w:rPr>
          <w:rFonts w:hint="eastAsia" w:ascii="宋体" w:hAnsi="宋体" w:cs="宋体"/>
          <w:color w:val="auto"/>
          <w:szCs w:val="21"/>
          <w:highlight w:val="none"/>
          <w:lang w:val="en-US" w:eastAsia="zh-CN"/>
        </w:rPr>
        <w:t>非</w:t>
      </w:r>
      <w:r>
        <w:rPr>
          <w:rFonts w:hint="eastAsia" w:ascii="宋体" w:hAnsi="宋体" w:cs="宋体"/>
          <w:color w:val="auto"/>
          <w:szCs w:val="21"/>
          <w:highlight w:val="none"/>
        </w:rPr>
        <w:t>专门面向中小企业的采购项目</w:t>
      </w:r>
      <w:r>
        <w:rPr>
          <w:rFonts w:hint="eastAsia" w:ascii="宋体" w:hAnsi="宋体" w:cs="宋体"/>
          <w:color w:val="auto"/>
          <w:szCs w:val="21"/>
          <w:highlight w:val="none"/>
          <w:lang w:eastAsia="zh-CN"/>
        </w:rPr>
        <w:t>，</w:t>
      </w:r>
      <w:r>
        <w:rPr>
          <w:rFonts w:hint="eastAsia" w:ascii="宋体" w:hAnsi="宋体" w:cs="宋体"/>
          <w:color w:val="auto"/>
          <w:szCs w:val="21"/>
          <w:highlight w:val="none"/>
          <w:lang w:val="zh-CN"/>
        </w:rPr>
        <w:t>依据财政部</w:t>
      </w:r>
      <w:r>
        <w:rPr>
          <w:rFonts w:hint="eastAsia" w:ascii="宋体" w:hAnsi="宋体" w:cs="宋体"/>
          <w:color w:val="auto"/>
          <w:szCs w:val="21"/>
          <w:highlight w:val="none"/>
        </w:rPr>
        <w:t>《关于进一步加大政府采购支持中小企业力度的通知》财库〔2022〕19号</w:t>
      </w:r>
      <w:r>
        <w:rPr>
          <w:rFonts w:hint="eastAsia" w:ascii="宋体" w:hAnsi="宋体" w:cs="宋体"/>
          <w:color w:val="auto"/>
          <w:szCs w:val="21"/>
          <w:highlight w:val="none"/>
          <w:lang w:val="zh-CN"/>
        </w:rPr>
        <w:t>规定本项目对小型和微型企业产品的价格给予</w:t>
      </w:r>
      <w:r>
        <w:rPr>
          <w:rFonts w:hint="eastAsia" w:ascii="宋体" w:hAnsi="宋体" w:cs="宋体"/>
          <w:color w:val="auto"/>
          <w:szCs w:val="21"/>
          <w:highlight w:val="none"/>
        </w:rPr>
        <w:t>10</w:t>
      </w:r>
      <w:r>
        <w:rPr>
          <w:rFonts w:hint="eastAsia" w:ascii="宋体" w:hAnsi="宋体" w:cs="宋体"/>
          <w:color w:val="auto"/>
          <w:szCs w:val="21"/>
          <w:highlight w:val="none"/>
          <w:lang w:val="zh-CN"/>
        </w:rPr>
        <w:t>%的扣除，用扣除后的价格参与评审，但参加本次采购活动的中小企业应当提供本办法规定的《中小企业声明函》。小型、微型企业提供中型企业制造的货物的，视同为中型企业。在货物采购项目中，供应商提供的货物既有中小企业制造货物，也有大型企业制造货物的，不享受本办法规定的中小企业扶持政策。</w:t>
      </w:r>
    </w:p>
    <w:p w14:paraId="211B818E">
      <w:pPr>
        <w:shd w:val="clea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依据《财政部司法部关于政府采购支持监狱企业发展有关问题的通知》</w:t>
      </w:r>
      <w:r>
        <w:rPr>
          <w:rFonts w:hint="eastAsia" w:ascii="宋体" w:hAnsi="宋体" w:cs="宋体"/>
          <w:color w:val="auto"/>
          <w:szCs w:val="21"/>
          <w:highlight w:val="none"/>
          <w:lang w:val="en-US" w:eastAsia="zh-CN"/>
        </w:rPr>
        <w:t>及</w:t>
      </w:r>
      <w:r>
        <w:rPr>
          <w:rFonts w:hint="eastAsia" w:ascii="宋体" w:hAnsi="宋体" w:cs="宋体"/>
          <w:color w:val="auto"/>
          <w:szCs w:val="21"/>
          <w:highlight w:val="none"/>
        </w:rPr>
        <w:t>《关于促进残疾人就业政府采购政策的通知》文件规定，在政府采购活动中，监狱企业</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残疾人福利性单位</w:t>
      </w:r>
      <w:r>
        <w:rPr>
          <w:rFonts w:hint="eastAsia" w:ascii="宋体" w:hAnsi="宋体" w:cs="宋体"/>
          <w:color w:val="auto"/>
          <w:szCs w:val="21"/>
          <w:highlight w:val="none"/>
        </w:rPr>
        <w:t>视同小型、微型企业，享受预留份额、评审中价格扣除等政府采购促进中小企业发展的政府采购政策。</w:t>
      </w:r>
    </w:p>
    <w:p w14:paraId="55AF15B9">
      <w:pPr>
        <w:shd w:val="clear"/>
        <w:autoSpaceDE w:val="0"/>
        <w:autoSpaceDN w:val="0"/>
        <w:adjustRightInd w:val="0"/>
        <w:spacing w:line="400" w:lineRule="exact"/>
        <w:ind w:firstLine="420"/>
        <w:rPr>
          <w:rFonts w:hint="eastAsia"/>
          <w:color w:val="auto"/>
          <w:szCs w:val="21"/>
          <w:highlight w:val="none"/>
        </w:rPr>
      </w:pPr>
      <w:r>
        <w:rPr>
          <w:rFonts w:hint="eastAsia"/>
          <w:color w:val="auto"/>
          <w:szCs w:val="21"/>
          <w:highlight w:val="none"/>
          <w:lang w:val="zh-CN"/>
        </w:rPr>
        <w:t>中小企业认定标准：国家统计局关于印发《统计上大中小微型企业划分办法（2017）》的通知</w:t>
      </w:r>
      <w:r>
        <w:rPr>
          <w:rFonts w:hint="eastAsia"/>
          <w:color w:val="auto"/>
          <w:szCs w:val="21"/>
          <w:highlight w:val="none"/>
        </w:rPr>
        <w:t>。</w:t>
      </w:r>
    </w:p>
    <w:p w14:paraId="2F883BE4">
      <w:pPr>
        <w:shd w:val="clear"/>
        <w:autoSpaceDE w:val="0"/>
        <w:autoSpaceDN w:val="0"/>
        <w:adjustRightInd w:val="0"/>
        <w:spacing w:line="400" w:lineRule="exact"/>
        <w:ind w:firstLine="420"/>
        <w:rPr>
          <w:rFonts w:hint="eastAsia" w:ascii="宋体" w:hAnsi="宋体" w:cs="宋体"/>
          <w:color w:val="auto"/>
          <w:szCs w:val="21"/>
          <w:highlight w:val="none"/>
          <w:lang w:val="zh-CN"/>
        </w:rPr>
      </w:pPr>
      <w:r>
        <w:rPr>
          <w:rFonts w:hint="eastAsia" w:ascii="宋体" w:hAnsi="宋体" w:cs="宋体"/>
          <w:b/>
          <w:bCs/>
          <w:color w:val="auto"/>
          <w:szCs w:val="21"/>
          <w:highlight w:val="none"/>
          <w:lang w:val="zh-CN"/>
        </w:rPr>
        <w:t>纳入节能产品政府采购清单的投标产品及纳入</w:t>
      </w:r>
      <w:r>
        <w:rPr>
          <w:rFonts w:hint="eastAsia" w:ascii="宋体" w:hAnsi="宋体" w:cs="宋体"/>
          <w:b/>
          <w:bCs/>
          <w:color w:val="auto"/>
          <w:szCs w:val="21"/>
          <w:highlight w:val="none"/>
        </w:rPr>
        <w:t>环境标志产品政府采购品目清单</w:t>
      </w:r>
      <w:r>
        <w:rPr>
          <w:rFonts w:hint="eastAsia" w:ascii="宋体" w:hAnsi="宋体" w:cs="宋体"/>
          <w:b/>
          <w:bCs/>
          <w:color w:val="auto"/>
          <w:szCs w:val="21"/>
          <w:highlight w:val="none"/>
          <w:lang w:val="zh-CN"/>
        </w:rPr>
        <w:t>的投标产品的证明材料：（</w:t>
      </w:r>
      <w:r>
        <w:rPr>
          <w:rFonts w:hint="eastAsia" w:ascii="宋体" w:hAnsi="宋体" w:cs="宋体"/>
          <w:b/>
          <w:bCs/>
          <w:color w:val="auto"/>
          <w:szCs w:val="21"/>
          <w:highlight w:val="none"/>
          <w:lang w:val="en-US" w:eastAsia="zh-CN"/>
        </w:rPr>
        <w:t>提供节能产品、环境标志产品的请认真填写此表</w:t>
      </w:r>
      <w:r>
        <w:rPr>
          <w:rFonts w:hint="eastAsia" w:ascii="宋体" w:hAnsi="宋体" w:cs="宋体"/>
          <w:b/>
          <w:bCs/>
          <w:color w:val="auto"/>
          <w:szCs w:val="21"/>
          <w:highlight w:val="none"/>
          <w:lang w:val="zh-CN"/>
        </w:rPr>
        <w:t>）</w:t>
      </w:r>
    </w:p>
    <w:tbl>
      <w:tblPr>
        <w:tblStyle w:val="61"/>
        <w:tblpPr w:leftFromText="180" w:rightFromText="180" w:vertAnchor="text" w:horzAnchor="page" w:tblpX="1896" w:tblpY="3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0"/>
        <w:gridCol w:w="1420"/>
        <w:gridCol w:w="1730"/>
        <w:gridCol w:w="1108"/>
        <w:gridCol w:w="1792"/>
        <w:gridCol w:w="1242"/>
      </w:tblGrid>
      <w:tr w14:paraId="35DB2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420" w:type="dxa"/>
            <w:noWrap w:val="0"/>
            <w:vAlign w:val="top"/>
          </w:tcPr>
          <w:p w14:paraId="4D39667F">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项目名称</w:t>
            </w:r>
          </w:p>
        </w:tc>
        <w:tc>
          <w:tcPr>
            <w:tcW w:w="1420" w:type="dxa"/>
            <w:noWrap w:val="0"/>
            <w:vAlign w:val="top"/>
          </w:tcPr>
          <w:p w14:paraId="39DE1D18">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项目编码</w:t>
            </w:r>
          </w:p>
        </w:tc>
        <w:tc>
          <w:tcPr>
            <w:tcW w:w="1730" w:type="dxa"/>
            <w:noWrap w:val="0"/>
            <w:vAlign w:val="top"/>
          </w:tcPr>
          <w:p w14:paraId="041EC191">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是否纳入节能产品政府采购清单的投标产品</w:t>
            </w:r>
          </w:p>
        </w:tc>
        <w:tc>
          <w:tcPr>
            <w:tcW w:w="1108" w:type="dxa"/>
            <w:noWrap w:val="0"/>
            <w:vAlign w:val="top"/>
          </w:tcPr>
          <w:p w14:paraId="422AA68C">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金额（元）</w:t>
            </w:r>
          </w:p>
        </w:tc>
        <w:tc>
          <w:tcPr>
            <w:tcW w:w="1792" w:type="dxa"/>
            <w:noWrap w:val="0"/>
            <w:vAlign w:val="top"/>
          </w:tcPr>
          <w:p w14:paraId="2B3EFB32">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是否环境标志产品政府采购品目清单的投标产品</w:t>
            </w:r>
          </w:p>
        </w:tc>
        <w:tc>
          <w:tcPr>
            <w:tcW w:w="1242" w:type="dxa"/>
            <w:noWrap w:val="0"/>
            <w:vAlign w:val="top"/>
          </w:tcPr>
          <w:p w14:paraId="70BA9BF1">
            <w:pPr>
              <w:pStyle w:val="15"/>
              <w:shd w:val="clear"/>
              <w:ind w:firstLine="0" w:firstLineChars="0"/>
              <w:rPr>
                <w:rFonts w:hint="eastAsia" w:ascii="宋体" w:hAnsi="宋体" w:cs="宋体"/>
                <w:color w:val="auto"/>
                <w:szCs w:val="21"/>
                <w:highlight w:val="none"/>
                <w:lang w:val="zh-CN"/>
              </w:rPr>
            </w:pPr>
            <w:r>
              <w:rPr>
                <w:rFonts w:hint="eastAsia" w:ascii="宋体" w:hAnsi="宋体" w:cs="宋体"/>
                <w:color w:val="auto"/>
                <w:szCs w:val="21"/>
                <w:highlight w:val="none"/>
                <w:lang w:val="zh-CN"/>
              </w:rPr>
              <w:t>金额（元）</w:t>
            </w:r>
          </w:p>
        </w:tc>
      </w:tr>
      <w:tr w14:paraId="4655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420" w:type="dxa"/>
            <w:noWrap w:val="0"/>
            <w:vAlign w:val="top"/>
          </w:tcPr>
          <w:p w14:paraId="4367CD85">
            <w:pPr>
              <w:pStyle w:val="15"/>
              <w:shd w:val="clear"/>
              <w:rPr>
                <w:rFonts w:hint="eastAsia" w:ascii="宋体" w:hAnsi="宋体" w:cs="宋体"/>
                <w:color w:val="auto"/>
                <w:szCs w:val="21"/>
                <w:highlight w:val="none"/>
              </w:rPr>
            </w:pPr>
          </w:p>
        </w:tc>
        <w:tc>
          <w:tcPr>
            <w:tcW w:w="1420" w:type="dxa"/>
            <w:noWrap w:val="0"/>
            <w:vAlign w:val="top"/>
          </w:tcPr>
          <w:p w14:paraId="5962FC4C">
            <w:pPr>
              <w:pStyle w:val="15"/>
              <w:shd w:val="clear"/>
              <w:rPr>
                <w:rFonts w:hint="eastAsia" w:ascii="宋体" w:hAnsi="宋体" w:cs="宋体"/>
                <w:color w:val="auto"/>
                <w:szCs w:val="21"/>
                <w:highlight w:val="none"/>
              </w:rPr>
            </w:pPr>
          </w:p>
        </w:tc>
        <w:tc>
          <w:tcPr>
            <w:tcW w:w="1730" w:type="dxa"/>
            <w:noWrap w:val="0"/>
            <w:vAlign w:val="top"/>
          </w:tcPr>
          <w:p w14:paraId="45979D05">
            <w:pPr>
              <w:pStyle w:val="15"/>
              <w:shd w:val="clear"/>
              <w:rPr>
                <w:rFonts w:hint="eastAsia" w:ascii="宋体" w:hAnsi="宋体" w:cs="宋体"/>
                <w:color w:val="auto"/>
                <w:szCs w:val="21"/>
                <w:highlight w:val="none"/>
              </w:rPr>
            </w:pPr>
          </w:p>
        </w:tc>
        <w:tc>
          <w:tcPr>
            <w:tcW w:w="1108" w:type="dxa"/>
            <w:noWrap w:val="0"/>
            <w:vAlign w:val="top"/>
          </w:tcPr>
          <w:p w14:paraId="2FE721AF">
            <w:pPr>
              <w:pStyle w:val="15"/>
              <w:shd w:val="clear"/>
              <w:rPr>
                <w:rFonts w:hint="eastAsia" w:ascii="宋体" w:hAnsi="宋体" w:cs="宋体"/>
                <w:color w:val="auto"/>
                <w:szCs w:val="21"/>
                <w:highlight w:val="none"/>
              </w:rPr>
            </w:pPr>
          </w:p>
        </w:tc>
        <w:tc>
          <w:tcPr>
            <w:tcW w:w="1792" w:type="dxa"/>
            <w:noWrap w:val="0"/>
            <w:vAlign w:val="top"/>
          </w:tcPr>
          <w:p w14:paraId="1C06728D">
            <w:pPr>
              <w:pStyle w:val="15"/>
              <w:shd w:val="clear"/>
              <w:rPr>
                <w:rFonts w:hint="eastAsia" w:ascii="宋体" w:hAnsi="宋体" w:cs="宋体"/>
                <w:color w:val="auto"/>
                <w:szCs w:val="21"/>
                <w:highlight w:val="none"/>
              </w:rPr>
            </w:pPr>
          </w:p>
        </w:tc>
        <w:tc>
          <w:tcPr>
            <w:tcW w:w="1242" w:type="dxa"/>
            <w:noWrap w:val="0"/>
            <w:vAlign w:val="top"/>
          </w:tcPr>
          <w:p w14:paraId="4ADE557F">
            <w:pPr>
              <w:pStyle w:val="15"/>
              <w:shd w:val="clear"/>
              <w:rPr>
                <w:rFonts w:hint="eastAsia" w:ascii="宋体" w:hAnsi="宋体" w:cs="宋体"/>
                <w:color w:val="auto"/>
                <w:szCs w:val="21"/>
                <w:highlight w:val="none"/>
              </w:rPr>
            </w:pPr>
          </w:p>
        </w:tc>
      </w:tr>
      <w:tr w14:paraId="58A1E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420" w:type="dxa"/>
            <w:noWrap w:val="0"/>
            <w:vAlign w:val="top"/>
          </w:tcPr>
          <w:p w14:paraId="3A8B2636">
            <w:pPr>
              <w:pStyle w:val="15"/>
              <w:shd w:val="clear"/>
              <w:rPr>
                <w:rFonts w:hint="eastAsia" w:ascii="宋体" w:hAnsi="宋体" w:cs="宋体"/>
                <w:color w:val="auto"/>
                <w:szCs w:val="21"/>
                <w:highlight w:val="none"/>
              </w:rPr>
            </w:pPr>
          </w:p>
        </w:tc>
        <w:tc>
          <w:tcPr>
            <w:tcW w:w="1420" w:type="dxa"/>
            <w:noWrap w:val="0"/>
            <w:vAlign w:val="top"/>
          </w:tcPr>
          <w:p w14:paraId="0D5F0CE3">
            <w:pPr>
              <w:pStyle w:val="15"/>
              <w:shd w:val="clear"/>
              <w:rPr>
                <w:rFonts w:hint="eastAsia" w:ascii="宋体" w:hAnsi="宋体" w:cs="宋体"/>
                <w:color w:val="auto"/>
                <w:szCs w:val="21"/>
                <w:highlight w:val="none"/>
              </w:rPr>
            </w:pPr>
          </w:p>
        </w:tc>
        <w:tc>
          <w:tcPr>
            <w:tcW w:w="1730" w:type="dxa"/>
            <w:noWrap w:val="0"/>
            <w:vAlign w:val="top"/>
          </w:tcPr>
          <w:p w14:paraId="1DB390D3">
            <w:pPr>
              <w:pStyle w:val="15"/>
              <w:shd w:val="clear"/>
              <w:rPr>
                <w:rFonts w:hint="eastAsia" w:ascii="宋体" w:hAnsi="宋体" w:cs="宋体"/>
                <w:color w:val="auto"/>
                <w:szCs w:val="21"/>
                <w:highlight w:val="none"/>
              </w:rPr>
            </w:pPr>
          </w:p>
        </w:tc>
        <w:tc>
          <w:tcPr>
            <w:tcW w:w="1108" w:type="dxa"/>
            <w:noWrap w:val="0"/>
            <w:vAlign w:val="top"/>
          </w:tcPr>
          <w:p w14:paraId="00547D07">
            <w:pPr>
              <w:pStyle w:val="15"/>
              <w:shd w:val="clear"/>
              <w:rPr>
                <w:rFonts w:hint="eastAsia" w:ascii="宋体" w:hAnsi="宋体" w:cs="宋体"/>
                <w:color w:val="auto"/>
                <w:szCs w:val="21"/>
                <w:highlight w:val="none"/>
              </w:rPr>
            </w:pPr>
          </w:p>
        </w:tc>
        <w:tc>
          <w:tcPr>
            <w:tcW w:w="1792" w:type="dxa"/>
            <w:noWrap w:val="0"/>
            <w:vAlign w:val="top"/>
          </w:tcPr>
          <w:p w14:paraId="63FB981A">
            <w:pPr>
              <w:pStyle w:val="15"/>
              <w:shd w:val="clear"/>
              <w:rPr>
                <w:rFonts w:hint="eastAsia" w:ascii="宋体" w:hAnsi="宋体" w:cs="宋体"/>
                <w:color w:val="auto"/>
                <w:szCs w:val="21"/>
                <w:highlight w:val="none"/>
              </w:rPr>
            </w:pPr>
          </w:p>
        </w:tc>
        <w:tc>
          <w:tcPr>
            <w:tcW w:w="1242" w:type="dxa"/>
            <w:noWrap w:val="0"/>
            <w:vAlign w:val="top"/>
          </w:tcPr>
          <w:p w14:paraId="73DC8BBA">
            <w:pPr>
              <w:pStyle w:val="15"/>
              <w:shd w:val="clear"/>
              <w:rPr>
                <w:rFonts w:hint="eastAsia" w:ascii="宋体" w:hAnsi="宋体" w:cs="宋体"/>
                <w:color w:val="auto"/>
                <w:szCs w:val="21"/>
                <w:highlight w:val="none"/>
              </w:rPr>
            </w:pPr>
          </w:p>
        </w:tc>
      </w:tr>
      <w:tr w14:paraId="3B01A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420" w:type="dxa"/>
            <w:noWrap w:val="0"/>
            <w:vAlign w:val="top"/>
          </w:tcPr>
          <w:p w14:paraId="3E1C50DC">
            <w:pPr>
              <w:pStyle w:val="15"/>
              <w:shd w:val="clear"/>
              <w:rPr>
                <w:rFonts w:hint="eastAsia" w:ascii="宋体" w:hAnsi="宋体" w:cs="宋体"/>
                <w:color w:val="auto"/>
                <w:szCs w:val="21"/>
                <w:highlight w:val="none"/>
              </w:rPr>
            </w:pPr>
            <w:r>
              <w:rPr>
                <w:rFonts w:hint="eastAsia" w:ascii="宋体" w:hAnsi="宋体" w:cs="宋体"/>
                <w:color w:val="auto"/>
                <w:szCs w:val="21"/>
                <w:highlight w:val="none"/>
              </w:rPr>
              <w:t>合计</w:t>
            </w:r>
          </w:p>
        </w:tc>
        <w:tc>
          <w:tcPr>
            <w:tcW w:w="1420" w:type="dxa"/>
            <w:noWrap w:val="0"/>
            <w:vAlign w:val="top"/>
          </w:tcPr>
          <w:p w14:paraId="6088E1A9">
            <w:pPr>
              <w:pStyle w:val="15"/>
              <w:shd w:val="clear"/>
              <w:rPr>
                <w:rFonts w:hint="eastAsia" w:ascii="宋体" w:hAnsi="宋体" w:cs="宋体"/>
                <w:color w:val="auto"/>
                <w:szCs w:val="21"/>
                <w:highlight w:val="none"/>
              </w:rPr>
            </w:pPr>
          </w:p>
        </w:tc>
        <w:tc>
          <w:tcPr>
            <w:tcW w:w="1730" w:type="dxa"/>
            <w:noWrap w:val="0"/>
            <w:vAlign w:val="top"/>
          </w:tcPr>
          <w:p w14:paraId="58E22A70">
            <w:pPr>
              <w:pStyle w:val="15"/>
              <w:shd w:val="clear"/>
              <w:rPr>
                <w:rFonts w:hint="eastAsia" w:ascii="宋体" w:hAnsi="宋体" w:cs="宋体"/>
                <w:color w:val="auto"/>
                <w:szCs w:val="21"/>
                <w:highlight w:val="none"/>
              </w:rPr>
            </w:pPr>
          </w:p>
        </w:tc>
        <w:tc>
          <w:tcPr>
            <w:tcW w:w="1108" w:type="dxa"/>
            <w:noWrap w:val="0"/>
            <w:vAlign w:val="top"/>
          </w:tcPr>
          <w:p w14:paraId="37AA8E59">
            <w:pPr>
              <w:pStyle w:val="15"/>
              <w:shd w:val="clear"/>
              <w:rPr>
                <w:rFonts w:hint="eastAsia" w:ascii="宋体" w:hAnsi="宋体" w:cs="宋体"/>
                <w:color w:val="auto"/>
                <w:szCs w:val="21"/>
                <w:highlight w:val="none"/>
              </w:rPr>
            </w:pPr>
            <w:r>
              <w:rPr>
                <w:rFonts w:hint="eastAsia" w:ascii="宋体" w:hAnsi="宋体" w:cs="宋体"/>
                <w:color w:val="auto"/>
                <w:szCs w:val="21"/>
                <w:highlight w:val="none"/>
              </w:rPr>
              <w:t>元</w:t>
            </w:r>
          </w:p>
        </w:tc>
        <w:tc>
          <w:tcPr>
            <w:tcW w:w="1792" w:type="dxa"/>
            <w:noWrap w:val="0"/>
            <w:vAlign w:val="top"/>
          </w:tcPr>
          <w:p w14:paraId="1A9272BE">
            <w:pPr>
              <w:pStyle w:val="15"/>
              <w:shd w:val="clear"/>
              <w:rPr>
                <w:rFonts w:hint="eastAsia" w:ascii="宋体" w:hAnsi="宋体" w:cs="宋体"/>
                <w:color w:val="auto"/>
                <w:szCs w:val="21"/>
                <w:highlight w:val="none"/>
              </w:rPr>
            </w:pPr>
          </w:p>
        </w:tc>
        <w:tc>
          <w:tcPr>
            <w:tcW w:w="1242" w:type="dxa"/>
            <w:noWrap w:val="0"/>
            <w:vAlign w:val="top"/>
          </w:tcPr>
          <w:p w14:paraId="2DD54CB9">
            <w:pPr>
              <w:pStyle w:val="15"/>
              <w:shd w:val="clear"/>
              <w:rPr>
                <w:rFonts w:hint="eastAsia" w:ascii="宋体" w:hAnsi="宋体" w:cs="宋体"/>
                <w:color w:val="auto"/>
                <w:szCs w:val="21"/>
                <w:highlight w:val="none"/>
              </w:rPr>
            </w:pPr>
            <w:r>
              <w:rPr>
                <w:rFonts w:hint="eastAsia" w:ascii="宋体" w:hAnsi="宋体" w:cs="宋体"/>
                <w:color w:val="auto"/>
                <w:szCs w:val="21"/>
                <w:highlight w:val="none"/>
              </w:rPr>
              <w:t>元</w:t>
            </w:r>
          </w:p>
        </w:tc>
      </w:tr>
    </w:tbl>
    <w:p w14:paraId="22FB5D38">
      <w:pPr>
        <w:shd w:val="clear"/>
        <w:spacing w:line="360" w:lineRule="auto"/>
        <w:rPr>
          <w:rFonts w:hint="eastAsia" w:ascii="宋体" w:hAnsi="宋体" w:cs="宋体"/>
          <w:color w:val="auto"/>
          <w:szCs w:val="21"/>
          <w:highlight w:val="none"/>
        </w:rPr>
      </w:pPr>
    </w:p>
    <w:p w14:paraId="25752D4B">
      <w:pPr>
        <w:shd w:val="clear"/>
        <w:spacing w:line="360" w:lineRule="auto"/>
        <w:rPr>
          <w:rFonts w:hint="eastAsia" w:ascii="宋体" w:hAnsi="宋体" w:cs="宋体"/>
          <w:color w:val="auto"/>
          <w:szCs w:val="21"/>
          <w:highlight w:val="none"/>
        </w:rPr>
      </w:pPr>
    </w:p>
    <w:p w14:paraId="45C4B160">
      <w:pPr>
        <w:shd w:val="clear"/>
        <w:spacing w:line="360" w:lineRule="auto"/>
        <w:rPr>
          <w:rFonts w:hint="eastAsia" w:ascii="宋体" w:hAnsi="宋体" w:cs="宋体"/>
          <w:color w:val="auto"/>
          <w:szCs w:val="21"/>
          <w:highlight w:val="none"/>
        </w:rPr>
      </w:pPr>
      <w:r>
        <w:rPr>
          <w:rFonts w:hint="eastAsia" w:ascii="宋体" w:hAnsi="宋体" w:cs="宋体"/>
          <w:color w:val="auto"/>
          <w:szCs w:val="21"/>
          <w:highlight w:val="none"/>
        </w:rPr>
        <w:t>投标报价评审表：</w:t>
      </w:r>
    </w:p>
    <w:tbl>
      <w:tblPr>
        <w:tblStyle w:val="6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63"/>
        <w:gridCol w:w="1047"/>
        <w:gridCol w:w="1315"/>
        <w:gridCol w:w="1446"/>
        <w:gridCol w:w="1304"/>
        <w:gridCol w:w="1407"/>
        <w:gridCol w:w="1195"/>
      </w:tblGrid>
      <w:tr w14:paraId="2950F4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cantSplit/>
          <w:trHeight w:val="522" w:hRule="atLeast"/>
          <w:jc w:val="center"/>
        </w:trPr>
        <w:tc>
          <w:tcPr>
            <w:tcW w:w="763" w:type="dxa"/>
            <w:vMerge w:val="restart"/>
            <w:tcBorders>
              <w:top w:val="single" w:color="auto" w:sz="4" w:space="0"/>
              <w:bottom w:val="single" w:color="auto" w:sz="4" w:space="0"/>
              <w:right w:val="single" w:color="auto" w:sz="4" w:space="0"/>
            </w:tcBorders>
            <w:noWrap w:val="0"/>
            <w:vAlign w:val="center"/>
          </w:tcPr>
          <w:p w14:paraId="7D6FAF25">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047" w:type="dxa"/>
            <w:vMerge w:val="restart"/>
            <w:tcBorders>
              <w:top w:val="single" w:color="auto" w:sz="4" w:space="0"/>
              <w:left w:val="single" w:color="auto" w:sz="4" w:space="0"/>
              <w:bottom w:val="single" w:color="auto" w:sz="4" w:space="0"/>
              <w:right w:val="single" w:color="auto" w:sz="4" w:space="0"/>
            </w:tcBorders>
            <w:noWrap w:val="0"/>
            <w:vAlign w:val="center"/>
          </w:tcPr>
          <w:p w14:paraId="0CD1EFFC">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投标人</w:t>
            </w:r>
          </w:p>
        </w:tc>
        <w:tc>
          <w:tcPr>
            <w:tcW w:w="1315" w:type="dxa"/>
            <w:vMerge w:val="restart"/>
            <w:tcBorders>
              <w:top w:val="single" w:color="auto" w:sz="4" w:space="0"/>
              <w:left w:val="single" w:color="auto" w:sz="4" w:space="0"/>
              <w:bottom w:val="single" w:color="auto" w:sz="4" w:space="0"/>
              <w:right w:val="single" w:color="auto" w:sz="4" w:space="0"/>
            </w:tcBorders>
            <w:noWrap w:val="0"/>
            <w:vAlign w:val="center"/>
          </w:tcPr>
          <w:p w14:paraId="7C5CFB5A">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投标报价</w:t>
            </w:r>
          </w:p>
        </w:tc>
        <w:tc>
          <w:tcPr>
            <w:tcW w:w="2750" w:type="dxa"/>
            <w:gridSpan w:val="2"/>
            <w:tcBorders>
              <w:top w:val="single" w:color="auto" w:sz="4" w:space="0"/>
              <w:left w:val="single" w:color="auto" w:sz="4" w:space="0"/>
              <w:bottom w:val="single" w:color="auto" w:sz="4" w:space="0"/>
              <w:right w:val="single" w:color="auto" w:sz="4" w:space="0"/>
            </w:tcBorders>
            <w:noWrap w:val="0"/>
            <w:vAlign w:val="center"/>
          </w:tcPr>
          <w:p w14:paraId="5F7A1AA6">
            <w:pPr>
              <w:pStyle w:val="15"/>
              <w:shd w:val="clear"/>
              <w:rPr>
                <w:rFonts w:hint="eastAsia" w:ascii="宋体" w:hAnsi="宋体" w:cs="宋体"/>
                <w:color w:val="auto"/>
                <w:szCs w:val="21"/>
                <w:highlight w:val="none"/>
              </w:rPr>
            </w:pPr>
            <w:r>
              <w:rPr>
                <w:rFonts w:hint="eastAsia" w:ascii="宋体" w:hAnsi="宋体" w:cs="宋体"/>
                <w:color w:val="auto"/>
                <w:szCs w:val="21"/>
                <w:highlight w:val="none"/>
              </w:rPr>
              <w:t>纠正计算错误</w:t>
            </w:r>
          </w:p>
        </w:tc>
        <w:tc>
          <w:tcPr>
            <w:tcW w:w="1407" w:type="dxa"/>
            <w:vMerge w:val="restart"/>
            <w:tcBorders>
              <w:top w:val="single" w:color="auto" w:sz="4" w:space="0"/>
              <w:left w:val="single" w:color="auto" w:sz="4" w:space="0"/>
              <w:bottom w:val="nil"/>
              <w:right w:val="single" w:color="auto" w:sz="4" w:space="0"/>
            </w:tcBorders>
            <w:noWrap w:val="0"/>
            <w:vAlign w:val="center"/>
          </w:tcPr>
          <w:p w14:paraId="235C0B2E">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是否低于成本</w:t>
            </w:r>
          </w:p>
        </w:tc>
        <w:tc>
          <w:tcPr>
            <w:tcW w:w="1195" w:type="dxa"/>
            <w:vMerge w:val="restart"/>
            <w:tcBorders>
              <w:top w:val="single" w:color="auto" w:sz="4" w:space="0"/>
              <w:left w:val="single" w:color="auto" w:sz="4" w:space="0"/>
              <w:bottom w:val="single" w:color="auto" w:sz="4" w:space="0"/>
            </w:tcBorders>
            <w:noWrap w:val="0"/>
            <w:vAlign w:val="center"/>
          </w:tcPr>
          <w:p w14:paraId="08808AF9">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参与评标价格</w:t>
            </w:r>
          </w:p>
        </w:tc>
      </w:tr>
      <w:tr w14:paraId="28E495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22" w:hRule="atLeast"/>
          <w:jc w:val="center"/>
        </w:trPr>
        <w:tc>
          <w:tcPr>
            <w:tcW w:w="763" w:type="dxa"/>
            <w:vMerge w:val="continue"/>
            <w:tcBorders>
              <w:top w:val="single" w:color="auto" w:sz="4" w:space="0"/>
              <w:bottom w:val="single" w:color="auto" w:sz="4" w:space="0"/>
              <w:right w:val="single" w:color="auto" w:sz="4" w:space="0"/>
            </w:tcBorders>
            <w:noWrap w:val="0"/>
            <w:vAlign w:val="center"/>
          </w:tcPr>
          <w:p w14:paraId="0EE6D4E6">
            <w:pPr>
              <w:pStyle w:val="15"/>
              <w:shd w:val="clear"/>
              <w:rPr>
                <w:rFonts w:hint="eastAsia" w:ascii="宋体" w:hAnsi="宋体" w:cs="宋体"/>
                <w:color w:val="auto"/>
                <w:szCs w:val="21"/>
                <w:highlight w:val="none"/>
              </w:rPr>
            </w:pPr>
          </w:p>
        </w:tc>
        <w:tc>
          <w:tcPr>
            <w:tcW w:w="1047" w:type="dxa"/>
            <w:vMerge w:val="continue"/>
            <w:tcBorders>
              <w:top w:val="single" w:color="auto" w:sz="4" w:space="0"/>
              <w:left w:val="single" w:color="auto" w:sz="4" w:space="0"/>
              <w:bottom w:val="single" w:color="auto" w:sz="4" w:space="0"/>
              <w:right w:val="single" w:color="auto" w:sz="4" w:space="0"/>
            </w:tcBorders>
            <w:noWrap w:val="0"/>
            <w:vAlign w:val="center"/>
          </w:tcPr>
          <w:p w14:paraId="20613A0F">
            <w:pPr>
              <w:pStyle w:val="15"/>
              <w:shd w:val="clear"/>
              <w:rPr>
                <w:rFonts w:hint="eastAsia" w:ascii="宋体" w:hAnsi="宋体" w:cs="宋体"/>
                <w:color w:val="auto"/>
                <w:szCs w:val="21"/>
                <w:highlight w:val="none"/>
              </w:rPr>
            </w:pPr>
          </w:p>
        </w:tc>
        <w:tc>
          <w:tcPr>
            <w:tcW w:w="1315" w:type="dxa"/>
            <w:vMerge w:val="continue"/>
            <w:tcBorders>
              <w:top w:val="single" w:color="auto" w:sz="4" w:space="0"/>
              <w:left w:val="single" w:color="auto" w:sz="4" w:space="0"/>
              <w:bottom w:val="single" w:color="auto" w:sz="4" w:space="0"/>
              <w:right w:val="single" w:color="auto" w:sz="4" w:space="0"/>
            </w:tcBorders>
            <w:noWrap w:val="0"/>
            <w:vAlign w:val="center"/>
          </w:tcPr>
          <w:p w14:paraId="0B1B6E0C">
            <w:pPr>
              <w:pStyle w:val="15"/>
              <w:shd w:val="clear"/>
              <w:rPr>
                <w:rFonts w:hint="eastAsia" w:ascii="宋体" w:hAnsi="宋体" w:cs="宋体"/>
                <w:color w:val="auto"/>
                <w:szCs w:val="21"/>
                <w:highlight w:val="none"/>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C534148">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增加（十）</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696A97CA">
            <w:pPr>
              <w:pStyle w:val="15"/>
              <w:shd w:val="clear"/>
              <w:ind w:firstLine="0" w:firstLineChars="0"/>
              <w:rPr>
                <w:rFonts w:hint="eastAsia" w:ascii="宋体" w:hAnsi="宋体" w:cs="宋体"/>
                <w:color w:val="auto"/>
                <w:szCs w:val="21"/>
                <w:highlight w:val="none"/>
              </w:rPr>
            </w:pPr>
            <w:r>
              <w:rPr>
                <w:rFonts w:hint="eastAsia" w:ascii="宋体" w:hAnsi="宋体" w:cs="宋体"/>
                <w:color w:val="auto"/>
                <w:szCs w:val="21"/>
                <w:highlight w:val="none"/>
              </w:rPr>
              <w:t>减少（一）</w:t>
            </w:r>
          </w:p>
        </w:tc>
        <w:tc>
          <w:tcPr>
            <w:tcW w:w="1407" w:type="dxa"/>
            <w:vMerge w:val="continue"/>
            <w:tcBorders>
              <w:top w:val="nil"/>
              <w:left w:val="single" w:color="auto" w:sz="4" w:space="0"/>
              <w:bottom w:val="single" w:color="auto" w:sz="4" w:space="0"/>
              <w:right w:val="single" w:color="auto" w:sz="4" w:space="0"/>
            </w:tcBorders>
            <w:noWrap w:val="0"/>
            <w:vAlign w:val="center"/>
          </w:tcPr>
          <w:p w14:paraId="4B1020A3">
            <w:pPr>
              <w:pStyle w:val="15"/>
              <w:shd w:val="clear"/>
              <w:rPr>
                <w:rFonts w:hint="eastAsia" w:ascii="宋体" w:hAnsi="宋体" w:cs="宋体"/>
                <w:color w:val="auto"/>
                <w:szCs w:val="21"/>
                <w:highlight w:val="none"/>
              </w:rPr>
            </w:pPr>
          </w:p>
        </w:tc>
        <w:tc>
          <w:tcPr>
            <w:tcW w:w="1195" w:type="dxa"/>
            <w:vMerge w:val="continue"/>
            <w:tcBorders>
              <w:top w:val="single" w:color="auto" w:sz="4" w:space="0"/>
              <w:left w:val="single" w:color="auto" w:sz="4" w:space="0"/>
              <w:bottom w:val="single" w:color="auto" w:sz="4" w:space="0"/>
            </w:tcBorders>
            <w:noWrap w:val="0"/>
            <w:vAlign w:val="center"/>
          </w:tcPr>
          <w:p w14:paraId="58D040D8">
            <w:pPr>
              <w:pStyle w:val="15"/>
              <w:shd w:val="clear"/>
              <w:rPr>
                <w:rFonts w:hint="eastAsia" w:ascii="宋体" w:hAnsi="宋体" w:cs="宋体"/>
                <w:color w:val="auto"/>
                <w:szCs w:val="21"/>
                <w:highlight w:val="none"/>
              </w:rPr>
            </w:pPr>
          </w:p>
        </w:tc>
      </w:tr>
      <w:tr w14:paraId="1C698D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763" w:type="dxa"/>
            <w:tcBorders>
              <w:top w:val="single" w:color="auto" w:sz="4" w:space="0"/>
              <w:bottom w:val="single" w:color="auto" w:sz="4" w:space="0"/>
              <w:right w:val="single" w:color="auto" w:sz="4" w:space="0"/>
            </w:tcBorders>
            <w:noWrap w:val="0"/>
            <w:vAlign w:val="center"/>
          </w:tcPr>
          <w:p w14:paraId="3EC76C59">
            <w:pPr>
              <w:pStyle w:val="15"/>
              <w:shd w:val="clear"/>
              <w:rPr>
                <w:rFonts w:hint="eastAsia" w:ascii="宋体" w:hAnsi="宋体" w:cs="宋体"/>
                <w:color w:val="auto"/>
                <w:szCs w:val="21"/>
                <w:highlight w:val="none"/>
              </w:rPr>
            </w:pP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0BBBA46">
            <w:pPr>
              <w:pStyle w:val="15"/>
              <w:shd w:val="clear"/>
              <w:rPr>
                <w:rFonts w:hint="eastAsia" w:ascii="宋体" w:hAnsi="宋体" w:cs="宋体"/>
                <w:color w:val="auto"/>
                <w:szCs w:val="21"/>
                <w:highlight w:val="none"/>
              </w:rPr>
            </w:pPr>
          </w:p>
        </w:tc>
        <w:tc>
          <w:tcPr>
            <w:tcW w:w="1315" w:type="dxa"/>
            <w:tcBorders>
              <w:top w:val="single" w:color="auto" w:sz="4" w:space="0"/>
              <w:left w:val="single" w:color="auto" w:sz="4" w:space="0"/>
              <w:bottom w:val="single" w:color="auto" w:sz="4" w:space="0"/>
              <w:right w:val="single" w:color="auto" w:sz="4" w:space="0"/>
            </w:tcBorders>
            <w:noWrap w:val="0"/>
            <w:vAlign w:val="center"/>
          </w:tcPr>
          <w:p w14:paraId="73988B3C">
            <w:pPr>
              <w:pStyle w:val="15"/>
              <w:shd w:val="clear"/>
              <w:rPr>
                <w:rFonts w:hint="eastAsia" w:ascii="宋体" w:hAnsi="宋体" w:cs="宋体"/>
                <w:color w:val="auto"/>
                <w:szCs w:val="21"/>
                <w:highlight w:val="none"/>
              </w:rPr>
            </w:pP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1ED0059">
            <w:pPr>
              <w:pStyle w:val="15"/>
              <w:shd w:val="clear"/>
              <w:rPr>
                <w:rFonts w:hint="eastAsia" w:ascii="宋体" w:hAnsi="宋体" w:cs="宋体"/>
                <w:color w:val="auto"/>
                <w:szCs w:val="21"/>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4107C6EF">
            <w:pPr>
              <w:pStyle w:val="15"/>
              <w:shd w:val="clear"/>
              <w:rPr>
                <w:rFonts w:hint="eastAsia" w:ascii="宋体" w:hAnsi="宋体" w:cs="宋体"/>
                <w:color w:val="auto"/>
                <w:szCs w:val="21"/>
                <w:highlight w:val="none"/>
              </w:rPr>
            </w:pPr>
          </w:p>
        </w:tc>
        <w:tc>
          <w:tcPr>
            <w:tcW w:w="1407" w:type="dxa"/>
            <w:tcBorders>
              <w:top w:val="single" w:color="auto" w:sz="4" w:space="0"/>
              <w:left w:val="single" w:color="auto" w:sz="4" w:space="0"/>
              <w:bottom w:val="single" w:color="auto" w:sz="4" w:space="0"/>
              <w:right w:val="single" w:color="auto" w:sz="4" w:space="0"/>
            </w:tcBorders>
            <w:noWrap w:val="0"/>
            <w:vAlign w:val="center"/>
          </w:tcPr>
          <w:p w14:paraId="00D6752A">
            <w:pPr>
              <w:pStyle w:val="15"/>
              <w:shd w:val="clear"/>
              <w:rPr>
                <w:rFonts w:hint="eastAsia" w:ascii="宋体" w:hAnsi="宋体" w:cs="宋体"/>
                <w:color w:val="auto"/>
                <w:szCs w:val="21"/>
                <w:highlight w:val="none"/>
              </w:rPr>
            </w:pPr>
          </w:p>
        </w:tc>
        <w:tc>
          <w:tcPr>
            <w:tcW w:w="1195" w:type="dxa"/>
            <w:tcBorders>
              <w:top w:val="single" w:color="auto" w:sz="4" w:space="0"/>
              <w:left w:val="single" w:color="auto" w:sz="4" w:space="0"/>
              <w:bottom w:val="single" w:color="auto" w:sz="4" w:space="0"/>
            </w:tcBorders>
            <w:noWrap w:val="0"/>
            <w:vAlign w:val="center"/>
          </w:tcPr>
          <w:p w14:paraId="222D9BCB">
            <w:pPr>
              <w:pStyle w:val="15"/>
              <w:shd w:val="clear"/>
              <w:rPr>
                <w:rFonts w:hint="eastAsia" w:ascii="宋体" w:hAnsi="宋体" w:cs="宋体"/>
                <w:color w:val="auto"/>
                <w:szCs w:val="21"/>
                <w:highlight w:val="none"/>
              </w:rPr>
            </w:pPr>
          </w:p>
        </w:tc>
      </w:tr>
    </w:tbl>
    <w:p w14:paraId="0824B83C">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 评标结果</w:t>
      </w:r>
    </w:p>
    <w:p w14:paraId="7A4418E8">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3.1除第二章“竞争性磋商须知”前附表授权直接确定中标人外，磋商小组按照得分由高到低的顺序推荐中标候选人。</w:t>
      </w:r>
    </w:p>
    <w:p w14:paraId="6DF49C18">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3.1.1 磋商小组完成评标后，应当向</w:t>
      </w:r>
      <w:r>
        <w:rPr>
          <w:rFonts w:hint="eastAsia" w:ascii="宋体" w:hAnsi="宋体" w:eastAsia="宋体" w:cs="宋体"/>
          <w:color w:val="auto"/>
          <w:highlight w:val="none"/>
          <w:lang w:val="en-US" w:eastAsia="zh-CN"/>
        </w:rPr>
        <w:t>采购人</w:t>
      </w:r>
      <w:r>
        <w:rPr>
          <w:rFonts w:hint="eastAsia" w:ascii="宋体" w:hAnsi="宋体" w:eastAsia="宋体" w:cs="宋体"/>
          <w:color w:val="auto"/>
          <w:szCs w:val="21"/>
          <w:highlight w:val="none"/>
        </w:rPr>
        <w:t>提交书面磋商报告。</w:t>
      </w:r>
    </w:p>
    <w:p w14:paraId="120E1FCA">
      <w:pPr>
        <w:shd w:val="clear"/>
        <w:autoSpaceDE w:val="0"/>
        <w:autoSpaceDN w:val="0"/>
        <w:adjustRightInd w:val="0"/>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编写评标报告，确定中标候选供应商名单：3名，采购人委托评标委员会直接确定推荐顺序第一的中标候选人为中标人。</w:t>
      </w:r>
    </w:p>
    <w:p w14:paraId="57A58D73">
      <w:pPr>
        <w:pStyle w:val="23"/>
        <w:shd w:val="clear"/>
        <w:rPr>
          <w:color w:val="auto"/>
          <w:highlight w:val="none"/>
          <w:lang w:val="zh-CN"/>
        </w:rPr>
      </w:pPr>
    </w:p>
    <w:p w14:paraId="15D65A57">
      <w:pPr>
        <w:shd w:val="clear"/>
        <w:rPr>
          <w:rFonts w:hint="eastAsia"/>
          <w:color w:val="auto"/>
          <w:highlight w:val="none"/>
        </w:rPr>
      </w:pPr>
    </w:p>
    <w:p w14:paraId="3CED6DB1">
      <w:pPr>
        <w:widowControl/>
        <w:shd w:val="clear" w:color="auto"/>
        <w:spacing w:after="150"/>
        <w:jc w:val="center"/>
        <w:rPr>
          <w:rFonts w:ascii="宋体" w:hAnsi="宋体" w:cs="宋体"/>
          <w:b/>
          <w:bCs/>
          <w:color w:val="auto"/>
          <w:szCs w:val="21"/>
          <w:highlight w:val="none"/>
        </w:rPr>
      </w:pPr>
      <w:r>
        <w:rPr>
          <w:rFonts w:hint="eastAsia" w:ascii="宋体" w:hAnsi="宋体" w:eastAsia="宋体" w:cs="宋体"/>
          <w:color w:val="auto"/>
          <w:szCs w:val="21"/>
          <w:highlight w:val="none"/>
        </w:rPr>
        <w:br w:type="page"/>
      </w:r>
      <w:r>
        <w:rPr>
          <w:rFonts w:hint="eastAsia" w:ascii="宋体" w:hAnsi="宋体" w:cs="宋体"/>
          <w:b/>
          <w:bCs/>
          <w:color w:val="auto"/>
          <w:szCs w:val="21"/>
          <w:highlight w:val="none"/>
        </w:rPr>
        <w:t>附件：关于印发《政府采购促进中小企业发展管理办法》的通知</w:t>
      </w:r>
    </w:p>
    <w:p w14:paraId="3341FAD2">
      <w:pPr>
        <w:widowControl/>
        <w:shd w:val="clear" w:color="auto"/>
        <w:spacing w:after="150"/>
        <w:jc w:val="center"/>
        <w:rPr>
          <w:rFonts w:ascii="宋体" w:hAnsi="宋体" w:cs="宋体"/>
          <w:b/>
          <w:bCs/>
          <w:color w:val="auto"/>
          <w:szCs w:val="21"/>
          <w:highlight w:val="none"/>
        </w:rPr>
      </w:pPr>
      <w:r>
        <w:rPr>
          <w:rFonts w:hint="eastAsia" w:ascii="宋体" w:hAnsi="宋体" w:cs="宋体"/>
          <w:b/>
          <w:bCs/>
          <w:color w:val="auto"/>
          <w:szCs w:val="21"/>
          <w:highlight w:val="none"/>
        </w:rPr>
        <w:t>财库〔2020〕46号</w:t>
      </w:r>
    </w:p>
    <w:p w14:paraId="5A363767">
      <w:pPr>
        <w:widowControl/>
        <w:shd w:val="clear" w:color="auto"/>
        <w:spacing w:after="150"/>
        <w:jc w:val="left"/>
        <w:rPr>
          <w:rFonts w:ascii="宋体" w:hAnsi="宋体" w:cs="宋体"/>
          <w:color w:val="auto"/>
          <w:szCs w:val="21"/>
          <w:highlight w:val="none"/>
        </w:rPr>
      </w:pPr>
      <w:r>
        <w:rPr>
          <w:rFonts w:hint="eastAsia" w:ascii="宋体" w:hAnsi="宋体" w:cs="宋体"/>
          <w:color w:val="auto"/>
          <w:szCs w:val="21"/>
          <w:highlight w:val="none"/>
        </w:rPr>
        <w:t>各中央预算单位办公厅（室），各省、自治区、直辖市、计划单列市财政厅（局）、工业和信息化主管部门，新疆生产建设兵团财政局、工业和信息化主管部门：</w:t>
      </w:r>
    </w:p>
    <w:p w14:paraId="1F6D791C">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14:paraId="10FFCFAF">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附件：政府采购促进中小企业发展管理办法</w:t>
      </w:r>
    </w:p>
    <w:p w14:paraId="7E88A916">
      <w:pPr>
        <w:widowControl/>
        <w:shd w:val="clear" w:color="auto"/>
        <w:spacing w:after="150"/>
        <w:ind w:firstLine="560"/>
        <w:jc w:val="right"/>
        <w:rPr>
          <w:rFonts w:ascii="宋体" w:hAnsi="宋体" w:cs="宋体"/>
          <w:color w:val="auto"/>
          <w:szCs w:val="21"/>
          <w:highlight w:val="none"/>
        </w:rPr>
      </w:pPr>
      <w:r>
        <w:rPr>
          <w:rFonts w:hint="eastAsia" w:ascii="宋体" w:hAnsi="宋体" w:cs="宋体"/>
          <w:color w:val="auto"/>
          <w:szCs w:val="21"/>
          <w:highlight w:val="none"/>
        </w:rPr>
        <w:t>财 政  部</w:t>
      </w:r>
    </w:p>
    <w:p w14:paraId="1CEE3A1E">
      <w:pPr>
        <w:widowControl/>
        <w:shd w:val="clear" w:color="auto"/>
        <w:spacing w:after="150"/>
        <w:ind w:firstLine="560"/>
        <w:jc w:val="right"/>
        <w:rPr>
          <w:rFonts w:ascii="宋体" w:hAnsi="宋体" w:cs="宋体"/>
          <w:color w:val="auto"/>
          <w:szCs w:val="21"/>
          <w:highlight w:val="none"/>
        </w:rPr>
      </w:pPr>
      <w:r>
        <w:rPr>
          <w:rFonts w:hint="eastAsia" w:ascii="宋体" w:hAnsi="宋体" w:cs="宋体"/>
          <w:color w:val="auto"/>
          <w:szCs w:val="21"/>
          <w:highlight w:val="none"/>
        </w:rPr>
        <w:t>工业和信息化部</w:t>
      </w:r>
    </w:p>
    <w:p w14:paraId="023172CC">
      <w:pPr>
        <w:widowControl/>
        <w:shd w:val="clear" w:color="auto"/>
        <w:spacing w:after="150"/>
        <w:ind w:firstLine="560"/>
        <w:jc w:val="right"/>
        <w:rPr>
          <w:rFonts w:ascii="宋体" w:hAnsi="宋体" w:cs="宋体"/>
          <w:color w:val="auto"/>
          <w:szCs w:val="21"/>
          <w:highlight w:val="none"/>
        </w:rPr>
      </w:pPr>
      <w:r>
        <w:rPr>
          <w:rFonts w:hint="eastAsia" w:ascii="宋体" w:hAnsi="宋体" w:cs="宋体"/>
          <w:color w:val="auto"/>
          <w:szCs w:val="21"/>
          <w:highlight w:val="none"/>
        </w:rPr>
        <w:t>2020年12月18日</w:t>
      </w:r>
    </w:p>
    <w:p w14:paraId="32782E25">
      <w:pPr>
        <w:widowControl/>
        <w:shd w:val="clear" w:color="auto"/>
        <w:spacing w:after="150"/>
        <w:ind w:firstLine="560"/>
        <w:jc w:val="center"/>
        <w:rPr>
          <w:rFonts w:ascii="宋体" w:hAnsi="宋体" w:cs="宋体"/>
          <w:color w:val="auto"/>
          <w:szCs w:val="21"/>
          <w:highlight w:val="none"/>
        </w:rPr>
      </w:pPr>
      <w:r>
        <w:rPr>
          <w:rFonts w:hint="eastAsia" w:ascii="宋体" w:hAnsi="宋体" w:cs="宋体"/>
          <w:color w:val="auto"/>
          <w:szCs w:val="21"/>
          <w:highlight w:val="none"/>
        </w:rPr>
        <w:t>政府采购促进中小企业发展管理办法</w:t>
      </w:r>
    </w:p>
    <w:p w14:paraId="199F79B8">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第一条 为了发挥政府采购的政策功能，促进中小企业健康发展，根据《中华人民共和国政府采购法》、《中华人民共和国中小企业促进法》等有关法律法规，制定本办法。</w:t>
      </w:r>
    </w:p>
    <w:p w14:paraId="7F5C718C">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w:t>
      </w:r>
    </w:p>
    <w:p w14:paraId="6D58C83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符合中小企业划分标准的个体工商户，在政府采购活动中视同中小企业。</w:t>
      </w:r>
    </w:p>
    <w:p w14:paraId="33D50CD8">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第三条 采购人在政府采购活动中应当通过加强采购需求管理，落实预留采购份额、价格评审优惠、优先采购等措施，提高中小企业在政府采购中的份额，支持中小企业发展。</w:t>
      </w:r>
    </w:p>
    <w:p w14:paraId="0E8C9A54">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第四条 在政府采购活动中，供应商提供的货物、工程或者服务符合下列情形的，享受本办法规定的中小企业扶持政策：</w:t>
      </w:r>
    </w:p>
    <w:p w14:paraId="3E41AE69">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（一）在货物采购项目中，货物由中小企业制造，即货物由中小企业生产且使用该中小企业商号或者注册商标；</w:t>
      </w:r>
    </w:p>
    <w:p w14:paraId="238B1F57">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（二）在工程采购项目中，工程由中小企业承建，即工程施工单位为中小企业；</w:t>
      </w:r>
    </w:p>
    <w:p w14:paraId="3649644F">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（三）在服务采购项目中，服务由中小企业承接，即提供服务的人员为中小企业依照《中华人民共和国劳动合同法》订立劳动合同的从业人员。</w:t>
      </w:r>
    </w:p>
    <w:p w14:paraId="587B05A5">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在货物采购项目中，供应商提供的货物既有中小企业制造货物，也有大型企业制造货物的，不享受本办法规定的中小企业扶持政策。</w:t>
      </w:r>
    </w:p>
    <w:p w14:paraId="24935B77">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以联合体形式参加政府采购活动，联合体各方均为中小企业的，联合体视同中小企业。其中，联合体各方均为小微企业的，联合体视同小微企业。</w:t>
      </w:r>
    </w:p>
    <w:p w14:paraId="0CC39936">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年限等方面对中小企业实行差别待遇或者歧视待遇。</w:t>
      </w:r>
    </w:p>
    <w:p w14:paraId="6D38B7BA">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14:paraId="0AABDCD8">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符合下列情形之一的，可不专门面向中小企业预留采购份额：</w:t>
      </w:r>
    </w:p>
    <w:p w14:paraId="7D6FA4A3">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（一）法律法规和国家有关政策明确规定优先或者应当面向事业单位、社会组织等非企业主体采购的；</w:t>
      </w:r>
    </w:p>
    <w:p w14:paraId="2771732D">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（二）因确需使用不可替代的专利、专有技术，基础设施限制，或者提供特定公共服务等原因，只能从中小企业之外的供应商处采购的；</w:t>
      </w:r>
    </w:p>
    <w:p w14:paraId="3106148A">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（三）按照本办法规定预留采购份额无法确保充分供应、充分竞争，或者存在可能影响政府采购目标实现的情形；</w:t>
      </w:r>
    </w:p>
    <w:p w14:paraId="429E3373">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（四）框架协议采购项目；</w:t>
      </w:r>
    </w:p>
    <w:p w14:paraId="15871BEF">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（五）省级以上人民政府财政部门规定的其他情形。</w:t>
      </w:r>
    </w:p>
    <w:p w14:paraId="28B93DD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除上述情形外，其他均为适宜由中小企业提供的情形。</w:t>
      </w:r>
    </w:p>
    <w:p w14:paraId="70D9E3E1">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第七条 采购限额标准以上，200万元以下的货物和服务采购项目、400万元以下的工程采购项目，适宜由中小企业提供的，采购人应当专门面向中小企业采购。</w:t>
      </w:r>
    </w:p>
    <w:p w14:paraId="7889ABAD">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第八条 超过200万元的货物和服务采购项目、超过400万元的工程采购项目中适宜由中小企业提供的，预留该部分采购项目预算总额的30%以上专门面向中小企业采购，其中预留给小微企业的比例不低于60%。预留份额通过下列措施进行：</w:t>
      </w:r>
    </w:p>
    <w:p w14:paraId="372C8393">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（一）将采购项目整体或者设置采购包专门面向中小企业采购；</w:t>
      </w:r>
    </w:p>
    <w:p w14:paraId="19452CC5">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（二）要求供应商以联合体形式参加采购活动，且联合体中中小企业承担的部分达到一定比例；</w:t>
      </w:r>
    </w:p>
    <w:p w14:paraId="5D46E471">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（三）要求获得采购合同的供应商将采购项目中的一定比例分包给一家或者多家中小企业。</w:t>
      </w:r>
    </w:p>
    <w:p w14:paraId="5CE572A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组成联合体或者接受分包合同的中小企业与联合体内其他企业、分包企业之间不得存在直接控股、管理关系。</w:t>
      </w:r>
    </w:p>
    <w:p w14:paraId="4D184C09">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第九条 对于经主管预算单位统筹后未预留份额专门面向中小企业采购的采购项目，以及预留份额项目中的非预留部分采购包，采购人、采购代理机构应当对符合本办法规定的小微企业报价给予6%—10%（工程项目为3%—5%）的扣除，用扣除后的价格参加评审。适用招标投标法的政府采购工程建设项目，采用综合评估法但未采用低价优先法计算价格分的，评标时应当在采用原报价进行评分的基础上增加其价格得分的3%—5%作为其价格分。</w:t>
      </w:r>
    </w:p>
    <w:p w14:paraId="4CA013B9">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 2%-3%（工程项目为 1%—2%）的扣除，用扣除后的价格参加评审。适用招标投标法的政府采购工程建设项目，采用综合评估法但未采用低价优先法计算价格分的，评标时应当在采用原报价进行评分的基础上增加其价格得分的1%—2%作为其价格分。组成联合体或者接受分包的小微企业与联合体内其他企业、分包企业之间存在直接控股、管理关系的，不享受价格扣除优惠政策。</w:t>
      </w:r>
    </w:p>
    <w:p w14:paraId="49834B0F">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14:paraId="54C50969">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第十条 采购人应当严格按照本办法规定和主管预算单位制定的预留采购份额具体方案开展采购活动。预留份额的采购项目或者采购包，通过发布公告方式邀请供应商后，符合资格条件的中小企业数量不足3家的，应当中止采购活动，视同未预留份额的采购项目或者采购包，按照本办法第九条有关规定重新组织采购活动。</w:t>
      </w:r>
    </w:p>
    <w:p w14:paraId="116984AC">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14:paraId="2086939D">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第十二条 采购项目涉及中小企业采购的，采购文件应当明确以下内容：</w:t>
      </w:r>
    </w:p>
    <w:p w14:paraId="17FCEB9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（一）预留份额的采购项目或者采购包，明确该项目或相关采购包专门面向中小企业采购，以及相关标的及预算金额；</w:t>
      </w:r>
    </w:p>
    <w:p w14:paraId="3660E235">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（二）要求以联合体形式参加或者合同分包的，明确联合协议或者分包意向协议中中小企业合同金额应当达到的比例，并作为供应商资格条件；</w:t>
      </w:r>
    </w:p>
    <w:p w14:paraId="557E1F6A">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（三）非预留份额的采购项目或者采购包，明确有关价格扣除比例或者价格分加分比例；</w:t>
      </w:r>
    </w:p>
    <w:p w14:paraId="0AE41979">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（四）规定依据本办法规定享受扶持政策获得政府采购合同的，小微企业不得将合同分包给大中型企业，中型企业不得将合同分包给大型企业；</w:t>
      </w:r>
    </w:p>
    <w:p w14:paraId="33E3C712">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（五）采购人认为具备相关条件的，明确对中小企业在资金支付期限、预付款比例等方面的优惠措施；</w:t>
      </w:r>
    </w:p>
    <w:p w14:paraId="28C6D44B">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（六）明确采购标的对应的中小企业划分标准所属行业；</w:t>
      </w:r>
    </w:p>
    <w:p w14:paraId="1B1322F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（七）法律法规和省级以上人民政府财政部门规定的其他事项。</w:t>
      </w:r>
    </w:p>
    <w:p w14:paraId="5C89E053">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第十三条 中标、成交供应商享受本办法规定的中小企业扶持政策的，采购人、采购代理机构应当随中标、成交结果公开中标、成交供应商的《中小企业声明函》。</w:t>
      </w:r>
    </w:p>
    <w:p w14:paraId="1DBB99AB">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适用招标投标法的政府采购工程建设项目，应当在公示中标候选人时公开中标候选人的《中小企业声明函》。</w:t>
      </w:r>
    </w:p>
    <w:p w14:paraId="62E3BE5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14:paraId="57823EC5">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第十五条 鼓励各地区、各部门在采购活动中允许中小企业引入信用担保手段，为中小企业在投标（响应）保证、履约保证等方面提供专业化服务。鼓励中小企业依法合规通过政府采购合同融资。</w:t>
      </w:r>
    </w:p>
    <w:p w14:paraId="6EFEE208">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第十六条 政府采购监督检查、投诉处理及政府采购行政处罚中对中小企业的认定，由货物制造商或者工程、服务供应商注册登记所在地的县级以上人民政府中小企业主管部门负责。</w:t>
      </w:r>
    </w:p>
    <w:p w14:paraId="4D2723F4">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中小企业主管部门应当在收到财政部门或者有关招标投标行政监督部门关于协助开展中小企业认定函后10个工作日内做出书面答复。</w:t>
      </w:r>
    </w:p>
    <w:p w14:paraId="7EAC76DB">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第十七条 各地区、各部门应当对涉及中小企业采购的预算项目实施全过程绩效管理，合理设置绩效目标和指标，落实扶持中小企业有关政策要求，定期开展绩效监控和评价，强化绩效评价结果应用。</w:t>
      </w:r>
    </w:p>
    <w:p w14:paraId="7C7F76F7">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第十八条 主管预算单位应当自2022年起向同级财政部门报告本部门上一年度面向中小企业预留份额和采购的具体情况，并在中国政府采购网公开预留项目执行情况(附2)。未达到本办法规定的预留份额比例的，应当作出说明。</w:t>
      </w:r>
    </w:p>
    <w:p w14:paraId="5BF669FC">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14:paraId="62C95A34">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第二十条 供应商按照本办法规定提供声明函内容不实的，属于提供虚假材料谋取中标、成交，依照《中华人民共和国政府采购法》等国家有关规定追究相应责任。</w:t>
      </w:r>
    </w:p>
    <w:p w14:paraId="1704356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适用招标投标法的政府采购工程建设项目，投标人按照本办法规定提供声明函内容不实的，属于弄虚作假骗取中标，依照《中华人民共和国招标投标法》等国家有关规定追究相应责任。</w:t>
      </w:r>
    </w:p>
    <w:p w14:paraId="0B869C1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有关规定追究相应责任；涉嫌犯罪的，依法移送有关国家机关处理。</w:t>
      </w:r>
    </w:p>
    <w:p w14:paraId="254A1181">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第二十二条 对外援助项目、国家相关资格或者资质管理制度另有规定的项目，不适用本办法。</w:t>
      </w:r>
    </w:p>
    <w:p w14:paraId="6F5A8812">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第二十三条 关于视同中小企业的其他主体的政府采购扶持政策，由财政部会同有关部门另行规定。</w:t>
      </w:r>
    </w:p>
    <w:p w14:paraId="77650C50">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第二十四条 省级财政部门可以会同中小企业主管部门根据本办法的规定制定具体实施办法。</w:t>
      </w:r>
    </w:p>
    <w:p w14:paraId="1D833DBF">
      <w:pPr>
        <w:widowControl/>
        <w:shd w:val="clear" w:color="auto"/>
        <w:spacing w:after="150"/>
        <w:ind w:firstLine="560"/>
        <w:jc w:val="left"/>
        <w:rPr>
          <w:rFonts w:ascii="宋体" w:hAnsi="宋体" w:cs="宋体"/>
          <w:color w:val="auto"/>
          <w:szCs w:val="21"/>
          <w:highlight w:val="none"/>
        </w:rPr>
      </w:pPr>
      <w:r>
        <w:rPr>
          <w:rFonts w:hint="eastAsia" w:ascii="宋体" w:hAnsi="宋体" w:cs="宋体"/>
          <w:color w:val="auto"/>
          <w:szCs w:val="21"/>
          <w:highlight w:val="none"/>
        </w:rPr>
        <w:t>第二十五条 本办法自2021年1月1日起施行。《财政部 工业和信息化部关于印发〈政府采购促进中小企业发展暂行办法〉的通知》（财库﹝2011﹞181号）同时废止。</w:t>
      </w:r>
    </w:p>
    <w:p w14:paraId="24BC250E">
      <w:pPr>
        <w:widowControl/>
        <w:shd w:val="clear" w:color="auto"/>
        <w:spacing w:line="340" w:lineRule="exact"/>
        <w:ind w:firstLine="420" w:firstLineChars="200"/>
        <w:jc w:val="left"/>
        <w:rPr>
          <w:rFonts w:ascii="宋体" w:hAnsi="宋体" w:cs="宋体"/>
          <w:bCs/>
          <w:color w:val="auto"/>
          <w:szCs w:val="21"/>
          <w:highlight w:val="none"/>
          <w:lang w:val="zh-CN"/>
        </w:rPr>
      </w:pPr>
    </w:p>
    <w:p w14:paraId="67584737">
      <w:pPr>
        <w:widowControl/>
        <w:shd w:val="clear" w:color="auto"/>
        <w:spacing w:line="340" w:lineRule="exact"/>
        <w:ind w:firstLine="420" w:firstLineChars="200"/>
        <w:jc w:val="left"/>
        <w:rPr>
          <w:rFonts w:ascii="宋体" w:hAnsi="宋体" w:cs="宋体"/>
          <w:bCs/>
          <w:color w:val="auto"/>
          <w:szCs w:val="21"/>
          <w:highlight w:val="none"/>
          <w:lang w:val="zh-CN"/>
        </w:rPr>
      </w:pPr>
    </w:p>
    <w:p w14:paraId="4EC5F789">
      <w:pPr>
        <w:pStyle w:val="55"/>
        <w:shd w:val="clear" w:color="auto"/>
        <w:spacing w:before="0" w:beforeAutospacing="0" w:after="0" w:afterAutospacing="0" w:line="480" w:lineRule="atLeast"/>
        <w:jc w:val="center"/>
        <w:rPr>
          <w:rFonts w:hint="default"/>
          <w:color w:val="auto"/>
          <w:sz w:val="21"/>
          <w:szCs w:val="21"/>
          <w:highlight w:val="none"/>
        </w:rPr>
      </w:pPr>
      <w:r>
        <w:rPr>
          <w:rFonts w:ascii="Arial" w:hAnsi="Arial" w:eastAsia="黑体"/>
          <w:bCs/>
          <w:color w:val="auto"/>
          <w:sz w:val="28"/>
          <w:szCs w:val="28"/>
          <w:highlight w:val="none"/>
        </w:rPr>
        <w:br w:type="page"/>
      </w:r>
      <w:r>
        <w:rPr>
          <w:rStyle w:val="64"/>
          <w:rFonts w:hint="default"/>
          <w:color w:val="auto"/>
          <w:sz w:val="21"/>
          <w:szCs w:val="21"/>
          <w:highlight w:val="none"/>
          <w:shd w:val="clear" w:color="auto" w:fill="FFFFFF"/>
        </w:rPr>
        <w:t>财政部关于进一步加大政府采购支持中小企业力度的通知</w:t>
      </w:r>
      <w:r>
        <w:rPr>
          <w:rStyle w:val="64"/>
          <w:rFonts w:hint="default"/>
          <w:color w:val="auto"/>
          <w:sz w:val="21"/>
          <w:szCs w:val="21"/>
          <w:highlight w:val="none"/>
          <w:shd w:val="clear" w:color="auto" w:fill="FFFFFF"/>
        </w:rPr>
        <w:br w:type="textWrapping"/>
      </w:r>
      <w:r>
        <w:rPr>
          <w:rStyle w:val="64"/>
          <w:rFonts w:hint="default"/>
          <w:color w:val="auto"/>
          <w:sz w:val="21"/>
          <w:szCs w:val="21"/>
          <w:highlight w:val="none"/>
          <w:shd w:val="clear" w:color="auto" w:fill="FFFFFF"/>
        </w:rPr>
        <w:t>财库〔2022〕19号</w:t>
      </w:r>
    </w:p>
    <w:p w14:paraId="431E8DCE">
      <w:pPr>
        <w:shd w:val="clear" w:color="auto"/>
        <w:spacing w:line="360" w:lineRule="auto"/>
        <w:rPr>
          <w:rFonts w:ascii="宋体" w:hAnsi="宋体" w:cs="宋体"/>
          <w:color w:val="auto"/>
          <w:szCs w:val="21"/>
          <w:highlight w:val="none"/>
        </w:rPr>
      </w:pPr>
      <w:r>
        <w:rPr>
          <w:rFonts w:hint="eastAsia" w:ascii="宋体" w:hAnsi="宋体" w:cs="宋体"/>
          <w:bCs/>
          <w:color w:val="auto"/>
          <w:szCs w:val="21"/>
          <w:highlight w:val="none"/>
        </w:rPr>
        <w:t>各中央预算单位，各省、自治区、直辖市、计划单列市财政厅（局），新疆生产建设兵团财政局：</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为贯彻落实《</w:t>
      </w:r>
      <w:r>
        <w:rPr>
          <w:color w:val="auto"/>
          <w:highlight w:val="none"/>
        </w:rPr>
        <w:fldChar w:fldCharType="begin"/>
      </w:r>
      <w:r>
        <w:rPr>
          <w:color w:val="auto"/>
          <w:highlight w:val="none"/>
        </w:rPr>
        <w:instrText xml:space="preserve"> HYPERLINK "https://www.waizi.org.cn/doc/132590.html" \t "https://www.waizi.org.cn/doc/_blank" \o "国发〔2022〕12号《国务院关于印发扎实稳住经济一揽子政策措施的通知》" </w:instrText>
      </w:r>
      <w:r>
        <w:rPr>
          <w:color w:val="auto"/>
          <w:highlight w:val="none"/>
        </w:rPr>
        <w:fldChar w:fldCharType="separate"/>
      </w:r>
      <w:r>
        <w:rPr>
          <w:rFonts w:hint="eastAsia" w:ascii="宋体" w:hAnsi="宋体" w:cs="宋体"/>
          <w:bCs/>
          <w:color w:val="auto"/>
          <w:szCs w:val="21"/>
          <w:highlight w:val="none"/>
        </w:rPr>
        <w:t>国务院关于印发扎实稳住经济一揽子政策措施的通知</w:t>
      </w:r>
      <w:r>
        <w:rPr>
          <w:rFonts w:hint="eastAsia" w:ascii="宋体" w:hAnsi="宋体" w:cs="宋体"/>
          <w:bCs/>
          <w:color w:val="auto"/>
          <w:szCs w:val="21"/>
          <w:highlight w:val="none"/>
        </w:rPr>
        <w:fldChar w:fldCharType="end"/>
      </w:r>
      <w:r>
        <w:rPr>
          <w:rFonts w:hint="eastAsia" w:ascii="宋体" w:hAnsi="宋体" w:cs="宋体"/>
          <w:bCs/>
          <w:color w:val="auto"/>
          <w:szCs w:val="21"/>
          <w:highlight w:val="none"/>
        </w:rPr>
        <w:t>》（</w:t>
      </w:r>
      <w:r>
        <w:rPr>
          <w:color w:val="auto"/>
          <w:highlight w:val="none"/>
        </w:rPr>
        <w:fldChar w:fldCharType="begin"/>
      </w:r>
      <w:r>
        <w:rPr>
          <w:color w:val="auto"/>
          <w:highlight w:val="none"/>
        </w:rPr>
        <w:instrText xml:space="preserve"> HYPERLINK "https://www.waizi.org.cn/doc/132590.html" \t "https://www.waizi.org.cn/doc/_blank" \o "国发〔2022〕12号《国务院关于印发扎实稳住经济一揽子政策措施的通知》" </w:instrText>
      </w:r>
      <w:r>
        <w:rPr>
          <w:color w:val="auto"/>
          <w:highlight w:val="none"/>
        </w:rPr>
        <w:fldChar w:fldCharType="separate"/>
      </w:r>
      <w:r>
        <w:rPr>
          <w:rFonts w:hint="eastAsia" w:ascii="宋体" w:hAnsi="宋体" w:cs="宋体"/>
          <w:bCs/>
          <w:color w:val="auto"/>
          <w:szCs w:val="21"/>
          <w:highlight w:val="none"/>
        </w:rPr>
        <w:t>国发〔2022〕12号</w:t>
      </w:r>
      <w:r>
        <w:rPr>
          <w:rFonts w:hint="eastAsia" w:ascii="宋体" w:hAnsi="宋体" w:cs="宋体"/>
          <w:bCs/>
          <w:color w:val="auto"/>
          <w:szCs w:val="21"/>
          <w:highlight w:val="none"/>
        </w:rPr>
        <w:fldChar w:fldCharType="end"/>
      </w:r>
      <w:r>
        <w:rPr>
          <w:rFonts w:hint="eastAsia" w:ascii="宋体" w:hAnsi="宋体" w:cs="宋体"/>
          <w:bCs/>
          <w:color w:val="auto"/>
          <w:szCs w:val="21"/>
          <w:highlight w:val="none"/>
        </w:rPr>
        <w:t>）有关要求，做好财政政策支持中小企业纾困解难工作，助力经济平稳健康发展，现就加大政府采购支持中小企业力度有关事项通知如下：</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一、严格落实支持中小企业政府采购政策。各地区、各部门要按照国务院的统一部署，认真落实《</w:t>
      </w:r>
      <w:r>
        <w:rPr>
          <w:color w:val="auto"/>
          <w:highlight w:val="none"/>
        </w:rPr>
        <w:fldChar w:fldCharType="begin"/>
      </w:r>
      <w:r>
        <w:rPr>
          <w:color w:val="auto"/>
          <w:highlight w:val="none"/>
        </w:rPr>
        <w:instrText xml:space="preserve"> HYPERLINK "https://www.waizi.org.cn/doc/97301.html" \t "https://www.waizi.org.cn/doc/_blank" \o "财库〔2020〕46号《财政部工业和信息化部关于印发〈政府采购促进中小企业发展管理办法〉的通知》" </w:instrText>
      </w:r>
      <w:r>
        <w:rPr>
          <w:color w:val="auto"/>
          <w:highlight w:val="none"/>
        </w:rPr>
        <w:fldChar w:fldCharType="separate"/>
      </w:r>
      <w:r>
        <w:rPr>
          <w:rFonts w:hint="eastAsia" w:ascii="宋体" w:hAnsi="宋体" w:cs="宋体"/>
          <w:bCs/>
          <w:color w:val="auto"/>
          <w:szCs w:val="21"/>
          <w:highlight w:val="none"/>
        </w:rPr>
        <w:t>政府采购促进中小企业发展管理办法</w:t>
      </w:r>
      <w:r>
        <w:rPr>
          <w:rFonts w:hint="eastAsia" w:ascii="宋体" w:hAnsi="宋体" w:cs="宋体"/>
          <w:bCs/>
          <w:color w:val="auto"/>
          <w:szCs w:val="21"/>
          <w:highlight w:val="none"/>
        </w:rPr>
        <w:fldChar w:fldCharType="end"/>
      </w:r>
      <w:r>
        <w:rPr>
          <w:rFonts w:hint="eastAsia" w:ascii="宋体" w:hAnsi="宋体" w:cs="宋体"/>
          <w:bCs/>
          <w:color w:val="auto"/>
          <w:szCs w:val="21"/>
          <w:highlight w:val="none"/>
        </w:rPr>
        <w:t>》（财库〔2020〕46号）的规定，规范资格条件设置，降低中小企业参与门槛，灵活采取项目整体预留、合理预留采购包、要求大企业与中小企业组成联合体、要求大企业向中小企业分包等形式，确保中小企业合同份额。要通过提高预付款比例、引入信用担保、支持中小企业开展合同融资、免费提供电子采购文件等方式，为中小企业参与采购活动提供便利。要严格按规定及时支付采购资金，不得收取没有法律法规依据的保证金，有效减轻中小企业资金压力。</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二、调整对小微企业的价格评审优惠幅度。货物服务采购项目给予小微企业的价格扣除优惠，由财库〔2020〕46号文件规定的6%—10%提高至10%—20%。大中型企业与小微企业组成联合体或者大中型企业向小微企业分包的，评审优惠幅度由2%—3%提高至4%—6%。政府采购工程的价格评审优惠按照财库〔2020〕46号文件的规定执行。自本通知执行之日起发布采购公告或者发出采购邀请的货物服务采购项目，按照本通知规定的评审优惠幅度执行。</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三、提高政府采购工程面向中小企业预留份额。400万元以下的工程采购项目适宜由中小企业提供的，采购人应当专门面向中小企业采购。超过400万元的工程采购项目中适宜由中小企业提供的，在坚持公开公正、公平竞争原则和统一质量标准的前提下，2022年下半年面向中小企业的预留份额由30%以上阶段性提高至40%以上。发展改革委会同相关工程招投标行政监督部门完善工程招投标领域落实政府采购支持中小企业政策相关措施。省级财政部门要积极协调发展改革、工业和信息化、住房和城乡建设、交通、水利、商务、铁路、民航等部门调整完善工程招投标领域有关标准文本、评标制度等规定和做法，并于2022年6月30日前将落实情况汇总报财政部。</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四、认真做好组织实施。各地区、各部门应当加强组织领导，明确工作责任，细化执行要求，强化监督检查，确保国务院部署落实到位，对通知执行中出现的问题要及时向财政部报告。</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本通知自2022年7月1日起执行。</w:t>
      </w:r>
      <w:r>
        <w:rPr>
          <w:rFonts w:hint="eastAsia" w:ascii="宋体" w:hAnsi="宋体" w:cs="宋体"/>
          <w:bCs/>
          <w:color w:val="auto"/>
          <w:szCs w:val="21"/>
          <w:highlight w:val="none"/>
        </w:rPr>
        <w:br w:type="textWrapping"/>
      </w:r>
      <w:r>
        <w:rPr>
          <w:rFonts w:hint="eastAsia" w:ascii="宋体" w:hAnsi="宋体" w:cs="宋体"/>
          <w:bCs/>
          <w:color w:val="auto"/>
          <w:szCs w:val="21"/>
          <w:highlight w:val="none"/>
        </w:rPr>
        <w:t> </w:t>
      </w:r>
      <w:r>
        <w:rPr>
          <w:rFonts w:hint="eastAsia" w:ascii="宋体" w:hAnsi="宋体" w:cs="宋体"/>
          <w:color w:val="auto"/>
          <w:szCs w:val="21"/>
          <w:highlight w:val="none"/>
          <w:shd w:val="clear" w:color="auto" w:fill="FFFFFF"/>
        </w:rPr>
        <w:t>财政部                                                       2022年5月30日</w:t>
      </w:r>
    </w:p>
    <w:p w14:paraId="199FF6CD">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center"/>
        <w:rPr>
          <w:rFonts w:ascii="sans-serif" w:hAnsi="sans-serif" w:eastAsia="sans-serif" w:cs="sans-serif"/>
          <w:i w:val="0"/>
          <w:iCs w:val="0"/>
          <w:caps w:val="0"/>
          <w:color w:val="auto"/>
          <w:spacing w:val="0"/>
          <w:sz w:val="24"/>
          <w:szCs w:val="24"/>
          <w:highlight w:val="none"/>
        </w:rPr>
      </w:pPr>
      <w:r>
        <w:rPr>
          <w:rFonts w:hint="eastAsia" w:ascii="宋体" w:hAnsi="宋体" w:cs="宋体"/>
          <w:color w:val="auto"/>
          <w:szCs w:val="21"/>
          <w:highlight w:val="none"/>
        </w:rPr>
        <w:br w:type="page"/>
      </w: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国家统计局关于印发《统计上</w:t>
      </w:r>
    </w:p>
    <w:p w14:paraId="2ECB8529">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center"/>
        <w:rPr>
          <w:rFonts w:hint="default" w:ascii="sans-serif" w:hAnsi="sans-serif" w:eastAsia="sans-serif" w:cs="sans-serif"/>
          <w:i w:val="0"/>
          <w:iCs w:val="0"/>
          <w:caps w:val="0"/>
          <w:color w:val="auto"/>
          <w:spacing w:val="0"/>
          <w:sz w:val="24"/>
          <w:szCs w:val="24"/>
          <w:highlight w:val="none"/>
        </w:rPr>
      </w:pP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大中小微型企业划分办法（</w:t>
      </w:r>
      <w:r>
        <w:rPr>
          <w:rFonts w:hint="default" w:ascii="Times New Roman" w:hAnsi="Times New Roman" w:eastAsia="sans-serif" w:cs="Times New Roman"/>
          <w:b/>
          <w:bCs/>
          <w:i w:val="0"/>
          <w:iCs w:val="0"/>
          <w:caps w:val="0"/>
          <w:color w:val="auto"/>
          <w:spacing w:val="0"/>
          <w:kern w:val="0"/>
          <w:sz w:val="24"/>
          <w:szCs w:val="24"/>
          <w:highlight w:val="none"/>
          <w:shd w:val="clear" w:color="auto" w:fill="FFFFFF"/>
          <w:lang w:val="en-US" w:eastAsia="zh-CN" w:bidi="ar"/>
        </w:rPr>
        <w:t>2017</w:t>
      </w:r>
      <w:r>
        <w:rPr>
          <w:rFonts w:hint="eastAsia" w:ascii="宋体" w:hAnsi="宋体" w:eastAsia="宋体" w:cs="宋体"/>
          <w:b/>
          <w:bCs/>
          <w:i w:val="0"/>
          <w:iCs w:val="0"/>
          <w:caps w:val="0"/>
          <w:color w:val="auto"/>
          <w:spacing w:val="0"/>
          <w:kern w:val="0"/>
          <w:sz w:val="24"/>
          <w:szCs w:val="24"/>
          <w:highlight w:val="none"/>
          <w:shd w:val="clear" w:color="auto" w:fill="FFFFFF"/>
          <w:lang w:val="en-US" w:eastAsia="zh-CN" w:bidi="ar"/>
        </w:rPr>
        <w:t>）》的通知</w:t>
      </w:r>
    </w:p>
    <w:p w14:paraId="7490B8AD">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left"/>
        <w:rPr>
          <w:rFonts w:hint="default" w:ascii="sans-serif" w:hAnsi="sans-serif" w:eastAsia="sans-serif" w:cs="sans-serif"/>
          <w:i w:val="0"/>
          <w:iCs w:val="0"/>
          <w:caps w:val="0"/>
          <w:color w:val="auto"/>
          <w:spacing w:val="0"/>
          <w:sz w:val="24"/>
          <w:szCs w:val="24"/>
          <w:highlight w:val="none"/>
        </w:rPr>
      </w:pPr>
      <w:r>
        <w:rPr>
          <w:rFonts w:hint="default" w:ascii="Times New Roman" w:hAnsi="Times New Roman" w:eastAsia="sans-serif" w:cs="Times New Roman"/>
          <w:i w:val="0"/>
          <w:iCs w:val="0"/>
          <w:caps w:val="0"/>
          <w:color w:val="auto"/>
          <w:spacing w:val="0"/>
          <w:kern w:val="0"/>
          <w:sz w:val="24"/>
          <w:szCs w:val="24"/>
          <w:highlight w:val="none"/>
          <w:shd w:val="clear" w:color="auto" w:fill="FFFFFF"/>
          <w:lang w:val="en-US" w:eastAsia="zh-CN" w:bidi="ar"/>
        </w:rPr>
        <w:t> </w:t>
      </w:r>
    </w:p>
    <w:p w14:paraId="1E2C039A">
      <w:pPr>
        <w:shd w:val="clear" w:color="auto"/>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各省、自治区、直辖市统计局，新疆生产建设兵团统计局，国务院各有关部门，国家统计局各调查总队：</w:t>
      </w:r>
    </w:p>
    <w:p w14:paraId="66C97B1F">
      <w:pPr>
        <w:shd w:val="clear" w:color="auto"/>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44CB29DC">
      <w:pPr>
        <w:shd w:val="clear" w:color="auto"/>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附件：《统计上大中小微型企业划分办法（2017）》修订说明</w:t>
      </w:r>
    </w:p>
    <w:p w14:paraId="24F3FACE">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 </w:t>
      </w:r>
    </w:p>
    <w:p w14:paraId="29CAEA8D">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国家统计局  </w:t>
      </w:r>
    </w:p>
    <w:p w14:paraId="4AC50751">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righ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2017年12月28日</w:t>
      </w:r>
    </w:p>
    <w:p w14:paraId="2D1F14B0">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left"/>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 </w:t>
      </w:r>
    </w:p>
    <w:p w14:paraId="0BF9F2B1">
      <w:pPr>
        <w:keepNext w:val="0"/>
        <w:keepLines w:val="0"/>
        <w:widowControl/>
        <w:suppressLineNumbers w:val="0"/>
        <w:pBdr>
          <w:top w:val="none" w:color="auto" w:sz="0" w:space="0"/>
          <w:left w:val="none" w:color="auto" w:sz="0" w:space="0"/>
          <w:bottom w:val="none" w:color="auto" w:sz="0" w:space="0"/>
          <w:right w:val="none" w:color="auto" w:sz="0" w:space="0"/>
        </w:pBdr>
        <w:shd w:val="clear" w:color="auto"/>
        <w:spacing w:before="0" w:beforeAutospacing="0" w:after="0" w:afterAutospacing="0" w:line="480" w:lineRule="atLeast"/>
        <w:ind w:left="0" w:right="0" w:firstLine="0"/>
        <w:jc w:val="center"/>
        <w:rPr>
          <w:rFonts w:hint="eastAsia" w:ascii="宋体" w:hAnsi="宋体" w:eastAsia="宋体" w:cs="宋体"/>
          <w:i w:val="0"/>
          <w:iCs w:val="0"/>
          <w:caps w:val="0"/>
          <w:color w:val="auto"/>
          <w:spacing w:val="0"/>
          <w:sz w:val="21"/>
          <w:szCs w:val="21"/>
          <w:highlight w:val="none"/>
        </w:rPr>
      </w:pPr>
      <w:r>
        <w:rPr>
          <w:rFonts w:hint="eastAsia" w:ascii="宋体" w:hAnsi="宋体" w:eastAsia="宋体" w:cs="宋体"/>
          <w:b/>
          <w:bCs/>
          <w:i w:val="0"/>
          <w:iCs w:val="0"/>
          <w:caps w:val="0"/>
          <w:color w:val="auto"/>
          <w:spacing w:val="0"/>
          <w:kern w:val="0"/>
          <w:sz w:val="21"/>
          <w:szCs w:val="21"/>
          <w:highlight w:val="none"/>
          <w:shd w:val="clear" w:color="auto" w:fill="FFFFFF"/>
          <w:lang w:val="en-US" w:eastAsia="zh-CN" w:bidi="ar"/>
        </w:rPr>
        <w:t>统计上大中小微型企业划分办法（2017）</w:t>
      </w:r>
    </w:p>
    <w:p w14:paraId="61A323AF">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i w:val="0"/>
          <w:iCs w:val="0"/>
          <w:caps w:val="0"/>
          <w:color w:val="auto"/>
          <w:spacing w:val="0"/>
          <w:kern w:val="0"/>
          <w:sz w:val="21"/>
          <w:szCs w:val="21"/>
          <w:highlight w:val="none"/>
          <w:shd w:val="clear" w:color="auto" w:fill="FFFFFF"/>
          <w:lang w:val="en-US" w:eastAsia="zh-CN" w:bidi="ar"/>
        </w:rPr>
        <w:t> </w:t>
      </w:r>
      <w:r>
        <w:rPr>
          <w:rFonts w:hint="eastAsia" w:ascii="宋体" w:hAnsi="宋体" w:eastAsia="宋体" w:cs="宋体"/>
          <w:b/>
          <w:bCs/>
          <w:i w:val="0"/>
          <w:iCs w:val="0"/>
          <w:caps w:val="0"/>
          <w:color w:val="auto"/>
          <w:spacing w:val="0"/>
          <w:kern w:val="0"/>
          <w:sz w:val="21"/>
          <w:szCs w:val="21"/>
          <w:highlight w:val="none"/>
          <w:shd w:val="clear" w:color="auto" w:fill="FFFFFF"/>
          <w:lang w:val="en-US" w:eastAsia="zh-CN" w:bidi="ar"/>
        </w:rPr>
        <w:t>　</w:t>
      </w:r>
      <w:r>
        <w:rPr>
          <w:rFonts w:hint="eastAsia" w:ascii="宋体" w:hAnsi="宋体" w:eastAsia="宋体" w:cs="宋体"/>
          <w:bCs/>
          <w:color w:val="auto"/>
          <w:szCs w:val="21"/>
          <w:highlight w:val="none"/>
          <w:lang w:val="en-US" w:eastAsia="zh-CN"/>
        </w:rPr>
        <w:t>　一、根据工业和信息化部、国家统计局、国家发展改革委、财政部《关于印发中小企业划型标准规定的通知》（工信部联企业〔2011〕300号），以《国民经济行业分类》（GB/T4754-2017）为基础，结合统计工作的实际情况，制定本办法。</w:t>
      </w:r>
    </w:p>
    <w:p w14:paraId="72ECB23D">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二、本办法适用对象为在中华人民共和国境内依法设立的各种组织形式的法人企业或单位。个体工商户参照本办法进行划分。</w:t>
      </w:r>
    </w:p>
    <w:p w14:paraId="195048E4">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A20BD3D">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四、本办法按照行业门类、大类、中类和组合类别，依据从业人员、营业收入、资产总额等指标或替代指标，将我国的企业划分为大型、中型、小型、微型等四种类型。具体划分标准见附表。</w:t>
      </w:r>
    </w:p>
    <w:p w14:paraId="0E5AA2EB">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五、企业划分由政府综合统计部门根据统计年报每年确定一次，定报统计原则上不进行调整。</w:t>
      </w:r>
    </w:p>
    <w:p w14:paraId="4442E9DC">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六、本办法自印发之日起执行，国家统计局2011年印发的《统计上大中小微型企业划分办法》（国统字〔2011〕75号）同时废止。</w:t>
      </w:r>
    </w:p>
    <w:p w14:paraId="255DCE7A">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附表：统计上大中小微型企业划分标准</w:t>
      </w:r>
    </w:p>
    <w:p w14:paraId="5222D3E0">
      <w:pPr>
        <w:widowControl/>
        <w:shd w:val="clear" w:color="auto"/>
        <w:spacing w:line="60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附表</w:t>
      </w:r>
    </w:p>
    <w:p w14:paraId="4D128A1C">
      <w:pPr>
        <w:widowControl/>
        <w:shd w:val="clear" w:color="auto"/>
        <w:spacing w:line="330" w:lineRule="atLeas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统计上大中小微型企业划分标准</w:t>
      </w:r>
    </w:p>
    <w:tbl>
      <w:tblPr>
        <w:tblStyle w:val="6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1486"/>
        <w:gridCol w:w="821"/>
        <w:gridCol w:w="1262"/>
        <w:gridCol w:w="1849"/>
        <w:gridCol w:w="1649"/>
        <w:gridCol w:w="990"/>
      </w:tblGrid>
      <w:tr w14:paraId="6FB03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exact"/>
          <w:jc w:val="center"/>
        </w:trPr>
        <w:tc>
          <w:tcPr>
            <w:tcW w:w="1358" w:type="dxa"/>
            <w:tcBorders>
              <w:tl2br w:val="nil"/>
              <w:tr2bl w:val="nil"/>
            </w:tcBorders>
            <w:noWrap w:val="0"/>
            <w:vAlign w:val="center"/>
          </w:tcPr>
          <w:p w14:paraId="6ADB3419">
            <w:pPr>
              <w:widowControl/>
              <w:shd w:val="clear" w:color="auto"/>
              <w:spacing w:line="240" w:lineRule="exact"/>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行业名称</w:t>
            </w:r>
          </w:p>
        </w:tc>
        <w:tc>
          <w:tcPr>
            <w:tcW w:w="1486" w:type="dxa"/>
            <w:tcBorders>
              <w:tl2br w:val="nil"/>
              <w:tr2bl w:val="nil"/>
            </w:tcBorders>
            <w:noWrap w:val="0"/>
            <w:vAlign w:val="center"/>
          </w:tcPr>
          <w:p w14:paraId="28A61DA6">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指标名称</w:t>
            </w:r>
          </w:p>
        </w:tc>
        <w:tc>
          <w:tcPr>
            <w:tcW w:w="821" w:type="dxa"/>
            <w:tcBorders>
              <w:tl2br w:val="nil"/>
              <w:tr2bl w:val="nil"/>
            </w:tcBorders>
            <w:noWrap w:val="0"/>
            <w:vAlign w:val="center"/>
          </w:tcPr>
          <w:p w14:paraId="640B6912">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计量</w:t>
            </w:r>
            <w:r>
              <w:rPr>
                <w:rFonts w:hint="eastAsia" w:ascii="宋体" w:hAnsi="宋体" w:eastAsia="宋体" w:cs="宋体"/>
                <w:b/>
                <w:bCs/>
                <w:color w:val="auto"/>
                <w:kern w:val="0"/>
                <w:sz w:val="21"/>
                <w:szCs w:val="21"/>
                <w:highlight w:val="none"/>
              </w:rPr>
              <w:br w:type="textWrapping"/>
            </w:r>
            <w:r>
              <w:rPr>
                <w:rFonts w:hint="eastAsia" w:ascii="宋体" w:hAnsi="宋体" w:eastAsia="宋体" w:cs="宋体"/>
                <w:b/>
                <w:bCs/>
                <w:color w:val="auto"/>
                <w:kern w:val="0"/>
                <w:sz w:val="21"/>
                <w:szCs w:val="21"/>
                <w:highlight w:val="none"/>
              </w:rPr>
              <w:t>单位</w:t>
            </w:r>
          </w:p>
        </w:tc>
        <w:tc>
          <w:tcPr>
            <w:tcW w:w="1262" w:type="dxa"/>
            <w:tcBorders>
              <w:tl2br w:val="nil"/>
              <w:tr2bl w:val="nil"/>
            </w:tcBorders>
            <w:noWrap w:val="0"/>
            <w:vAlign w:val="center"/>
          </w:tcPr>
          <w:p w14:paraId="0A13F1AD">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大型</w:t>
            </w:r>
          </w:p>
        </w:tc>
        <w:tc>
          <w:tcPr>
            <w:tcW w:w="1849" w:type="dxa"/>
            <w:tcBorders>
              <w:tl2br w:val="nil"/>
              <w:tr2bl w:val="nil"/>
            </w:tcBorders>
            <w:noWrap w:val="0"/>
            <w:vAlign w:val="center"/>
          </w:tcPr>
          <w:p w14:paraId="2AD1DB3C">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中型</w:t>
            </w:r>
          </w:p>
        </w:tc>
        <w:tc>
          <w:tcPr>
            <w:tcW w:w="1649" w:type="dxa"/>
            <w:tcBorders>
              <w:tl2br w:val="nil"/>
              <w:tr2bl w:val="nil"/>
            </w:tcBorders>
            <w:noWrap w:val="0"/>
            <w:vAlign w:val="center"/>
          </w:tcPr>
          <w:p w14:paraId="36101AE2">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小型</w:t>
            </w:r>
          </w:p>
        </w:tc>
        <w:tc>
          <w:tcPr>
            <w:tcW w:w="990" w:type="dxa"/>
            <w:tcBorders>
              <w:tl2br w:val="nil"/>
              <w:tr2bl w:val="nil"/>
            </w:tcBorders>
            <w:noWrap w:val="0"/>
            <w:vAlign w:val="center"/>
          </w:tcPr>
          <w:p w14:paraId="1F1FA150">
            <w:pPr>
              <w:widowControl/>
              <w:shd w:val="clear" w:color="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微型</w:t>
            </w:r>
          </w:p>
        </w:tc>
      </w:tr>
      <w:tr w14:paraId="3CEBE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exact"/>
          <w:jc w:val="center"/>
        </w:trPr>
        <w:tc>
          <w:tcPr>
            <w:tcW w:w="1358" w:type="dxa"/>
            <w:tcBorders>
              <w:tl2br w:val="nil"/>
              <w:tr2bl w:val="nil"/>
            </w:tcBorders>
            <w:noWrap w:val="0"/>
            <w:vAlign w:val="center"/>
          </w:tcPr>
          <w:p w14:paraId="7B8D47A4">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农、林、牧、渔业</w:t>
            </w:r>
          </w:p>
        </w:tc>
        <w:tc>
          <w:tcPr>
            <w:tcW w:w="1486" w:type="dxa"/>
            <w:tcBorders>
              <w:tl2br w:val="nil"/>
              <w:tr2bl w:val="nil"/>
            </w:tcBorders>
            <w:noWrap w:val="0"/>
            <w:vAlign w:val="center"/>
          </w:tcPr>
          <w:p w14:paraId="071F6AA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6E54009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275AD08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849" w:type="dxa"/>
            <w:tcBorders>
              <w:tl2br w:val="nil"/>
              <w:tr2bl w:val="nil"/>
            </w:tcBorders>
            <w:noWrap w:val="0"/>
            <w:vAlign w:val="center"/>
          </w:tcPr>
          <w:p w14:paraId="01F3F44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500≤Y＜20000</w:t>
            </w:r>
          </w:p>
        </w:tc>
        <w:tc>
          <w:tcPr>
            <w:tcW w:w="1649" w:type="dxa"/>
            <w:tcBorders>
              <w:tl2br w:val="nil"/>
              <w:tr2bl w:val="nil"/>
            </w:tcBorders>
            <w:noWrap w:val="0"/>
            <w:vAlign w:val="center"/>
          </w:tcPr>
          <w:p w14:paraId="28579E5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50≤Y＜500</w:t>
            </w:r>
          </w:p>
        </w:tc>
        <w:tc>
          <w:tcPr>
            <w:tcW w:w="990" w:type="dxa"/>
            <w:tcBorders>
              <w:tl2br w:val="nil"/>
              <w:tr2bl w:val="nil"/>
            </w:tcBorders>
            <w:noWrap w:val="0"/>
            <w:vAlign w:val="center"/>
          </w:tcPr>
          <w:p w14:paraId="388431E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41C06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exact"/>
          <w:jc w:val="center"/>
        </w:trPr>
        <w:tc>
          <w:tcPr>
            <w:tcW w:w="1358" w:type="dxa"/>
            <w:vMerge w:val="restart"/>
            <w:tcBorders>
              <w:tl2br w:val="nil"/>
              <w:tr2bl w:val="nil"/>
            </w:tcBorders>
            <w:noWrap w:val="0"/>
            <w:vAlign w:val="center"/>
          </w:tcPr>
          <w:p w14:paraId="1587B87D">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w:t>
            </w:r>
          </w:p>
        </w:tc>
        <w:tc>
          <w:tcPr>
            <w:tcW w:w="1486" w:type="dxa"/>
            <w:tcBorders>
              <w:tl2br w:val="nil"/>
              <w:tr2bl w:val="nil"/>
            </w:tcBorders>
            <w:noWrap w:val="0"/>
            <w:vAlign w:val="center"/>
          </w:tcPr>
          <w:p w14:paraId="5469DE6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7357513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5504739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849" w:type="dxa"/>
            <w:tcBorders>
              <w:tl2br w:val="nil"/>
              <w:tr2bl w:val="nil"/>
            </w:tcBorders>
            <w:noWrap w:val="0"/>
            <w:vAlign w:val="center"/>
          </w:tcPr>
          <w:p w14:paraId="074CC95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49" w:type="dxa"/>
            <w:tcBorders>
              <w:tl2br w:val="nil"/>
              <w:tr2bl w:val="nil"/>
            </w:tcBorders>
            <w:noWrap w:val="0"/>
            <w:vAlign w:val="center"/>
          </w:tcPr>
          <w:p w14:paraId="7632628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20≤X＜300</w:t>
            </w:r>
          </w:p>
        </w:tc>
        <w:tc>
          <w:tcPr>
            <w:tcW w:w="990" w:type="dxa"/>
            <w:tcBorders>
              <w:tl2br w:val="nil"/>
              <w:tr2bl w:val="nil"/>
            </w:tcBorders>
            <w:noWrap w:val="0"/>
            <w:vAlign w:val="center"/>
          </w:tcPr>
          <w:p w14:paraId="6480693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016C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jc w:val="center"/>
        </w:trPr>
        <w:tc>
          <w:tcPr>
            <w:tcW w:w="1358" w:type="dxa"/>
            <w:vMerge w:val="continue"/>
            <w:tcBorders>
              <w:tl2br w:val="nil"/>
              <w:tr2bl w:val="nil"/>
            </w:tcBorders>
            <w:noWrap w:val="0"/>
            <w:vAlign w:val="center"/>
          </w:tcPr>
          <w:p w14:paraId="299A2E8E">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627C2BF8">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742AD6E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2AEEF09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849" w:type="dxa"/>
            <w:tcBorders>
              <w:tl2br w:val="nil"/>
              <w:tr2bl w:val="nil"/>
            </w:tcBorders>
            <w:noWrap w:val="0"/>
            <w:vAlign w:val="center"/>
          </w:tcPr>
          <w:p w14:paraId="59FB252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2000≤Y＜40000</w:t>
            </w:r>
          </w:p>
        </w:tc>
        <w:tc>
          <w:tcPr>
            <w:tcW w:w="1649" w:type="dxa"/>
            <w:tcBorders>
              <w:tl2br w:val="nil"/>
              <w:tr2bl w:val="nil"/>
            </w:tcBorders>
            <w:noWrap w:val="0"/>
            <w:vAlign w:val="center"/>
          </w:tcPr>
          <w:p w14:paraId="370C83A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300≤Y＜2000</w:t>
            </w:r>
          </w:p>
        </w:tc>
        <w:tc>
          <w:tcPr>
            <w:tcW w:w="990" w:type="dxa"/>
            <w:tcBorders>
              <w:tl2br w:val="nil"/>
              <w:tr2bl w:val="nil"/>
            </w:tcBorders>
            <w:noWrap w:val="0"/>
            <w:vAlign w:val="center"/>
          </w:tcPr>
          <w:p w14:paraId="5CAF910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4EE43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jc w:val="center"/>
        </w:trPr>
        <w:tc>
          <w:tcPr>
            <w:tcW w:w="1358" w:type="dxa"/>
            <w:vMerge w:val="restart"/>
            <w:tcBorders>
              <w:tl2br w:val="nil"/>
              <w:tr2bl w:val="nil"/>
            </w:tcBorders>
            <w:noWrap w:val="0"/>
            <w:vAlign w:val="center"/>
          </w:tcPr>
          <w:p w14:paraId="6B0E7607">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建筑业</w:t>
            </w:r>
          </w:p>
        </w:tc>
        <w:tc>
          <w:tcPr>
            <w:tcW w:w="1486" w:type="dxa"/>
            <w:tcBorders>
              <w:tl2br w:val="nil"/>
              <w:tr2bl w:val="nil"/>
            </w:tcBorders>
            <w:noWrap w:val="0"/>
            <w:vAlign w:val="center"/>
          </w:tcPr>
          <w:p w14:paraId="69FE2CA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0CB92EE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303A7EF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Y≥80000</w:t>
            </w:r>
          </w:p>
        </w:tc>
        <w:tc>
          <w:tcPr>
            <w:tcW w:w="1849" w:type="dxa"/>
            <w:tcBorders>
              <w:tl2br w:val="nil"/>
              <w:tr2bl w:val="nil"/>
            </w:tcBorders>
            <w:noWrap w:val="0"/>
            <w:vAlign w:val="center"/>
          </w:tcPr>
          <w:p w14:paraId="05833AE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6000≤Y＜80000</w:t>
            </w:r>
          </w:p>
        </w:tc>
        <w:tc>
          <w:tcPr>
            <w:tcW w:w="1649" w:type="dxa"/>
            <w:tcBorders>
              <w:tl2br w:val="nil"/>
              <w:tr2bl w:val="nil"/>
            </w:tcBorders>
            <w:noWrap w:val="0"/>
            <w:vAlign w:val="center"/>
          </w:tcPr>
          <w:p w14:paraId="23CE96D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300≤Y＜6000</w:t>
            </w:r>
          </w:p>
        </w:tc>
        <w:tc>
          <w:tcPr>
            <w:tcW w:w="990" w:type="dxa"/>
            <w:tcBorders>
              <w:tl2br w:val="nil"/>
              <w:tr2bl w:val="nil"/>
            </w:tcBorders>
            <w:noWrap w:val="0"/>
            <w:vAlign w:val="center"/>
          </w:tcPr>
          <w:p w14:paraId="2962854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w:t>
            </w:r>
          </w:p>
        </w:tc>
      </w:tr>
      <w:tr w14:paraId="76A80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1358" w:type="dxa"/>
            <w:vMerge w:val="continue"/>
            <w:tcBorders>
              <w:tl2br w:val="nil"/>
              <w:tr2bl w:val="nil"/>
            </w:tcBorders>
            <w:noWrap w:val="0"/>
            <w:vAlign w:val="center"/>
          </w:tcPr>
          <w:p w14:paraId="434CCC9C">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0041794B">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21" w:type="dxa"/>
            <w:tcBorders>
              <w:tl2br w:val="nil"/>
              <w:tr2bl w:val="nil"/>
            </w:tcBorders>
            <w:noWrap w:val="0"/>
            <w:vAlign w:val="center"/>
          </w:tcPr>
          <w:p w14:paraId="113E8BB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221667F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Z≥80000</w:t>
            </w:r>
          </w:p>
        </w:tc>
        <w:tc>
          <w:tcPr>
            <w:tcW w:w="1849" w:type="dxa"/>
            <w:tcBorders>
              <w:tl2br w:val="nil"/>
              <w:tr2bl w:val="nil"/>
            </w:tcBorders>
            <w:noWrap w:val="0"/>
            <w:vAlign w:val="center"/>
          </w:tcPr>
          <w:p w14:paraId="2D77211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5000≤Z＜80000</w:t>
            </w:r>
          </w:p>
        </w:tc>
        <w:tc>
          <w:tcPr>
            <w:tcW w:w="1649" w:type="dxa"/>
            <w:tcBorders>
              <w:tl2br w:val="nil"/>
              <w:tr2bl w:val="nil"/>
            </w:tcBorders>
            <w:noWrap w:val="0"/>
            <w:vAlign w:val="center"/>
          </w:tcPr>
          <w:p w14:paraId="5417AD2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300≤Z＜5000</w:t>
            </w:r>
          </w:p>
        </w:tc>
        <w:tc>
          <w:tcPr>
            <w:tcW w:w="990" w:type="dxa"/>
            <w:tcBorders>
              <w:tl2br w:val="nil"/>
              <w:tr2bl w:val="nil"/>
            </w:tcBorders>
            <w:noWrap w:val="0"/>
            <w:vAlign w:val="center"/>
          </w:tcPr>
          <w:p w14:paraId="2B86CBC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Z＜300</w:t>
            </w:r>
          </w:p>
        </w:tc>
      </w:tr>
      <w:tr w14:paraId="037C9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jc w:val="center"/>
        </w:trPr>
        <w:tc>
          <w:tcPr>
            <w:tcW w:w="1358" w:type="dxa"/>
            <w:vMerge w:val="restart"/>
            <w:tcBorders>
              <w:tl2br w:val="nil"/>
              <w:tr2bl w:val="nil"/>
            </w:tcBorders>
            <w:noWrap w:val="0"/>
            <w:vAlign w:val="center"/>
          </w:tcPr>
          <w:p w14:paraId="46037C0A">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批发业</w:t>
            </w:r>
          </w:p>
        </w:tc>
        <w:tc>
          <w:tcPr>
            <w:tcW w:w="1486" w:type="dxa"/>
            <w:tcBorders>
              <w:tl2br w:val="nil"/>
              <w:tr2bl w:val="nil"/>
            </w:tcBorders>
            <w:noWrap w:val="0"/>
            <w:vAlign w:val="center"/>
          </w:tcPr>
          <w:p w14:paraId="5715301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1A1B0B7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2E22020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849" w:type="dxa"/>
            <w:tcBorders>
              <w:tl2br w:val="nil"/>
              <w:tr2bl w:val="nil"/>
            </w:tcBorders>
            <w:noWrap w:val="0"/>
            <w:vAlign w:val="center"/>
          </w:tcPr>
          <w:p w14:paraId="59C26A1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20≤X＜200</w:t>
            </w:r>
          </w:p>
        </w:tc>
        <w:tc>
          <w:tcPr>
            <w:tcW w:w="1649" w:type="dxa"/>
            <w:tcBorders>
              <w:tl2br w:val="nil"/>
              <w:tr2bl w:val="nil"/>
            </w:tcBorders>
            <w:noWrap w:val="0"/>
            <w:vAlign w:val="center"/>
          </w:tcPr>
          <w:p w14:paraId="1074814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5≤X＜20</w:t>
            </w:r>
          </w:p>
        </w:tc>
        <w:tc>
          <w:tcPr>
            <w:tcW w:w="990" w:type="dxa"/>
            <w:tcBorders>
              <w:tl2br w:val="nil"/>
              <w:tr2bl w:val="nil"/>
            </w:tcBorders>
            <w:noWrap w:val="0"/>
            <w:vAlign w:val="center"/>
          </w:tcPr>
          <w:p w14:paraId="1B34456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X＜5</w:t>
            </w:r>
          </w:p>
        </w:tc>
      </w:tr>
      <w:tr w14:paraId="3582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1358" w:type="dxa"/>
            <w:vMerge w:val="continue"/>
            <w:tcBorders>
              <w:tl2br w:val="nil"/>
              <w:tr2bl w:val="nil"/>
            </w:tcBorders>
            <w:noWrap w:val="0"/>
            <w:vAlign w:val="center"/>
          </w:tcPr>
          <w:p w14:paraId="1EBF3711">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3A534BD0">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33995E7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196C2B8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849" w:type="dxa"/>
            <w:tcBorders>
              <w:tl2br w:val="nil"/>
              <w:tr2bl w:val="nil"/>
            </w:tcBorders>
            <w:noWrap w:val="0"/>
            <w:vAlign w:val="center"/>
          </w:tcPr>
          <w:p w14:paraId="11A2FFE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5000≤Y＜40000</w:t>
            </w:r>
          </w:p>
        </w:tc>
        <w:tc>
          <w:tcPr>
            <w:tcW w:w="1649" w:type="dxa"/>
            <w:tcBorders>
              <w:tl2br w:val="nil"/>
              <w:tr2bl w:val="nil"/>
            </w:tcBorders>
            <w:noWrap w:val="0"/>
            <w:vAlign w:val="center"/>
          </w:tcPr>
          <w:p w14:paraId="503B8DC9">
            <w:pPr>
              <w:widowControl/>
              <w:shd w:val="clear" w:color="auto"/>
              <w:ind w:left="-1" w:leftChars="-1" w:hanging="1"/>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1000≤Y＜5000</w:t>
            </w:r>
          </w:p>
        </w:tc>
        <w:tc>
          <w:tcPr>
            <w:tcW w:w="990" w:type="dxa"/>
            <w:tcBorders>
              <w:tl2br w:val="nil"/>
              <w:tr2bl w:val="nil"/>
            </w:tcBorders>
            <w:noWrap w:val="0"/>
            <w:vAlign w:val="center"/>
          </w:tcPr>
          <w:p w14:paraId="3C4FACD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w:t>
            </w:r>
          </w:p>
        </w:tc>
      </w:tr>
      <w:tr w14:paraId="60675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exact"/>
          <w:jc w:val="center"/>
        </w:trPr>
        <w:tc>
          <w:tcPr>
            <w:tcW w:w="1358" w:type="dxa"/>
            <w:vMerge w:val="restart"/>
            <w:tcBorders>
              <w:tl2br w:val="nil"/>
              <w:tr2bl w:val="nil"/>
            </w:tcBorders>
            <w:noWrap w:val="0"/>
            <w:vAlign w:val="center"/>
          </w:tcPr>
          <w:p w14:paraId="357F68F0">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零售业</w:t>
            </w:r>
          </w:p>
        </w:tc>
        <w:tc>
          <w:tcPr>
            <w:tcW w:w="1486" w:type="dxa"/>
            <w:tcBorders>
              <w:tl2br w:val="nil"/>
              <w:tr2bl w:val="nil"/>
            </w:tcBorders>
            <w:noWrap w:val="0"/>
            <w:vAlign w:val="center"/>
          </w:tcPr>
          <w:p w14:paraId="312CDDD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12D2777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746EC7E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63078B9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50≤X＜300</w:t>
            </w:r>
          </w:p>
        </w:tc>
        <w:tc>
          <w:tcPr>
            <w:tcW w:w="1649" w:type="dxa"/>
            <w:tcBorders>
              <w:tl2br w:val="nil"/>
              <w:tr2bl w:val="nil"/>
            </w:tcBorders>
            <w:noWrap w:val="0"/>
            <w:vAlign w:val="center"/>
          </w:tcPr>
          <w:p w14:paraId="75D4B1E6">
            <w:pPr>
              <w:widowControl/>
              <w:shd w:val="clear" w:color="auto"/>
              <w:ind w:left="-1" w:leftChars="-1" w:hanging="1"/>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10≤X＜50 </w:t>
            </w:r>
          </w:p>
        </w:tc>
        <w:tc>
          <w:tcPr>
            <w:tcW w:w="990" w:type="dxa"/>
            <w:tcBorders>
              <w:tl2br w:val="nil"/>
              <w:tr2bl w:val="nil"/>
            </w:tcBorders>
            <w:noWrap w:val="0"/>
            <w:vAlign w:val="center"/>
          </w:tcPr>
          <w:p w14:paraId="6FE0110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2903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jc w:val="center"/>
        </w:trPr>
        <w:tc>
          <w:tcPr>
            <w:tcW w:w="1358" w:type="dxa"/>
            <w:vMerge w:val="continue"/>
            <w:tcBorders>
              <w:tl2br w:val="nil"/>
              <w:tr2bl w:val="nil"/>
            </w:tcBorders>
            <w:noWrap w:val="0"/>
            <w:vAlign w:val="center"/>
          </w:tcPr>
          <w:p w14:paraId="536EB9B4">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157F66F7">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5F587A0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62AE917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849" w:type="dxa"/>
            <w:tcBorders>
              <w:tl2br w:val="nil"/>
              <w:tr2bl w:val="nil"/>
            </w:tcBorders>
            <w:noWrap w:val="0"/>
            <w:vAlign w:val="center"/>
          </w:tcPr>
          <w:p w14:paraId="69D254C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500≤Y＜20000</w:t>
            </w:r>
          </w:p>
        </w:tc>
        <w:tc>
          <w:tcPr>
            <w:tcW w:w="1649" w:type="dxa"/>
            <w:tcBorders>
              <w:tl2br w:val="nil"/>
              <w:tr2bl w:val="nil"/>
            </w:tcBorders>
            <w:noWrap w:val="0"/>
            <w:vAlign w:val="center"/>
          </w:tcPr>
          <w:p w14:paraId="2C38BC38">
            <w:pPr>
              <w:widowControl/>
              <w:shd w:val="clear" w:color="auto"/>
              <w:ind w:left="-1" w:leftChars="-1" w:hanging="1"/>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100≤Y＜500 </w:t>
            </w:r>
          </w:p>
        </w:tc>
        <w:tc>
          <w:tcPr>
            <w:tcW w:w="990" w:type="dxa"/>
            <w:tcBorders>
              <w:tl2br w:val="nil"/>
              <w:tr2bl w:val="nil"/>
            </w:tcBorders>
            <w:noWrap w:val="0"/>
            <w:vAlign w:val="center"/>
          </w:tcPr>
          <w:p w14:paraId="50AA256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786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1358" w:type="dxa"/>
            <w:vMerge w:val="restart"/>
            <w:tcBorders>
              <w:tl2br w:val="nil"/>
              <w:tr2bl w:val="nil"/>
            </w:tcBorders>
            <w:noWrap w:val="0"/>
            <w:vAlign w:val="center"/>
          </w:tcPr>
          <w:p w14:paraId="5A7A5AE6">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交通运输业 *</w:t>
            </w:r>
          </w:p>
        </w:tc>
        <w:tc>
          <w:tcPr>
            <w:tcW w:w="1486" w:type="dxa"/>
            <w:tcBorders>
              <w:tl2br w:val="nil"/>
              <w:tr2bl w:val="nil"/>
            </w:tcBorders>
            <w:noWrap w:val="0"/>
            <w:vAlign w:val="center"/>
          </w:tcPr>
          <w:p w14:paraId="12BC7F3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0A06D6B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6D5B239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849" w:type="dxa"/>
            <w:tcBorders>
              <w:tl2br w:val="nil"/>
              <w:tr2bl w:val="nil"/>
            </w:tcBorders>
            <w:noWrap w:val="0"/>
            <w:vAlign w:val="center"/>
          </w:tcPr>
          <w:p w14:paraId="5393CB6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49" w:type="dxa"/>
            <w:tcBorders>
              <w:tl2br w:val="nil"/>
              <w:tr2bl w:val="nil"/>
            </w:tcBorders>
            <w:noWrap w:val="0"/>
            <w:vAlign w:val="center"/>
          </w:tcPr>
          <w:p w14:paraId="2CF1B0E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20≤X＜300</w:t>
            </w:r>
          </w:p>
        </w:tc>
        <w:tc>
          <w:tcPr>
            <w:tcW w:w="990" w:type="dxa"/>
            <w:tcBorders>
              <w:tl2br w:val="nil"/>
              <w:tr2bl w:val="nil"/>
            </w:tcBorders>
            <w:noWrap w:val="0"/>
            <w:vAlign w:val="center"/>
          </w:tcPr>
          <w:p w14:paraId="2DAF607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8971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358" w:type="dxa"/>
            <w:vMerge w:val="continue"/>
            <w:tcBorders>
              <w:tl2br w:val="nil"/>
              <w:tr2bl w:val="nil"/>
            </w:tcBorders>
            <w:noWrap w:val="0"/>
            <w:vAlign w:val="center"/>
          </w:tcPr>
          <w:p w14:paraId="307006F7">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3B258AE7">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31E4488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7B47505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849" w:type="dxa"/>
            <w:tcBorders>
              <w:tl2br w:val="nil"/>
              <w:tr2bl w:val="nil"/>
            </w:tcBorders>
            <w:noWrap w:val="0"/>
            <w:vAlign w:val="center"/>
          </w:tcPr>
          <w:p w14:paraId="4816F54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3000≤Y＜30000</w:t>
            </w:r>
          </w:p>
        </w:tc>
        <w:tc>
          <w:tcPr>
            <w:tcW w:w="1649" w:type="dxa"/>
            <w:tcBorders>
              <w:tl2br w:val="nil"/>
              <w:tr2bl w:val="nil"/>
            </w:tcBorders>
            <w:noWrap w:val="0"/>
            <w:vAlign w:val="center"/>
          </w:tcPr>
          <w:p w14:paraId="1880022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200≤Y＜3000</w:t>
            </w:r>
          </w:p>
        </w:tc>
        <w:tc>
          <w:tcPr>
            <w:tcW w:w="990" w:type="dxa"/>
            <w:tcBorders>
              <w:tl2br w:val="nil"/>
              <w:tr2bl w:val="nil"/>
            </w:tcBorders>
            <w:noWrap w:val="0"/>
            <w:vAlign w:val="center"/>
          </w:tcPr>
          <w:p w14:paraId="393B348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w:t>
            </w:r>
          </w:p>
        </w:tc>
      </w:tr>
      <w:tr w14:paraId="16FF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exact"/>
          <w:jc w:val="center"/>
        </w:trPr>
        <w:tc>
          <w:tcPr>
            <w:tcW w:w="1358" w:type="dxa"/>
            <w:vMerge w:val="restart"/>
            <w:tcBorders>
              <w:tl2br w:val="nil"/>
              <w:tr2bl w:val="nil"/>
            </w:tcBorders>
            <w:noWrap w:val="0"/>
            <w:vAlign w:val="center"/>
          </w:tcPr>
          <w:p w14:paraId="17560234">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仓储业*</w:t>
            </w:r>
          </w:p>
        </w:tc>
        <w:tc>
          <w:tcPr>
            <w:tcW w:w="1486" w:type="dxa"/>
            <w:tcBorders>
              <w:tl2br w:val="nil"/>
              <w:tr2bl w:val="nil"/>
            </w:tcBorders>
            <w:noWrap w:val="0"/>
            <w:vAlign w:val="center"/>
          </w:tcPr>
          <w:p w14:paraId="7EB67F6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77CA7CB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06FD83C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849" w:type="dxa"/>
            <w:tcBorders>
              <w:tl2br w:val="nil"/>
              <w:tr2bl w:val="nil"/>
            </w:tcBorders>
            <w:noWrap w:val="0"/>
            <w:vAlign w:val="center"/>
          </w:tcPr>
          <w:p w14:paraId="68E4F403">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w:t>
            </w:r>
          </w:p>
        </w:tc>
        <w:tc>
          <w:tcPr>
            <w:tcW w:w="1649" w:type="dxa"/>
            <w:tcBorders>
              <w:tl2br w:val="nil"/>
              <w:tr2bl w:val="nil"/>
            </w:tcBorders>
            <w:noWrap w:val="0"/>
            <w:vAlign w:val="center"/>
          </w:tcPr>
          <w:p w14:paraId="699407B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20≤X＜100</w:t>
            </w:r>
          </w:p>
        </w:tc>
        <w:tc>
          <w:tcPr>
            <w:tcW w:w="990" w:type="dxa"/>
            <w:tcBorders>
              <w:tl2br w:val="nil"/>
              <w:tr2bl w:val="nil"/>
            </w:tcBorders>
            <w:noWrap w:val="0"/>
            <w:vAlign w:val="center"/>
          </w:tcPr>
          <w:p w14:paraId="43AC775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4D35D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exact"/>
          <w:jc w:val="center"/>
        </w:trPr>
        <w:tc>
          <w:tcPr>
            <w:tcW w:w="1358" w:type="dxa"/>
            <w:vMerge w:val="continue"/>
            <w:tcBorders>
              <w:tl2br w:val="nil"/>
              <w:tr2bl w:val="nil"/>
            </w:tcBorders>
            <w:noWrap w:val="0"/>
            <w:vAlign w:val="center"/>
          </w:tcPr>
          <w:p w14:paraId="5140179F">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050647AE">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1E1BF94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5306D1A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849" w:type="dxa"/>
            <w:tcBorders>
              <w:tl2br w:val="nil"/>
              <w:tr2bl w:val="nil"/>
            </w:tcBorders>
            <w:noWrap w:val="0"/>
            <w:vAlign w:val="center"/>
          </w:tcPr>
          <w:p w14:paraId="50C37B1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1000≤Y＜30000</w:t>
            </w:r>
          </w:p>
        </w:tc>
        <w:tc>
          <w:tcPr>
            <w:tcW w:w="1649" w:type="dxa"/>
            <w:tcBorders>
              <w:tl2br w:val="nil"/>
              <w:tr2bl w:val="nil"/>
            </w:tcBorders>
            <w:noWrap w:val="0"/>
            <w:vAlign w:val="center"/>
          </w:tcPr>
          <w:p w14:paraId="5DBA968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100≤Y＜1000</w:t>
            </w:r>
          </w:p>
        </w:tc>
        <w:tc>
          <w:tcPr>
            <w:tcW w:w="990" w:type="dxa"/>
            <w:tcBorders>
              <w:tl2br w:val="nil"/>
              <w:tr2bl w:val="nil"/>
            </w:tcBorders>
            <w:noWrap w:val="0"/>
            <w:vAlign w:val="center"/>
          </w:tcPr>
          <w:p w14:paraId="2CDA99F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A21F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exact"/>
          <w:jc w:val="center"/>
        </w:trPr>
        <w:tc>
          <w:tcPr>
            <w:tcW w:w="1358" w:type="dxa"/>
            <w:vMerge w:val="restart"/>
            <w:tcBorders>
              <w:tl2br w:val="nil"/>
              <w:tr2bl w:val="nil"/>
            </w:tcBorders>
            <w:noWrap w:val="0"/>
            <w:vAlign w:val="center"/>
          </w:tcPr>
          <w:p w14:paraId="64EE5B9C">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邮政业</w:t>
            </w:r>
          </w:p>
        </w:tc>
        <w:tc>
          <w:tcPr>
            <w:tcW w:w="1486" w:type="dxa"/>
            <w:tcBorders>
              <w:tl2br w:val="nil"/>
              <w:tr2bl w:val="nil"/>
            </w:tcBorders>
            <w:noWrap w:val="0"/>
            <w:vAlign w:val="center"/>
          </w:tcPr>
          <w:p w14:paraId="4DAC625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0FCBDAF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6FA74C2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849" w:type="dxa"/>
            <w:tcBorders>
              <w:tl2br w:val="nil"/>
              <w:tr2bl w:val="nil"/>
            </w:tcBorders>
            <w:noWrap w:val="0"/>
            <w:vAlign w:val="center"/>
          </w:tcPr>
          <w:p w14:paraId="3C9CB63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49" w:type="dxa"/>
            <w:tcBorders>
              <w:tl2br w:val="nil"/>
              <w:tr2bl w:val="nil"/>
            </w:tcBorders>
            <w:noWrap w:val="0"/>
            <w:vAlign w:val="center"/>
          </w:tcPr>
          <w:p w14:paraId="7225F76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20≤X＜300</w:t>
            </w:r>
          </w:p>
        </w:tc>
        <w:tc>
          <w:tcPr>
            <w:tcW w:w="990" w:type="dxa"/>
            <w:tcBorders>
              <w:tl2br w:val="nil"/>
              <w:tr2bl w:val="nil"/>
            </w:tcBorders>
            <w:noWrap w:val="0"/>
            <w:vAlign w:val="center"/>
          </w:tcPr>
          <w:p w14:paraId="5F0562F8">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w:t>
            </w:r>
          </w:p>
        </w:tc>
      </w:tr>
      <w:tr w14:paraId="7D7A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exact"/>
          <w:jc w:val="center"/>
        </w:trPr>
        <w:tc>
          <w:tcPr>
            <w:tcW w:w="1358" w:type="dxa"/>
            <w:vMerge w:val="continue"/>
            <w:tcBorders>
              <w:tl2br w:val="nil"/>
              <w:tr2bl w:val="nil"/>
            </w:tcBorders>
            <w:noWrap w:val="0"/>
            <w:vAlign w:val="center"/>
          </w:tcPr>
          <w:p w14:paraId="24410EF8">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78D3DFC5">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5C84A88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3BC2EC8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849" w:type="dxa"/>
            <w:tcBorders>
              <w:tl2br w:val="nil"/>
              <w:tr2bl w:val="nil"/>
            </w:tcBorders>
            <w:noWrap w:val="0"/>
            <w:vAlign w:val="center"/>
          </w:tcPr>
          <w:p w14:paraId="314D37D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2000≤Y＜30000</w:t>
            </w:r>
          </w:p>
        </w:tc>
        <w:tc>
          <w:tcPr>
            <w:tcW w:w="1649" w:type="dxa"/>
            <w:tcBorders>
              <w:tl2br w:val="nil"/>
              <w:tr2bl w:val="nil"/>
            </w:tcBorders>
            <w:noWrap w:val="0"/>
            <w:vAlign w:val="center"/>
          </w:tcPr>
          <w:p w14:paraId="7AEA983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100≤Y＜2000</w:t>
            </w:r>
          </w:p>
        </w:tc>
        <w:tc>
          <w:tcPr>
            <w:tcW w:w="990" w:type="dxa"/>
            <w:tcBorders>
              <w:tl2br w:val="nil"/>
              <w:tr2bl w:val="nil"/>
            </w:tcBorders>
            <w:noWrap w:val="0"/>
            <w:vAlign w:val="center"/>
          </w:tcPr>
          <w:p w14:paraId="4154CE3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F751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exact"/>
          <w:jc w:val="center"/>
        </w:trPr>
        <w:tc>
          <w:tcPr>
            <w:tcW w:w="1358" w:type="dxa"/>
            <w:vMerge w:val="restart"/>
            <w:tcBorders>
              <w:tl2br w:val="nil"/>
              <w:tr2bl w:val="nil"/>
            </w:tcBorders>
            <w:noWrap w:val="0"/>
            <w:vAlign w:val="center"/>
          </w:tcPr>
          <w:p w14:paraId="61C907AC">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住宿业</w:t>
            </w:r>
          </w:p>
        </w:tc>
        <w:tc>
          <w:tcPr>
            <w:tcW w:w="1486" w:type="dxa"/>
            <w:tcBorders>
              <w:tl2br w:val="nil"/>
              <w:tr2bl w:val="nil"/>
            </w:tcBorders>
            <w:noWrap w:val="0"/>
            <w:vAlign w:val="center"/>
          </w:tcPr>
          <w:p w14:paraId="7EE1B5A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47AD7A7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1918043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0651BB86">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649" w:type="dxa"/>
            <w:tcBorders>
              <w:tl2br w:val="nil"/>
              <w:tr2bl w:val="nil"/>
            </w:tcBorders>
            <w:noWrap w:val="0"/>
            <w:vAlign w:val="center"/>
          </w:tcPr>
          <w:p w14:paraId="4EE9875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10≤X＜100</w:t>
            </w:r>
          </w:p>
        </w:tc>
        <w:tc>
          <w:tcPr>
            <w:tcW w:w="990" w:type="dxa"/>
            <w:tcBorders>
              <w:tl2br w:val="nil"/>
              <w:tr2bl w:val="nil"/>
            </w:tcBorders>
            <w:noWrap w:val="0"/>
            <w:vAlign w:val="center"/>
          </w:tcPr>
          <w:p w14:paraId="15C280B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5617E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exact"/>
          <w:jc w:val="center"/>
        </w:trPr>
        <w:tc>
          <w:tcPr>
            <w:tcW w:w="1358" w:type="dxa"/>
            <w:vMerge w:val="continue"/>
            <w:tcBorders>
              <w:tl2br w:val="nil"/>
              <w:tr2bl w:val="nil"/>
            </w:tcBorders>
            <w:noWrap w:val="0"/>
            <w:vAlign w:val="center"/>
          </w:tcPr>
          <w:p w14:paraId="0A8820D6">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666F7FAE">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56D4989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4331581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849" w:type="dxa"/>
            <w:tcBorders>
              <w:tl2br w:val="nil"/>
              <w:tr2bl w:val="nil"/>
            </w:tcBorders>
            <w:noWrap w:val="0"/>
            <w:vAlign w:val="center"/>
          </w:tcPr>
          <w:p w14:paraId="77C271F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649" w:type="dxa"/>
            <w:tcBorders>
              <w:tl2br w:val="nil"/>
              <w:tr2bl w:val="nil"/>
            </w:tcBorders>
            <w:noWrap w:val="0"/>
            <w:vAlign w:val="center"/>
          </w:tcPr>
          <w:p w14:paraId="251054B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100≤Y＜2000</w:t>
            </w:r>
          </w:p>
        </w:tc>
        <w:tc>
          <w:tcPr>
            <w:tcW w:w="990" w:type="dxa"/>
            <w:tcBorders>
              <w:tl2br w:val="nil"/>
              <w:tr2bl w:val="nil"/>
            </w:tcBorders>
            <w:noWrap w:val="0"/>
            <w:vAlign w:val="center"/>
          </w:tcPr>
          <w:p w14:paraId="6352370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8EF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358" w:type="dxa"/>
            <w:vMerge w:val="restart"/>
            <w:tcBorders>
              <w:tl2br w:val="nil"/>
              <w:tr2bl w:val="nil"/>
            </w:tcBorders>
            <w:noWrap w:val="0"/>
            <w:vAlign w:val="center"/>
          </w:tcPr>
          <w:p w14:paraId="670863B6">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餐饮业</w:t>
            </w:r>
          </w:p>
        </w:tc>
        <w:tc>
          <w:tcPr>
            <w:tcW w:w="1486" w:type="dxa"/>
            <w:tcBorders>
              <w:tl2br w:val="nil"/>
              <w:tr2bl w:val="nil"/>
            </w:tcBorders>
            <w:noWrap w:val="0"/>
            <w:vAlign w:val="center"/>
          </w:tcPr>
          <w:p w14:paraId="1C0B905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32757A0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01308E4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2BA90386">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649" w:type="dxa"/>
            <w:tcBorders>
              <w:tl2br w:val="nil"/>
              <w:tr2bl w:val="nil"/>
            </w:tcBorders>
            <w:noWrap w:val="0"/>
            <w:vAlign w:val="center"/>
          </w:tcPr>
          <w:p w14:paraId="48A6FBD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10≤X＜100</w:t>
            </w:r>
          </w:p>
        </w:tc>
        <w:tc>
          <w:tcPr>
            <w:tcW w:w="990" w:type="dxa"/>
            <w:tcBorders>
              <w:tl2br w:val="nil"/>
              <w:tr2bl w:val="nil"/>
            </w:tcBorders>
            <w:noWrap w:val="0"/>
            <w:vAlign w:val="center"/>
          </w:tcPr>
          <w:p w14:paraId="73D7A9B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61AA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jc w:val="center"/>
        </w:trPr>
        <w:tc>
          <w:tcPr>
            <w:tcW w:w="1358" w:type="dxa"/>
            <w:vMerge w:val="continue"/>
            <w:tcBorders>
              <w:tl2br w:val="nil"/>
              <w:tr2bl w:val="nil"/>
            </w:tcBorders>
            <w:noWrap w:val="0"/>
            <w:vAlign w:val="center"/>
          </w:tcPr>
          <w:p w14:paraId="5BD171CC">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4A9E34F4">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2F07D8C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7BB4E262">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849" w:type="dxa"/>
            <w:tcBorders>
              <w:tl2br w:val="nil"/>
              <w:tr2bl w:val="nil"/>
            </w:tcBorders>
            <w:noWrap w:val="0"/>
            <w:vAlign w:val="center"/>
          </w:tcPr>
          <w:p w14:paraId="5AE0DA7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2000≤Y＜10000</w:t>
            </w:r>
          </w:p>
        </w:tc>
        <w:tc>
          <w:tcPr>
            <w:tcW w:w="1649" w:type="dxa"/>
            <w:tcBorders>
              <w:tl2br w:val="nil"/>
              <w:tr2bl w:val="nil"/>
            </w:tcBorders>
            <w:noWrap w:val="0"/>
            <w:vAlign w:val="center"/>
          </w:tcPr>
          <w:p w14:paraId="6DFD0ED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100≤Y＜2000</w:t>
            </w:r>
          </w:p>
        </w:tc>
        <w:tc>
          <w:tcPr>
            <w:tcW w:w="990" w:type="dxa"/>
            <w:tcBorders>
              <w:tl2br w:val="nil"/>
              <w:tr2bl w:val="nil"/>
            </w:tcBorders>
            <w:noWrap w:val="0"/>
            <w:vAlign w:val="center"/>
          </w:tcPr>
          <w:p w14:paraId="2523F7A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576E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exact"/>
          <w:jc w:val="center"/>
        </w:trPr>
        <w:tc>
          <w:tcPr>
            <w:tcW w:w="1358" w:type="dxa"/>
            <w:vMerge w:val="restart"/>
            <w:tcBorders>
              <w:tl2br w:val="nil"/>
              <w:tr2bl w:val="nil"/>
            </w:tcBorders>
            <w:noWrap w:val="0"/>
            <w:vAlign w:val="center"/>
          </w:tcPr>
          <w:p w14:paraId="470AC2BC">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信息传输业 *</w:t>
            </w:r>
          </w:p>
        </w:tc>
        <w:tc>
          <w:tcPr>
            <w:tcW w:w="1486" w:type="dxa"/>
            <w:tcBorders>
              <w:tl2br w:val="nil"/>
              <w:tr2bl w:val="nil"/>
            </w:tcBorders>
            <w:noWrap w:val="0"/>
            <w:vAlign w:val="center"/>
          </w:tcPr>
          <w:p w14:paraId="171776E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432C96F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27209BA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X≥2000</w:t>
            </w:r>
          </w:p>
        </w:tc>
        <w:tc>
          <w:tcPr>
            <w:tcW w:w="1849" w:type="dxa"/>
            <w:tcBorders>
              <w:tl2br w:val="nil"/>
              <w:tr2bl w:val="nil"/>
            </w:tcBorders>
            <w:noWrap w:val="0"/>
            <w:vAlign w:val="center"/>
          </w:tcPr>
          <w:p w14:paraId="2DD4201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100≤X＜2000</w:t>
            </w:r>
          </w:p>
        </w:tc>
        <w:tc>
          <w:tcPr>
            <w:tcW w:w="1649" w:type="dxa"/>
            <w:tcBorders>
              <w:tl2br w:val="nil"/>
              <w:tr2bl w:val="nil"/>
            </w:tcBorders>
            <w:noWrap w:val="0"/>
            <w:vAlign w:val="center"/>
          </w:tcPr>
          <w:p w14:paraId="04D7025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10≤X＜100</w:t>
            </w:r>
          </w:p>
        </w:tc>
        <w:tc>
          <w:tcPr>
            <w:tcW w:w="990" w:type="dxa"/>
            <w:tcBorders>
              <w:tl2br w:val="nil"/>
              <w:tr2bl w:val="nil"/>
            </w:tcBorders>
            <w:noWrap w:val="0"/>
            <w:vAlign w:val="center"/>
          </w:tcPr>
          <w:p w14:paraId="4EE1A25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3F498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exact"/>
          <w:jc w:val="center"/>
        </w:trPr>
        <w:tc>
          <w:tcPr>
            <w:tcW w:w="1358" w:type="dxa"/>
            <w:vMerge w:val="continue"/>
            <w:tcBorders>
              <w:tl2br w:val="nil"/>
              <w:tr2bl w:val="nil"/>
            </w:tcBorders>
            <w:noWrap w:val="0"/>
            <w:vAlign w:val="center"/>
          </w:tcPr>
          <w:p w14:paraId="3E3A7134">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3266AA0B">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5B1FA08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422CE52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Y≥100000</w:t>
            </w:r>
          </w:p>
        </w:tc>
        <w:tc>
          <w:tcPr>
            <w:tcW w:w="1849" w:type="dxa"/>
            <w:tcBorders>
              <w:tl2br w:val="nil"/>
              <w:tr2bl w:val="nil"/>
            </w:tcBorders>
            <w:noWrap w:val="0"/>
            <w:vAlign w:val="center"/>
          </w:tcPr>
          <w:p w14:paraId="712A168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1000≤Y＜100000</w:t>
            </w:r>
          </w:p>
        </w:tc>
        <w:tc>
          <w:tcPr>
            <w:tcW w:w="1649" w:type="dxa"/>
            <w:tcBorders>
              <w:tl2br w:val="nil"/>
              <w:tr2bl w:val="nil"/>
            </w:tcBorders>
            <w:noWrap w:val="0"/>
            <w:vAlign w:val="center"/>
          </w:tcPr>
          <w:p w14:paraId="16914A07">
            <w:pPr>
              <w:widowControl/>
              <w:shd w:val="clear" w:color="auto"/>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100≤Y＜1000</w:t>
            </w:r>
          </w:p>
        </w:tc>
        <w:tc>
          <w:tcPr>
            <w:tcW w:w="990" w:type="dxa"/>
            <w:tcBorders>
              <w:tl2br w:val="nil"/>
              <w:tr2bl w:val="nil"/>
            </w:tcBorders>
            <w:noWrap w:val="0"/>
            <w:vAlign w:val="center"/>
          </w:tcPr>
          <w:p w14:paraId="2793B51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4EC7D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jc w:val="center"/>
        </w:trPr>
        <w:tc>
          <w:tcPr>
            <w:tcW w:w="1358" w:type="dxa"/>
            <w:vMerge w:val="restart"/>
            <w:tcBorders>
              <w:tl2br w:val="nil"/>
              <w:tr2bl w:val="nil"/>
            </w:tcBorders>
            <w:noWrap w:val="0"/>
            <w:vAlign w:val="center"/>
          </w:tcPr>
          <w:p w14:paraId="7D3B0B86">
            <w:pPr>
              <w:widowControl/>
              <w:shd w:val="clear" w:color="auto"/>
              <w:spacing w:line="240" w:lineRule="exact"/>
              <w:jc w:val="left"/>
              <w:rPr>
                <w:rFonts w:hint="eastAsia" w:ascii="宋体" w:hAnsi="宋体" w:eastAsia="宋体" w:cs="宋体"/>
                <w:color w:val="auto"/>
                <w:spacing w:val="-12"/>
                <w:kern w:val="0"/>
                <w:sz w:val="21"/>
                <w:szCs w:val="21"/>
                <w:highlight w:val="none"/>
              </w:rPr>
            </w:pPr>
            <w:r>
              <w:rPr>
                <w:rFonts w:hint="eastAsia" w:ascii="宋体" w:hAnsi="宋体" w:eastAsia="宋体" w:cs="宋体"/>
                <w:color w:val="auto"/>
                <w:spacing w:val="-12"/>
                <w:kern w:val="0"/>
                <w:sz w:val="21"/>
                <w:szCs w:val="21"/>
                <w:highlight w:val="none"/>
              </w:rPr>
              <w:t>软件和信息技术服</w:t>
            </w:r>
            <w:r>
              <w:rPr>
                <w:rFonts w:hint="eastAsia" w:ascii="宋体" w:hAnsi="宋体" w:eastAsia="宋体" w:cs="宋体"/>
                <w:color w:val="auto"/>
                <w:kern w:val="0"/>
                <w:sz w:val="21"/>
                <w:szCs w:val="21"/>
                <w:highlight w:val="none"/>
              </w:rPr>
              <w:t>务业</w:t>
            </w:r>
          </w:p>
        </w:tc>
        <w:tc>
          <w:tcPr>
            <w:tcW w:w="1486" w:type="dxa"/>
            <w:tcBorders>
              <w:tl2br w:val="nil"/>
              <w:tr2bl w:val="nil"/>
            </w:tcBorders>
            <w:noWrap w:val="0"/>
            <w:vAlign w:val="center"/>
          </w:tcPr>
          <w:p w14:paraId="18423D7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0977ABD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67B0CC4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37F90E17">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649" w:type="dxa"/>
            <w:tcBorders>
              <w:tl2br w:val="nil"/>
              <w:tr2bl w:val="nil"/>
            </w:tcBorders>
            <w:noWrap w:val="0"/>
            <w:vAlign w:val="center"/>
          </w:tcPr>
          <w:p w14:paraId="15B2ED9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10≤X＜100</w:t>
            </w:r>
          </w:p>
        </w:tc>
        <w:tc>
          <w:tcPr>
            <w:tcW w:w="990" w:type="dxa"/>
            <w:tcBorders>
              <w:tl2br w:val="nil"/>
              <w:tr2bl w:val="nil"/>
            </w:tcBorders>
            <w:noWrap w:val="0"/>
            <w:vAlign w:val="center"/>
          </w:tcPr>
          <w:p w14:paraId="2F16750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5B51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exact"/>
          <w:jc w:val="center"/>
        </w:trPr>
        <w:tc>
          <w:tcPr>
            <w:tcW w:w="1358" w:type="dxa"/>
            <w:vMerge w:val="continue"/>
            <w:tcBorders>
              <w:tl2br w:val="nil"/>
              <w:tr2bl w:val="nil"/>
            </w:tcBorders>
            <w:noWrap w:val="0"/>
            <w:vAlign w:val="center"/>
          </w:tcPr>
          <w:p w14:paraId="3352ED4E">
            <w:pPr>
              <w:widowControl/>
              <w:shd w:val="clear" w:color="auto"/>
              <w:jc w:val="left"/>
              <w:rPr>
                <w:rFonts w:hint="eastAsia" w:ascii="宋体" w:hAnsi="宋体" w:eastAsia="宋体" w:cs="宋体"/>
                <w:color w:val="auto"/>
                <w:spacing w:val="-12"/>
                <w:kern w:val="0"/>
                <w:sz w:val="21"/>
                <w:szCs w:val="21"/>
                <w:highlight w:val="none"/>
              </w:rPr>
            </w:pPr>
          </w:p>
        </w:tc>
        <w:tc>
          <w:tcPr>
            <w:tcW w:w="1486" w:type="dxa"/>
            <w:tcBorders>
              <w:tl2br w:val="nil"/>
              <w:tr2bl w:val="nil"/>
            </w:tcBorders>
            <w:noWrap w:val="0"/>
            <w:vAlign w:val="center"/>
          </w:tcPr>
          <w:p w14:paraId="5968DCA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1FC162B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61228CD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849" w:type="dxa"/>
            <w:tcBorders>
              <w:tl2br w:val="nil"/>
              <w:tr2bl w:val="nil"/>
            </w:tcBorders>
            <w:noWrap w:val="0"/>
            <w:vAlign w:val="center"/>
          </w:tcPr>
          <w:p w14:paraId="6D6DFCB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1000≤Y＜10000</w:t>
            </w:r>
          </w:p>
        </w:tc>
        <w:tc>
          <w:tcPr>
            <w:tcW w:w="1649" w:type="dxa"/>
            <w:tcBorders>
              <w:tl2br w:val="nil"/>
              <w:tr2bl w:val="nil"/>
            </w:tcBorders>
            <w:noWrap w:val="0"/>
            <w:vAlign w:val="center"/>
          </w:tcPr>
          <w:p w14:paraId="152A5B1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50≤Y＜1000</w:t>
            </w:r>
          </w:p>
        </w:tc>
        <w:tc>
          <w:tcPr>
            <w:tcW w:w="990" w:type="dxa"/>
            <w:tcBorders>
              <w:tl2br w:val="nil"/>
              <w:tr2bl w:val="nil"/>
            </w:tcBorders>
            <w:noWrap w:val="0"/>
            <w:vAlign w:val="center"/>
          </w:tcPr>
          <w:p w14:paraId="290238B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w:t>
            </w:r>
          </w:p>
        </w:tc>
      </w:tr>
      <w:tr w14:paraId="74DB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exact"/>
          <w:jc w:val="center"/>
        </w:trPr>
        <w:tc>
          <w:tcPr>
            <w:tcW w:w="1358" w:type="dxa"/>
            <w:vMerge w:val="restart"/>
            <w:tcBorders>
              <w:tl2br w:val="nil"/>
              <w:tr2bl w:val="nil"/>
            </w:tcBorders>
            <w:noWrap w:val="0"/>
            <w:vAlign w:val="center"/>
          </w:tcPr>
          <w:p w14:paraId="1630759E">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房地产开发经营</w:t>
            </w:r>
          </w:p>
        </w:tc>
        <w:tc>
          <w:tcPr>
            <w:tcW w:w="1486" w:type="dxa"/>
            <w:tcBorders>
              <w:tl2br w:val="nil"/>
              <w:tr2bl w:val="nil"/>
            </w:tcBorders>
            <w:noWrap w:val="0"/>
            <w:vAlign w:val="center"/>
          </w:tcPr>
          <w:p w14:paraId="46C7436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4AE8667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0DE30FC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Y≥200000</w:t>
            </w:r>
          </w:p>
        </w:tc>
        <w:tc>
          <w:tcPr>
            <w:tcW w:w="1849" w:type="dxa"/>
            <w:tcBorders>
              <w:tl2br w:val="nil"/>
              <w:tr2bl w:val="nil"/>
            </w:tcBorders>
            <w:noWrap w:val="0"/>
            <w:vAlign w:val="center"/>
          </w:tcPr>
          <w:p w14:paraId="1E1B883E">
            <w:pPr>
              <w:widowControl/>
              <w:shd w:val="clear" w:color="auto"/>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1000≤Y＜200000</w:t>
            </w:r>
          </w:p>
        </w:tc>
        <w:tc>
          <w:tcPr>
            <w:tcW w:w="1649" w:type="dxa"/>
            <w:tcBorders>
              <w:tl2br w:val="nil"/>
              <w:tr2bl w:val="nil"/>
            </w:tcBorders>
            <w:noWrap w:val="0"/>
            <w:vAlign w:val="center"/>
          </w:tcPr>
          <w:p w14:paraId="282543A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100≤Y＜1000</w:t>
            </w:r>
          </w:p>
        </w:tc>
        <w:tc>
          <w:tcPr>
            <w:tcW w:w="990" w:type="dxa"/>
            <w:tcBorders>
              <w:tl2br w:val="nil"/>
              <w:tr2bl w:val="nil"/>
            </w:tcBorders>
            <w:noWrap w:val="0"/>
            <w:vAlign w:val="center"/>
          </w:tcPr>
          <w:p w14:paraId="6F0E0B3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w:t>
            </w:r>
          </w:p>
        </w:tc>
      </w:tr>
      <w:tr w14:paraId="1BDC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jc w:val="center"/>
        </w:trPr>
        <w:tc>
          <w:tcPr>
            <w:tcW w:w="1358" w:type="dxa"/>
            <w:vMerge w:val="continue"/>
            <w:tcBorders>
              <w:tl2br w:val="nil"/>
              <w:tr2bl w:val="nil"/>
            </w:tcBorders>
            <w:noWrap w:val="0"/>
            <w:vAlign w:val="center"/>
          </w:tcPr>
          <w:p w14:paraId="6FFC6352">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00C4704F">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21" w:type="dxa"/>
            <w:tcBorders>
              <w:tl2br w:val="nil"/>
              <w:tr2bl w:val="nil"/>
            </w:tcBorders>
            <w:noWrap w:val="0"/>
            <w:vAlign w:val="center"/>
          </w:tcPr>
          <w:p w14:paraId="2F5C184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358CDA8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Z≥10000</w:t>
            </w:r>
          </w:p>
        </w:tc>
        <w:tc>
          <w:tcPr>
            <w:tcW w:w="1849" w:type="dxa"/>
            <w:tcBorders>
              <w:tl2br w:val="nil"/>
              <w:tr2bl w:val="nil"/>
            </w:tcBorders>
            <w:noWrap w:val="0"/>
            <w:vAlign w:val="center"/>
          </w:tcPr>
          <w:p w14:paraId="34B3178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5000≤Z＜10000</w:t>
            </w:r>
          </w:p>
        </w:tc>
        <w:tc>
          <w:tcPr>
            <w:tcW w:w="1649" w:type="dxa"/>
            <w:tcBorders>
              <w:tl2br w:val="nil"/>
              <w:tr2bl w:val="nil"/>
            </w:tcBorders>
            <w:noWrap w:val="0"/>
            <w:vAlign w:val="center"/>
          </w:tcPr>
          <w:p w14:paraId="2F4C1DC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2000≤Z＜5000   </w:t>
            </w:r>
          </w:p>
        </w:tc>
        <w:tc>
          <w:tcPr>
            <w:tcW w:w="990" w:type="dxa"/>
            <w:tcBorders>
              <w:tl2br w:val="nil"/>
              <w:tr2bl w:val="nil"/>
            </w:tcBorders>
            <w:noWrap w:val="0"/>
            <w:vAlign w:val="center"/>
          </w:tcPr>
          <w:p w14:paraId="7565F62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Z＜2000</w:t>
            </w:r>
          </w:p>
        </w:tc>
      </w:tr>
      <w:tr w14:paraId="44CE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exact"/>
          <w:jc w:val="center"/>
        </w:trPr>
        <w:tc>
          <w:tcPr>
            <w:tcW w:w="1358" w:type="dxa"/>
            <w:vMerge w:val="restart"/>
            <w:tcBorders>
              <w:tl2br w:val="nil"/>
              <w:tr2bl w:val="nil"/>
            </w:tcBorders>
            <w:noWrap w:val="0"/>
            <w:vAlign w:val="center"/>
          </w:tcPr>
          <w:p w14:paraId="2611C117">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物业管理</w:t>
            </w:r>
          </w:p>
        </w:tc>
        <w:tc>
          <w:tcPr>
            <w:tcW w:w="1486" w:type="dxa"/>
            <w:tcBorders>
              <w:tl2br w:val="nil"/>
              <w:tr2bl w:val="nil"/>
            </w:tcBorders>
            <w:noWrap w:val="0"/>
            <w:vAlign w:val="center"/>
          </w:tcPr>
          <w:p w14:paraId="0C84070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4CBCB2F3">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6BB3151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849" w:type="dxa"/>
            <w:tcBorders>
              <w:tl2br w:val="nil"/>
              <w:tr2bl w:val="nil"/>
            </w:tcBorders>
            <w:noWrap w:val="0"/>
            <w:vAlign w:val="center"/>
          </w:tcPr>
          <w:p w14:paraId="69C24E16">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300≤X＜1000</w:t>
            </w:r>
          </w:p>
        </w:tc>
        <w:tc>
          <w:tcPr>
            <w:tcW w:w="1649" w:type="dxa"/>
            <w:tcBorders>
              <w:tl2br w:val="nil"/>
              <w:tr2bl w:val="nil"/>
            </w:tcBorders>
            <w:noWrap w:val="0"/>
            <w:vAlign w:val="center"/>
          </w:tcPr>
          <w:p w14:paraId="60705DF5">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990" w:type="dxa"/>
            <w:tcBorders>
              <w:tl2br w:val="nil"/>
              <w:tr2bl w:val="nil"/>
            </w:tcBorders>
            <w:noWrap w:val="0"/>
            <w:vAlign w:val="center"/>
          </w:tcPr>
          <w:p w14:paraId="0F7848E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w:t>
            </w:r>
          </w:p>
        </w:tc>
      </w:tr>
      <w:tr w14:paraId="5AC39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exact"/>
          <w:jc w:val="center"/>
        </w:trPr>
        <w:tc>
          <w:tcPr>
            <w:tcW w:w="1358" w:type="dxa"/>
            <w:vMerge w:val="continue"/>
            <w:tcBorders>
              <w:tl2br w:val="nil"/>
              <w:tr2bl w:val="nil"/>
            </w:tcBorders>
            <w:noWrap w:val="0"/>
            <w:vAlign w:val="center"/>
          </w:tcPr>
          <w:p w14:paraId="705A7A50">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6FA959E2">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营业收入(Y)</w:t>
            </w:r>
          </w:p>
        </w:tc>
        <w:tc>
          <w:tcPr>
            <w:tcW w:w="821" w:type="dxa"/>
            <w:tcBorders>
              <w:tl2br w:val="nil"/>
              <w:tr2bl w:val="nil"/>
            </w:tcBorders>
            <w:noWrap w:val="0"/>
            <w:vAlign w:val="center"/>
          </w:tcPr>
          <w:p w14:paraId="5CE12DDB">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61EFCD3F">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Y≥5000</w:t>
            </w:r>
          </w:p>
        </w:tc>
        <w:tc>
          <w:tcPr>
            <w:tcW w:w="1849" w:type="dxa"/>
            <w:tcBorders>
              <w:tl2br w:val="nil"/>
              <w:tr2bl w:val="nil"/>
            </w:tcBorders>
            <w:noWrap w:val="0"/>
            <w:vAlign w:val="center"/>
          </w:tcPr>
          <w:p w14:paraId="240FB8F3">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1000≤Y＜5000 </w:t>
            </w:r>
          </w:p>
        </w:tc>
        <w:tc>
          <w:tcPr>
            <w:tcW w:w="1649" w:type="dxa"/>
            <w:tcBorders>
              <w:tl2br w:val="nil"/>
              <w:tr2bl w:val="nil"/>
            </w:tcBorders>
            <w:noWrap w:val="0"/>
            <w:vAlign w:val="center"/>
          </w:tcPr>
          <w:p w14:paraId="075971C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500≤Y＜1000</w:t>
            </w:r>
          </w:p>
        </w:tc>
        <w:tc>
          <w:tcPr>
            <w:tcW w:w="990" w:type="dxa"/>
            <w:tcBorders>
              <w:tl2br w:val="nil"/>
              <w:tr2bl w:val="nil"/>
            </w:tcBorders>
            <w:noWrap w:val="0"/>
            <w:vAlign w:val="center"/>
          </w:tcPr>
          <w:p w14:paraId="7811FFD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w:t>
            </w:r>
          </w:p>
        </w:tc>
      </w:tr>
      <w:tr w14:paraId="3692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exact"/>
          <w:jc w:val="center"/>
        </w:trPr>
        <w:tc>
          <w:tcPr>
            <w:tcW w:w="1358" w:type="dxa"/>
            <w:vMerge w:val="restart"/>
            <w:tcBorders>
              <w:tl2br w:val="nil"/>
              <w:tr2bl w:val="nil"/>
            </w:tcBorders>
            <w:noWrap w:val="0"/>
            <w:vAlign w:val="center"/>
          </w:tcPr>
          <w:p w14:paraId="61261C5A">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c>
          <w:tcPr>
            <w:tcW w:w="1486" w:type="dxa"/>
            <w:tcBorders>
              <w:tl2br w:val="nil"/>
              <w:tr2bl w:val="nil"/>
            </w:tcBorders>
            <w:noWrap w:val="0"/>
            <w:vAlign w:val="center"/>
          </w:tcPr>
          <w:p w14:paraId="02FE80C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7C771A0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6E6DE6DA">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190C89FB">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649" w:type="dxa"/>
            <w:tcBorders>
              <w:tl2br w:val="nil"/>
              <w:tr2bl w:val="nil"/>
            </w:tcBorders>
            <w:noWrap w:val="0"/>
            <w:vAlign w:val="center"/>
          </w:tcPr>
          <w:p w14:paraId="43232EF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10≤X＜100</w:t>
            </w:r>
          </w:p>
        </w:tc>
        <w:tc>
          <w:tcPr>
            <w:tcW w:w="990" w:type="dxa"/>
            <w:tcBorders>
              <w:tl2br w:val="nil"/>
              <w:tr2bl w:val="nil"/>
            </w:tcBorders>
            <w:noWrap w:val="0"/>
            <w:vAlign w:val="center"/>
          </w:tcPr>
          <w:p w14:paraId="44700261">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r w14:paraId="0F3E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exact"/>
          <w:jc w:val="center"/>
        </w:trPr>
        <w:tc>
          <w:tcPr>
            <w:tcW w:w="1358" w:type="dxa"/>
            <w:vMerge w:val="continue"/>
            <w:tcBorders>
              <w:tl2br w:val="nil"/>
              <w:tr2bl w:val="nil"/>
            </w:tcBorders>
            <w:noWrap w:val="0"/>
            <w:vAlign w:val="center"/>
          </w:tcPr>
          <w:p w14:paraId="1AD5C351">
            <w:pPr>
              <w:widowControl/>
              <w:shd w:val="clear" w:color="auto"/>
              <w:jc w:val="left"/>
              <w:rPr>
                <w:rFonts w:hint="eastAsia" w:ascii="宋体" w:hAnsi="宋体" w:eastAsia="宋体" w:cs="宋体"/>
                <w:color w:val="auto"/>
                <w:kern w:val="0"/>
                <w:sz w:val="21"/>
                <w:szCs w:val="21"/>
                <w:highlight w:val="none"/>
              </w:rPr>
            </w:pPr>
          </w:p>
        </w:tc>
        <w:tc>
          <w:tcPr>
            <w:tcW w:w="1486" w:type="dxa"/>
            <w:tcBorders>
              <w:tl2br w:val="nil"/>
              <w:tr2bl w:val="nil"/>
            </w:tcBorders>
            <w:noWrap w:val="0"/>
            <w:vAlign w:val="center"/>
          </w:tcPr>
          <w:p w14:paraId="327CAF58">
            <w:pPr>
              <w:widowControl/>
              <w:shd w:val="clear" w:color="auto"/>
              <w:spacing w:line="24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资产总额(Z)</w:t>
            </w:r>
          </w:p>
        </w:tc>
        <w:tc>
          <w:tcPr>
            <w:tcW w:w="821" w:type="dxa"/>
            <w:tcBorders>
              <w:tl2br w:val="nil"/>
              <w:tr2bl w:val="nil"/>
            </w:tcBorders>
            <w:noWrap w:val="0"/>
            <w:vAlign w:val="center"/>
          </w:tcPr>
          <w:p w14:paraId="475E970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262" w:type="dxa"/>
            <w:tcBorders>
              <w:tl2br w:val="nil"/>
              <w:tr2bl w:val="nil"/>
            </w:tcBorders>
            <w:noWrap w:val="0"/>
            <w:vAlign w:val="center"/>
          </w:tcPr>
          <w:p w14:paraId="1BE3C1C4">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Z≥120000</w:t>
            </w:r>
          </w:p>
        </w:tc>
        <w:tc>
          <w:tcPr>
            <w:tcW w:w="1849" w:type="dxa"/>
            <w:tcBorders>
              <w:tl2br w:val="nil"/>
              <w:tr2bl w:val="nil"/>
            </w:tcBorders>
            <w:noWrap w:val="0"/>
            <w:vAlign w:val="center"/>
          </w:tcPr>
          <w:p w14:paraId="0F96D769">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8000≤Z＜120000</w:t>
            </w:r>
          </w:p>
        </w:tc>
        <w:tc>
          <w:tcPr>
            <w:tcW w:w="1649" w:type="dxa"/>
            <w:tcBorders>
              <w:tl2br w:val="nil"/>
              <w:tr2bl w:val="nil"/>
            </w:tcBorders>
            <w:noWrap w:val="0"/>
            <w:vAlign w:val="center"/>
          </w:tcPr>
          <w:p w14:paraId="03152A1C">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100≤Z＜8000</w:t>
            </w:r>
          </w:p>
        </w:tc>
        <w:tc>
          <w:tcPr>
            <w:tcW w:w="990" w:type="dxa"/>
            <w:tcBorders>
              <w:tl2br w:val="nil"/>
              <w:tr2bl w:val="nil"/>
            </w:tcBorders>
            <w:noWrap w:val="0"/>
            <w:vAlign w:val="center"/>
          </w:tcPr>
          <w:p w14:paraId="2EFD901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w:t>
            </w:r>
          </w:p>
        </w:tc>
      </w:tr>
      <w:tr w14:paraId="2E993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1358" w:type="dxa"/>
            <w:tcBorders>
              <w:tl2br w:val="nil"/>
              <w:tr2bl w:val="nil"/>
            </w:tcBorders>
            <w:noWrap w:val="0"/>
            <w:vAlign w:val="center"/>
          </w:tcPr>
          <w:p w14:paraId="7F29A1EA">
            <w:pPr>
              <w:widowControl/>
              <w:shd w:val="clear" w:color="auto"/>
              <w:spacing w:line="240" w:lineRule="exact"/>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其他未列明行业 *</w:t>
            </w:r>
          </w:p>
        </w:tc>
        <w:tc>
          <w:tcPr>
            <w:tcW w:w="1486" w:type="dxa"/>
            <w:tcBorders>
              <w:tl2br w:val="nil"/>
              <w:tr2bl w:val="nil"/>
            </w:tcBorders>
            <w:noWrap w:val="0"/>
            <w:vAlign w:val="center"/>
          </w:tcPr>
          <w:p w14:paraId="44C0603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从业人员(X)</w:t>
            </w:r>
          </w:p>
        </w:tc>
        <w:tc>
          <w:tcPr>
            <w:tcW w:w="821" w:type="dxa"/>
            <w:tcBorders>
              <w:tl2br w:val="nil"/>
              <w:tr2bl w:val="nil"/>
            </w:tcBorders>
            <w:noWrap w:val="0"/>
            <w:vAlign w:val="center"/>
          </w:tcPr>
          <w:p w14:paraId="7B8E6167">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262" w:type="dxa"/>
            <w:tcBorders>
              <w:tl2br w:val="nil"/>
              <w:tr2bl w:val="nil"/>
            </w:tcBorders>
            <w:noWrap w:val="0"/>
            <w:vAlign w:val="center"/>
          </w:tcPr>
          <w:p w14:paraId="174543B0">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849" w:type="dxa"/>
            <w:tcBorders>
              <w:tl2br w:val="nil"/>
              <w:tr2bl w:val="nil"/>
            </w:tcBorders>
            <w:noWrap w:val="0"/>
            <w:vAlign w:val="center"/>
          </w:tcPr>
          <w:p w14:paraId="78D79DF7">
            <w:pPr>
              <w:widowControl/>
              <w:shd w:val="clear" w:color="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100≤X＜300 </w:t>
            </w:r>
          </w:p>
        </w:tc>
        <w:tc>
          <w:tcPr>
            <w:tcW w:w="1649" w:type="dxa"/>
            <w:tcBorders>
              <w:tl2br w:val="nil"/>
              <w:tr2bl w:val="nil"/>
            </w:tcBorders>
            <w:noWrap w:val="0"/>
            <w:vAlign w:val="center"/>
          </w:tcPr>
          <w:p w14:paraId="7D93599E">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 10≤X＜100</w:t>
            </w:r>
          </w:p>
        </w:tc>
        <w:tc>
          <w:tcPr>
            <w:tcW w:w="990" w:type="dxa"/>
            <w:tcBorders>
              <w:tl2br w:val="nil"/>
              <w:tr2bl w:val="nil"/>
            </w:tcBorders>
            <w:noWrap w:val="0"/>
            <w:vAlign w:val="center"/>
          </w:tcPr>
          <w:p w14:paraId="7835840D">
            <w:pPr>
              <w:widowControl/>
              <w:shd w:val="clear" w:color="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w:t>
            </w:r>
          </w:p>
        </w:tc>
      </w:tr>
    </w:tbl>
    <w:p w14:paraId="31B0A486">
      <w:pPr>
        <w:widowControl/>
        <w:shd w:val="clear" w:color="auto"/>
        <w:spacing w:line="540" w:lineRule="exact"/>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说明：</w:t>
      </w:r>
    </w:p>
    <w:p w14:paraId="197EBCFE">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1.大型、中型和小型企业须同时满足所列指标的下限，否则下划一档；微型企业只须满足所列指标中的一项即可。</w:t>
      </w:r>
    </w:p>
    <w:p w14:paraId="19126409">
      <w:pPr>
        <w:shd w:val="clear" w:color="auto"/>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AAED98F">
      <w:pPr>
        <w:shd w:val="clear" w:color="auto"/>
        <w:spacing w:line="360" w:lineRule="auto"/>
        <w:ind w:firstLine="42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1B73BE0">
      <w:pPr>
        <w:shd w:val="clear" w:color="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C211E91">
      <w:pPr>
        <w:shd w:val="clear"/>
        <w:spacing w:line="6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w:t>
      </w:r>
    </w:p>
    <w:p w14:paraId="6F8DC587">
      <w:pPr>
        <w:shd w:val="clear"/>
        <w:spacing w:line="6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《统计上大中小微型企业划分办法（2017）》修订说明</w:t>
      </w:r>
    </w:p>
    <w:p w14:paraId="35273DC5">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一、修订背景</w:t>
      </w:r>
    </w:p>
    <w:p w14:paraId="2D8E3A73">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 4754—2011），制定并颁布的。</w:t>
      </w:r>
    </w:p>
    <w:p w14:paraId="0272C77A">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2017年6月30日，《国民经济行业分类》（GB/T 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21612471">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二、修订主要内容</w:t>
      </w:r>
    </w:p>
    <w:p w14:paraId="466D1989">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本次修订是在2011年《统计上大中小微型企业划分办法》基础上进行的，修订延续原有的分类原则、方法和结构框架，在保持适用范围不变的情况下,依据标准由《国民经济行业分类》（GB/T 4754—2011）修改为《国民经济行业分类》（GB/T 4754—2017），并根据新旧国民经济行业的对应关系，进行了行业所包含类别的对应调整。</w:t>
      </w:r>
    </w:p>
    <w:p w14:paraId="6EB113CC">
      <w:pPr>
        <w:shd w:val="clear"/>
        <w:spacing w:line="360" w:lineRule="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将交通运输业中包括的“装卸搬运和运输代理业”修改为“多式联运和运输代理业、装卸搬运”。</w:t>
      </w:r>
    </w:p>
    <w:p w14:paraId="39617E0D">
      <w:pPr>
        <w:shd w:val="clear"/>
        <w:spacing w:line="400" w:lineRule="exact"/>
        <w:ind w:firstLine="420" w:firstLineChars="200"/>
        <w:jc w:val="left"/>
        <w:rPr>
          <w:rFonts w:hint="eastAsia" w:ascii="宋体" w:hAnsi="宋体" w:cs="宋体"/>
          <w:bCs/>
          <w:color w:val="auto"/>
          <w:szCs w:val="21"/>
          <w:highlight w:val="none"/>
        </w:rPr>
      </w:pPr>
      <w:r>
        <w:rPr>
          <w:rFonts w:hint="eastAsia" w:ascii="宋体" w:hAnsi="宋体" w:eastAsia="宋体" w:cs="宋体"/>
          <w:bCs/>
          <w:color w:val="auto"/>
          <w:szCs w:val="21"/>
          <w:highlight w:val="none"/>
          <w:lang w:val="en-US" w:eastAsia="zh-CN"/>
        </w:rPr>
        <w:t>仓储业所包括的行业中类，根据《国民经济行业分类》（GB/T 4754—2017）调整为“通用仓储，低温仓储，危险品仓储，谷物、棉花等农产品仓储，中药材仓储和其他仓储业”。</w:t>
      </w:r>
    </w:p>
    <w:p w14:paraId="732A1070">
      <w:pPr>
        <w:shd w:val="clea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br w:type="page"/>
      </w:r>
      <w:r>
        <w:rPr>
          <w:rFonts w:hint="eastAsia" w:ascii="宋体" w:hAnsi="宋体" w:cs="宋体"/>
          <w:bCs/>
          <w:color w:val="auto"/>
          <w:szCs w:val="21"/>
          <w:highlight w:val="none"/>
        </w:rPr>
        <w:t>国务院办公厅关于在政府采购中实施本国产品标准及相关政策的通知</w:t>
      </w:r>
    </w:p>
    <w:p w14:paraId="4DE6D657">
      <w:pPr>
        <w:shd w:val="clear"/>
        <w:spacing w:line="400" w:lineRule="exact"/>
        <w:jc w:val="center"/>
        <w:rPr>
          <w:rFonts w:hint="eastAsia" w:ascii="宋体" w:hAnsi="宋体" w:cs="宋体"/>
          <w:bCs/>
          <w:color w:val="auto"/>
          <w:szCs w:val="21"/>
          <w:highlight w:val="none"/>
        </w:rPr>
      </w:pPr>
      <w:r>
        <w:rPr>
          <w:rFonts w:hint="eastAsia" w:ascii="宋体" w:hAnsi="宋体" w:cs="宋体"/>
          <w:bCs/>
          <w:color w:val="auto"/>
          <w:szCs w:val="21"/>
          <w:highlight w:val="none"/>
        </w:rPr>
        <w:t>国办发〔2025〕34号</w:t>
      </w:r>
    </w:p>
    <w:p w14:paraId="3DC328DA">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各省、自治区、直辖市人民政府，国务院各部委、各直属机构：</w:t>
      </w:r>
    </w:p>
    <w:p w14:paraId="555482F6">
      <w:pPr>
        <w:shd w:val="clear"/>
        <w:spacing w:line="400" w:lineRule="exact"/>
        <w:ind w:firstLine="420" w:firstLineChars="200"/>
        <w:jc w:val="both"/>
        <w:rPr>
          <w:rFonts w:hint="eastAsia" w:ascii="宋体" w:hAnsi="宋体" w:cs="宋体"/>
          <w:bCs/>
          <w:color w:val="auto"/>
          <w:szCs w:val="21"/>
          <w:highlight w:val="none"/>
        </w:rPr>
      </w:pPr>
      <w:r>
        <w:rPr>
          <w:rFonts w:hint="eastAsia" w:ascii="宋体" w:hAnsi="宋体" w:cs="宋体"/>
          <w:bCs/>
          <w:color w:val="auto"/>
          <w:szCs w:val="21"/>
          <w:highlight w:val="none"/>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5AD17992">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一、本国产品标准</w:t>
      </w:r>
    </w:p>
    <w:p w14:paraId="6BF45E98">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本国产品应当符合以下条件：</w:t>
      </w:r>
    </w:p>
    <w:p w14:paraId="68DC46AD">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（一）在中国境内生产</w:t>
      </w:r>
    </w:p>
    <w:p w14:paraId="69F9BF80">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产品应当在中国境内生产，即在中华人民共和国关境内实现从原材料、组件到产品的属性改变。</w:t>
      </w:r>
    </w:p>
    <w:p w14:paraId="2AFB0A47">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属性改变是指经过制造、加工或者组装等工序，产生完全不同于原材料、组件的新产品，并具有新的名称和特征（用途）。属性改变不包括以下细微操作：</w:t>
      </w:r>
    </w:p>
    <w:p w14:paraId="6480F07E">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1.为确保产品在运输或者储存期间保持某种状态而进行的操作；</w:t>
      </w:r>
    </w:p>
    <w:p w14:paraId="1881FA73">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2.为产品运输或者销售进行的包装或者展示；</w:t>
      </w:r>
    </w:p>
    <w:p w14:paraId="1BEA048B">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3.在产品或者其包装上粘贴或者印刷品牌、标志、标识以及其他用于区别的标记；</w:t>
      </w:r>
    </w:p>
    <w:p w14:paraId="7C7809D0">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4.简单的上漆、磨光和分装；</w:t>
      </w:r>
    </w:p>
    <w:p w14:paraId="47F78F1A">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5.其他不属于属性改变的情形。</w:t>
      </w:r>
    </w:p>
    <w:p w14:paraId="29DEE302">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（二）在中国境内生产的组件成本占比达到规定比例</w:t>
      </w:r>
    </w:p>
    <w:p w14:paraId="0A291446">
      <w:pPr>
        <w:shd w:val="clear"/>
        <w:spacing w:line="400" w:lineRule="exact"/>
        <w:jc w:val="both"/>
        <w:rPr>
          <w:rFonts w:hint="eastAsia" w:ascii="宋体" w:hAnsi="宋体" w:cs="宋体"/>
          <w:bCs/>
          <w:color w:val="auto"/>
          <w:szCs w:val="21"/>
          <w:highlight w:val="none"/>
        </w:rPr>
      </w:pPr>
      <w:r>
        <w:rPr>
          <w:rFonts w:hint="eastAsia" w:ascii="宋体" w:hAnsi="宋体" w:cs="宋体"/>
          <w:bCs/>
          <w:color w:val="auto"/>
          <w:szCs w:val="21"/>
          <w:highlight w:val="none"/>
        </w:rPr>
        <w:t>产品在中国境内生产的组件成本占比应当达到规定比例，计算公式为：</w:t>
      </w:r>
    </w:p>
    <w:p w14:paraId="1E48FC55">
      <w:pPr>
        <w:shd w:val="clear"/>
        <w:spacing w:line="400" w:lineRule="exact"/>
        <w:jc w:val="both"/>
        <w:rPr>
          <w:rFonts w:hint="default" w:ascii="宋体" w:hAnsi="宋体" w:cs="宋体"/>
          <w:bCs/>
          <w:color w:val="auto"/>
          <w:szCs w:val="21"/>
          <w:highlight w:val="none"/>
          <w:u w:val="single"/>
          <w:lang w:val="en-US"/>
        </w:rPr>
      </w:pPr>
      <w:r>
        <w:rPr>
          <w:rFonts w:hint="eastAsia" w:ascii="宋体" w:hAnsi="宋体" w:cs="宋体"/>
          <w:bCs/>
          <w:color w:val="auto"/>
          <w:szCs w:val="21"/>
          <w:highlight w:val="none"/>
          <w:u w:val="single"/>
        </w:rPr>
        <w:t>产品在中国境内生产的组件成本</w:t>
      </w:r>
      <w:r>
        <w:rPr>
          <w:rFonts w:hint="eastAsia" w:ascii="宋体" w:hAnsi="宋体" w:cs="宋体"/>
          <w:bCs/>
          <w:color w:val="auto"/>
          <w:szCs w:val="21"/>
          <w:highlight w:val="none"/>
          <w:u w:val="none"/>
          <w:lang w:val="en-US" w:eastAsia="zh-CN"/>
        </w:rPr>
        <w:t xml:space="preserve">  ≥规定比例</w:t>
      </w:r>
    </w:p>
    <w:p w14:paraId="0B407CFB">
      <w:pPr>
        <w:shd w:val="clear"/>
        <w:spacing w:line="400" w:lineRule="exact"/>
        <w:ind w:firstLine="210" w:firstLineChars="100"/>
        <w:jc w:val="both"/>
        <w:rPr>
          <w:rFonts w:hint="eastAsia" w:ascii="宋体" w:hAnsi="宋体" w:eastAsia="宋体" w:cs="宋体"/>
          <w:bCs/>
          <w:color w:val="auto"/>
          <w:szCs w:val="21"/>
          <w:highlight w:val="none"/>
          <w:u w:val="none"/>
          <w:lang w:val="en-US" w:eastAsia="zh-CN"/>
        </w:rPr>
      </w:pPr>
      <w:r>
        <w:rPr>
          <w:rFonts w:hint="eastAsia" w:ascii="宋体" w:hAnsi="宋体" w:cs="宋体"/>
          <w:bCs/>
          <w:color w:val="auto"/>
          <w:szCs w:val="21"/>
          <w:highlight w:val="none"/>
          <w:u w:val="none"/>
          <w:lang w:val="en-US" w:eastAsia="zh-CN"/>
        </w:rPr>
        <w:t xml:space="preserve">    产品总成本               </w:t>
      </w:r>
    </w:p>
    <w:p w14:paraId="668490D7">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5BC72921">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（三）特定产品的关键组件、关键工序符合相关要求</w:t>
      </w:r>
    </w:p>
    <w:p w14:paraId="7C5A3AB7">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对特定产品，在符合本通知第一条第（一）项和第（二）项条件的基础上，应当符合财政部会同有关行业主管部门确定的其关键组件、关键工序在中国境内生产、完成等要求。</w:t>
      </w:r>
    </w:p>
    <w:p w14:paraId="26A54E33">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7748A4F3">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二、本国产品标准的适用范围</w:t>
      </w:r>
    </w:p>
    <w:p w14:paraId="005415EB">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22A8CD">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三、对本国产品的支持政策</w:t>
      </w:r>
    </w:p>
    <w:p w14:paraId="0D338CD7">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政府采购活动中既有本国产品又有非本国产品参与竞争的，依法对本国产品给予价格评审优惠，对本国产品的报价给予20%的价格扣除，用扣除后的价格参与评审。</w:t>
      </w:r>
    </w:p>
    <w:p w14:paraId="7A0B6EAF">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38DBF9B">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四、政策执行要求</w:t>
      </w:r>
    </w:p>
    <w:p w14:paraId="3FDA821E">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（一）产品在中国境内生产的组件成本核算规则。产品在中国境内生产的组件成本，按照《中国境内生产的组件成本核算基本规则》（见附件1）计算。</w:t>
      </w:r>
    </w:p>
    <w:p w14:paraId="776B7052">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有关证明文件。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46D4880E">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采购人、采购代理机构应当随中标、成交结果同时公告中标、成交供应商提供的《声明函》或有关证明文件。</w:t>
      </w:r>
    </w:p>
    <w:p w14:paraId="2D0B63A7">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平等对待各类经营主体。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6200B255">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（四）中华人民共和国缔结或者共同参加的国际条约、协定对政府采购中本国产品政策另有规定的，按照有关条约、协定执行。</w:t>
      </w:r>
    </w:p>
    <w:p w14:paraId="0848E69D">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五、争议处理</w:t>
      </w:r>
    </w:p>
    <w:p w14:paraId="00A47F7B">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190164D7">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（一）政府采购投诉处理、监督检查中，对产品或组件是否在中国境内生产存在争议的，按照以下原则处理：</w:t>
      </w:r>
    </w:p>
    <w:p w14:paraId="50DCAF6A">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17746BF2">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06956D28">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19EC0B51">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5E4C2255">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07A0CE04">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本通知自2026年1月1日起施行。</w:t>
      </w:r>
    </w:p>
    <w:p w14:paraId="5725BCF5">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rPr>
        <w:t>国务院办公厅　        </w:t>
      </w:r>
    </w:p>
    <w:p w14:paraId="2E2514C2">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rPr>
        <w:t>2025年9月28日</w:t>
      </w:r>
    </w:p>
    <w:p w14:paraId="25FF2979">
      <w:pPr>
        <w:shd w:val="clear"/>
        <w:spacing w:line="400" w:lineRule="exact"/>
        <w:jc w:val="both"/>
        <w:rPr>
          <w:rFonts w:hint="default"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br w:type="page"/>
      </w:r>
      <w:r>
        <w:rPr>
          <w:rFonts w:hint="eastAsia" w:ascii="宋体" w:hAnsi="宋体" w:eastAsia="宋体" w:cs="宋体"/>
          <w:bCs/>
          <w:color w:val="auto"/>
          <w:szCs w:val="21"/>
          <w:highlight w:val="none"/>
          <w:lang w:val="en-US" w:eastAsia="zh-CN"/>
        </w:rPr>
        <w:t>附件一</w:t>
      </w:r>
    </w:p>
    <w:p w14:paraId="1F094A1F">
      <w:pPr>
        <w:shd w:val="clear"/>
        <w:spacing w:line="40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中国境内生产的组件成本核算基本规则</w:t>
      </w:r>
    </w:p>
    <w:p w14:paraId="7BA2A51F">
      <w:pPr>
        <w:shd w:val="clear"/>
        <w:spacing w:line="400" w:lineRule="exact"/>
        <w:ind w:firstLine="420" w:firstLineChars="200"/>
        <w:jc w:val="both"/>
        <w:rPr>
          <w:rFonts w:hint="eastAsia" w:ascii="宋体" w:hAnsi="宋体" w:eastAsia="宋体" w:cs="宋体"/>
          <w:bCs/>
          <w:color w:val="auto"/>
          <w:szCs w:val="21"/>
          <w:highlight w:val="none"/>
        </w:rPr>
      </w:pPr>
    </w:p>
    <w:p w14:paraId="1B51C824">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18F52AD8">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一、产品的一级组件是指直接组成产品的组件。产品的二级组件是指直接组成产品一级组件的组件。一级组件不可分解的，视同二级组件。</w:t>
      </w:r>
    </w:p>
    <w:p w14:paraId="768C3A26">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二、二级组件在中国境内生产的，其全部成本计入中国境内生产的组件成本；二级组件不在中国境内生产的，其成本不计入中国境内生产的组件成本。</w:t>
      </w:r>
    </w:p>
    <w:p w14:paraId="6CBFB85F">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三、产品总成本和组件成本以相关会计核算数据、采购合同、进货记录等为基础进行计算。</w:t>
      </w:r>
    </w:p>
    <w:p w14:paraId="18643AA3">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四、需要对成本核算规则予以进一步明确的其他有关事项，由财政部会同有关部门另行规定。</w:t>
      </w:r>
    </w:p>
    <w:p w14:paraId="6358D3DA">
      <w:pPr>
        <w:shd w:val="clear"/>
        <w:spacing w:line="400" w:lineRule="exact"/>
        <w:ind w:firstLine="420" w:firstLineChars="200"/>
        <w:jc w:val="both"/>
        <w:rPr>
          <w:rFonts w:hint="eastAsia" w:ascii="宋体" w:hAnsi="宋体" w:eastAsia="宋体" w:cs="宋体"/>
          <w:bCs/>
          <w:color w:val="auto"/>
          <w:szCs w:val="21"/>
          <w:highlight w:val="none"/>
        </w:rPr>
      </w:pPr>
    </w:p>
    <w:p w14:paraId="4783DD23">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w:t>
      </w:r>
    </w:p>
    <w:p w14:paraId="7A2D8486">
      <w:pPr>
        <w:shd w:val="clear"/>
        <w:spacing w:line="400" w:lineRule="exact"/>
        <w:ind w:firstLine="420" w:firstLineChars="200"/>
        <w:jc w:val="both"/>
        <w:rPr>
          <w:rFonts w:hint="eastAsia" w:ascii="宋体" w:hAnsi="宋体" w:eastAsia="宋体" w:cs="宋体"/>
          <w:bCs/>
          <w:color w:val="auto"/>
          <w:szCs w:val="21"/>
          <w:highlight w:val="none"/>
        </w:rPr>
      </w:pPr>
    </w:p>
    <w:p w14:paraId="1D8087A6">
      <w:pPr>
        <w:shd w:val="clear"/>
        <w:spacing w:line="400" w:lineRule="exact"/>
        <w:ind w:firstLine="420" w:firstLineChars="200"/>
        <w:jc w:val="both"/>
        <w:rPr>
          <w:rFonts w:hint="eastAsia" w:ascii="宋体" w:hAnsi="宋体" w:eastAsia="宋体" w:cs="宋体"/>
          <w:bCs/>
          <w:color w:val="auto"/>
          <w:szCs w:val="21"/>
          <w:highlight w:val="none"/>
        </w:rPr>
      </w:pPr>
    </w:p>
    <w:p w14:paraId="786C80F3">
      <w:pPr>
        <w:shd w:val="clear"/>
        <w:spacing w:line="400" w:lineRule="exact"/>
        <w:ind w:firstLine="420" w:firstLineChars="200"/>
        <w:jc w:val="both"/>
        <w:rPr>
          <w:rFonts w:hint="eastAsia" w:ascii="宋体" w:hAnsi="宋体" w:eastAsia="宋体" w:cs="宋体"/>
          <w:bCs/>
          <w:color w:val="auto"/>
          <w:szCs w:val="21"/>
          <w:highlight w:val="none"/>
        </w:rPr>
      </w:pPr>
    </w:p>
    <w:p w14:paraId="50277797">
      <w:pPr>
        <w:shd w:val="clear"/>
        <w:spacing w:line="400" w:lineRule="exact"/>
        <w:ind w:firstLine="420" w:firstLineChars="200"/>
        <w:jc w:val="both"/>
        <w:rPr>
          <w:rFonts w:hint="eastAsia" w:ascii="宋体" w:hAnsi="宋体" w:eastAsia="宋体" w:cs="宋体"/>
          <w:bCs/>
          <w:color w:val="auto"/>
          <w:szCs w:val="21"/>
          <w:highlight w:val="none"/>
        </w:rPr>
      </w:pPr>
    </w:p>
    <w:p w14:paraId="5C47328A">
      <w:pPr>
        <w:shd w:val="clear"/>
        <w:spacing w:line="400" w:lineRule="exact"/>
        <w:ind w:firstLine="420" w:firstLineChars="200"/>
        <w:jc w:val="both"/>
        <w:rPr>
          <w:rFonts w:hint="eastAsia" w:ascii="宋体" w:hAnsi="宋体" w:eastAsia="宋体" w:cs="宋体"/>
          <w:bCs/>
          <w:color w:val="auto"/>
          <w:szCs w:val="21"/>
          <w:highlight w:val="none"/>
        </w:rPr>
      </w:pPr>
    </w:p>
    <w:p w14:paraId="6D4314E6">
      <w:pPr>
        <w:shd w:val="clear"/>
        <w:spacing w:line="400" w:lineRule="exact"/>
        <w:ind w:firstLine="420" w:firstLineChars="200"/>
        <w:jc w:val="both"/>
        <w:rPr>
          <w:rFonts w:hint="eastAsia" w:ascii="宋体" w:hAnsi="宋体" w:eastAsia="宋体" w:cs="宋体"/>
          <w:bCs/>
          <w:color w:val="auto"/>
          <w:szCs w:val="21"/>
          <w:highlight w:val="none"/>
        </w:rPr>
      </w:pPr>
    </w:p>
    <w:p w14:paraId="3437E433">
      <w:pPr>
        <w:shd w:val="clear"/>
        <w:spacing w:line="400" w:lineRule="exact"/>
        <w:ind w:firstLine="420" w:firstLineChars="200"/>
        <w:jc w:val="both"/>
        <w:rPr>
          <w:rFonts w:hint="eastAsia" w:ascii="宋体" w:hAnsi="宋体" w:eastAsia="宋体" w:cs="宋体"/>
          <w:bCs/>
          <w:color w:val="auto"/>
          <w:szCs w:val="21"/>
          <w:highlight w:val="none"/>
        </w:rPr>
      </w:pPr>
    </w:p>
    <w:p w14:paraId="44792681">
      <w:pPr>
        <w:shd w:val="clear"/>
        <w:spacing w:line="400" w:lineRule="exact"/>
        <w:ind w:firstLine="420" w:firstLineChars="200"/>
        <w:jc w:val="both"/>
        <w:rPr>
          <w:rFonts w:hint="eastAsia" w:ascii="宋体" w:hAnsi="宋体" w:eastAsia="宋体" w:cs="宋体"/>
          <w:bCs/>
          <w:color w:val="auto"/>
          <w:szCs w:val="21"/>
          <w:highlight w:val="none"/>
        </w:rPr>
      </w:pPr>
    </w:p>
    <w:p w14:paraId="66F3C9E7">
      <w:pPr>
        <w:shd w:val="clear"/>
        <w:spacing w:line="400" w:lineRule="exact"/>
        <w:ind w:firstLine="420" w:firstLineChars="200"/>
        <w:jc w:val="both"/>
        <w:rPr>
          <w:rFonts w:hint="eastAsia" w:ascii="宋体" w:hAnsi="宋体" w:eastAsia="宋体" w:cs="宋体"/>
          <w:bCs/>
          <w:color w:val="auto"/>
          <w:szCs w:val="21"/>
          <w:highlight w:val="none"/>
        </w:rPr>
      </w:pPr>
    </w:p>
    <w:p w14:paraId="3937BDCF">
      <w:pPr>
        <w:shd w:val="clear"/>
        <w:spacing w:line="400" w:lineRule="exact"/>
        <w:ind w:firstLine="420" w:firstLineChars="200"/>
        <w:jc w:val="both"/>
        <w:rPr>
          <w:rFonts w:hint="eastAsia" w:ascii="宋体" w:hAnsi="宋体" w:eastAsia="宋体" w:cs="宋体"/>
          <w:bCs/>
          <w:color w:val="auto"/>
          <w:szCs w:val="21"/>
          <w:highlight w:val="none"/>
        </w:rPr>
      </w:pPr>
    </w:p>
    <w:p w14:paraId="7C09F2FF">
      <w:pPr>
        <w:shd w:val="clear"/>
        <w:spacing w:line="400" w:lineRule="exact"/>
        <w:ind w:firstLine="420" w:firstLineChars="200"/>
        <w:jc w:val="both"/>
        <w:rPr>
          <w:rFonts w:hint="eastAsia" w:ascii="宋体" w:hAnsi="宋体" w:eastAsia="宋体" w:cs="宋体"/>
          <w:bCs/>
          <w:color w:val="auto"/>
          <w:szCs w:val="21"/>
          <w:highlight w:val="none"/>
        </w:rPr>
      </w:pPr>
    </w:p>
    <w:p w14:paraId="28060926">
      <w:pPr>
        <w:shd w:val="clear"/>
        <w:spacing w:line="400" w:lineRule="exact"/>
        <w:ind w:firstLine="420" w:firstLineChars="200"/>
        <w:jc w:val="both"/>
        <w:rPr>
          <w:rFonts w:hint="eastAsia" w:ascii="宋体" w:hAnsi="宋体" w:eastAsia="宋体" w:cs="宋体"/>
          <w:bCs/>
          <w:color w:val="auto"/>
          <w:szCs w:val="21"/>
          <w:highlight w:val="none"/>
        </w:rPr>
      </w:pPr>
    </w:p>
    <w:p w14:paraId="1E472234">
      <w:pPr>
        <w:shd w:val="clear"/>
        <w:spacing w:line="400" w:lineRule="exact"/>
        <w:ind w:firstLine="420" w:firstLineChars="200"/>
        <w:jc w:val="both"/>
        <w:rPr>
          <w:rFonts w:hint="eastAsia" w:ascii="宋体" w:hAnsi="宋体" w:eastAsia="宋体" w:cs="宋体"/>
          <w:bCs/>
          <w:color w:val="auto"/>
          <w:szCs w:val="21"/>
          <w:highlight w:val="none"/>
        </w:rPr>
      </w:pPr>
    </w:p>
    <w:p w14:paraId="63E6F6F6">
      <w:pPr>
        <w:shd w:val="clear"/>
        <w:spacing w:line="400" w:lineRule="exact"/>
        <w:ind w:firstLine="420" w:firstLineChars="200"/>
        <w:jc w:val="both"/>
        <w:rPr>
          <w:rFonts w:hint="eastAsia" w:ascii="宋体" w:hAnsi="宋体" w:eastAsia="宋体" w:cs="宋体"/>
          <w:bCs/>
          <w:color w:val="auto"/>
          <w:szCs w:val="21"/>
          <w:highlight w:val="none"/>
        </w:rPr>
      </w:pPr>
    </w:p>
    <w:p w14:paraId="1BEC53F8">
      <w:pPr>
        <w:shd w:val="clear"/>
        <w:spacing w:line="400" w:lineRule="exact"/>
        <w:ind w:firstLine="420" w:firstLineChars="200"/>
        <w:jc w:val="both"/>
        <w:rPr>
          <w:rFonts w:hint="eastAsia" w:ascii="宋体" w:hAnsi="宋体" w:eastAsia="宋体" w:cs="宋体"/>
          <w:bCs/>
          <w:color w:val="auto"/>
          <w:szCs w:val="21"/>
          <w:highlight w:val="none"/>
        </w:rPr>
      </w:pPr>
    </w:p>
    <w:p w14:paraId="5DCCA839">
      <w:pPr>
        <w:shd w:val="clear"/>
        <w:spacing w:line="400" w:lineRule="exact"/>
        <w:ind w:firstLine="420" w:firstLineChars="200"/>
        <w:jc w:val="both"/>
        <w:rPr>
          <w:rFonts w:hint="eastAsia" w:ascii="宋体" w:hAnsi="宋体" w:eastAsia="宋体" w:cs="宋体"/>
          <w:bCs/>
          <w:color w:val="auto"/>
          <w:szCs w:val="21"/>
          <w:highlight w:val="none"/>
        </w:rPr>
      </w:pPr>
    </w:p>
    <w:p w14:paraId="0BB169DF">
      <w:pPr>
        <w:shd w:val="clear"/>
        <w:spacing w:line="400" w:lineRule="exact"/>
        <w:ind w:firstLine="420" w:firstLineChars="200"/>
        <w:jc w:val="both"/>
        <w:rPr>
          <w:rFonts w:hint="eastAsia" w:ascii="宋体" w:hAnsi="宋体" w:eastAsia="宋体" w:cs="宋体"/>
          <w:bCs/>
          <w:color w:val="auto"/>
          <w:szCs w:val="21"/>
          <w:highlight w:val="none"/>
        </w:rPr>
      </w:pPr>
    </w:p>
    <w:p w14:paraId="44EA0EAE">
      <w:pPr>
        <w:shd w:val="clear"/>
        <w:spacing w:line="400" w:lineRule="exact"/>
        <w:ind w:firstLine="420" w:firstLineChars="200"/>
        <w:jc w:val="both"/>
        <w:rPr>
          <w:rFonts w:hint="eastAsia" w:ascii="宋体" w:hAnsi="宋体" w:eastAsia="宋体" w:cs="宋体"/>
          <w:bCs/>
          <w:color w:val="auto"/>
          <w:szCs w:val="21"/>
          <w:highlight w:val="none"/>
        </w:rPr>
      </w:pPr>
    </w:p>
    <w:p w14:paraId="58C2B982">
      <w:pPr>
        <w:shd w:val="clear"/>
        <w:spacing w:line="400" w:lineRule="exact"/>
        <w:ind w:firstLine="420" w:firstLineChars="200"/>
        <w:jc w:val="both"/>
        <w:rPr>
          <w:rFonts w:hint="eastAsia" w:ascii="宋体" w:hAnsi="宋体" w:eastAsia="宋体" w:cs="宋体"/>
          <w:bCs/>
          <w:color w:val="auto"/>
          <w:szCs w:val="21"/>
          <w:highlight w:val="none"/>
        </w:rPr>
      </w:pPr>
    </w:p>
    <w:p w14:paraId="7FF301CB">
      <w:pPr>
        <w:shd w:val="clear"/>
        <w:spacing w:line="400" w:lineRule="exact"/>
        <w:ind w:firstLine="420" w:firstLineChars="200"/>
        <w:jc w:val="both"/>
        <w:rPr>
          <w:rFonts w:hint="eastAsia" w:ascii="宋体" w:hAnsi="宋体" w:eastAsia="宋体" w:cs="宋体"/>
          <w:bCs/>
          <w:color w:val="auto"/>
          <w:szCs w:val="21"/>
          <w:highlight w:val="none"/>
        </w:rPr>
      </w:pPr>
    </w:p>
    <w:p w14:paraId="47E74B6F">
      <w:pPr>
        <w:shd w:val="clear"/>
        <w:spacing w:line="400" w:lineRule="exact"/>
        <w:ind w:firstLine="420" w:firstLineChars="200"/>
        <w:jc w:val="both"/>
        <w:rPr>
          <w:rFonts w:hint="eastAsia" w:ascii="宋体" w:hAnsi="宋体" w:eastAsia="宋体" w:cs="宋体"/>
          <w:bCs/>
          <w:color w:val="auto"/>
          <w:szCs w:val="21"/>
          <w:highlight w:val="none"/>
        </w:rPr>
      </w:pPr>
    </w:p>
    <w:p w14:paraId="637954F1">
      <w:pPr>
        <w:shd w:val="clear"/>
        <w:spacing w:line="400" w:lineRule="exact"/>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w:t>
      </w:r>
    </w:p>
    <w:p w14:paraId="625B21BB">
      <w:pPr>
        <w:shd w:val="clear"/>
        <w:spacing w:line="340" w:lineRule="exact"/>
        <w:ind w:firstLine="643" w:firstLineChars="200"/>
        <w:jc w:val="center"/>
        <w:rPr>
          <w:rFonts w:hint="eastAsia" w:ascii="宋体" w:hAnsi="宋体" w:eastAsia="宋体" w:cs="宋体"/>
          <w:color w:val="auto"/>
          <w:highlight w:val="none"/>
        </w:rPr>
      </w:pPr>
      <w:r>
        <w:rPr>
          <w:rFonts w:hint="eastAsia" w:ascii="宋体" w:hAnsi="宋体" w:eastAsia="宋体" w:cs="宋体"/>
          <w:b/>
          <w:color w:val="auto"/>
          <w:sz w:val="32"/>
          <w:szCs w:val="32"/>
          <w:highlight w:val="none"/>
        </w:rPr>
        <w:t>合同条款（参考格式）</w:t>
      </w:r>
    </w:p>
    <w:bookmarkEnd w:id="48"/>
    <w:p w14:paraId="4CEFB39A">
      <w:pPr>
        <w:pStyle w:val="23"/>
        <w:shd w:val="clear"/>
        <w:spacing w:after="0"/>
        <w:jc w:val="center"/>
        <w:rPr>
          <w:rFonts w:hint="eastAsia" w:ascii="仿宋_GB2312" w:eastAsia="仿宋_GB2312"/>
          <w:b/>
          <w:color w:val="auto"/>
          <w:sz w:val="28"/>
          <w:szCs w:val="28"/>
          <w:highlight w:val="none"/>
        </w:rPr>
      </w:pPr>
      <w:bookmarkStart w:id="49" w:name="_Toc465069607"/>
    </w:p>
    <w:p w14:paraId="71E3F5F3">
      <w:pPr>
        <w:pStyle w:val="23"/>
        <w:shd w:val="clear"/>
        <w:spacing w:after="0"/>
        <w:jc w:val="center"/>
        <w:rPr>
          <w:rFonts w:hint="eastAsia" w:ascii="仿宋_GB2312" w:eastAsia="仿宋_GB2312"/>
          <w:b/>
          <w:color w:val="auto"/>
          <w:sz w:val="28"/>
          <w:szCs w:val="28"/>
          <w:highlight w:val="none"/>
        </w:rPr>
      </w:pPr>
    </w:p>
    <w:p w14:paraId="0C0C4DFE">
      <w:pPr>
        <w:pStyle w:val="23"/>
        <w:shd w:val="clear"/>
        <w:spacing w:after="0"/>
        <w:jc w:val="center"/>
        <w:rPr>
          <w:rFonts w:hint="eastAsia" w:ascii="仿宋_GB2312" w:eastAsia="仿宋_GB2312"/>
          <w:b/>
          <w:color w:val="auto"/>
          <w:sz w:val="28"/>
          <w:szCs w:val="28"/>
          <w:highlight w:val="none"/>
        </w:rPr>
      </w:pPr>
    </w:p>
    <w:p w14:paraId="535CE137">
      <w:pPr>
        <w:pStyle w:val="23"/>
        <w:shd w:val="clear"/>
        <w:spacing w:after="0"/>
        <w:jc w:val="center"/>
        <w:rPr>
          <w:rFonts w:hint="eastAsia" w:ascii="仿宋_GB2312" w:eastAsia="仿宋_GB2312"/>
          <w:b/>
          <w:color w:val="auto"/>
          <w:sz w:val="28"/>
          <w:szCs w:val="28"/>
          <w:highlight w:val="none"/>
        </w:rPr>
      </w:pPr>
    </w:p>
    <w:p w14:paraId="1B9FA97E">
      <w:pPr>
        <w:pStyle w:val="23"/>
        <w:shd w:val="clear"/>
        <w:spacing w:after="0"/>
        <w:jc w:val="center"/>
        <w:rPr>
          <w:rFonts w:hint="eastAsia" w:ascii="仿宋_GB2312" w:eastAsia="仿宋_GB2312"/>
          <w:b/>
          <w:color w:val="auto"/>
          <w:sz w:val="28"/>
          <w:szCs w:val="28"/>
          <w:highlight w:val="none"/>
        </w:rPr>
      </w:pPr>
    </w:p>
    <w:p w14:paraId="780FE907">
      <w:pPr>
        <w:pStyle w:val="23"/>
        <w:shd w:val="clear"/>
        <w:spacing w:after="0"/>
        <w:jc w:val="center"/>
        <w:rPr>
          <w:rFonts w:hint="eastAsia" w:ascii="仿宋_GB2312" w:eastAsia="仿宋_GB2312"/>
          <w:b/>
          <w:color w:val="auto"/>
          <w:sz w:val="28"/>
          <w:szCs w:val="28"/>
          <w:highlight w:val="none"/>
        </w:rPr>
      </w:pPr>
    </w:p>
    <w:p w14:paraId="309CB43E">
      <w:pPr>
        <w:pStyle w:val="23"/>
        <w:shd w:val="clear"/>
        <w:spacing w:after="0"/>
        <w:jc w:val="center"/>
        <w:rPr>
          <w:rFonts w:hint="eastAsia" w:ascii="宋体" w:hAnsi="宋体" w:cs="宋体"/>
          <w:b/>
          <w:bCs/>
          <w:color w:val="auto"/>
          <w:spacing w:val="-20"/>
          <w:kern w:val="44"/>
          <w:sz w:val="48"/>
          <w:szCs w:val="48"/>
          <w:highlight w:val="none"/>
        </w:rPr>
      </w:pPr>
      <w:r>
        <w:rPr>
          <w:rFonts w:hint="eastAsia" w:ascii="宋体" w:hAnsi="宋体" w:cs="宋体"/>
          <w:b/>
          <w:bCs/>
          <w:color w:val="auto"/>
          <w:spacing w:val="-20"/>
          <w:kern w:val="44"/>
          <w:sz w:val="48"/>
          <w:szCs w:val="48"/>
          <w:highlight w:val="none"/>
        </w:rPr>
        <w:t>政府采购</w:t>
      </w:r>
      <w:r>
        <w:rPr>
          <w:rFonts w:hint="eastAsia" w:ascii="宋体" w:hAnsi="宋体" w:cs="宋体"/>
          <w:b/>
          <w:bCs/>
          <w:color w:val="auto"/>
          <w:spacing w:val="-20"/>
          <w:kern w:val="44"/>
          <w:sz w:val="48"/>
          <w:szCs w:val="48"/>
          <w:highlight w:val="none"/>
          <w:lang w:eastAsia="zh-CN"/>
        </w:rPr>
        <w:t>货物买卖</w:t>
      </w:r>
      <w:r>
        <w:rPr>
          <w:rFonts w:hint="eastAsia" w:ascii="宋体" w:hAnsi="宋体" w:cs="宋体"/>
          <w:b/>
          <w:bCs/>
          <w:color w:val="auto"/>
          <w:spacing w:val="-20"/>
          <w:kern w:val="44"/>
          <w:sz w:val="48"/>
          <w:szCs w:val="48"/>
          <w:highlight w:val="none"/>
        </w:rPr>
        <w:t>合同</w:t>
      </w:r>
    </w:p>
    <w:p w14:paraId="07724369">
      <w:pPr>
        <w:pStyle w:val="23"/>
        <w:shd w:val="clear"/>
        <w:spacing w:after="0"/>
        <w:jc w:val="center"/>
        <w:rPr>
          <w:rFonts w:hint="eastAsia" w:ascii="宋体" w:hAnsi="宋体" w:eastAsia="宋体" w:cs="宋体"/>
          <w:b/>
          <w:bCs/>
          <w:color w:val="auto"/>
          <w:spacing w:val="-20"/>
          <w:kern w:val="44"/>
          <w:sz w:val="48"/>
          <w:szCs w:val="48"/>
          <w:highlight w:val="none"/>
          <w:lang w:eastAsia="zh-CN"/>
        </w:rPr>
      </w:pPr>
      <w:r>
        <w:rPr>
          <w:rFonts w:hint="eastAsia" w:ascii="宋体" w:hAnsi="宋体" w:cs="宋体"/>
          <w:b/>
          <w:bCs/>
          <w:color w:val="auto"/>
          <w:spacing w:val="-20"/>
          <w:kern w:val="44"/>
          <w:sz w:val="48"/>
          <w:szCs w:val="48"/>
          <w:highlight w:val="none"/>
          <w:lang w:eastAsia="zh-CN"/>
        </w:rPr>
        <w:t>（试行）</w:t>
      </w:r>
    </w:p>
    <w:p w14:paraId="1DF00A0A">
      <w:pPr>
        <w:shd w:val="clear"/>
        <w:rPr>
          <w:rFonts w:ascii="宋体" w:hAnsi="宋体" w:cs="宋体"/>
          <w:b/>
          <w:bCs/>
          <w:color w:val="auto"/>
          <w:spacing w:val="-20"/>
          <w:kern w:val="44"/>
          <w:sz w:val="40"/>
          <w:szCs w:val="40"/>
          <w:highlight w:val="none"/>
        </w:rPr>
      </w:pPr>
    </w:p>
    <w:p w14:paraId="26CD3CAA">
      <w:pPr>
        <w:shd w:val="clear"/>
        <w:rPr>
          <w:rFonts w:ascii="宋体" w:hAnsi="宋体" w:cs="宋体"/>
          <w:b/>
          <w:bCs/>
          <w:color w:val="auto"/>
          <w:spacing w:val="-20"/>
          <w:kern w:val="44"/>
          <w:sz w:val="40"/>
          <w:szCs w:val="40"/>
          <w:highlight w:val="none"/>
        </w:rPr>
      </w:pPr>
    </w:p>
    <w:p w14:paraId="52C309BB">
      <w:pPr>
        <w:shd w:val="clear"/>
        <w:rPr>
          <w:rFonts w:ascii="宋体" w:hAnsi="宋体" w:cs="宋体"/>
          <w:b/>
          <w:bCs/>
          <w:color w:val="auto"/>
          <w:spacing w:val="-20"/>
          <w:kern w:val="44"/>
          <w:sz w:val="40"/>
          <w:szCs w:val="40"/>
          <w:highlight w:val="none"/>
        </w:rPr>
      </w:pPr>
    </w:p>
    <w:p w14:paraId="0E5F64F9">
      <w:pPr>
        <w:shd w:val="clear"/>
        <w:rPr>
          <w:rFonts w:ascii="宋体" w:hAnsi="宋体" w:cs="宋体"/>
          <w:b/>
          <w:bCs/>
          <w:color w:val="auto"/>
          <w:spacing w:val="-20"/>
          <w:kern w:val="44"/>
          <w:sz w:val="40"/>
          <w:szCs w:val="40"/>
          <w:highlight w:val="none"/>
        </w:rPr>
      </w:pPr>
    </w:p>
    <w:p w14:paraId="23F4F89C">
      <w:pPr>
        <w:shd w:val="clear"/>
        <w:rPr>
          <w:rFonts w:ascii="宋体" w:hAnsi="宋体" w:cs="宋体"/>
          <w:b/>
          <w:bCs/>
          <w:color w:val="auto"/>
          <w:spacing w:val="-20"/>
          <w:kern w:val="44"/>
          <w:sz w:val="40"/>
          <w:szCs w:val="40"/>
          <w:highlight w:val="none"/>
        </w:rPr>
      </w:pPr>
    </w:p>
    <w:p w14:paraId="08559D77">
      <w:pPr>
        <w:shd w:val="clear"/>
        <w:rPr>
          <w:rFonts w:ascii="宋体" w:hAnsi="宋体" w:cs="宋体"/>
          <w:b/>
          <w:bCs/>
          <w:color w:val="auto"/>
          <w:spacing w:val="-20"/>
          <w:kern w:val="44"/>
          <w:sz w:val="40"/>
          <w:szCs w:val="40"/>
          <w:highlight w:val="none"/>
        </w:rPr>
      </w:pPr>
    </w:p>
    <w:p w14:paraId="4500F7DC">
      <w:pPr>
        <w:shd w:val="clear"/>
        <w:spacing w:line="360" w:lineRule="auto"/>
        <w:ind w:left="420" w:leftChars="200"/>
        <w:rPr>
          <w:color w:val="auto"/>
          <w:sz w:val="32"/>
          <w:szCs w:val="32"/>
          <w:highlight w:val="none"/>
        </w:rPr>
      </w:pPr>
      <w:r>
        <w:rPr>
          <w:rFonts w:hint="eastAsia" w:ascii="宋体" w:hAnsi="宋体" w:cs="宋体"/>
          <w:color w:val="auto"/>
          <w:kern w:val="0"/>
          <w:sz w:val="32"/>
          <w:szCs w:val="32"/>
          <w:highlight w:val="none"/>
        </w:rPr>
        <w:t>项目名称：</w:t>
      </w:r>
      <w:r>
        <w:rPr>
          <w:rFonts w:hint="eastAsia"/>
          <w:color w:val="auto"/>
          <w:sz w:val="32"/>
          <w:szCs w:val="32"/>
          <w:highlight w:val="none"/>
          <w:u w:val="single"/>
        </w:rPr>
        <w:t xml:space="preserve">                             </w:t>
      </w:r>
    </w:p>
    <w:p w14:paraId="16AA61C0">
      <w:pPr>
        <w:shd w:val="clear"/>
        <w:spacing w:line="360" w:lineRule="auto"/>
        <w:ind w:left="420" w:leftChars="200"/>
        <w:rPr>
          <w:color w:val="auto"/>
          <w:sz w:val="32"/>
          <w:szCs w:val="32"/>
          <w:highlight w:val="none"/>
          <w:u w:val="single"/>
        </w:rPr>
      </w:pPr>
      <w:r>
        <w:rPr>
          <w:rFonts w:hint="eastAsia"/>
          <w:color w:val="auto"/>
          <w:sz w:val="32"/>
          <w:szCs w:val="32"/>
          <w:highlight w:val="none"/>
        </w:rPr>
        <w:t>合同编号：</w:t>
      </w:r>
      <w:r>
        <w:rPr>
          <w:rFonts w:hint="eastAsia"/>
          <w:color w:val="auto"/>
          <w:sz w:val="32"/>
          <w:szCs w:val="32"/>
          <w:highlight w:val="none"/>
          <w:u w:val="single"/>
        </w:rPr>
        <w:t xml:space="preserve">                             </w:t>
      </w:r>
    </w:p>
    <w:p w14:paraId="1C1A83DC">
      <w:pPr>
        <w:shd w:val="clear"/>
        <w:spacing w:line="360" w:lineRule="auto"/>
        <w:ind w:left="420" w:leftChars="200"/>
        <w:rPr>
          <w:color w:val="auto"/>
          <w:sz w:val="32"/>
          <w:szCs w:val="32"/>
          <w:highlight w:val="none"/>
        </w:rPr>
      </w:pPr>
      <w:r>
        <w:rPr>
          <w:rFonts w:hint="eastAsia"/>
          <w:color w:val="auto"/>
          <w:sz w:val="32"/>
          <w:szCs w:val="32"/>
          <w:highlight w:val="none"/>
        </w:rPr>
        <w:t>甲    方：</w:t>
      </w:r>
      <w:r>
        <w:rPr>
          <w:rFonts w:hint="eastAsia"/>
          <w:color w:val="auto"/>
          <w:sz w:val="32"/>
          <w:szCs w:val="32"/>
          <w:highlight w:val="none"/>
          <w:u w:val="single"/>
        </w:rPr>
        <w:t xml:space="preserve">                             </w:t>
      </w:r>
    </w:p>
    <w:p w14:paraId="0C619CEA">
      <w:pPr>
        <w:shd w:val="clear"/>
        <w:spacing w:line="360" w:lineRule="auto"/>
        <w:ind w:left="420" w:leftChars="200"/>
        <w:rPr>
          <w:color w:val="auto"/>
          <w:sz w:val="32"/>
          <w:szCs w:val="32"/>
          <w:highlight w:val="none"/>
          <w:u w:val="single"/>
        </w:rPr>
      </w:pPr>
      <w:r>
        <w:rPr>
          <w:rFonts w:hint="eastAsia"/>
          <w:color w:val="auto"/>
          <w:sz w:val="32"/>
          <w:szCs w:val="32"/>
          <w:highlight w:val="none"/>
        </w:rPr>
        <w:t>乙    方：</w:t>
      </w:r>
      <w:r>
        <w:rPr>
          <w:rFonts w:hint="eastAsia"/>
          <w:color w:val="auto"/>
          <w:sz w:val="32"/>
          <w:szCs w:val="32"/>
          <w:highlight w:val="none"/>
          <w:u w:val="single"/>
        </w:rPr>
        <w:t xml:space="preserve">                             </w:t>
      </w:r>
    </w:p>
    <w:p w14:paraId="3528F031">
      <w:pPr>
        <w:shd w:val="clear"/>
        <w:spacing w:line="360" w:lineRule="auto"/>
        <w:ind w:left="420" w:leftChars="200"/>
        <w:rPr>
          <w:color w:val="auto"/>
          <w:sz w:val="32"/>
          <w:szCs w:val="32"/>
          <w:highlight w:val="none"/>
        </w:rPr>
      </w:pPr>
      <w:r>
        <w:rPr>
          <w:rFonts w:hint="eastAsia"/>
          <w:color w:val="auto"/>
          <w:sz w:val="32"/>
          <w:szCs w:val="32"/>
          <w:highlight w:val="none"/>
        </w:rPr>
        <w:t>签订时间：</w:t>
      </w:r>
      <w:r>
        <w:rPr>
          <w:rFonts w:hint="eastAsia"/>
          <w:color w:val="auto"/>
          <w:sz w:val="32"/>
          <w:szCs w:val="32"/>
          <w:highlight w:val="none"/>
          <w:u w:val="single"/>
        </w:rPr>
        <w:t xml:space="preserve">      </w:t>
      </w:r>
      <w:r>
        <w:rPr>
          <w:color w:val="auto"/>
          <w:sz w:val="32"/>
          <w:szCs w:val="32"/>
          <w:highlight w:val="none"/>
          <w:u w:val="single"/>
        </w:rPr>
        <w:t xml:space="preserve">           </w:t>
      </w:r>
      <w:r>
        <w:rPr>
          <w:rFonts w:hint="eastAsia"/>
          <w:color w:val="auto"/>
          <w:sz w:val="32"/>
          <w:szCs w:val="32"/>
          <w:highlight w:val="none"/>
          <w:u w:val="single"/>
        </w:rPr>
        <w:t xml:space="preserve">            </w:t>
      </w:r>
    </w:p>
    <w:p w14:paraId="4184DC8F">
      <w:pPr>
        <w:shd w:val="clear"/>
        <w:rPr>
          <w:color w:val="auto"/>
          <w:highlight w:val="none"/>
        </w:rPr>
      </w:pPr>
    </w:p>
    <w:p w14:paraId="4435D4DC">
      <w:pPr>
        <w:shd w:val="clear"/>
        <w:rPr>
          <w:rFonts w:eastAsia="黑体"/>
          <w:color w:val="auto"/>
          <w:sz w:val="44"/>
          <w:szCs w:val="44"/>
          <w:highlight w:val="none"/>
        </w:rPr>
      </w:pPr>
      <w:r>
        <w:rPr>
          <w:rFonts w:eastAsia="黑体"/>
          <w:color w:val="auto"/>
          <w:sz w:val="44"/>
          <w:szCs w:val="44"/>
          <w:highlight w:val="none"/>
        </w:rPr>
        <w:br w:type="page"/>
      </w:r>
    </w:p>
    <w:p w14:paraId="5F0885ED">
      <w:pPr>
        <w:shd w:val="clear"/>
        <w:jc w:val="center"/>
        <w:rPr>
          <w:rFonts w:hint="eastAsia" w:eastAsia="黑体"/>
          <w:color w:val="auto"/>
          <w:sz w:val="32"/>
          <w:szCs w:val="32"/>
          <w:highlight w:val="none"/>
          <w:lang w:eastAsia="zh-CN"/>
        </w:rPr>
      </w:pPr>
      <w:r>
        <w:rPr>
          <w:rFonts w:hint="eastAsia" w:eastAsia="黑体"/>
          <w:color w:val="auto"/>
          <w:sz w:val="32"/>
          <w:szCs w:val="32"/>
          <w:highlight w:val="none"/>
          <w:lang w:eastAsia="zh-CN"/>
        </w:rPr>
        <w:t>使</w:t>
      </w:r>
      <w:r>
        <w:rPr>
          <w:rFonts w:hint="eastAsia" w:eastAsia="黑体"/>
          <w:color w:val="auto"/>
          <w:sz w:val="32"/>
          <w:szCs w:val="32"/>
          <w:highlight w:val="none"/>
          <w:lang w:val="en-US" w:eastAsia="zh-CN"/>
        </w:rPr>
        <w:t xml:space="preserve"> </w:t>
      </w:r>
      <w:r>
        <w:rPr>
          <w:rFonts w:hint="eastAsia" w:eastAsia="黑体"/>
          <w:color w:val="auto"/>
          <w:sz w:val="32"/>
          <w:szCs w:val="32"/>
          <w:highlight w:val="none"/>
          <w:lang w:eastAsia="zh-CN"/>
        </w:rPr>
        <w:t>用</w:t>
      </w:r>
      <w:r>
        <w:rPr>
          <w:rFonts w:hint="eastAsia" w:eastAsia="黑体"/>
          <w:color w:val="auto"/>
          <w:sz w:val="32"/>
          <w:szCs w:val="32"/>
          <w:highlight w:val="none"/>
          <w:lang w:val="en-US" w:eastAsia="zh-CN"/>
        </w:rPr>
        <w:t xml:space="preserve"> </w:t>
      </w:r>
      <w:r>
        <w:rPr>
          <w:rFonts w:hint="eastAsia" w:eastAsia="黑体"/>
          <w:color w:val="auto"/>
          <w:sz w:val="32"/>
          <w:szCs w:val="32"/>
          <w:highlight w:val="none"/>
          <w:lang w:eastAsia="zh-CN"/>
        </w:rPr>
        <w:t>说</w:t>
      </w:r>
      <w:r>
        <w:rPr>
          <w:rFonts w:hint="eastAsia" w:eastAsia="黑体"/>
          <w:color w:val="auto"/>
          <w:sz w:val="32"/>
          <w:szCs w:val="32"/>
          <w:highlight w:val="none"/>
          <w:lang w:val="en-US" w:eastAsia="zh-CN"/>
        </w:rPr>
        <w:t xml:space="preserve"> </w:t>
      </w:r>
      <w:r>
        <w:rPr>
          <w:rFonts w:hint="eastAsia" w:eastAsia="黑体"/>
          <w:color w:val="auto"/>
          <w:sz w:val="32"/>
          <w:szCs w:val="32"/>
          <w:highlight w:val="none"/>
          <w:lang w:eastAsia="zh-CN"/>
        </w:rPr>
        <w:t>明</w:t>
      </w:r>
    </w:p>
    <w:p w14:paraId="7001B556">
      <w:pPr>
        <w:shd w:val="clear"/>
        <w:ind w:firstLine="640" w:firstLineChars="200"/>
        <w:rPr>
          <w:rFonts w:hint="eastAsia" w:ascii="仿宋_GB2312" w:hAnsi="仿宋_GB2312" w:eastAsia="仿宋_GB2312" w:cs="仿宋_GB2312"/>
          <w:color w:val="auto"/>
          <w:sz w:val="32"/>
          <w:szCs w:val="32"/>
          <w:highlight w:val="none"/>
          <w:lang w:val="en-US" w:eastAsia="zh-CN"/>
        </w:rPr>
      </w:pPr>
    </w:p>
    <w:p w14:paraId="53C6F1B1">
      <w:pPr>
        <w:shd w:val="clea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1.本合同标准文本适用于购买现成货物的采购项目，不包括需要供应商定制开发、创新研发的货物采购项目。</w:t>
      </w:r>
    </w:p>
    <w:p w14:paraId="69E6B444">
      <w:pPr>
        <w:shd w:val="clear"/>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2.本合同标准文本为政府采购货物买卖合同编制提供参考，可以结合采购项目具体情况，对文本作必要的调整修订后使用。</w:t>
      </w:r>
    </w:p>
    <w:p w14:paraId="4F40A84A">
      <w:pPr>
        <w:shd w:val="clea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3.本合同标准文本各条款中，如涉及填写多家供应商、制造商，多种采购标的、分包主要内容等信息的，可根据采购项目具体情况添加信息项。</w:t>
      </w:r>
    </w:p>
    <w:p w14:paraId="5C874A07">
      <w:pPr>
        <w:shd w:val="clear"/>
        <w:ind w:firstLine="420" w:firstLineChars="200"/>
        <w:jc w:val="both"/>
        <w:rPr>
          <w:rFonts w:hint="eastAsia" w:ascii="宋体" w:hAnsi="宋体" w:eastAsia="宋体" w:cs="宋体"/>
          <w:color w:val="auto"/>
          <w:sz w:val="21"/>
          <w:szCs w:val="21"/>
          <w:highlight w:val="none"/>
        </w:rPr>
        <w:sectPr>
          <w:headerReference r:id="rId9" w:type="default"/>
          <w:footerReference r:id="rId10" w:type="default"/>
          <w:pgSz w:w="11906" w:h="16838"/>
          <w:pgMar w:top="1440" w:right="1349" w:bottom="1440" w:left="1349"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0C3CC57">
      <w:pPr>
        <w:pStyle w:val="3"/>
        <w:shd w:val="clear"/>
        <w:adjustRightInd w:val="0"/>
        <w:snapToGrid w:val="0"/>
        <w:spacing w:beforeLines="0" w:line="240" w:lineRule="auto"/>
        <w:jc w:val="center"/>
        <w:rPr>
          <w:rFonts w:hint="eastAsia" w:ascii="黑体" w:hAnsi="华文中宋" w:eastAsia="黑体"/>
          <w:b w:val="0"/>
          <w:bCs w:val="0"/>
          <w:color w:val="auto"/>
          <w:sz w:val="28"/>
          <w:szCs w:val="28"/>
          <w:highlight w:val="none"/>
        </w:rPr>
      </w:pPr>
      <w:bookmarkStart w:id="50" w:name="_Toc22209"/>
      <w:r>
        <w:rPr>
          <w:rFonts w:hint="eastAsia" w:ascii="黑体" w:hAnsi="黑体" w:eastAsia="黑体"/>
          <w:b w:val="0"/>
          <w:bCs w:val="0"/>
          <w:color w:val="auto"/>
          <w:sz w:val="28"/>
          <w:szCs w:val="28"/>
          <w:highlight w:val="none"/>
        </w:rPr>
        <w:t xml:space="preserve">第一节 </w:t>
      </w:r>
      <w:r>
        <w:rPr>
          <w:rFonts w:hint="eastAsia" w:ascii="黑体" w:hAnsi="华文中宋" w:eastAsia="黑体"/>
          <w:b w:val="0"/>
          <w:bCs w:val="0"/>
          <w:color w:val="auto"/>
          <w:sz w:val="28"/>
          <w:szCs w:val="28"/>
          <w:highlight w:val="none"/>
        </w:rPr>
        <w:t>政府采购合同协议书</w:t>
      </w:r>
      <w:bookmarkEnd w:id="50"/>
    </w:p>
    <w:p w14:paraId="3F21A31C">
      <w:pPr>
        <w:shd w:val="clear"/>
        <w:adjustRightInd w:val="0"/>
        <w:snapToGrid w:val="0"/>
        <w:spacing w:before="0"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（采购人</w:t>
      </w:r>
      <w:r>
        <w:rPr>
          <w:rFonts w:hint="eastAsia" w:ascii="宋体" w:hAnsi="宋体" w:eastAsia="宋体" w:cs="宋体"/>
          <w:color w:val="auto"/>
          <w:sz w:val="21"/>
          <w:szCs w:val="21"/>
          <w:highlight w:val="none"/>
          <w:lang w:eastAsia="zh-CN"/>
        </w:rPr>
        <w:t>、受采购人委托签订合同的单位</w:t>
      </w:r>
      <w:r>
        <w:rPr>
          <w:rFonts w:hint="eastAsia" w:ascii="宋体" w:hAnsi="宋体" w:eastAsia="宋体" w:cs="宋体"/>
          <w:color w:val="auto"/>
          <w:sz w:val="21"/>
          <w:szCs w:val="21"/>
          <w:highlight w:val="none"/>
        </w:rPr>
        <w:t>或采购</w:t>
      </w:r>
      <w:r>
        <w:rPr>
          <w:rFonts w:hint="eastAsia" w:ascii="宋体" w:hAnsi="宋体" w:eastAsia="宋体" w:cs="宋体"/>
          <w:color w:val="auto"/>
          <w:sz w:val="21"/>
          <w:szCs w:val="21"/>
          <w:highlight w:val="none"/>
          <w:lang w:val="en-US" w:eastAsia="zh-CN"/>
        </w:rPr>
        <w:tab/>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文件约定的合同甲方）</w:t>
      </w:r>
    </w:p>
    <w:p w14:paraId="1A186C54">
      <w:pPr>
        <w:shd w:val="clear"/>
        <w:adjustRightInd w:val="0"/>
        <w:snapToGrid w:val="0"/>
        <w:spacing w:before="0"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（供应商）</w:t>
      </w:r>
    </w:p>
    <w:p w14:paraId="4FD77EB9">
      <w:pPr>
        <w:shd w:val="clear"/>
        <w:adjustRightInd w:val="0"/>
        <w:snapToGrid w:val="0"/>
        <w:spacing w:before="0"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乙方2（全称）：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（联合体成员供应商或其他合同主体）（如有）</w:t>
      </w:r>
    </w:p>
    <w:p w14:paraId="2150157E">
      <w:pPr>
        <w:shd w:val="clear"/>
        <w:adjustRightInd w:val="0"/>
        <w:snapToGrid w:val="0"/>
        <w:spacing w:before="0"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lang w:val="en-US" w:eastAsia="zh-CN"/>
        </w:rPr>
        <w:t>3（全称）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（联合体成员供应商或其他合同主体）（如有）</w:t>
      </w:r>
    </w:p>
    <w:p w14:paraId="0849BC32">
      <w:pPr>
        <w:shd w:val="clear"/>
        <w:spacing w:beforeLines="0" w:line="400" w:lineRule="exact"/>
        <w:rPr>
          <w:rFonts w:hint="eastAsia" w:ascii="宋体" w:hAnsi="宋体" w:eastAsia="宋体" w:cs="宋体"/>
          <w:color w:val="auto"/>
          <w:sz w:val="21"/>
          <w:szCs w:val="21"/>
          <w:highlight w:val="none"/>
          <w:lang w:val="en-US" w:eastAsia="zh-CN"/>
        </w:rPr>
      </w:pPr>
    </w:p>
    <w:p w14:paraId="6A0376D7">
      <w:pPr>
        <w:pStyle w:val="24"/>
        <w:shd w:val="clear"/>
        <w:adjustRightInd w:val="0"/>
        <w:snapToGrid w:val="0"/>
        <w:spacing w:before="0" w:beforeLines="0" w:after="0" w:line="400" w:lineRule="exact"/>
        <w:ind w:left="0" w:leftChars="0" w:firstLine="468"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依据《中华人民共和国民法典》</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《中华人民共和国政府采购法》等有关的法律法规，以及</w:t>
      </w:r>
      <w:r>
        <w:rPr>
          <w:rFonts w:hint="eastAsia" w:ascii="宋体" w:hAnsi="宋体" w:eastAsia="宋体" w:cs="宋体"/>
          <w:i w:val="0"/>
          <w:iCs w:val="0"/>
          <w:color w:val="auto"/>
          <w:sz w:val="21"/>
          <w:szCs w:val="21"/>
          <w:highlight w:val="none"/>
          <w:u w:val="none"/>
          <w:lang w:eastAsia="zh-CN"/>
        </w:rPr>
        <w:t>本采购项目</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招标</w:t>
      </w:r>
      <w:r>
        <w:rPr>
          <w:rFonts w:hint="eastAsia" w:ascii="宋体" w:hAnsi="宋体" w:eastAsia="宋体" w:cs="宋体"/>
          <w:color w:val="auto"/>
          <w:sz w:val="21"/>
          <w:szCs w:val="21"/>
          <w:highlight w:val="none"/>
          <w:lang w:val="en-US" w:eastAsia="zh-CN"/>
        </w:rPr>
        <w:t>/谈判</w:t>
      </w:r>
      <w:r>
        <w:rPr>
          <w:rFonts w:hint="eastAsia" w:ascii="宋体" w:hAnsi="宋体" w:eastAsia="宋体" w:cs="宋体"/>
          <w:color w:val="auto"/>
          <w:sz w:val="21"/>
          <w:szCs w:val="21"/>
          <w:highlight w:val="none"/>
          <w:lang w:eastAsia="zh-CN"/>
        </w:rPr>
        <w:t>文件等</w:t>
      </w:r>
      <w:r>
        <w:rPr>
          <w:rFonts w:hint="eastAsia" w:ascii="宋体" w:hAnsi="宋体" w:eastAsia="宋体" w:cs="宋体"/>
          <w:color w:val="auto"/>
          <w:sz w:val="21"/>
          <w:szCs w:val="21"/>
          <w:highlight w:val="none"/>
        </w:rPr>
        <w:t>采购文件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 xml:space="preserve">乙方的《投标（响应）文件》及《中标（成交）通知书》，甲乙双方同意签订本合同。具体情况及要求如下：     </w:t>
      </w:r>
    </w:p>
    <w:p w14:paraId="40AA89FE">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项目信息</w:t>
      </w:r>
    </w:p>
    <w:p w14:paraId="3EBC082E">
      <w:pPr>
        <w:pStyle w:val="24"/>
        <w:numPr>
          <w:ilvl w:val="0"/>
          <w:numId w:val="21"/>
        </w:numPr>
        <w:shd w:val="clear"/>
        <w:adjustRightInd w:val="0"/>
        <w:snapToGrid w:val="0"/>
        <w:spacing w:before="0" w:beforeLines="0" w:after="0" w:line="400" w:lineRule="exact"/>
        <w:ind w:left="0" w:leftChars="0" w:firstLine="468"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single"/>
        </w:rPr>
        <w:t xml:space="preserve">                                          </w:t>
      </w:r>
    </w:p>
    <w:p w14:paraId="1D5FEBD4">
      <w:pPr>
        <w:pStyle w:val="24"/>
        <w:numPr>
          <w:ilvl w:val="0"/>
          <w:numId w:val="0"/>
        </w:numPr>
        <w:shd w:val="clear"/>
        <w:tabs>
          <w:tab w:val="left" w:pos="999"/>
        </w:tabs>
        <w:adjustRightInd w:val="0"/>
        <w:snapToGrid w:val="0"/>
        <w:spacing w:before="0" w:beforeLines="0" w:after="0" w:line="400" w:lineRule="exact"/>
        <w:ind w:left="0" w:leftChars="0" w:firstLine="0" w:firstLineChars="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 xml:space="preserve">         采购项目编号：</w:t>
      </w:r>
      <w:r>
        <w:rPr>
          <w:rFonts w:hint="eastAsia" w:ascii="宋体" w:hAnsi="宋体" w:eastAsia="宋体" w:cs="宋体"/>
          <w:color w:val="auto"/>
          <w:sz w:val="21"/>
          <w:szCs w:val="21"/>
          <w:highlight w:val="none"/>
          <w:u w:val="single"/>
        </w:rPr>
        <w:t xml:space="preserve">                                          </w:t>
      </w:r>
    </w:p>
    <w:p w14:paraId="00D555F0">
      <w:pPr>
        <w:pStyle w:val="24"/>
        <w:shd w:val="clear"/>
        <w:adjustRightInd w:val="0"/>
        <w:snapToGrid w:val="0"/>
        <w:spacing w:before="0" w:beforeLines="0" w:after="0" w:line="400" w:lineRule="exact"/>
        <w:ind w:left="0" w:leftChars="0" w:firstLine="468"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（2）采购计划编号：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28AEEDDD">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（3）项目内容：</w:t>
      </w:r>
    </w:p>
    <w:p w14:paraId="162144BB">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采购标的及数量</w:t>
      </w:r>
      <w:r>
        <w:rPr>
          <w:rFonts w:hint="eastAsia" w:ascii="宋体" w:hAnsi="宋体" w:eastAsia="宋体" w:cs="宋体"/>
          <w:color w:val="auto"/>
          <w:sz w:val="21"/>
          <w:szCs w:val="21"/>
          <w:highlight w:val="none"/>
          <w:lang w:val="en-US" w:eastAsia="zh-CN"/>
        </w:rPr>
        <w:t>（台/套</w:t>
      </w:r>
      <w:r>
        <w:rPr>
          <w:rFonts w:hint="eastAsia" w:ascii="宋体" w:hAnsi="宋体" w:eastAsia="宋体" w:cs="宋体"/>
          <w:color w:val="auto"/>
          <w:sz w:val="21"/>
          <w:szCs w:val="21"/>
          <w:highlight w:val="none"/>
          <w:lang w:val="en" w:eastAsia="zh-CN"/>
        </w:rPr>
        <w:t>/个/架/组等</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35EFA757">
      <w:pPr>
        <w:numPr>
          <w:ilvl w:val="0"/>
          <w:numId w:val="0"/>
        </w:num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 w:eastAsia="zh-CN"/>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 w:eastAsia="zh-CN"/>
        </w:rPr>
        <w:t xml:space="preserve">     </w:t>
      </w:r>
      <w:r>
        <w:rPr>
          <w:rFonts w:hint="eastAsia" w:ascii="宋体" w:hAnsi="宋体" w:eastAsia="宋体" w:cs="宋体"/>
          <w:color w:val="auto"/>
          <w:sz w:val="21"/>
          <w:szCs w:val="21"/>
          <w:highlight w:val="none"/>
          <w:lang w:val="en-US" w:eastAsia="zh-CN"/>
        </w:rPr>
        <w:t>规格型号：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lang w:val="en" w:eastAsia="zh-CN"/>
        </w:rPr>
        <w:t xml:space="preserve">   </w:t>
      </w:r>
    </w:p>
    <w:p w14:paraId="22C1035C">
      <w:pPr>
        <w:shd w:val="clear"/>
        <w:adjustRightInd w:val="0"/>
        <w:snapToGrid w:val="0"/>
        <w:spacing w:before="0" w:beforeLines="0" w:line="400" w:lineRule="exact"/>
        <w:ind w:firstLine="945" w:firstLineChars="45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采购标的的技术要求、商务要求具体见附件。</w:t>
      </w:r>
    </w:p>
    <w:p w14:paraId="09E533BF">
      <w:pPr>
        <w:numPr>
          <w:ilvl w:val="0"/>
          <w:numId w:val="0"/>
        </w:numPr>
        <w:shd w:val="clear"/>
        <w:adjustRightInd w:val="0"/>
        <w:snapToGrid w:val="0"/>
        <w:spacing w:before="0" w:beforeLines="0" w:line="400" w:lineRule="exact"/>
        <w:ind w:firstLine="945" w:firstLineChars="45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①涉及信息类产品，请填写该产品关键部件的品牌、型号：</w:t>
      </w:r>
    </w:p>
    <w:p w14:paraId="66FF5964">
      <w:pPr>
        <w:numPr>
          <w:ilvl w:val="0"/>
          <w:numId w:val="0"/>
        </w:numPr>
        <w:shd w:val="clear"/>
        <w:adjustRightInd w:val="0"/>
        <w:snapToGrid w:val="0"/>
        <w:spacing w:before="0" w:beforeLines="0" w:line="400" w:lineRule="exact"/>
        <w:ind w:firstLine="420" w:firstLineChars="200"/>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sz w:val="21"/>
          <w:szCs w:val="21"/>
          <w:highlight w:val="none"/>
          <w:lang w:val="en-US" w:eastAsia="zh-CN"/>
        </w:rPr>
        <w:t xml:space="preserve">     标的名称：</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lang w:val="en" w:eastAsia="zh-CN"/>
        </w:rPr>
        <w:t xml:space="preserve">               </w:t>
      </w:r>
      <w:r>
        <w:rPr>
          <w:rFonts w:hint="eastAsia" w:ascii="宋体" w:hAnsi="宋体" w:eastAsia="宋体" w:cs="宋体"/>
          <w:color w:val="auto"/>
          <w:kern w:val="0"/>
          <w:sz w:val="21"/>
          <w:szCs w:val="21"/>
          <w:highlight w:val="none"/>
          <w:u w:val="single"/>
          <w:lang w:val="en-US" w:eastAsia="zh-CN"/>
        </w:rPr>
        <w:t xml:space="preserve">    </w:t>
      </w:r>
    </w:p>
    <w:p w14:paraId="496F59EB">
      <w:pPr>
        <w:numPr>
          <w:ilvl w:val="0"/>
          <w:numId w:val="0"/>
        </w:num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关键部件：</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66624941">
      <w:pPr>
        <w:pStyle w:val="402"/>
        <w:shd w:val="clear"/>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kern w:val="2"/>
          <w:sz w:val="21"/>
          <w:szCs w:val="21"/>
          <w:highlight w:val="none"/>
          <w:lang w:val="en-US" w:eastAsia="zh-CN"/>
        </w:rPr>
        <w:t>关键部件</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w:t>
      </w:r>
    </w:p>
    <w:p w14:paraId="53848FFE">
      <w:pPr>
        <w:pStyle w:val="402"/>
        <w:shd w:val="clear"/>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关键部件：</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型号：</w:t>
      </w:r>
      <w:r>
        <w:rPr>
          <w:rFonts w:hint="eastAsia" w:ascii="宋体" w:hAnsi="宋体" w:eastAsia="宋体" w:cs="宋体"/>
          <w:color w:val="auto"/>
          <w:sz w:val="21"/>
          <w:szCs w:val="21"/>
          <w:highlight w:val="none"/>
          <w:u w:val="single"/>
          <w:lang w:val="en-US" w:eastAsia="zh-CN"/>
        </w:rPr>
        <w:t xml:space="preserve">       </w:t>
      </w:r>
    </w:p>
    <w:p w14:paraId="0F04EB71">
      <w:pPr>
        <w:pStyle w:val="402"/>
        <w:numPr>
          <w:ilvl w:val="0"/>
          <w:numId w:val="0"/>
        </w:num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6A5CB8FD">
      <w:pPr>
        <w:pStyle w:val="402"/>
        <w:numPr>
          <w:ilvl w:val="0"/>
          <w:numId w:val="0"/>
        </w:num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②涉及车辆采购，请填写是否属于新能源汽车：</w:t>
      </w:r>
    </w:p>
    <w:p w14:paraId="2810687E">
      <w:pPr>
        <w:pStyle w:val="402"/>
        <w:numPr>
          <w:ilvl w:val="0"/>
          <w:numId w:val="0"/>
        </w:numPr>
        <w:shd w:val="clea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，《政府采购品目分类目录》底级品目名称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数量：</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val="0"/>
          <w:color w:val="auto"/>
          <w:sz w:val="21"/>
          <w:szCs w:val="21"/>
          <w:highlight w:val="none"/>
          <w:lang w:val="en-US" w:eastAsia="zh-CN"/>
        </w:rPr>
        <w:t xml:space="preserve"> </w:t>
      </w:r>
    </w:p>
    <w:p w14:paraId="6748A666">
      <w:pPr>
        <w:pStyle w:val="402"/>
        <w:numPr>
          <w:ilvl w:val="0"/>
          <w:numId w:val="0"/>
        </w:numPr>
        <w:shd w:val="clear"/>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否</w:t>
      </w:r>
    </w:p>
    <w:p w14:paraId="32F82AAA">
      <w:pPr>
        <w:pStyle w:val="402"/>
        <w:numPr>
          <w:ilvl w:val="0"/>
          <w:numId w:val="0"/>
        </w:numPr>
        <w:shd w:val="clear"/>
        <w:adjustRightInd w:val="0"/>
        <w:snapToGrid w:val="0"/>
        <w:spacing w:before="0" w:beforeLines="0" w:line="400" w:lineRule="exact"/>
        <w:ind w:left="0" w:firstLine="0" w:firstLineChars="0"/>
        <w:rPr>
          <w:rFonts w:hint="eastAsia" w:ascii="宋体" w:hAnsi="宋体" w:eastAsia="宋体" w:cs="宋体"/>
          <w:iCs w:val="0"/>
          <w:color w:val="auto"/>
          <w:sz w:val="21"/>
          <w:szCs w:val="21"/>
          <w:highlight w:val="non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lang w:val="en" w:eastAsia="zh-CN"/>
        </w:rPr>
        <w:t>4</w:t>
      </w:r>
      <w:r>
        <w:rPr>
          <w:rFonts w:hint="eastAsia" w:ascii="宋体" w:hAnsi="宋体" w:eastAsia="宋体" w:cs="宋体"/>
          <w:iCs w:val="0"/>
          <w:color w:val="auto"/>
          <w:sz w:val="21"/>
          <w:szCs w:val="21"/>
          <w:highlight w:val="none"/>
          <w:lang w:val="en-US" w:eastAsia="zh-CN"/>
        </w:rPr>
        <w:t>）政府采购组织形式：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政府集中采购</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 xml:space="preserve">部门集中采购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val="en-US" w:eastAsia="zh-CN"/>
        </w:rPr>
        <w:t>分散采购</w:t>
      </w:r>
    </w:p>
    <w:p w14:paraId="1FA78C60">
      <w:pPr>
        <w:pStyle w:val="402"/>
        <w:numPr>
          <w:ilvl w:val="0"/>
          <w:numId w:val="0"/>
        </w:numPr>
        <w:shd w:val="clea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iCs w:val="0"/>
          <w:color w:val="auto"/>
          <w:sz w:val="21"/>
          <w:szCs w:val="21"/>
          <w:highlight w:val="none"/>
          <w:lang w:val="en-US" w:eastAsia="zh-CN"/>
        </w:rPr>
        <w:t>（</w:t>
      </w:r>
      <w:r>
        <w:rPr>
          <w:rFonts w:hint="eastAsia" w:ascii="宋体" w:hAnsi="宋体" w:eastAsia="宋体" w:cs="宋体"/>
          <w:iCs w:val="0"/>
          <w:color w:val="auto"/>
          <w:sz w:val="21"/>
          <w:szCs w:val="21"/>
          <w:highlight w:val="none"/>
          <w:lang w:val="en" w:eastAsia="zh-CN"/>
        </w:rPr>
        <w:t>5</w:t>
      </w:r>
      <w:r>
        <w:rPr>
          <w:rFonts w:hint="eastAsia" w:ascii="宋体" w:hAnsi="宋体" w:eastAsia="宋体" w:cs="宋体"/>
          <w:iCs w:val="0"/>
          <w:color w:val="auto"/>
          <w:sz w:val="21"/>
          <w:szCs w:val="21"/>
          <w:highlight w:val="none"/>
          <w:lang w:val="en-US" w:eastAsia="zh-CN"/>
        </w:rPr>
        <w:t>）政府采购方式：</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公开招标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邀请招标</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竞争性谈判</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竞争性磋商</w:t>
      </w:r>
    </w:p>
    <w:p w14:paraId="595DBA26">
      <w:pPr>
        <w:pStyle w:val="402"/>
        <w:numPr>
          <w:ilvl w:val="0"/>
          <w:numId w:val="0"/>
        </w:numPr>
        <w:shd w:val="clea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single"/>
          <w:lang w:val="en-US" w:eastAsia="zh-CN"/>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询价</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单一来源</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框架协议</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其他：</w:t>
      </w:r>
      <w:r>
        <w:rPr>
          <w:rFonts w:hint="eastAsia" w:ascii="宋体" w:hAnsi="宋体" w:eastAsia="宋体" w:cs="宋体"/>
          <w:iCs w:val="0"/>
          <w:color w:val="auto"/>
          <w:sz w:val="21"/>
          <w:szCs w:val="21"/>
          <w:highlight w:val="none"/>
          <w:u w:val="single"/>
          <w:lang w:val="en-US" w:eastAsia="zh-CN"/>
        </w:rPr>
        <w:t xml:space="preserve">          </w:t>
      </w:r>
    </w:p>
    <w:p w14:paraId="3E392339">
      <w:pPr>
        <w:pStyle w:val="402"/>
        <w:numPr>
          <w:ilvl w:val="0"/>
          <w:numId w:val="0"/>
        </w:numPr>
        <w:shd w:val="clear"/>
        <w:adjustRightInd w:val="0"/>
        <w:snapToGrid w:val="0"/>
        <w:spacing w:before="0" w:beforeLines="0" w:line="400" w:lineRule="exact"/>
        <w:ind w:left="0" w:firstLine="420" w:firstLineChars="0"/>
        <w:rPr>
          <w:rFonts w:hint="eastAsia" w:ascii="宋体" w:hAnsi="宋体" w:eastAsia="宋体" w:cs="宋体"/>
          <w:iCs w:val="0"/>
          <w:color w:val="auto"/>
          <w:sz w:val="21"/>
          <w:szCs w:val="21"/>
          <w:highlight w:val="none"/>
          <w:u w:val="none"/>
          <w:lang w:val="en-US" w:eastAsia="zh-CN"/>
        </w:rPr>
      </w:pPr>
      <w:r>
        <w:rPr>
          <w:rFonts w:hint="eastAsia" w:ascii="宋体" w:hAnsi="宋体" w:eastAsia="宋体" w:cs="宋体"/>
          <w:iCs w:val="0"/>
          <w:color w:val="auto"/>
          <w:sz w:val="21"/>
          <w:szCs w:val="21"/>
          <w:highlight w:val="none"/>
          <w:u w:val="none"/>
          <w:lang w:val="en-US" w:eastAsia="zh-CN"/>
        </w:rPr>
        <w:t>（注：在框架协议采购的第二阶段，可选择使用该合同文本）</w:t>
      </w:r>
    </w:p>
    <w:p w14:paraId="3DFA61FB">
      <w:pPr>
        <w:pStyle w:val="402"/>
        <w:numPr>
          <w:ilvl w:val="0"/>
          <w:numId w:val="0"/>
        </w:numPr>
        <w:shd w:val="clear"/>
        <w:adjustRightInd w:val="0"/>
        <w:snapToGrid w:val="0"/>
        <w:spacing w:before="0" w:beforeLines="0" w:line="400" w:lineRule="exact"/>
        <w:ind w:firstLine="210" w:firstLineChars="100"/>
        <w:rPr>
          <w:rFonts w:hint="eastAsia" w:ascii="宋体" w:hAnsi="宋体" w:eastAsia="宋体" w:cs="宋体"/>
          <w:color w:val="auto"/>
          <w:w w:val="100"/>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w w:val="100"/>
          <w:kern w:val="2"/>
          <w:sz w:val="21"/>
          <w:szCs w:val="21"/>
          <w:highlight w:val="none"/>
          <w:lang w:val="en-US" w:eastAsia="zh-CN" w:bidi="ar-SA"/>
        </w:rPr>
        <w:t>中标（成交）采购标的制造商是否为中小企业：</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 xml:space="preserve">是      </w:t>
      </w:r>
      <w:r>
        <w:rPr>
          <w:rFonts w:hint="eastAsia" w:ascii="宋体" w:hAnsi="宋体" w:eastAsia="宋体" w:cs="宋体"/>
          <w:color w:val="auto"/>
          <w:w w:val="100"/>
          <w:kern w:val="2"/>
          <w:sz w:val="21"/>
          <w:szCs w:val="21"/>
          <w:highlight w:val="none"/>
          <w:lang w:val="en-US" w:eastAsia="zh-CN" w:bidi="ar-SA"/>
        </w:rPr>
        <w:sym w:font="Wingdings" w:char="00A8"/>
      </w:r>
      <w:r>
        <w:rPr>
          <w:rFonts w:hint="eastAsia" w:ascii="宋体" w:hAnsi="宋体" w:eastAsia="宋体" w:cs="宋体"/>
          <w:color w:val="auto"/>
          <w:w w:val="100"/>
          <w:kern w:val="2"/>
          <w:sz w:val="21"/>
          <w:szCs w:val="21"/>
          <w:highlight w:val="none"/>
          <w:lang w:val="en-US" w:eastAsia="zh-CN" w:bidi="ar-SA"/>
        </w:rPr>
        <w:t>否</w:t>
      </w:r>
    </w:p>
    <w:p w14:paraId="39C0B5D5">
      <w:pPr>
        <w:numPr>
          <w:ilvl w:val="0"/>
          <w:numId w:val="0"/>
        </w:numPr>
        <w:shd w:val="clear"/>
        <w:adjustRightInd w:val="0"/>
        <w:snapToGrid w:val="0"/>
        <w:spacing w:before="0" w:beforeLines="0" w:line="400" w:lineRule="exact"/>
        <w:ind w:left="0" w:leftChars="0"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w w:val="100"/>
          <w:sz w:val="21"/>
          <w:szCs w:val="21"/>
          <w:highlight w:val="none"/>
          <w:lang w:val="en-US" w:eastAsia="zh-CN"/>
        </w:rPr>
        <w:t xml:space="preserve">         本合同</w:t>
      </w:r>
      <w:r>
        <w:rPr>
          <w:rFonts w:hint="eastAsia" w:ascii="宋体" w:hAnsi="宋体" w:eastAsia="宋体" w:cs="宋体"/>
          <w:color w:val="auto"/>
          <w:w w:val="100"/>
          <w:sz w:val="21"/>
          <w:szCs w:val="21"/>
          <w:highlight w:val="none"/>
        </w:rPr>
        <w:t>是否</w:t>
      </w:r>
      <w:r>
        <w:rPr>
          <w:rFonts w:hint="eastAsia" w:ascii="宋体" w:hAnsi="宋体" w:eastAsia="宋体" w:cs="宋体"/>
          <w:color w:val="auto"/>
          <w:w w:val="100"/>
          <w:sz w:val="21"/>
          <w:szCs w:val="21"/>
          <w:highlight w:val="none"/>
          <w:lang w:eastAsia="zh-CN"/>
        </w:rPr>
        <w:t>为专门面向</w:t>
      </w:r>
      <w:r>
        <w:rPr>
          <w:rFonts w:hint="eastAsia" w:ascii="宋体" w:hAnsi="宋体" w:eastAsia="宋体" w:cs="宋体"/>
          <w:color w:val="auto"/>
          <w:w w:val="100"/>
          <w:sz w:val="21"/>
          <w:szCs w:val="21"/>
          <w:highlight w:val="none"/>
        </w:rPr>
        <w:t>中小企业</w:t>
      </w:r>
      <w:r>
        <w:rPr>
          <w:rFonts w:hint="eastAsia" w:ascii="宋体" w:hAnsi="宋体" w:eastAsia="宋体" w:cs="宋体"/>
          <w:color w:val="auto"/>
          <w:w w:val="100"/>
          <w:sz w:val="21"/>
          <w:szCs w:val="21"/>
          <w:highlight w:val="none"/>
          <w:lang w:eastAsia="zh-CN"/>
        </w:rPr>
        <w:t>的采</w:t>
      </w:r>
      <w:r>
        <w:rPr>
          <w:rFonts w:hint="eastAsia" w:ascii="宋体" w:hAnsi="宋体" w:eastAsia="宋体" w:cs="宋体"/>
          <w:color w:val="auto"/>
          <w:w w:val="100"/>
          <w:sz w:val="21"/>
          <w:szCs w:val="21"/>
          <w:highlight w:val="none"/>
          <w:shd w:val="clear" w:color="auto" w:fill="auto"/>
          <w:lang w:eastAsia="zh-CN"/>
        </w:rPr>
        <w:t>购</w:t>
      </w:r>
      <w:r>
        <w:rPr>
          <w:rFonts w:hint="eastAsia" w:ascii="宋体" w:hAnsi="宋体" w:eastAsia="宋体" w:cs="宋体"/>
          <w:color w:val="auto"/>
          <w:w w:val="100"/>
          <w:sz w:val="21"/>
          <w:szCs w:val="21"/>
          <w:highlight w:val="none"/>
          <w:shd w:val="clear" w:color="auto" w:fill="auto"/>
        </w:rPr>
        <w:t>合同</w:t>
      </w:r>
      <w:r>
        <w:rPr>
          <w:rFonts w:hint="eastAsia" w:ascii="宋体" w:hAnsi="宋体" w:eastAsia="宋体" w:cs="宋体"/>
          <w:color w:val="auto"/>
          <w:w w:val="100"/>
          <w:sz w:val="21"/>
          <w:szCs w:val="21"/>
          <w:highlight w:val="none"/>
          <w:shd w:val="clear" w:color="auto" w:fill="auto"/>
          <w:lang w:eastAsia="zh-CN"/>
        </w:rPr>
        <w:t>（中小企业预留合同）</w:t>
      </w:r>
      <w:r>
        <w:rPr>
          <w:rFonts w:hint="eastAsia" w:ascii="宋体" w:hAnsi="宋体" w:eastAsia="宋体" w:cs="宋体"/>
          <w:color w:val="auto"/>
          <w:sz w:val="21"/>
          <w:szCs w:val="21"/>
          <w:highlight w:val="none"/>
          <w:shd w:val="clear" w:color="auto" w:fill="auto"/>
        </w:rPr>
        <w:t>：</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4EE08712">
      <w:pPr>
        <w:numPr>
          <w:ilvl w:val="0"/>
          <w:numId w:val="0"/>
        </w:numPr>
        <w:shd w:val="clear"/>
        <w:adjustRightInd w:val="0"/>
        <w:snapToGrid w:val="0"/>
        <w:spacing w:before="0" w:beforeLines="0" w:line="400" w:lineRule="exact"/>
        <w:ind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lang w:val="en-US" w:eastAsia="zh-CN"/>
        </w:rPr>
        <w:t xml:space="preserve">         若本项目不专门面向中小企业采购，是否给予小微企业评审优惠：</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65606317">
      <w:pPr>
        <w:numPr>
          <w:ilvl w:val="0"/>
          <w:numId w:val="0"/>
        </w:numPr>
        <w:shd w:val="clear"/>
        <w:adjustRightInd w:val="0"/>
        <w:snapToGrid w:val="0"/>
        <w:spacing w:before="0" w:beforeLines="0" w:line="400" w:lineRule="exact"/>
        <w:ind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lang w:val="en-US" w:eastAsia="zh-CN"/>
        </w:rPr>
        <w:t xml:space="preserve">         中标（成交）采购标的制造商是否为残疾人福利性单位：</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56D8D2E4">
      <w:pPr>
        <w:numPr>
          <w:ilvl w:val="0"/>
          <w:numId w:val="0"/>
        </w:numPr>
        <w:shd w:val="clear"/>
        <w:snapToGrid w:val="0"/>
        <w:spacing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中标（成交）采购标的制造商是否为监狱企业：</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44EC3A2C">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 w:eastAsia="zh-CN"/>
        </w:rPr>
        <w:t>7</w:t>
      </w:r>
      <w:r>
        <w:rPr>
          <w:rFonts w:hint="eastAsia" w:ascii="宋体" w:hAnsi="宋体" w:eastAsia="宋体" w:cs="宋体"/>
          <w:color w:val="auto"/>
          <w:sz w:val="21"/>
          <w:szCs w:val="21"/>
          <w:highlight w:val="none"/>
        </w:rPr>
        <w:t>）合同是否分包：</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07A3F57D">
      <w:p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分包主要内容：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0A0B0E0A">
      <w:p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rPr>
        <w:t>分包供应商</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eastAsia="zh-CN"/>
        </w:rPr>
        <w:t>（如供应商和制造商不同，请分别填写）</w:t>
      </w:r>
      <w:r>
        <w:rPr>
          <w:rFonts w:hint="eastAsia" w:ascii="宋体" w:hAnsi="宋体" w:eastAsia="宋体" w:cs="宋体"/>
          <w:color w:val="auto"/>
          <w:sz w:val="21"/>
          <w:szCs w:val="21"/>
          <w:highlight w:val="none"/>
        </w:rPr>
        <w:t>：</w:t>
      </w:r>
    </w:p>
    <w:p w14:paraId="0EC7DBAE">
      <w:p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p>
    <w:p w14:paraId="31EAFA35">
      <w:p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分包供应商</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lang w:eastAsia="zh-CN"/>
        </w:rPr>
        <w:t>制造商</w:t>
      </w:r>
      <w:r>
        <w:rPr>
          <w:rFonts w:hint="eastAsia" w:ascii="宋体" w:hAnsi="宋体" w:eastAsia="宋体" w:cs="宋体"/>
          <w:color w:val="auto"/>
          <w:sz w:val="21"/>
          <w:szCs w:val="21"/>
          <w:highlight w:val="none"/>
        </w:rPr>
        <w:t>类型</w:t>
      </w:r>
      <w:r>
        <w:rPr>
          <w:rFonts w:hint="eastAsia" w:ascii="宋体" w:hAnsi="宋体" w:eastAsia="宋体" w:cs="宋体"/>
          <w:color w:val="auto"/>
          <w:sz w:val="21"/>
          <w:szCs w:val="21"/>
          <w:highlight w:val="none"/>
          <w:lang w:eastAsia="zh-CN"/>
        </w:rPr>
        <w:t>（如果供应商和制造商不同，只填写制造商类型）</w:t>
      </w:r>
      <w:r>
        <w:rPr>
          <w:rFonts w:hint="eastAsia" w:ascii="宋体" w:hAnsi="宋体" w:eastAsia="宋体" w:cs="宋体"/>
          <w:color w:val="auto"/>
          <w:sz w:val="21"/>
          <w:szCs w:val="21"/>
          <w:highlight w:val="none"/>
        </w:rPr>
        <w:t>：</w:t>
      </w:r>
    </w:p>
    <w:p w14:paraId="20487A74">
      <w:pPr>
        <w:shd w:val="clear"/>
        <w:adjustRightInd w:val="0"/>
        <w:snapToGrid w:val="0"/>
        <w:spacing w:beforeLines="0" w:line="400" w:lineRule="exact"/>
        <w:ind w:firstLine="840" w:firstLineChars="40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大型企业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中型企业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小微型企业</w:t>
      </w:r>
      <w:r>
        <w:rPr>
          <w:rFonts w:hint="eastAsia" w:ascii="宋体" w:hAnsi="宋体" w:eastAsia="宋体" w:cs="宋体"/>
          <w:iCs/>
          <w:color w:val="auto"/>
          <w:sz w:val="21"/>
          <w:szCs w:val="21"/>
          <w:highlight w:val="none"/>
          <w:lang w:val="en-US" w:eastAsia="zh-CN"/>
        </w:rPr>
        <w:t xml:space="preserve">  </w:t>
      </w:r>
    </w:p>
    <w:p w14:paraId="083C45DF">
      <w:pPr>
        <w:shd w:val="clear"/>
        <w:adjustRightInd w:val="0"/>
        <w:snapToGrid w:val="0"/>
        <w:spacing w:beforeLines="0" w:line="400" w:lineRule="exact"/>
        <w:ind w:firstLine="840" w:firstLineChars="400"/>
        <w:rPr>
          <w:rFonts w:hint="eastAsia" w:ascii="宋体" w:hAnsi="宋体" w:eastAsia="宋体" w:cs="宋体"/>
          <w:color w:val="auto"/>
          <w:sz w:val="21"/>
          <w:szCs w:val="21"/>
          <w:highlight w:val="none"/>
          <w:u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残疾人福利性单位</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监狱</w:t>
      </w:r>
      <w:r>
        <w:rPr>
          <w:rFonts w:hint="eastAsia" w:ascii="宋体" w:hAnsi="宋体" w:eastAsia="宋体" w:cs="宋体"/>
          <w:iCs/>
          <w:color w:val="auto"/>
          <w:sz w:val="21"/>
          <w:szCs w:val="21"/>
          <w:highlight w:val="none"/>
        </w:rPr>
        <w:t>企业</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其他</w:t>
      </w:r>
    </w:p>
    <w:p w14:paraId="03B9866B">
      <w:pPr>
        <w:numPr>
          <w:ilvl w:val="0"/>
          <w:numId w:val="0"/>
        </w:numPr>
        <w:shd w:val="clear"/>
        <w:adjustRightInd w:val="0"/>
        <w:snapToGrid w:val="0"/>
        <w:spacing w:before="0" w:beforeLines="0" w:line="400" w:lineRule="exact"/>
        <w:ind w:left="0" w:leftChars="0" w:firstLine="0" w:firstLineChars="0"/>
        <w:rPr>
          <w:rFonts w:hint="eastAsia" w:ascii="宋体" w:hAnsi="宋体" w:eastAsia="宋体" w:cs="宋体"/>
          <w:iCs/>
          <w:color w:val="auto"/>
          <w:sz w:val="21"/>
          <w:szCs w:val="21"/>
          <w:highlight w:val="none"/>
        </w:rPr>
      </w:pP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z w:val="21"/>
          <w:szCs w:val="21"/>
          <w:highlight w:val="none"/>
          <w:u w:val="none"/>
          <w:lang w:val="en" w:eastAsia="zh-CN"/>
        </w:rPr>
        <w:t>8</w:t>
      </w:r>
      <w:r>
        <w:rPr>
          <w:rFonts w:hint="eastAsia" w:ascii="宋体" w:hAnsi="宋体" w:eastAsia="宋体" w:cs="宋体"/>
          <w:color w:val="auto"/>
          <w:sz w:val="21"/>
          <w:szCs w:val="21"/>
          <w:highlight w:val="none"/>
          <w:u w:val="none"/>
          <w:lang w:val="en-US" w:eastAsia="zh-CN"/>
        </w:rPr>
        <w:t>）中标（成交）供应商是否为外商投资企业：</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是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否</w:t>
      </w:r>
    </w:p>
    <w:p w14:paraId="441650B4">
      <w:pPr>
        <w:pStyle w:val="402"/>
        <w:shd w:val="clear"/>
        <w:tabs>
          <w:tab w:val="left" w:pos="1340"/>
        </w:tabs>
        <w:spacing w:beforeLine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 xml:space="preserve">     外商投资企业类型：</w:t>
      </w: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全部由外国投资者投资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部分由外国投资者投资</w:t>
      </w:r>
    </w:p>
    <w:p w14:paraId="7A6A6A5C">
      <w:pPr>
        <w:numPr>
          <w:ilvl w:val="0"/>
          <w:numId w:val="0"/>
        </w:numPr>
        <w:shd w:val="clear"/>
        <w:adjustRightInd w:val="0"/>
        <w:snapToGrid w:val="0"/>
        <w:spacing w:before="0" w:beforeLines="0" w:line="400" w:lineRule="exact"/>
        <w:ind w:firstLine="420" w:firstLineChars="20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 w:eastAsia="zh-CN"/>
        </w:rPr>
        <w:t>9</w:t>
      </w:r>
      <w:r>
        <w:rPr>
          <w:rFonts w:hint="eastAsia" w:ascii="宋体" w:hAnsi="宋体" w:eastAsia="宋体" w:cs="宋体"/>
          <w:b w:val="0"/>
          <w:bCs w:val="0"/>
          <w:color w:val="auto"/>
          <w:sz w:val="21"/>
          <w:szCs w:val="21"/>
          <w:highlight w:val="none"/>
          <w:u w:val="none"/>
          <w:lang w:val="en-US" w:eastAsia="zh-CN"/>
        </w:rPr>
        <w:t>）是否涉及进口产品：</w:t>
      </w:r>
    </w:p>
    <w:p w14:paraId="37B7A6EF">
      <w:pPr>
        <w:numPr>
          <w:ilvl w:val="0"/>
          <w:numId w:val="0"/>
        </w:num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singl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，《政府采购品目分类目录》底级品目名称</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金额：</w:t>
      </w:r>
      <w:r>
        <w:rPr>
          <w:rFonts w:hint="eastAsia" w:ascii="宋体" w:hAnsi="宋体" w:eastAsia="宋体" w:cs="宋体"/>
          <w:color w:val="auto"/>
          <w:sz w:val="21"/>
          <w:szCs w:val="21"/>
          <w:highlight w:val="none"/>
          <w:u w:val="single"/>
          <w:lang w:val="en-US" w:eastAsia="zh-CN"/>
        </w:rPr>
        <w:t xml:space="preserve">        </w:t>
      </w:r>
    </w:p>
    <w:p w14:paraId="74A19004">
      <w:pPr>
        <w:numPr>
          <w:ilvl w:val="0"/>
          <w:numId w:val="0"/>
        </w:numPr>
        <w:shd w:val="clear"/>
        <w:adjustRightInd w:val="0"/>
        <w:snapToGrid w:val="0"/>
        <w:spacing w:before="0" w:beforeLines="0" w:line="400" w:lineRule="exact"/>
        <w:ind w:firstLine="840" w:firstLineChars="400"/>
        <w:rPr>
          <w:rFonts w:hint="eastAsia" w:ascii="宋体" w:hAnsi="宋体" w:eastAsia="宋体" w:cs="宋体"/>
          <w:iCs w:val="0"/>
          <w:color w:val="auto"/>
          <w:sz w:val="21"/>
          <w:szCs w:val="21"/>
          <w:highlight w:val="none"/>
        </w:rPr>
      </w:pPr>
      <w:r>
        <w:rPr>
          <w:rFonts w:hint="eastAsia" w:ascii="宋体" w:hAnsi="宋体" w:eastAsia="宋体" w:cs="宋体"/>
          <w:color w:val="auto"/>
          <w:sz w:val="21"/>
          <w:szCs w:val="21"/>
          <w:highlight w:val="none"/>
          <w:lang w:val="en-US" w:eastAsia="zh-CN"/>
        </w:rPr>
        <w:t xml:space="preserve">        国别：</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lang w:val="en-US" w:eastAsia="zh-CN"/>
        </w:rPr>
        <w:t xml:space="preserve"> 品牌：</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规格型号：</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val="0"/>
          <w:color w:val="auto"/>
          <w:sz w:val="21"/>
          <w:szCs w:val="21"/>
          <w:highlight w:val="none"/>
        </w:rPr>
        <w:t xml:space="preserve">      </w:t>
      </w:r>
    </w:p>
    <w:p w14:paraId="73E568AB">
      <w:pPr>
        <w:shd w:val="clear"/>
        <w:adjustRightInd w:val="0"/>
        <w:snapToGrid w:val="0"/>
        <w:spacing w:before="0" w:beforeLines="0" w:line="400" w:lineRule="exact"/>
        <w:ind w:firstLine="840" w:firstLineChars="400"/>
        <w:rPr>
          <w:rFonts w:hint="eastAsia" w:ascii="宋体" w:hAnsi="宋体" w:eastAsia="宋体" w:cs="宋体"/>
          <w:color w:val="auto"/>
          <w:sz w:val="21"/>
          <w:szCs w:val="21"/>
          <w:highlight w:val="none"/>
          <w:u w:val="none"/>
          <w:lang w:val="en-US" w:eastAsia="zh-CN"/>
        </w:rPr>
      </w:pP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否</w:t>
      </w:r>
    </w:p>
    <w:p w14:paraId="4D492E43">
      <w:pPr>
        <w:numPr>
          <w:ilvl w:val="0"/>
          <w:numId w:val="0"/>
        </w:numPr>
        <w:shd w:val="clea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（1</w:t>
      </w:r>
      <w:r>
        <w:rPr>
          <w:rFonts w:hint="eastAsia" w:ascii="宋体" w:hAnsi="宋体" w:eastAsia="宋体" w:cs="宋体"/>
          <w:b w:val="0"/>
          <w:bCs w:val="0"/>
          <w:color w:val="auto"/>
          <w:sz w:val="21"/>
          <w:szCs w:val="21"/>
          <w:highlight w:val="none"/>
          <w:u w:val="none"/>
          <w:lang w:val="en" w:eastAsia="zh-CN"/>
        </w:rPr>
        <w:t>0</w:t>
      </w:r>
      <w:r>
        <w:rPr>
          <w:rFonts w:hint="eastAsia" w:ascii="宋体" w:hAnsi="宋体" w:eastAsia="宋体" w:cs="宋体"/>
          <w:b w:val="0"/>
          <w:bCs w:val="0"/>
          <w:color w:val="auto"/>
          <w:sz w:val="21"/>
          <w:szCs w:val="21"/>
          <w:highlight w:val="none"/>
          <w:u w:val="none"/>
          <w:lang w:val="en-US" w:eastAsia="zh-CN"/>
        </w:rPr>
        <w:t>）是否涉及节能产品：</w:t>
      </w:r>
    </w:p>
    <w:p w14:paraId="1BFC017A">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，《节能产品政府采购品目清单》的底级品目名称：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color w:val="auto"/>
          <w:sz w:val="21"/>
          <w:szCs w:val="21"/>
          <w:highlight w:val="none"/>
          <w:lang w:val="en-US" w:eastAsia="zh-CN"/>
        </w:rPr>
        <w:t xml:space="preserve">     </w:t>
      </w:r>
    </w:p>
    <w:p w14:paraId="48FE0B9B">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032D1DDB">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p>
    <w:p w14:paraId="277959CE">
      <w:pPr>
        <w:numPr>
          <w:ilvl w:val="0"/>
          <w:numId w:val="0"/>
        </w:numPr>
        <w:shd w:val="clea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是否涉及环境标志产品：</w:t>
      </w:r>
    </w:p>
    <w:p w14:paraId="61EA76E0">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val="0"/>
          <w:color w:val="auto"/>
          <w:sz w:val="21"/>
          <w:szCs w:val="21"/>
          <w:highlight w:val="none"/>
          <w:lang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是</w:t>
      </w:r>
      <w:r>
        <w:rPr>
          <w:rFonts w:hint="eastAsia" w:ascii="宋体" w:hAnsi="宋体" w:eastAsia="宋体" w:cs="宋体"/>
          <w:iCs w:val="0"/>
          <w:color w:val="auto"/>
          <w:sz w:val="21"/>
          <w:szCs w:val="21"/>
          <w:highlight w:val="none"/>
          <w:lang w:eastAsia="zh-CN"/>
        </w:rPr>
        <w:t>，《环境标志产品政府采购品目清单》的底级品目名称：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iCs/>
          <w:color w:val="auto"/>
          <w:sz w:val="21"/>
          <w:szCs w:val="21"/>
          <w:highlight w:val="none"/>
          <w:lang w:val="en-US" w:eastAsia="zh-CN"/>
        </w:rPr>
        <w:t xml:space="preserve"> </w:t>
      </w:r>
    </w:p>
    <w:p w14:paraId="19613E56">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024F40FF">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p>
    <w:p w14:paraId="1A3B0BFA">
      <w:pPr>
        <w:pStyle w:val="402"/>
        <w:numPr>
          <w:ilvl w:val="0"/>
          <w:numId w:val="0"/>
        </w:numPr>
        <w:shd w:val="clear"/>
        <w:adjustRightInd w:val="0"/>
        <w:snapToGrid w:val="0"/>
        <w:spacing w:before="0" w:beforeLines="0" w:line="400" w:lineRule="exact"/>
        <w:ind w:firstLine="0" w:firstLineChars="0"/>
        <w:rPr>
          <w:rFonts w:hint="eastAsia" w:ascii="宋体" w:hAnsi="宋体" w:eastAsia="宋体" w:cs="宋体"/>
          <w:iCs w:val="0"/>
          <w:color w:val="auto"/>
          <w:kern w:val="2"/>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b w:val="0"/>
          <w:bCs w:val="0"/>
          <w:color w:val="auto"/>
          <w:kern w:val="2"/>
          <w:sz w:val="21"/>
          <w:szCs w:val="21"/>
          <w:highlight w:val="none"/>
          <w:u w:val="none"/>
          <w:lang w:val="en-US" w:eastAsia="zh-CN"/>
        </w:rPr>
        <w:t>是否涉及绿色产品：</w:t>
      </w:r>
      <w:r>
        <w:rPr>
          <w:rFonts w:hint="eastAsia" w:ascii="宋体" w:hAnsi="宋体" w:eastAsia="宋体" w:cs="宋体"/>
          <w:iCs w:val="0"/>
          <w:color w:val="auto"/>
          <w:kern w:val="2"/>
          <w:sz w:val="21"/>
          <w:szCs w:val="21"/>
          <w:highlight w:val="none"/>
          <w:u w:val="none"/>
          <w:lang w:val="en-US" w:eastAsia="zh-CN"/>
        </w:rPr>
        <w:t xml:space="preserve"> </w:t>
      </w:r>
    </w:p>
    <w:p w14:paraId="1E8C2F06">
      <w:pPr>
        <w:pStyle w:val="402"/>
        <w:shd w:val="clear"/>
        <w:spacing w:beforeLines="0"/>
        <w:ind w:firstLine="420" w:firstLineChars="0"/>
        <w:rPr>
          <w:rFonts w:hint="eastAsia" w:ascii="宋体" w:hAnsi="宋体" w:eastAsia="宋体" w:cs="宋体"/>
          <w:color w:val="auto"/>
          <w:sz w:val="21"/>
          <w:szCs w:val="21"/>
          <w:highlight w:val="none"/>
          <w:u w:val="singl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是</w:t>
      </w:r>
      <w:r>
        <w:rPr>
          <w:rFonts w:hint="eastAsia" w:ascii="宋体" w:hAnsi="宋体" w:eastAsia="宋体" w:cs="宋体"/>
          <w:iCs w:val="0"/>
          <w:color w:val="auto"/>
          <w:kern w:val="2"/>
          <w:sz w:val="21"/>
          <w:szCs w:val="21"/>
          <w:highlight w:val="none"/>
          <w:u w:val="none"/>
          <w:lang w:eastAsia="zh-CN"/>
        </w:rPr>
        <w:t>，绿色产品政府采购相关政策确定的底级品目名称：</w:t>
      </w:r>
      <w:r>
        <w:rPr>
          <w:rFonts w:hint="eastAsia" w:ascii="宋体" w:hAnsi="宋体" w:eastAsia="宋体" w:cs="宋体"/>
          <w:color w:val="auto"/>
          <w:sz w:val="21"/>
          <w:szCs w:val="21"/>
          <w:highlight w:val="none"/>
          <w:u w:val="single"/>
          <w:lang w:val="en-US" w:eastAsia="zh-CN"/>
        </w:rPr>
        <w:t xml:space="preserve">         </w:t>
      </w:r>
    </w:p>
    <w:p w14:paraId="0A90CCE3">
      <w:pPr>
        <w:numPr>
          <w:ilvl w:val="0"/>
          <w:numId w:val="0"/>
        </w:numPr>
        <w:shd w:val="clear"/>
        <w:tabs>
          <w:tab w:val="left" w:pos="740"/>
        </w:tabs>
        <w:adjustRightInd w:val="0"/>
        <w:snapToGrid w:val="0"/>
        <w:spacing w:before="0" w:beforeLines="0" w:line="400" w:lineRule="exact"/>
        <w:ind w:firstLine="0" w:firstLineChars="0"/>
        <w:rPr>
          <w:rFonts w:hint="eastAsia" w:ascii="宋体" w:hAnsi="宋体" w:eastAsia="宋体" w:cs="宋体"/>
          <w:iCs/>
          <w:color w:val="auto"/>
          <w:sz w:val="21"/>
          <w:szCs w:val="21"/>
          <w:highlight w:val="none"/>
          <w:lang w:val="en-US"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强制采购</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优先采购</w:t>
      </w:r>
      <w:r>
        <w:rPr>
          <w:rFonts w:hint="eastAsia" w:ascii="宋体" w:hAnsi="宋体" w:eastAsia="宋体" w:cs="宋体"/>
          <w:iCs/>
          <w:color w:val="auto"/>
          <w:sz w:val="21"/>
          <w:szCs w:val="21"/>
          <w:highlight w:val="none"/>
          <w:lang w:val="en-US" w:eastAsia="zh-CN"/>
        </w:rPr>
        <w:t xml:space="preserve">    </w:t>
      </w:r>
    </w:p>
    <w:p w14:paraId="5B15EA30">
      <w:pPr>
        <w:pStyle w:val="402"/>
        <w:shd w:val="clear"/>
        <w:spacing w:beforeLines="0"/>
        <w:ind w:firstLine="42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否</w:t>
      </w:r>
    </w:p>
    <w:p w14:paraId="102BDA9E">
      <w:pPr>
        <w:numPr>
          <w:ilvl w:val="0"/>
          <w:numId w:val="0"/>
        </w:num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（1</w:t>
      </w:r>
      <w:r>
        <w:rPr>
          <w:rFonts w:hint="eastAsia" w:ascii="宋体" w:hAnsi="宋体" w:eastAsia="宋体" w:cs="宋体"/>
          <w:color w:val="auto"/>
          <w:sz w:val="21"/>
          <w:szCs w:val="21"/>
          <w:highlight w:val="none"/>
          <w:lang w:val="en" w:eastAsia="zh-CN"/>
        </w:rPr>
        <w:t>1</w:t>
      </w:r>
      <w:r>
        <w:rPr>
          <w:rFonts w:hint="eastAsia" w:ascii="宋体" w:hAnsi="宋体" w:eastAsia="宋体" w:cs="宋体"/>
          <w:color w:val="auto"/>
          <w:sz w:val="21"/>
          <w:szCs w:val="21"/>
          <w:highlight w:val="none"/>
          <w:lang w:val="en-US" w:eastAsia="zh-CN"/>
        </w:rPr>
        <w:t>）涉及商品包装和快递包装的，是否参考</w:t>
      </w:r>
      <w:r>
        <w:rPr>
          <w:rFonts w:hint="eastAsia" w:ascii="宋体" w:hAnsi="宋体" w:eastAsia="宋体" w:cs="宋体"/>
          <w:color w:val="auto"/>
          <w:sz w:val="21"/>
          <w:szCs w:val="21"/>
          <w:highlight w:val="none"/>
        </w:rPr>
        <w:t>《商品包装政府采购需求标准（试行）》、《快递包装政府采购需求标准（试行）》</w:t>
      </w:r>
      <w:r>
        <w:rPr>
          <w:rFonts w:hint="eastAsia" w:ascii="宋体" w:hAnsi="宋体" w:eastAsia="宋体" w:cs="宋体"/>
          <w:color w:val="auto"/>
          <w:sz w:val="21"/>
          <w:szCs w:val="21"/>
          <w:highlight w:val="none"/>
          <w:lang w:eastAsia="zh-CN"/>
        </w:rPr>
        <w:t>明确产品及相关快递服务的具体包装要求：</w:t>
      </w:r>
    </w:p>
    <w:p w14:paraId="226B8A2F">
      <w:pPr>
        <w:numPr>
          <w:ilvl w:val="0"/>
          <w:numId w:val="0"/>
        </w:numPr>
        <w:shd w:val="clear"/>
        <w:adjustRightInd w:val="0"/>
        <w:snapToGrid w:val="0"/>
        <w:spacing w:before="0" w:beforeLines="0" w:line="400" w:lineRule="exact"/>
        <w:ind w:firstLine="840" w:firstLineChars="400"/>
        <w:rPr>
          <w:rFonts w:hint="eastAsia" w:ascii="宋体" w:hAnsi="宋体" w:eastAsia="宋体" w:cs="宋体"/>
          <w:iCs w:val="0"/>
          <w:color w:val="auto"/>
          <w:sz w:val="21"/>
          <w:szCs w:val="21"/>
          <w:highlight w:val="none"/>
          <w:lang w:val="en-US" w:eastAsia="zh-CN"/>
        </w:rPr>
      </w:pP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 xml:space="preserve">是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rPr>
        <w:t>否</w:t>
      </w:r>
      <w:r>
        <w:rPr>
          <w:rFonts w:hint="eastAsia" w:ascii="宋体" w:hAnsi="宋体" w:eastAsia="宋体" w:cs="宋体"/>
          <w:iCs w:val="0"/>
          <w:color w:val="auto"/>
          <w:sz w:val="21"/>
          <w:szCs w:val="21"/>
          <w:highlight w:val="none"/>
          <w:lang w:val="en-US" w:eastAsia="zh-CN"/>
        </w:rPr>
        <w:t xml:space="preserve">      </w:t>
      </w:r>
      <w:r>
        <w:rPr>
          <w:rFonts w:hint="eastAsia" w:ascii="宋体" w:hAnsi="宋体" w:eastAsia="宋体" w:cs="宋体"/>
          <w:iCs w:val="0"/>
          <w:color w:val="auto"/>
          <w:sz w:val="21"/>
          <w:szCs w:val="21"/>
          <w:highlight w:val="none"/>
        </w:rPr>
        <w:sym w:font="Wingdings" w:char="00A8"/>
      </w:r>
      <w:r>
        <w:rPr>
          <w:rFonts w:hint="eastAsia" w:ascii="宋体" w:hAnsi="宋体" w:eastAsia="宋体" w:cs="宋体"/>
          <w:iCs w:val="0"/>
          <w:color w:val="auto"/>
          <w:sz w:val="21"/>
          <w:szCs w:val="21"/>
          <w:highlight w:val="none"/>
          <w:lang w:eastAsia="zh-CN"/>
        </w:rPr>
        <w:t>不涉及</w:t>
      </w:r>
    </w:p>
    <w:p w14:paraId="35AB7E54">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合同金额</w:t>
      </w:r>
    </w:p>
    <w:p w14:paraId="268C29DF">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（1）合同金额小写：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0CB7AC4">
      <w:pPr>
        <w:shd w:val="clear"/>
        <w:adjustRightInd w:val="0"/>
        <w:snapToGrid w:val="0"/>
        <w:spacing w:before="0" w:beforeLines="0" w:line="400" w:lineRule="exact"/>
        <w:ind w:left="0" w:firstLine="0" w:firstLine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B0BA56C">
      <w:p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分包金额</w:t>
      </w:r>
      <w:r>
        <w:rPr>
          <w:rFonts w:hint="eastAsia" w:ascii="宋体" w:hAnsi="宋体" w:eastAsia="宋体" w:cs="宋体"/>
          <w:color w:val="auto"/>
          <w:sz w:val="21"/>
          <w:szCs w:val="21"/>
          <w:highlight w:val="none"/>
          <w:lang w:eastAsia="zh-CN"/>
        </w:rPr>
        <w:t>（如有）</w:t>
      </w:r>
      <w:r>
        <w:rPr>
          <w:rFonts w:hint="eastAsia" w:ascii="宋体" w:hAnsi="宋体" w:eastAsia="宋体" w:cs="宋体"/>
          <w:color w:val="auto"/>
          <w:sz w:val="21"/>
          <w:szCs w:val="21"/>
          <w:highlight w:val="none"/>
        </w:rPr>
        <w:t>小写：</w:t>
      </w:r>
      <w:r>
        <w:rPr>
          <w:rFonts w:hint="eastAsia" w:ascii="宋体" w:hAnsi="宋体" w:eastAsia="宋体" w:cs="宋体"/>
          <w:color w:val="auto"/>
          <w:sz w:val="21"/>
          <w:szCs w:val="21"/>
          <w:highlight w:val="none"/>
          <w:u w:val="single"/>
        </w:rPr>
        <w:t xml:space="preserve">                   </w:t>
      </w:r>
    </w:p>
    <w:p w14:paraId="74664653">
      <w:p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2971DD03">
      <w:p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（注：固定单价合同应填写单价和最高限价）</w:t>
      </w:r>
    </w:p>
    <w:p w14:paraId="312608C2">
      <w:pPr>
        <w:numPr>
          <w:ilvl w:val="0"/>
          <w:numId w:val="0"/>
        </w:numPr>
        <w:shd w:val="clear"/>
        <w:adjustRightInd w:val="0"/>
        <w:snapToGrid w:val="0"/>
        <w:spacing w:before="0" w:beforeLines="0" w:line="400" w:lineRule="exact"/>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合同定价方式</w:t>
      </w:r>
      <w:r>
        <w:rPr>
          <w:rFonts w:hint="eastAsia" w:ascii="宋体" w:hAnsi="宋体" w:eastAsia="宋体" w:cs="宋体"/>
          <w:color w:val="auto"/>
          <w:sz w:val="21"/>
          <w:szCs w:val="21"/>
          <w:highlight w:val="none"/>
          <w:lang w:eastAsia="zh-CN"/>
        </w:rPr>
        <w:t>（采用组合定价方式的，可以勾选多项）</w:t>
      </w:r>
      <w:r>
        <w:rPr>
          <w:rFonts w:hint="eastAsia" w:ascii="宋体" w:hAnsi="宋体" w:eastAsia="宋体" w:cs="宋体"/>
          <w:color w:val="auto"/>
          <w:sz w:val="21"/>
          <w:szCs w:val="21"/>
          <w:highlight w:val="none"/>
        </w:rPr>
        <w:t>：</w:t>
      </w:r>
    </w:p>
    <w:p w14:paraId="4131F0D3">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固定总价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固定单价</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固定费率</w:t>
      </w:r>
      <w:r>
        <w:rPr>
          <w:rFonts w:hint="eastAsia" w:ascii="宋体" w:hAnsi="宋体" w:eastAsia="宋体" w:cs="宋体"/>
          <w:iCs/>
          <w:color w:val="auto"/>
          <w:sz w:val="21"/>
          <w:szCs w:val="21"/>
          <w:highlight w:val="none"/>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 xml:space="preserve">成本补偿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rPr>
        <w:t>绩效激励</w:t>
      </w:r>
      <w:r>
        <w:rPr>
          <w:rFonts w:hint="eastAsia" w:ascii="宋体" w:hAnsi="宋体" w:eastAsia="宋体" w:cs="宋体"/>
          <w:iCs/>
          <w:color w:val="auto"/>
          <w:sz w:val="21"/>
          <w:szCs w:val="21"/>
          <w:highlight w:val="none"/>
          <w:lang w:val="en-US" w:eastAsia="zh-CN"/>
        </w:rPr>
        <w:t xml:space="preserve">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eastAsia="zh-CN"/>
        </w:rPr>
        <w:t>其他</w:t>
      </w:r>
      <w:r>
        <w:rPr>
          <w:rFonts w:hint="eastAsia" w:ascii="宋体" w:hAnsi="宋体" w:eastAsia="宋体" w:cs="宋体"/>
          <w:color w:val="auto"/>
          <w:sz w:val="21"/>
          <w:szCs w:val="21"/>
          <w:highlight w:val="none"/>
          <w:u w:val="single"/>
        </w:rPr>
        <w:t xml:space="preserve">       </w:t>
      </w:r>
    </w:p>
    <w:p w14:paraId="362A7C2B">
      <w:pPr>
        <w:pStyle w:val="233"/>
        <w:shd w:val="clear"/>
        <w:tabs>
          <w:tab w:val="left" w:pos="902"/>
        </w:tabs>
        <w:spacing w:beforeLines="0"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）付款方式（按项目实际勾选填写）：</w:t>
      </w:r>
    </w:p>
    <w:p w14:paraId="0FD0E454">
      <w:pPr>
        <w:shd w:val="clear"/>
        <w:adjustRightInd w:val="0"/>
        <w:snapToGrid w:val="0"/>
        <w:spacing w:before="0" w:beforeLines="0" w:line="400" w:lineRule="exact"/>
        <w:ind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全额付款：</w:t>
      </w:r>
      <w:r>
        <w:rPr>
          <w:rFonts w:hint="eastAsia" w:ascii="宋体" w:hAnsi="宋体" w:eastAsia="宋体" w:cs="宋体"/>
          <w:color w:val="auto"/>
          <w:sz w:val="21"/>
          <w:szCs w:val="21"/>
          <w:highlight w:val="none"/>
          <w:u w:val="single"/>
        </w:rPr>
        <w:t xml:space="preserve">     （应</w:t>
      </w:r>
      <w:r>
        <w:rPr>
          <w:rFonts w:hint="eastAsia" w:ascii="宋体" w:hAnsi="宋体" w:eastAsia="宋体" w:cs="宋体"/>
          <w:color w:val="auto"/>
          <w:sz w:val="21"/>
          <w:szCs w:val="21"/>
          <w:highlight w:val="none"/>
          <w:u w:val="single"/>
          <w:lang w:eastAsia="zh-CN"/>
        </w:rPr>
        <w:t>明确</w:t>
      </w:r>
      <w:r>
        <w:rPr>
          <w:rFonts w:hint="eastAsia" w:ascii="宋体" w:hAnsi="宋体" w:eastAsia="宋体" w:cs="宋体"/>
          <w:color w:val="auto"/>
          <w:sz w:val="21"/>
          <w:szCs w:val="21"/>
          <w:highlight w:val="none"/>
          <w:u w:val="single"/>
        </w:rPr>
        <w:t>一次性支付合同款项</w:t>
      </w:r>
      <w:r>
        <w:rPr>
          <w:rFonts w:hint="eastAsia" w:ascii="宋体" w:hAnsi="宋体" w:eastAsia="宋体" w:cs="宋体"/>
          <w:color w:val="auto"/>
          <w:sz w:val="21"/>
          <w:szCs w:val="21"/>
          <w:highlight w:val="none"/>
          <w:u w:val="single"/>
          <w:lang w:eastAsia="zh-CN"/>
        </w:rPr>
        <w:t>的条件</w:t>
      </w:r>
      <w:r>
        <w:rPr>
          <w:rFonts w:hint="eastAsia" w:ascii="宋体" w:hAnsi="宋体" w:eastAsia="宋体" w:cs="宋体"/>
          <w:color w:val="auto"/>
          <w:sz w:val="21"/>
          <w:szCs w:val="21"/>
          <w:highlight w:val="none"/>
          <w:u w:val="single"/>
        </w:rPr>
        <w:t xml:space="preserve">）                    </w:t>
      </w:r>
    </w:p>
    <w:p w14:paraId="037C5A52">
      <w:pPr>
        <w:shd w:val="clear"/>
        <w:snapToGrid w:val="0"/>
        <w:spacing w:beforeLines="0" w:line="400" w:lineRule="exact"/>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分期付款：</w:t>
      </w:r>
      <w:r>
        <w:rPr>
          <w:rFonts w:hint="eastAsia" w:ascii="宋体" w:hAnsi="宋体" w:eastAsia="宋体" w:cs="宋体"/>
          <w:color w:val="auto"/>
          <w:sz w:val="21"/>
          <w:szCs w:val="21"/>
          <w:highlight w:val="none"/>
          <w:u w:val="single"/>
        </w:rPr>
        <w:t xml:space="preserve">  （应明确分期支付合同款项的各期比例和支付条件</w:t>
      </w:r>
      <w:r>
        <w:rPr>
          <w:rFonts w:hint="eastAsia" w:ascii="宋体" w:hAnsi="宋体" w:eastAsia="宋体" w:cs="宋体"/>
          <w:color w:val="auto"/>
          <w:sz w:val="21"/>
          <w:szCs w:val="21"/>
          <w:highlight w:val="none"/>
          <w:u w:val="single"/>
          <w:lang w:eastAsia="zh-CN"/>
        </w:rPr>
        <w:t>，各期支付条件应与分期履约验收情况挂钩</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lang w:eastAsia="zh-CN"/>
        </w:rPr>
        <w:t>，</w:t>
      </w:r>
      <w:r>
        <w:rPr>
          <w:rFonts w:hint="eastAsia" w:ascii="宋体" w:hAnsi="宋体" w:eastAsia="宋体" w:cs="宋体"/>
          <w:color w:val="auto"/>
          <w:sz w:val="21"/>
          <w:szCs w:val="21"/>
          <w:highlight w:val="none"/>
          <w:lang w:eastAsia="zh-CN"/>
        </w:rPr>
        <w:t>其中涉及预付款的</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（应明确预付款的支付比例和支付条件） </w:t>
      </w:r>
    </w:p>
    <w:p w14:paraId="2DA2EF6B">
      <w:pPr>
        <w:shd w:val="clear"/>
        <w:adjustRightInd w:val="0"/>
        <w:snapToGrid w:val="0"/>
        <w:spacing w:before="0" w:beforeLines="0" w:line="400" w:lineRule="exact"/>
        <w:ind w:firstLine="630" w:firstLineChars="3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成本补偿：</w:t>
      </w:r>
      <w:r>
        <w:rPr>
          <w:rFonts w:hint="eastAsia" w:ascii="宋体" w:hAnsi="宋体" w:eastAsia="宋体" w:cs="宋体"/>
          <w:color w:val="auto"/>
          <w:sz w:val="21"/>
          <w:szCs w:val="21"/>
          <w:highlight w:val="none"/>
          <w:u w:val="single"/>
        </w:rPr>
        <w:t xml:space="preserve">      （应明确按照成本补偿方式的支付方式和支付条件）   </w:t>
      </w:r>
    </w:p>
    <w:p w14:paraId="204013C7">
      <w:pPr>
        <w:shd w:val="clear"/>
        <w:adjustRightInd w:val="0"/>
        <w:snapToGrid w:val="0"/>
        <w:spacing w:before="0" w:beforeLines="0" w:line="400" w:lineRule="exact"/>
        <w:ind w:firstLine="630" w:firstLineChars="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rPr>
        <w:t>绩效激励：</w:t>
      </w:r>
      <w:r>
        <w:rPr>
          <w:rFonts w:hint="eastAsia" w:ascii="宋体" w:hAnsi="宋体" w:eastAsia="宋体" w:cs="宋体"/>
          <w:color w:val="auto"/>
          <w:sz w:val="21"/>
          <w:szCs w:val="21"/>
          <w:highlight w:val="none"/>
          <w:u w:val="single"/>
        </w:rPr>
        <w:t xml:space="preserve">      （应明确按照绩效激励方式的支付方式和支付条件）   </w:t>
      </w:r>
    </w:p>
    <w:p w14:paraId="5F0C7CC3">
      <w:pPr>
        <w:numPr>
          <w:ilvl w:val="0"/>
          <w:numId w:val="20"/>
        </w:numPr>
        <w:shd w:val="clear"/>
        <w:adjustRightInd w:val="0"/>
        <w:snapToGrid w:val="0"/>
        <w:spacing w:before="0" w:beforeLines="0" w:line="400" w:lineRule="exact"/>
        <w:ind w:firstLine="422" w:firstLineChars="200"/>
        <w:rPr>
          <w:rFonts w:hint="eastAsia" w:ascii="宋体" w:hAnsi="宋体" w:eastAsia="宋体" w:cs="宋体"/>
          <w:b/>
          <w:bCs w:val="0"/>
          <w:color w:val="auto"/>
          <w:sz w:val="21"/>
          <w:szCs w:val="21"/>
          <w:highlight w:val="none"/>
          <w:u w:val="single"/>
        </w:rPr>
      </w:pPr>
      <w:r>
        <w:rPr>
          <w:rFonts w:hint="eastAsia" w:ascii="宋体" w:hAnsi="宋体" w:eastAsia="宋体" w:cs="宋体"/>
          <w:b/>
          <w:bCs w:val="0"/>
          <w:color w:val="auto"/>
          <w:sz w:val="21"/>
          <w:szCs w:val="21"/>
          <w:highlight w:val="none"/>
        </w:rPr>
        <w:t>合同履行</w:t>
      </w:r>
    </w:p>
    <w:p w14:paraId="50BCD0D5">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（1）起始日期：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日，完成日期：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9DEAEAB">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eastAsia="zh-CN"/>
        </w:rPr>
        <w:t>履约</w:t>
      </w:r>
      <w:r>
        <w:rPr>
          <w:rFonts w:hint="eastAsia" w:ascii="宋体" w:hAnsi="宋体" w:eastAsia="宋体" w:cs="宋体"/>
          <w:color w:val="auto"/>
          <w:sz w:val="21"/>
          <w:szCs w:val="21"/>
          <w:highlight w:val="none"/>
        </w:rPr>
        <w:t>地点</w:t>
      </w:r>
      <w:r>
        <w:rPr>
          <w:rFonts w:hint="eastAsia" w:ascii="宋体" w:hAnsi="宋体" w:eastAsia="宋体" w:cs="宋体"/>
          <w:b w:val="0"/>
          <w:bCs/>
          <w:color w:val="auto"/>
          <w:sz w:val="21"/>
          <w:szCs w:val="21"/>
          <w:highlight w:val="none"/>
        </w:rPr>
        <w:t>：</w:t>
      </w:r>
      <w:r>
        <w:rPr>
          <w:rFonts w:hint="eastAsia" w:ascii="宋体" w:hAnsi="宋体" w:eastAsia="宋体" w:cs="宋体"/>
          <w:color w:val="auto"/>
          <w:sz w:val="21"/>
          <w:szCs w:val="21"/>
          <w:highlight w:val="none"/>
          <w:u w:val="single"/>
        </w:rPr>
        <w:t xml:space="preserve">                             </w:t>
      </w:r>
    </w:p>
    <w:p w14:paraId="5B3C7744">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rPr>
        <w:t>（3）履约担保：</w:t>
      </w:r>
      <w:r>
        <w:rPr>
          <w:rFonts w:hint="eastAsia" w:ascii="宋体" w:hAnsi="宋体" w:eastAsia="宋体" w:cs="宋体"/>
          <w:color w:val="auto"/>
          <w:sz w:val="21"/>
          <w:szCs w:val="21"/>
          <w:highlight w:val="none"/>
          <w:lang w:val="en-US" w:eastAsia="zh-CN"/>
        </w:rPr>
        <w:t>是否收取履约保证金：</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是</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否</w:t>
      </w:r>
    </w:p>
    <w:p w14:paraId="31C137D3">
      <w:pPr>
        <w:pStyle w:val="402"/>
        <w:shd w:val="clear"/>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 xml:space="preserve">  </w:t>
      </w:r>
      <w:r>
        <w:rPr>
          <w:rFonts w:hint="eastAsia" w:ascii="宋体" w:hAnsi="宋体" w:eastAsia="宋体" w:cs="宋体"/>
          <w:color w:val="auto"/>
          <w:sz w:val="21"/>
          <w:szCs w:val="21"/>
          <w:highlight w:val="none"/>
          <w:lang w:val="en-US" w:eastAsia="zh-CN"/>
        </w:rPr>
        <w:t xml:space="preserve">  收取履约保证金形式：</w:t>
      </w:r>
      <w:r>
        <w:rPr>
          <w:rFonts w:hint="eastAsia" w:ascii="宋体" w:hAnsi="宋体" w:eastAsia="宋体" w:cs="宋体"/>
          <w:bCs/>
          <w:color w:val="auto"/>
          <w:sz w:val="21"/>
          <w:szCs w:val="21"/>
          <w:highlight w:val="none"/>
          <w:u w:val="single"/>
        </w:rPr>
        <w:t xml:space="preserve">                            </w:t>
      </w:r>
    </w:p>
    <w:p w14:paraId="4ABEAABA">
      <w:pPr>
        <w:pStyle w:val="402"/>
        <w:shd w:val="clear"/>
        <w:spacing w:beforeLines="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    收取履约保证金金额：</w:t>
      </w:r>
      <w:r>
        <w:rPr>
          <w:rFonts w:hint="eastAsia" w:ascii="宋体" w:hAnsi="宋体" w:eastAsia="宋体" w:cs="宋体"/>
          <w:bCs/>
          <w:color w:val="auto"/>
          <w:sz w:val="21"/>
          <w:szCs w:val="21"/>
          <w:highlight w:val="none"/>
          <w:u w:val="single"/>
        </w:rPr>
        <w:t xml:space="preserve">                            </w:t>
      </w:r>
    </w:p>
    <w:p w14:paraId="4DB88486">
      <w:pPr>
        <w:shd w:val="clear"/>
        <w:snapToGrid w:val="0"/>
        <w:spacing w:beforeLines="0"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u w:val="none"/>
          <w:lang w:val="en-US" w:eastAsia="zh-CN"/>
        </w:rPr>
        <w:t xml:space="preserve">    履约担保期限</w:t>
      </w: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2A568F59">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（4）分期履行要求：</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29AF5EFF">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bCs/>
          <w:color w:val="auto"/>
          <w:sz w:val="21"/>
          <w:szCs w:val="21"/>
          <w:highlight w:val="none"/>
        </w:rPr>
        <w:t>（5）</w:t>
      </w:r>
      <w:r>
        <w:rPr>
          <w:rFonts w:hint="eastAsia" w:ascii="宋体" w:hAnsi="宋体" w:eastAsia="宋体" w:cs="宋体"/>
          <w:bCs/>
          <w:color w:val="auto"/>
          <w:sz w:val="21"/>
          <w:szCs w:val="21"/>
          <w:highlight w:val="none"/>
          <w:lang w:eastAsia="zh-CN"/>
        </w:rPr>
        <w:t>风险处置措施和替代方案</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u w:val="single"/>
        </w:rPr>
        <w:t xml:space="preserve">                                                 </w:t>
      </w:r>
    </w:p>
    <w:p w14:paraId="33AD6239">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合同验收</w:t>
      </w:r>
    </w:p>
    <w:p w14:paraId="0F6324BF">
      <w:pPr>
        <w:numPr>
          <w:ilvl w:val="0"/>
          <w:numId w:val="22"/>
        </w:num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验收组织方式：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自行组织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委托第三方组织</w:t>
      </w:r>
    </w:p>
    <w:p w14:paraId="7AAE8A6B">
      <w:pPr>
        <w:numPr>
          <w:ilvl w:val="0"/>
          <w:numId w:val="0"/>
        </w:numPr>
        <w:shd w:val="clear"/>
        <w:adjustRightInd w:val="0"/>
        <w:snapToGrid w:val="0"/>
        <w:spacing w:before="0" w:beforeLines="0" w:line="40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验收主体：</w:t>
      </w:r>
      <w:r>
        <w:rPr>
          <w:rFonts w:hint="eastAsia" w:ascii="宋体" w:hAnsi="宋体" w:eastAsia="宋体" w:cs="宋体"/>
          <w:bCs/>
          <w:color w:val="auto"/>
          <w:sz w:val="21"/>
          <w:szCs w:val="21"/>
          <w:highlight w:val="none"/>
          <w:u w:val="single"/>
        </w:rPr>
        <w:t xml:space="preserve">                  </w:t>
      </w:r>
    </w:p>
    <w:p w14:paraId="130636F1">
      <w:pPr>
        <w:shd w:val="clear"/>
        <w:adjustRightInd w:val="0"/>
        <w:snapToGrid w:val="0"/>
        <w:spacing w:before="0" w:beforeLines="0" w:line="400" w:lineRule="exact"/>
        <w:ind w:firstLine="0" w:firstLineChars="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是否邀请本项目的其他供应商</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3A751C41">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是否邀请专家</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680242B2">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是否邀请服务对象</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4A7AF290">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是否邀请第三方检测机构</w:t>
      </w:r>
      <w:r>
        <w:rPr>
          <w:rFonts w:hint="eastAsia" w:ascii="宋体" w:hAnsi="宋体" w:eastAsia="宋体" w:cs="宋体"/>
          <w:bCs/>
          <w:color w:val="auto"/>
          <w:sz w:val="21"/>
          <w:szCs w:val="21"/>
          <w:highlight w:val="none"/>
          <w:lang w:eastAsia="zh-CN"/>
        </w:rPr>
        <w:t>参加验收</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31C8DA0D">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eastAsia="zh-CN"/>
        </w:rPr>
        <w:t>是否进行抽查检测：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是</w:t>
      </w:r>
      <w:r>
        <w:rPr>
          <w:rFonts w:hint="eastAsia" w:ascii="宋体" w:hAnsi="宋体" w:eastAsia="宋体" w:cs="宋体"/>
          <w:bCs/>
          <w:color w:val="auto"/>
          <w:sz w:val="21"/>
          <w:szCs w:val="21"/>
          <w:highlight w:val="none"/>
          <w:lang w:eastAsia="zh-CN"/>
        </w:rPr>
        <w:t>，抽查比例：</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2395002D">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u w:val="single"/>
          <w:lang w:eastAsia="zh-CN"/>
        </w:rPr>
      </w:pPr>
      <w:r>
        <w:rPr>
          <w:rFonts w:hint="eastAsia" w:ascii="宋体" w:hAnsi="宋体" w:eastAsia="宋体" w:cs="宋体"/>
          <w:bCs/>
          <w:color w:val="auto"/>
          <w:sz w:val="21"/>
          <w:szCs w:val="21"/>
          <w:highlight w:val="none"/>
          <w:lang w:val="en-US" w:eastAsia="zh-CN"/>
        </w:rPr>
        <w:t>是否存在破坏性检测：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是</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u w:val="single"/>
          <w:lang w:eastAsia="zh-CN"/>
        </w:rPr>
        <w:t>（应明确对被破坏的检测产品的处理方式）</w:t>
      </w:r>
    </w:p>
    <w:p w14:paraId="551A1117">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3A8F8169">
      <w:pPr>
        <w:shd w:val="clear"/>
        <w:adjustRightInd w:val="0"/>
        <w:snapToGrid w:val="0"/>
        <w:spacing w:before="0" w:beforeLines="0" w:line="400" w:lineRule="exact"/>
        <w:ind w:firstLine="840" w:firstLineChars="4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验收组织的其他事项：</w:t>
      </w:r>
      <w:r>
        <w:rPr>
          <w:rFonts w:hint="eastAsia" w:ascii="宋体" w:hAnsi="宋体" w:eastAsia="宋体" w:cs="宋体"/>
          <w:bCs/>
          <w:color w:val="auto"/>
          <w:sz w:val="21"/>
          <w:szCs w:val="21"/>
          <w:highlight w:val="none"/>
          <w:u w:val="single"/>
        </w:rPr>
        <w:t xml:space="preserve">                </w:t>
      </w:r>
    </w:p>
    <w:p w14:paraId="5AA5C536">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（2）履约验收时间：</w:t>
      </w:r>
      <w:r>
        <w:rPr>
          <w:rFonts w:hint="eastAsia" w:ascii="宋体" w:hAnsi="宋体" w:eastAsia="宋体" w:cs="宋体"/>
          <w:bCs/>
          <w:color w:val="auto"/>
          <w:sz w:val="21"/>
          <w:szCs w:val="21"/>
          <w:highlight w:val="none"/>
          <w:u w:val="single"/>
        </w:rPr>
        <w:t>（计划于何时验收/供应商提出验收申请之日起   日内组织验收）</w:t>
      </w:r>
      <w:r>
        <w:rPr>
          <w:rFonts w:hint="eastAsia" w:ascii="宋体" w:hAnsi="宋体" w:eastAsia="宋体" w:cs="宋体"/>
          <w:bCs/>
          <w:color w:val="auto"/>
          <w:sz w:val="21"/>
          <w:szCs w:val="21"/>
          <w:highlight w:val="none"/>
          <w:u w:val="single"/>
          <w:lang w:val="en-US" w:eastAsia="zh-CN"/>
        </w:rPr>
        <w:t xml:space="preserve"> </w:t>
      </w:r>
    </w:p>
    <w:p w14:paraId="64E6F3C1">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（3）履约验收方式：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一次性验收         </w:t>
      </w:r>
    </w:p>
    <w:p w14:paraId="5AAD9374">
      <w:pPr>
        <w:shd w:val="clear"/>
        <w:adjustRightInd w:val="0"/>
        <w:snapToGrid w:val="0"/>
        <w:spacing w:before="0" w:beforeLines="0" w:line="400" w:lineRule="exact"/>
        <w:ind w:firstLine="0" w:firstLine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分期/分项验收</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eastAsia="zh-CN"/>
        </w:rPr>
        <w:t>（应明确分期</w:t>
      </w:r>
      <w:r>
        <w:rPr>
          <w:rFonts w:hint="eastAsia" w:ascii="宋体" w:hAnsi="宋体" w:eastAsia="宋体" w:cs="宋体"/>
          <w:bCs/>
          <w:color w:val="auto"/>
          <w:sz w:val="21"/>
          <w:szCs w:val="21"/>
          <w:highlight w:val="none"/>
          <w:u w:val="single"/>
          <w:lang w:val="en" w:eastAsia="zh-CN"/>
        </w:rPr>
        <w:t>/分项验收的工作安排</w:t>
      </w:r>
      <w:r>
        <w:rPr>
          <w:rFonts w:hint="eastAsia" w:ascii="宋体" w:hAnsi="宋体" w:eastAsia="宋体" w:cs="宋体"/>
          <w:bCs/>
          <w:color w:val="auto"/>
          <w:sz w:val="21"/>
          <w:szCs w:val="21"/>
          <w:highlight w:val="none"/>
          <w:u w:val="singl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p>
    <w:p w14:paraId="43673DD5">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（4）履约验收程序：</w:t>
      </w:r>
      <w:r>
        <w:rPr>
          <w:rFonts w:hint="eastAsia" w:ascii="宋体" w:hAnsi="宋体" w:eastAsia="宋体" w:cs="宋体"/>
          <w:bCs/>
          <w:color w:val="auto"/>
          <w:sz w:val="21"/>
          <w:szCs w:val="21"/>
          <w:highlight w:val="none"/>
          <w:u w:val="single"/>
        </w:rPr>
        <w:t xml:space="preserve">                                         </w:t>
      </w:r>
    </w:p>
    <w:p w14:paraId="6C3289AA">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（5）履约验收的内容：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 w:val="21"/>
          <w:szCs w:val="21"/>
          <w:highlight w:val="none"/>
          <w:u w:val="single"/>
        </w:rPr>
        <w:t xml:space="preserve">                            </w:t>
      </w:r>
    </w:p>
    <w:p w14:paraId="083F0F1B">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（6）履约验收标准：</w:t>
      </w:r>
      <w:r>
        <w:rPr>
          <w:rFonts w:hint="eastAsia" w:ascii="宋体" w:hAnsi="宋体" w:eastAsia="宋体" w:cs="宋体"/>
          <w:bCs/>
          <w:color w:val="auto"/>
          <w:sz w:val="21"/>
          <w:szCs w:val="21"/>
          <w:highlight w:val="none"/>
          <w:u w:val="single"/>
        </w:rPr>
        <w:t xml:space="preserve">                                         </w:t>
      </w:r>
    </w:p>
    <w:p w14:paraId="78C5CE6C">
      <w:pPr>
        <w:pStyle w:val="402"/>
        <w:shd w:val="clear"/>
        <w:spacing w:beforeLines="0"/>
        <w:rPr>
          <w:rFonts w:hint="eastAsia" w:ascii="宋体" w:hAnsi="宋体" w:eastAsia="宋体" w:cs="宋体"/>
          <w:color w:val="auto"/>
          <w:sz w:val="21"/>
          <w:szCs w:val="21"/>
          <w:highlight w:val="none"/>
          <w:lang w:eastAsia="zh-CN"/>
        </w:rPr>
      </w:pP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none"/>
          <w:lang w:val="en-US" w:eastAsia="zh-CN"/>
        </w:rPr>
        <w:t>7</w:t>
      </w:r>
      <w:r>
        <w:rPr>
          <w:rFonts w:hint="eastAsia" w:ascii="宋体" w:hAnsi="宋体" w:eastAsia="宋体" w:cs="宋体"/>
          <w:bCs/>
          <w:color w:val="auto"/>
          <w:sz w:val="21"/>
          <w:szCs w:val="21"/>
          <w:highlight w:val="none"/>
          <w:u w:val="none"/>
          <w:lang w:eastAsia="zh-CN"/>
        </w:rPr>
        <w:t>）是否以采购活动中供应商提供的样品作为参考：</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750C3A7D">
      <w:pPr>
        <w:shd w:val="clear"/>
        <w:adjustRightInd w:val="0"/>
        <w:snapToGrid w:val="0"/>
        <w:spacing w:before="0" w:beforeLines="0" w:line="400" w:lineRule="exact"/>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（8）履约验收其他事项：</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i w:val="0"/>
          <w:iCs w:val="0"/>
          <w:color w:val="auto"/>
          <w:sz w:val="21"/>
          <w:szCs w:val="21"/>
          <w:highlight w:val="none"/>
          <w:u w:val="single"/>
        </w:rPr>
        <w:t>（产权过户登记等）</w:t>
      </w:r>
      <w:r>
        <w:rPr>
          <w:rFonts w:hint="eastAsia" w:ascii="宋体" w:hAnsi="宋体" w:eastAsia="宋体" w:cs="宋体"/>
          <w:bCs/>
          <w:color w:val="auto"/>
          <w:sz w:val="21"/>
          <w:szCs w:val="21"/>
          <w:highlight w:val="none"/>
          <w:u w:val="single"/>
        </w:rPr>
        <w:t xml:space="preserve">          </w:t>
      </w:r>
    </w:p>
    <w:p w14:paraId="5552289F">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组成合同的文件</w:t>
      </w:r>
    </w:p>
    <w:p w14:paraId="10DEA385">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本协议书与下列文件一起构成合同文件，如下述文件之间有任何抵触、矛盾或歧义，应按以下顺序解释：</w:t>
      </w:r>
    </w:p>
    <w:p w14:paraId="4181CCD0">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政府采购</w:t>
      </w:r>
      <w:r>
        <w:rPr>
          <w:rFonts w:hint="eastAsia" w:ascii="宋体" w:hAnsi="宋体" w:eastAsia="宋体" w:cs="宋体"/>
          <w:color w:val="auto"/>
          <w:sz w:val="21"/>
          <w:szCs w:val="21"/>
          <w:highlight w:val="none"/>
        </w:rPr>
        <w:t>合同协议书及其变更、补充</w:t>
      </w:r>
      <w:r>
        <w:rPr>
          <w:rFonts w:hint="eastAsia" w:ascii="宋体" w:hAnsi="宋体" w:eastAsia="宋体" w:cs="宋体"/>
          <w:color w:val="auto"/>
          <w:sz w:val="21"/>
          <w:szCs w:val="21"/>
          <w:highlight w:val="none"/>
          <w:lang w:eastAsia="zh-CN"/>
        </w:rPr>
        <w:t>协议</w:t>
      </w:r>
    </w:p>
    <w:p w14:paraId="668CC189">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）政府采购合同专用条款</w:t>
      </w:r>
    </w:p>
    <w:p w14:paraId="7DDC6EBE">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）政府采购合同通用条款</w:t>
      </w:r>
    </w:p>
    <w:p w14:paraId="5EF1A881">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）中标</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w:t>
      </w:r>
    </w:p>
    <w:p w14:paraId="2FBE67C5">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）投标（响应）文件</w:t>
      </w:r>
    </w:p>
    <w:p w14:paraId="275EEB90">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（6）采购文件</w:t>
      </w:r>
    </w:p>
    <w:p w14:paraId="527B3550">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（7）有关技术文件，图纸</w:t>
      </w:r>
    </w:p>
    <w:p w14:paraId="1A69053E">
      <w:pPr>
        <w:pStyle w:val="402"/>
        <w:shd w:val="clear"/>
        <w:spacing w:beforeLines="0"/>
        <w:rPr>
          <w:rFonts w:hint="eastAsia" w:ascii="宋体" w:hAnsi="宋体" w:eastAsia="宋体" w:cs="宋体"/>
          <w:color w:val="auto"/>
          <w:kern w:val="2"/>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321264B6">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合同生效</w:t>
      </w:r>
    </w:p>
    <w:p w14:paraId="3E6A7F86">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本合同自</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生效。</w:t>
      </w:r>
    </w:p>
    <w:p w14:paraId="0E9FF4E0">
      <w:pPr>
        <w:numPr>
          <w:ilvl w:val="0"/>
          <w:numId w:val="20"/>
        </w:numPr>
        <w:shd w:val="clear"/>
        <w:adjustRightInd w:val="0"/>
        <w:snapToGrid w:val="0"/>
        <w:spacing w:before="0" w:beforeLines="0" w:line="40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合同份数</w:t>
      </w:r>
    </w:p>
    <w:p w14:paraId="699F98C4">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本合同一式</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执</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份，均具有同等法律效力。</w:t>
      </w:r>
    </w:p>
    <w:p w14:paraId="350C6959">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合同订立时间：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9B3A165">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合同订立地点：</w:t>
      </w:r>
      <w:r>
        <w:rPr>
          <w:rFonts w:hint="eastAsia" w:ascii="宋体" w:hAnsi="宋体" w:eastAsia="宋体" w:cs="宋体"/>
          <w:color w:val="auto"/>
          <w:sz w:val="21"/>
          <w:szCs w:val="21"/>
          <w:highlight w:val="none"/>
          <w:u w:val="single"/>
        </w:rPr>
        <w:t xml:space="preserve">                           </w:t>
      </w:r>
    </w:p>
    <w:p w14:paraId="5DB4E5D6">
      <w:pPr>
        <w:shd w:val="clear"/>
        <w:adjustRightInd w:val="0"/>
        <w:snapToGrid w:val="0"/>
        <w:spacing w:before="0" w:beforeLines="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附件：具体标</w:t>
      </w:r>
      <w:r>
        <w:rPr>
          <w:rFonts w:hint="eastAsia" w:ascii="宋体" w:hAnsi="宋体" w:eastAsia="宋体" w:cs="宋体"/>
          <w:color w:val="auto"/>
          <w:sz w:val="21"/>
          <w:szCs w:val="21"/>
          <w:highlight w:val="none"/>
          <w:lang w:eastAsia="zh-CN"/>
        </w:rPr>
        <w:t>的及其</w:t>
      </w:r>
      <w:r>
        <w:rPr>
          <w:rFonts w:hint="eastAsia" w:ascii="宋体" w:hAnsi="宋体" w:eastAsia="宋体" w:cs="宋体"/>
          <w:color w:val="auto"/>
          <w:sz w:val="21"/>
          <w:szCs w:val="21"/>
          <w:highlight w:val="none"/>
          <w:u w:val="none"/>
          <w:lang w:val="en-US" w:eastAsia="zh-CN"/>
        </w:rPr>
        <w:t>技术要求和商务要求</w:t>
      </w:r>
      <w:r>
        <w:rPr>
          <w:rFonts w:hint="eastAsia" w:ascii="宋体" w:hAnsi="宋体" w:eastAsia="宋体" w:cs="宋体"/>
          <w:color w:val="auto"/>
          <w:sz w:val="21"/>
          <w:szCs w:val="21"/>
          <w:highlight w:val="none"/>
        </w:rPr>
        <w:t>、联合协议、分包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协议等。</w:t>
      </w:r>
    </w:p>
    <w:p w14:paraId="12B37D8B">
      <w:pPr>
        <w:pStyle w:val="233"/>
        <w:shd w:val="clear"/>
        <w:tabs>
          <w:tab w:val="left" w:pos="902"/>
        </w:tabs>
        <w:spacing w:beforeLines="0" w:line="400" w:lineRule="exact"/>
        <w:rPr>
          <w:rFonts w:hint="eastAsia" w:ascii="宋体" w:hAnsi="宋体" w:eastAsia="宋体" w:cs="宋体"/>
          <w:color w:val="auto"/>
          <w:sz w:val="21"/>
          <w:szCs w:val="21"/>
          <w:highlight w:val="none"/>
        </w:rPr>
      </w:pPr>
    </w:p>
    <w:p w14:paraId="6501572F">
      <w:pPr>
        <w:pStyle w:val="3"/>
        <w:shd w:val="clear"/>
        <w:spacing w:beforeLines="0" w:line="400" w:lineRule="exact"/>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sz w:val="21"/>
          <w:szCs w:val="21"/>
          <w:highlight w:val="none"/>
          <w:lang w:val="en"/>
        </w:rPr>
        <w:t xml:space="preserve">   </w:t>
      </w:r>
    </w:p>
    <w:p w14:paraId="483C9A4F">
      <w:pPr>
        <w:shd w:val="clea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71A26567">
      <w:pPr>
        <w:pStyle w:val="233"/>
        <w:shd w:val="clear"/>
        <w:tabs>
          <w:tab w:val="left" w:pos="902"/>
        </w:tabs>
        <w:rPr>
          <w:rFonts w:hint="eastAsia" w:ascii="宋体" w:hAnsi="宋体" w:eastAsia="宋体" w:cs="宋体"/>
          <w:color w:val="auto"/>
          <w:sz w:val="21"/>
          <w:szCs w:val="21"/>
          <w:highlight w:val="none"/>
        </w:rPr>
      </w:pPr>
    </w:p>
    <w:tbl>
      <w:tblPr>
        <w:tblStyle w:val="61"/>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110"/>
        <w:gridCol w:w="2693"/>
        <w:gridCol w:w="2209"/>
        <w:gridCol w:w="2363"/>
      </w:tblGrid>
      <w:tr w14:paraId="21136E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60E34BE7">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甲方（采购人</w:t>
            </w:r>
            <w:r>
              <w:rPr>
                <w:rFonts w:hint="eastAsia" w:ascii="宋体" w:hAnsi="宋体" w:eastAsia="宋体" w:cs="宋体"/>
                <w:color w:val="auto"/>
                <w:sz w:val="21"/>
                <w:szCs w:val="21"/>
                <w:highlight w:val="none"/>
                <w:lang w:eastAsia="zh-CN"/>
              </w:rPr>
              <w:t>、受采购人委托签订合同的单位</w:t>
            </w:r>
            <w:r>
              <w:rPr>
                <w:rFonts w:hint="eastAsia" w:ascii="宋体" w:hAnsi="宋体" w:eastAsia="宋体" w:cs="宋体"/>
                <w:color w:val="auto"/>
                <w:sz w:val="21"/>
                <w:szCs w:val="21"/>
                <w:highlight w:val="none"/>
              </w:rPr>
              <w:t>或采购文件约定的合同甲方）</w:t>
            </w:r>
          </w:p>
        </w:tc>
        <w:tc>
          <w:tcPr>
            <w:tcW w:w="2437" w:type="pct"/>
            <w:gridSpan w:val="2"/>
            <w:tcBorders>
              <w:left w:val="single" w:color="auto" w:sz="2" w:space="0"/>
              <w:bottom w:val="single" w:color="auto" w:sz="2" w:space="0"/>
            </w:tcBorders>
            <w:noWrap w:val="0"/>
            <w:vAlign w:val="center"/>
          </w:tcPr>
          <w:p w14:paraId="2045BD27">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乙方（供应商）</w:t>
            </w:r>
          </w:p>
        </w:tc>
      </w:tr>
      <w:tr w14:paraId="223C8C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187FD678">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w:t>
            </w:r>
            <w:r>
              <w:rPr>
                <w:rFonts w:hint="eastAsia" w:ascii="宋体" w:hAnsi="宋体" w:eastAsia="宋体" w:cs="宋体"/>
                <w:color w:val="auto"/>
                <w:sz w:val="21"/>
                <w:szCs w:val="21"/>
                <w:highlight w:val="none"/>
                <w:lang w:eastAsia="zh-CN"/>
              </w:rPr>
              <w:t>或合同章</w:t>
            </w:r>
            <w:r>
              <w:rPr>
                <w:rFonts w:hint="eastAsia" w:ascii="宋体" w:hAnsi="宋体" w:eastAsia="宋体" w:cs="宋体"/>
                <w:color w:val="auto"/>
                <w:sz w:val="21"/>
                <w:szCs w:val="21"/>
                <w:highlight w:val="none"/>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5460A7A">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A17F147">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单位名称（公章</w:t>
            </w:r>
            <w:r>
              <w:rPr>
                <w:rFonts w:hint="eastAsia" w:ascii="宋体" w:hAnsi="宋体" w:eastAsia="宋体" w:cs="宋体"/>
                <w:color w:val="auto"/>
                <w:sz w:val="21"/>
                <w:szCs w:val="21"/>
                <w:highlight w:val="none"/>
                <w:lang w:eastAsia="zh-CN"/>
              </w:rPr>
              <w:t>或合同章</w:t>
            </w:r>
            <w:r>
              <w:rPr>
                <w:rFonts w:hint="eastAsia" w:ascii="宋体" w:hAnsi="宋体" w:eastAsia="宋体" w:cs="宋体"/>
                <w:color w:val="auto"/>
                <w:sz w:val="21"/>
                <w:szCs w:val="21"/>
                <w:highlight w:val="none"/>
              </w:rPr>
              <w:t>）</w:t>
            </w:r>
          </w:p>
        </w:tc>
        <w:tc>
          <w:tcPr>
            <w:tcW w:w="1259" w:type="pct"/>
            <w:tcBorders>
              <w:top w:val="single" w:color="auto" w:sz="2" w:space="0"/>
              <w:left w:val="single" w:color="auto" w:sz="2" w:space="0"/>
              <w:bottom w:val="single" w:color="auto" w:sz="2" w:space="0"/>
            </w:tcBorders>
            <w:noWrap w:val="0"/>
            <w:vAlign w:val="center"/>
          </w:tcPr>
          <w:p w14:paraId="584C8347">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618E0AA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344E8D94">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43B453C9">
            <w:pPr>
              <w:shd w:val="clear"/>
              <w:adjustRightInd w:val="0"/>
              <w:snapToGrid w:val="0"/>
              <w:spacing w:line="300" w:lineRule="exact"/>
              <w:ind w:firstLine="100" w:firstLineChars="48"/>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436" w:type="pct"/>
            <w:vMerge w:val="restart"/>
            <w:tcBorders>
              <w:top w:val="single" w:color="auto" w:sz="2" w:space="0"/>
              <w:left w:val="single" w:color="auto" w:sz="2" w:space="0"/>
              <w:right w:val="single" w:color="auto" w:sz="2" w:space="0"/>
            </w:tcBorders>
            <w:noWrap w:val="0"/>
            <w:vAlign w:val="center"/>
          </w:tcPr>
          <w:p w14:paraId="6DAAE28F">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right w:val="single" w:color="auto" w:sz="2" w:space="0"/>
            </w:tcBorders>
            <w:noWrap w:val="0"/>
            <w:vAlign w:val="center"/>
          </w:tcPr>
          <w:p w14:paraId="547912DF">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7B82E113">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或其委托代理人（签章）</w:t>
            </w:r>
          </w:p>
        </w:tc>
        <w:tc>
          <w:tcPr>
            <w:tcW w:w="1259" w:type="pct"/>
            <w:tcBorders>
              <w:top w:val="single" w:color="auto" w:sz="2" w:space="0"/>
              <w:left w:val="single" w:color="auto" w:sz="2" w:space="0"/>
              <w:bottom w:val="single" w:color="auto" w:sz="2" w:space="0"/>
            </w:tcBorders>
            <w:noWrap w:val="0"/>
            <w:vAlign w:val="center"/>
          </w:tcPr>
          <w:p w14:paraId="5414ABB1">
            <w:pPr>
              <w:shd w:val="clear"/>
              <w:adjustRightInd w:val="0"/>
              <w:snapToGrid w:val="0"/>
              <w:spacing w:line="300" w:lineRule="exact"/>
              <w:jc w:val="center"/>
              <w:rPr>
                <w:rFonts w:hint="eastAsia" w:ascii="宋体" w:hAnsi="宋体" w:eastAsia="宋体" w:cs="宋体"/>
                <w:color w:val="auto"/>
                <w:sz w:val="21"/>
                <w:szCs w:val="21"/>
                <w:highlight w:val="none"/>
              </w:rPr>
            </w:pPr>
          </w:p>
        </w:tc>
      </w:tr>
      <w:tr w14:paraId="5B8B5B5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1A019DE3">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436" w:type="pct"/>
            <w:vMerge w:val="continue"/>
            <w:tcBorders>
              <w:left w:val="single" w:color="auto" w:sz="2" w:space="0"/>
              <w:bottom w:val="single" w:color="auto" w:sz="2" w:space="0"/>
              <w:right w:val="single" w:color="auto" w:sz="2" w:space="0"/>
            </w:tcBorders>
            <w:noWrap w:val="0"/>
            <w:vAlign w:val="center"/>
          </w:tcPr>
          <w:p w14:paraId="54AC09C5">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029F240">
            <w:pPr>
              <w:shd w:val="clea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3FCB5F55">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389336E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4EAA05DC">
            <w:pPr>
              <w:shd w:val="clea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5AB1D68">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394E56E">
            <w:pPr>
              <w:shd w:val="clea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住</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eastAsia="zh-CN"/>
              </w:rPr>
              <w:t>所</w:t>
            </w:r>
          </w:p>
        </w:tc>
        <w:tc>
          <w:tcPr>
            <w:tcW w:w="1259" w:type="pct"/>
            <w:tcBorders>
              <w:top w:val="single" w:color="auto" w:sz="2" w:space="0"/>
              <w:left w:val="single" w:color="auto" w:sz="2" w:space="0"/>
              <w:bottom w:val="single" w:color="auto" w:sz="2" w:space="0"/>
            </w:tcBorders>
            <w:noWrap w:val="0"/>
            <w:vAlign w:val="center"/>
          </w:tcPr>
          <w:p w14:paraId="6BA06801">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17D6F0A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3B29D01">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334CCAD">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71C74F3">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 系 人</w:t>
            </w:r>
          </w:p>
        </w:tc>
        <w:tc>
          <w:tcPr>
            <w:tcW w:w="1259" w:type="pct"/>
            <w:tcBorders>
              <w:top w:val="single" w:color="auto" w:sz="2" w:space="0"/>
              <w:left w:val="single" w:color="auto" w:sz="2" w:space="0"/>
              <w:bottom w:val="single" w:color="auto" w:sz="2" w:space="0"/>
            </w:tcBorders>
            <w:noWrap w:val="0"/>
            <w:vAlign w:val="center"/>
          </w:tcPr>
          <w:p w14:paraId="0BDF72F4">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33FF191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647FAC7">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55E5F12">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BD02EBA">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p>
        </w:tc>
        <w:tc>
          <w:tcPr>
            <w:tcW w:w="1259" w:type="pct"/>
            <w:tcBorders>
              <w:top w:val="single" w:color="auto" w:sz="2" w:space="0"/>
              <w:left w:val="single" w:color="auto" w:sz="2" w:space="0"/>
              <w:bottom w:val="single" w:color="auto" w:sz="2" w:space="0"/>
            </w:tcBorders>
            <w:noWrap w:val="0"/>
            <w:vAlign w:val="center"/>
          </w:tcPr>
          <w:p w14:paraId="78EED032">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391ED1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855F822">
            <w:pPr>
              <w:shd w:val="clear"/>
              <w:adjustRightInd w:val="0"/>
              <w:snapToGrid w:val="0"/>
              <w:spacing w:line="30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5A8739C">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990241F">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7F8EF770">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7EC4F3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377E4B43">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7A033AF">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1AC7747">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1259" w:type="pct"/>
            <w:tcBorders>
              <w:top w:val="single" w:color="auto" w:sz="2" w:space="0"/>
              <w:left w:val="single" w:color="auto" w:sz="2" w:space="0"/>
              <w:bottom w:val="single" w:color="auto" w:sz="2" w:space="0"/>
            </w:tcBorders>
            <w:noWrap w:val="0"/>
            <w:vAlign w:val="center"/>
          </w:tcPr>
          <w:p w14:paraId="58445345">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20471E8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DE72310">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9DF453C">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728BA480">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电子邮箱</w:t>
            </w:r>
          </w:p>
        </w:tc>
        <w:tc>
          <w:tcPr>
            <w:tcW w:w="1259" w:type="pct"/>
            <w:tcBorders>
              <w:top w:val="single" w:color="auto" w:sz="2" w:space="0"/>
              <w:left w:val="single" w:color="auto" w:sz="2" w:space="0"/>
              <w:bottom w:val="single" w:color="auto" w:sz="2" w:space="0"/>
            </w:tcBorders>
            <w:noWrap w:val="0"/>
            <w:vAlign w:val="center"/>
          </w:tcPr>
          <w:p w14:paraId="41991251">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154BE21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676416AD">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D2CEB62">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C381C8E">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p>
        </w:tc>
        <w:tc>
          <w:tcPr>
            <w:tcW w:w="1259" w:type="pct"/>
            <w:tcBorders>
              <w:top w:val="single" w:color="auto" w:sz="2" w:space="0"/>
              <w:left w:val="single" w:color="auto" w:sz="2" w:space="0"/>
              <w:bottom w:val="single" w:color="auto" w:sz="2" w:space="0"/>
            </w:tcBorders>
            <w:noWrap w:val="0"/>
            <w:vAlign w:val="center"/>
          </w:tcPr>
          <w:p w14:paraId="77B97B9E">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0305647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832FF24">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8E8C3C6">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A2095C3">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p>
        </w:tc>
        <w:tc>
          <w:tcPr>
            <w:tcW w:w="1259" w:type="pct"/>
            <w:tcBorders>
              <w:top w:val="single" w:color="auto" w:sz="2" w:space="0"/>
              <w:left w:val="single" w:color="auto" w:sz="2" w:space="0"/>
              <w:bottom w:val="single" w:color="auto" w:sz="2" w:space="0"/>
            </w:tcBorders>
            <w:noWrap w:val="0"/>
            <w:vAlign w:val="center"/>
          </w:tcPr>
          <w:p w14:paraId="1427753E">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4FF1B10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1BCAE7C">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5BD0E7F5">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4DB9200">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p>
        </w:tc>
        <w:tc>
          <w:tcPr>
            <w:tcW w:w="1259" w:type="pct"/>
            <w:tcBorders>
              <w:top w:val="single" w:color="auto" w:sz="2" w:space="0"/>
              <w:left w:val="single" w:color="auto" w:sz="2" w:space="0"/>
              <w:bottom w:val="single" w:color="auto" w:sz="2" w:space="0"/>
            </w:tcBorders>
            <w:noWrap w:val="0"/>
            <w:vAlign w:val="center"/>
          </w:tcPr>
          <w:p w14:paraId="6756CE65">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1493C4E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416D689">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93A3708">
            <w:pPr>
              <w:shd w:val="clear"/>
              <w:adjustRightInd w:val="0"/>
              <w:snapToGrid w:val="0"/>
              <w:spacing w:line="300" w:lineRule="exact"/>
              <w:jc w:val="center"/>
              <w:rPr>
                <w:rFonts w:hint="eastAsia" w:ascii="宋体" w:hAnsi="宋体" w:eastAsia="宋体" w:cs="宋体"/>
                <w:color w:val="auto"/>
                <w:sz w:val="21"/>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007A998">
            <w:pPr>
              <w:shd w:val="clear"/>
              <w:adjustRightInd w:val="0"/>
              <w:snapToGrid w:val="0"/>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p>
        </w:tc>
        <w:tc>
          <w:tcPr>
            <w:tcW w:w="1259" w:type="pct"/>
            <w:tcBorders>
              <w:top w:val="single" w:color="auto" w:sz="2" w:space="0"/>
              <w:left w:val="single" w:color="auto" w:sz="2" w:space="0"/>
              <w:bottom w:val="single" w:color="auto" w:sz="2" w:space="0"/>
            </w:tcBorders>
            <w:noWrap w:val="0"/>
            <w:vAlign w:val="center"/>
          </w:tcPr>
          <w:p w14:paraId="51113BE1">
            <w:pPr>
              <w:shd w:val="clear"/>
              <w:adjustRightInd w:val="0"/>
              <w:snapToGrid w:val="0"/>
              <w:spacing w:line="300" w:lineRule="exact"/>
              <w:jc w:val="center"/>
              <w:rPr>
                <w:rFonts w:hint="eastAsia" w:ascii="宋体" w:hAnsi="宋体" w:eastAsia="宋体" w:cs="宋体"/>
                <w:color w:val="auto"/>
                <w:spacing w:val="20"/>
                <w:sz w:val="21"/>
                <w:szCs w:val="21"/>
                <w:highlight w:val="none"/>
              </w:rPr>
            </w:pPr>
          </w:p>
        </w:tc>
      </w:tr>
      <w:tr w14:paraId="0BC5FE5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7F24D0F1">
            <w:pPr>
              <w:pStyle w:val="24"/>
              <w:shd w:val="clear"/>
              <w:adjustRightInd w:val="0"/>
              <w:snapToGrid w:val="0"/>
              <w:spacing w:before="156" w:beforeLines="50" w:after="0" w:line="360" w:lineRule="auto"/>
              <w:ind w:left="0" w:leftChars="0"/>
              <w:jc w:val="left"/>
              <w:rPr>
                <w:rFonts w:hint="eastAsia" w:ascii="宋体" w:hAnsi="宋体" w:eastAsia="宋体" w:cs="宋体"/>
                <w:color w:val="auto"/>
                <w:spacing w:val="20"/>
                <w:sz w:val="21"/>
                <w:szCs w:val="21"/>
                <w:highlight w:val="none"/>
              </w:rPr>
            </w:pPr>
            <w:r>
              <w:rPr>
                <w:rFonts w:hint="eastAsia" w:ascii="宋体" w:hAnsi="宋体" w:eastAsia="宋体" w:cs="宋体"/>
                <w:color w:val="auto"/>
                <w:sz w:val="21"/>
                <w:szCs w:val="21"/>
                <w:highlight w:val="none"/>
              </w:rPr>
              <w:t>注：涉及联合体或其他合同主体的信息应按上表格式加列。</w:t>
            </w:r>
          </w:p>
        </w:tc>
      </w:tr>
    </w:tbl>
    <w:p w14:paraId="5E904F3E">
      <w:pPr>
        <w:pStyle w:val="3"/>
        <w:shd w:val="clear"/>
        <w:adjustRightInd w:val="0"/>
        <w:snapToGrid w:val="0"/>
        <w:spacing w:before="156" w:before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br w:type="page"/>
      </w:r>
      <w:bookmarkStart w:id="51" w:name="_Toc27624"/>
      <w:r>
        <w:rPr>
          <w:rFonts w:hint="eastAsia" w:ascii="宋体" w:hAnsi="宋体" w:eastAsia="宋体" w:cs="宋体"/>
          <w:b w:val="0"/>
          <w:bCs w:val="0"/>
          <w:color w:val="auto"/>
          <w:sz w:val="21"/>
          <w:szCs w:val="21"/>
          <w:highlight w:val="none"/>
        </w:rPr>
        <w:t>第二节 政府采购合同通用条款</w:t>
      </w:r>
      <w:bookmarkEnd w:id="51"/>
    </w:p>
    <w:p w14:paraId="7D6AD49B">
      <w:pPr>
        <w:shd w:val="clear"/>
        <w:tabs>
          <w:tab w:val="left" w:pos="8820"/>
          <w:tab w:val="left" w:pos="9345"/>
          <w:tab w:val="left" w:pos="9765"/>
        </w:tabs>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bCs/>
          <w:color w:val="auto"/>
          <w:sz w:val="21"/>
          <w:szCs w:val="21"/>
          <w:highlight w:val="none"/>
        </w:rPr>
        <w:t>定义</w:t>
      </w:r>
    </w:p>
    <w:p w14:paraId="1BAA0963">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1.1合同当事人</w:t>
      </w:r>
    </w:p>
    <w:p w14:paraId="3E1FC92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（1）采购人（以下称甲方）是指使用财政性资金，通过政府采购方式向供应商购买货物</w:t>
      </w:r>
      <w:r>
        <w:rPr>
          <w:rFonts w:hint="eastAsia" w:ascii="宋体" w:hAnsi="宋体" w:eastAsia="宋体" w:cs="宋体"/>
          <w:color w:val="auto"/>
          <w:sz w:val="21"/>
          <w:szCs w:val="21"/>
          <w:highlight w:val="none"/>
          <w:lang w:val="en-US" w:eastAsia="zh-CN"/>
        </w:rPr>
        <w:t>及其相关服务的</w:t>
      </w:r>
      <w:r>
        <w:rPr>
          <w:rFonts w:hint="eastAsia" w:ascii="宋体" w:hAnsi="宋体" w:eastAsia="宋体" w:cs="宋体"/>
          <w:color w:val="auto"/>
          <w:sz w:val="21"/>
          <w:szCs w:val="21"/>
          <w:highlight w:val="none"/>
        </w:rPr>
        <w:t>国家机关、事业单位、团体组织。</w:t>
      </w:r>
    </w:p>
    <w:p w14:paraId="57332460">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（2）供应商（以下称</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方）是指参加政府采购活动并且中标（成交），向采购人提供</w:t>
      </w:r>
      <w:r>
        <w:rPr>
          <w:rFonts w:hint="eastAsia" w:ascii="宋体" w:hAnsi="宋体" w:eastAsia="宋体" w:cs="宋体"/>
          <w:color w:val="auto"/>
          <w:sz w:val="21"/>
          <w:szCs w:val="21"/>
          <w:highlight w:val="none"/>
          <w:lang w:val="en-US" w:eastAsia="zh-CN"/>
        </w:rPr>
        <w:t>合同约定的货物及其相关服务的法人、非法人组织或者自然人</w:t>
      </w:r>
      <w:r>
        <w:rPr>
          <w:rFonts w:hint="eastAsia" w:ascii="宋体" w:hAnsi="宋体" w:eastAsia="宋体" w:cs="宋体"/>
          <w:color w:val="auto"/>
          <w:sz w:val="21"/>
          <w:szCs w:val="21"/>
          <w:highlight w:val="none"/>
        </w:rPr>
        <w:t>。</w:t>
      </w:r>
    </w:p>
    <w:p w14:paraId="66D11900">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（3）其他合同主体是指除采购人和供应商以外，</w:t>
      </w:r>
      <w:r>
        <w:rPr>
          <w:rFonts w:hint="eastAsia" w:ascii="宋体" w:hAnsi="宋体" w:eastAsia="宋体" w:cs="宋体"/>
          <w:bCs/>
          <w:color w:val="auto"/>
          <w:sz w:val="21"/>
          <w:szCs w:val="21"/>
          <w:highlight w:val="none"/>
        </w:rPr>
        <w:t>依法参与合同缔结或履行，享有权利、承担义务的合同当事人</w:t>
      </w:r>
      <w:r>
        <w:rPr>
          <w:rFonts w:hint="eastAsia" w:ascii="宋体" w:hAnsi="宋体" w:eastAsia="宋体" w:cs="宋体"/>
          <w:color w:val="auto"/>
          <w:sz w:val="21"/>
          <w:szCs w:val="21"/>
          <w:highlight w:val="none"/>
        </w:rPr>
        <w:t>。</w:t>
      </w:r>
    </w:p>
    <w:p w14:paraId="5E94BD59">
      <w:pPr>
        <w:shd w:val="clea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1.2本合同下列术语应解释为：</w:t>
      </w:r>
    </w:p>
    <w:p w14:paraId="1A4A432F">
      <w:pPr>
        <w:shd w:val="clear"/>
        <w:adjustRightInd w:val="0"/>
        <w:snapToGrid w:val="0"/>
        <w:spacing w:before="0" w:beforeLines="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（1）“合同”系指</w:t>
      </w:r>
      <w:r>
        <w:rPr>
          <w:rFonts w:hint="eastAsia" w:ascii="宋体" w:hAnsi="宋体" w:eastAsia="宋体" w:cs="宋体"/>
          <w:bCs/>
          <w:color w:val="auto"/>
          <w:sz w:val="21"/>
          <w:szCs w:val="21"/>
          <w:highlight w:val="none"/>
        </w:rPr>
        <w:t>合同当事人意思表示达成一致的任何协议，包括签署的</w:t>
      </w:r>
      <w:r>
        <w:rPr>
          <w:rFonts w:hint="eastAsia" w:ascii="宋体" w:hAnsi="宋体" w:eastAsia="宋体" w:cs="宋体"/>
          <w:color w:val="auto"/>
          <w:sz w:val="21"/>
          <w:szCs w:val="21"/>
          <w:highlight w:val="none"/>
          <w:lang w:eastAsia="zh-CN"/>
        </w:rPr>
        <w:t>政府采购</w:t>
      </w:r>
      <w:r>
        <w:rPr>
          <w:rFonts w:hint="eastAsia" w:ascii="宋体" w:hAnsi="宋体" w:eastAsia="宋体" w:cs="宋体"/>
          <w:color w:val="auto"/>
          <w:sz w:val="21"/>
          <w:szCs w:val="21"/>
          <w:highlight w:val="none"/>
        </w:rPr>
        <w:t>合同协议书及其变更、补充</w:t>
      </w:r>
      <w:r>
        <w:rPr>
          <w:rFonts w:hint="eastAsia" w:ascii="宋体" w:hAnsi="宋体" w:eastAsia="宋体" w:cs="宋体"/>
          <w:color w:val="auto"/>
          <w:sz w:val="21"/>
          <w:szCs w:val="21"/>
          <w:highlight w:val="none"/>
          <w:lang w:eastAsia="zh-CN"/>
        </w:rPr>
        <w:t>协议，</w:t>
      </w:r>
      <w:r>
        <w:rPr>
          <w:rFonts w:hint="eastAsia" w:ascii="宋体" w:hAnsi="宋体" w:eastAsia="宋体" w:cs="宋体"/>
          <w:color w:val="auto"/>
          <w:sz w:val="21"/>
          <w:szCs w:val="21"/>
          <w:highlight w:val="none"/>
        </w:rPr>
        <w:t>政府采购合同专用条款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政府采购合同通用条款</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中标</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通知书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投标（响应）文件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采购文件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有关技术文件</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图纸</w:t>
      </w:r>
      <w:r>
        <w:rPr>
          <w:rFonts w:hint="eastAsia" w:ascii="宋体" w:hAnsi="宋体" w:eastAsia="宋体" w:cs="宋体"/>
          <w:color w:val="auto"/>
          <w:sz w:val="21"/>
          <w:szCs w:val="21"/>
          <w:highlight w:val="none"/>
          <w:lang w:eastAsia="zh-CN"/>
        </w:rPr>
        <w:t>，以及</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r>
        <w:rPr>
          <w:rFonts w:hint="eastAsia" w:ascii="宋体" w:hAnsi="宋体" w:eastAsia="宋体" w:cs="宋体"/>
          <w:color w:val="auto"/>
          <w:sz w:val="21"/>
          <w:szCs w:val="21"/>
          <w:highlight w:val="none"/>
        </w:rPr>
        <w:t>。</w:t>
      </w:r>
    </w:p>
    <w:p w14:paraId="4B8B86BF">
      <w:pPr>
        <w:shd w:val="clea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）“合同价</w:t>
      </w:r>
      <w:r>
        <w:rPr>
          <w:rFonts w:hint="eastAsia" w:ascii="宋体" w:hAnsi="宋体" w:eastAsia="宋体" w:cs="宋体"/>
          <w:color w:val="auto"/>
          <w:sz w:val="21"/>
          <w:szCs w:val="21"/>
          <w:highlight w:val="none"/>
          <w:lang w:val="en-US" w:eastAsia="zh-CN"/>
        </w:rPr>
        <w:t>款</w:t>
      </w:r>
      <w:r>
        <w:rPr>
          <w:rFonts w:hint="eastAsia" w:ascii="宋体" w:hAnsi="宋体" w:eastAsia="宋体" w:cs="宋体"/>
          <w:color w:val="auto"/>
          <w:sz w:val="21"/>
          <w:szCs w:val="21"/>
          <w:highlight w:val="none"/>
        </w:rPr>
        <w:t>”系指根据本合同规定乙方在全面履行合同义务后甲方应支付给乙方的价款。</w:t>
      </w:r>
    </w:p>
    <w:p w14:paraId="36946EBC">
      <w:pPr>
        <w:shd w:val="clea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技术资料和材料</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w:t>
      </w:r>
    </w:p>
    <w:p w14:paraId="2D5F1885">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相关</w:t>
      </w:r>
      <w:r>
        <w:rPr>
          <w:rFonts w:hint="eastAsia" w:ascii="宋体" w:hAnsi="宋体" w:eastAsia="宋体" w:cs="宋体"/>
          <w:color w:val="auto"/>
          <w:sz w:val="21"/>
          <w:szCs w:val="21"/>
          <w:highlight w:val="none"/>
        </w:rPr>
        <w:t>服务”系指根据合同规定，乙方应提供的</w:t>
      </w:r>
      <w:r>
        <w:rPr>
          <w:rFonts w:hint="eastAsia" w:ascii="宋体" w:hAnsi="宋体" w:eastAsia="宋体" w:cs="宋体"/>
          <w:color w:val="auto"/>
          <w:sz w:val="21"/>
          <w:szCs w:val="21"/>
          <w:highlight w:val="none"/>
          <w:lang w:val="en-US" w:eastAsia="zh-CN"/>
        </w:rPr>
        <w:t>与货物有关的</w:t>
      </w:r>
      <w:r>
        <w:rPr>
          <w:rFonts w:hint="eastAsia" w:ascii="宋体" w:hAnsi="宋体" w:eastAsia="宋体" w:cs="宋体"/>
          <w:color w:val="auto"/>
          <w:sz w:val="21"/>
          <w:szCs w:val="21"/>
          <w:highlight w:val="none"/>
        </w:rPr>
        <w:t>技术、管理和</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服务，包括但不限于：管理和质量保证、运输、保险、检验、现场准备、安装、集成、调试、培训、维修、</w:t>
      </w:r>
      <w:r>
        <w:rPr>
          <w:rFonts w:hint="eastAsia" w:ascii="宋体" w:hAnsi="宋体" w:eastAsia="宋体" w:cs="宋体"/>
          <w:color w:val="auto"/>
          <w:sz w:val="21"/>
          <w:szCs w:val="21"/>
          <w:highlight w:val="none"/>
          <w:lang w:eastAsia="zh-CN"/>
        </w:rPr>
        <w:t>废弃处置、</w:t>
      </w:r>
      <w:r>
        <w:rPr>
          <w:rFonts w:hint="eastAsia" w:ascii="宋体" w:hAnsi="宋体" w:eastAsia="宋体" w:cs="宋体"/>
          <w:color w:val="auto"/>
          <w:sz w:val="21"/>
          <w:szCs w:val="21"/>
          <w:highlight w:val="none"/>
        </w:rPr>
        <w:t>技术支持等以及合同中规定乙方应承担的</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义务。</w:t>
      </w:r>
    </w:p>
    <w:p w14:paraId="7F24E2F2">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）“分包”系指中标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供应商按采购文件、投标（响应）文件的规定，根据分包意向协议，将中标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成交</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项目中的部分履约内容，分给具有相应资质条件的供应商履行合同的行为。</w:t>
      </w:r>
    </w:p>
    <w:p w14:paraId="4B8988CE">
      <w:pPr>
        <w:shd w:val="clea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）“联合体”系指</w:t>
      </w:r>
      <w:r>
        <w:rPr>
          <w:rFonts w:hint="eastAsia" w:ascii="宋体" w:hAnsi="宋体" w:eastAsia="宋体" w:cs="宋体"/>
          <w:color w:val="auto"/>
          <w:sz w:val="21"/>
          <w:szCs w:val="21"/>
          <w:highlight w:val="none"/>
          <w:lang w:eastAsia="zh-CN"/>
        </w:rPr>
        <w:t>由</w:t>
      </w:r>
      <w:r>
        <w:rPr>
          <w:rFonts w:hint="eastAsia" w:ascii="宋体" w:hAnsi="宋体" w:eastAsia="宋体" w:cs="宋体"/>
          <w:color w:val="auto"/>
          <w:sz w:val="21"/>
          <w:szCs w:val="21"/>
          <w:highlight w:val="none"/>
        </w:rPr>
        <w:t>两个以上的自然人、法人或者</w:t>
      </w:r>
      <w:r>
        <w:rPr>
          <w:rFonts w:hint="eastAsia" w:ascii="宋体" w:hAnsi="宋体" w:eastAsia="宋体" w:cs="宋体"/>
          <w:color w:val="auto"/>
          <w:sz w:val="21"/>
          <w:szCs w:val="21"/>
          <w:highlight w:val="none"/>
          <w:lang w:val="en-US" w:eastAsia="zh-CN"/>
        </w:rPr>
        <w:t>非法人</w:t>
      </w:r>
      <w:r>
        <w:rPr>
          <w:rFonts w:hint="eastAsia" w:ascii="宋体" w:hAnsi="宋体" w:eastAsia="宋体" w:cs="宋体"/>
          <w:color w:val="auto"/>
          <w:sz w:val="21"/>
          <w:szCs w:val="21"/>
          <w:highlight w:val="none"/>
        </w:rPr>
        <w:t>组织组成，</w:t>
      </w:r>
      <w:r>
        <w:rPr>
          <w:rFonts w:hint="eastAsia" w:ascii="宋体" w:hAnsi="宋体" w:eastAsia="宋体" w:cs="宋体"/>
          <w:color w:val="auto"/>
          <w:sz w:val="21"/>
          <w:szCs w:val="21"/>
          <w:highlight w:val="none"/>
          <w:lang w:eastAsia="zh-CN"/>
        </w:rPr>
        <w:t>以一个供应商的身份共同参加政府采购的主体。</w:t>
      </w:r>
      <w:r>
        <w:rPr>
          <w:rFonts w:hint="eastAsia" w:ascii="宋体" w:hAnsi="宋体" w:eastAsia="宋体" w:cs="宋体"/>
          <w:color w:val="auto"/>
          <w:sz w:val="21"/>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承担连带责任。联合体具体要求见【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323C3A8E">
      <w:pPr>
        <w:shd w:val="clea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）其他术语解释，见【</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w:t>
      </w:r>
    </w:p>
    <w:p w14:paraId="17CC523F">
      <w:pPr>
        <w:numPr>
          <w:ilvl w:val="0"/>
          <w:numId w:val="23"/>
        </w:num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合同标的及金额</w:t>
      </w:r>
    </w:p>
    <w:p w14:paraId="1C54C635">
      <w:pPr>
        <w:shd w:val="clear"/>
        <w:autoSpaceDE w:val="0"/>
        <w:autoSpaceDN w:val="0"/>
        <w:adjustRightInd w:val="0"/>
        <w:snapToGrid w:val="0"/>
        <w:spacing w:before="0" w:line="400" w:lineRule="exact"/>
        <w:ind w:firstLine="420" w:firstLineChars="200"/>
        <w:jc w:val="left"/>
        <w:rPr>
          <w:rFonts w:hint="eastAsia" w:ascii="宋体" w:hAnsi="宋体" w:eastAsia="宋体" w:cs="宋体"/>
          <w:b/>
          <w:bCs/>
          <w:i/>
          <w:iCs/>
          <w:color w:val="auto"/>
          <w:sz w:val="21"/>
          <w:szCs w:val="21"/>
          <w:highlight w:val="none"/>
        </w:rPr>
      </w:pP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.1 合同标的及金额应与中标（成交）结果一致。乙方为履行本合同而发生的所有费用均应包含在合同</w:t>
      </w:r>
      <w:r>
        <w:rPr>
          <w:rFonts w:hint="eastAsia" w:ascii="宋体" w:hAnsi="宋体" w:eastAsia="宋体" w:cs="宋体"/>
          <w:color w:val="auto"/>
          <w:sz w:val="21"/>
          <w:szCs w:val="21"/>
          <w:highlight w:val="none"/>
          <w:lang w:eastAsia="zh-CN"/>
        </w:rPr>
        <w:t>价款</w:t>
      </w:r>
      <w:r>
        <w:rPr>
          <w:rFonts w:hint="eastAsia" w:ascii="宋体" w:hAnsi="宋体" w:eastAsia="宋体" w:cs="宋体"/>
          <w:color w:val="auto"/>
          <w:sz w:val="21"/>
          <w:szCs w:val="21"/>
          <w:highlight w:val="none"/>
        </w:rPr>
        <w:t>中，甲方不再另行支付</w:t>
      </w:r>
      <w:r>
        <w:rPr>
          <w:rFonts w:hint="eastAsia" w:ascii="宋体" w:hAnsi="宋体" w:eastAsia="宋体" w:cs="宋体"/>
          <w:color w:val="auto"/>
          <w:sz w:val="21"/>
          <w:szCs w:val="21"/>
          <w:highlight w:val="none"/>
          <w:lang w:val="en"/>
        </w:rPr>
        <w:t>其他</w:t>
      </w:r>
      <w:r>
        <w:rPr>
          <w:rFonts w:hint="eastAsia" w:ascii="宋体" w:hAnsi="宋体" w:eastAsia="宋体" w:cs="宋体"/>
          <w:color w:val="auto"/>
          <w:sz w:val="21"/>
          <w:szCs w:val="21"/>
          <w:highlight w:val="none"/>
        </w:rPr>
        <w:t>任何费用。</w:t>
      </w:r>
    </w:p>
    <w:p w14:paraId="66D0140B">
      <w:pPr>
        <w:shd w:val="clear"/>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3</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履行合同的时间、地点和方式</w:t>
      </w:r>
    </w:p>
    <w:p w14:paraId="64EEEC4F">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.1 乙方应当在约定的时间、地点</w:t>
      </w:r>
      <w:r>
        <w:rPr>
          <w:rFonts w:hint="eastAsia" w:ascii="宋体" w:hAnsi="宋体" w:eastAsia="宋体" w:cs="宋体"/>
          <w:color w:val="auto"/>
          <w:sz w:val="21"/>
          <w:szCs w:val="21"/>
          <w:highlight w:val="none"/>
          <w:lang w:eastAsia="zh-CN"/>
        </w:rPr>
        <w:t>，按照约定</w:t>
      </w:r>
      <w:r>
        <w:rPr>
          <w:rFonts w:hint="eastAsia" w:ascii="宋体" w:hAnsi="宋体" w:eastAsia="宋体" w:cs="宋体"/>
          <w:color w:val="auto"/>
          <w:sz w:val="21"/>
          <w:szCs w:val="21"/>
          <w:highlight w:val="none"/>
        </w:rPr>
        <w:t>方式履行合同。</w:t>
      </w:r>
    </w:p>
    <w:p w14:paraId="795DF7C8">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甲方的权利和义务</w:t>
      </w:r>
    </w:p>
    <w:p w14:paraId="33006F7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 签署合同后，甲方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项目负责人（或项目联系人）</w:t>
      </w:r>
      <w:r>
        <w:rPr>
          <w:rFonts w:hint="eastAsia" w:ascii="宋体" w:hAnsi="宋体" w:eastAsia="宋体" w:cs="宋体"/>
          <w:color w:val="auto"/>
          <w:sz w:val="21"/>
          <w:szCs w:val="21"/>
          <w:highlight w:val="none"/>
        </w:rPr>
        <w:t>，负责与本合同有关的事务。甲方有权对乙方的履约行为进行检查，并及时确认乙方提交的事项。甲方应当配合乙方完成相关项目实施工作。</w:t>
      </w:r>
    </w:p>
    <w:p w14:paraId="44035010">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.2 甲方有权要求乙方按时提交各阶段有关安排计划，并有权定期核对乙方提供货物数量、规格、质量等内容。甲方有权督促乙方工作并要求乙方更换不符合要求的货物。</w:t>
      </w:r>
    </w:p>
    <w:p w14:paraId="40DEB69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.3 甲方有权要求乙方对缺陷部分予以修复，并按合同约定享有货物保修及其他合同约定的权利。</w:t>
      </w:r>
    </w:p>
    <w:p w14:paraId="5E2FD081">
      <w:pPr>
        <w:shd w:val="clear"/>
        <w:snapToGrid w:val="0"/>
        <w:spacing w:line="40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4.4 甲方应当按照合同约定及时对交付的货物进行验收，</w:t>
      </w:r>
      <w:r>
        <w:rPr>
          <w:rFonts w:hint="eastAsia" w:ascii="宋体" w:hAnsi="宋体" w:eastAsia="宋体" w:cs="宋体"/>
          <w:b w:val="0"/>
          <w:bCs w:val="0"/>
          <w:color w:val="auto"/>
          <w:sz w:val="21"/>
          <w:szCs w:val="21"/>
          <w:highlight w:val="none"/>
          <w:lang w:eastAsia="zh-CN"/>
        </w:rPr>
        <w:t>未</w:t>
      </w:r>
      <w:r>
        <w:rPr>
          <w:rFonts w:hint="eastAsia" w:ascii="宋体" w:hAnsi="宋体" w:eastAsia="宋体" w:cs="宋体"/>
          <w:color w:val="auto"/>
          <w:sz w:val="21"/>
          <w:szCs w:val="21"/>
          <w:highlight w:val="none"/>
          <w:lang w:val="en-US" w:eastAsia="zh-CN"/>
        </w:rPr>
        <w:t>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约定的期限内对乙方履约提出任何异议或者向乙方作出任何说明的，</w:t>
      </w:r>
      <w:r>
        <w:rPr>
          <w:rFonts w:hint="eastAsia" w:ascii="宋体" w:hAnsi="宋体" w:eastAsia="宋体" w:cs="宋体"/>
          <w:color w:val="auto"/>
          <w:sz w:val="21"/>
          <w:szCs w:val="21"/>
          <w:highlight w:val="none"/>
          <w:lang w:val="en-US" w:eastAsia="zh-CN"/>
        </w:rPr>
        <w:t>视为验收通过。</w:t>
      </w:r>
    </w:p>
    <w:p w14:paraId="3114560C">
      <w:pPr>
        <w:shd w:val="clear"/>
        <w:autoSpaceDE w:val="0"/>
        <w:autoSpaceDN w:val="0"/>
        <w:adjustRightInd w:val="0"/>
        <w:snapToGrid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 xml:space="preserve"> 甲方应当根据合同约定</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时向乙方支付</w:t>
      </w:r>
      <w:r>
        <w:rPr>
          <w:rFonts w:hint="eastAsia" w:ascii="宋体" w:hAnsi="宋体" w:eastAsia="宋体" w:cs="宋体"/>
          <w:color w:val="auto"/>
          <w:sz w:val="21"/>
          <w:szCs w:val="21"/>
          <w:highlight w:val="none"/>
          <w:lang w:eastAsia="zh-CN"/>
        </w:rPr>
        <w:t>合同价款，不得以内部人员变更、履行内部付款流程等为由，拒绝或迟延支付。</w:t>
      </w:r>
    </w:p>
    <w:p w14:paraId="5A32461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国家法律法规规定</w:t>
      </w:r>
      <w:r>
        <w:rPr>
          <w:rFonts w:hint="eastAsia" w:ascii="宋体" w:hAnsi="宋体" w:eastAsia="宋体" w:cs="宋体"/>
          <w:color w:val="auto"/>
          <w:sz w:val="21"/>
          <w:szCs w:val="21"/>
          <w:highlight w:val="none"/>
          <w:lang w:eastAsia="zh-CN"/>
        </w:rPr>
        <w:t>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lang w:eastAsia="zh-CN"/>
        </w:rPr>
        <w:t>约定应</w:t>
      </w:r>
      <w:r>
        <w:rPr>
          <w:rFonts w:hint="eastAsia" w:ascii="宋体" w:hAnsi="宋体" w:eastAsia="宋体" w:cs="宋体"/>
          <w:color w:val="auto"/>
          <w:sz w:val="21"/>
          <w:szCs w:val="21"/>
          <w:highlight w:val="none"/>
        </w:rPr>
        <w:t>由甲方承担的其他义务和责任。</w:t>
      </w:r>
    </w:p>
    <w:p w14:paraId="61A680A0">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乙方的权利和义务</w:t>
      </w:r>
    </w:p>
    <w:p w14:paraId="1CDFE63E">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.1 签署合同后，乙方</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项目负责人（或项目联系人）</w:t>
      </w:r>
      <w:r>
        <w:rPr>
          <w:rFonts w:hint="eastAsia" w:ascii="宋体" w:hAnsi="宋体" w:eastAsia="宋体" w:cs="宋体"/>
          <w:color w:val="auto"/>
          <w:sz w:val="21"/>
          <w:szCs w:val="21"/>
          <w:highlight w:val="none"/>
        </w:rPr>
        <w:t>，负责与本合同有关的事务。</w:t>
      </w:r>
    </w:p>
    <w:p w14:paraId="669B44EC">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.2 乙方应按照合同要求履约，充分合理安排，确保提供的货物</w:t>
      </w:r>
      <w:r>
        <w:rPr>
          <w:rFonts w:hint="eastAsia" w:ascii="宋体" w:hAnsi="宋体" w:eastAsia="宋体" w:cs="宋体"/>
          <w:color w:val="auto"/>
          <w:sz w:val="21"/>
          <w:szCs w:val="21"/>
          <w:highlight w:val="none"/>
          <w:lang w:eastAsia="zh-CN"/>
        </w:rPr>
        <w:t>及相关</w:t>
      </w:r>
      <w:r>
        <w:rPr>
          <w:rFonts w:hint="eastAsia" w:ascii="宋体" w:hAnsi="宋体" w:eastAsia="宋体" w:cs="宋体"/>
          <w:color w:val="auto"/>
          <w:sz w:val="21"/>
          <w:szCs w:val="21"/>
          <w:highlight w:val="none"/>
        </w:rPr>
        <w:t>服务符合合同</w:t>
      </w:r>
      <w:r>
        <w:rPr>
          <w:rFonts w:hint="eastAsia" w:ascii="宋体" w:hAnsi="宋体" w:eastAsia="宋体" w:cs="宋体"/>
          <w:color w:val="auto"/>
          <w:sz w:val="21"/>
          <w:szCs w:val="21"/>
          <w:highlight w:val="none"/>
          <w:lang w:eastAsia="zh-CN"/>
        </w:rPr>
        <w:t>有关</w:t>
      </w:r>
      <w:r>
        <w:rPr>
          <w:rFonts w:hint="eastAsia" w:ascii="宋体" w:hAnsi="宋体" w:eastAsia="宋体" w:cs="宋体"/>
          <w:color w:val="auto"/>
          <w:sz w:val="21"/>
          <w:szCs w:val="21"/>
          <w:highlight w:val="none"/>
        </w:rPr>
        <w:t>要求。接受项目行业管理部门及政府有关部门的指导，配合甲方的履约检查</w:t>
      </w:r>
      <w:r>
        <w:rPr>
          <w:rFonts w:hint="eastAsia" w:ascii="宋体" w:hAnsi="宋体" w:eastAsia="宋体" w:cs="宋体"/>
          <w:color w:val="auto"/>
          <w:sz w:val="21"/>
          <w:szCs w:val="21"/>
          <w:highlight w:val="none"/>
          <w:lang w:eastAsia="zh-CN"/>
        </w:rPr>
        <w:t>及验收</w:t>
      </w:r>
      <w:r>
        <w:rPr>
          <w:rFonts w:hint="eastAsia" w:ascii="宋体" w:hAnsi="宋体" w:eastAsia="宋体" w:cs="宋体"/>
          <w:color w:val="auto"/>
          <w:sz w:val="21"/>
          <w:szCs w:val="21"/>
          <w:highlight w:val="none"/>
        </w:rPr>
        <w:t>，并负责项目实施过程中的所有协调工作。</w:t>
      </w:r>
    </w:p>
    <w:p w14:paraId="06CDEBB8">
      <w:pPr>
        <w:pStyle w:val="23"/>
        <w:shd w:val="clear"/>
        <w:spacing w:after="0" w:line="400" w:lineRule="exact"/>
        <w:ind w:firstLine="369" w:firstLineChars="17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.3乙方有权根据合同约定向甲方收取</w:t>
      </w:r>
      <w:r>
        <w:rPr>
          <w:rFonts w:hint="eastAsia" w:ascii="宋体" w:hAnsi="宋体" w:eastAsia="宋体" w:cs="宋体"/>
          <w:color w:val="auto"/>
          <w:sz w:val="21"/>
          <w:szCs w:val="21"/>
          <w:highlight w:val="none"/>
          <w:lang w:eastAsia="zh-CN"/>
        </w:rPr>
        <w:t>合同价款</w:t>
      </w:r>
      <w:r>
        <w:rPr>
          <w:rFonts w:hint="eastAsia" w:ascii="宋体" w:hAnsi="宋体" w:eastAsia="宋体" w:cs="宋体"/>
          <w:color w:val="auto"/>
          <w:sz w:val="21"/>
          <w:szCs w:val="21"/>
          <w:highlight w:val="none"/>
        </w:rPr>
        <w:t>。</w:t>
      </w:r>
    </w:p>
    <w:p w14:paraId="48B94411">
      <w:pPr>
        <w:pStyle w:val="23"/>
        <w:shd w:val="clear"/>
        <w:spacing w:after="0" w:line="400" w:lineRule="exact"/>
        <w:ind w:firstLine="369" w:firstLineChars="17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.4国家法律法规规定</w:t>
      </w:r>
      <w:r>
        <w:rPr>
          <w:rFonts w:hint="eastAsia" w:ascii="宋体" w:hAnsi="宋体" w:eastAsia="宋体" w:cs="宋体"/>
          <w:color w:val="auto"/>
          <w:sz w:val="21"/>
          <w:szCs w:val="21"/>
          <w:highlight w:val="none"/>
          <w:lang w:eastAsia="zh-CN"/>
        </w:rPr>
        <w:t>及</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约定应</w:t>
      </w:r>
      <w:r>
        <w:rPr>
          <w:rFonts w:hint="eastAsia" w:ascii="宋体" w:hAnsi="宋体" w:eastAsia="宋体" w:cs="宋体"/>
          <w:color w:val="auto"/>
          <w:sz w:val="21"/>
          <w:szCs w:val="21"/>
          <w:highlight w:val="none"/>
        </w:rPr>
        <w:t>由乙方承担的其他义务和责任。</w:t>
      </w:r>
    </w:p>
    <w:p w14:paraId="05C33D6D">
      <w:pPr>
        <w:numPr>
          <w:ilvl w:val="0"/>
          <w:numId w:val="24"/>
        </w:num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合同履</w:t>
      </w:r>
      <w:r>
        <w:rPr>
          <w:rFonts w:hint="eastAsia" w:ascii="宋体" w:hAnsi="宋体" w:eastAsia="宋体" w:cs="宋体"/>
          <w:b/>
          <w:bCs/>
          <w:color w:val="auto"/>
          <w:sz w:val="21"/>
          <w:szCs w:val="21"/>
          <w:highlight w:val="none"/>
          <w:lang w:val="en-US" w:eastAsia="zh-CN"/>
        </w:rPr>
        <w:t>行</w:t>
      </w:r>
    </w:p>
    <w:p w14:paraId="6A5EB34F">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.1 甲乙双方应当按照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约定顺序履行合同义务；如果没有先后顺序的，应当同时履行。</w:t>
      </w:r>
    </w:p>
    <w:p w14:paraId="17FFD744">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6</w:t>
      </w:r>
      <w:r>
        <w:rPr>
          <w:rFonts w:hint="eastAsia" w:ascii="宋体" w:hAnsi="宋体" w:eastAsia="宋体" w:cs="宋体"/>
          <w:color w:val="auto"/>
          <w:sz w:val="21"/>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435DD9BB">
      <w:pPr>
        <w:shd w:val="clea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7</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货物包装、运输</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保险</w:t>
      </w:r>
      <w:r>
        <w:rPr>
          <w:rFonts w:hint="eastAsia" w:ascii="宋体" w:hAnsi="宋体" w:eastAsia="宋体" w:cs="宋体"/>
          <w:b/>
          <w:bCs/>
          <w:color w:val="auto"/>
          <w:sz w:val="21"/>
          <w:szCs w:val="21"/>
          <w:highlight w:val="none"/>
          <w:lang w:eastAsia="zh-CN"/>
        </w:rPr>
        <w:t>和交付</w:t>
      </w:r>
      <w:r>
        <w:rPr>
          <w:rFonts w:hint="eastAsia" w:ascii="宋体" w:hAnsi="宋体" w:eastAsia="宋体" w:cs="宋体"/>
          <w:b/>
          <w:bCs/>
          <w:color w:val="auto"/>
          <w:sz w:val="21"/>
          <w:szCs w:val="21"/>
          <w:highlight w:val="none"/>
        </w:rPr>
        <w:t>要求</w:t>
      </w:r>
    </w:p>
    <w:p w14:paraId="2822081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.1 本合同</w:t>
      </w:r>
      <w:r>
        <w:rPr>
          <w:rFonts w:hint="eastAsia" w:ascii="宋体" w:hAnsi="宋体" w:eastAsia="宋体" w:cs="宋体"/>
          <w:bCs/>
          <w:color w:val="auto"/>
          <w:sz w:val="21"/>
          <w:szCs w:val="21"/>
          <w:highlight w:val="none"/>
        </w:rPr>
        <w:t>涉及商品包装</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快递包装的，</w:t>
      </w:r>
      <w:r>
        <w:rPr>
          <w:rFonts w:hint="eastAsia" w:ascii="宋体" w:hAnsi="宋体" w:eastAsia="宋体" w:cs="宋体"/>
          <w:color w:val="auto"/>
          <w:sz w:val="21"/>
          <w:szCs w:val="21"/>
          <w:highlight w:val="none"/>
        </w:rPr>
        <w:t>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w:t>
      </w:r>
      <w:r>
        <w:rPr>
          <w:rFonts w:hint="eastAsia" w:ascii="宋体" w:hAnsi="宋体" w:eastAsia="宋体" w:cs="宋体"/>
          <w:bCs/>
          <w:color w:val="auto"/>
          <w:sz w:val="21"/>
          <w:szCs w:val="21"/>
          <w:highlight w:val="none"/>
          <w:lang w:eastAsia="zh-CN"/>
        </w:rPr>
        <w:t>约</w:t>
      </w:r>
      <w:r>
        <w:rPr>
          <w:rFonts w:hint="eastAsia" w:ascii="宋体" w:hAnsi="宋体" w:eastAsia="宋体" w:cs="宋体"/>
          <w:bCs/>
          <w:color w:val="auto"/>
          <w:sz w:val="21"/>
          <w:szCs w:val="21"/>
          <w:highlight w:val="none"/>
        </w:rPr>
        <w:t>定</w:t>
      </w:r>
      <w:r>
        <w:rPr>
          <w:rFonts w:hint="eastAsia" w:ascii="宋体" w:hAnsi="宋体" w:eastAsia="宋体" w:cs="宋体"/>
          <w:bCs/>
          <w:color w:val="auto"/>
          <w:sz w:val="21"/>
          <w:szCs w:val="21"/>
          <w:highlight w:val="none"/>
          <w:lang w:eastAsia="zh-CN"/>
        </w:rPr>
        <w:t>外</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包装应适应远距离运输、防潮、防震、防锈和防野蛮装卸等要求，确保货物安全无损地运抵</w:t>
      </w:r>
      <w:r>
        <w:rPr>
          <w:rFonts w:hint="eastAsia" w:ascii="宋体" w:hAnsi="宋体" w:eastAsia="宋体" w:cs="宋体"/>
          <w:b/>
          <w:color w:val="auto"/>
          <w:sz w:val="21"/>
          <w:szCs w:val="21"/>
          <w:highlight w:val="none"/>
        </w:rPr>
        <w:t>【政府采购合同专用条款】</w:t>
      </w:r>
      <w:r>
        <w:rPr>
          <w:rFonts w:hint="eastAsia" w:ascii="宋体" w:hAnsi="宋体" w:eastAsia="宋体" w:cs="宋体"/>
          <w:b w:val="0"/>
          <w:bCs/>
          <w:color w:val="auto"/>
          <w:sz w:val="21"/>
          <w:szCs w:val="21"/>
          <w:highlight w:val="none"/>
          <w:lang w:eastAsia="zh-CN"/>
        </w:rPr>
        <w:t>约定的</w:t>
      </w:r>
      <w:r>
        <w:rPr>
          <w:rFonts w:hint="eastAsia" w:ascii="宋体" w:hAnsi="宋体" w:eastAsia="宋体" w:cs="宋体"/>
          <w:color w:val="auto"/>
          <w:sz w:val="21"/>
          <w:szCs w:val="21"/>
          <w:highlight w:val="none"/>
        </w:rPr>
        <w:t>指定现场。</w:t>
      </w:r>
    </w:p>
    <w:p w14:paraId="081133F6">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.2 除</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另有</w:t>
      </w:r>
      <w:r>
        <w:rPr>
          <w:rFonts w:hint="eastAsia" w:ascii="宋体" w:hAnsi="宋体" w:eastAsia="宋体" w:cs="宋体"/>
          <w:bCs/>
          <w:color w:val="auto"/>
          <w:sz w:val="21"/>
          <w:szCs w:val="21"/>
          <w:highlight w:val="none"/>
          <w:lang w:eastAsia="zh-CN"/>
        </w:rPr>
        <w:t>约</w:t>
      </w:r>
      <w:r>
        <w:rPr>
          <w:rFonts w:hint="eastAsia" w:ascii="宋体" w:hAnsi="宋体" w:eastAsia="宋体" w:cs="宋体"/>
          <w:bCs/>
          <w:color w:val="auto"/>
          <w:sz w:val="21"/>
          <w:szCs w:val="21"/>
          <w:highlight w:val="none"/>
        </w:rPr>
        <w:t>定</w:t>
      </w:r>
      <w:r>
        <w:rPr>
          <w:rFonts w:hint="eastAsia" w:ascii="宋体" w:hAnsi="宋体" w:eastAsia="宋体" w:cs="宋体"/>
          <w:bCs/>
          <w:color w:val="auto"/>
          <w:sz w:val="21"/>
          <w:szCs w:val="21"/>
          <w:highlight w:val="none"/>
          <w:lang w:eastAsia="zh-CN"/>
        </w:rPr>
        <w:t>外</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乙方负责办理将货物运抵本合同规定的交货地点</w:t>
      </w:r>
      <w:r>
        <w:rPr>
          <w:rFonts w:hint="eastAsia" w:ascii="宋体" w:hAnsi="宋体" w:eastAsia="宋体" w:cs="宋体"/>
          <w:color w:val="auto"/>
          <w:sz w:val="21"/>
          <w:szCs w:val="21"/>
          <w:highlight w:val="none"/>
          <w:lang w:eastAsia="zh-CN"/>
        </w:rPr>
        <w:t>，并装卸、交付至甲方</w:t>
      </w:r>
      <w:r>
        <w:rPr>
          <w:rFonts w:hint="eastAsia" w:ascii="宋体" w:hAnsi="宋体" w:eastAsia="宋体" w:cs="宋体"/>
          <w:color w:val="auto"/>
          <w:sz w:val="21"/>
          <w:szCs w:val="21"/>
          <w:highlight w:val="none"/>
        </w:rPr>
        <w:t>的一切运输事项，相关费用应</w:t>
      </w:r>
      <w:r>
        <w:rPr>
          <w:rFonts w:hint="eastAsia" w:ascii="宋体" w:hAnsi="宋体" w:eastAsia="宋体" w:cs="宋体"/>
          <w:color w:val="auto"/>
          <w:sz w:val="21"/>
          <w:szCs w:val="21"/>
          <w:highlight w:val="none"/>
          <w:lang w:eastAsia="zh-CN"/>
        </w:rPr>
        <w:t>包含</w:t>
      </w:r>
      <w:r>
        <w:rPr>
          <w:rFonts w:hint="eastAsia" w:ascii="宋体" w:hAnsi="宋体" w:eastAsia="宋体" w:cs="宋体"/>
          <w:color w:val="auto"/>
          <w:sz w:val="21"/>
          <w:szCs w:val="21"/>
          <w:highlight w:val="none"/>
        </w:rPr>
        <w:t>在合同</w:t>
      </w:r>
      <w:r>
        <w:rPr>
          <w:rFonts w:hint="eastAsia" w:ascii="宋体" w:hAnsi="宋体" w:eastAsia="宋体" w:cs="宋体"/>
          <w:color w:val="auto"/>
          <w:sz w:val="21"/>
          <w:szCs w:val="21"/>
          <w:highlight w:val="none"/>
          <w:lang w:eastAsia="zh-CN"/>
        </w:rPr>
        <w:t>价款</w:t>
      </w:r>
      <w:r>
        <w:rPr>
          <w:rFonts w:hint="eastAsia" w:ascii="宋体" w:hAnsi="宋体" w:eastAsia="宋体" w:cs="宋体"/>
          <w:color w:val="auto"/>
          <w:sz w:val="21"/>
          <w:szCs w:val="21"/>
          <w:highlight w:val="none"/>
        </w:rPr>
        <w:t>中。</w:t>
      </w:r>
    </w:p>
    <w:p w14:paraId="358BB803">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.3 货物保险要求按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规定执行</w:t>
      </w:r>
      <w:r>
        <w:rPr>
          <w:rFonts w:hint="eastAsia" w:ascii="宋体" w:hAnsi="宋体" w:eastAsia="宋体" w:cs="宋体"/>
          <w:color w:val="auto"/>
          <w:sz w:val="21"/>
          <w:szCs w:val="21"/>
          <w:highlight w:val="none"/>
        </w:rPr>
        <w:t>。</w:t>
      </w:r>
    </w:p>
    <w:p w14:paraId="78A6F90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7</w:t>
      </w:r>
      <w:r>
        <w:rPr>
          <w:rFonts w:hint="eastAsia" w:ascii="宋体" w:hAnsi="宋体" w:eastAsia="宋体" w:cs="宋体"/>
          <w:color w:val="auto"/>
          <w:sz w:val="21"/>
          <w:szCs w:val="21"/>
          <w:highlight w:val="none"/>
        </w:rPr>
        <w:t xml:space="preserve">.4 </w:t>
      </w:r>
      <w:r>
        <w:rPr>
          <w:rFonts w:hint="eastAsia" w:ascii="宋体" w:hAnsi="宋体" w:eastAsia="宋体" w:cs="宋体"/>
          <w:color w:val="auto"/>
          <w:sz w:val="21"/>
          <w:szCs w:val="21"/>
          <w:highlight w:val="none"/>
          <w:lang w:val="en-US" w:eastAsia="zh-CN"/>
        </w:rPr>
        <w:t>除采购活动</w:t>
      </w:r>
      <w:r>
        <w:rPr>
          <w:rFonts w:hint="eastAsia" w:ascii="宋体" w:hAnsi="宋体" w:eastAsia="宋体" w:cs="宋体"/>
          <w:color w:val="auto"/>
          <w:sz w:val="21"/>
          <w:szCs w:val="21"/>
          <w:highlight w:val="none"/>
        </w:rPr>
        <w:t>对商品包装</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快递包装</w:t>
      </w:r>
      <w:r>
        <w:rPr>
          <w:rFonts w:hint="eastAsia" w:ascii="宋体" w:hAnsi="宋体" w:eastAsia="宋体" w:cs="宋体"/>
          <w:color w:val="auto"/>
          <w:sz w:val="21"/>
          <w:szCs w:val="21"/>
          <w:highlight w:val="none"/>
          <w:lang w:val="en-US" w:eastAsia="zh-CN"/>
        </w:rPr>
        <w:t>达成具体约定外</w:t>
      </w:r>
      <w:r>
        <w:rPr>
          <w:rFonts w:hint="eastAsia" w:ascii="宋体" w:hAnsi="宋体" w:eastAsia="宋体" w:cs="宋体"/>
          <w:color w:val="auto"/>
          <w:sz w:val="21"/>
          <w:szCs w:val="21"/>
          <w:highlight w:val="none"/>
        </w:rPr>
        <w:t>，乙方提供产品及相关快递服务</w:t>
      </w:r>
      <w:r>
        <w:rPr>
          <w:rFonts w:hint="eastAsia" w:ascii="宋体" w:hAnsi="宋体" w:eastAsia="宋体" w:cs="宋体"/>
          <w:color w:val="auto"/>
          <w:sz w:val="21"/>
          <w:szCs w:val="21"/>
          <w:highlight w:val="none"/>
          <w:lang w:val="en-US" w:eastAsia="zh-CN"/>
        </w:rPr>
        <w:t>涉及到</w:t>
      </w:r>
      <w:r>
        <w:rPr>
          <w:rFonts w:hint="eastAsia" w:ascii="宋体" w:hAnsi="宋体" w:eastAsia="宋体" w:cs="宋体"/>
          <w:color w:val="auto"/>
          <w:sz w:val="21"/>
          <w:szCs w:val="21"/>
          <w:highlight w:val="none"/>
        </w:rPr>
        <w:t>具体包装要求</w:t>
      </w:r>
      <w:r>
        <w:rPr>
          <w:rFonts w:hint="eastAsia" w:ascii="宋体" w:hAnsi="宋体" w:eastAsia="宋体" w:cs="宋体"/>
          <w:color w:val="auto"/>
          <w:sz w:val="21"/>
          <w:szCs w:val="21"/>
          <w:highlight w:val="none"/>
          <w:lang w:val="en-US" w:eastAsia="zh-CN"/>
        </w:rPr>
        <w:t>的，</w:t>
      </w:r>
      <w:r>
        <w:rPr>
          <w:rFonts w:hint="eastAsia" w:ascii="宋体" w:hAnsi="宋体" w:eastAsia="宋体" w:cs="宋体"/>
          <w:color w:val="auto"/>
          <w:sz w:val="21"/>
          <w:szCs w:val="21"/>
          <w:highlight w:val="none"/>
        </w:rPr>
        <w:t>应</w:t>
      </w:r>
      <w:r>
        <w:rPr>
          <w:rFonts w:hint="eastAsia" w:ascii="宋体" w:hAnsi="宋体" w:eastAsia="宋体" w:cs="宋体"/>
          <w:color w:val="auto"/>
          <w:sz w:val="21"/>
          <w:szCs w:val="21"/>
          <w:highlight w:val="none"/>
          <w:lang w:val="en-US" w:eastAsia="zh-CN"/>
        </w:rPr>
        <w:t>不低于</w:t>
      </w:r>
      <w:r>
        <w:rPr>
          <w:rFonts w:hint="eastAsia" w:ascii="宋体" w:hAnsi="宋体" w:eastAsia="宋体" w:cs="宋体"/>
          <w:color w:val="auto"/>
          <w:sz w:val="21"/>
          <w:szCs w:val="21"/>
          <w:highlight w:val="none"/>
        </w:rPr>
        <w:t>《商品包装政府采购需求标准（试行）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快递包装政府采购需求标准（试行）》</w:t>
      </w:r>
      <w:r>
        <w:rPr>
          <w:rFonts w:hint="eastAsia" w:ascii="宋体" w:hAnsi="宋体" w:eastAsia="宋体" w:cs="宋体"/>
          <w:color w:val="auto"/>
          <w:sz w:val="21"/>
          <w:szCs w:val="21"/>
          <w:highlight w:val="none"/>
          <w:lang w:val="en-US" w:eastAsia="zh-CN"/>
        </w:rPr>
        <w:t>标准</w:t>
      </w:r>
      <w:r>
        <w:rPr>
          <w:rFonts w:hint="eastAsia" w:ascii="宋体" w:hAnsi="宋体" w:eastAsia="宋体" w:cs="宋体"/>
          <w:color w:val="auto"/>
          <w:sz w:val="21"/>
          <w:szCs w:val="21"/>
          <w:highlight w:val="none"/>
        </w:rPr>
        <w:t>，并作为履约验收的内容，必要时甲方可以要求乙方在履约验收环节出具检测报告。</w:t>
      </w:r>
    </w:p>
    <w:p w14:paraId="4BEC32FA">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7.5 </w:t>
      </w:r>
      <w:r>
        <w:rPr>
          <w:rFonts w:hint="eastAsia" w:ascii="宋体" w:hAnsi="宋体" w:eastAsia="宋体" w:cs="宋体"/>
          <w:color w:val="auto"/>
          <w:sz w:val="21"/>
          <w:szCs w:val="21"/>
          <w:highlight w:val="none"/>
        </w:rPr>
        <w:t>乙方在运输到达之前</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提前通知</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，并提示货物运输装卸的注意事项</w:t>
      </w:r>
      <w:r>
        <w:rPr>
          <w:rFonts w:hint="eastAsia" w:ascii="宋体" w:hAnsi="宋体" w:eastAsia="宋体" w:cs="宋体"/>
          <w:color w:val="auto"/>
          <w:sz w:val="21"/>
          <w:szCs w:val="21"/>
          <w:highlight w:val="none"/>
          <w:lang w:eastAsia="zh-CN"/>
        </w:rPr>
        <w:t>，甲方配合乙方做好货物的接收工作。</w:t>
      </w:r>
    </w:p>
    <w:p w14:paraId="16242720">
      <w:pPr>
        <w:pStyle w:val="402"/>
        <w:shd w:val="clea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2"/>
          <w:sz w:val="21"/>
          <w:szCs w:val="21"/>
          <w:highlight w:val="none"/>
          <w:lang w:val="en-US" w:eastAsia="zh-CN"/>
        </w:rPr>
        <w:t xml:space="preserve">7.6 </w:t>
      </w:r>
      <w:r>
        <w:rPr>
          <w:rFonts w:hint="eastAsia" w:ascii="宋体" w:hAnsi="宋体" w:eastAsia="宋体" w:cs="宋体"/>
          <w:color w:val="auto"/>
          <w:kern w:val="2"/>
          <w:sz w:val="21"/>
          <w:szCs w:val="21"/>
          <w:highlight w:val="none"/>
        </w:rPr>
        <w:t>如因包装</w:t>
      </w:r>
      <w:r>
        <w:rPr>
          <w:rFonts w:hint="eastAsia" w:ascii="宋体" w:hAnsi="宋体" w:eastAsia="宋体" w:cs="宋体"/>
          <w:color w:val="auto"/>
          <w:kern w:val="2"/>
          <w:sz w:val="21"/>
          <w:szCs w:val="21"/>
          <w:highlight w:val="none"/>
          <w:lang w:eastAsia="zh-CN"/>
        </w:rPr>
        <w:t>、运输</w:t>
      </w:r>
      <w:r>
        <w:rPr>
          <w:rFonts w:hint="eastAsia" w:ascii="宋体" w:hAnsi="宋体" w:eastAsia="宋体" w:cs="宋体"/>
          <w:color w:val="auto"/>
          <w:kern w:val="2"/>
          <w:sz w:val="21"/>
          <w:szCs w:val="21"/>
          <w:highlight w:val="none"/>
        </w:rPr>
        <w:t>问题导致货物</w:t>
      </w:r>
      <w:r>
        <w:rPr>
          <w:rFonts w:hint="eastAsia" w:ascii="宋体" w:hAnsi="宋体" w:eastAsia="宋体" w:cs="宋体"/>
          <w:color w:val="auto"/>
          <w:kern w:val="2"/>
          <w:sz w:val="21"/>
          <w:szCs w:val="21"/>
          <w:highlight w:val="none"/>
          <w:lang w:eastAsia="zh-CN"/>
        </w:rPr>
        <w:t>损毁、丢失</w:t>
      </w:r>
      <w:r>
        <w:rPr>
          <w:rFonts w:hint="eastAsia" w:ascii="宋体" w:hAnsi="宋体" w:eastAsia="宋体" w:cs="宋体"/>
          <w:color w:val="auto"/>
          <w:kern w:val="2"/>
          <w:sz w:val="21"/>
          <w:szCs w:val="21"/>
          <w:highlight w:val="none"/>
        </w:rPr>
        <w:t>或者品质下降，</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有权要求降价、换货、拒收部分或整批货物，由此</w:t>
      </w:r>
      <w:r>
        <w:rPr>
          <w:rFonts w:hint="eastAsia" w:ascii="宋体" w:hAnsi="宋体" w:eastAsia="宋体" w:cs="宋体"/>
          <w:color w:val="auto"/>
          <w:kern w:val="2"/>
          <w:sz w:val="21"/>
          <w:szCs w:val="21"/>
          <w:highlight w:val="none"/>
          <w:lang w:eastAsia="zh-CN"/>
        </w:rPr>
        <w:t>产生</w:t>
      </w:r>
      <w:r>
        <w:rPr>
          <w:rFonts w:hint="eastAsia" w:ascii="宋体" w:hAnsi="宋体" w:eastAsia="宋体" w:cs="宋体"/>
          <w:color w:val="auto"/>
          <w:kern w:val="2"/>
          <w:sz w:val="21"/>
          <w:szCs w:val="21"/>
          <w:highlight w:val="none"/>
        </w:rPr>
        <w:t>的费用和损失，均由</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承担。</w:t>
      </w:r>
    </w:p>
    <w:p w14:paraId="74849751">
      <w:pPr>
        <w:shd w:val="clear"/>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eastAsia="zh-CN"/>
        </w:rPr>
        <w:t>8</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质量标准和保证</w:t>
      </w:r>
    </w:p>
    <w:p w14:paraId="2E0FA3FD">
      <w:pPr>
        <w:pStyle w:val="29"/>
        <w:shd w:val="clear"/>
        <w:adjustRightInd w:val="0"/>
        <w:snapToGrid w:val="0"/>
        <w:spacing w:before="0" w:line="400" w:lineRule="exact"/>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.1 质量标准</w:t>
      </w:r>
    </w:p>
    <w:p w14:paraId="6A131DF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（1）本合同下</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w:t>
      </w:r>
      <w:r>
        <w:rPr>
          <w:rFonts w:hint="eastAsia" w:ascii="宋体" w:hAnsi="宋体" w:eastAsia="宋体" w:cs="宋体"/>
          <w:color w:val="auto"/>
          <w:sz w:val="21"/>
          <w:szCs w:val="21"/>
          <w:highlight w:val="none"/>
          <w:lang w:eastAsia="zh-CN"/>
        </w:rPr>
        <w:t>合同约</w:t>
      </w:r>
      <w:r>
        <w:rPr>
          <w:rFonts w:hint="eastAsia" w:ascii="宋体" w:hAnsi="宋体" w:eastAsia="宋体" w:cs="宋体"/>
          <w:color w:val="auto"/>
          <w:sz w:val="21"/>
          <w:szCs w:val="21"/>
          <w:highlight w:val="none"/>
        </w:rPr>
        <w:t>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1"/>
          <w:szCs w:val="21"/>
          <w:highlight w:val="none"/>
          <w:lang w:eastAsia="zh-CN"/>
        </w:rPr>
        <w:t>。</w:t>
      </w:r>
    </w:p>
    <w:p w14:paraId="2FF1762D">
      <w:pPr>
        <w:pStyle w:val="29"/>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（2）采用中华人民共和国法定计量单位。</w:t>
      </w:r>
    </w:p>
    <w:p w14:paraId="3127A850">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的货物应符合国家有关安全、环保、卫生</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规定。</w:t>
      </w:r>
    </w:p>
    <w:p w14:paraId="3D8B8F86">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（4）乙方应向甲方提交所</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货物的技术文件，包括相应的中文技术文件，如：产品目录、图纸、操作手册、使用说明、维护手册或服务指南</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上述</w:t>
      </w:r>
      <w:r>
        <w:rPr>
          <w:rFonts w:hint="eastAsia" w:ascii="宋体" w:hAnsi="宋体" w:eastAsia="宋体" w:cs="宋体"/>
          <w:color w:val="auto"/>
          <w:sz w:val="21"/>
          <w:szCs w:val="21"/>
          <w:highlight w:val="none"/>
        </w:rPr>
        <w:t>文件应包装好随货物一同发运。</w:t>
      </w:r>
    </w:p>
    <w:p w14:paraId="4B1F5082">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.2 保证</w:t>
      </w:r>
    </w:p>
    <w:p w14:paraId="236A1443">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（1）乙方应保证</w:t>
      </w:r>
      <w:r>
        <w:rPr>
          <w:rFonts w:hint="eastAsia" w:ascii="宋体" w:hAnsi="宋体" w:eastAsia="宋体" w:cs="宋体"/>
          <w:color w:val="auto"/>
          <w:sz w:val="21"/>
          <w:szCs w:val="21"/>
          <w:highlight w:val="none"/>
          <w:lang w:eastAsia="zh-CN"/>
        </w:rPr>
        <w:t>提供的货物</w:t>
      </w:r>
      <w:r>
        <w:rPr>
          <w:rFonts w:hint="eastAsia" w:ascii="宋体" w:hAnsi="宋体" w:eastAsia="宋体" w:cs="宋体"/>
          <w:color w:val="auto"/>
          <w:sz w:val="21"/>
          <w:szCs w:val="21"/>
          <w:highlight w:val="none"/>
        </w:rPr>
        <w:t>完全符合合同规定的质量、规格和性能要求。乙方应保证货物在正确安装、正常使用和保养条件下，在其使用寿命期内具</w:t>
      </w:r>
      <w:r>
        <w:rPr>
          <w:rFonts w:hint="eastAsia" w:ascii="宋体" w:hAnsi="宋体" w:eastAsia="宋体" w:cs="宋体"/>
          <w:color w:val="auto"/>
          <w:sz w:val="21"/>
          <w:szCs w:val="21"/>
          <w:highlight w:val="none"/>
          <w:lang w:eastAsia="zh-CN"/>
        </w:rPr>
        <w:t>备合同约定</w:t>
      </w:r>
      <w:r>
        <w:rPr>
          <w:rFonts w:hint="eastAsia" w:ascii="宋体" w:hAnsi="宋体" w:eastAsia="宋体" w:cs="宋体"/>
          <w:color w:val="auto"/>
          <w:sz w:val="21"/>
          <w:szCs w:val="21"/>
          <w:highlight w:val="none"/>
        </w:rPr>
        <w:t>的性能。</w:t>
      </w:r>
      <w:r>
        <w:rPr>
          <w:rFonts w:hint="eastAsia" w:ascii="宋体" w:hAnsi="宋体" w:eastAsia="宋体" w:cs="宋体"/>
          <w:color w:val="auto"/>
          <w:sz w:val="21"/>
          <w:szCs w:val="21"/>
          <w:highlight w:val="none"/>
          <w:lang w:eastAsia="zh-CN"/>
        </w:rPr>
        <w:t>存在</w:t>
      </w:r>
      <w:r>
        <w:rPr>
          <w:rFonts w:hint="eastAsia" w:ascii="宋体" w:hAnsi="宋体" w:eastAsia="宋体" w:cs="宋体"/>
          <w:color w:val="auto"/>
          <w:sz w:val="21"/>
          <w:szCs w:val="21"/>
          <w:highlight w:val="none"/>
        </w:rPr>
        <w:t>质量保证期的，货物最终交付验收</w:t>
      </w:r>
      <w:r>
        <w:rPr>
          <w:rFonts w:hint="eastAsia" w:ascii="宋体" w:hAnsi="宋体" w:eastAsia="宋体" w:cs="宋体"/>
          <w:color w:val="auto"/>
          <w:sz w:val="21"/>
          <w:szCs w:val="21"/>
          <w:highlight w:val="none"/>
          <w:lang w:eastAsia="zh-CN"/>
        </w:rPr>
        <w:t>合格</w:t>
      </w:r>
      <w:r>
        <w:rPr>
          <w:rFonts w:hint="eastAsia" w:ascii="宋体" w:hAnsi="宋体" w:eastAsia="宋体" w:cs="宋体"/>
          <w:color w:val="auto"/>
          <w:sz w:val="21"/>
          <w:szCs w:val="21"/>
          <w:highlight w:val="none"/>
        </w:rPr>
        <w:t>后</w:t>
      </w:r>
      <w:r>
        <w:rPr>
          <w:rFonts w:hint="eastAsia" w:ascii="宋体" w:hAnsi="宋体" w:eastAsia="宋体" w:cs="宋体"/>
          <w:color w:val="auto"/>
          <w:sz w:val="21"/>
          <w:szCs w:val="21"/>
          <w:highlight w:val="none"/>
          <w:lang w:eastAsia="zh-CN"/>
        </w:rPr>
        <w:t>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规定或乙方</w:t>
      </w:r>
      <w:r>
        <w:rPr>
          <w:rFonts w:hint="eastAsia" w:ascii="宋体" w:hAnsi="宋体" w:eastAsia="宋体" w:cs="宋体"/>
          <w:color w:val="auto"/>
          <w:sz w:val="21"/>
          <w:szCs w:val="21"/>
          <w:highlight w:val="none"/>
          <w:lang w:eastAsia="zh-CN"/>
        </w:rPr>
        <w:t>书面</w:t>
      </w:r>
      <w:r>
        <w:rPr>
          <w:rFonts w:hint="eastAsia" w:ascii="宋体" w:hAnsi="宋体" w:eastAsia="宋体" w:cs="宋体"/>
          <w:color w:val="auto"/>
          <w:sz w:val="21"/>
          <w:szCs w:val="21"/>
          <w:highlight w:val="none"/>
        </w:rPr>
        <w:t>承诺（两者以较长的为准）的质量保证期内，本保证保持有效。</w:t>
      </w:r>
    </w:p>
    <w:p w14:paraId="7E14063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（2）在质量保证期内所发现的缺陷，甲方应尽快以书面形式通知乙方。</w:t>
      </w:r>
    </w:p>
    <w:p w14:paraId="3A0AF90C">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（3）乙方收到通知后</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应在</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规定的响应时间内以合理的速度免费维修或更换有缺陷的货物或部件。</w:t>
      </w:r>
    </w:p>
    <w:p w14:paraId="51233F24">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.1条规定以书面形式</w:t>
      </w:r>
      <w:r>
        <w:rPr>
          <w:rFonts w:hint="eastAsia" w:ascii="宋体" w:hAnsi="宋体" w:eastAsia="宋体" w:cs="宋体"/>
          <w:color w:val="auto"/>
          <w:sz w:val="21"/>
          <w:szCs w:val="21"/>
          <w:highlight w:val="none"/>
          <w:lang w:eastAsia="zh-CN"/>
        </w:rPr>
        <w:t>追究</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的违约责任</w:t>
      </w:r>
      <w:r>
        <w:rPr>
          <w:rFonts w:hint="eastAsia" w:ascii="宋体" w:hAnsi="宋体" w:eastAsia="宋体" w:cs="宋体"/>
          <w:color w:val="auto"/>
          <w:sz w:val="21"/>
          <w:szCs w:val="21"/>
          <w:highlight w:val="none"/>
        </w:rPr>
        <w:t>。</w:t>
      </w:r>
    </w:p>
    <w:p w14:paraId="78603C08">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对乙方行使的其他权利不受影响。</w:t>
      </w:r>
    </w:p>
    <w:p w14:paraId="7353E2CC">
      <w:pPr>
        <w:shd w:val="clea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权利瑕疵担保</w:t>
      </w:r>
    </w:p>
    <w:p w14:paraId="3A7C8D41">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.1 乙方保证对其出售的货物享有合法的权利。</w:t>
      </w:r>
    </w:p>
    <w:p w14:paraId="75A474B5">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.2 乙方保证在交付的货物上不存在抵押权等担保物权。</w:t>
      </w:r>
    </w:p>
    <w:p w14:paraId="73E65143">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9</w:t>
      </w:r>
      <w:r>
        <w:rPr>
          <w:rFonts w:hint="eastAsia" w:ascii="宋体" w:hAnsi="宋体" w:eastAsia="宋体" w:cs="宋体"/>
          <w:color w:val="auto"/>
          <w:sz w:val="21"/>
          <w:szCs w:val="21"/>
          <w:highlight w:val="none"/>
        </w:rPr>
        <w:t>.3 如甲方使用</w:t>
      </w:r>
      <w:r>
        <w:rPr>
          <w:rFonts w:hint="eastAsia" w:ascii="宋体" w:hAnsi="宋体" w:eastAsia="宋体" w:cs="宋体"/>
          <w:color w:val="auto"/>
          <w:sz w:val="21"/>
          <w:szCs w:val="21"/>
          <w:highlight w:val="none"/>
          <w:lang w:val="en-US" w:eastAsia="zh-CN"/>
        </w:rPr>
        <w:t>上述</w:t>
      </w:r>
      <w:r>
        <w:rPr>
          <w:rFonts w:hint="eastAsia" w:ascii="宋体" w:hAnsi="宋体" w:eastAsia="宋体" w:cs="宋体"/>
          <w:color w:val="auto"/>
          <w:sz w:val="21"/>
          <w:szCs w:val="21"/>
          <w:highlight w:val="none"/>
        </w:rPr>
        <w:t>货物构成</w:t>
      </w:r>
      <w:r>
        <w:rPr>
          <w:rFonts w:hint="eastAsia" w:ascii="宋体" w:hAnsi="宋体" w:eastAsia="宋体" w:cs="宋体"/>
          <w:color w:val="auto"/>
          <w:sz w:val="21"/>
          <w:szCs w:val="21"/>
          <w:highlight w:val="none"/>
          <w:lang w:val="en-US" w:eastAsia="zh-CN"/>
        </w:rPr>
        <w:t>对第三人</w:t>
      </w:r>
      <w:r>
        <w:rPr>
          <w:rFonts w:hint="eastAsia" w:ascii="宋体" w:hAnsi="宋体" w:eastAsia="宋体" w:cs="宋体"/>
          <w:color w:val="auto"/>
          <w:sz w:val="21"/>
          <w:szCs w:val="21"/>
          <w:highlight w:val="none"/>
        </w:rPr>
        <w:t>侵权的，则由乙方承担全部责任。</w:t>
      </w:r>
    </w:p>
    <w:p w14:paraId="172DE677">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0</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知识产权保护</w:t>
      </w:r>
    </w:p>
    <w:p w14:paraId="797605BE">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0</w:t>
      </w:r>
      <w:r>
        <w:rPr>
          <w:rFonts w:hint="eastAsia" w:ascii="宋体" w:hAnsi="宋体" w:eastAsia="宋体" w:cs="宋体"/>
          <w:color w:val="auto"/>
          <w:sz w:val="21"/>
          <w:szCs w:val="21"/>
          <w:highlight w:val="none"/>
        </w:rPr>
        <w:t>.1 乙方对其所销售的货物应当享有知识产权或经权利人合法授权，保证没有侵犯任何第三人的知识产权等权利。</w:t>
      </w:r>
      <w:bookmarkStart w:id="52" w:name="_Hlk163047038"/>
      <w:r>
        <w:rPr>
          <w:rFonts w:hint="eastAsia" w:ascii="宋体" w:hAnsi="宋体" w:eastAsia="宋体" w:cs="宋体"/>
          <w:color w:val="auto"/>
          <w:sz w:val="21"/>
          <w:szCs w:val="21"/>
          <w:highlight w:val="none"/>
        </w:rPr>
        <w:t>因违反前述约定对第三人构成侵权的，应当由乙方向第三人承担法律责任；甲方依法向第三人赔偿后，有权向乙方追偿。甲方有其他损失的，乙方应当赔偿</w:t>
      </w:r>
      <w:bookmarkEnd w:id="52"/>
      <w:r>
        <w:rPr>
          <w:rFonts w:hint="eastAsia" w:ascii="宋体" w:hAnsi="宋体" w:eastAsia="宋体" w:cs="宋体"/>
          <w:color w:val="auto"/>
          <w:sz w:val="21"/>
          <w:szCs w:val="21"/>
          <w:highlight w:val="none"/>
        </w:rPr>
        <w:t>。</w:t>
      </w:r>
    </w:p>
    <w:p w14:paraId="3A26D569">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保密义务</w:t>
      </w:r>
    </w:p>
    <w:p w14:paraId="75127684">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11.1 </w:t>
      </w:r>
      <w:r>
        <w:rPr>
          <w:rFonts w:hint="eastAsia" w:ascii="宋体" w:hAnsi="宋体" w:eastAsia="宋体" w:cs="宋体"/>
          <w:color w:val="auto"/>
          <w:sz w:val="21"/>
          <w:szCs w:val="21"/>
          <w:highlight w:val="none"/>
        </w:rPr>
        <w:t>甲、乙双方</w:t>
      </w:r>
      <w:r>
        <w:rPr>
          <w:rFonts w:hint="eastAsia" w:ascii="宋体" w:hAnsi="宋体" w:eastAsia="宋体" w:cs="宋体"/>
          <w:color w:val="auto"/>
          <w:sz w:val="21"/>
          <w:szCs w:val="21"/>
          <w:highlight w:val="none"/>
          <w:lang w:eastAsia="zh-CN"/>
        </w:rPr>
        <w:t>对</w:t>
      </w:r>
      <w:r>
        <w:rPr>
          <w:rFonts w:hint="eastAsia" w:ascii="宋体" w:hAnsi="宋体" w:eastAsia="宋体" w:cs="宋体"/>
          <w:color w:val="auto"/>
          <w:sz w:val="21"/>
          <w:szCs w:val="21"/>
          <w:highlight w:val="none"/>
        </w:rPr>
        <w:t>采购和合同履行过程中所获悉的</w:t>
      </w:r>
      <w:r>
        <w:rPr>
          <w:rFonts w:hint="eastAsia" w:ascii="宋体" w:hAnsi="宋体" w:eastAsia="宋体" w:cs="宋体"/>
          <w:color w:val="auto"/>
          <w:sz w:val="21"/>
          <w:szCs w:val="21"/>
          <w:highlight w:val="none"/>
          <w:lang w:eastAsia="zh-CN"/>
        </w:rPr>
        <w:t>国家秘密、工作秘密、</w:t>
      </w:r>
      <w:r>
        <w:rPr>
          <w:rFonts w:hint="eastAsia" w:ascii="宋体" w:hAnsi="宋体" w:eastAsia="宋体" w:cs="宋体"/>
          <w:color w:val="auto"/>
          <w:sz w:val="21"/>
          <w:szCs w:val="21"/>
          <w:highlight w:val="none"/>
        </w:rPr>
        <w:t>商业秘密或者其他应当保密的信息，均有保密义务</w:t>
      </w:r>
      <w:r>
        <w:rPr>
          <w:rFonts w:hint="eastAsia" w:ascii="宋体" w:hAnsi="宋体" w:eastAsia="宋体" w:cs="宋体"/>
          <w:color w:val="auto"/>
          <w:sz w:val="21"/>
          <w:szCs w:val="21"/>
          <w:highlight w:val="none"/>
          <w:lang w:eastAsia="zh-CN"/>
        </w:rPr>
        <w:t>且不受合同有效期所限，直至该信息成为公开信息</w:t>
      </w:r>
      <w:r>
        <w:rPr>
          <w:rFonts w:hint="eastAsia" w:ascii="宋体" w:hAnsi="宋体" w:eastAsia="宋体" w:cs="宋体"/>
          <w:color w:val="auto"/>
          <w:sz w:val="21"/>
          <w:szCs w:val="21"/>
          <w:highlight w:val="none"/>
        </w:rPr>
        <w:t>。泄露、不正当地使用</w:t>
      </w:r>
      <w:r>
        <w:rPr>
          <w:rFonts w:hint="eastAsia" w:ascii="宋体" w:hAnsi="宋体" w:eastAsia="宋体" w:cs="宋体"/>
          <w:color w:val="auto"/>
          <w:sz w:val="21"/>
          <w:szCs w:val="21"/>
          <w:highlight w:val="none"/>
          <w:lang w:eastAsia="zh-CN"/>
        </w:rPr>
        <w:t>国家秘密、工作秘密、</w:t>
      </w:r>
      <w:r>
        <w:rPr>
          <w:rFonts w:hint="eastAsia" w:ascii="宋体" w:hAnsi="宋体" w:eastAsia="宋体" w:cs="宋体"/>
          <w:color w:val="auto"/>
          <w:sz w:val="21"/>
          <w:szCs w:val="21"/>
          <w:highlight w:val="none"/>
        </w:rPr>
        <w:t>商业秘密或者</w:t>
      </w:r>
      <w:r>
        <w:rPr>
          <w:rFonts w:hint="eastAsia" w:ascii="宋体" w:hAnsi="宋体" w:eastAsia="宋体" w:cs="宋体"/>
          <w:color w:val="auto"/>
          <w:sz w:val="21"/>
          <w:szCs w:val="21"/>
          <w:highlight w:val="none"/>
          <w:lang w:eastAsia="zh-CN"/>
        </w:rPr>
        <w:t>其他应当保密的</w:t>
      </w:r>
      <w:r>
        <w:rPr>
          <w:rFonts w:hint="eastAsia" w:ascii="宋体" w:hAnsi="宋体" w:eastAsia="宋体" w:cs="宋体"/>
          <w:color w:val="auto"/>
          <w:sz w:val="21"/>
          <w:szCs w:val="21"/>
          <w:highlight w:val="none"/>
        </w:rPr>
        <w:t>信息，应当承担</w:t>
      </w:r>
      <w:r>
        <w:rPr>
          <w:rFonts w:hint="eastAsia" w:ascii="宋体" w:hAnsi="宋体" w:eastAsia="宋体" w:cs="宋体"/>
          <w:color w:val="auto"/>
          <w:sz w:val="21"/>
          <w:szCs w:val="21"/>
          <w:highlight w:val="none"/>
          <w:lang w:eastAsia="zh-CN"/>
        </w:rPr>
        <w:t>相应</w:t>
      </w:r>
      <w:r>
        <w:rPr>
          <w:rFonts w:hint="eastAsia" w:ascii="宋体" w:hAnsi="宋体" w:eastAsia="宋体" w:cs="宋体"/>
          <w:color w:val="auto"/>
          <w:sz w:val="21"/>
          <w:szCs w:val="21"/>
          <w:highlight w:val="none"/>
        </w:rPr>
        <w:t>责任。其他应当保密的信息由双方在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中约定。</w:t>
      </w:r>
    </w:p>
    <w:p w14:paraId="71EA7A9B">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2</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合同价款支付</w:t>
      </w:r>
    </w:p>
    <w:p w14:paraId="640A06CA">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2</w:t>
      </w: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lang w:eastAsia="zh-CN"/>
        </w:rPr>
        <w:t>合同价款支付</w:t>
      </w:r>
      <w:r>
        <w:rPr>
          <w:rFonts w:hint="eastAsia" w:ascii="宋体" w:hAnsi="宋体" w:eastAsia="宋体" w:cs="宋体"/>
          <w:color w:val="auto"/>
          <w:sz w:val="21"/>
          <w:szCs w:val="21"/>
          <w:highlight w:val="none"/>
        </w:rPr>
        <w:t>按照国库集中支付</w:t>
      </w:r>
      <w:r>
        <w:rPr>
          <w:rFonts w:hint="eastAsia" w:ascii="宋体" w:hAnsi="宋体" w:eastAsia="宋体" w:cs="宋体"/>
          <w:color w:val="auto"/>
          <w:sz w:val="21"/>
          <w:szCs w:val="21"/>
          <w:highlight w:val="none"/>
          <w:lang w:eastAsia="zh-CN"/>
        </w:rPr>
        <w:t>制度及财政管理相关</w:t>
      </w:r>
      <w:r>
        <w:rPr>
          <w:rFonts w:hint="eastAsia" w:ascii="宋体" w:hAnsi="宋体" w:eastAsia="宋体" w:cs="宋体"/>
          <w:color w:val="auto"/>
          <w:sz w:val="21"/>
          <w:szCs w:val="21"/>
          <w:highlight w:val="none"/>
        </w:rPr>
        <w:t>规定执行。</w:t>
      </w:r>
    </w:p>
    <w:p w14:paraId="78498E0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12.2 对于满足合同约定支付条件的，甲方原则上应当自收到发票后10个工作日内将资金支付到合同约定的乙方账户，不得以机构变动、人员更替、政策调整等为由迟延付款，不得将采购文件和合同中未规定的义务作为</w:t>
      </w:r>
      <w:r>
        <w:rPr>
          <w:rFonts w:hint="eastAsia" w:ascii="宋体" w:hAnsi="宋体" w:eastAsia="宋体" w:cs="宋体"/>
          <w:color w:val="auto"/>
          <w:sz w:val="21"/>
          <w:szCs w:val="21"/>
          <w:highlight w:val="none"/>
        </w:rPr>
        <w:t>向</w:t>
      </w:r>
      <w:r>
        <w:rPr>
          <w:rFonts w:hint="eastAsia" w:ascii="宋体" w:hAnsi="宋体" w:eastAsia="宋体" w:cs="宋体"/>
          <w:color w:val="auto"/>
          <w:sz w:val="21"/>
          <w:szCs w:val="21"/>
          <w:highlight w:val="none"/>
          <w:lang w:val="en-US" w:eastAsia="zh-CN"/>
        </w:rPr>
        <w:t>乙方</w:t>
      </w:r>
      <w:r>
        <w:rPr>
          <w:rFonts w:hint="eastAsia" w:ascii="宋体" w:hAnsi="宋体" w:eastAsia="宋体" w:cs="宋体"/>
          <w:color w:val="auto"/>
          <w:sz w:val="21"/>
          <w:szCs w:val="21"/>
          <w:highlight w:val="none"/>
        </w:rPr>
        <w:t>付款的条件。具体合同价款支付时间在【政府采购合同专用条款】中</w:t>
      </w:r>
      <w:r>
        <w:rPr>
          <w:rFonts w:hint="eastAsia" w:ascii="宋体" w:hAnsi="宋体" w:eastAsia="宋体" w:cs="宋体"/>
          <w:color w:val="auto"/>
          <w:sz w:val="21"/>
          <w:szCs w:val="21"/>
          <w:highlight w:val="none"/>
          <w:lang w:eastAsia="zh-CN"/>
        </w:rPr>
        <w:t>约</w:t>
      </w:r>
      <w:r>
        <w:rPr>
          <w:rFonts w:hint="eastAsia" w:ascii="宋体" w:hAnsi="宋体" w:eastAsia="宋体" w:cs="宋体"/>
          <w:color w:val="auto"/>
          <w:sz w:val="21"/>
          <w:szCs w:val="21"/>
          <w:highlight w:val="none"/>
        </w:rPr>
        <w:t>定。</w:t>
      </w:r>
    </w:p>
    <w:p w14:paraId="0F9490C1">
      <w:pPr>
        <w:pStyle w:val="23"/>
        <w:shd w:val="clear"/>
        <w:spacing w:after="0" w:line="40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3</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履约保证金</w:t>
      </w:r>
    </w:p>
    <w:p w14:paraId="303FBE9E">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.1 乙方应当以支票、汇票、本票或者金融机构、担保机构出具的保函等非现金形式提交。</w:t>
      </w:r>
    </w:p>
    <w:p w14:paraId="4A70BBE7">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.2 如果乙方</w:t>
      </w:r>
      <w:r>
        <w:rPr>
          <w:rFonts w:hint="eastAsia" w:ascii="宋体" w:hAnsi="宋体" w:eastAsia="宋体" w:cs="宋体"/>
          <w:color w:val="auto"/>
          <w:sz w:val="21"/>
          <w:szCs w:val="21"/>
          <w:highlight w:val="none"/>
          <w:lang w:eastAsia="zh-CN"/>
        </w:rPr>
        <w:t>出现</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b w:val="0"/>
          <w:bCs w:val="0"/>
          <w:color w:val="auto"/>
          <w:sz w:val="21"/>
          <w:szCs w:val="21"/>
          <w:highlight w:val="none"/>
          <w:lang w:eastAsia="zh-CN"/>
        </w:rPr>
        <w:t>约定情形的</w:t>
      </w:r>
      <w:r>
        <w:rPr>
          <w:rFonts w:hint="eastAsia" w:ascii="宋体" w:hAnsi="宋体" w:eastAsia="宋体" w:cs="宋体"/>
          <w:color w:val="auto"/>
          <w:sz w:val="21"/>
          <w:szCs w:val="21"/>
          <w:highlight w:val="none"/>
        </w:rPr>
        <w:t>，履约保证金不予退还；如果乙方未能按合同约定全面履行义务，甲方有权从履约保证金中取得补偿或赔偿，</w:t>
      </w:r>
      <w:r>
        <w:rPr>
          <w:rFonts w:hint="eastAsia" w:ascii="宋体" w:hAnsi="宋体" w:eastAsia="宋体" w:cs="宋体"/>
          <w:color w:val="auto"/>
          <w:sz w:val="21"/>
          <w:szCs w:val="21"/>
          <w:highlight w:val="none"/>
          <w:lang w:eastAsia="zh-CN"/>
        </w:rPr>
        <w:t>且</w:t>
      </w:r>
      <w:r>
        <w:rPr>
          <w:rFonts w:hint="eastAsia" w:ascii="宋体" w:hAnsi="宋体" w:eastAsia="宋体" w:cs="宋体"/>
          <w:color w:val="auto"/>
          <w:sz w:val="21"/>
          <w:szCs w:val="21"/>
          <w:highlight w:val="none"/>
        </w:rPr>
        <w:t>不影响甲方要求乙方承担合同约定的超过履约保证金的违约责任的权利。</w:t>
      </w:r>
    </w:p>
    <w:p w14:paraId="321ED519">
      <w:pPr>
        <w:shd w:val="clear"/>
        <w:spacing w:line="40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3</w:t>
      </w:r>
      <w:r>
        <w:rPr>
          <w:rFonts w:hint="eastAsia" w:ascii="宋体" w:hAnsi="宋体" w:eastAsia="宋体" w:cs="宋体"/>
          <w:color w:val="auto"/>
          <w:sz w:val="21"/>
          <w:szCs w:val="21"/>
          <w:highlight w:val="none"/>
        </w:rPr>
        <w:t>.3 甲方在项目通过验收后按照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规定的时间内将履约保证金退还乙方；逾期退还的，乙方可要求甲方支付违约金，违约金按照</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规定支付。</w:t>
      </w:r>
    </w:p>
    <w:p w14:paraId="144FDC1A">
      <w:pPr>
        <w:shd w:val="clea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4</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color w:val="auto"/>
          <w:sz w:val="21"/>
          <w:szCs w:val="21"/>
          <w:highlight w:val="none"/>
        </w:rPr>
        <w:t>售后服务</w:t>
      </w:r>
    </w:p>
    <w:p w14:paraId="359F21B0">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4</w:t>
      </w:r>
      <w:r>
        <w:rPr>
          <w:rFonts w:hint="eastAsia" w:ascii="宋体" w:hAnsi="宋体" w:eastAsia="宋体" w:cs="宋体"/>
          <w:color w:val="auto"/>
          <w:sz w:val="21"/>
          <w:szCs w:val="21"/>
          <w:highlight w:val="none"/>
        </w:rPr>
        <w:t>.1 除项目不涉及或采购活动中明确约定无须承担外，乙方还应提供下列服务：</w:t>
      </w:r>
    </w:p>
    <w:p w14:paraId="035032DF">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（1）货物的现场移动、安装、调试、启动监督及技术支持；</w:t>
      </w:r>
    </w:p>
    <w:p w14:paraId="6FF63183">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（2）提供货物组装和维修所需的专用工具和辅助材料；</w:t>
      </w:r>
    </w:p>
    <w:p w14:paraId="1E22D2FC">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lang w:eastAsia="zh-CN"/>
        </w:rPr>
        <w:t>约定</w:t>
      </w:r>
      <w:r>
        <w:rPr>
          <w:rFonts w:hint="eastAsia" w:ascii="宋体" w:hAnsi="宋体" w:eastAsia="宋体" w:cs="宋体"/>
          <w:color w:val="auto"/>
          <w:sz w:val="21"/>
          <w:szCs w:val="21"/>
          <w:highlight w:val="none"/>
        </w:rPr>
        <w:t>的期限内对所有的货物实施运行监督、维修，但前提条件是该服务并不能免除乙方在质量保证期内所承担的义务；</w:t>
      </w:r>
    </w:p>
    <w:p w14:paraId="496E40CE">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（4）在制造商</w:t>
      </w:r>
      <w:r>
        <w:rPr>
          <w:rFonts w:hint="eastAsia" w:ascii="宋体" w:hAnsi="宋体" w:eastAsia="宋体" w:cs="宋体"/>
          <w:color w:val="auto"/>
          <w:sz w:val="21"/>
          <w:szCs w:val="21"/>
          <w:highlight w:val="none"/>
          <w:lang w:eastAsia="zh-CN"/>
        </w:rPr>
        <w:t>所在地</w:t>
      </w:r>
      <w:r>
        <w:rPr>
          <w:rFonts w:hint="eastAsia" w:ascii="宋体" w:hAnsi="宋体" w:eastAsia="宋体" w:cs="宋体"/>
          <w:color w:val="auto"/>
          <w:sz w:val="21"/>
          <w:szCs w:val="21"/>
          <w:highlight w:val="none"/>
        </w:rPr>
        <w:t>或</w:t>
      </w:r>
      <w:r>
        <w:rPr>
          <w:rFonts w:hint="eastAsia" w:ascii="宋体" w:hAnsi="宋体" w:eastAsia="宋体" w:cs="宋体"/>
          <w:color w:val="auto"/>
          <w:sz w:val="21"/>
          <w:szCs w:val="21"/>
          <w:highlight w:val="none"/>
          <w:lang w:eastAsia="zh-CN"/>
        </w:rPr>
        <w:t>指定</w:t>
      </w:r>
      <w:r>
        <w:rPr>
          <w:rFonts w:hint="eastAsia" w:ascii="宋体" w:hAnsi="宋体" w:eastAsia="宋体" w:cs="宋体"/>
          <w:color w:val="auto"/>
          <w:sz w:val="21"/>
          <w:szCs w:val="21"/>
          <w:highlight w:val="none"/>
        </w:rPr>
        <w:t>现场就货物的安装、启动、运营、维护</w:t>
      </w:r>
      <w:r>
        <w:rPr>
          <w:rFonts w:hint="eastAsia" w:ascii="宋体" w:hAnsi="宋体" w:eastAsia="宋体" w:cs="宋体"/>
          <w:color w:val="auto"/>
          <w:sz w:val="21"/>
          <w:szCs w:val="21"/>
          <w:highlight w:val="none"/>
          <w:lang w:eastAsia="zh-CN"/>
        </w:rPr>
        <w:t>、废弃处置等</w:t>
      </w:r>
      <w:r>
        <w:rPr>
          <w:rFonts w:hint="eastAsia" w:ascii="宋体" w:hAnsi="宋体" w:eastAsia="宋体" w:cs="宋体"/>
          <w:color w:val="auto"/>
          <w:sz w:val="21"/>
          <w:szCs w:val="21"/>
          <w:highlight w:val="none"/>
        </w:rPr>
        <w:t>对甲方操作人员进行培训</w:t>
      </w:r>
      <w:r>
        <w:rPr>
          <w:rFonts w:hint="eastAsia" w:ascii="宋体" w:hAnsi="宋体" w:eastAsia="宋体" w:cs="宋体"/>
          <w:color w:val="auto"/>
          <w:sz w:val="21"/>
          <w:szCs w:val="21"/>
          <w:highlight w:val="none"/>
          <w:lang w:eastAsia="zh-CN"/>
        </w:rPr>
        <w:t>；</w:t>
      </w:r>
    </w:p>
    <w:p w14:paraId="1B925E90">
      <w:pPr>
        <w:pStyle w:val="402"/>
        <w:shd w:val="clea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（5）依照法律、行政法规的规定或者按照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约定，货物在有效使用年限届满后应予回收的，乙方负有自行或者委托第三人对货物予以回收的义务；</w:t>
      </w:r>
    </w:p>
    <w:p w14:paraId="1FD76F4D">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规定由乙方提供的其他服务。</w:t>
      </w:r>
    </w:p>
    <w:p w14:paraId="31E539C1">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.2 乙方提供的</w:t>
      </w:r>
      <w:r>
        <w:rPr>
          <w:rFonts w:hint="eastAsia" w:ascii="宋体" w:hAnsi="宋体" w:eastAsia="宋体" w:cs="宋体"/>
          <w:color w:val="auto"/>
          <w:sz w:val="21"/>
          <w:szCs w:val="21"/>
          <w:highlight w:val="none"/>
          <w:lang w:eastAsia="zh-CN"/>
        </w:rPr>
        <w:t>售后</w:t>
      </w:r>
      <w:r>
        <w:rPr>
          <w:rFonts w:hint="eastAsia" w:ascii="宋体" w:hAnsi="宋体" w:eastAsia="宋体" w:cs="宋体"/>
          <w:color w:val="auto"/>
          <w:sz w:val="21"/>
          <w:szCs w:val="21"/>
          <w:highlight w:val="none"/>
        </w:rPr>
        <w:t>服务的费用</w:t>
      </w:r>
      <w:r>
        <w:rPr>
          <w:rFonts w:hint="eastAsia" w:ascii="宋体" w:hAnsi="宋体" w:eastAsia="宋体" w:cs="宋体"/>
          <w:color w:val="auto"/>
          <w:sz w:val="21"/>
          <w:szCs w:val="21"/>
          <w:highlight w:val="none"/>
          <w:lang w:val="en-US" w:eastAsia="zh-CN"/>
        </w:rPr>
        <w:t>已</w:t>
      </w:r>
      <w:r>
        <w:rPr>
          <w:rFonts w:hint="eastAsia" w:ascii="宋体" w:hAnsi="宋体" w:eastAsia="宋体" w:cs="宋体"/>
          <w:color w:val="auto"/>
          <w:sz w:val="21"/>
          <w:szCs w:val="21"/>
          <w:highlight w:val="none"/>
        </w:rPr>
        <w:t>包含在合同价款中，甲方不再另行支付。</w:t>
      </w:r>
    </w:p>
    <w:p w14:paraId="7A996714">
      <w:pPr>
        <w:shd w:val="clea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eastAsia="zh-CN"/>
        </w:rPr>
        <w:t>5</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违约责任</w:t>
      </w:r>
    </w:p>
    <w:p w14:paraId="53110770">
      <w:pPr>
        <w:shd w:val="clear"/>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.1质量瑕疵的</w:t>
      </w:r>
      <w:r>
        <w:rPr>
          <w:rFonts w:hint="eastAsia" w:ascii="宋体" w:hAnsi="宋体" w:eastAsia="宋体" w:cs="宋体"/>
          <w:bCs/>
          <w:color w:val="auto"/>
          <w:sz w:val="21"/>
          <w:szCs w:val="21"/>
          <w:highlight w:val="none"/>
          <w:lang w:eastAsia="zh-CN"/>
        </w:rPr>
        <w:t>违约责任</w:t>
      </w:r>
    </w:p>
    <w:p w14:paraId="1F8ABB3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eastAsia="zh-CN"/>
        </w:rPr>
        <w:t>提供</w:t>
      </w:r>
      <w:r>
        <w:rPr>
          <w:rFonts w:hint="eastAsia" w:ascii="宋体" w:hAnsi="宋体" w:eastAsia="宋体" w:cs="宋体"/>
          <w:color w:val="auto"/>
          <w:sz w:val="21"/>
          <w:szCs w:val="21"/>
          <w:highlight w:val="none"/>
        </w:rPr>
        <w:t>的产品不符合</w:t>
      </w:r>
      <w:r>
        <w:rPr>
          <w:rFonts w:hint="eastAsia" w:ascii="宋体" w:hAnsi="宋体" w:eastAsia="宋体" w:cs="宋体"/>
          <w:color w:val="auto"/>
          <w:sz w:val="21"/>
          <w:szCs w:val="21"/>
          <w:highlight w:val="none"/>
          <w:lang w:eastAsia="zh-CN"/>
        </w:rPr>
        <w:t>合同约定的</w:t>
      </w:r>
      <w:r>
        <w:rPr>
          <w:rFonts w:hint="eastAsia" w:ascii="宋体" w:hAnsi="宋体" w:eastAsia="宋体" w:cs="宋体"/>
          <w:color w:val="auto"/>
          <w:sz w:val="21"/>
          <w:szCs w:val="21"/>
          <w:highlight w:val="none"/>
        </w:rPr>
        <w:t>质量标准或存在产品质量缺陷，</w:t>
      </w:r>
      <w:r>
        <w:rPr>
          <w:rFonts w:hint="eastAsia" w:ascii="宋体" w:hAnsi="宋体" w:eastAsia="宋体" w:cs="宋体"/>
          <w:color w:val="auto"/>
          <w:sz w:val="21"/>
          <w:szCs w:val="21"/>
          <w:highlight w:val="none"/>
          <w:lang w:eastAsia="zh-CN"/>
        </w:rPr>
        <w:t>甲方有权要求乙方根据</w:t>
      </w:r>
      <w:r>
        <w:rPr>
          <w:rFonts w:hint="eastAsia" w:ascii="宋体" w:hAnsi="宋体" w:eastAsia="宋体" w:cs="宋体"/>
          <w:b/>
          <w:color w:val="auto"/>
          <w:sz w:val="21"/>
          <w:szCs w:val="21"/>
          <w:highlight w:val="none"/>
        </w:rPr>
        <w:t>【政府采购合同专用条款】</w:t>
      </w:r>
      <w:r>
        <w:rPr>
          <w:rFonts w:hint="eastAsia" w:ascii="宋体" w:hAnsi="宋体" w:eastAsia="宋体" w:cs="宋体"/>
          <w:b w:val="0"/>
          <w:bCs/>
          <w:color w:val="auto"/>
          <w:sz w:val="21"/>
          <w:szCs w:val="21"/>
          <w:highlight w:val="none"/>
          <w:lang w:eastAsia="zh-CN"/>
        </w:rPr>
        <w:t>要求</w:t>
      </w:r>
      <w:r>
        <w:rPr>
          <w:rFonts w:hint="eastAsia" w:ascii="宋体" w:hAnsi="宋体" w:eastAsia="宋体" w:cs="宋体"/>
          <w:color w:val="auto"/>
          <w:sz w:val="21"/>
          <w:szCs w:val="21"/>
          <w:highlight w:val="none"/>
          <w:lang w:eastAsia="zh-CN"/>
        </w:rPr>
        <w:t>及时修理、重作、更换，并承担由此给甲</w:t>
      </w:r>
      <w:r>
        <w:rPr>
          <w:rFonts w:hint="eastAsia" w:ascii="宋体" w:hAnsi="宋体" w:eastAsia="宋体" w:cs="宋体"/>
          <w:color w:val="auto"/>
          <w:sz w:val="21"/>
          <w:szCs w:val="21"/>
          <w:highlight w:val="none"/>
        </w:rPr>
        <w:t>方</w:t>
      </w:r>
      <w:r>
        <w:rPr>
          <w:rFonts w:hint="eastAsia" w:ascii="宋体" w:hAnsi="宋体" w:eastAsia="宋体" w:cs="宋体"/>
          <w:color w:val="auto"/>
          <w:sz w:val="21"/>
          <w:szCs w:val="21"/>
          <w:highlight w:val="none"/>
          <w:lang w:eastAsia="zh-CN"/>
        </w:rPr>
        <w:t>造成的损失</w:t>
      </w:r>
      <w:r>
        <w:rPr>
          <w:rFonts w:hint="eastAsia" w:ascii="宋体" w:hAnsi="宋体" w:eastAsia="宋体" w:cs="宋体"/>
          <w:color w:val="auto"/>
          <w:sz w:val="21"/>
          <w:szCs w:val="21"/>
          <w:highlight w:val="none"/>
        </w:rPr>
        <w:t>。</w:t>
      </w:r>
    </w:p>
    <w:p w14:paraId="0A085016">
      <w:pPr>
        <w:shd w:val="clear"/>
        <w:autoSpaceDE w:val="0"/>
        <w:autoSpaceDN w:val="0"/>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.2 迟延交货的违约责任</w:t>
      </w:r>
    </w:p>
    <w:p w14:paraId="70CD4076">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（1）乙方应按照本合同规定的时间、地点交货和提供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服务。在履行合同过程中，如果乙方遇到可能</w:t>
      </w:r>
      <w:r>
        <w:rPr>
          <w:rFonts w:hint="eastAsia" w:ascii="宋体" w:hAnsi="宋体" w:eastAsia="宋体" w:cs="宋体"/>
          <w:color w:val="auto"/>
          <w:sz w:val="21"/>
          <w:szCs w:val="21"/>
          <w:highlight w:val="none"/>
          <w:lang w:eastAsia="zh-CN"/>
        </w:rPr>
        <w:t>影响</w:t>
      </w:r>
      <w:r>
        <w:rPr>
          <w:rFonts w:hint="eastAsia" w:ascii="宋体" w:hAnsi="宋体" w:eastAsia="宋体" w:cs="宋体"/>
          <w:color w:val="auto"/>
          <w:sz w:val="21"/>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1"/>
          <w:szCs w:val="21"/>
          <w:highlight w:val="none"/>
          <w:lang w:eastAsia="zh-CN"/>
        </w:rPr>
        <w:t>长</w:t>
      </w:r>
      <w:r>
        <w:rPr>
          <w:rFonts w:hint="eastAsia" w:ascii="宋体" w:hAnsi="宋体" w:eastAsia="宋体" w:cs="宋体"/>
          <w:color w:val="auto"/>
          <w:sz w:val="21"/>
          <w:szCs w:val="21"/>
          <w:highlight w:val="none"/>
        </w:rPr>
        <w:t>交货时间或延期提供服务。</w:t>
      </w:r>
    </w:p>
    <w:p w14:paraId="324C744A">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（2）如果乙方没有按照合同规定的时间交货和提供</w:t>
      </w:r>
      <w:r>
        <w:rPr>
          <w:rFonts w:hint="eastAsia" w:ascii="宋体" w:hAnsi="宋体" w:eastAsia="宋体" w:cs="宋体"/>
          <w:color w:val="auto"/>
          <w:sz w:val="21"/>
          <w:szCs w:val="21"/>
          <w:highlight w:val="none"/>
          <w:lang w:eastAsia="zh-CN"/>
        </w:rPr>
        <w:t>相关</w:t>
      </w:r>
      <w:r>
        <w:rPr>
          <w:rFonts w:hint="eastAsia" w:ascii="宋体" w:hAnsi="宋体" w:eastAsia="宋体" w:cs="宋体"/>
          <w:color w:val="auto"/>
          <w:sz w:val="21"/>
          <w:szCs w:val="21"/>
          <w:highlight w:val="none"/>
        </w:rPr>
        <w:t>服务，甲方有权从货款中扣除误期赔偿费而不影响合同项下的其他补救方法，赔偿费按</w:t>
      </w:r>
      <w:r>
        <w:rPr>
          <w:rFonts w:hint="eastAsia" w:ascii="宋体" w:hAnsi="宋体" w:eastAsia="宋体" w:cs="宋体"/>
          <w:b/>
          <w:color w:val="auto"/>
          <w:sz w:val="21"/>
          <w:szCs w:val="21"/>
          <w:highlight w:val="none"/>
        </w:rPr>
        <w:t>【政府采购合同专用条款】</w:t>
      </w:r>
      <w:r>
        <w:rPr>
          <w:rFonts w:hint="eastAsia" w:ascii="宋体" w:hAnsi="宋体" w:eastAsia="宋体" w:cs="宋体"/>
          <w:color w:val="auto"/>
          <w:sz w:val="21"/>
          <w:szCs w:val="21"/>
          <w:highlight w:val="none"/>
        </w:rPr>
        <w:t>规定执行。如果涉及公共利益，且赔偿金额无法弥补公共利益损失，</w:t>
      </w:r>
      <w:r>
        <w:rPr>
          <w:rFonts w:hint="eastAsia" w:ascii="宋体" w:hAnsi="宋体" w:eastAsia="宋体" w:cs="宋体"/>
          <w:color w:val="auto"/>
          <w:sz w:val="21"/>
          <w:szCs w:val="21"/>
          <w:highlight w:val="none"/>
          <w:lang w:eastAsia="zh-CN"/>
        </w:rPr>
        <w:t>甲方</w:t>
      </w:r>
      <w:r>
        <w:rPr>
          <w:rFonts w:hint="eastAsia" w:ascii="宋体" w:hAnsi="宋体" w:eastAsia="宋体" w:cs="宋体"/>
          <w:color w:val="auto"/>
          <w:sz w:val="21"/>
          <w:szCs w:val="21"/>
          <w:highlight w:val="none"/>
        </w:rPr>
        <w:t>可要求继续履行或者</w:t>
      </w:r>
      <w:r>
        <w:rPr>
          <w:rFonts w:hint="eastAsia" w:ascii="宋体" w:hAnsi="宋体" w:eastAsia="宋体" w:cs="宋体"/>
          <w:color w:val="auto"/>
          <w:sz w:val="21"/>
          <w:szCs w:val="21"/>
          <w:highlight w:val="none"/>
          <w:lang w:eastAsia="zh-CN"/>
        </w:rPr>
        <w:t>采取其他补救措施</w:t>
      </w:r>
      <w:r>
        <w:rPr>
          <w:rFonts w:hint="eastAsia" w:ascii="宋体" w:hAnsi="宋体" w:eastAsia="宋体" w:cs="宋体"/>
          <w:color w:val="auto"/>
          <w:sz w:val="21"/>
          <w:szCs w:val="21"/>
          <w:highlight w:val="none"/>
        </w:rPr>
        <w:t>。</w:t>
      </w:r>
    </w:p>
    <w:p w14:paraId="7E30383A">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5</w:t>
      </w:r>
      <w:r>
        <w:rPr>
          <w:rFonts w:hint="eastAsia" w:ascii="宋体" w:hAnsi="宋体" w:eastAsia="宋体" w:cs="宋体"/>
          <w:color w:val="auto"/>
          <w:sz w:val="21"/>
          <w:szCs w:val="21"/>
          <w:highlight w:val="none"/>
        </w:rPr>
        <w:t>.3 迟延支付的违约责任</w:t>
      </w:r>
    </w:p>
    <w:p w14:paraId="3FE8228E">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甲方存在迟延支付乙方合同款项的，应当承担</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规定的逾期付款利息。</w:t>
      </w:r>
    </w:p>
    <w:p w14:paraId="4244AB95">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1</w:t>
      </w:r>
      <w:r>
        <w:rPr>
          <w:rFonts w:hint="eastAsia" w:ascii="宋体" w:hAnsi="宋体" w:eastAsia="宋体" w:cs="宋体"/>
          <w:bCs/>
          <w:color w:val="auto"/>
          <w:sz w:val="21"/>
          <w:szCs w:val="21"/>
          <w:highlight w:val="none"/>
          <w:lang w:eastAsia="zh-CN"/>
        </w:rPr>
        <w:t>5</w:t>
      </w:r>
      <w:r>
        <w:rPr>
          <w:rFonts w:hint="eastAsia" w:ascii="宋体" w:hAnsi="宋体" w:eastAsia="宋体" w:cs="宋体"/>
          <w:bCs/>
          <w:color w:val="auto"/>
          <w:sz w:val="21"/>
          <w:szCs w:val="21"/>
          <w:highlight w:val="none"/>
        </w:rPr>
        <w:t>.4其他违约责任根据项目实际需要按</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规定执行。</w:t>
      </w:r>
    </w:p>
    <w:p w14:paraId="6477A82E">
      <w:pPr>
        <w:numPr>
          <w:ilvl w:val="0"/>
          <w:numId w:val="25"/>
        </w:numPr>
        <w:shd w:val="clea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合同变更</w:t>
      </w:r>
      <w:r>
        <w:rPr>
          <w:rFonts w:hint="eastAsia" w:ascii="宋体" w:hAnsi="宋体" w:eastAsia="宋体" w:cs="宋体"/>
          <w:b/>
          <w:color w:val="auto"/>
          <w:sz w:val="21"/>
          <w:szCs w:val="21"/>
          <w:highlight w:val="none"/>
          <w:lang w:eastAsia="zh-CN"/>
        </w:rPr>
        <w:t>、中止与终止</w:t>
      </w:r>
    </w:p>
    <w:p w14:paraId="79164375">
      <w:pPr>
        <w:shd w:val="clear"/>
        <w:autoSpaceDE/>
        <w:autoSpaceDN/>
        <w:adjustRightInd w:val="0"/>
        <w:snapToGrid w:val="0"/>
        <w:spacing w:before="0" w:line="40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.1合同的</w:t>
      </w:r>
      <w:r>
        <w:rPr>
          <w:rFonts w:hint="eastAsia" w:ascii="宋体" w:hAnsi="宋体" w:eastAsia="宋体" w:cs="宋体"/>
          <w:color w:val="auto"/>
          <w:sz w:val="21"/>
          <w:szCs w:val="21"/>
          <w:highlight w:val="none"/>
          <w:lang w:eastAsia="zh-CN"/>
        </w:rPr>
        <w:t>变更</w:t>
      </w:r>
    </w:p>
    <w:p w14:paraId="5953D5E2">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政府采购合同履行中，</w:t>
      </w:r>
      <w:r>
        <w:rPr>
          <w:rFonts w:hint="eastAsia" w:ascii="宋体" w:hAnsi="宋体" w:eastAsia="宋体" w:cs="宋体"/>
          <w:color w:val="auto"/>
          <w:sz w:val="21"/>
          <w:szCs w:val="21"/>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1"/>
          <w:szCs w:val="21"/>
          <w:highlight w:val="none"/>
          <w:lang w:eastAsia="zh-CN"/>
        </w:rPr>
        <w:t>一致后</w:t>
      </w:r>
      <w:r>
        <w:rPr>
          <w:rFonts w:hint="eastAsia" w:ascii="宋体" w:hAnsi="宋体" w:eastAsia="宋体" w:cs="宋体"/>
          <w:color w:val="auto"/>
          <w:sz w:val="21"/>
          <w:szCs w:val="21"/>
          <w:highlight w:val="none"/>
        </w:rPr>
        <w:t>签订补充协议。</w:t>
      </w:r>
    </w:p>
    <w:p w14:paraId="1AA12AEE">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合同的中止</w:t>
      </w:r>
    </w:p>
    <w:p w14:paraId="4D817E3C">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（1）合同履行过程中因供应商就采购文件、采购过程或结果提起投诉的，甲方认为有必要的，</w:t>
      </w:r>
      <w:r>
        <w:rPr>
          <w:rFonts w:hint="eastAsia" w:ascii="宋体" w:hAnsi="宋体" w:eastAsia="宋体" w:cs="宋体"/>
          <w:color w:val="auto"/>
          <w:sz w:val="21"/>
          <w:szCs w:val="21"/>
          <w:highlight w:val="none"/>
          <w:lang w:eastAsia="zh-CN"/>
        </w:rPr>
        <w:t>可以</w:t>
      </w:r>
      <w:r>
        <w:rPr>
          <w:rFonts w:hint="eastAsia" w:ascii="宋体" w:hAnsi="宋体" w:eastAsia="宋体" w:cs="宋体"/>
          <w:color w:val="auto"/>
          <w:sz w:val="21"/>
          <w:szCs w:val="21"/>
          <w:highlight w:val="none"/>
        </w:rPr>
        <w:t>中止合同的履行。</w:t>
      </w:r>
    </w:p>
    <w:p w14:paraId="2A960B34">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合同履行过程中，</w:t>
      </w:r>
      <w:r>
        <w:rPr>
          <w:rFonts w:hint="eastAsia" w:ascii="宋体" w:hAnsi="宋体" w:eastAsia="宋体" w:cs="宋体"/>
          <w:color w:val="auto"/>
          <w:sz w:val="21"/>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1"/>
          <w:szCs w:val="21"/>
          <w:highlight w:val="none"/>
          <w:lang w:eastAsia="zh-CN"/>
        </w:rPr>
        <w:t>，乙方有义务及时告知甲方</w:t>
      </w:r>
      <w:r>
        <w:rPr>
          <w:rFonts w:hint="eastAsia" w:ascii="宋体" w:hAnsi="宋体" w:eastAsia="宋体" w:cs="宋体"/>
          <w:color w:val="auto"/>
          <w:sz w:val="21"/>
          <w:szCs w:val="21"/>
          <w:highlight w:val="none"/>
        </w:rPr>
        <w:t>。甲方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以书面形式通知乙方中止合同</w:t>
      </w:r>
      <w:r>
        <w:rPr>
          <w:rFonts w:hint="eastAsia" w:ascii="宋体" w:hAnsi="宋体" w:eastAsia="宋体" w:cs="宋体"/>
          <w:color w:val="auto"/>
          <w:sz w:val="21"/>
          <w:szCs w:val="21"/>
          <w:highlight w:val="none"/>
          <w:lang w:eastAsia="zh-CN"/>
        </w:rPr>
        <w:t>并要求乙方在合理期限内消除相关情形或者提供适当担保。</w:t>
      </w:r>
      <w:r>
        <w:rPr>
          <w:rFonts w:hint="eastAsia" w:ascii="宋体" w:hAnsi="宋体" w:eastAsia="宋体" w:cs="宋体"/>
          <w:color w:val="auto"/>
          <w:sz w:val="21"/>
          <w:szCs w:val="21"/>
          <w:highlight w:val="none"/>
        </w:rPr>
        <w:t>乙方提供适当担保的，</w:t>
      </w:r>
      <w:r>
        <w:rPr>
          <w:rFonts w:hint="eastAsia" w:ascii="宋体" w:hAnsi="宋体" w:eastAsia="宋体" w:cs="宋体"/>
          <w:color w:val="auto"/>
          <w:sz w:val="21"/>
          <w:szCs w:val="21"/>
          <w:highlight w:val="none"/>
          <w:lang w:eastAsia="zh-CN"/>
        </w:rPr>
        <w:t>合同继续</w:t>
      </w:r>
      <w:r>
        <w:rPr>
          <w:rFonts w:hint="eastAsia" w:ascii="宋体" w:hAnsi="宋体" w:eastAsia="宋体" w:cs="宋体"/>
          <w:color w:val="auto"/>
          <w:sz w:val="21"/>
          <w:szCs w:val="21"/>
          <w:highlight w:val="none"/>
        </w:rPr>
        <w:t>履行</w:t>
      </w:r>
      <w:r>
        <w:rPr>
          <w:rFonts w:hint="eastAsia" w:ascii="宋体" w:hAnsi="宋体" w:eastAsia="宋体" w:cs="宋体"/>
          <w:color w:val="auto"/>
          <w:sz w:val="21"/>
          <w:szCs w:val="21"/>
          <w:highlight w:val="none"/>
          <w:lang w:eastAsia="zh-CN"/>
        </w:rPr>
        <w:t>；乙</w:t>
      </w:r>
      <w:r>
        <w:rPr>
          <w:rFonts w:hint="eastAsia" w:ascii="宋体" w:hAnsi="宋体" w:eastAsia="宋体" w:cs="宋体"/>
          <w:color w:val="auto"/>
          <w:sz w:val="21"/>
          <w:szCs w:val="21"/>
          <w:highlight w:val="none"/>
        </w:rPr>
        <w:t>方在合理期限内未恢复履约能力且未提供适当担保的，视为拒绝</w:t>
      </w:r>
      <w:r>
        <w:rPr>
          <w:rFonts w:hint="eastAsia" w:ascii="宋体" w:hAnsi="宋体" w:eastAsia="宋体" w:cs="宋体"/>
          <w:color w:val="auto"/>
          <w:sz w:val="21"/>
          <w:szCs w:val="21"/>
          <w:highlight w:val="none"/>
          <w:lang w:eastAsia="zh-CN"/>
        </w:rPr>
        <w:t>继续</w:t>
      </w:r>
      <w:r>
        <w:rPr>
          <w:rFonts w:hint="eastAsia" w:ascii="宋体" w:hAnsi="宋体" w:eastAsia="宋体" w:cs="宋体"/>
          <w:color w:val="auto"/>
          <w:sz w:val="21"/>
          <w:szCs w:val="21"/>
          <w:highlight w:val="none"/>
        </w:rPr>
        <w:t>履约，甲方</w:t>
      </w:r>
      <w:r>
        <w:rPr>
          <w:rFonts w:hint="eastAsia" w:ascii="宋体" w:hAnsi="宋体" w:eastAsia="宋体" w:cs="宋体"/>
          <w:color w:val="auto"/>
          <w:sz w:val="21"/>
          <w:szCs w:val="21"/>
          <w:highlight w:val="none"/>
          <w:lang w:eastAsia="zh-CN"/>
        </w:rPr>
        <w:t>有权</w:t>
      </w:r>
      <w:r>
        <w:rPr>
          <w:rFonts w:hint="eastAsia" w:ascii="宋体" w:hAnsi="宋体" w:eastAsia="宋体" w:cs="宋体"/>
          <w:color w:val="auto"/>
          <w:sz w:val="21"/>
          <w:szCs w:val="21"/>
          <w:highlight w:val="none"/>
        </w:rPr>
        <w:t>解除合同并要求乙方承担</w:t>
      </w:r>
      <w:r>
        <w:rPr>
          <w:rFonts w:hint="eastAsia" w:ascii="宋体" w:hAnsi="宋体" w:eastAsia="宋体" w:cs="宋体"/>
          <w:color w:val="auto"/>
          <w:sz w:val="21"/>
          <w:szCs w:val="21"/>
          <w:highlight w:val="none"/>
          <w:lang w:eastAsia="zh-CN"/>
        </w:rPr>
        <w:t>由此给甲方造成的损失</w:t>
      </w:r>
      <w:r>
        <w:rPr>
          <w:rFonts w:hint="eastAsia" w:ascii="宋体" w:hAnsi="宋体" w:eastAsia="宋体" w:cs="宋体"/>
          <w:color w:val="auto"/>
          <w:sz w:val="21"/>
          <w:szCs w:val="21"/>
          <w:highlight w:val="none"/>
        </w:rPr>
        <w:t>。</w:t>
      </w:r>
    </w:p>
    <w:p w14:paraId="05139D6F">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（3）乙方分立、合并或者变更住所的，应当及时以书面形式告知甲方。乙方没有</w:t>
      </w:r>
      <w:r>
        <w:rPr>
          <w:rFonts w:hint="eastAsia" w:ascii="宋体" w:hAnsi="宋体" w:eastAsia="宋体" w:cs="宋体"/>
          <w:color w:val="auto"/>
          <w:sz w:val="21"/>
          <w:szCs w:val="21"/>
          <w:highlight w:val="none"/>
          <w:lang w:eastAsia="zh-CN"/>
        </w:rPr>
        <w:t>及时告知</w:t>
      </w:r>
      <w:r>
        <w:rPr>
          <w:rFonts w:hint="eastAsia" w:ascii="宋体" w:hAnsi="宋体" w:eastAsia="宋体" w:cs="宋体"/>
          <w:color w:val="auto"/>
          <w:sz w:val="21"/>
          <w:szCs w:val="21"/>
          <w:highlight w:val="none"/>
        </w:rPr>
        <w:t>甲方，致使</w:t>
      </w:r>
      <w:r>
        <w:rPr>
          <w:rFonts w:hint="eastAsia" w:ascii="宋体" w:hAnsi="宋体" w:eastAsia="宋体" w:cs="宋体"/>
          <w:color w:val="auto"/>
          <w:sz w:val="21"/>
          <w:szCs w:val="21"/>
          <w:highlight w:val="none"/>
          <w:lang w:eastAsia="zh-CN"/>
        </w:rPr>
        <w:t>合同</w:t>
      </w:r>
      <w:r>
        <w:rPr>
          <w:rFonts w:hint="eastAsia" w:ascii="宋体" w:hAnsi="宋体" w:eastAsia="宋体" w:cs="宋体"/>
          <w:color w:val="auto"/>
          <w:sz w:val="21"/>
          <w:szCs w:val="21"/>
          <w:highlight w:val="none"/>
        </w:rPr>
        <w:t>履行发生困难的，甲方可以中止合同履行并要求乙方承担由此给甲方造成的损失。</w:t>
      </w:r>
    </w:p>
    <w:p w14:paraId="3AD987CA">
      <w:pPr>
        <w:shd w:val="clear"/>
        <w:snapToGrid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）甲方不得以行政区划调整、政府换届、机构或者职能调整以及相关责任人更替为由中止合同。</w:t>
      </w:r>
    </w:p>
    <w:p w14:paraId="1704E066">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合同的终止</w:t>
      </w:r>
    </w:p>
    <w:p w14:paraId="2244A3BB">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（1）合同因有效期限届满而终止；</w:t>
      </w:r>
    </w:p>
    <w:p w14:paraId="1DEE90FD">
      <w:pPr>
        <w:shd w:val="clear"/>
        <w:snapToGrid w:val="0"/>
        <w:spacing w:line="40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（2）乙方未</w:t>
      </w:r>
      <w:r>
        <w:rPr>
          <w:rFonts w:hint="eastAsia" w:ascii="宋体" w:hAnsi="宋体" w:eastAsia="宋体" w:cs="宋体"/>
          <w:color w:val="auto"/>
          <w:sz w:val="21"/>
          <w:szCs w:val="21"/>
          <w:highlight w:val="none"/>
          <w:lang w:eastAsia="zh-CN"/>
        </w:rPr>
        <w:t>按</w:t>
      </w:r>
      <w:r>
        <w:rPr>
          <w:rFonts w:hint="eastAsia" w:ascii="宋体" w:hAnsi="宋体" w:eastAsia="宋体" w:cs="宋体"/>
          <w:color w:val="auto"/>
          <w:sz w:val="21"/>
          <w:szCs w:val="21"/>
          <w:highlight w:val="none"/>
        </w:rPr>
        <w:t>合同约定履行，构成根本性违约的，甲方有权终止合同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并追究乙方的违约责</w:t>
      </w:r>
      <w:r>
        <w:rPr>
          <w:rFonts w:hint="eastAsia" w:ascii="宋体" w:hAnsi="宋体" w:eastAsia="宋体" w:cs="宋体"/>
          <w:color w:val="auto"/>
          <w:sz w:val="21"/>
          <w:szCs w:val="21"/>
          <w:highlight w:val="none"/>
          <w:lang w:val="en-US" w:eastAsia="zh-CN"/>
        </w:rPr>
        <w:t>任</w:t>
      </w:r>
      <w:r>
        <w:rPr>
          <w:rFonts w:hint="eastAsia" w:ascii="宋体" w:hAnsi="宋体" w:eastAsia="宋体" w:cs="宋体"/>
          <w:color w:val="auto"/>
          <w:sz w:val="21"/>
          <w:szCs w:val="21"/>
          <w:highlight w:val="none"/>
        </w:rPr>
        <w:t>。</w:t>
      </w:r>
    </w:p>
    <w:p w14:paraId="15F77BAC">
      <w:pPr>
        <w:pStyle w:val="402"/>
        <w:shd w:val="clea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16.4 </w:t>
      </w:r>
      <w:r>
        <w:rPr>
          <w:rFonts w:hint="eastAsia" w:ascii="宋体" w:hAnsi="宋体" w:eastAsia="宋体" w:cs="宋体"/>
          <w:color w:val="auto"/>
          <w:kern w:val="2"/>
          <w:sz w:val="21"/>
          <w:szCs w:val="21"/>
          <w:highlight w:val="none"/>
          <w:lang w:val="en-US" w:eastAsia="zh-CN"/>
        </w:rPr>
        <w:t>涉及国家利益、社会公共利益的情形</w:t>
      </w:r>
    </w:p>
    <w:p w14:paraId="41B37FF8">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政府采购合同继续履行将损害国家利益和社会公共利益的，双方当事人</w:t>
      </w:r>
      <w:r>
        <w:rPr>
          <w:rFonts w:hint="eastAsia" w:ascii="宋体" w:hAnsi="宋体" w:eastAsia="宋体" w:cs="宋体"/>
          <w:color w:val="auto"/>
          <w:sz w:val="21"/>
          <w:szCs w:val="21"/>
          <w:highlight w:val="none"/>
          <w:lang w:val="en-US" w:eastAsia="zh-CN"/>
        </w:rPr>
        <w:t>应当变更、</w:t>
      </w:r>
      <w:r>
        <w:rPr>
          <w:rFonts w:hint="eastAsia" w:ascii="宋体" w:hAnsi="宋体" w:eastAsia="宋体" w:cs="宋体"/>
          <w:color w:val="auto"/>
          <w:sz w:val="21"/>
          <w:szCs w:val="21"/>
          <w:highlight w:val="none"/>
        </w:rPr>
        <w:t>中止</w:t>
      </w:r>
      <w:r>
        <w:rPr>
          <w:rFonts w:hint="eastAsia" w:ascii="宋体" w:hAnsi="宋体" w:eastAsia="宋体" w:cs="宋体"/>
          <w:color w:val="auto"/>
          <w:sz w:val="21"/>
          <w:szCs w:val="21"/>
          <w:highlight w:val="none"/>
          <w:lang w:eastAsia="zh-CN"/>
        </w:rPr>
        <w:t>或者终止</w:t>
      </w:r>
      <w:r>
        <w:rPr>
          <w:rFonts w:hint="eastAsia" w:ascii="宋体" w:hAnsi="宋体" w:eastAsia="宋体" w:cs="宋体"/>
          <w:color w:val="auto"/>
          <w:sz w:val="21"/>
          <w:szCs w:val="21"/>
          <w:highlight w:val="none"/>
        </w:rPr>
        <w:t>合同。有过错的一方应当承担赔偿责任，双方都有过错的，各自承担相应的责任。</w:t>
      </w:r>
    </w:p>
    <w:p w14:paraId="72F4F8B9">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7</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合同分包</w:t>
      </w:r>
    </w:p>
    <w:p w14:paraId="03FAF9B3">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 乙方不得</w:t>
      </w:r>
      <w:r>
        <w:rPr>
          <w:rFonts w:hint="eastAsia" w:ascii="宋体" w:hAnsi="宋体" w:eastAsia="宋体" w:cs="宋体"/>
          <w:color w:val="auto"/>
          <w:sz w:val="21"/>
          <w:szCs w:val="21"/>
          <w:highlight w:val="none"/>
          <w:lang w:eastAsia="zh-CN"/>
        </w:rPr>
        <w:t>将合同转包给其他供应商。涉及合同分包的，乙方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lang w:eastAsia="zh-CN"/>
        </w:rPr>
        <w:t>根据采购文件和投标（响应）文件规定进行</w:t>
      </w:r>
      <w:r>
        <w:rPr>
          <w:rFonts w:hint="eastAsia" w:ascii="宋体" w:hAnsi="宋体" w:eastAsia="宋体" w:cs="宋体"/>
          <w:color w:val="auto"/>
          <w:sz w:val="21"/>
          <w:szCs w:val="21"/>
          <w:highlight w:val="none"/>
        </w:rPr>
        <w:t>合同分包。</w:t>
      </w:r>
    </w:p>
    <w:p w14:paraId="35712EC9">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 乙方执行政府采购政策向中小企业依法分包的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乙方应当按采购文件</w:t>
      </w:r>
      <w:r>
        <w:rPr>
          <w:rFonts w:hint="eastAsia" w:ascii="宋体" w:hAnsi="宋体" w:eastAsia="宋体" w:cs="宋体"/>
          <w:color w:val="auto"/>
          <w:sz w:val="21"/>
          <w:szCs w:val="21"/>
          <w:highlight w:val="none"/>
          <w:lang w:eastAsia="zh-CN"/>
        </w:rPr>
        <w:t>和</w:t>
      </w:r>
      <w:r>
        <w:rPr>
          <w:rFonts w:hint="eastAsia" w:ascii="宋体" w:hAnsi="宋体" w:eastAsia="宋体" w:cs="宋体"/>
          <w:color w:val="auto"/>
          <w:sz w:val="21"/>
          <w:szCs w:val="21"/>
          <w:highlight w:val="none"/>
        </w:rPr>
        <w:t>投标（响应）文件签订分包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协议，分包</w:t>
      </w:r>
      <w:r>
        <w:rPr>
          <w:rFonts w:hint="eastAsia" w:ascii="宋体" w:hAnsi="宋体" w:eastAsia="宋体" w:cs="宋体"/>
          <w:color w:val="auto"/>
          <w:sz w:val="21"/>
          <w:szCs w:val="21"/>
          <w:highlight w:val="none"/>
          <w:lang w:eastAsia="zh-CN"/>
        </w:rPr>
        <w:t>意向</w:t>
      </w:r>
      <w:r>
        <w:rPr>
          <w:rFonts w:hint="eastAsia" w:ascii="宋体" w:hAnsi="宋体" w:eastAsia="宋体" w:cs="宋体"/>
          <w:color w:val="auto"/>
          <w:sz w:val="21"/>
          <w:szCs w:val="21"/>
          <w:highlight w:val="none"/>
        </w:rPr>
        <w:t>协议属于本合同组成部分。</w:t>
      </w:r>
    </w:p>
    <w:p w14:paraId="0684ABE9">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1</w:t>
      </w:r>
      <w:r>
        <w:rPr>
          <w:rFonts w:hint="eastAsia" w:ascii="宋体" w:hAnsi="宋体" w:eastAsia="宋体" w:cs="宋体"/>
          <w:b/>
          <w:bCs/>
          <w:color w:val="auto"/>
          <w:sz w:val="21"/>
          <w:szCs w:val="21"/>
          <w:highlight w:val="none"/>
          <w:lang w:val="en-US" w:eastAsia="zh-CN"/>
        </w:rPr>
        <w:t>8</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不可抗力</w:t>
      </w:r>
    </w:p>
    <w:p w14:paraId="403B5931">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.1 不可抗力是指合同双方不能预见、不能避免且不能克服的客观情况。</w:t>
      </w:r>
    </w:p>
    <w:p w14:paraId="0A54E17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 任何一方对由于不可抗力造成的部分或全部不能履行合同不承担违约责任。但迟延履行后发生不可抗力的，不能免除责任。</w:t>
      </w:r>
    </w:p>
    <w:p w14:paraId="198C3F37">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.3 遇有不可抗力的一方，应及时将事件情况以书面形式</w:t>
      </w:r>
      <w:r>
        <w:rPr>
          <w:rFonts w:hint="eastAsia" w:ascii="宋体" w:hAnsi="宋体" w:eastAsia="宋体" w:cs="宋体"/>
          <w:color w:val="auto"/>
          <w:sz w:val="21"/>
          <w:szCs w:val="21"/>
          <w:highlight w:val="none"/>
          <w:lang w:eastAsia="zh-CN"/>
        </w:rPr>
        <w:t>告</w:t>
      </w:r>
      <w:r>
        <w:rPr>
          <w:rFonts w:hint="eastAsia" w:ascii="宋体" w:hAnsi="宋体" w:eastAsia="宋体" w:cs="宋体"/>
          <w:color w:val="auto"/>
          <w:sz w:val="21"/>
          <w:szCs w:val="21"/>
          <w:highlight w:val="none"/>
        </w:rPr>
        <w:t>知另一方，并在事件发生后及时向另一方提交合同不能履行或部分不能履行或需要延期履行</w:t>
      </w:r>
      <w:r>
        <w:rPr>
          <w:rFonts w:hint="eastAsia" w:ascii="宋体" w:hAnsi="宋体" w:eastAsia="宋体" w:cs="宋体"/>
          <w:color w:val="auto"/>
          <w:sz w:val="21"/>
          <w:szCs w:val="21"/>
          <w:highlight w:val="none"/>
          <w:lang w:eastAsia="zh-CN"/>
        </w:rPr>
        <w:t>的详细</w:t>
      </w:r>
      <w:r>
        <w:rPr>
          <w:rFonts w:hint="eastAsia" w:ascii="宋体" w:hAnsi="宋体" w:eastAsia="宋体" w:cs="宋体"/>
          <w:color w:val="auto"/>
          <w:sz w:val="21"/>
          <w:szCs w:val="21"/>
          <w:highlight w:val="none"/>
        </w:rPr>
        <w:t>报告</w:t>
      </w:r>
      <w:r>
        <w:rPr>
          <w:rFonts w:hint="eastAsia" w:ascii="宋体" w:hAnsi="宋体" w:eastAsia="宋体" w:cs="宋体"/>
          <w:color w:val="auto"/>
          <w:sz w:val="21"/>
          <w:szCs w:val="21"/>
          <w:highlight w:val="none"/>
          <w:lang w:eastAsia="zh-CN"/>
        </w:rPr>
        <w:t>，以</w:t>
      </w:r>
      <w:r>
        <w:rPr>
          <w:rFonts w:hint="eastAsia" w:ascii="宋体" w:hAnsi="宋体" w:eastAsia="宋体" w:cs="宋体"/>
          <w:color w:val="auto"/>
          <w:sz w:val="21"/>
          <w:szCs w:val="21"/>
          <w:highlight w:val="none"/>
          <w:lang w:val="en-US" w:eastAsia="zh-CN"/>
        </w:rPr>
        <w:t>及证明不可抗力发生及其持续时间的证据</w:t>
      </w:r>
      <w:r>
        <w:rPr>
          <w:rFonts w:hint="eastAsia" w:ascii="宋体" w:hAnsi="宋体" w:eastAsia="宋体" w:cs="宋体"/>
          <w:color w:val="auto"/>
          <w:sz w:val="21"/>
          <w:szCs w:val="21"/>
          <w:highlight w:val="none"/>
        </w:rPr>
        <w:t>。</w:t>
      </w:r>
    </w:p>
    <w:p w14:paraId="6FD3D9A4">
      <w:pPr>
        <w:shd w:val="clear"/>
        <w:autoSpaceDE w:val="0"/>
        <w:autoSpaceDN w:val="0"/>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19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 xml:space="preserve"> </w:t>
      </w:r>
      <w:r>
        <w:rPr>
          <w:rFonts w:hint="eastAsia" w:ascii="宋体" w:hAnsi="宋体" w:eastAsia="宋体" w:cs="宋体"/>
          <w:b/>
          <w:bCs/>
          <w:color w:val="auto"/>
          <w:sz w:val="21"/>
          <w:szCs w:val="21"/>
          <w:highlight w:val="none"/>
        </w:rPr>
        <w:t>解决争议的方法</w:t>
      </w:r>
    </w:p>
    <w:p w14:paraId="6126EA5B">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.1 因本合同及合同有关事项发生的争议，由</w:t>
      </w:r>
      <w:r>
        <w:rPr>
          <w:rFonts w:hint="eastAsia" w:ascii="宋体" w:hAnsi="宋体" w:eastAsia="宋体" w:cs="宋体"/>
          <w:color w:val="auto"/>
          <w:sz w:val="21"/>
          <w:szCs w:val="21"/>
          <w:highlight w:val="none"/>
          <w:lang w:eastAsia="zh-CN"/>
        </w:rPr>
        <w:t>甲乙双</w:t>
      </w:r>
      <w:r>
        <w:rPr>
          <w:rFonts w:hint="eastAsia" w:ascii="宋体" w:hAnsi="宋体" w:eastAsia="宋体" w:cs="宋体"/>
          <w:color w:val="auto"/>
          <w:sz w:val="21"/>
          <w:szCs w:val="21"/>
          <w:highlight w:val="none"/>
        </w:rPr>
        <w:t>方友好协商解决。协商不成时，可以</w:t>
      </w:r>
      <w:r>
        <w:rPr>
          <w:rFonts w:hint="eastAsia" w:ascii="宋体" w:hAnsi="宋体" w:eastAsia="宋体" w:cs="宋体"/>
          <w:color w:val="auto"/>
          <w:sz w:val="21"/>
          <w:szCs w:val="21"/>
          <w:highlight w:val="none"/>
          <w:lang w:eastAsia="zh-CN"/>
        </w:rPr>
        <w:t>向有关组织申请</w:t>
      </w:r>
      <w:r>
        <w:rPr>
          <w:rFonts w:hint="eastAsia" w:ascii="宋体" w:hAnsi="宋体" w:eastAsia="宋体" w:cs="宋体"/>
          <w:color w:val="auto"/>
          <w:sz w:val="21"/>
          <w:szCs w:val="21"/>
          <w:highlight w:val="none"/>
        </w:rPr>
        <w:t>调解。合同一方或</w:t>
      </w:r>
      <w:r>
        <w:rPr>
          <w:rFonts w:hint="eastAsia" w:ascii="宋体" w:hAnsi="宋体" w:eastAsia="宋体" w:cs="宋体"/>
          <w:color w:val="auto"/>
          <w:sz w:val="21"/>
          <w:szCs w:val="21"/>
          <w:highlight w:val="none"/>
          <w:lang w:eastAsia="zh-CN"/>
        </w:rPr>
        <w:t>双</w:t>
      </w:r>
      <w:r>
        <w:rPr>
          <w:rFonts w:hint="eastAsia" w:ascii="宋体" w:hAnsi="宋体" w:eastAsia="宋体" w:cs="宋体"/>
          <w:color w:val="auto"/>
          <w:sz w:val="21"/>
          <w:szCs w:val="21"/>
          <w:highlight w:val="none"/>
        </w:rPr>
        <w:t>方不愿调解或调解不成的，可以通过仲裁或诉讼的方式解决争议。</w:t>
      </w:r>
    </w:p>
    <w:p w14:paraId="6343184C">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中进一步约定选择与争议有实际联系的地点的人民法院管辖，但管辖法院的约定不得违反级别管辖和专属管辖的规定。</w:t>
      </w:r>
    </w:p>
    <w:p w14:paraId="3429C0C7">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.3 如</w:t>
      </w:r>
      <w:r>
        <w:rPr>
          <w:rFonts w:hint="eastAsia" w:ascii="宋体" w:hAnsi="宋体" w:eastAsia="宋体" w:cs="宋体"/>
          <w:color w:val="auto"/>
          <w:sz w:val="21"/>
          <w:szCs w:val="21"/>
          <w:highlight w:val="none"/>
          <w:lang w:eastAsia="zh-CN"/>
        </w:rPr>
        <w:t>甲乙双方</w:t>
      </w:r>
      <w:r>
        <w:rPr>
          <w:rFonts w:hint="eastAsia" w:ascii="宋体" w:hAnsi="宋体" w:eastAsia="宋体" w:cs="宋体"/>
          <w:color w:val="auto"/>
          <w:sz w:val="21"/>
          <w:szCs w:val="21"/>
          <w:highlight w:val="none"/>
        </w:rPr>
        <w:t>有争议的事项不影响合同其他部分的履行，在争议解决期间，合同其他部分应</w:t>
      </w:r>
      <w:r>
        <w:rPr>
          <w:rFonts w:hint="eastAsia" w:ascii="宋体" w:hAnsi="宋体" w:eastAsia="宋体" w:cs="宋体"/>
          <w:color w:val="auto"/>
          <w:sz w:val="21"/>
          <w:szCs w:val="21"/>
          <w:highlight w:val="none"/>
          <w:lang w:eastAsia="zh-CN"/>
        </w:rPr>
        <w:t>当</w:t>
      </w:r>
      <w:r>
        <w:rPr>
          <w:rFonts w:hint="eastAsia" w:ascii="宋体" w:hAnsi="宋体" w:eastAsia="宋体" w:cs="宋体"/>
          <w:color w:val="auto"/>
          <w:sz w:val="21"/>
          <w:szCs w:val="21"/>
          <w:highlight w:val="none"/>
        </w:rPr>
        <w:t>继续履行。</w:t>
      </w:r>
    </w:p>
    <w:p w14:paraId="6F09711E">
      <w:pPr>
        <w:shd w:val="clear"/>
        <w:autoSpaceDE w:val="0"/>
        <w:autoSpaceDN w:val="0"/>
        <w:adjustRightInd w:val="0"/>
        <w:snapToGrid w:val="0"/>
        <w:spacing w:before="0" w:line="400" w:lineRule="exact"/>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20</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政府采购政策</w:t>
      </w:r>
    </w:p>
    <w:p w14:paraId="34D62251">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20.1 </w:t>
      </w:r>
      <w:r>
        <w:rPr>
          <w:rFonts w:hint="eastAsia" w:ascii="宋体" w:hAnsi="宋体" w:eastAsia="宋体" w:cs="宋体"/>
          <w:color w:val="auto"/>
          <w:sz w:val="21"/>
          <w:szCs w:val="21"/>
          <w:highlight w:val="none"/>
          <w:lang w:val="en-GB"/>
        </w:rPr>
        <w:t>本合同应当按照规定执行政府采购政策。</w:t>
      </w:r>
    </w:p>
    <w:p w14:paraId="375AC5DF">
      <w:pPr>
        <w:shd w:val="clear"/>
        <w:autoSpaceDE w:val="0"/>
        <w:autoSpaceDN w:val="0"/>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 xml:space="preserve"> 本合同依法执行政府采购政策的方式和内容，属于合同履约验收的范围。</w:t>
      </w:r>
      <w:r>
        <w:rPr>
          <w:rFonts w:hint="eastAsia" w:ascii="宋体" w:hAnsi="宋体" w:eastAsia="宋体" w:cs="宋体"/>
          <w:color w:val="auto"/>
          <w:sz w:val="21"/>
          <w:szCs w:val="21"/>
          <w:highlight w:val="none"/>
          <w:lang w:eastAsia="zh-CN"/>
        </w:rPr>
        <w:t>甲乙双方</w:t>
      </w:r>
      <w:r>
        <w:rPr>
          <w:rFonts w:hint="eastAsia" w:ascii="宋体" w:hAnsi="宋体" w:eastAsia="宋体" w:cs="宋体"/>
          <w:color w:val="auto"/>
          <w:sz w:val="21"/>
          <w:szCs w:val="21"/>
          <w:highlight w:val="none"/>
          <w:lang w:val="en-GB"/>
        </w:rPr>
        <w:t>未按规定要求执行政府采购政策造成损失的</w:t>
      </w:r>
      <w:r>
        <w:rPr>
          <w:rFonts w:hint="eastAsia" w:ascii="宋体" w:hAnsi="宋体" w:eastAsia="宋体" w:cs="宋体"/>
          <w:color w:val="auto"/>
          <w:sz w:val="21"/>
          <w:szCs w:val="21"/>
          <w:highlight w:val="none"/>
        </w:rPr>
        <w:t>，有过错的一方应当承担赔偿责任，双方都有过错的，各自承担相应的责任。</w:t>
      </w:r>
    </w:p>
    <w:p w14:paraId="099E6643">
      <w:pPr>
        <w:pStyle w:val="23"/>
        <w:shd w:val="clear"/>
        <w:spacing w:after="0" w:line="40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 xml:space="preserve"> 对于</w:t>
      </w:r>
      <w:r>
        <w:rPr>
          <w:rFonts w:hint="eastAsia" w:ascii="宋体" w:hAnsi="宋体" w:eastAsia="宋体" w:cs="宋体"/>
          <w:color w:val="auto"/>
          <w:sz w:val="21"/>
          <w:szCs w:val="21"/>
          <w:highlight w:val="none"/>
          <w:lang w:eastAsia="zh-CN"/>
        </w:rPr>
        <w:t>为落实中小企业支持政策，</w:t>
      </w:r>
      <w:r>
        <w:rPr>
          <w:rFonts w:hint="eastAsia" w:ascii="宋体" w:hAnsi="宋体" w:eastAsia="宋体" w:cs="宋体"/>
          <w:color w:val="auto"/>
          <w:sz w:val="21"/>
          <w:szCs w:val="21"/>
          <w:highlight w:val="none"/>
        </w:rPr>
        <w:t>通过采购项目</w:t>
      </w:r>
      <w:r>
        <w:rPr>
          <w:rFonts w:hint="eastAsia" w:ascii="宋体" w:hAnsi="宋体" w:eastAsia="宋体" w:cs="宋体"/>
          <w:color w:val="auto"/>
          <w:sz w:val="21"/>
          <w:szCs w:val="21"/>
          <w:highlight w:val="none"/>
          <w:lang w:eastAsia="zh-CN"/>
        </w:rPr>
        <w:t>整体</w:t>
      </w:r>
      <w:r>
        <w:rPr>
          <w:rFonts w:hint="eastAsia" w:ascii="宋体" w:hAnsi="宋体" w:eastAsia="宋体" w:cs="宋体"/>
          <w:color w:val="auto"/>
          <w:sz w:val="21"/>
          <w:szCs w:val="21"/>
          <w:highlight w:val="none"/>
        </w:rPr>
        <w:t>预留、</w:t>
      </w:r>
      <w:r>
        <w:rPr>
          <w:rFonts w:hint="eastAsia" w:ascii="宋体" w:hAnsi="宋体" w:eastAsia="宋体" w:cs="宋体"/>
          <w:color w:val="auto"/>
          <w:sz w:val="21"/>
          <w:szCs w:val="21"/>
          <w:highlight w:val="none"/>
          <w:lang w:eastAsia="zh-CN"/>
        </w:rPr>
        <w:t>设置</w:t>
      </w:r>
      <w:r>
        <w:rPr>
          <w:rFonts w:hint="eastAsia" w:ascii="宋体" w:hAnsi="宋体" w:eastAsia="宋体" w:cs="宋体"/>
          <w:color w:val="auto"/>
          <w:sz w:val="21"/>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987B27D">
      <w:pPr>
        <w:shd w:val="clea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w:t>
      </w:r>
      <w:r>
        <w:rPr>
          <w:rFonts w:hint="eastAsia" w:ascii="宋体" w:hAnsi="宋体" w:eastAsia="宋体" w:cs="宋体"/>
          <w:b/>
          <w:color w:val="auto"/>
          <w:sz w:val="21"/>
          <w:szCs w:val="21"/>
          <w:highlight w:val="none"/>
          <w:lang w:val="en-US" w:eastAsia="zh-CN"/>
        </w:rPr>
        <w:t>1</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 xml:space="preserve"> </w:t>
      </w:r>
      <w:r>
        <w:rPr>
          <w:rFonts w:hint="eastAsia" w:ascii="宋体" w:hAnsi="宋体" w:eastAsia="宋体" w:cs="宋体"/>
          <w:b/>
          <w:color w:val="auto"/>
          <w:sz w:val="21"/>
          <w:szCs w:val="21"/>
          <w:highlight w:val="none"/>
        </w:rPr>
        <w:t>法律适用</w:t>
      </w:r>
    </w:p>
    <w:p w14:paraId="754C3DD4">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.1 本合同的订立、生效、解释、履行及与本合同有关的争议解决，均适用法律、行政法规。</w:t>
      </w:r>
    </w:p>
    <w:p w14:paraId="2A966039">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.2 本合同条款与法律、行政法规的强制性规定不一致的，双方当事人应按照法律、行政法规的强制性规定修改本合同的相关条款。</w:t>
      </w:r>
    </w:p>
    <w:p w14:paraId="6411352D">
      <w:pPr>
        <w:numPr>
          <w:ilvl w:val="0"/>
          <w:numId w:val="0"/>
        </w:numPr>
        <w:shd w:val="clear"/>
        <w:autoSpaceDE w:val="0"/>
        <w:autoSpaceDN w:val="0"/>
        <w:adjustRightInd w:val="0"/>
        <w:snapToGrid w:val="0"/>
        <w:spacing w:before="0" w:line="400" w:lineRule="exact"/>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rPr>
        <w:t xml:space="preserve">22. </w:t>
      </w:r>
      <w:r>
        <w:rPr>
          <w:rFonts w:hint="eastAsia" w:ascii="宋体" w:hAnsi="宋体" w:eastAsia="宋体" w:cs="宋体"/>
          <w:b/>
          <w:color w:val="auto"/>
          <w:sz w:val="21"/>
          <w:szCs w:val="21"/>
          <w:highlight w:val="none"/>
        </w:rPr>
        <w:t>通知</w:t>
      </w:r>
    </w:p>
    <w:p w14:paraId="50519E52">
      <w:pPr>
        <w:pStyle w:val="402"/>
        <w:shd w:val="clear"/>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本合同任何一方向对方发出的通知、信件、数据电文等，应当发送至本合同第一部分《政府采购合同协议书》所约定的通讯地址、联系人、联系电话或电子邮箱。</w:t>
      </w:r>
    </w:p>
    <w:p w14:paraId="27BF0FD7">
      <w:pPr>
        <w:pStyle w:val="402"/>
        <w:shd w:val="clear"/>
        <w:ind w:firstLine="0" w:firstLineChars="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一方当事人变更名称、</w:t>
      </w:r>
      <w:r>
        <w:rPr>
          <w:rFonts w:hint="eastAsia" w:ascii="宋体" w:hAnsi="宋体" w:eastAsia="宋体" w:cs="宋体"/>
          <w:color w:val="auto"/>
          <w:sz w:val="21"/>
          <w:szCs w:val="21"/>
          <w:highlight w:val="none"/>
          <w:lang w:eastAsia="zh-CN"/>
        </w:rPr>
        <w:t>住所</w:t>
      </w:r>
      <w:r>
        <w:rPr>
          <w:rFonts w:hint="eastAsia" w:ascii="宋体" w:hAnsi="宋体" w:eastAsia="宋体" w:cs="宋体"/>
          <w:color w:val="auto"/>
          <w:sz w:val="21"/>
          <w:szCs w:val="21"/>
          <w:highlight w:val="none"/>
        </w:rPr>
        <w:t>、联系人、联系电话或电子邮箱</w:t>
      </w:r>
      <w:r>
        <w:rPr>
          <w:rFonts w:hint="eastAsia" w:ascii="宋体" w:hAnsi="宋体" w:eastAsia="宋体" w:cs="宋体"/>
          <w:color w:val="auto"/>
          <w:sz w:val="21"/>
          <w:szCs w:val="21"/>
          <w:highlight w:val="none"/>
          <w:lang w:eastAsia="zh-CN"/>
        </w:rPr>
        <w:t>等信息</w:t>
      </w:r>
      <w:r>
        <w:rPr>
          <w:rFonts w:hint="eastAsia" w:ascii="宋体" w:hAnsi="宋体" w:eastAsia="宋体" w:cs="宋体"/>
          <w:color w:val="auto"/>
          <w:sz w:val="21"/>
          <w:szCs w:val="21"/>
          <w:highlight w:val="none"/>
        </w:rPr>
        <w:t>的，应当在变更后3日内及时书面通知对方，对方实际收到变更通知前的送达仍为有效送达。</w:t>
      </w:r>
    </w:p>
    <w:p w14:paraId="348CE3F3">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本合同一方给另一方的通知均应采用书面形式，传真或快递送到本合同中规定的对方的地址和办理签收手续。</w:t>
      </w:r>
    </w:p>
    <w:p w14:paraId="062B17CA">
      <w:pPr>
        <w:shd w:val="clear"/>
        <w:adjustRightInd w:val="0"/>
        <w:snapToGrid w:val="0"/>
        <w:spacing w:before="0"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通知以送达之日或通知书中规定的生效之日起生效，两者中以较迟之日为准。</w:t>
      </w:r>
    </w:p>
    <w:p w14:paraId="0CD1C270">
      <w:pPr>
        <w:numPr>
          <w:ilvl w:val="0"/>
          <w:numId w:val="26"/>
        </w:numPr>
        <w:shd w:val="clear"/>
        <w:adjustRightInd w:val="0"/>
        <w:snapToGrid w:val="0"/>
        <w:spacing w:before="0" w:line="400" w:lineRule="exact"/>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合同未尽事项</w:t>
      </w:r>
    </w:p>
    <w:p w14:paraId="54872B8A">
      <w:pPr>
        <w:shd w:val="clear"/>
        <w:adjustRightInd w:val="0"/>
        <w:snapToGrid w:val="0"/>
        <w:spacing w:before="0" w:line="400" w:lineRule="exact"/>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w:t>
      </w:r>
      <w:r>
        <w:rPr>
          <w:rFonts w:hint="eastAsia" w:ascii="宋体" w:hAnsi="宋体" w:eastAsia="宋体" w:cs="宋体"/>
          <w:bCs/>
          <w:color w:val="auto"/>
          <w:sz w:val="21"/>
          <w:szCs w:val="21"/>
          <w:highlight w:val="none"/>
          <w:lang w:val="en-US" w:eastAsia="zh-CN"/>
        </w:rPr>
        <w:t>3</w:t>
      </w:r>
      <w:r>
        <w:rPr>
          <w:rFonts w:hint="eastAsia" w:ascii="宋体" w:hAnsi="宋体" w:eastAsia="宋体" w:cs="宋体"/>
          <w:bCs/>
          <w:color w:val="auto"/>
          <w:sz w:val="21"/>
          <w:szCs w:val="21"/>
          <w:highlight w:val="none"/>
        </w:rPr>
        <w:t>.1合同未尽事项见</w:t>
      </w:r>
      <w:r>
        <w:rPr>
          <w:rFonts w:hint="eastAsia" w:ascii="宋体" w:hAnsi="宋体" w:eastAsia="宋体" w:cs="宋体"/>
          <w:b/>
          <w:color w:val="auto"/>
          <w:sz w:val="21"/>
          <w:szCs w:val="21"/>
          <w:highlight w:val="none"/>
        </w:rPr>
        <w:t>【政府采购合同专用条款】</w:t>
      </w:r>
      <w:r>
        <w:rPr>
          <w:rFonts w:hint="eastAsia" w:ascii="宋体" w:hAnsi="宋体" w:eastAsia="宋体" w:cs="宋体"/>
          <w:bCs/>
          <w:color w:val="auto"/>
          <w:sz w:val="21"/>
          <w:szCs w:val="21"/>
          <w:highlight w:val="none"/>
        </w:rPr>
        <w:t>。</w:t>
      </w:r>
    </w:p>
    <w:p w14:paraId="151D53C4">
      <w:pPr>
        <w:shd w:val="clear"/>
        <w:adjustRightInd w:val="0"/>
        <w:snapToGrid w:val="0"/>
        <w:spacing w:line="400" w:lineRule="exact"/>
        <w:ind w:firstLine="0" w:firstLineChars="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val="en-US" w:eastAsia="zh-CN"/>
        </w:rPr>
        <w:t xml:space="preserve">    23.2 合同附件与合同正文具有同等的法律效力。</w:t>
      </w:r>
      <w:bookmarkStart w:id="53" w:name="_Toc20313"/>
    </w:p>
    <w:p w14:paraId="5B40CB95">
      <w:pPr>
        <w:shd w:val="clear"/>
        <w:adjustRightInd w:val="0"/>
        <w:snapToGrid w:val="0"/>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br w:type="page"/>
      </w:r>
      <w:r>
        <w:rPr>
          <w:rFonts w:hint="eastAsia" w:ascii="宋体" w:hAnsi="宋体" w:eastAsia="宋体" w:cs="宋体"/>
          <w:b w:val="0"/>
          <w:bCs w:val="0"/>
          <w:color w:val="auto"/>
          <w:sz w:val="21"/>
          <w:szCs w:val="21"/>
          <w:highlight w:val="none"/>
        </w:rPr>
        <w:t>第三节 政府采购合同专用条款</w:t>
      </w:r>
      <w:bookmarkEnd w:id="53"/>
    </w:p>
    <w:tbl>
      <w:tblPr>
        <w:tblStyle w:val="61"/>
        <w:tblW w:w="981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52"/>
        <w:gridCol w:w="2007"/>
        <w:gridCol w:w="5960"/>
      </w:tblGrid>
      <w:tr w14:paraId="4F3122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9" w:hRule="atLeast"/>
          <w:jc w:val="center"/>
        </w:trPr>
        <w:tc>
          <w:tcPr>
            <w:tcW w:w="1852" w:type="dxa"/>
            <w:noWrap w:val="0"/>
            <w:vAlign w:val="center"/>
          </w:tcPr>
          <w:p w14:paraId="7AE239D3">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9A25893">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）项</w:t>
            </w:r>
          </w:p>
        </w:tc>
        <w:tc>
          <w:tcPr>
            <w:tcW w:w="2007" w:type="dxa"/>
            <w:noWrap w:val="0"/>
            <w:vAlign w:val="center"/>
          </w:tcPr>
          <w:p w14:paraId="38DC053E">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联合体具体要求</w:t>
            </w:r>
          </w:p>
        </w:tc>
        <w:tc>
          <w:tcPr>
            <w:tcW w:w="5960" w:type="dxa"/>
            <w:noWrap w:val="0"/>
            <w:vAlign w:val="center"/>
          </w:tcPr>
          <w:p w14:paraId="4D53D307">
            <w:pPr>
              <w:shd w:val="clear"/>
              <w:adjustRightInd w:val="0"/>
              <w:snapToGrid w:val="0"/>
              <w:jc w:val="left"/>
              <w:rPr>
                <w:rFonts w:hint="eastAsia" w:ascii="宋体" w:hAnsi="宋体" w:eastAsia="宋体" w:cs="宋体"/>
                <w:color w:val="auto"/>
                <w:sz w:val="21"/>
                <w:szCs w:val="21"/>
                <w:highlight w:val="none"/>
              </w:rPr>
            </w:pPr>
          </w:p>
        </w:tc>
      </w:tr>
      <w:tr w14:paraId="066EF2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1852" w:type="dxa"/>
            <w:noWrap w:val="0"/>
            <w:vAlign w:val="center"/>
          </w:tcPr>
          <w:p w14:paraId="50E42D44">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70F020A4">
            <w:pPr>
              <w:shd w:val="clear"/>
              <w:adjustRightInd w:val="0"/>
              <w:snapToGrid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第1.2（</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）项</w:t>
            </w:r>
          </w:p>
        </w:tc>
        <w:tc>
          <w:tcPr>
            <w:tcW w:w="2007" w:type="dxa"/>
            <w:noWrap w:val="0"/>
            <w:vAlign w:val="center"/>
          </w:tcPr>
          <w:p w14:paraId="67B60C56">
            <w:pPr>
              <w:shd w:val="clea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其他术语解释</w:t>
            </w:r>
          </w:p>
        </w:tc>
        <w:tc>
          <w:tcPr>
            <w:tcW w:w="5960" w:type="dxa"/>
            <w:noWrap w:val="0"/>
            <w:vAlign w:val="center"/>
          </w:tcPr>
          <w:p w14:paraId="7092EAF8">
            <w:pPr>
              <w:shd w:val="clear"/>
              <w:adjustRightInd w:val="0"/>
              <w:snapToGrid w:val="0"/>
              <w:jc w:val="left"/>
              <w:rPr>
                <w:rFonts w:hint="eastAsia" w:ascii="宋体" w:hAnsi="宋体" w:eastAsia="宋体" w:cs="宋体"/>
                <w:color w:val="auto"/>
                <w:kern w:val="2"/>
                <w:sz w:val="21"/>
                <w:szCs w:val="21"/>
                <w:highlight w:val="none"/>
                <w:lang w:val="en-US" w:eastAsia="zh-CN" w:bidi="ar-SA"/>
              </w:rPr>
            </w:pPr>
          </w:p>
        </w:tc>
      </w:tr>
      <w:tr w14:paraId="74A65A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4" w:hRule="atLeast"/>
          <w:jc w:val="center"/>
        </w:trPr>
        <w:tc>
          <w:tcPr>
            <w:tcW w:w="1852" w:type="dxa"/>
            <w:noWrap w:val="0"/>
            <w:vAlign w:val="center"/>
          </w:tcPr>
          <w:p w14:paraId="15C7A3DC">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4A2FAB6">
            <w:pPr>
              <w:shd w:val="clea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第</w:t>
            </w:r>
            <w:r>
              <w:rPr>
                <w:rFonts w:hint="eastAsia" w:ascii="宋体" w:hAnsi="宋体" w:eastAsia="宋体" w:cs="宋体"/>
                <w:color w:val="auto"/>
                <w:sz w:val="21"/>
                <w:szCs w:val="21"/>
                <w:highlight w:val="none"/>
                <w:lang w:val="en-US" w:eastAsia="zh-CN"/>
              </w:rPr>
              <w:t>4.4款</w:t>
            </w:r>
          </w:p>
        </w:tc>
        <w:tc>
          <w:tcPr>
            <w:tcW w:w="2007" w:type="dxa"/>
            <w:noWrap w:val="0"/>
            <w:vAlign w:val="center"/>
          </w:tcPr>
          <w:p w14:paraId="0D30D978">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履约验收中甲方提出异议或作出说明的期限</w:t>
            </w:r>
          </w:p>
        </w:tc>
        <w:tc>
          <w:tcPr>
            <w:tcW w:w="5960" w:type="dxa"/>
            <w:noWrap w:val="0"/>
            <w:vAlign w:val="center"/>
          </w:tcPr>
          <w:p w14:paraId="2F064397">
            <w:pPr>
              <w:shd w:val="clear"/>
              <w:adjustRightInd w:val="0"/>
              <w:snapToGrid w:val="0"/>
              <w:jc w:val="left"/>
              <w:rPr>
                <w:rFonts w:hint="eastAsia" w:ascii="宋体" w:hAnsi="宋体" w:eastAsia="宋体" w:cs="宋体"/>
                <w:color w:val="auto"/>
                <w:kern w:val="2"/>
                <w:sz w:val="21"/>
                <w:szCs w:val="21"/>
                <w:highlight w:val="none"/>
                <w:lang w:val="en-US" w:eastAsia="zh-CN" w:bidi="ar-SA"/>
              </w:rPr>
            </w:pPr>
          </w:p>
        </w:tc>
      </w:tr>
      <w:tr w14:paraId="71A6D2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6FB6D583">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9D8B6B7">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第</w:t>
            </w:r>
            <w:r>
              <w:rPr>
                <w:rFonts w:hint="eastAsia" w:ascii="宋体" w:hAnsi="宋体" w:eastAsia="宋体" w:cs="宋体"/>
                <w:color w:val="auto"/>
                <w:sz w:val="21"/>
                <w:szCs w:val="21"/>
                <w:highlight w:val="none"/>
                <w:lang w:val="en-US" w:eastAsia="zh-CN"/>
              </w:rPr>
              <w:t>4.6款</w:t>
            </w:r>
          </w:p>
        </w:tc>
        <w:tc>
          <w:tcPr>
            <w:tcW w:w="2007" w:type="dxa"/>
            <w:noWrap w:val="0"/>
            <w:vAlign w:val="center"/>
          </w:tcPr>
          <w:p w14:paraId="08B0606A">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约定甲方承担的其他义务和责任</w:t>
            </w:r>
          </w:p>
        </w:tc>
        <w:tc>
          <w:tcPr>
            <w:tcW w:w="5960" w:type="dxa"/>
            <w:noWrap w:val="0"/>
            <w:vAlign w:val="center"/>
          </w:tcPr>
          <w:p w14:paraId="5ED700A3">
            <w:pPr>
              <w:shd w:val="clear"/>
              <w:adjustRightInd w:val="0"/>
              <w:snapToGrid w:val="0"/>
              <w:jc w:val="left"/>
              <w:rPr>
                <w:rFonts w:hint="eastAsia" w:ascii="宋体" w:hAnsi="宋体" w:eastAsia="宋体" w:cs="宋体"/>
                <w:color w:val="auto"/>
                <w:kern w:val="2"/>
                <w:sz w:val="21"/>
                <w:szCs w:val="21"/>
                <w:highlight w:val="none"/>
                <w:lang w:val="en-US" w:eastAsia="zh-CN" w:bidi="ar-SA"/>
              </w:rPr>
            </w:pPr>
          </w:p>
        </w:tc>
      </w:tr>
      <w:tr w14:paraId="71A5FA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23106CB9">
            <w:pPr>
              <w:shd w:val="clear"/>
              <w:adjustRightInd w:val="0"/>
              <w:snapToGrid w:val="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第二节</w:t>
            </w:r>
          </w:p>
          <w:p w14:paraId="60C0ED8D">
            <w:pPr>
              <w:shd w:val="clear"/>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第</w:t>
            </w:r>
            <w:r>
              <w:rPr>
                <w:rFonts w:hint="eastAsia" w:ascii="宋体" w:hAnsi="宋体" w:eastAsia="宋体" w:cs="宋体"/>
                <w:color w:val="auto"/>
                <w:sz w:val="21"/>
                <w:szCs w:val="21"/>
                <w:highlight w:val="none"/>
                <w:lang w:val="en-US" w:eastAsia="zh-CN"/>
              </w:rPr>
              <w:t>5.4款</w:t>
            </w:r>
          </w:p>
        </w:tc>
        <w:tc>
          <w:tcPr>
            <w:tcW w:w="2007" w:type="dxa"/>
            <w:noWrap w:val="0"/>
            <w:vAlign w:val="center"/>
          </w:tcPr>
          <w:p w14:paraId="0DC95042">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约定乙方承担的其他义务和责任</w:t>
            </w:r>
          </w:p>
        </w:tc>
        <w:tc>
          <w:tcPr>
            <w:tcW w:w="5960" w:type="dxa"/>
            <w:noWrap w:val="0"/>
            <w:vAlign w:val="center"/>
          </w:tcPr>
          <w:p w14:paraId="04AB7367">
            <w:pPr>
              <w:shd w:val="clear"/>
              <w:adjustRightInd w:val="0"/>
              <w:snapToGrid w:val="0"/>
              <w:jc w:val="left"/>
              <w:rPr>
                <w:rFonts w:hint="eastAsia" w:ascii="宋体" w:hAnsi="宋体" w:eastAsia="宋体" w:cs="宋体"/>
                <w:color w:val="auto"/>
                <w:kern w:val="2"/>
                <w:sz w:val="21"/>
                <w:szCs w:val="21"/>
                <w:highlight w:val="none"/>
                <w:lang w:val="en-US" w:eastAsia="zh-CN" w:bidi="ar-SA"/>
              </w:rPr>
            </w:pPr>
          </w:p>
        </w:tc>
      </w:tr>
      <w:tr w14:paraId="2DDDF1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08DB9CB3">
            <w:pPr>
              <w:shd w:val="clear"/>
              <w:adjustRightInd w:val="0"/>
              <w:snapToGrid w:val="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第二节</w:t>
            </w:r>
          </w:p>
          <w:p w14:paraId="067C8409">
            <w:pPr>
              <w:shd w:val="clear"/>
              <w:snapToGrid w:val="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第</w:t>
            </w:r>
            <w:r>
              <w:rPr>
                <w:rFonts w:hint="eastAsia" w:ascii="宋体" w:hAnsi="宋体" w:eastAsia="宋体" w:cs="宋体"/>
                <w:color w:val="auto"/>
                <w:sz w:val="21"/>
                <w:szCs w:val="21"/>
                <w:highlight w:val="none"/>
                <w:lang w:val="en-US" w:eastAsia="zh-CN"/>
              </w:rPr>
              <w:t>6.1款</w:t>
            </w:r>
          </w:p>
        </w:tc>
        <w:tc>
          <w:tcPr>
            <w:tcW w:w="2007" w:type="dxa"/>
            <w:noWrap w:val="0"/>
            <w:vAlign w:val="center"/>
          </w:tcPr>
          <w:p w14:paraId="3A4AD1D8">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履行合同义务的顺序</w:t>
            </w:r>
          </w:p>
        </w:tc>
        <w:tc>
          <w:tcPr>
            <w:tcW w:w="5960" w:type="dxa"/>
            <w:noWrap w:val="0"/>
            <w:vAlign w:val="center"/>
          </w:tcPr>
          <w:p w14:paraId="56777447">
            <w:pPr>
              <w:shd w:val="clear"/>
              <w:adjustRightInd w:val="0"/>
              <w:snapToGrid w:val="0"/>
              <w:jc w:val="left"/>
              <w:rPr>
                <w:rFonts w:hint="eastAsia" w:ascii="宋体" w:hAnsi="宋体" w:eastAsia="宋体" w:cs="宋体"/>
                <w:color w:val="auto"/>
                <w:kern w:val="2"/>
                <w:sz w:val="21"/>
                <w:szCs w:val="21"/>
                <w:highlight w:val="none"/>
                <w:lang w:val="en-US" w:eastAsia="zh-CN" w:bidi="ar-SA"/>
              </w:rPr>
            </w:pPr>
          </w:p>
        </w:tc>
      </w:tr>
      <w:tr w14:paraId="4AB92D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852" w:type="dxa"/>
            <w:vMerge w:val="restart"/>
            <w:noWrap w:val="0"/>
            <w:vAlign w:val="center"/>
          </w:tcPr>
          <w:p w14:paraId="3DF10D8E">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90712FD">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款</w:t>
            </w:r>
          </w:p>
        </w:tc>
        <w:tc>
          <w:tcPr>
            <w:tcW w:w="2007" w:type="dxa"/>
            <w:noWrap w:val="0"/>
            <w:vAlign w:val="center"/>
          </w:tcPr>
          <w:p w14:paraId="1167021D">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包装</w:t>
            </w:r>
            <w:r>
              <w:rPr>
                <w:rFonts w:hint="eastAsia" w:ascii="宋体" w:hAnsi="宋体" w:eastAsia="宋体" w:cs="宋体"/>
                <w:color w:val="auto"/>
                <w:sz w:val="21"/>
                <w:szCs w:val="21"/>
                <w:highlight w:val="none"/>
                <w:lang w:eastAsia="zh-CN"/>
              </w:rPr>
              <w:t>特殊要求</w:t>
            </w:r>
          </w:p>
        </w:tc>
        <w:tc>
          <w:tcPr>
            <w:tcW w:w="5960" w:type="dxa"/>
            <w:noWrap w:val="0"/>
            <w:vAlign w:val="center"/>
          </w:tcPr>
          <w:p w14:paraId="5A1B3B1B">
            <w:pPr>
              <w:shd w:val="clear"/>
              <w:rPr>
                <w:rFonts w:hint="eastAsia" w:ascii="宋体" w:hAnsi="宋体" w:eastAsia="宋体" w:cs="宋体"/>
                <w:color w:val="auto"/>
                <w:sz w:val="21"/>
                <w:szCs w:val="21"/>
                <w:highlight w:val="none"/>
              </w:rPr>
            </w:pPr>
          </w:p>
        </w:tc>
      </w:tr>
      <w:tr w14:paraId="0D8902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852" w:type="dxa"/>
            <w:vMerge w:val="continue"/>
            <w:noWrap w:val="0"/>
            <w:vAlign w:val="center"/>
          </w:tcPr>
          <w:p w14:paraId="1A9DF0D2">
            <w:pPr>
              <w:shd w:val="clear"/>
              <w:adjustRightInd w:val="0"/>
              <w:snapToGrid w:val="0"/>
              <w:jc w:val="center"/>
              <w:rPr>
                <w:rFonts w:hint="eastAsia" w:ascii="宋体" w:hAnsi="宋体" w:eastAsia="宋体" w:cs="宋体"/>
                <w:color w:val="auto"/>
                <w:sz w:val="21"/>
                <w:szCs w:val="21"/>
                <w:highlight w:val="none"/>
              </w:rPr>
            </w:pPr>
          </w:p>
        </w:tc>
        <w:tc>
          <w:tcPr>
            <w:tcW w:w="2007" w:type="dxa"/>
            <w:noWrap w:val="0"/>
            <w:vAlign w:val="center"/>
          </w:tcPr>
          <w:p w14:paraId="08114485">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指定现场</w:t>
            </w:r>
          </w:p>
        </w:tc>
        <w:tc>
          <w:tcPr>
            <w:tcW w:w="5960" w:type="dxa"/>
            <w:noWrap w:val="0"/>
            <w:vAlign w:val="center"/>
          </w:tcPr>
          <w:p w14:paraId="508476B0">
            <w:pPr>
              <w:shd w:val="clear"/>
              <w:rPr>
                <w:rFonts w:hint="eastAsia" w:ascii="宋体" w:hAnsi="宋体" w:eastAsia="宋体" w:cs="宋体"/>
                <w:color w:val="auto"/>
                <w:sz w:val="21"/>
                <w:szCs w:val="21"/>
                <w:highlight w:val="none"/>
              </w:rPr>
            </w:pPr>
          </w:p>
        </w:tc>
      </w:tr>
      <w:tr w14:paraId="6B3611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jc w:val="center"/>
        </w:trPr>
        <w:tc>
          <w:tcPr>
            <w:tcW w:w="1852" w:type="dxa"/>
            <w:noWrap w:val="0"/>
            <w:vAlign w:val="center"/>
          </w:tcPr>
          <w:p w14:paraId="2E1CB2B8">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79B808A">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款</w:t>
            </w:r>
          </w:p>
        </w:tc>
        <w:tc>
          <w:tcPr>
            <w:tcW w:w="2007" w:type="dxa"/>
            <w:noWrap w:val="0"/>
            <w:vAlign w:val="center"/>
          </w:tcPr>
          <w:p w14:paraId="602188DF">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运输特殊要求</w:t>
            </w:r>
          </w:p>
        </w:tc>
        <w:tc>
          <w:tcPr>
            <w:tcW w:w="5960" w:type="dxa"/>
            <w:noWrap w:val="0"/>
            <w:vAlign w:val="center"/>
          </w:tcPr>
          <w:p w14:paraId="73EDC3FE">
            <w:pPr>
              <w:shd w:val="clear"/>
              <w:rPr>
                <w:rFonts w:hint="eastAsia" w:ascii="宋体" w:hAnsi="宋体" w:eastAsia="宋体" w:cs="宋体"/>
                <w:color w:val="auto"/>
                <w:sz w:val="21"/>
                <w:szCs w:val="21"/>
                <w:highlight w:val="none"/>
              </w:rPr>
            </w:pPr>
          </w:p>
        </w:tc>
      </w:tr>
      <w:tr w14:paraId="7DB3CD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jc w:val="center"/>
        </w:trPr>
        <w:tc>
          <w:tcPr>
            <w:tcW w:w="1852" w:type="dxa"/>
            <w:noWrap w:val="0"/>
            <w:vAlign w:val="center"/>
          </w:tcPr>
          <w:p w14:paraId="706D0DFE">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D9A8D94">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val="en-US" w:eastAsia="zh-CN"/>
              </w:rPr>
              <w:t>款</w:t>
            </w:r>
          </w:p>
        </w:tc>
        <w:tc>
          <w:tcPr>
            <w:tcW w:w="2007" w:type="dxa"/>
            <w:noWrap w:val="0"/>
            <w:vAlign w:val="center"/>
          </w:tcPr>
          <w:p w14:paraId="7AFD4799">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保险要求</w:t>
            </w:r>
          </w:p>
        </w:tc>
        <w:tc>
          <w:tcPr>
            <w:tcW w:w="5960" w:type="dxa"/>
            <w:noWrap w:val="0"/>
            <w:vAlign w:val="center"/>
          </w:tcPr>
          <w:p w14:paraId="59639CA9">
            <w:pPr>
              <w:shd w:val="clear"/>
              <w:rPr>
                <w:rFonts w:hint="eastAsia" w:ascii="宋体" w:hAnsi="宋体" w:eastAsia="宋体" w:cs="宋体"/>
                <w:color w:val="auto"/>
                <w:sz w:val="21"/>
                <w:szCs w:val="21"/>
                <w:highlight w:val="none"/>
              </w:rPr>
            </w:pPr>
          </w:p>
        </w:tc>
      </w:tr>
      <w:tr w14:paraId="6D2CA5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78A5F8CB">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7E98B69F">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.2（1）项</w:t>
            </w:r>
          </w:p>
        </w:tc>
        <w:tc>
          <w:tcPr>
            <w:tcW w:w="2007" w:type="dxa"/>
            <w:noWrap w:val="0"/>
            <w:vAlign w:val="center"/>
          </w:tcPr>
          <w:p w14:paraId="3C094B51">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质量保证期</w:t>
            </w:r>
          </w:p>
        </w:tc>
        <w:tc>
          <w:tcPr>
            <w:tcW w:w="5960" w:type="dxa"/>
            <w:noWrap w:val="0"/>
            <w:vAlign w:val="center"/>
          </w:tcPr>
          <w:p w14:paraId="25A001CE">
            <w:pPr>
              <w:shd w:val="clear"/>
              <w:autoSpaceDE w:val="0"/>
              <w:autoSpaceDN w:val="0"/>
              <w:adjustRightInd w:val="0"/>
              <w:snapToGrid w:val="0"/>
              <w:ind w:firstLine="420" w:firstLineChars="200"/>
              <w:jc w:val="left"/>
              <w:rPr>
                <w:rFonts w:hint="eastAsia" w:ascii="宋体" w:hAnsi="宋体" w:eastAsia="宋体" w:cs="宋体"/>
                <w:color w:val="auto"/>
                <w:sz w:val="21"/>
                <w:szCs w:val="21"/>
                <w:highlight w:val="none"/>
              </w:rPr>
            </w:pPr>
          </w:p>
        </w:tc>
      </w:tr>
      <w:tr w14:paraId="12BE41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1CA39959">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617CAE1">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.2（3）项</w:t>
            </w:r>
          </w:p>
        </w:tc>
        <w:tc>
          <w:tcPr>
            <w:tcW w:w="2007" w:type="dxa"/>
            <w:noWrap w:val="0"/>
            <w:vAlign w:val="center"/>
          </w:tcPr>
          <w:p w14:paraId="48D52E7B">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货物质量缺陷</w:t>
            </w:r>
          </w:p>
          <w:p w14:paraId="6948CCC8">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响应时间</w:t>
            </w:r>
          </w:p>
        </w:tc>
        <w:tc>
          <w:tcPr>
            <w:tcW w:w="5960" w:type="dxa"/>
            <w:noWrap w:val="0"/>
            <w:vAlign w:val="center"/>
          </w:tcPr>
          <w:p w14:paraId="43012A1E">
            <w:pPr>
              <w:shd w:val="clear"/>
              <w:adjustRightInd w:val="0"/>
              <w:snapToGrid w:val="0"/>
              <w:jc w:val="left"/>
              <w:rPr>
                <w:rFonts w:hint="eastAsia" w:ascii="宋体" w:hAnsi="宋体" w:eastAsia="宋体" w:cs="宋体"/>
                <w:color w:val="auto"/>
                <w:sz w:val="21"/>
                <w:szCs w:val="21"/>
                <w:highlight w:val="none"/>
              </w:rPr>
            </w:pPr>
          </w:p>
        </w:tc>
      </w:tr>
      <w:tr w14:paraId="2AAEBC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386BDB92">
            <w:pPr>
              <w:shd w:val="clear"/>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第二节</w:t>
            </w:r>
          </w:p>
          <w:p w14:paraId="2779F117">
            <w:pPr>
              <w:pStyle w:val="402"/>
              <w:shd w:val="clear"/>
              <w:ind w:firstLine="0" w:firstLine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第11.1款</w:t>
            </w:r>
          </w:p>
        </w:tc>
        <w:tc>
          <w:tcPr>
            <w:tcW w:w="2007" w:type="dxa"/>
            <w:noWrap w:val="0"/>
            <w:vAlign w:val="center"/>
          </w:tcPr>
          <w:p w14:paraId="0FC7A0E5">
            <w:pPr>
              <w:shd w:val="clear"/>
              <w:adjustRightInd w:val="0"/>
              <w:snapToGrid w:val="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其他应当保密的信息</w:t>
            </w:r>
          </w:p>
        </w:tc>
        <w:tc>
          <w:tcPr>
            <w:tcW w:w="5960" w:type="dxa"/>
            <w:noWrap w:val="0"/>
            <w:vAlign w:val="center"/>
          </w:tcPr>
          <w:p w14:paraId="2AD129E2">
            <w:pPr>
              <w:shd w:val="clear"/>
              <w:adjustRightInd w:val="0"/>
              <w:snapToGrid w:val="0"/>
              <w:jc w:val="left"/>
              <w:rPr>
                <w:rFonts w:hint="eastAsia" w:ascii="宋体" w:hAnsi="宋体" w:eastAsia="宋体" w:cs="宋体"/>
                <w:color w:val="auto"/>
                <w:sz w:val="21"/>
                <w:szCs w:val="21"/>
                <w:highlight w:val="none"/>
              </w:rPr>
            </w:pPr>
          </w:p>
        </w:tc>
      </w:tr>
      <w:tr w14:paraId="42F705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852" w:type="dxa"/>
            <w:noWrap w:val="0"/>
            <w:vAlign w:val="center"/>
          </w:tcPr>
          <w:p w14:paraId="7D5B6384">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88E975E">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.2款</w:t>
            </w:r>
          </w:p>
        </w:tc>
        <w:tc>
          <w:tcPr>
            <w:tcW w:w="2007" w:type="dxa"/>
            <w:noWrap w:val="0"/>
            <w:vAlign w:val="center"/>
          </w:tcPr>
          <w:p w14:paraId="77302F1F">
            <w:pPr>
              <w:shd w:val="clear"/>
              <w:adjustRightInd w:val="0"/>
              <w:snapToGrid w:val="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合同价款支付</w:t>
            </w:r>
            <w:r>
              <w:rPr>
                <w:rFonts w:hint="eastAsia" w:ascii="宋体" w:hAnsi="宋体" w:eastAsia="宋体" w:cs="宋体"/>
                <w:color w:val="auto"/>
                <w:sz w:val="21"/>
                <w:szCs w:val="21"/>
                <w:highlight w:val="none"/>
                <w:lang w:eastAsia="zh-CN"/>
              </w:rPr>
              <w:t>时间</w:t>
            </w:r>
          </w:p>
        </w:tc>
        <w:tc>
          <w:tcPr>
            <w:tcW w:w="5960" w:type="dxa"/>
            <w:noWrap w:val="0"/>
            <w:vAlign w:val="center"/>
          </w:tcPr>
          <w:p w14:paraId="063D1B28">
            <w:pPr>
              <w:shd w:val="clear"/>
              <w:adjustRightInd w:val="0"/>
              <w:snapToGrid w:val="0"/>
              <w:jc w:val="left"/>
              <w:rPr>
                <w:rFonts w:hint="eastAsia" w:ascii="宋体" w:hAnsi="宋体" w:eastAsia="宋体" w:cs="宋体"/>
                <w:color w:val="auto"/>
                <w:sz w:val="21"/>
                <w:szCs w:val="21"/>
                <w:highlight w:val="none"/>
              </w:rPr>
            </w:pPr>
          </w:p>
        </w:tc>
      </w:tr>
      <w:tr w14:paraId="6B59F9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6" w:hRule="atLeast"/>
          <w:jc w:val="center"/>
        </w:trPr>
        <w:tc>
          <w:tcPr>
            <w:tcW w:w="1852" w:type="dxa"/>
            <w:noWrap w:val="0"/>
            <w:vAlign w:val="center"/>
          </w:tcPr>
          <w:p w14:paraId="4D7929AA">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58666074">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13.2</w:t>
            </w:r>
            <w:r>
              <w:rPr>
                <w:rFonts w:hint="eastAsia" w:ascii="宋体" w:hAnsi="宋体" w:eastAsia="宋体" w:cs="宋体"/>
                <w:color w:val="auto"/>
                <w:sz w:val="21"/>
                <w:szCs w:val="21"/>
                <w:highlight w:val="none"/>
              </w:rPr>
              <w:t>款</w:t>
            </w:r>
          </w:p>
        </w:tc>
        <w:tc>
          <w:tcPr>
            <w:tcW w:w="2007" w:type="dxa"/>
            <w:noWrap w:val="0"/>
            <w:vAlign w:val="center"/>
          </w:tcPr>
          <w:p w14:paraId="54A96D3C">
            <w:pPr>
              <w:shd w:val="clear"/>
              <w:adjustRightInd w:val="0"/>
              <w:snapToGrid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履约保证金不予退还的情形</w:t>
            </w:r>
          </w:p>
        </w:tc>
        <w:tc>
          <w:tcPr>
            <w:tcW w:w="5960" w:type="dxa"/>
            <w:noWrap w:val="0"/>
            <w:vAlign w:val="center"/>
          </w:tcPr>
          <w:p w14:paraId="408A5AF2">
            <w:pPr>
              <w:shd w:val="clear"/>
              <w:adjustRightInd w:val="0"/>
              <w:snapToGrid w:val="0"/>
              <w:jc w:val="left"/>
              <w:rPr>
                <w:rFonts w:hint="eastAsia" w:ascii="宋体" w:hAnsi="宋体" w:eastAsia="宋体" w:cs="宋体"/>
                <w:color w:val="auto"/>
                <w:sz w:val="21"/>
                <w:szCs w:val="21"/>
                <w:highlight w:val="none"/>
              </w:rPr>
            </w:pPr>
          </w:p>
        </w:tc>
      </w:tr>
      <w:tr w14:paraId="287FC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4" w:hRule="atLeast"/>
          <w:jc w:val="center"/>
        </w:trPr>
        <w:tc>
          <w:tcPr>
            <w:tcW w:w="1852" w:type="dxa"/>
            <w:noWrap w:val="0"/>
            <w:vAlign w:val="center"/>
          </w:tcPr>
          <w:p w14:paraId="5E4A0ECA">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EE2C1F7">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13.3</w:t>
            </w:r>
            <w:r>
              <w:rPr>
                <w:rFonts w:hint="eastAsia" w:ascii="宋体" w:hAnsi="宋体" w:eastAsia="宋体" w:cs="宋体"/>
                <w:color w:val="auto"/>
                <w:sz w:val="21"/>
                <w:szCs w:val="21"/>
                <w:highlight w:val="none"/>
              </w:rPr>
              <w:t>款</w:t>
            </w:r>
          </w:p>
        </w:tc>
        <w:tc>
          <w:tcPr>
            <w:tcW w:w="2007" w:type="dxa"/>
            <w:noWrap w:val="0"/>
            <w:vAlign w:val="center"/>
          </w:tcPr>
          <w:p w14:paraId="3197F670">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履约保证金退还时间及</w:t>
            </w:r>
            <w:r>
              <w:rPr>
                <w:rFonts w:hint="eastAsia" w:ascii="宋体" w:hAnsi="宋体" w:eastAsia="宋体" w:cs="宋体"/>
                <w:color w:val="auto"/>
                <w:sz w:val="21"/>
                <w:szCs w:val="21"/>
                <w:highlight w:val="none"/>
                <w:lang w:eastAsia="zh-CN"/>
              </w:rPr>
              <w:t>逾期退还的</w:t>
            </w:r>
            <w:r>
              <w:rPr>
                <w:rFonts w:hint="eastAsia" w:ascii="宋体" w:hAnsi="宋体" w:eastAsia="宋体" w:cs="宋体"/>
                <w:color w:val="auto"/>
                <w:sz w:val="21"/>
                <w:szCs w:val="21"/>
                <w:highlight w:val="none"/>
              </w:rPr>
              <w:t>违约金</w:t>
            </w:r>
          </w:p>
        </w:tc>
        <w:tc>
          <w:tcPr>
            <w:tcW w:w="5960" w:type="dxa"/>
            <w:noWrap w:val="0"/>
            <w:vAlign w:val="center"/>
          </w:tcPr>
          <w:p w14:paraId="680AC672">
            <w:pPr>
              <w:shd w:val="clear"/>
              <w:adjustRightInd w:val="0"/>
              <w:snapToGrid w:val="0"/>
              <w:jc w:val="left"/>
              <w:rPr>
                <w:rFonts w:hint="eastAsia" w:ascii="宋体" w:hAnsi="宋体" w:eastAsia="宋体" w:cs="宋体"/>
                <w:color w:val="auto"/>
                <w:sz w:val="21"/>
                <w:szCs w:val="21"/>
                <w:highlight w:val="none"/>
              </w:rPr>
            </w:pPr>
          </w:p>
        </w:tc>
      </w:tr>
      <w:tr w14:paraId="11C276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1852" w:type="dxa"/>
            <w:noWrap w:val="0"/>
            <w:vAlign w:val="center"/>
          </w:tcPr>
          <w:p w14:paraId="2FF9245F">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9433D87">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）项</w:t>
            </w:r>
          </w:p>
        </w:tc>
        <w:tc>
          <w:tcPr>
            <w:tcW w:w="2007" w:type="dxa"/>
            <w:noWrap w:val="0"/>
            <w:vAlign w:val="center"/>
          </w:tcPr>
          <w:p w14:paraId="1ADDB53C">
            <w:pPr>
              <w:shd w:val="clear"/>
              <w:adjustRightInd w:val="0"/>
              <w:snapToGrid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运行监督、维修期限</w:t>
            </w:r>
          </w:p>
        </w:tc>
        <w:tc>
          <w:tcPr>
            <w:tcW w:w="5960" w:type="dxa"/>
            <w:noWrap w:val="0"/>
            <w:vAlign w:val="center"/>
          </w:tcPr>
          <w:p w14:paraId="0881CA70">
            <w:pPr>
              <w:shd w:val="clear"/>
              <w:adjustRightInd w:val="0"/>
              <w:snapToGrid w:val="0"/>
              <w:jc w:val="left"/>
              <w:rPr>
                <w:rFonts w:hint="eastAsia" w:ascii="宋体" w:hAnsi="宋体" w:eastAsia="宋体" w:cs="宋体"/>
                <w:color w:val="auto"/>
                <w:sz w:val="21"/>
                <w:szCs w:val="21"/>
                <w:highlight w:val="none"/>
              </w:rPr>
            </w:pPr>
          </w:p>
        </w:tc>
      </w:tr>
      <w:tr w14:paraId="20D01F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1" w:hRule="atLeast"/>
          <w:jc w:val="center"/>
        </w:trPr>
        <w:tc>
          <w:tcPr>
            <w:tcW w:w="1852" w:type="dxa"/>
            <w:noWrap w:val="0"/>
            <w:vAlign w:val="center"/>
          </w:tcPr>
          <w:p w14:paraId="1ADE249A">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7413A70">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）项</w:t>
            </w:r>
          </w:p>
        </w:tc>
        <w:tc>
          <w:tcPr>
            <w:tcW w:w="2007" w:type="dxa"/>
            <w:noWrap w:val="0"/>
            <w:vAlign w:val="center"/>
          </w:tcPr>
          <w:p w14:paraId="0C940DF1">
            <w:pPr>
              <w:shd w:val="clear"/>
              <w:adjustRightInd w:val="0"/>
              <w:snapToGrid w:val="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货物回收的约定</w:t>
            </w:r>
          </w:p>
        </w:tc>
        <w:tc>
          <w:tcPr>
            <w:tcW w:w="5960" w:type="dxa"/>
            <w:noWrap w:val="0"/>
            <w:vAlign w:val="center"/>
          </w:tcPr>
          <w:p w14:paraId="18BE7DAD">
            <w:pPr>
              <w:shd w:val="clear"/>
              <w:adjustRightInd w:val="0"/>
              <w:snapToGrid w:val="0"/>
              <w:jc w:val="left"/>
              <w:rPr>
                <w:rFonts w:hint="eastAsia" w:ascii="宋体" w:hAnsi="宋体" w:eastAsia="宋体" w:cs="宋体"/>
                <w:color w:val="auto"/>
                <w:sz w:val="21"/>
                <w:szCs w:val="21"/>
                <w:highlight w:val="none"/>
              </w:rPr>
            </w:pPr>
          </w:p>
        </w:tc>
      </w:tr>
      <w:tr w14:paraId="1D9FED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9" w:hRule="atLeast"/>
          <w:jc w:val="center"/>
        </w:trPr>
        <w:tc>
          <w:tcPr>
            <w:tcW w:w="1852" w:type="dxa"/>
            <w:noWrap w:val="0"/>
            <w:vAlign w:val="center"/>
          </w:tcPr>
          <w:p w14:paraId="739C2A0A">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FEE6791">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）项</w:t>
            </w:r>
          </w:p>
        </w:tc>
        <w:tc>
          <w:tcPr>
            <w:tcW w:w="2007" w:type="dxa"/>
            <w:noWrap w:val="0"/>
            <w:vAlign w:val="center"/>
          </w:tcPr>
          <w:p w14:paraId="4BB34AAB">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乙方提供的其他服务</w:t>
            </w:r>
          </w:p>
        </w:tc>
        <w:tc>
          <w:tcPr>
            <w:tcW w:w="5960" w:type="dxa"/>
            <w:noWrap w:val="0"/>
            <w:vAlign w:val="center"/>
          </w:tcPr>
          <w:p w14:paraId="694F5ED3">
            <w:pPr>
              <w:shd w:val="clear"/>
              <w:adjustRightInd w:val="0"/>
              <w:snapToGrid w:val="0"/>
              <w:jc w:val="left"/>
              <w:rPr>
                <w:rFonts w:hint="eastAsia" w:ascii="宋体" w:hAnsi="宋体" w:eastAsia="宋体" w:cs="宋体"/>
                <w:color w:val="auto"/>
                <w:sz w:val="21"/>
                <w:szCs w:val="21"/>
                <w:highlight w:val="none"/>
              </w:rPr>
            </w:pPr>
          </w:p>
        </w:tc>
      </w:tr>
      <w:tr w14:paraId="0BF65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2CCF0134">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40E1B970">
            <w:pPr>
              <w:shd w:val="clear"/>
              <w:adjustRightInd w:val="0"/>
              <w:snapToGrid w:val="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1款</w:t>
            </w:r>
          </w:p>
        </w:tc>
        <w:tc>
          <w:tcPr>
            <w:tcW w:w="2007" w:type="dxa"/>
            <w:noWrap w:val="0"/>
            <w:vAlign w:val="center"/>
          </w:tcPr>
          <w:p w14:paraId="79E49B9E">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修理、重作、更换相关具体规定</w:t>
            </w:r>
          </w:p>
        </w:tc>
        <w:tc>
          <w:tcPr>
            <w:tcW w:w="5960" w:type="dxa"/>
            <w:noWrap w:val="0"/>
            <w:vAlign w:val="center"/>
          </w:tcPr>
          <w:p w14:paraId="3712F39C">
            <w:pPr>
              <w:shd w:val="clear"/>
              <w:adjustRightInd w:val="0"/>
              <w:snapToGrid w:val="0"/>
              <w:jc w:val="left"/>
              <w:rPr>
                <w:rFonts w:hint="eastAsia" w:ascii="宋体" w:hAnsi="宋体" w:eastAsia="宋体" w:cs="宋体"/>
                <w:color w:val="auto"/>
                <w:sz w:val="21"/>
                <w:szCs w:val="21"/>
                <w:highlight w:val="none"/>
              </w:rPr>
            </w:pPr>
          </w:p>
        </w:tc>
      </w:tr>
      <w:tr w14:paraId="1842AA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4DA5092C">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43E1C1E3">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.2（2）项</w:t>
            </w:r>
          </w:p>
        </w:tc>
        <w:tc>
          <w:tcPr>
            <w:tcW w:w="2007" w:type="dxa"/>
            <w:noWrap w:val="0"/>
            <w:vAlign w:val="center"/>
          </w:tcPr>
          <w:p w14:paraId="71736556">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迟延交货赔偿费</w:t>
            </w:r>
          </w:p>
        </w:tc>
        <w:tc>
          <w:tcPr>
            <w:tcW w:w="5960" w:type="dxa"/>
            <w:noWrap w:val="0"/>
            <w:vAlign w:val="center"/>
          </w:tcPr>
          <w:p w14:paraId="1698CF7E">
            <w:pPr>
              <w:shd w:val="clear"/>
              <w:adjustRightInd w:val="0"/>
              <w:snapToGrid w:val="0"/>
              <w:jc w:val="left"/>
              <w:rPr>
                <w:rFonts w:hint="eastAsia" w:ascii="宋体" w:hAnsi="宋体" w:eastAsia="宋体" w:cs="宋体"/>
                <w:color w:val="auto"/>
                <w:sz w:val="21"/>
                <w:szCs w:val="21"/>
                <w:highlight w:val="none"/>
                <w:u w:val="single"/>
              </w:rPr>
            </w:pPr>
          </w:p>
        </w:tc>
      </w:tr>
      <w:tr w14:paraId="6EABB3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4" w:hRule="atLeast"/>
          <w:jc w:val="center"/>
        </w:trPr>
        <w:tc>
          <w:tcPr>
            <w:tcW w:w="1852" w:type="dxa"/>
            <w:noWrap w:val="0"/>
            <w:vAlign w:val="center"/>
          </w:tcPr>
          <w:p w14:paraId="54EDAFD0">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7385066">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3款</w:t>
            </w:r>
          </w:p>
        </w:tc>
        <w:tc>
          <w:tcPr>
            <w:tcW w:w="2007" w:type="dxa"/>
            <w:noWrap w:val="0"/>
            <w:vAlign w:val="center"/>
          </w:tcPr>
          <w:p w14:paraId="0D1B144F">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逾期付款利息</w:t>
            </w:r>
          </w:p>
        </w:tc>
        <w:tc>
          <w:tcPr>
            <w:tcW w:w="5960" w:type="dxa"/>
            <w:noWrap w:val="0"/>
            <w:vAlign w:val="center"/>
          </w:tcPr>
          <w:p w14:paraId="7E8537D2">
            <w:pPr>
              <w:shd w:val="clear"/>
              <w:adjustRightInd w:val="0"/>
              <w:snapToGrid w:val="0"/>
              <w:jc w:val="left"/>
              <w:rPr>
                <w:rFonts w:hint="eastAsia" w:ascii="宋体" w:hAnsi="宋体" w:eastAsia="宋体" w:cs="宋体"/>
                <w:color w:val="auto"/>
                <w:sz w:val="21"/>
                <w:szCs w:val="21"/>
                <w:highlight w:val="none"/>
                <w:u w:val="single"/>
              </w:rPr>
            </w:pPr>
          </w:p>
        </w:tc>
      </w:tr>
      <w:tr w14:paraId="615C6E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1" w:hRule="atLeast"/>
          <w:jc w:val="center"/>
        </w:trPr>
        <w:tc>
          <w:tcPr>
            <w:tcW w:w="1852" w:type="dxa"/>
            <w:tcBorders>
              <w:bottom w:val="single" w:color="auto" w:sz="2" w:space="0"/>
              <w:right w:val="single" w:color="auto" w:sz="2" w:space="0"/>
            </w:tcBorders>
            <w:noWrap w:val="0"/>
            <w:vAlign w:val="center"/>
          </w:tcPr>
          <w:p w14:paraId="073711A2">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242689C8">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第1</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款</w:t>
            </w:r>
          </w:p>
        </w:tc>
        <w:tc>
          <w:tcPr>
            <w:tcW w:w="2007" w:type="dxa"/>
            <w:tcBorders>
              <w:left w:val="single" w:color="auto" w:sz="2" w:space="0"/>
              <w:bottom w:val="single" w:color="auto" w:sz="2" w:space="0"/>
              <w:right w:val="single" w:color="auto" w:sz="2" w:space="0"/>
            </w:tcBorders>
            <w:noWrap w:val="0"/>
            <w:vAlign w:val="center"/>
          </w:tcPr>
          <w:p w14:paraId="23D7CC44">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其他违约责任</w:t>
            </w:r>
          </w:p>
        </w:tc>
        <w:tc>
          <w:tcPr>
            <w:tcW w:w="5960" w:type="dxa"/>
            <w:tcBorders>
              <w:left w:val="single" w:color="auto" w:sz="2" w:space="0"/>
              <w:bottom w:val="single" w:color="auto" w:sz="2" w:space="0"/>
            </w:tcBorders>
            <w:noWrap w:val="0"/>
            <w:vAlign w:val="center"/>
          </w:tcPr>
          <w:p w14:paraId="3812E861">
            <w:pPr>
              <w:shd w:val="clear"/>
              <w:adjustRightInd w:val="0"/>
              <w:snapToGrid w:val="0"/>
              <w:jc w:val="left"/>
              <w:rPr>
                <w:rFonts w:hint="eastAsia" w:ascii="宋体" w:hAnsi="宋体" w:eastAsia="宋体" w:cs="宋体"/>
                <w:color w:val="auto"/>
                <w:sz w:val="21"/>
                <w:szCs w:val="21"/>
                <w:highlight w:val="none"/>
                <w:u w:val="single"/>
              </w:rPr>
            </w:pPr>
          </w:p>
        </w:tc>
      </w:tr>
      <w:tr w14:paraId="2E2DE3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35" w:hRule="atLeast"/>
          <w:jc w:val="center"/>
        </w:trPr>
        <w:tc>
          <w:tcPr>
            <w:tcW w:w="1852" w:type="dxa"/>
            <w:tcBorders>
              <w:top w:val="single" w:color="auto" w:sz="2" w:space="0"/>
              <w:right w:val="single" w:color="auto" w:sz="2" w:space="0"/>
            </w:tcBorders>
            <w:noWrap w:val="0"/>
            <w:vAlign w:val="center"/>
          </w:tcPr>
          <w:p w14:paraId="763D934D">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6DA208BE">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w:t>
            </w:r>
            <w:r>
              <w:rPr>
                <w:rFonts w:hint="eastAsia" w:ascii="宋体" w:hAnsi="宋体" w:eastAsia="宋体" w:cs="宋体"/>
                <w:color w:val="auto"/>
                <w:sz w:val="21"/>
                <w:szCs w:val="21"/>
                <w:highlight w:val="none"/>
                <w:lang w:val="en-US" w:eastAsia="zh-CN"/>
              </w:rPr>
              <w:t>19</w:t>
            </w:r>
            <w:r>
              <w:rPr>
                <w:rFonts w:hint="eastAsia" w:ascii="宋体" w:hAnsi="宋体" w:eastAsia="宋体" w:cs="宋体"/>
                <w:color w:val="auto"/>
                <w:sz w:val="21"/>
                <w:szCs w:val="21"/>
                <w:highlight w:val="none"/>
              </w:rPr>
              <w:t>.2</w:t>
            </w:r>
            <w:r>
              <w:rPr>
                <w:rFonts w:hint="eastAsia" w:ascii="宋体" w:hAnsi="宋体" w:eastAsia="宋体" w:cs="宋体"/>
                <w:color w:val="auto"/>
                <w:sz w:val="21"/>
                <w:szCs w:val="21"/>
                <w:highlight w:val="none"/>
                <w:lang w:val="en-US" w:eastAsia="zh-CN"/>
              </w:rPr>
              <w:t>款</w:t>
            </w:r>
          </w:p>
        </w:tc>
        <w:tc>
          <w:tcPr>
            <w:tcW w:w="2007" w:type="dxa"/>
            <w:tcBorders>
              <w:top w:val="single" w:color="auto" w:sz="2" w:space="0"/>
              <w:left w:val="single" w:color="auto" w:sz="2" w:space="0"/>
              <w:right w:val="single" w:color="auto" w:sz="2" w:space="0"/>
            </w:tcBorders>
            <w:noWrap w:val="0"/>
            <w:vAlign w:val="center"/>
          </w:tcPr>
          <w:p w14:paraId="6B18665A">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解决争议的方法</w:t>
            </w:r>
          </w:p>
        </w:tc>
        <w:tc>
          <w:tcPr>
            <w:tcW w:w="5960" w:type="dxa"/>
            <w:tcBorders>
              <w:top w:val="single" w:color="auto" w:sz="2" w:space="0"/>
              <w:left w:val="single" w:color="auto" w:sz="2" w:space="0"/>
            </w:tcBorders>
            <w:noWrap w:val="0"/>
            <w:vAlign w:val="center"/>
          </w:tcPr>
          <w:p w14:paraId="19A07779">
            <w:pPr>
              <w:shd w:val="clear"/>
              <w:autoSpaceDE w:val="0"/>
              <w:autoSpaceDN w:val="0"/>
              <w:adjustRightInd w:val="0"/>
              <w:snapToGrid w:val="0"/>
              <w:spacing w:line="400" w:lineRule="exact"/>
              <w:jc w:val="left"/>
              <w:rPr>
                <w:rFonts w:hint="eastAsia" w:ascii="宋体" w:hAnsi="宋体" w:eastAsia="宋体" w:cs="宋体"/>
                <w:b w:val="0"/>
                <w:bCs w:val="0"/>
                <w:iCs/>
                <w:color w:val="auto"/>
                <w:sz w:val="21"/>
                <w:szCs w:val="21"/>
                <w:highlight w:val="none"/>
              </w:rPr>
            </w:pPr>
            <w:r>
              <w:rPr>
                <w:rFonts w:hint="eastAsia" w:ascii="宋体" w:hAnsi="宋体" w:eastAsia="宋体" w:cs="宋体"/>
                <w:b w:val="0"/>
                <w:bCs w:val="0"/>
                <w:iCs/>
                <w:color w:val="auto"/>
                <w:sz w:val="21"/>
                <w:szCs w:val="21"/>
                <w:highlight w:val="none"/>
              </w:rPr>
              <w:t>因本合同及合同有关事项发生的争议，按下列第</w:t>
            </w:r>
            <w:r>
              <w:rPr>
                <w:rFonts w:hint="eastAsia" w:ascii="宋体" w:hAnsi="宋体" w:eastAsia="宋体" w:cs="宋体"/>
                <w:b w:val="0"/>
                <w:bCs w:val="0"/>
                <w:iCs/>
                <w:color w:val="auto"/>
                <w:sz w:val="21"/>
                <w:szCs w:val="21"/>
                <w:highlight w:val="none"/>
                <w:u w:val="single"/>
              </w:rPr>
              <w:t xml:space="preserve">   </w:t>
            </w:r>
            <w:r>
              <w:rPr>
                <w:rFonts w:hint="eastAsia" w:ascii="宋体" w:hAnsi="宋体" w:eastAsia="宋体" w:cs="宋体"/>
                <w:b w:val="0"/>
                <w:bCs w:val="0"/>
                <w:iCs/>
                <w:color w:val="auto"/>
                <w:sz w:val="21"/>
                <w:szCs w:val="21"/>
                <w:highlight w:val="none"/>
              </w:rPr>
              <w:t>种方式解决：</w:t>
            </w:r>
          </w:p>
          <w:p w14:paraId="407AE70C">
            <w:pPr>
              <w:shd w:val="clear"/>
              <w:autoSpaceDE w:val="0"/>
              <w:autoSpaceDN w:val="0"/>
              <w:adjustRightInd w:val="0"/>
              <w:snapToGrid w:val="0"/>
              <w:spacing w:line="400" w:lineRule="exact"/>
              <w:jc w:val="left"/>
              <w:rPr>
                <w:rFonts w:hint="eastAsia" w:ascii="宋体" w:hAnsi="宋体" w:eastAsia="宋体" w:cs="宋体"/>
                <w:b w:val="0"/>
                <w:bCs w:val="0"/>
                <w:iCs/>
                <w:color w:val="auto"/>
                <w:sz w:val="21"/>
                <w:szCs w:val="21"/>
                <w:highlight w:val="none"/>
              </w:rPr>
            </w:pPr>
            <w:r>
              <w:rPr>
                <w:rFonts w:hint="eastAsia" w:ascii="宋体" w:hAnsi="宋体" w:eastAsia="宋体" w:cs="宋体"/>
                <w:b w:val="0"/>
                <w:bCs w:val="0"/>
                <w:iCs/>
                <w:color w:val="auto"/>
                <w:sz w:val="21"/>
                <w:szCs w:val="21"/>
                <w:highlight w:val="none"/>
              </w:rPr>
              <w:t>（1）向</w:t>
            </w:r>
            <w:r>
              <w:rPr>
                <w:rFonts w:hint="eastAsia" w:ascii="宋体" w:hAnsi="宋体" w:eastAsia="宋体" w:cs="宋体"/>
                <w:b w:val="0"/>
                <w:bCs w:val="0"/>
                <w:iCs/>
                <w:color w:val="auto"/>
                <w:sz w:val="21"/>
                <w:szCs w:val="21"/>
                <w:highlight w:val="none"/>
                <w:u w:val="single"/>
              </w:rPr>
              <w:t xml:space="preserve">                    </w:t>
            </w:r>
            <w:r>
              <w:rPr>
                <w:rFonts w:hint="eastAsia" w:ascii="宋体" w:hAnsi="宋体" w:eastAsia="宋体" w:cs="宋体"/>
                <w:b w:val="0"/>
                <w:bCs w:val="0"/>
                <w:iCs/>
                <w:color w:val="auto"/>
                <w:sz w:val="21"/>
                <w:szCs w:val="21"/>
                <w:highlight w:val="none"/>
              </w:rPr>
              <w:t>仲裁委员会申请仲裁，仲裁地点为</w:t>
            </w:r>
            <w:r>
              <w:rPr>
                <w:rFonts w:hint="eastAsia" w:ascii="宋体" w:hAnsi="宋体" w:eastAsia="宋体" w:cs="宋体"/>
                <w:b w:val="0"/>
                <w:bCs w:val="0"/>
                <w:iCs/>
                <w:color w:val="auto"/>
                <w:sz w:val="21"/>
                <w:szCs w:val="21"/>
                <w:highlight w:val="none"/>
                <w:u w:val="single"/>
              </w:rPr>
              <w:t xml:space="preserve">           </w:t>
            </w:r>
            <w:r>
              <w:rPr>
                <w:rFonts w:hint="eastAsia" w:ascii="宋体" w:hAnsi="宋体" w:eastAsia="宋体" w:cs="宋体"/>
                <w:b w:val="0"/>
                <w:bCs w:val="0"/>
                <w:iCs/>
                <w:color w:val="auto"/>
                <w:sz w:val="21"/>
                <w:szCs w:val="21"/>
                <w:highlight w:val="none"/>
              </w:rPr>
              <w:t>；</w:t>
            </w:r>
          </w:p>
          <w:p w14:paraId="3DD27DBA">
            <w:pPr>
              <w:shd w:val="clear"/>
              <w:adjustRightInd w:val="0"/>
              <w:snapToGrid w:val="0"/>
              <w:ind w:firstLine="0" w:firstLineChars="0"/>
              <w:jc w:val="left"/>
              <w:rPr>
                <w:rFonts w:hint="eastAsia" w:ascii="宋体" w:hAnsi="宋体" w:eastAsia="宋体" w:cs="宋体"/>
                <w:color w:val="auto"/>
                <w:sz w:val="21"/>
                <w:szCs w:val="21"/>
                <w:highlight w:val="none"/>
                <w:u w:val="single"/>
              </w:rPr>
            </w:pPr>
            <w:r>
              <w:rPr>
                <w:rFonts w:hint="eastAsia" w:ascii="宋体" w:hAnsi="宋体" w:eastAsia="宋体" w:cs="宋体"/>
                <w:b w:val="0"/>
                <w:bCs w:val="0"/>
                <w:iCs/>
                <w:color w:val="auto"/>
                <w:sz w:val="21"/>
                <w:szCs w:val="21"/>
                <w:highlight w:val="none"/>
              </w:rPr>
              <w:t>（2）向</w:t>
            </w:r>
            <w:r>
              <w:rPr>
                <w:rFonts w:hint="eastAsia" w:ascii="宋体" w:hAnsi="宋体" w:eastAsia="宋体" w:cs="宋体"/>
                <w:b w:val="0"/>
                <w:bCs w:val="0"/>
                <w:iCs/>
                <w:color w:val="auto"/>
                <w:sz w:val="21"/>
                <w:szCs w:val="21"/>
                <w:highlight w:val="none"/>
                <w:u w:val="single"/>
              </w:rPr>
              <w:t xml:space="preserve">                    </w:t>
            </w:r>
            <w:r>
              <w:rPr>
                <w:rFonts w:hint="eastAsia" w:ascii="宋体" w:hAnsi="宋体" w:eastAsia="宋体" w:cs="宋体"/>
                <w:b w:val="0"/>
                <w:bCs w:val="0"/>
                <w:iCs/>
                <w:color w:val="auto"/>
                <w:sz w:val="21"/>
                <w:szCs w:val="21"/>
                <w:highlight w:val="none"/>
              </w:rPr>
              <w:t>人民法院起诉。</w:t>
            </w:r>
          </w:p>
        </w:tc>
      </w:tr>
      <w:tr w14:paraId="6F9096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1852" w:type="dxa"/>
            <w:noWrap w:val="0"/>
            <w:vAlign w:val="center"/>
          </w:tcPr>
          <w:p w14:paraId="3762E467">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第二节</w:t>
            </w:r>
          </w:p>
          <w:p w14:paraId="30844939">
            <w:pPr>
              <w:shd w:val="clear"/>
              <w:adjustRightInd w:val="0"/>
              <w:snapToGrid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第2</w:t>
            </w:r>
            <w:r>
              <w:rPr>
                <w:rFonts w:hint="eastAsia" w:ascii="宋体" w:hAnsi="宋体" w:eastAsia="宋体" w:cs="宋体"/>
                <w:color w:val="auto"/>
                <w:sz w:val="21"/>
                <w:szCs w:val="21"/>
                <w:highlight w:val="none"/>
                <w:lang w:val="en-US" w:eastAsia="zh-CN"/>
              </w:rPr>
              <w:t>3.1</w:t>
            </w:r>
            <w:r>
              <w:rPr>
                <w:rFonts w:hint="eastAsia" w:ascii="宋体" w:hAnsi="宋体" w:eastAsia="宋体" w:cs="宋体"/>
                <w:color w:val="auto"/>
                <w:sz w:val="21"/>
                <w:szCs w:val="21"/>
                <w:highlight w:val="none"/>
                <w:lang w:eastAsia="zh-CN"/>
              </w:rPr>
              <w:t>款</w:t>
            </w:r>
          </w:p>
        </w:tc>
        <w:tc>
          <w:tcPr>
            <w:tcW w:w="2007" w:type="dxa"/>
            <w:noWrap w:val="0"/>
            <w:vAlign w:val="center"/>
          </w:tcPr>
          <w:p w14:paraId="0D4CFC1B">
            <w:pPr>
              <w:shd w:val="clear"/>
              <w:adjustRightInd w:val="0"/>
              <w:snapToGrid w:val="0"/>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lang w:eastAsia="zh-CN"/>
              </w:rPr>
              <w:t>其他专用条款</w:t>
            </w:r>
          </w:p>
        </w:tc>
        <w:tc>
          <w:tcPr>
            <w:tcW w:w="5960" w:type="dxa"/>
            <w:noWrap w:val="0"/>
            <w:vAlign w:val="center"/>
          </w:tcPr>
          <w:p w14:paraId="6C5A61BF">
            <w:pPr>
              <w:shd w:val="clear"/>
              <w:adjustRightInd w:val="0"/>
              <w:snapToGrid w:val="0"/>
              <w:jc w:val="left"/>
              <w:rPr>
                <w:rFonts w:hint="eastAsia" w:ascii="宋体" w:hAnsi="宋体" w:eastAsia="宋体" w:cs="宋体"/>
                <w:color w:val="auto"/>
                <w:sz w:val="21"/>
                <w:szCs w:val="21"/>
                <w:highlight w:val="none"/>
                <w:lang w:val="en-US" w:eastAsia="zh-CN"/>
              </w:rPr>
            </w:pPr>
          </w:p>
        </w:tc>
      </w:tr>
    </w:tbl>
    <w:p w14:paraId="7092BDF1">
      <w:pPr>
        <w:shd w:val="clear"/>
        <w:jc w:val="center"/>
        <w:rPr>
          <w:rFonts w:hint="eastAsia" w:ascii="黑体" w:hAnsi="Times New Roman" w:eastAsia="黑体" w:cs="Times New Roman"/>
          <w:b/>
          <w:color w:val="auto"/>
          <w:sz w:val="36"/>
          <w:szCs w:val="36"/>
          <w:highlight w:val="none"/>
          <w:lang w:val="en-US" w:eastAsia="zh-CN"/>
        </w:rPr>
      </w:pPr>
    </w:p>
    <w:p w14:paraId="73A0F5D3">
      <w:pPr>
        <w:shd w:val="clear"/>
        <w:jc w:val="center"/>
        <w:rPr>
          <w:rFonts w:hint="eastAsia" w:ascii="黑体" w:hAnsi="Times New Roman" w:eastAsia="黑体" w:cs="Times New Roman"/>
          <w:b/>
          <w:color w:val="auto"/>
          <w:sz w:val="36"/>
          <w:szCs w:val="36"/>
          <w:highlight w:val="none"/>
          <w:lang w:val="en-US" w:eastAsia="zh-CN"/>
        </w:rPr>
      </w:pPr>
    </w:p>
    <w:p w14:paraId="436B403E">
      <w:pPr>
        <w:shd w:val="clear"/>
        <w:jc w:val="center"/>
        <w:rPr>
          <w:rFonts w:hint="eastAsia" w:ascii="黑体" w:hAnsi="Times New Roman" w:eastAsia="黑体" w:cs="Times New Roman"/>
          <w:b/>
          <w:color w:val="auto"/>
          <w:sz w:val="36"/>
          <w:szCs w:val="36"/>
          <w:highlight w:val="none"/>
          <w:lang w:val="en-US" w:eastAsia="zh-CN"/>
        </w:rPr>
      </w:pPr>
    </w:p>
    <w:p w14:paraId="4FA7DD96">
      <w:pPr>
        <w:shd w:val="clear"/>
        <w:jc w:val="center"/>
        <w:rPr>
          <w:rFonts w:hint="eastAsia" w:ascii="黑体" w:hAnsi="Times New Roman" w:eastAsia="黑体" w:cs="Times New Roman"/>
          <w:b/>
          <w:color w:val="auto"/>
          <w:sz w:val="36"/>
          <w:szCs w:val="36"/>
          <w:highlight w:val="none"/>
          <w:lang w:val="en-US" w:eastAsia="zh-CN"/>
        </w:rPr>
      </w:pPr>
    </w:p>
    <w:p w14:paraId="382060F8">
      <w:pPr>
        <w:shd w:val="clear"/>
        <w:jc w:val="center"/>
        <w:rPr>
          <w:rFonts w:hint="eastAsia" w:ascii="黑体" w:hAnsi="Times New Roman" w:eastAsia="黑体" w:cs="Times New Roman"/>
          <w:b/>
          <w:color w:val="auto"/>
          <w:sz w:val="36"/>
          <w:szCs w:val="36"/>
          <w:highlight w:val="none"/>
          <w:lang w:val="en-US" w:eastAsia="zh-CN"/>
        </w:rPr>
      </w:pPr>
    </w:p>
    <w:p w14:paraId="0A97E2D1">
      <w:pPr>
        <w:shd w:val="clear"/>
        <w:jc w:val="center"/>
        <w:rPr>
          <w:rFonts w:hint="eastAsia" w:ascii="黑体" w:hAnsi="Times New Roman" w:eastAsia="黑体" w:cs="Times New Roman"/>
          <w:b/>
          <w:color w:val="auto"/>
          <w:sz w:val="36"/>
          <w:szCs w:val="36"/>
          <w:highlight w:val="none"/>
          <w:lang w:val="en-US" w:eastAsia="zh-CN"/>
        </w:rPr>
      </w:pPr>
    </w:p>
    <w:p w14:paraId="3E5F8248">
      <w:pPr>
        <w:shd w:val="clear"/>
        <w:jc w:val="center"/>
        <w:rPr>
          <w:rFonts w:hint="eastAsia" w:ascii="黑体" w:hAnsi="Times New Roman" w:eastAsia="黑体" w:cs="Times New Roman"/>
          <w:b/>
          <w:color w:val="auto"/>
          <w:sz w:val="36"/>
          <w:szCs w:val="36"/>
          <w:highlight w:val="none"/>
          <w:lang w:val="en-US" w:eastAsia="zh-CN"/>
        </w:rPr>
      </w:pPr>
    </w:p>
    <w:p w14:paraId="5CE73D27">
      <w:pPr>
        <w:shd w:val="clear"/>
        <w:jc w:val="center"/>
        <w:rPr>
          <w:rFonts w:hint="eastAsia" w:ascii="黑体" w:hAnsi="Times New Roman" w:eastAsia="黑体" w:cs="Times New Roman"/>
          <w:b/>
          <w:color w:val="auto"/>
          <w:sz w:val="36"/>
          <w:szCs w:val="36"/>
          <w:highlight w:val="none"/>
          <w:lang w:val="en-US" w:eastAsia="zh-CN"/>
        </w:rPr>
      </w:pPr>
    </w:p>
    <w:p w14:paraId="07F2FEDE">
      <w:pPr>
        <w:shd w:val="clear"/>
        <w:jc w:val="center"/>
        <w:rPr>
          <w:rFonts w:hint="eastAsia" w:ascii="黑体" w:hAnsi="Times New Roman" w:eastAsia="黑体" w:cs="Times New Roman"/>
          <w:b/>
          <w:color w:val="auto"/>
          <w:sz w:val="36"/>
          <w:szCs w:val="36"/>
          <w:highlight w:val="none"/>
          <w:lang w:val="en-US" w:eastAsia="zh-CN"/>
        </w:rPr>
      </w:pPr>
    </w:p>
    <w:p w14:paraId="10F0C81A">
      <w:pPr>
        <w:shd w:val="clear"/>
        <w:jc w:val="center"/>
        <w:rPr>
          <w:rFonts w:hint="eastAsia" w:ascii="黑体" w:hAnsi="Times New Roman" w:eastAsia="黑体" w:cs="Times New Roman"/>
          <w:b/>
          <w:color w:val="auto"/>
          <w:sz w:val="36"/>
          <w:szCs w:val="36"/>
          <w:highlight w:val="none"/>
          <w:lang w:val="en-US" w:eastAsia="zh-CN"/>
        </w:rPr>
      </w:pPr>
    </w:p>
    <w:p w14:paraId="71EBD90E">
      <w:pPr>
        <w:shd w:val="clear"/>
        <w:jc w:val="center"/>
        <w:rPr>
          <w:rFonts w:hint="eastAsia" w:ascii="黑体" w:hAnsi="Times New Roman" w:eastAsia="黑体" w:cs="Times New Roman"/>
          <w:b/>
          <w:color w:val="auto"/>
          <w:sz w:val="36"/>
          <w:szCs w:val="36"/>
          <w:highlight w:val="none"/>
          <w:lang w:val="en-US" w:eastAsia="zh-CN"/>
        </w:rPr>
      </w:pPr>
    </w:p>
    <w:p w14:paraId="5A693DB4">
      <w:pPr>
        <w:shd w:val="clear"/>
        <w:jc w:val="center"/>
        <w:rPr>
          <w:rFonts w:hint="eastAsia" w:ascii="黑体" w:hAnsi="Times New Roman" w:eastAsia="黑体" w:cs="Times New Roman"/>
          <w:b/>
          <w:color w:val="auto"/>
          <w:sz w:val="36"/>
          <w:szCs w:val="36"/>
          <w:highlight w:val="none"/>
          <w:lang w:val="en-US" w:eastAsia="zh-CN"/>
        </w:rPr>
      </w:pPr>
    </w:p>
    <w:p w14:paraId="385873CF">
      <w:pPr>
        <w:shd w:val="clear"/>
        <w:jc w:val="center"/>
        <w:rPr>
          <w:rFonts w:hint="eastAsia" w:ascii="黑体" w:hAnsi="Times New Roman" w:eastAsia="黑体" w:cs="Times New Roman"/>
          <w:b/>
          <w:color w:val="auto"/>
          <w:sz w:val="36"/>
          <w:szCs w:val="36"/>
          <w:highlight w:val="none"/>
          <w:lang w:val="en-US" w:eastAsia="zh-CN"/>
        </w:rPr>
      </w:pPr>
    </w:p>
    <w:p w14:paraId="4B75CAED">
      <w:pPr>
        <w:shd w:val="clear"/>
        <w:jc w:val="center"/>
        <w:rPr>
          <w:rFonts w:hint="eastAsia" w:ascii="黑体" w:hAnsi="Times New Roman" w:eastAsia="黑体" w:cs="Times New Roman"/>
          <w:b/>
          <w:color w:val="auto"/>
          <w:sz w:val="36"/>
          <w:szCs w:val="36"/>
          <w:highlight w:val="none"/>
          <w:lang w:val="en-US" w:eastAsia="zh-CN"/>
        </w:rPr>
      </w:pPr>
    </w:p>
    <w:p w14:paraId="235381BE">
      <w:pPr>
        <w:shd w:val="clear"/>
        <w:jc w:val="center"/>
        <w:rPr>
          <w:rFonts w:hint="eastAsia" w:ascii="黑体" w:hAnsi="Times New Roman" w:eastAsia="黑体" w:cs="Times New Roman"/>
          <w:b/>
          <w:color w:val="auto"/>
          <w:sz w:val="36"/>
          <w:szCs w:val="36"/>
          <w:highlight w:val="none"/>
          <w:lang w:val="en-US" w:eastAsia="zh-CN"/>
        </w:rPr>
      </w:pPr>
    </w:p>
    <w:p w14:paraId="0D2539CB">
      <w:pPr>
        <w:shd w:val="clear"/>
        <w:jc w:val="center"/>
        <w:rPr>
          <w:rFonts w:hint="eastAsia" w:ascii="黑体" w:hAnsi="Times New Roman" w:eastAsia="黑体" w:cs="Times New Roman"/>
          <w:b/>
          <w:color w:val="auto"/>
          <w:sz w:val="36"/>
          <w:szCs w:val="36"/>
          <w:highlight w:val="none"/>
          <w:lang w:val="en-US" w:eastAsia="zh-CN"/>
        </w:rPr>
      </w:pPr>
    </w:p>
    <w:p w14:paraId="75D5297A">
      <w:pPr>
        <w:shd w:val="clear"/>
        <w:spacing w:line="498" w:lineRule="atLeast"/>
        <w:jc w:val="center"/>
        <w:rPr>
          <w:rFonts w:hint="default" w:ascii="宋体" w:hAnsi="宋体" w:eastAsia="宋体" w:cs="宋体"/>
          <w:b/>
          <w:bCs/>
          <w:color w:val="auto"/>
          <w:kern w:val="44"/>
          <w:szCs w:val="21"/>
          <w:highlight w:val="none"/>
          <w:lang w:val="en-US"/>
        </w:rPr>
      </w:pPr>
      <w:r>
        <w:rPr>
          <w:rFonts w:hint="eastAsia" w:ascii="宋体" w:hAnsi="宋体" w:eastAsia="宋体" w:cs="宋体"/>
          <w:b/>
          <w:bCs/>
          <w:color w:val="auto"/>
          <w:kern w:val="44"/>
          <w:sz w:val="36"/>
          <w:szCs w:val="36"/>
          <w:highlight w:val="none"/>
        </w:rPr>
        <w:t xml:space="preserve">第五章 </w:t>
      </w:r>
      <w:r>
        <w:rPr>
          <w:rFonts w:hint="eastAsia" w:ascii="宋体" w:hAnsi="宋体" w:eastAsia="宋体" w:cs="宋体"/>
          <w:b/>
          <w:bCs/>
          <w:color w:val="auto"/>
          <w:kern w:val="44"/>
          <w:sz w:val="36"/>
          <w:szCs w:val="36"/>
          <w:highlight w:val="none"/>
          <w:lang w:val="en-US" w:eastAsia="zh-CN"/>
        </w:rPr>
        <w:t>技术标准与要求</w:t>
      </w:r>
    </w:p>
    <w:bookmarkEnd w:id="49"/>
    <w:p w14:paraId="62CB976A">
      <w:pPr>
        <w:shd w:val="clear"/>
        <w:rPr>
          <w:rFonts w:hint="eastAsia"/>
          <w:color w:val="auto"/>
          <w:highlight w:val="none"/>
        </w:rPr>
      </w:pPr>
    </w:p>
    <w:tbl>
      <w:tblPr>
        <w:tblStyle w:val="62"/>
        <w:tblW w:w="9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7"/>
        <w:gridCol w:w="1274"/>
        <w:gridCol w:w="5181"/>
        <w:gridCol w:w="731"/>
        <w:gridCol w:w="725"/>
        <w:gridCol w:w="1155"/>
      </w:tblGrid>
      <w:tr w14:paraId="666E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03F2F2D2">
            <w:pPr>
              <w:shd w:val="clear"/>
              <w:rPr>
                <w:rFonts w:hint="eastAsia"/>
                <w:color w:val="auto"/>
                <w:highlight w:val="none"/>
              </w:rPr>
            </w:pPr>
            <w:r>
              <w:rPr>
                <w:rFonts w:hint="eastAsia"/>
                <w:color w:val="auto"/>
                <w:highlight w:val="none"/>
              </w:rPr>
              <w:t>序号</w:t>
            </w:r>
          </w:p>
        </w:tc>
        <w:tc>
          <w:tcPr>
            <w:tcW w:w="1274" w:type="dxa"/>
            <w:vAlign w:val="center"/>
          </w:tcPr>
          <w:p w14:paraId="3C1A108F">
            <w:pPr>
              <w:shd w:val="clear"/>
              <w:rPr>
                <w:rFonts w:hint="eastAsia"/>
                <w:color w:val="auto"/>
                <w:highlight w:val="none"/>
              </w:rPr>
            </w:pPr>
            <w:r>
              <w:rPr>
                <w:rFonts w:hint="eastAsia"/>
                <w:color w:val="auto"/>
                <w:highlight w:val="none"/>
              </w:rPr>
              <w:t>货物名称</w:t>
            </w:r>
          </w:p>
        </w:tc>
        <w:tc>
          <w:tcPr>
            <w:tcW w:w="5181" w:type="dxa"/>
            <w:vAlign w:val="center"/>
          </w:tcPr>
          <w:p w14:paraId="53AC260E">
            <w:pPr>
              <w:shd w:val="clear"/>
              <w:rPr>
                <w:rFonts w:hint="eastAsia"/>
                <w:color w:val="auto"/>
                <w:highlight w:val="none"/>
              </w:rPr>
            </w:pPr>
            <w:r>
              <w:rPr>
                <w:rFonts w:hint="eastAsia"/>
                <w:color w:val="auto"/>
                <w:highlight w:val="none"/>
              </w:rPr>
              <w:t>主要功能配置及技术指标要求</w:t>
            </w:r>
          </w:p>
        </w:tc>
        <w:tc>
          <w:tcPr>
            <w:tcW w:w="731" w:type="dxa"/>
            <w:vAlign w:val="center"/>
          </w:tcPr>
          <w:p w14:paraId="6E0BB519">
            <w:pPr>
              <w:shd w:val="clear"/>
              <w:rPr>
                <w:rFonts w:hint="eastAsia"/>
                <w:color w:val="auto"/>
                <w:highlight w:val="none"/>
              </w:rPr>
            </w:pPr>
            <w:r>
              <w:rPr>
                <w:rFonts w:hint="eastAsia"/>
                <w:color w:val="auto"/>
                <w:highlight w:val="none"/>
              </w:rPr>
              <w:t>数量</w:t>
            </w:r>
          </w:p>
        </w:tc>
        <w:tc>
          <w:tcPr>
            <w:tcW w:w="725" w:type="dxa"/>
            <w:vAlign w:val="center"/>
          </w:tcPr>
          <w:p w14:paraId="4CD8D94E">
            <w:pPr>
              <w:shd w:val="clear"/>
              <w:rPr>
                <w:rFonts w:hint="eastAsia"/>
                <w:color w:val="auto"/>
                <w:highlight w:val="none"/>
              </w:rPr>
            </w:pPr>
            <w:r>
              <w:rPr>
                <w:rFonts w:hint="eastAsia"/>
                <w:color w:val="auto"/>
                <w:highlight w:val="none"/>
              </w:rPr>
              <w:t>数量单位</w:t>
            </w:r>
          </w:p>
        </w:tc>
        <w:tc>
          <w:tcPr>
            <w:tcW w:w="1155" w:type="dxa"/>
            <w:vAlign w:val="center"/>
          </w:tcPr>
          <w:p w14:paraId="6669F644">
            <w:pPr>
              <w:shd w:val="clear"/>
              <w:rPr>
                <w:rFonts w:hint="eastAsia"/>
                <w:color w:val="auto"/>
                <w:highlight w:val="none"/>
              </w:rPr>
            </w:pPr>
            <w:r>
              <w:rPr>
                <w:rFonts w:hint="eastAsia"/>
                <w:color w:val="auto"/>
                <w:highlight w:val="none"/>
              </w:rPr>
              <w:t>所属行业</w:t>
            </w:r>
          </w:p>
        </w:tc>
      </w:tr>
      <w:tr w14:paraId="36804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344578D">
            <w:pPr>
              <w:shd w:val="clear"/>
              <w:rPr>
                <w:rFonts w:hint="eastAsia"/>
                <w:color w:val="auto"/>
                <w:highlight w:val="none"/>
              </w:rPr>
            </w:pPr>
            <w:r>
              <w:rPr>
                <w:rFonts w:hint="eastAsia"/>
                <w:color w:val="auto"/>
                <w:highlight w:val="none"/>
              </w:rPr>
              <w:t>1</w:t>
            </w:r>
          </w:p>
        </w:tc>
        <w:tc>
          <w:tcPr>
            <w:tcW w:w="1274" w:type="dxa"/>
            <w:vAlign w:val="center"/>
          </w:tcPr>
          <w:p w14:paraId="4C9A2351">
            <w:pPr>
              <w:shd w:val="clear"/>
              <w:jc w:val="center"/>
              <w:rPr>
                <w:rFonts w:hint="default" w:eastAsia="宋体"/>
                <w:color w:val="auto"/>
                <w:highlight w:val="none"/>
                <w:lang w:val="en-US" w:eastAsia="zh-CN"/>
              </w:rPr>
            </w:pPr>
            <w:r>
              <w:rPr>
                <w:rFonts w:hint="eastAsia"/>
                <w:color w:val="auto"/>
                <w:highlight w:val="none"/>
                <w:lang w:val="en-US" w:eastAsia="zh-CN"/>
              </w:rPr>
              <w:t>柜式房间空气调节器</w:t>
            </w:r>
          </w:p>
        </w:tc>
        <w:tc>
          <w:tcPr>
            <w:tcW w:w="5181" w:type="dxa"/>
          </w:tcPr>
          <w:p w14:paraId="64407A9E">
            <w:pPr>
              <w:shd w:val="clear"/>
              <w:rPr>
                <w:rFonts w:hint="eastAsia"/>
                <w:color w:val="auto"/>
                <w:highlight w:val="none"/>
              </w:rPr>
            </w:pPr>
            <w:r>
              <w:rPr>
                <w:rFonts w:hint="eastAsia"/>
                <w:color w:val="auto"/>
                <w:highlight w:val="none"/>
              </w:rPr>
              <w:t>1.类型：立柜式变频冷暖空调。</w:t>
            </w:r>
          </w:p>
          <w:p w14:paraId="6BC5556D">
            <w:pPr>
              <w:shd w:val="clear"/>
              <w:rPr>
                <w:rFonts w:hint="eastAsia"/>
                <w:color w:val="auto"/>
                <w:highlight w:val="none"/>
              </w:rPr>
            </w:pPr>
            <w:r>
              <w:rPr>
                <w:rFonts w:hint="eastAsia"/>
                <w:color w:val="auto"/>
                <w:highlight w:val="none"/>
              </w:rPr>
              <w:t>2.匹数：3匹。</w:t>
            </w:r>
          </w:p>
          <w:p w14:paraId="29EACD90">
            <w:pPr>
              <w:shd w:val="clear"/>
              <w:rPr>
                <w:rFonts w:hint="eastAsia"/>
                <w:color w:val="auto"/>
                <w:highlight w:val="none"/>
              </w:rPr>
            </w:pPr>
            <w:r>
              <w:rPr>
                <w:rFonts w:hint="eastAsia"/>
                <w:color w:val="auto"/>
                <w:highlight w:val="none"/>
              </w:rPr>
              <w:t>3.能效等级：一级能效。</w:t>
            </w:r>
          </w:p>
          <w:p w14:paraId="5E8A466B">
            <w:pPr>
              <w:shd w:val="clear"/>
              <w:rPr>
                <w:rFonts w:hint="eastAsia"/>
                <w:color w:val="auto"/>
                <w:highlight w:val="none"/>
              </w:rPr>
            </w:pPr>
            <w:r>
              <w:rPr>
                <w:rFonts w:hint="eastAsia"/>
                <w:color w:val="auto"/>
                <w:highlight w:val="none"/>
              </w:rPr>
              <w:t>4.电压/频率：220V/50Hz。</w:t>
            </w:r>
          </w:p>
          <w:p w14:paraId="0176579D">
            <w:pPr>
              <w:shd w:val="clear"/>
              <w:rPr>
                <w:rFonts w:hint="eastAsia"/>
                <w:color w:val="auto"/>
                <w:highlight w:val="none"/>
              </w:rPr>
            </w:pPr>
            <w:r>
              <w:rPr>
                <w:rFonts w:hint="eastAsia"/>
                <w:color w:val="auto"/>
                <w:highlight w:val="none"/>
              </w:rPr>
              <w:t>5.制冷功率≥2020W，制热功率≥2950W。</w:t>
            </w:r>
          </w:p>
          <w:p w14:paraId="19A9A35E">
            <w:pPr>
              <w:shd w:val="clear"/>
              <w:rPr>
                <w:rFonts w:hint="eastAsia"/>
                <w:color w:val="auto"/>
                <w:highlight w:val="none"/>
              </w:rPr>
            </w:pPr>
            <w:r>
              <w:rPr>
                <w:rFonts w:hint="eastAsia"/>
                <w:color w:val="auto"/>
                <w:highlight w:val="none"/>
              </w:rPr>
              <w:t>6.支持电辅加热、自清洁功能。</w:t>
            </w:r>
          </w:p>
          <w:p w14:paraId="1E82312D">
            <w:pPr>
              <w:shd w:val="clear"/>
              <w:rPr>
                <w:rFonts w:hint="eastAsia"/>
                <w:color w:val="auto"/>
                <w:highlight w:val="none"/>
                <w:lang w:eastAsia="zh-CN"/>
              </w:rPr>
            </w:pPr>
            <w:r>
              <w:rPr>
                <w:rFonts w:hint="eastAsia"/>
                <w:color w:val="auto"/>
                <w:highlight w:val="none"/>
                <w:lang w:eastAsia="zh-CN"/>
              </w:rPr>
              <w:t>7.含线缆、管路、制冷剂、室外机支架、高空作业、墙壁打孔、设备搬运上楼等安装施工所需材料。</w:t>
            </w:r>
          </w:p>
        </w:tc>
        <w:tc>
          <w:tcPr>
            <w:tcW w:w="731" w:type="dxa"/>
            <w:vAlign w:val="center"/>
          </w:tcPr>
          <w:p w14:paraId="2EC450A1">
            <w:pPr>
              <w:shd w:val="clear"/>
              <w:jc w:val="center"/>
              <w:rPr>
                <w:rFonts w:hint="eastAsia"/>
                <w:color w:val="auto"/>
                <w:highlight w:val="none"/>
              </w:rPr>
            </w:pPr>
            <w:r>
              <w:rPr>
                <w:rFonts w:hint="eastAsia"/>
                <w:color w:val="auto"/>
                <w:highlight w:val="none"/>
              </w:rPr>
              <w:t>4</w:t>
            </w:r>
          </w:p>
        </w:tc>
        <w:tc>
          <w:tcPr>
            <w:tcW w:w="725" w:type="dxa"/>
            <w:vAlign w:val="center"/>
          </w:tcPr>
          <w:p w14:paraId="3525432F">
            <w:pPr>
              <w:shd w:val="clear"/>
              <w:jc w:val="center"/>
              <w:rPr>
                <w:rFonts w:hint="eastAsia"/>
                <w:color w:val="auto"/>
                <w:highlight w:val="none"/>
              </w:rPr>
            </w:pPr>
            <w:r>
              <w:rPr>
                <w:rFonts w:hint="eastAsia"/>
                <w:color w:val="auto"/>
                <w:highlight w:val="none"/>
              </w:rPr>
              <w:t>台</w:t>
            </w:r>
          </w:p>
        </w:tc>
        <w:tc>
          <w:tcPr>
            <w:tcW w:w="1155" w:type="dxa"/>
            <w:vAlign w:val="center"/>
          </w:tcPr>
          <w:p w14:paraId="46C018E4">
            <w:pPr>
              <w:shd w:val="clear"/>
              <w:jc w:val="center"/>
              <w:rPr>
                <w:rFonts w:hint="eastAsia"/>
                <w:color w:val="auto"/>
                <w:highlight w:val="none"/>
              </w:rPr>
            </w:pPr>
            <w:r>
              <w:rPr>
                <w:rFonts w:hint="eastAsia"/>
                <w:color w:val="auto"/>
                <w:highlight w:val="none"/>
              </w:rPr>
              <w:t>工业</w:t>
            </w:r>
          </w:p>
        </w:tc>
      </w:tr>
      <w:tr w14:paraId="76E5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47698C84">
            <w:pPr>
              <w:shd w:val="clear"/>
              <w:rPr>
                <w:rFonts w:hint="eastAsia"/>
                <w:color w:val="auto"/>
                <w:highlight w:val="none"/>
              </w:rPr>
            </w:pPr>
            <w:r>
              <w:rPr>
                <w:rFonts w:hint="eastAsia"/>
                <w:color w:val="auto"/>
                <w:highlight w:val="none"/>
              </w:rPr>
              <w:t>2</w:t>
            </w:r>
          </w:p>
        </w:tc>
        <w:tc>
          <w:tcPr>
            <w:tcW w:w="1274" w:type="dxa"/>
            <w:vAlign w:val="center"/>
          </w:tcPr>
          <w:p w14:paraId="00F68EDE">
            <w:pPr>
              <w:shd w:val="clear"/>
              <w:jc w:val="center"/>
              <w:rPr>
                <w:rFonts w:hint="default" w:eastAsia="宋体"/>
                <w:color w:val="auto"/>
                <w:highlight w:val="none"/>
                <w:lang w:val="en-US" w:eastAsia="zh-CN"/>
              </w:rPr>
            </w:pPr>
            <w:r>
              <w:rPr>
                <w:rFonts w:hint="eastAsia"/>
                <w:color w:val="auto"/>
                <w:highlight w:val="none"/>
                <w:lang w:val="en-US" w:eastAsia="zh-CN"/>
              </w:rPr>
              <w:t>存储扩容配套磁盘组件</w:t>
            </w:r>
          </w:p>
        </w:tc>
        <w:tc>
          <w:tcPr>
            <w:tcW w:w="5181" w:type="dxa"/>
          </w:tcPr>
          <w:p w14:paraId="6F186281">
            <w:pPr>
              <w:shd w:val="clear"/>
              <w:rPr>
                <w:rFonts w:hint="eastAsia"/>
                <w:color w:val="auto"/>
                <w:highlight w:val="none"/>
              </w:rPr>
            </w:pPr>
            <w:r>
              <w:rPr>
                <w:rFonts w:hint="eastAsia"/>
                <w:color w:val="auto"/>
                <w:highlight w:val="none"/>
              </w:rPr>
              <w:t>1.硬盘尺寸:3.5英寸。</w:t>
            </w:r>
          </w:p>
          <w:p w14:paraId="7B5CBF52">
            <w:pPr>
              <w:shd w:val="clear"/>
              <w:rPr>
                <w:rFonts w:hint="eastAsia"/>
                <w:color w:val="auto"/>
                <w:highlight w:val="none"/>
              </w:rPr>
            </w:pPr>
            <w:r>
              <w:rPr>
                <w:rFonts w:hint="eastAsia"/>
                <w:color w:val="auto"/>
                <w:highlight w:val="none"/>
              </w:rPr>
              <w:t>2.接口类型:SAS。</w:t>
            </w:r>
          </w:p>
          <w:p w14:paraId="43915A7C">
            <w:pPr>
              <w:shd w:val="clear"/>
              <w:rPr>
                <w:rFonts w:hint="eastAsia"/>
                <w:color w:val="auto"/>
                <w:highlight w:val="none"/>
              </w:rPr>
            </w:pPr>
            <w:r>
              <w:rPr>
                <w:rFonts w:hint="eastAsia"/>
                <w:color w:val="auto"/>
                <w:highlight w:val="none"/>
              </w:rPr>
              <w:t>3.转速:7200RPM。</w:t>
            </w:r>
          </w:p>
          <w:p w14:paraId="77F86BBA">
            <w:pPr>
              <w:shd w:val="clear"/>
              <w:rPr>
                <w:rFonts w:hint="eastAsia"/>
                <w:color w:val="auto"/>
                <w:highlight w:val="none"/>
              </w:rPr>
            </w:pPr>
            <w:r>
              <w:rPr>
                <w:rFonts w:hint="eastAsia"/>
                <w:color w:val="auto"/>
                <w:highlight w:val="none"/>
              </w:rPr>
              <w:t>4.缓存:512MB。</w:t>
            </w:r>
          </w:p>
          <w:p w14:paraId="731A27BD">
            <w:pPr>
              <w:shd w:val="clear"/>
              <w:rPr>
                <w:rFonts w:hint="eastAsia"/>
                <w:color w:val="auto"/>
                <w:highlight w:val="none"/>
              </w:rPr>
            </w:pPr>
            <w:r>
              <w:rPr>
                <w:rFonts w:hint="eastAsia"/>
                <w:color w:val="auto"/>
                <w:highlight w:val="none"/>
              </w:rPr>
              <w:t>5.接口传输速率(最大值):SAS 12Gb/s。</w:t>
            </w:r>
          </w:p>
          <w:p w14:paraId="709CCF6E">
            <w:pPr>
              <w:shd w:val="clear"/>
              <w:rPr>
                <w:rFonts w:hint="eastAsia"/>
                <w:color w:val="auto"/>
                <w:highlight w:val="none"/>
              </w:rPr>
            </w:pPr>
            <w:r>
              <w:rPr>
                <w:rFonts w:hint="eastAsia"/>
                <w:color w:val="auto"/>
                <w:highlight w:val="none"/>
              </w:rPr>
              <w:t>6.容量:22TB。</w:t>
            </w:r>
          </w:p>
          <w:p w14:paraId="2AE2D9B9">
            <w:pPr>
              <w:shd w:val="clear"/>
              <w:rPr>
                <w:rFonts w:hint="eastAsia"/>
                <w:color w:val="auto"/>
                <w:highlight w:val="none"/>
              </w:rPr>
            </w:pPr>
            <w:r>
              <w:rPr>
                <w:rFonts w:hint="eastAsia"/>
                <w:color w:val="auto"/>
                <w:highlight w:val="none"/>
              </w:rPr>
              <w:t>7.要求与学校现运行“教学质量管理平台”存储系统兼容。</w:t>
            </w:r>
          </w:p>
          <w:p w14:paraId="4D520F86">
            <w:pPr>
              <w:shd w:val="clear"/>
              <w:rPr>
                <w:rFonts w:hint="eastAsia"/>
                <w:color w:val="auto"/>
                <w:highlight w:val="none"/>
                <w:lang w:eastAsia="zh-CN"/>
              </w:rPr>
            </w:pPr>
            <w:r>
              <w:rPr>
                <w:rFonts w:hint="eastAsia"/>
                <w:color w:val="auto"/>
                <w:highlight w:val="none"/>
                <w:lang w:eastAsia="zh-CN"/>
              </w:rPr>
              <w:t>8.含安装、扩容、调试。</w:t>
            </w:r>
          </w:p>
        </w:tc>
        <w:tc>
          <w:tcPr>
            <w:tcW w:w="731" w:type="dxa"/>
            <w:vAlign w:val="center"/>
          </w:tcPr>
          <w:p w14:paraId="6E7B1BC3">
            <w:pPr>
              <w:shd w:val="clear"/>
              <w:jc w:val="center"/>
              <w:rPr>
                <w:rFonts w:hint="eastAsia"/>
                <w:color w:val="auto"/>
                <w:highlight w:val="none"/>
              </w:rPr>
            </w:pPr>
            <w:r>
              <w:rPr>
                <w:rFonts w:hint="eastAsia"/>
                <w:color w:val="auto"/>
                <w:highlight w:val="none"/>
              </w:rPr>
              <w:t>2</w:t>
            </w:r>
          </w:p>
        </w:tc>
        <w:tc>
          <w:tcPr>
            <w:tcW w:w="725" w:type="dxa"/>
            <w:vAlign w:val="center"/>
          </w:tcPr>
          <w:p w14:paraId="6AF4785B">
            <w:pPr>
              <w:shd w:val="clear"/>
              <w:jc w:val="center"/>
              <w:rPr>
                <w:rFonts w:hint="eastAsia"/>
                <w:color w:val="auto"/>
                <w:highlight w:val="none"/>
              </w:rPr>
            </w:pPr>
            <w:r>
              <w:rPr>
                <w:rFonts w:hint="eastAsia"/>
                <w:color w:val="auto"/>
                <w:highlight w:val="none"/>
              </w:rPr>
              <w:t>个</w:t>
            </w:r>
          </w:p>
        </w:tc>
        <w:tc>
          <w:tcPr>
            <w:tcW w:w="1155" w:type="dxa"/>
            <w:vAlign w:val="center"/>
          </w:tcPr>
          <w:p w14:paraId="1F8BFA6E">
            <w:pPr>
              <w:shd w:val="clear"/>
              <w:jc w:val="center"/>
              <w:rPr>
                <w:rFonts w:hint="eastAsia"/>
                <w:color w:val="auto"/>
                <w:highlight w:val="none"/>
              </w:rPr>
            </w:pPr>
            <w:r>
              <w:rPr>
                <w:rFonts w:hint="eastAsia"/>
                <w:color w:val="auto"/>
                <w:highlight w:val="none"/>
              </w:rPr>
              <w:t>工业</w:t>
            </w:r>
          </w:p>
        </w:tc>
      </w:tr>
      <w:tr w14:paraId="71A7C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42712AB5">
            <w:pPr>
              <w:shd w:val="clear"/>
              <w:rPr>
                <w:rFonts w:hint="eastAsia"/>
                <w:color w:val="auto"/>
                <w:highlight w:val="none"/>
              </w:rPr>
            </w:pPr>
            <w:r>
              <w:rPr>
                <w:rFonts w:hint="eastAsia"/>
                <w:color w:val="auto"/>
                <w:highlight w:val="none"/>
              </w:rPr>
              <w:t>3</w:t>
            </w:r>
          </w:p>
        </w:tc>
        <w:tc>
          <w:tcPr>
            <w:tcW w:w="1274" w:type="dxa"/>
            <w:vAlign w:val="center"/>
          </w:tcPr>
          <w:p w14:paraId="5A7AB1CE">
            <w:pPr>
              <w:shd w:val="clear"/>
              <w:jc w:val="center"/>
              <w:rPr>
                <w:rFonts w:hint="default" w:eastAsia="宋体"/>
                <w:color w:val="auto"/>
                <w:highlight w:val="none"/>
                <w:lang w:val="en-US" w:eastAsia="zh-CN"/>
              </w:rPr>
            </w:pPr>
            <w:r>
              <w:rPr>
                <w:rFonts w:hint="eastAsia"/>
                <w:color w:val="auto"/>
                <w:highlight w:val="none"/>
                <w:lang w:val="en-US" w:eastAsia="zh-CN"/>
              </w:rPr>
              <w:t>光传输配套收发组件</w:t>
            </w:r>
          </w:p>
        </w:tc>
        <w:tc>
          <w:tcPr>
            <w:tcW w:w="5181" w:type="dxa"/>
          </w:tcPr>
          <w:p w14:paraId="31DEFA75">
            <w:pPr>
              <w:shd w:val="clear"/>
              <w:rPr>
                <w:rFonts w:hint="eastAsia"/>
                <w:color w:val="auto"/>
                <w:highlight w:val="none"/>
              </w:rPr>
            </w:pPr>
            <w:r>
              <w:rPr>
                <w:rFonts w:hint="eastAsia"/>
                <w:color w:val="auto"/>
                <w:highlight w:val="none"/>
              </w:rPr>
              <w:t>1.接口标准：10GBASE-SR。</w:t>
            </w:r>
          </w:p>
          <w:p w14:paraId="0AEC9BD8">
            <w:pPr>
              <w:shd w:val="clear"/>
              <w:rPr>
                <w:rFonts w:hint="eastAsia"/>
                <w:color w:val="auto"/>
                <w:highlight w:val="none"/>
              </w:rPr>
            </w:pPr>
            <w:r>
              <w:rPr>
                <w:rFonts w:hint="eastAsia"/>
                <w:color w:val="auto"/>
                <w:highlight w:val="none"/>
              </w:rPr>
              <w:t>2.封装：SFP+。</w:t>
            </w:r>
          </w:p>
          <w:p w14:paraId="06BECBAA">
            <w:pPr>
              <w:shd w:val="clear"/>
              <w:rPr>
                <w:rFonts w:hint="eastAsia"/>
                <w:color w:val="auto"/>
                <w:highlight w:val="none"/>
              </w:rPr>
            </w:pPr>
            <w:r>
              <w:rPr>
                <w:rFonts w:hint="eastAsia"/>
                <w:color w:val="auto"/>
                <w:highlight w:val="none"/>
              </w:rPr>
              <w:t>3.连接器类型：双LC。</w:t>
            </w:r>
          </w:p>
          <w:p w14:paraId="710E9070">
            <w:pPr>
              <w:shd w:val="clear"/>
              <w:rPr>
                <w:rFonts w:hint="eastAsia"/>
                <w:color w:val="auto"/>
                <w:highlight w:val="none"/>
              </w:rPr>
            </w:pPr>
            <w:r>
              <w:rPr>
                <w:rFonts w:hint="eastAsia"/>
                <w:color w:val="auto"/>
                <w:highlight w:val="none"/>
              </w:rPr>
              <w:t>4.传输速率：10Gbit/s。</w:t>
            </w:r>
          </w:p>
          <w:p w14:paraId="698D5234">
            <w:pPr>
              <w:shd w:val="clear"/>
              <w:rPr>
                <w:rFonts w:hint="eastAsia"/>
                <w:color w:val="auto"/>
                <w:highlight w:val="none"/>
              </w:rPr>
            </w:pPr>
            <w:r>
              <w:rPr>
                <w:rFonts w:hint="eastAsia"/>
                <w:color w:val="auto"/>
                <w:highlight w:val="none"/>
              </w:rPr>
              <w:t>5.目标传输距离≥0.3km。</w:t>
            </w:r>
          </w:p>
          <w:p w14:paraId="242272E0">
            <w:pPr>
              <w:shd w:val="clear"/>
              <w:rPr>
                <w:rFonts w:hint="eastAsia"/>
                <w:color w:val="auto"/>
                <w:highlight w:val="none"/>
              </w:rPr>
            </w:pPr>
            <w:r>
              <w:rPr>
                <w:rFonts w:hint="eastAsia"/>
                <w:color w:val="auto"/>
                <w:highlight w:val="none"/>
              </w:rPr>
              <w:t>6.中心波长：850nm。</w:t>
            </w:r>
          </w:p>
          <w:p w14:paraId="3EBB998E">
            <w:pPr>
              <w:shd w:val="clear"/>
              <w:rPr>
                <w:rFonts w:hint="eastAsia"/>
                <w:color w:val="auto"/>
                <w:highlight w:val="none"/>
              </w:rPr>
            </w:pPr>
            <w:r>
              <w:rPr>
                <w:rFonts w:hint="eastAsia"/>
                <w:color w:val="auto"/>
                <w:highlight w:val="none"/>
              </w:rPr>
              <w:t>7.工作壳温：0°C-70°C。</w:t>
            </w:r>
          </w:p>
          <w:p w14:paraId="3107102E">
            <w:pPr>
              <w:shd w:val="clear"/>
              <w:rPr>
                <w:rFonts w:hint="eastAsia"/>
                <w:color w:val="auto"/>
                <w:highlight w:val="none"/>
                <w:lang w:eastAsia="zh-CN"/>
              </w:rPr>
            </w:pPr>
            <w:r>
              <w:rPr>
                <w:rFonts w:hint="eastAsia"/>
                <w:color w:val="auto"/>
                <w:highlight w:val="none"/>
                <w:lang w:eastAsia="zh-CN"/>
              </w:rPr>
              <w:t>8.含3米多模互联光纤跳线。</w:t>
            </w:r>
          </w:p>
        </w:tc>
        <w:tc>
          <w:tcPr>
            <w:tcW w:w="731" w:type="dxa"/>
            <w:vAlign w:val="center"/>
          </w:tcPr>
          <w:p w14:paraId="3BF6AA9A">
            <w:pPr>
              <w:shd w:val="clear"/>
              <w:jc w:val="center"/>
              <w:rPr>
                <w:rFonts w:hint="eastAsia"/>
                <w:color w:val="auto"/>
                <w:highlight w:val="none"/>
              </w:rPr>
            </w:pPr>
            <w:r>
              <w:rPr>
                <w:rFonts w:hint="eastAsia"/>
                <w:color w:val="auto"/>
                <w:highlight w:val="none"/>
              </w:rPr>
              <w:t>48</w:t>
            </w:r>
          </w:p>
        </w:tc>
        <w:tc>
          <w:tcPr>
            <w:tcW w:w="725" w:type="dxa"/>
            <w:vAlign w:val="center"/>
          </w:tcPr>
          <w:p w14:paraId="5F786376">
            <w:pPr>
              <w:shd w:val="clear"/>
              <w:jc w:val="center"/>
              <w:rPr>
                <w:rFonts w:hint="eastAsia"/>
                <w:color w:val="auto"/>
                <w:highlight w:val="none"/>
              </w:rPr>
            </w:pPr>
            <w:r>
              <w:rPr>
                <w:rFonts w:hint="eastAsia"/>
                <w:color w:val="auto"/>
                <w:highlight w:val="none"/>
              </w:rPr>
              <w:t>个</w:t>
            </w:r>
          </w:p>
        </w:tc>
        <w:tc>
          <w:tcPr>
            <w:tcW w:w="1155" w:type="dxa"/>
            <w:vAlign w:val="center"/>
          </w:tcPr>
          <w:p w14:paraId="09B42C40">
            <w:pPr>
              <w:shd w:val="clear"/>
              <w:jc w:val="center"/>
              <w:rPr>
                <w:rFonts w:hint="eastAsia"/>
                <w:color w:val="auto"/>
                <w:highlight w:val="none"/>
              </w:rPr>
            </w:pPr>
            <w:r>
              <w:rPr>
                <w:rFonts w:hint="eastAsia"/>
                <w:color w:val="auto"/>
                <w:highlight w:val="none"/>
              </w:rPr>
              <w:t>工业</w:t>
            </w:r>
          </w:p>
        </w:tc>
      </w:tr>
      <w:tr w14:paraId="4428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09B0A9C0">
            <w:pPr>
              <w:shd w:val="clear"/>
              <w:rPr>
                <w:rFonts w:hint="eastAsia"/>
                <w:color w:val="auto"/>
                <w:highlight w:val="none"/>
              </w:rPr>
            </w:pPr>
            <w:r>
              <w:rPr>
                <w:rFonts w:hint="eastAsia"/>
                <w:color w:val="auto"/>
                <w:highlight w:val="none"/>
              </w:rPr>
              <w:t>4</w:t>
            </w:r>
          </w:p>
        </w:tc>
        <w:tc>
          <w:tcPr>
            <w:tcW w:w="1274" w:type="dxa"/>
            <w:vAlign w:val="center"/>
          </w:tcPr>
          <w:p w14:paraId="1C386688">
            <w:pPr>
              <w:shd w:val="clear"/>
              <w:jc w:val="center"/>
              <w:rPr>
                <w:rFonts w:hint="default" w:eastAsia="宋体"/>
                <w:color w:val="auto"/>
                <w:highlight w:val="none"/>
                <w:lang w:val="en-US" w:eastAsia="zh-CN"/>
              </w:rPr>
            </w:pPr>
            <w:r>
              <w:rPr>
                <w:rFonts w:hint="eastAsia"/>
                <w:color w:val="auto"/>
                <w:highlight w:val="none"/>
                <w:lang w:val="en-US" w:eastAsia="zh-CN"/>
              </w:rPr>
              <w:t>教学空间配套坐具</w:t>
            </w:r>
          </w:p>
        </w:tc>
        <w:tc>
          <w:tcPr>
            <w:tcW w:w="5181" w:type="dxa"/>
          </w:tcPr>
          <w:p w14:paraId="45D5C7BA">
            <w:pPr>
              <w:shd w:val="clear"/>
              <w:rPr>
                <w:rFonts w:hint="eastAsia"/>
                <w:color w:val="auto"/>
                <w:highlight w:val="none"/>
              </w:rPr>
            </w:pPr>
            <w:r>
              <w:rPr>
                <w:rFonts w:hint="eastAsia"/>
                <w:color w:val="auto"/>
                <w:highlight w:val="none"/>
              </w:rPr>
              <w:t>1.主体尺寸：坐面长*宽：45cm*45cm（±1cm），靠背高*宽：55cm*50cm（±1cm）。</w:t>
            </w:r>
          </w:p>
          <w:p w14:paraId="678F0430">
            <w:pPr>
              <w:shd w:val="clear"/>
              <w:rPr>
                <w:rFonts w:hint="eastAsia"/>
                <w:color w:val="auto"/>
                <w:highlight w:val="none"/>
              </w:rPr>
            </w:pPr>
            <w:r>
              <w:rPr>
                <w:rFonts w:hint="eastAsia"/>
                <w:color w:val="auto"/>
                <w:highlight w:val="none"/>
              </w:rPr>
              <w:t>2.外形及功能：无扶手，椅背上方孔洞设计。</w:t>
            </w:r>
          </w:p>
          <w:p w14:paraId="1A6D981B">
            <w:pPr>
              <w:shd w:val="clear"/>
              <w:rPr>
                <w:rFonts w:hint="eastAsia"/>
                <w:color w:val="auto"/>
                <w:highlight w:val="none"/>
              </w:rPr>
            </w:pPr>
            <w:r>
              <w:rPr>
                <w:rFonts w:hint="eastAsia"/>
                <w:color w:val="auto"/>
                <w:highlight w:val="none"/>
              </w:rPr>
              <w:t>3.材质：坐垫采用高弹性海绵填充，透气网布或环保西皮材质，椅背采用加厚PP工程塑料，椅脚采用电镀实心钢筋或钢管材质，11mm圆实心钢筋腿。</w:t>
            </w:r>
          </w:p>
          <w:p w14:paraId="6F42250E">
            <w:pPr>
              <w:shd w:val="clear"/>
              <w:rPr>
                <w:rFonts w:hint="eastAsia"/>
                <w:color w:val="auto"/>
                <w:highlight w:val="none"/>
                <w:lang w:eastAsia="zh-CN"/>
              </w:rPr>
            </w:pPr>
            <w:r>
              <w:rPr>
                <w:rFonts w:hint="eastAsia"/>
                <w:color w:val="auto"/>
                <w:highlight w:val="none"/>
                <w:lang w:eastAsia="zh-CN"/>
              </w:rPr>
              <w:t>4.颜色和样式：中标后由中标单位先提供一把，经甲方同意后再量产供货。</w:t>
            </w:r>
          </w:p>
        </w:tc>
        <w:tc>
          <w:tcPr>
            <w:tcW w:w="731" w:type="dxa"/>
            <w:vAlign w:val="center"/>
          </w:tcPr>
          <w:p w14:paraId="4479E27E">
            <w:pPr>
              <w:shd w:val="clear"/>
              <w:jc w:val="center"/>
              <w:rPr>
                <w:rFonts w:hint="eastAsia"/>
                <w:color w:val="auto"/>
                <w:highlight w:val="none"/>
              </w:rPr>
            </w:pPr>
            <w:r>
              <w:rPr>
                <w:rFonts w:hint="eastAsia"/>
                <w:color w:val="auto"/>
                <w:highlight w:val="none"/>
              </w:rPr>
              <w:t>271</w:t>
            </w:r>
          </w:p>
        </w:tc>
        <w:tc>
          <w:tcPr>
            <w:tcW w:w="725" w:type="dxa"/>
            <w:vAlign w:val="center"/>
          </w:tcPr>
          <w:p w14:paraId="49EE90EB">
            <w:pPr>
              <w:shd w:val="clear"/>
              <w:jc w:val="center"/>
              <w:rPr>
                <w:rFonts w:hint="eastAsia"/>
                <w:color w:val="auto"/>
                <w:highlight w:val="none"/>
              </w:rPr>
            </w:pPr>
            <w:r>
              <w:rPr>
                <w:rFonts w:hint="eastAsia"/>
                <w:color w:val="auto"/>
                <w:highlight w:val="none"/>
              </w:rPr>
              <w:t>把</w:t>
            </w:r>
          </w:p>
        </w:tc>
        <w:tc>
          <w:tcPr>
            <w:tcW w:w="1155" w:type="dxa"/>
            <w:vAlign w:val="center"/>
          </w:tcPr>
          <w:p w14:paraId="20B1F488">
            <w:pPr>
              <w:shd w:val="clear"/>
              <w:jc w:val="center"/>
              <w:rPr>
                <w:rFonts w:hint="eastAsia"/>
                <w:color w:val="auto"/>
                <w:highlight w:val="none"/>
              </w:rPr>
            </w:pPr>
            <w:r>
              <w:rPr>
                <w:rFonts w:hint="eastAsia"/>
                <w:color w:val="auto"/>
                <w:highlight w:val="none"/>
              </w:rPr>
              <w:t>工业</w:t>
            </w:r>
          </w:p>
        </w:tc>
      </w:tr>
      <w:tr w14:paraId="6D92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59254073">
            <w:pPr>
              <w:shd w:val="clear"/>
              <w:rPr>
                <w:rFonts w:hint="eastAsia"/>
                <w:color w:val="auto"/>
                <w:highlight w:val="none"/>
              </w:rPr>
            </w:pPr>
            <w:r>
              <w:rPr>
                <w:rFonts w:hint="eastAsia"/>
                <w:color w:val="auto"/>
                <w:highlight w:val="none"/>
              </w:rPr>
              <w:t>5</w:t>
            </w:r>
          </w:p>
        </w:tc>
        <w:tc>
          <w:tcPr>
            <w:tcW w:w="1274" w:type="dxa"/>
            <w:vAlign w:val="center"/>
          </w:tcPr>
          <w:p w14:paraId="1A0259D2">
            <w:pPr>
              <w:shd w:val="clear"/>
              <w:jc w:val="center"/>
              <w:rPr>
                <w:rFonts w:hint="default" w:eastAsia="宋体"/>
                <w:color w:val="auto"/>
                <w:highlight w:val="none"/>
                <w:lang w:val="en-US" w:eastAsia="zh-CN"/>
              </w:rPr>
            </w:pPr>
            <w:r>
              <w:rPr>
                <w:rFonts w:hint="eastAsia"/>
                <w:color w:val="auto"/>
                <w:highlight w:val="none"/>
                <w:lang w:val="en-US" w:eastAsia="zh-CN"/>
              </w:rPr>
              <w:t>教学工位配套坐具</w:t>
            </w:r>
          </w:p>
        </w:tc>
        <w:tc>
          <w:tcPr>
            <w:tcW w:w="5181" w:type="dxa"/>
          </w:tcPr>
          <w:p w14:paraId="0106DB97">
            <w:pPr>
              <w:shd w:val="clear"/>
              <w:rPr>
                <w:rFonts w:hint="eastAsia"/>
                <w:color w:val="auto"/>
                <w:highlight w:val="none"/>
              </w:rPr>
            </w:pPr>
            <w:r>
              <w:rPr>
                <w:rFonts w:hint="eastAsia"/>
                <w:color w:val="auto"/>
                <w:highlight w:val="none"/>
              </w:rPr>
              <w:t>1.主体尺寸：坐面长*宽：50cm*45cm（±1cm），靠背高度≥80cm。</w:t>
            </w:r>
          </w:p>
          <w:p w14:paraId="40CF861D">
            <w:pPr>
              <w:shd w:val="clear"/>
              <w:rPr>
                <w:rFonts w:hint="eastAsia"/>
                <w:color w:val="auto"/>
                <w:highlight w:val="none"/>
              </w:rPr>
            </w:pPr>
            <w:r>
              <w:rPr>
                <w:rFonts w:hint="eastAsia"/>
                <w:color w:val="auto"/>
                <w:highlight w:val="none"/>
              </w:rPr>
              <w:t>2.功能：支持头枕、扶手背调节。</w:t>
            </w:r>
          </w:p>
          <w:p w14:paraId="5826A44B">
            <w:pPr>
              <w:shd w:val="clear"/>
              <w:rPr>
                <w:rFonts w:hint="eastAsia"/>
                <w:color w:val="auto"/>
                <w:highlight w:val="none"/>
                <w:lang w:eastAsia="zh-CN"/>
              </w:rPr>
            </w:pPr>
            <w:r>
              <w:rPr>
                <w:rFonts w:hint="eastAsia"/>
                <w:color w:val="auto"/>
                <w:highlight w:val="none"/>
                <w:lang w:eastAsia="zh-CN"/>
              </w:rPr>
              <w:t>3.材质：坐垫采用高弹性透气网布；五星脚为尼龙或铝合金材质，直径约70cm（±2cm）；静音PU滚轮。</w:t>
            </w:r>
          </w:p>
        </w:tc>
        <w:tc>
          <w:tcPr>
            <w:tcW w:w="731" w:type="dxa"/>
            <w:vAlign w:val="center"/>
          </w:tcPr>
          <w:p w14:paraId="02A7A8C2">
            <w:pPr>
              <w:shd w:val="clear"/>
              <w:jc w:val="center"/>
              <w:rPr>
                <w:rFonts w:hint="eastAsia"/>
                <w:color w:val="auto"/>
                <w:highlight w:val="none"/>
              </w:rPr>
            </w:pPr>
            <w:r>
              <w:rPr>
                <w:rFonts w:hint="eastAsia"/>
                <w:color w:val="auto"/>
                <w:highlight w:val="none"/>
              </w:rPr>
              <w:t>6</w:t>
            </w:r>
          </w:p>
        </w:tc>
        <w:tc>
          <w:tcPr>
            <w:tcW w:w="725" w:type="dxa"/>
            <w:vAlign w:val="center"/>
          </w:tcPr>
          <w:p w14:paraId="6B3E1DAD">
            <w:pPr>
              <w:shd w:val="clear"/>
              <w:jc w:val="center"/>
              <w:rPr>
                <w:rFonts w:hint="eastAsia"/>
                <w:color w:val="auto"/>
                <w:highlight w:val="none"/>
              </w:rPr>
            </w:pPr>
            <w:r>
              <w:rPr>
                <w:rFonts w:hint="eastAsia"/>
                <w:color w:val="auto"/>
                <w:highlight w:val="none"/>
              </w:rPr>
              <w:t>把</w:t>
            </w:r>
          </w:p>
        </w:tc>
        <w:tc>
          <w:tcPr>
            <w:tcW w:w="1155" w:type="dxa"/>
            <w:vAlign w:val="center"/>
          </w:tcPr>
          <w:p w14:paraId="60C49DC8">
            <w:pPr>
              <w:shd w:val="clear"/>
              <w:jc w:val="center"/>
              <w:rPr>
                <w:rFonts w:hint="eastAsia"/>
                <w:color w:val="auto"/>
                <w:highlight w:val="none"/>
              </w:rPr>
            </w:pPr>
            <w:r>
              <w:rPr>
                <w:rFonts w:hint="eastAsia"/>
                <w:color w:val="auto"/>
                <w:highlight w:val="none"/>
              </w:rPr>
              <w:t>工业</w:t>
            </w:r>
          </w:p>
        </w:tc>
      </w:tr>
      <w:tr w14:paraId="16E2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B8F6208">
            <w:pPr>
              <w:shd w:val="clear"/>
              <w:rPr>
                <w:rFonts w:hint="eastAsia"/>
                <w:color w:val="auto"/>
                <w:highlight w:val="none"/>
              </w:rPr>
            </w:pPr>
            <w:r>
              <w:rPr>
                <w:rFonts w:hint="eastAsia"/>
                <w:color w:val="auto"/>
                <w:highlight w:val="none"/>
              </w:rPr>
              <w:t>6</w:t>
            </w:r>
          </w:p>
        </w:tc>
        <w:tc>
          <w:tcPr>
            <w:tcW w:w="1274" w:type="dxa"/>
            <w:vAlign w:val="center"/>
          </w:tcPr>
          <w:p w14:paraId="3BC1D418">
            <w:pPr>
              <w:shd w:val="clear"/>
              <w:jc w:val="center"/>
              <w:rPr>
                <w:rFonts w:hint="default" w:eastAsia="宋体"/>
                <w:color w:val="auto"/>
                <w:highlight w:val="none"/>
                <w:lang w:val="en-US" w:eastAsia="zh-CN"/>
              </w:rPr>
            </w:pPr>
            <w:r>
              <w:rPr>
                <w:rFonts w:hint="eastAsia"/>
                <w:color w:val="auto"/>
                <w:highlight w:val="none"/>
                <w:lang w:val="en-US" w:eastAsia="zh-CN"/>
              </w:rPr>
              <w:t>业务接入网络通信组件</w:t>
            </w:r>
          </w:p>
        </w:tc>
        <w:tc>
          <w:tcPr>
            <w:tcW w:w="5181" w:type="dxa"/>
          </w:tcPr>
          <w:p w14:paraId="0F38D44F">
            <w:pPr>
              <w:shd w:val="clear"/>
              <w:rPr>
                <w:rFonts w:hint="eastAsia"/>
                <w:color w:val="auto"/>
                <w:highlight w:val="none"/>
              </w:rPr>
            </w:pPr>
            <w:r>
              <w:rPr>
                <w:rFonts w:hint="eastAsia"/>
                <w:color w:val="auto"/>
                <w:highlight w:val="none"/>
              </w:rPr>
              <w:t>1.10/100/1000Base-T以太网电口≥24个。</w:t>
            </w:r>
          </w:p>
          <w:p w14:paraId="3D3ECD12">
            <w:pPr>
              <w:shd w:val="clear"/>
              <w:rPr>
                <w:rFonts w:hint="eastAsia"/>
                <w:color w:val="auto"/>
                <w:highlight w:val="none"/>
              </w:rPr>
            </w:pPr>
            <w:r>
              <w:rPr>
                <w:rFonts w:hint="eastAsia"/>
                <w:color w:val="auto"/>
                <w:highlight w:val="none"/>
              </w:rPr>
              <w:t>2.独立万兆SFP+光口≥4个。</w:t>
            </w:r>
          </w:p>
          <w:p w14:paraId="3B84F605">
            <w:pPr>
              <w:shd w:val="clear"/>
              <w:rPr>
                <w:rFonts w:hint="eastAsia"/>
                <w:color w:val="auto"/>
                <w:highlight w:val="none"/>
              </w:rPr>
            </w:pPr>
            <w:r>
              <w:rPr>
                <w:rFonts w:hint="eastAsia"/>
                <w:color w:val="auto"/>
                <w:highlight w:val="none"/>
              </w:rPr>
              <w:t>3.内置AC电源。</w:t>
            </w:r>
          </w:p>
          <w:p w14:paraId="340A2439">
            <w:pPr>
              <w:shd w:val="clear"/>
              <w:rPr>
                <w:rFonts w:hint="eastAsia"/>
                <w:color w:val="auto"/>
                <w:highlight w:val="none"/>
              </w:rPr>
            </w:pPr>
            <w:r>
              <w:rPr>
                <w:rFonts w:hint="eastAsia"/>
                <w:color w:val="auto"/>
                <w:highlight w:val="none"/>
              </w:rPr>
              <w:t>4.金属外壳。</w:t>
            </w:r>
          </w:p>
          <w:p w14:paraId="76E96A6E">
            <w:pPr>
              <w:shd w:val="clear"/>
              <w:rPr>
                <w:rFonts w:hint="eastAsia"/>
                <w:color w:val="auto"/>
                <w:highlight w:val="none"/>
              </w:rPr>
            </w:pPr>
            <w:r>
              <w:rPr>
                <w:rFonts w:hint="eastAsia"/>
                <w:color w:val="auto"/>
                <w:highlight w:val="none"/>
              </w:rPr>
              <w:t>5.支持风冷散热、智能调速降噪。</w:t>
            </w:r>
          </w:p>
          <w:p w14:paraId="587EBD46">
            <w:pPr>
              <w:shd w:val="clear"/>
              <w:rPr>
                <w:rFonts w:hint="eastAsia"/>
                <w:color w:val="auto"/>
                <w:highlight w:val="none"/>
              </w:rPr>
            </w:pPr>
            <w:r>
              <w:rPr>
                <w:rFonts w:hint="eastAsia"/>
                <w:color w:val="auto"/>
                <w:highlight w:val="none"/>
              </w:rPr>
              <w:t>6.支持4K VLAN，支持端口自协商，支持链路聚合，支持静态端口聚合。</w:t>
            </w:r>
          </w:p>
          <w:p w14:paraId="7AB77670">
            <w:pPr>
              <w:shd w:val="clear"/>
              <w:rPr>
                <w:rFonts w:hint="eastAsia"/>
                <w:color w:val="auto"/>
                <w:highlight w:val="none"/>
                <w:lang w:eastAsia="zh-CN"/>
              </w:rPr>
            </w:pPr>
            <w:r>
              <w:rPr>
                <w:rFonts w:hint="eastAsia"/>
                <w:color w:val="auto"/>
                <w:highlight w:val="none"/>
                <w:lang w:eastAsia="zh-CN"/>
              </w:rPr>
              <w:t>7.支持端口隔离，支持基于端口划分VLAN，支持MAC地址自动学习，支持MAC地址自动老化，支持静态MAC表项。</w:t>
            </w:r>
          </w:p>
        </w:tc>
        <w:tc>
          <w:tcPr>
            <w:tcW w:w="731" w:type="dxa"/>
            <w:vAlign w:val="center"/>
          </w:tcPr>
          <w:p w14:paraId="28482BED">
            <w:pPr>
              <w:shd w:val="clear"/>
              <w:jc w:val="center"/>
              <w:rPr>
                <w:rFonts w:hint="eastAsia"/>
                <w:color w:val="auto"/>
                <w:highlight w:val="none"/>
              </w:rPr>
            </w:pPr>
            <w:r>
              <w:rPr>
                <w:rFonts w:hint="eastAsia"/>
                <w:color w:val="auto"/>
                <w:highlight w:val="none"/>
              </w:rPr>
              <w:t>12</w:t>
            </w:r>
          </w:p>
        </w:tc>
        <w:tc>
          <w:tcPr>
            <w:tcW w:w="725" w:type="dxa"/>
            <w:vAlign w:val="center"/>
          </w:tcPr>
          <w:p w14:paraId="677DABCA">
            <w:pPr>
              <w:shd w:val="clear"/>
              <w:jc w:val="center"/>
              <w:rPr>
                <w:rFonts w:hint="eastAsia"/>
                <w:color w:val="auto"/>
                <w:highlight w:val="none"/>
              </w:rPr>
            </w:pPr>
            <w:r>
              <w:rPr>
                <w:rFonts w:hint="eastAsia"/>
                <w:color w:val="auto"/>
                <w:highlight w:val="none"/>
              </w:rPr>
              <w:t>台</w:t>
            </w:r>
          </w:p>
        </w:tc>
        <w:tc>
          <w:tcPr>
            <w:tcW w:w="1155" w:type="dxa"/>
            <w:vAlign w:val="center"/>
          </w:tcPr>
          <w:p w14:paraId="55ADE4C1">
            <w:pPr>
              <w:shd w:val="clear"/>
              <w:jc w:val="center"/>
              <w:rPr>
                <w:rFonts w:hint="eastAsia"/>
                <w:color w:val="auto"/>
                <w:highlight w:val="none"/>
              </w:rPr>
            </w:pPr>
            <w:r>
              <w:rPr>
                <w:rFonts w:hint="eastAsia"/>
                <w:color w:val="auto"/>
                <w:highlight w:val="none"/>
              </w:rPr>
              <w:t>工业</w:t>
            </w:r>
          </w:p>
        </w:tc>
      </w:tr>
      <w:tr w14:paraId="2A1A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19AAA180">
            <w:pPr>
              <w:shd w:val="clear"/>
              <w:rPr>
                <w:rFonts w:hint="eastAsia"/>
                <w:color w:val="auto"/>
                <w:highlight w:val="none"/>
              </w:rPr>
            </w:pPr>
            <w:r>
              <w:rPr>
                <w:rFonts w:hint="eastAsia"/>
                <w:color w:val="auto"/>
                <w:highlight w:val="none"/>
              </w:rPr>
              <w:t>7</w:t>
            </w:r>
          </w:p>
        </w:tc>
        <w:tc>
          <w:tcPr>
            <w:tcW w:w="1274" w:type="dxa"/>
            <w:vAlign w:val="center"/>
          </w:tcPr>
          <w:p w14:paraId="161A770A">
            <w:pPr>
              <w:shd w:val="clear"/>
              <w:rPr>
                <w:rFonts w:hint="default" w:eastAsia="宋体"/>
                <w:color w:val="auto"/>
                <w:highlight w:val="none"/>
                <w:lang w:val="en-US" w:eastAsia="zh-CN"/>
              </w:rPr>
            </w:pPr>
            <w:r>
              <w:rPr>
                <w:rFonts w:hint="eastAsia"/>
                <w:color w:val="auto"/>
                <w:highlight w:val="none"/>
                <w:lang w:val="en-US" w:eastAsia="zh-CN"/>
              </w:rPr>
              <w:t>核心汇聚网络通信组件</w:t>
            </w:r>
          </w:p>
        </w:tc>
        <w:tc>
          <w:tcPr>
            <w:tcW w:w="5181" w:type="dxa"/>
          </w:tcPr>
          <w:p w14:paraId="0C02E050">
            <w:pPr>
              <w:shd w:val="clear"/>
              <w:rPr>
                <w:rFonts w:hint="eastAsia"/>
                <w:color w:val="auto"/>
                <w:highlight w:val="none"/>
              </w:rPr>
            </w:pPr>
            <w:r>
              <w:rPr>
                <w:rFonts w:hint="eastAsia"/>
                <w:color w:val="auto"/>
                <w:highlight w:val="none"/>
              </w:rPr>
              <w:t>1.交换容量≥2.4Tbps，包转发率≥660Mpps。</w:t>
            </w:r>
          </w:p>
          <w:p w14:paraId="4147DBA6">
            <w:pPr>
              <w:shd w:val="clear"/>
              <w:rPr>
                <w:rFonts w:hint="eastAsia"/>
                <w:color w:val="auto"/>
                <w:highlight w:val="none"/>
              </w:rPr>
            </w:pPr>
            <w:r>
              <w:rPr>
                <w:rFonts w:hint="eastAsia"/>
                <w:color w:val="auto"/>
                <w:highlight w:val="none"/>
              </w:rPr>
              <w:t>2.千兆光口≥24个,复用10/100/1000M自适应电口≥8个，1G/10G SFP+光接口≥8个。</w:t>
            </w:r>
          </w:p>
          <w:p w14:paraId="44430D15">
            <w:pPr>
              <w:shd w:val="clear"/>
              <w:rPr>
                <w:rFonts w:hint="eastAsia"/>
                <w:color w:val="auto"/>
                <w:highlight w:val="none"/>
              </w:rPr>
            </w:pPr>
            <w:r>
              <w:rPr>
                <w:rFonts w:hint="eastAsia"/>
                <w:color w:val="auto"/>
                <w:highlight w:val="none"/>
              </w:rPr>
              <w:t>3.至少支持RIP/RIPng，OSPFv2/v3，BGP4/4+，IS-ISv4/v6协议。</w:t>
            </w:r>
          </w:p>
          <w:p w14:paraId="51188B50">
            <w:pPr>
              <w:shd w:val="clear"/>
              <w:rPr>
                <w:rFonts w:hint="eastAsia"/>
                <w:color w:val="auto"/>
                <w:highlight w:val="none"/>
              </w:rPr>
            </w:pPr>
            <w:r>
              <w:rPr>
                <w:rFonts w:hint="eastAsia"/>
                <w:color w:val="auto"/>
                <w:highlight w:val="none"/>
              </w:rPr>
              <w:t>4.至少支持IGMP v1/v2/v3，PIM-SM组播协议。</w:t>
            </w:r>
          </w:p>
          <w:p w14:paraId="0246FA66">
            <w:pPr>
              <w:shd w:val="clear"/>
              <w:rPr>
                <w:rFonts w:hint="eastAsia"/>
                <w:color w:val="auto"/>
                <w:highlight w:val="none"/>
              </w:rPr>
            </w:pPr>
            <w:r>
              <w:rPr>
                <w:rFonts w:hint="eastAsia"/>
                <w:color w:val="auto"/>
                <w:highlight w:val="none"/>
              </w:rPr>
              <w:t>5.支持基于IPv4/IPv6五元组、基于源/目的MAC、基于VLAN、基于802.1P优先级的ACL。</w:t>
            </w:r>
          </w:p>
          <w:p w14:paraId="53BA7072">
            <w:pPr>
              <w:shd w:val="clear"/>
              <w:rPr>
                <w:rFonts w:hint="eastAsia"/>
                <w:color w:val="auto"/>
                <w:highlight w:val="none"/>
              </w:rPr>
            </w:pPr>
            <w:r>
              <w:rPr>
                <w:rFonts w:hint="eastAsia"/>
                <w:color w:val="auto"/>
                <w:highlight w:val="none"/>
              </w:rPr>
              <w:t>6.支持VXLAN二层网桥、VXLAN三层网关，支持EVPN VXLAN。</w:t>
            </w:r>
          </w:p>
          <w:p w14:paraId="36228868">
            <w:pPr>
              <w:shd w:val="clear"/>
              <w:rPr>
                <w:rFonts w:hint="eastAsia"/>
                <w:color w:val="auto"/>
                <w:highlight w:val="none"/>
                <w:lang w:eastAsia="zh-CN"/>
              </w:rPr>
            </w:pPr>
            <w:r>
              <w:rPr>
                <w:rFonts w:hint="eastAsia"/>
                <w:color w:val="auto"/>
                <w:highlight w:val="none"/>
                <w:lang w:eastAsia="zh-CN"/>
              </w:rPr>
              <w:t>7.支持冗余供电，电源数量≥2块。</w:t>
            </w:r>
          </w:p>
        </w:tc>
        <w:tc>
          <w:tcPr>
            <w:tcW w:w="731" w:type="dxa"/>
            <w:vAlign w:val="center"/>
          </w:tcPr>
          <w:p w14:paraId="1B12A143">
            <w:pPr>
              <w:shd w:val="clear"/>
              <w:jc w:val="center"/>
              <w:rPr>
                <w:rFonts w:hint="eastAsia"/>
                <w:color w:val="auto"/>
                <w:highlight w:val="none"/>
              </w:rPr>
            </w:pPr>
            <w:r>
              <w:rPr>
                <w:rFonts w:hint="eastAsia"/>
                <w:color w:val="auto"/>
                <w:highlight w:val="none"/>
              </w:rPr>
              <w:t>1</w:t>
            </w:r>
          </w:p>
        </w:tc>
        <w:tc>
          <w:tcPr>
            <w:tcW w:w="725" w:type="dxa"/>
            <w:vAlign w:val="center"/>
          </w:tcPr>
          <w:p w14:paraId="123ECF8E">
            <w:pPr>
              <w:shd w:val="clear"/>
              <w:jc w:val="center"/>
              <w:rPr>
                <w:rFonts w:hint="eastAsia"/>
                <w:color w:val="auto"/>
                <w:highlight w:val="none"/>
              </w:rPr>
            </w:pPr>
            <w:r>
              <w:rPr>
                <w:rFonts w:hint="eastAsia"/>
                <w:color w:val="auto"/>
                <w:highlight w:val="none"/>
              </w:rPr>
              <w:t>台</w:t>
            </w:r>
          </w:p>
        </w:tc>
        <w:tc>
          <w:tcPr>
            <w:tcW w:w="1155" w:type="dxa"/>
            <w:vAlign w:val="center"/>
          </w:tcPr>
          <w:p w14:paraId="7CE86FB3">
            <w:pPr>
              <w:shd w:val="clear"/>
              <w:jc w:val="center"/>
              <w:rPr>
                <w:rFonts w:hint="eastAsia"/>
                <w:color w:val="auto"/>
                <w:highlight w:val="none"/>
              </w:rPr>
            </w:pPr>
            <w:r>
              <w:rPr>
                <w:rFonts w:hint="eastAsia"/>
                <w:color w:val="auto"/>
                <w:highlight w:val="none"/>
              </w:rPr>
              <w:t>工业</w:t>
            </w:r>
          </w:p>
        </w:tc>
      </w:tr>
      <w:tr w14:paraId="10054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2E43D64">
            <w:pPr>
              <w:shd w:val="clear"/>
              <w:rPr>
                <w:rFonts w:hint="eastAsia"/>
                <w:color w:val="auto"/>
                <w:highlight w:val="none"/>
              </w:rPr>
            </w:pPr>
            <w:r>
              <w:rPr>
                <w:rFonts w:hint="eastAsia"/>
                <w:color w:val="auto"/>
                <w:highlight w:val="none"/>
              </w:rPr>
              <w:t>8</w:t>
            </w:r>
          </w:p>
        </w:tc>
        <w:tc>
          <w:tcPr>
            <w:tcW w:w="1274" w:type="dxa"/>
            <w:vAlign w:val="center"/>
          </w:tcPr>
          <w:p w14:paraId="6C0D6D72">
            <w:pPr>
              <w:shd w:val="clear"/>
              <w:rPr>
                <w:rFonts w:hint="eastAsia"/>
                <w:color w:val="auto"/>
                <w:highlight w:val="none"/>
              </w:rPr>
            </w:pPr>
            <w:r>
              <w:rPr>
                <w:rFonts w:hint="eastAsia"/>
                <w:color w:val="auto"/>
                <w:highlight w:val="none"/>
              </w:rPr>
              <w:t>四插位插排</w:t>
            </w:r>
          </w:p>
        </w:tc>
        <w:tc>
          <w:tcPr>
            <w:tcW w:w="5181" w:type="dxa"/>
          </w:tcPr>
          <w:p w14:paraId="7AE167F2">
            <w:pPr>
              <w:shd w:val="clear"/>
              <w:rPr>
                <w:rFonts w:hint="eastAsia"/>
                <w:color w:val="auto"/>
                <w:highlight w:val="none"/>
              </w:rPr>
            </w:pPr>
            <w:r>
              <w:rPr>
                <w:rFonts w:hint="eastAsia"/>
                <w:color w:val="auto"/>
                <w:highlight w:val="none"/>
              </w:rPr>
              <w:t>1.额定电压250V，最大电流10A，最大功率2500W。</w:t>
            </w:r>
          </w:p>
          <w:p w14:paraId="6DE6CA4C">
            <w:pPr>
              <w:shd w:val="clear"/>
              <w:rPr>
                <w:rFonts w:hint="eastAsia"/>
                <w:color w:val="auto"/>
                <w:highlight w:val="none"/>
              </w:rPr>
            </w:pPr>
            <w:r>
              <w:rPr>
                <w:rFonts w:hint="eastAsia"/>
                <w:color w:val="auto"/>
                <w:highlight w:val="none"/>
              </w:rPr>
              <w:t>2.新国标5孔4插位，带总控开关，白色有线，线长≥3m，超功率自动断电。</w:t>
            </w:r>
          </w:p>
          <w:p w14:paraId="08D9F59A">
            <w:pPr>
              <w:shd w:val="clear"/>
              <w:rPr>
                <w:rFonts w:hint="eastAsia"/>
                <w:color w:val="auto"/>
                <w:highlight w:val="none"/>
                <w:lang w:eastAsia="zh-CN"/>
              </w:rPr>
            </w:pPr>
            <w:r>
              <w:rPr>
                <w:rFonts w:hint="eastAsia"/>
                <w:color w:val="auto"/>
                <w:highlight w:val="none"/>
                <w:lang w:eastAsia="zh-CN"/>
              </w:rPr>
              <w:t>3.含帮扎固定、线缆连接、标签粘贴等。</w:t>
            </w:r>
          </w:p>
        </w:tc>
        <w:tc>
          <w:tcPr>
            <w:tcW w:w="731" w:type="dxa"/>
            <w:vAlign w:val="center"/>
          </w:tcPr>
          <w:p w14:paraId="6626AF91">
            <w:pPr>
              <w:shd w:val="clear"/>
              <w:jc w:val="center"/>
              <w:rPr>
                <w:rFonts w:hint="eastAsia"/>
                <w:color w:val="auto"/>
                <w:highlight w:val="none"/>
              </w:rPr>
            </w:pPr>
            <w:r>
              <w:rPr>
                <w:rFonts w:hint="eastAsia"/>
                <w:color w:val="auto"/>
                <w:highlight w:val="none"/>
              </w:rPr>
              <w:t>52</w:t>
            </w:r>
          </w:p>
        </w:tc>
        <w:tc>
          <w:tcPr>
            <w:tcW w:w="725" w:type="dxa"/>
            <w:vAlign w:val="center"/>
          </w:tcPr>
          <w:p w14:paraId="7219F5C5">
            <w:pPr>
              <w:shd w:val="clear"/>
              <w:jc w:val="center"/>
              <w:rPr>
                <w:rFonts w:hint="eastAsia"/>
                <w:color w:val="auto"/>
                <w:highlight w:val="none"/>
              </w:rPr>
            </w:pPr>
            <w:r>
              <w:rPr>
                <w:rFonts w:hint="eastAsia"/>
                <w:color w:val="auto"/>
                <w:highlight w:val="none"/>
              </w:rPr>
              <w:t>个</w:t>
            </w:r>
          </w:p>
        </w:tc>
        <w:tc>
          <w:tcPr>
            <w:tcW w:w="1155" w:type="dxa"/>
            <w:vAlign w:val="center"/>
          </w:tcPr>
          <w:p w14:paraId="45593391">
            <w:pPr>
              <w:shd w:val="clear"/>
              <w:jc w:val="center"/>
              <w:rPr>
                <w:rFonts w:hint="eastAsia"/>
                <w:color w:val="auto"/>
                <w:highlight w:val="none"/>
              </w:rPr>
            </w:pPr>
            <w:r>
              <w:rPr>
                <w:rFonts w:hint="eastAsia"/>
                <w:color w:val="auto"/>
                <w:highlight w:val="none"/>
              </w:rPr>
              <w:t>工业</w:t>
            </w:r>
          </w:p>
        </w:tc>
      </w:tr>
      <w:tr w14:paraId="2A1D9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5E63383">
            <w:pPr>
              <w:shd w:val="clear"/>
              <w:rPr>
                <w:rFonts w:hint="eastAsia"/>
                <w:color w:val="auto"/>
                <w:highlight w:val="none"/>
              </w:rPr>
            </w:pPr>
            <w:r>
              <w:rPr>
                <w:rFonts w:hint="eastAsia"/>
                <w:color w:val="auto"/>
                <w:highlight w:val="none"/>
              </w:rPr>
              <w:t>9</w:t>
            </w:r>
          </w:p>
        </w:tc>
        <w:tc>
          <w:tcPr>
            <w:tcW w:w="1274" w:type="dxa"/>
            <w:vAlign w:val="center"/>
          </w:tcPr>
          <w:p w14:paraId="06DD2E96">
            <w:pPr>
              <w:shd w:val="clear"/>
              <w:rPr>
                <w:rFonts w:hint="eastAsia"/>
                <w:color w:val="auto"/>
                <w:highlight w:val="none"/>
              </w:rPr>
            </w:pPr>
            <w:r>
              <w:rPr>
                <w:rFonts w:hint="eastAsia"/>
                <w:color w:val="auto"/>
                <w:highlight w:val="none"/>
              </w:rPr>
              <w:t>机房智慧管理软件</w:t>
            </w:r>
          </w:p>
        </w:tc>
        <w:tc>
          <w:tcPr>
            <w:tcW w:w="5181" w:type="dxa"/>
          </w:tcPr>
          <w:p w14:paraId="2D43C649">
            <w:pPr>
              <w:shd w:val="clear"/>
              <w:rPr>
                <w:rFonts w:hint="eastAsia"/>
                <w:color w:val="auto"/>
                <w:highlight w:val="none"/>
              </w:rPr>
            </w:pPr>
            <w:r>
              <w:rPr>
                <w:rFonts w:hint="eastAsia"/>
                <w:color w:val="auto"/>
                <w:highlight w:val="none"/>
              </w:rPr>
              <w:t>1.针对不同楼宇、年级、学科的终端支持分组管理，可将终端进行分组，管理员可根据配置好的镜像分配给相应的分组；可在正常上课的同时完成镜像缓存下载。</w:t>
            </w:r>
          </w:p>
          <w:p w14:paraId="0BA43FCF">
            <w:pPr>
              <w:shd w:val="clear"/>
              <w:rPr>
                <w:rFonts w:hint="eastAsia"/>
                <w:color w:val="auto"/>
                <w:highlight w:val="none"/>
              </w:rPr>
            </w:pPr>
            <w:r>
              <w:rPr>
                <w:rFonts w:hint="eastAsia"/>
                <w:color w:val="auto"/>
                <w:highlight w:val="none"/>
              </w:rPr>
              <w:t>2.支持至少三种模式对某一系统盘和数据盘的管理。</w:t>
            </w:r>
          </w:p>
          <w:p w14:paraId="27E059AE">
            <w:pPr>
              <w:shd w:val="clear"/>
              <w:rPr>
                <w:rFonts w:hint="eastAsia"/>
                <w:color w:val="auto"/>
                <w:highlight w:val="none"/>
              </w:rPr>
            </w:pPr>
            <w:r>
              <w:rPr>
                <w:rFonts w:hint="eastAsia"/>
                <w:color w:val="auto"/>
                <w:highlight w:val="none"/>
              </w:rPr>
              <w:t>3.支持从服务器端对客户端发起远程开机、关机、发送通知消息、发送远程命令等指令，支持管理员对客户端进行远程协助排障。</w:t>
            </w:r>
          </w:p>
          <w:p w14:paraId="37C36490">
            <w:pPr>
              <w:shd w:val="clear"/>
              <w:rPr>
                <w:rFonts w:hint="eastAsia"/>
                <w:color w:val="auto"/>
                <w:highlight w:val="none"/>
              </w:rPr>
            </w:pPr>
            <w:r>
              <w:rPr>
                <w:rFonts w:hint="eastAsia"/>
                <w:color w:val="auto"/>
                <w:highlight w:val="none"/>
              </w:rPr>
              <w:t>4.支持收集所有终端的软件信息，包含但不限于运行次数、版本、程序大小等。</w:t>
            </w:r>
          </w:p>
          <w:p w14:paraId="7F5A47A7">
            <w:pPr>
              <w:shd w:val="clear"/>
              <w:rPr>
                <w:rFonts w:hint="eastAsia"/>
                <w:color w:val="auto"/>
                <w:highlight w:val="none"/>
              </w:rPr>
            </w:pPr>
            <w:r>
              <w:rPr>
                <w:rFonts w:hint="eastAsia"/>
                <w:color w:val="auto"/>
                <w:highlight w:val="none"/>
              </w:rPr>
              <w:t>5.支持计划任务设置，可以设置固定时间、每天、每周、每月进行定时执行各种任务类型，包括开机、关机、切换模板、下发模版、还原系统盘、还原数据盘。</w:t>
            </w:r>
          </w:p>
          <w:p w14:paraId="2C1CCFCD">
            <w:pPr>
              <w:shd w:val="clear"/>
              <w:rPr>
                <w:rFonts w:hint="eastAsia"/>
                <w:color w:val="auto"/>
                <w:highlight w:val="none"/>
              </w:rPr>
            </w:pPr>
            <w:r>
              <w:rPr>
                <w:rFonts w:hint="eastAsia"/>
                <w:color w:val="auto"/>
                <w:highlight w:val="none"/>
              </w:rPr>
              <w:t>6.支持对服务器使用的网络端口进行检测，并通过检测结果帮助管理员快速分析和解决问题。</w:t>
            </w:r>
          </w:p>
          <w:p w14:paraId="0A8B5665">
            <w:pPr>
              <w:shd w:val="clear"/>
              <w:rPr>
                <w:rFonts w:hint="eastAsia"/>
                <w:color w:val="auto"/>
                <w:highlight w:val="none"/>
              </w:rPr>
            </w:pPr>
            <w:r>
              <w:rPr>
                <w:rFonts w:hint="eastAsia"/>
                <w:color w:val="auto"/>
                <w:highlight w:val="none"/>
              </w:rPr>
              <w:t>7.支持用户在终端登录网盘，实现数据漫游与数据共享；支持用户将网盘中的文件分享给其他用户，其他用户可通过链接和提取码查看文件。</w:t>
            </w:r>
          </w:p>
          <w:p w14:paraId="0488E90B">
            <w:pPr>
              <w:shd w:val="clear"/>
              <w:rPr>
                <w:rFonts w:hint="eastAsia"/>
                <w:color w:val="auto"/>
                <w:highlight w:val="none"/>
              </w:rPr>
            </w:pPr>
            <w:r>
              <w:rPr>
                <w:rFonts w:hint="eastAsia"/>
                <w:color w:val="auto"/>
                <w:highlight w:val="none"/>
              </w:rPr>
              <w:t>8.支持网盘回收站功能，删除的文件先保留在回收站，可根据实际情况按需取回。</w:t>
            </w:r>
          </w:p>
          <w:p w14:paraId="6EFAC81D">
            <w:pPr>
              <w:shd w:val="clear"/>
              <w:rPr>
                <w:rFonts w:hint="eastAsia"/>
                <w:color w:val="auto"/>
                <w:highlight w:val="none"/>
              </w:rPr>
            </w:pPr>
            <w:r>
              <w:rPr>
                <w:rFonts w:hint="eastAsia"/>
                <w:color w:val="auto"/>
                <w:highlight w:val="none"/>
              </w:rPr>
              <w:t>9.支持ATA、NCRE等考试模式，支持设置考试专属镜像并在考试开始前将考试镜像设置为隐藏模式。支持管理员自定义保留考试桌面保留的周期时间。</w:t>
            </w:r>
          </w:p>
          <w:p w14:paraId="77940428">
            <w:pPr>
              <w:shd w:val="clear"/>
              <w:rPr>
                <w:rFonts w:hint="eastAsia"/>
                <w:color w:val="auto"/>
                <w:highlight w:val="none"/>
              </w:rPr>
            </w:pPr>
            <w:r>
              <w:rPr>
                <w:rFonts w:hint="eastAsia"/>
                <w:color w:val="auto"/>
                <w:highlight w:val="none"/>
              </w:rPr>
              <w:t>10.支持系统名称、LOGO、登录背景图等可按需修改名称。</w:t>
            </w:r>
          </w:p>
          <w:p w14:paraId="09B9E113">
            <w:pPr>
              <w:shd w:val="clear"/>
              <w:rPr>
                <w:rFonts w:hint="eastAsia"/>
                <w:color w:val="auto"/>
                <w:highlight w:val="none"/>
              </w:rPr>
            </w:pPr>
            <w:r>
              <w:rPr>
                <w:rFonts w:hint="eastAsia"/>
                <w:color w:val="auto"/>
                <w:highlight w:val="none"/>
              </w:rPr>
              <w:t>11.支持创建组织、用户、角色，支持管理员对不同用户和角色进行分级分权管理。</w:t>
            </w:r>
          </w:p>
          <w:p w14:paraId="6D366694">
            <w:pPr>
              <w:shd w:val="clear"/>
              <w:rPr>
                <w:rFonts w:hint="eastAsia"/>
                <w:color w:val="auto"/>
                <w:highlight w:val="none"/>
              </w:rPr>
            </w:pPr>
            <w:r>
              <w:rPr>
                <w:rFonts w:hint="eastAsia"/>
                <w:color w:val="auto"/>
                <w:highlight w:val="none"/>
              </w:rPr>
              <w:t>12.终端支持多盘缓存模式，即在终端固态盘容量小导致无法多镜像缓存时，支持固态盘和机械盘混合缓存载入，充分利用终端现有存储资源。</w:t>
            </w:r>
          </w:p>
          <w:p w14:paraId="3CEFE172">
            <w:pPr>
              <w:shd w:val="clear"/>
              <w:rPr>
                <w:rFonts w:hint="eastAsia"/>
                <w:color w:val="auto"/>
                <w:highlight w:val="none"/>
              </w:rPr>
            </w:pPr>
            <w:r>
              <w:rPr>
                <w:rFonts w:hint="eastAsia"/>
                <w:color w:val="auto"/>
                <w:highlight w:val="none"/>
              </w:rPr>
              <w:t>13.可适配兆芯、海光、飞腾等国产芯片架构终端部署，支持异构终端设备</w:t>
            </w:r>
            <w:r>
              <w:rPr>
                <w:rFonts w:hint="eastAsia"/>
                <w:color w:val="auto"/>
                <w:highlight w:val="none"/>
                <w:lang w:val="en-US" w:eastAsia="zh-CN"/>
              </w:rPr>
              <w:t>统一</w:t>
            </w:r>
            <w:r>
              <w:rPr>
                <w:rFonts w:hint="eastAsia"/>
                <w:color w:val="auto"/>
                <w:highlight w:val="none"/>
              </w:rPr>
              <w:t>管</w:t>
            </w:r>
            <w:r>
              <w:rPr>
                <w:rFonts w:hint="eastAsia"/>
                <w:color w:val="auto"/>
                <w:highlight w:val="none"/>
                <w:lang w:val="en-US" w:eastAsia="zh-CN"/>
              </w:rPr>
              <w:t>理</w:t>
            </w:r>
            <w:r>
              <w:rPr>
                <w:rFonts w:hint="eastAsia"/>
                <w:color w:val="auto"/>
                <w:highlight w:val="none"/>
              </w:rPr>
              <w:t>。</w:t>
            </w:r>
          </w:p>
          <w:p w14:paraId="2ED94A86">
            <w:pPr>
              <w:shd w:val="clear"/>
              <w:rPr>
                <w:rFonts w:hint="eastAsia"/>
                <w:color w:val="auto"/>
                <w:highlight w:val="none"/>
                <w:lang w:eastAsia="zh-CN"/>
              </w:rPr>
            </w:pPr>
            <w:r>
              <w:rPr>
                <w:rFonts w:hint="eastAsia"/>
                <w:color w:val="auto"/>
                <w:highlight w:val="none"/>
                <w:lang w:eastAsia="zh-CN"/>
              </w:rPr>
              <w:t>14.可支持不少于200个设备点位的管理。</w:t>
            </w:r>
          </w:p>
        </w:tc>
        <w:tc>
          <w:tcPr>
            <w:tcW w:w="731" w:type="dxa"/>
            <w:vAlign w:val="center"/>
          </w:tcPr>
          <w:p w14:paraId="1C94DD82">
            <w:pPr>
              <w:shd w:val="clear"/>
              <w:jc w:val="center"/>
              <w:rPr>
                <w:rFonts w:hint="eastAsia"/>
                <w:color w:val="auto"/>
                <w:highlight w:val="none"/>
              </w:rPr>
            </w:pPr>
            <w:r>
              <w:rPr>
                <w:rFonts w:hint="eastAsia"/>
                <w:color w:val="auto"/>
                <w:highlight w:val="none"/>
              </w:rPr>
              <w:t>1</w:t>
            </w:r>
          </w:p>
        </w:tc>
        <w:tc>
          <w:tcPr>
            <w:tcW w:w="725" w:type="dxa"/>
            <w:vAlign w:val="center"/>
          </w:tcPr>
          <w:p w14:paraId="40B77E45">
            <w:pPr>
              <w:shd w:val="clear"/>
              <w:jc w:val="center"/>
              <w:rPr>
                <w:rFonts w:hint="eastAsia"/>
                <w:color w:val="auto"/>
                <w:highlight w:val="none"/>
              </w:rPr>
            </w:pPr>
            <w:r>
              <w:rPr>
                <w:rFonts w:hint="eastAsia"/>
                <w:color w:val="auto"/>
                <w:highlight w:val="none"/>
              </w:rPr>
              <w:t>套</w:t>
            </w:r>
          </w:p>
        </w:tc>
        <w:tc>
          <w:tcPr>
            <w:tcW w:w="1155" w:type="dxa"/>
            <w:vAlign w:val="center"/>
          </w:tcPr>
          <w:p w14:paraId="0A7B53F9">
            <w:pPr>
              <w:shd w:val="clear"/>
              <w:jc w:val="center"/>
              <w:rPr>
                <w:rFonts w:hint="eastAsia"/>
                <w:color w:val="auto"/>
                <w:highlight w:val="none"/>
              </w:rPr>
            </w:pPr>
            <w:r>
              <w:rPr>
                <w:rFonts w:hint="eastAsia"/>
                <w:color w:val="auto"/>
                <w:highlight w:val="none"/>
              </w:rPr>
              <w:t>软件和信息技术服务业</w:t>
            </w:r>
          </w:p>
        </w:tc>
      </w:tr>
      <w:tr w14:paraId="2E84E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548C6E92">
            <w:pPr>
              <w:shd w:val="clear"/>
              <w:rPr>
                <w:rFonts w:hint="eastAsia"/>
                <w:color w:val="auto"/>
                <w:highlight w:val="none"/>
              </w:rPr>
            </w:pPr>
            <w:r>
              <w:rPr>
                <w:rFonts w:hint="eastAsia"/>
                <w:color w:val="auto"/>
                <w:highlight w:val="none"/>
              </w:rPr>
              <w:t>10</w:t>
            </w:r>
          </w:p>
        </w:tc>
        <w:tc>
          <w:tcPr>
            <w:tcW w:w="1274" w:type="dxa"/>
            <w:vAlign w:val="center"/>
          </w:tcPr>
          <w:p w14:paraId="05CF64E8">
            <w:pPr>
              <w:shd w:val="clear"/>
              <w:rPr>
                <w:rFonts w:hint="eastAsia"/>
                <w:color w:val="auto"/>
                <w:highlight w:val="none"/>
              </w:rPr>
            </w:pPr>
            <w:r>
              <w:rPr>
                <w:rFonts w:hint="eastAsia"/>
                <w:color w:val="auto"/>
                <w:highlight w:val="none"/>
              </w:rPr>
              <w:t>机房智慧教学软件</w:t>
            </w:r>
          </w:p>
        </w:tc>
        <w:tc>
          <w:tcPr>
            <w:tcW w:w="5181" w:type="dxa"/>
          </w:tcPr>
          <w:p w14:paraId="5179A31F">
            <w:pPr>
              <w:shd w:val="clear"/>
              <w:rPr>
                <w:rFonts w:hint="eastAsia"/>
                <w:color w:val="auto"/>
                <w:highlight w:val="none"/>
              </w:rPr>
            </w:pPr>
            <w:r>
              <w:rPr>
                <w:rFonts w:hint="eastAsia"/>
                <w:color w:val="auto"/>
                <w:highlight w:val="none"/>
              </w:rPr>
              <w:t>1.课堂教学：</w:t>
            </w:r>
          </w:p>
          <w:p w14:paraId="283D8587">
            <w:pPr>
              <w:shd w:val="clear"/>
              <w:rPr>
                <w:rFonts w:hint="eastAsia"/>
                <w:color w:val="auto"/>
                <w:highlight w:val="none"/>
              </w:rPr>
            </w:pPr>
            <w:r>
              <w:rPr>
                <w:rFonts w:hint="eastAsia"/>
                <w:color w:val="auto"/>
                <w:highlight w:val="none"/>
              </w:rPr>
              <w:t>（1）教师演示：支持教师对单一、部分或全体学生进行屏幕演示，全屏、窗口方式均可。</w:t>
            </w:r>
            <w:r>
              <w:rPr>
                <w:rFonts w:hint="eastAsia"/>
                <w:color w:val="auto"/>
                <w:highlight w:val="none"/>
              </w:rPr>
              <w:br w:type="textWrapping"/>
            </w:r>
            <w:r>
              <w:rPr>
                <w:rFonts w:hint="eastAsia"/>
                <w:color w:val="auto"/>
                <w:highlight w:val="none"/>
              </w:rPr>
              <w:t>（2）屏幕笔：教师教学使用的辅助工具，支持突出显示项目、添加注释，添加批注等。</w:t>
            </w:r>
            <w:r>
              <w:rPr>
                <w:rFonts w:hint="eastAsia"/>
                <w:color w:val="auto"/>
                <w:highlight w:val="none"/>
              </w:rPr>
              <w:br w:type="textWrapping"/>
            </w:r>
            <w:r>
              <w:rPr>
                <w:rFonts w:hint="eastAsia"/>
                <w:color w:val="auto"/>
                <w:highlight w:val="none"/>
              </w:rPr>
              <w:t>（3）视频广播：采用流媒体技术，支持教师机播放的视频同步广播到学生机，支持的媒体音视频格式包括Windows Media文件，VCD文件，DVD文件，Real文件，AVI文件，MP3等主流文件格式，支持720p、1080p的高清视频。</w:t>
            </w:r>
            <w:r>
              <w:rPr>
                <w:rFonts w:hint="eastAsia"/>
                <w:color w:val="auto"/>
                <w:highlight w:val="none"/>
              </w:rPr>
              <w:br w:type="textWrapping"/>
            </w:r>
            <w:r>
              <w:rPr>
                <w:rFonts w:hint="eastAsia"/>
                <w:color w:val="auto"/>
                <w:highlight w:val="none"/>
              </w:rPr>
              <w:t>（4）学生演示：支持教师选定一台学生机作为示范，由此学生代替教师进行示范教学。</w:t>
            </w:r>
            <w:r>
              <w:rPr>
                <w:rFonts w:hint="eastAsia"/>
                <w:color w:val="auto"/>
                <w:highlight w:val="none"/>
              </w:rPr>
              <w:br w:type="textWrapping"/>
            </w:r>
            <w:r>
              <w:rPr>
                <w:rFonts w:hint="eastAsia"/>
                <w:color w:val="auto"/>
                <w:highlight w:val="none"/>
              </w:rPr>
              <w:t>（5）分组教学：支持教师分派组长执行指定的功能，组长代替教师进行小组教学，小组不需要再临时创建，教师可以监控每个分组的教学过程，了解分组教学的进度。</w:t>
            </w:r>
            <w:r>
              <w:rPr>
                <w:rFonts w:hint="eastAsia"/>
                <w:color w:val="auto"/>
                <w:highlight w:val="none"/>
              </w:rPr>
              <w:br w:type="textWrapping"/>
            </w:r>
            <w:r>
              <w:rPr>
                <w:rFonts w:hint="eastAsia"/>
                <w:color w:val="auto"/>
                <w:highlight w:val="none"/>
              </w:rPr>
              <w:t>（6）分组讨论：支持教师创建多个小组进行讨论活动，并可任意选择分组加入讨论活动。同组师生支持多种方式进行交流，包括文字，表情，图片等。</w:t>
            </w:r>
          </w:p>
          <w:p w14:paraId="5DEA8C59">
            <w:pPr>
              <w:shd w:val="clear"/>
              <w:rPr>
                <w:rFonts w:hint="eastAsia"/>
                <w:color w:val="auto"/>
                <w:highlight w:val="none"/>
              </w:rPr>
            </w:pPr>
            <w:r>
              <w:rPr>
                <w:rFonts w:hint="eastAsia"/>
                <w:color w:val="auto"/>
                <w:highlight w:val="none"/>
              </w:rPr>
              <w:t>（7）学生端屏幕录制、回放：学生端接收教师端广播的时候支持自动录制教师机广播教学的过程，课后可以重复观看学习。</w:t>
            </w:r>
            <w:r>
              <w:rPr>
                <w:rFonts w:hint="eastAsia"/>
                <w:color w:val="auto"/>
                <w:highlight w:val="none"/>
              </w:rPr>
              <w:br w:type="textWrapping"/>
            </w:r>
            <w:r>
              <w:rPr>
                <w:rFonts w:hint="eastAsia"/>
                <w:color w:val="auto"/>
                <w:highlight w:val="none"/>
              </w:rPr>
              <w:t>（8）文件分发：支持教师将教师机不同盘符中的目录或文件一起发送至学生机的某目录下。目录不存在可自动新建此目录；盘符不存在或路径非法不允许分发；文件已存在选择自动覆盖或保留原始文件。</w:t>
            </w:r>
            <w:r>
              <w:rPr>
                <w:rFonts w:hint="eastAsia"/>
                <w:color w:val="auto"/>
                <w:highlight w:val="none"/>
              </w:rPr>
              <w:br w:type="textWrapping"/>
            </w:r>
            <w:r>
              <w:rPr>
                <w:rFonts w:hint="eastAsia"/>
                <w:color w:val="auto"/>
                <w:highlight w:val="none"/>
              </w:rPr>
              <w:t>（9）作业提交：支持学生把做好的作业直接提交到教师机。通过特殊设置，学生提交作业时必需经过教师审批通过后才可提交，教师可以选择接收和拒绝学生提交的文件。并且教师可以限制学生提交文件的数目和大小。</w:t>
            </w:r>
            <w:r>
              <w:rPr>
                <w:rFonts w:hint="eastAsia"/>
                <w:color w:val="auto"/>
                <w:highlight w:val="none"/>
              </w:rPr>
              <w:br w:type="textWrapping"/>
            </w:r>
            <w:r>
              <w:rPr>
                <w:rFonts w:hint="eastAsia"/>
                <w:color w:val="auto"/>
                <w:highlight w:val="none"/>
              </w:rPr>
              <w:t>（10）屏幕监视：教师机可以监视单一、部分、全体学生机的屏幕，教师机每屏可监视多个学生屏幕。可以控制教师机监控的同屏幕各窗口间、屏幕与屏幕间的切换速度。可手动或自动循环监视。</w:t>
            </w:r>
            <w:r>
              <w:rPr>
                <w:rFonts w:hint="eastAsia"/>
                <w:color w:val="auto"/>
                <w:highlight w:val="none"/>
              </w:rPr>
              <w:br w:type="textWrapping"/>
            </w:r>
            <w:r>
              <w:rPr>
                <w:rFonts w:hint="eastAsia"/>
                <w:color w:val="auto"/>
                <w:highlight w:val="none"/>
              </w:rPr>
              <w:t>（11）频道教学：支持多频道划分，一个教师可对单个班级或多个班级同时上课；多个教师可同时对多个班级进行不同内容的教学。</w:t>
            </w:r>
            <w:r>
              <w:rPr>
                <w:rFonts w:hint="eastAsia"/>
                <w:color w:val="auto"/>
                <w:highlight w:val="none"/>
              </w:rPr>
              <w:br w:type="textWrapping"/>
            </w:r>
            <w:r>
              <w:rPr>
                <w:rFonts w:hint="eastAsia"/>
                <w:color w:val="auto"/>
                <w:highlight w:val="none"/>
              </w:rPr>
              <w:t>2.教学评测：</w:t>
            </w:r>
            <w:r>
              <w:rPr>
                <w:rFonts w:hint="eastAsia"/>
                <w:color w:val="auto"/>
                <w:highlight w:val="none"/>
              </w:rPr>
              <w:br w:type="textWrapping"/>
            </w:r>
            <w:r>
              <w:rPr>
                <w:rFonts w:hint="eastAsia"/>
                <w:color w:val="auto"/>
                <w:highlight w:val="none"/>
              </w:rPr>
              <w:t>（1）随堂小考：支持教师启动快速的单题考试或随堂调查，限定考试时间，学生答题后立即给出结果，结果显示学生答案柱状图分析和答题时间。</w:t>
            </w:r>
          </w:p>
          <w:p w14:paraId="353C08BA">
            <w:pPr>
              <w:shd w:val="clear"/>
              <w:rPr>
                <w:rFonts w:hint="eastAsia"/>
                <w:color w:val="auto"/>
                <w:highlight w:val="none"/>
              </w:rPr>
            </w:pPr>
            <w:r>
              <w:rPr>
                <w:rFonts w:hint="eastAsia"/>
                <w:color w:val="auto"/>
                <w:highlight w:val="none"/>
              </w:rPr>
              <w:t>（2）标准考试：教师可导入word、ppt、excel、pdf类型文档生成标准化考试答题卡，学生参与作答，结束后系统自动评分并生成统计结果。</w:t>
            </w:r>
            <w:r>
              <w:rPr>
                <w:rFonts w:hint="eastAsia"/>
                <w:color w:val="auto"/>
                <w:highlight w:val="none"/>
              </w:rPr>
              <w:br w:type="textWrapping"/>
            </w:r>
            <w:r>
              <w:rPr>
                <w:rFonts w:hint="eastAsia"/>
                <w:color w:val="auto"/>
                <w:highlight w:val="none"/>
              </w:rPr>
              <w:t>3.课堂管理：</w:t>
            </w:r>
            <w:r>
              <w:rPr>
                <w:rFonts w:hint="eastAsia"/>
                <w:color w:val="auto"/>
                <w:highlight w:val="none"/>
              </w:rPr>
              <w:br w:type="textWrapping"/>
            </w:r>
            <w:r>
              <w:rPr>
                <w:rFonts w:hint="eastAsia"/>
                <w:color w:val="auto"/>
                <w:highlight w:val="none"/>
              </w:rPr>
              <w:t>（1）签到：提供学生名单管理工具，支持点名功能，支持保留学生多次登录记录、考勤统计、签到信息的导出与对比。</w:t>
            </w:r>
          </w:p>
          <w:p w14:paraId="562E5D9B">
            <w:pPr>
              <w:shd w:val="clear"/>
              <w:rPr>
                <w:rFonts w:hint="eastAsia"/>
                <w:color w:val="auto"/>
                <w:highlight w:val="none"/>
              </w:rPr>
            </w:pPr>
            <w:r>
              <w:rPr>
                <w:rFonts w:hint="eastAsia"/>
                <w:color w:val="auto"/>
                <w:highlight w:val="none"/>
              </w:rPr>
              <w:t>（2）班级模型：有单独的管理界面，实现对班级模型的统一管理，并能够导入、导出，调用不同网络教室中的班级模型。</w:t>
            </w:r>
          </w:p>
          <w:p w14:paraId="77658AB8">
            <w:pPr>
              <w:shd w:val="clear"/>
              <w:rPr>
                <w:rFonts w:hint="eastAsia"/>
                <w:color w:val="auto"/>
                <w:highlight w:val="none"/>
              </w:rPr>
            </w:pPr>
            <w:r>
              <w:rPr>
                <w:rFonts w:hint="eastAsia"/>
                <w:color w:val="auto"/>
                <w:highlight w:val="none"/>
              </w:rPr>
              <w:t>（3）黑屏肃静：教师可以对单一、部分、全体学生执行黑屏肃静来禁止其进行任何操作，达到专心听课目的，教师可自定义黑屏的内容与图片。</w:t>
            </w:r>
          </w:p>
          <w:p w14:paraId="3D4AF8FA">
            <w:pPr>
              <w:shd w:val="clear"/>
              <w:rPr>
                <w:rFonts w:hint="eastAsia"/>
                <w:color w:val="auto"/>
                <w:highlight w:val="none"/>
              </w:rPr>
            </w:pPr>
            <w:r>
              <w:rPr>
                <w:rFonts w:hint="eastAsia"/>
                <w:color w:val="auto"/>
                <w:highlight w:val="none"/>
              </w:rPr>
              <w:t>（4）分组管理：教师可以新建，删除，重命名分组，添加和删除分组中的成员，设置小组长。分组信息随班级模型永久保存，下次上课可以直接使用保存的分组。</w:t>
            </w:r>
          </w:p>
          <w:p w14:paraId="547CE286">
            <w:pPr>
              <w:shd w:val="clear"/>
              <w:rPr>
                <w:rFonts w:hint="eastAsia"/>
                <w:color w:val="auto"/>
                <w:highlight w:val="none"/>
              </w:rPr>
            </w:pPr>
            <w:r>
              <w:rPr>
                <w:rFonts w:hint="eastAsia"/>
                <w:color w:val="auto"/>
                <w:highlight w:val="none"/>
              </w:rPr>
              <w:t>（5）防脱控制：学生端程序运行后，防止学生通过任务管理器结束学生端程序进程来逃脱教师控制。</w:t>
            </w:r>
            <w:r>
              <w:rPr>
                <w:rFonts w:hint="eastAsia"/>
                <w:color w:val="auto"/>
                <w:highlight w:val="none"/>
              </w:rPr>
              <w:br w:type="textWrapping"/>
            </w:r>
            <w:r>
              <w:rPr>
                <w:rFonts w:hint="eastAsia"/>
                <w:color w:val="auto"/>
                <w:highlight w:val="none"/>
              </w:rPr>
              <w:t>（6）请求帮助：学生端遇到问题可请求帮助，教师端可远程遥控帮助学生解决问题。</w:t>
            </w:r>
          </w:p>
          <w:p w14:paraId="2815E2AD">
            <w:pPr>
              <w:shd w:val="clear"/>
              <w:rPr>
                <w:rFonts w:hint="eastAsia"/>
                <w:color w:val="auto"/>
                <w:highlight w:val="none"/>
                <w:lang w:eastAsia="zh-CN"/>
              </w:rPr>
            </w:pPr>
            <w:r>
              <w:rPr>
                <w:rFonts w:hint="eastAsia"/>
                <w:color w:val="auto"/>
                <w:highlight w:val="none"/>
                <w:lang w:eastAsia="zh-CN"/>
              </w:rPr>
              <w:t>（7）远程消息：教师与学生能够使用远程消息进行交流，并可以允许和阻止学生发送文字消息。</w:t>
            </w:r>
          </w:p>
        </w:tc>
        <w:tc>
          <w:tcPr>
            <w:tcW w:w="731" w:type="dxa"/>
            <w:vAlign w:val="center"/>
          </w:tcPr>
          <w:p w14:paraId="1877FDC7">
            <w:pPr>
              <w:shd w:val="clear"/>
              <w:jc w:val="center"/>
              <w:rPr>
                <w:rFonts w:hint="eastAsia"/>
                <w:color w:val="auto"/>
                <w:highlight w:val="none"/>
              </w:rPr>
            </w:pPr>
            <w:r>
              <w:rPr>
                <w:rFonts w:hint="eastAsia"/>
                <w:color w:val="auto"/>
                <w:highlight w:val="none"/>
              </w:rPr>
              <w:t>1</w:t>
            </w:r>
          </w:p>
        </w:tc>
        <w:tc>
          <w:tcPr>
            <w:tcW w:w="725" w:type="dxa"/>
            <w:vAlign w:val="center"/>
          </w:tcPr>
          <w:p w14:paraId="558B5A30">
            <w:pPr>
              <w:shd w:val="clear"/>
              <w:jc w:val="center"/>
              <w:rPr>
                <w:rFonts w:hint="eastAsia"/>
                <w:color w:val="auto"/>
                <w:highlight w:val="none"/>
              </w:rPr>
            </w:pPr>
            <w:r>
              <w:rPr>
                <w:rFonts w:hint="eastAsia"/>
                <w:color w:val="auto"/>
                <w:highlight w:val="none"/>
              </w:rPr>
              <w:t>套</w:t>
            </w:r>
          </w:p>
        </w:tc>
        <w:tc>
          <w:tcPr>
            <w:tcW w:w="1155" w:type="dxa"/>
            <w:vAlign w:val="center"/>
          </w:tcPr>
          <w:p w14:paraId="003BA7C3">
            <w:pPr>
              <w:shd w:val="clear"/>
              <w:jc w:val="center"/>
              <w:rPr>
                <w:rFonts w:hint="eastAsia"/>
                <w:color w:val="auto"/>
                <w:highlight w:val="none"/>
              </w:rPr>
            </w:pPr>
            <w:r>
              <w:rPr>
                <w:rFonts w:hint="eastAsia"/>
                <w:color w:val="auto"/>
                <w:highlight w:val="none"/>
              </w:rPr>
              <w:t>软件和信息技术服务业</w:t>
            </w:r>
          </w:p>
        </w:tc>
      </w:tr>
      <w:tr w14:paraId="06CA1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D9047F9">
            <w:pPr>
              <w:shd w:val="clear"/>
              <w:rPr>
                <w:rFonts w:hint="eastAsia"/>
                <w:color w:val="auto"/>
                <w:highlight w:val="none"/>
              </w:rPr>
            </w:pPr>
            <w:r>
              <w:rPr>
                <w:rFonts w:hint="eastAsia"/>
                <w:color w:val="auto"/>
                <w:highlight w:val="none"/>
              </w:rPr>
              <w:t>11</w:t>
            </w:r>
          </w:p>
        </w:tc>
        <w:tc>
          <w:tcPr>
            <w:tcW w:w="1274" w:type="dxa"/>
            <w:vAlign w:val="center"/>
          </w:tcPr>
          <w:p w14:paraId="35A90857">
            <w:pPr>
              <w:shd w:val="clear"/>
              <w:rPr>
                <w:rFonts w:hint="eastAsia"/>
                <w:color w:val="auto"/>
                <w:highlight w:val="none"/>
              </w:rPr>
            </w:pPr>
            <w:r>
              <w:rPr>
                <w:rFonts w:hint="eastAsia"/>
                <w:color w:val="auto"/>
                <w:highlight w:val="none"/>
              </w:rPr>
              <w:t>电路改造及网络布线</w:t>
            </w:r>
          </w:p>
        </w:tc>
        <w:tc>
          <w:tcPr>
            <w:tcW w:w="5181" w:type="dxa"/>
          </w:tcPr>
          <w:p w14:paraId="7F12FFBE">
            <w:pPr>
              <w:shd w:val="clear"/>
              <w:rPr>
                <w:rFonts w:hint="eastAsia"/>
                <w:color w:val="auto"/>
                <w:highlight w:val="none"/>
              </w:rPr>
            </w:pPr>
            <w:r>
              <w:rPr>
                <w:rFonts w:hint="eastAsia"/>
                <w:color w:val="auto"/>
                <w:highlight w:val="none"/>
              </w:rPr>
              <w:t>1.强电</w:t>
            </w:r>
          </w:p>
          <w:p w14:paraId="7C1020A4">
            <w:pPr>
              <w:shd w:val="clear"/>
              <w:rPr>
                <w:rFonts w:hint="eastAsia"/>
                <w:color w:val="auto"/>
                <w:highlight w:val="none"/>
              </w:rPr>
            </w:pPr>
            <w:r>
              <w:rPr>
                <w:rFonts w:hint="eastAsia"/>
                <w:color w:val="auto"/>
                <w:highlight w:val="none"/>
              </w:rPr>
              <w:t>（1）配电箱4台：</w:t>
            </w:r>
          </w:p>
          <w:p w14:paraId="4FBD170F">
            <w:pPr>
              <w:shd w:val="clear"/>
              <w:rPr>
                <w:rFonts w:hint="eastAsia"/>
                <w:color w:val="auto"/>
                <w:highlight w:val="none"/>
              </w:rPr>
            </w:pPr>
            <w:r>
              <w:rPr>
                <w:rFonts w:hint="eastAsia"/>
                <w:color w:val="auto"/>
                <w:highlight w:val="none"/>
              </w:rPr>
              <w:t>名称：配电箱AL1、2、3、4；参考尺寸：PDM/15.0kW/500x400x200；安装方式：1.5m/暗装(非消防)/防护等级IP4X，按学校要求安装。</w:t>
            </w:r>
          </w:p>
          <w:p w14:paraId="61886327">
            <w:pPr>
              <w:shd w:val="clear"/>
              <w:rPr>
                <w:rFonts w:hint="eastAsia"/>
                <w:color w:val="auto"/>
                <w:highlight w:val="none"/>
              </w:rPr>
            </w:pPr>
            <w:r>
              <w:rPr>
                <w:rFonts w:hint="eastAsia"/>
                <w:color w:val="auto"/>
                <w:highlight w:val="none"/>
              </w:rPr>
              <w:t>（2）线槽186.2m：</w:t>
            </w:r>
          </w:p>
          <w:p w14:paraId="6515F596">
            <w:pPr>
              <w:shd w:val="clear"/>
              <w:rPr>
                <w:rFonts w:hint="eastAsia"/>
                <w:color w:val="auto"/>
                <w:highlight w:val="none"/>
              </w:rPr>
            </w:pPr>
            <w:r>
              <w:rPr>
                <w:rFonts w:hint="eastAsia"/>
                <w:color w:val="auto"/>
                <w:highlight w:val="none"/>
              </w:rPr>
              <w:t>规格：PVC50*20；安装方式：沿墙明敷设。</w:t>
            </w:r>
          </w:p>
          <w:p w14:paraId="52AC1EFB">
            <w:pPr>
              <w:shd w:val="clear"/>
              <w:rPr>
                <w:rFonts w:hint="eastAsia"/>
                <w:color w:val="auto"/>
                <w:highlight w:val="none"/>
              </w:rPr>
            </w:pPr>
            <w:r>
              <w:rPr>
                <w:rFonts w:hint="eastAsia"/>
                <w:color w:val="auto"/>
                <w:highlight w:val="none"/>
              </w:rPr>
              <w:t>（3）配管：</w:t>
            </w:r>
          </w:p>
          <w:p w14:paraId="4D03D0FE">
            <w:pPr>
              <w:shd w:val="clear"/>
              <w:rPr>
                <w:rFonts w:hint="eastAsia"/>
                <w:color w:val="auto"/>
                <w:highlight w:val="none"/>
              </w:rPr>
            </w:pPr>
            <w:r>
              <w:rPr>
                <w:rFonts w:hint="eastAsia"/>
                <w:color w:val="auto"/>
                <w:highlight w:val="none"/>
              </w:rPr>
              <w:t>暗敷设14m，材质：PC20；明敷设88.36m，材质：PC20；吊顶内明敷设24m，材质：可挠金属软管；墙面开槽及恢复20m，规格：DN40以内。</w:t>
            </w:r>
          </w:p>
          <w:p w14:paraId="6F02C01A">
            <w:pPr>
              <w:shd w:val="clear"/>
              <w:rPr>
                <w:rFonts w:hint="eastAsia"/>
                <w:color w:val="auto"/>
                <w:highlight w:val="none"/>
              </w:rPr>
            </w:pPr>
            <w:r>
              <w:rPr>
                <w:rFonts w:hint="eastAsia"/>
                <w:color w:val="auto"/>
                <w:highlight w:val="none"/>
              </w:rPr>
              <w:t>（4）配线：</w:t>
            </w:r>
          </w:p>
          <w:p w14:paraId="280CFAE5">
            <w:pPr>
              <w:shd w:val="clear"/>
              <w:rPr>
                <w:rFonts w:hint="eastAsia"/>
                <w:color w:val="auto"/>
                <w:highlight w:val="none"/>
              </w:rPr>
            </w:pPr>
            <w:r>
              <w:rPr>
                <w:rFonts w:hint="eastAsia"/>
                <w:color w:val="auto"/>
                <w:highlight w:val="none"/>
              </w:rPr>
              <w:t>管内穿线321.48m，型号：WDZ-BYJ-2.5，材质：铜芯；线槽内穿线128.48m，型号：WDZ-BYJ-4，材质：铜芯。</w:t>
            </w:r>
          </w:p>
          <w:p w14:paraId="2957CDE5">
            <w:pPr>
              <w:shd w:val="clear"/>
              <w:rPr>
                <w:rFonts w:hint="eastAsia"/>
                <w:color w:val="auto"/>
                <w:highlight w:val="none"/>
              </w:rPr>
            </w:pPr>
            <w:r>
              <w:rPr>
                <w:rFonts w:hint="eastAsia"/>
                <w:color w:val="auto"/>
                <w:highlight w:val="none"/>
              </w:rPr>
              <w:t>（5）普通灯具24套：</w:t>
            </w:r>
          </w:p>
          <w:p w14:paraId="5CA4C5A5">
            <w:pPr>
              <w:shd w:val="clear"/>
              <w:rPr>
                <w:rFonts w:hint="eastAsia"/>
                <w:color w:val="auto"/>
                <w:highlight w:val="none"/>
              </w:rPr>
            </w:pPr>
            <w:r>
              <w:rPr>
                <w:rFonts w:hint="eastAsia"/>
                <w:color w:val="auto"/>
                <w:highlight w:val="none"/>
              </w:rPr>
              <w:t>名称：LED平板灯，型号: 300*1000，60W。</w:t>
            </w:r>
          </w:p>
          <w:p w14:paraId="515CF73E">
            <w:pPr>
              <w:shd w:val="clear"/>
              <w:rPr>
                <w:rFonts w:hint="eastAsia"/>
                <w:color w:val="auto"/>
                <w:highlight w:val="none"/>
              </w:rPr>
            </w:pPr>
            <w:r>
              <w:rPr>
                <w:rFonts w:hint="eastAsia"/>
                <w:color w:val="auto"/>
                <w:highlight w:val="none"/>
              </w:rPr>
              <w:t>（6）照明开关4个：</w:t>
            </w:r>
          </w:p>
          <w:p w14:paraId="0DBF9915">
            <w:pPr>
              <w:shd w:val="clear"/>
              <w:rPr>
                <w:rFonts w:hint="eastAsia"/>
                <w:color w:val="auto"/>
                <w:highlight w:val="none"/>
              </w:rPr>
            </w:pPr>
            <w:r>
              <w:rPr>
                <w:rFonts w:hint="eastAsia"/>
                <w:color w:val="auto"/>
                <w:highlight w:val="none"/>
              </w:rPr>
              <w:t>名称：双联单控暗开关，规格：86型，安装方式：底边距地1.4m。</w:t>
            </w:r>
          </w:p>
          <w:p w14:paraId="16347957">
            <w:pPr>
              <w:shd w:val="clear"/>
              <w:rPr>
                <w:rFonts w:hint="eastAsia"/>
                <w:color w:val="auto"/>
                <w:highlight w:val="none"/>
              </w:rPr>
            </w:pPr>
            <w:r>
              <w:rPr>
                <w:rFonts w:hint="eastAsia"/>
                <w:color w:val="auto"/>
                <w:highlight w:val="none"/>
              </w:rPr>
              <w:t>（7）插座：</w:t>
            </w:r>
          </w:p>
          <w:p w14:paraId="3C70EC14">
            <w:pPr>
              <w:shd w:val="clear"/>
              <w:rPr>
                <w:rFonts w:hint="eastAsia"/>
                <w:color w:val="auto"/>
                <w:highlight w:val="none"/>
              </w:rPr>
            </w:pPr>
            <w:r>
              <w:rPr>
                <w:rFonts w:hint="eastAsia"/>
                <w:color w:val="auto"/>
                <w:highlight w:val="none"/>
              </w:rPr>
              <w:t>安全型五孔插座12个，安装方式：根据现场要求；空调插座4个，安装方式：根据现场要求；安全型十五孔插座96个，安装方式：桌面安装。</w:t>
            </w:r>
          </w:p>
          <w:p w14:paraId="5EE64ADC">
            <w:pPr>
              <w:shd w:val="clear"/>
              <w:rPr>
                <w:rFonts w:hint="eastAsia"/>
                <w:color w:val="auto"/>
                <w:highlight w:val="none"/>
              </w:rPr>
            </w:pPr>
            <w:r>
              <w:rPr>
                <w:rFonts w:hint="eastAsia"/>
                <w:color w:val="auto"/>
                <w:highlight w:val="none"/>
              </w:rPr>
              <w:t>（8）接线盒：</w:t>
            </w:r>
          </w:p>
          <w:p w14:paraId="6C0A0FBB">
            <w:pPr>
              <w:shd w:val="clear"/>
              <w:rPr>
                <w:rFonts w:hint="eastAsia"/>
                <w:color w:val="auto"/>
                <w:highlight w:val="none"/>
              </w:rPr>
            </w:pPr>
            <w:r>
              <w:rPr>
                <w:rFonts w:hint="eastAsia"/>
                <w:color w:val="auto"/>
                <w:highlight w:val="none"/>
              </w:rPr>
              <w:t>接线盒24个，材质：塑料；开关盒116个，材质：塑料。</w:t>
            </w:r>
          </w:p>
          <w:p w14:paraId="26757B58">
            <w:pPr>
              <w:shd w:val="clear"/>
              <w:rPr>
                <w:rFonts w:hint="eastAsia"/>
                <w:color w:val="auto"/>
                <w:highlight w:val="none"/>
              </w:rPr>
            </w:pPr>
            <w:r>
              <w:rPr>
                <w:rFonts w:hint="eastAsia"/>
                <w:color w:val="auto"/>
                <w:highlight w:val="none"/>
              </w:rPr>
              <w:t>（9）送配电装置系统1套：</w:t>
            </w:r>
          </w:p>
          <w:p w14:paraId="38790A38">
            <w:pPr>
              <w:shd w:val="clear"/>
              <w:rPr>
                <w:rFonts w:hint="eastAsia"/>
                <w:color w:val="auto"/>
                <w:highlight w:val="none"/>
              </w:rPr>
            </w:pPr>
            <w:r>
              <w:rPr>
                <w:rFonts w:hint="eastAsia"/>
                <w:color w:val="auto"/>
                <w:highlight w:val="none"/>
              </w:rPr>
              <w:t>系统调试，交流供电 ≤1kV。</w:t>
            </w:r>
          </w:p>
          <w:p w14:paraId="3A133811">
            <w:pPr>
              <w:shd w:val="clear"/>
              <w:rPr>
                <w:rFonts w:hint="eastAsia"/>
                <w:color w:val="auto"/>
                <w:highlight w:val="none"/>
              </w:rPr>
            </w:pPr>
            <w:r>
              <w:rPr>
                <w:rFonts w:hint="eastAsia"/>
                <w:color w:val="auto"/>
                <w:highlight w:val="none"/>
              </w:rPr>
              <w:t>2.弱电</w:t>
            </w:r>
          </w:p>
          <w:p w14:paraId="45435986">
            <w:pPr>
              <w:shd w:val="clear"/>
              <w:rPr>
                <w:rFonts w:hint="eastAsia"/>
                <w:color w:val="auto"/>
                <w:highlight w:val="none"/>
              </w:rPr>
            </w:pPr>
            <w:r>
              <w:rPr>
                <w:rFonts w:hint="eastAsia"/>
                <w:color w:val="auto"/>
                <w:highlight w:val="none"/>
              </w:rPr>
              <w:t>（1）线槽158.56m：</w:t>
            </w:r>
          </w:p>
          <w:p w14:paraId="3AA410E6">
            <w:pPr>
              <w:shd w:val="clear"/>
              <w:rPr>
                <w:rFonts w:hint="eastAsia"/>
                <w:color w:val="auto"/>
                <w:highlight w:val="none"/>
              </w:rPr>
            </w:pPr>
            <w:r>
              <w:rPr>
                <w:rFonts w:hint="eastAsia"/>
                <w:color w:val="auto"/>
                <w:highlight w:val="none"/>
              </w:rPr>
              <w:t>规格：PVC100*50，安装方式：沿墙明敷设。</w:t>
            </w:r>
          </w:p>
          <w:p w14:paraId="03517C59">
            <w:pPr>
              <w:shd w:val="clear"/>
              <w:rPr>
                <w:rFonts w:hint="eastAsia"/>
                <w:color w:val="auto"/>
                <w:highlight w:val="none"/>
              </w:rPr>
            </w:pPr>
            <w:r>
              <w:rPr>
                <w:rFonts w:hint="eastAsia"/>
                <w:color w:val="auto"/>
                <w:highlight w:val="none"/>
              </w:rPr>
              <w:t>（2）配管：</w:t>
            </w:r>
          </w:p>
          <w:p w14:paraId="51FF8B84">
            <w:pPr>
              <w:shd w:val="clear"/>
              <w:rPr>
                <w:rFonts w:hint="eastAsia"/>
                <w:color w:val="auto"/>
                <w:highlight w:val="none"/>
              </w:rPr>
            </w:pPr>
            <w:r>
              <w:rPr>
                <w:rFonts w:hint="eastAsia"/>
                <w:color w:val="auto"/>
                <w:highlight w:val="none"/>
              </w:rPr>
              <w:t>明敷设476.88m：材质:PC25；吊顶内明敷设8m：材质：可挠金属软管。</w:t>
            </w:r>
          </w:p>
          <w:p w14:paraId="2F3B18A9">
            <w:pPr>
              <w:shd w:val="clear"/>
              <w:rPr>
                <w:rFonts w:hint="eastAsia"/>
                <w:color w:val="auto"/>
                <w:highlight w:val="none"/>
              </w:rPr>
            </w:pPr>
            <w:r>
              <w:rPr>
                <w:rFonts w:hint="eastAsia"/>
                <w:color w:val="auto"/>
                <w:highlight w:val="none"/>
              </w:rPr>
              <w:t>（3）双绞线缆：</w:t>
            </w:r>
          </w:p>
          <w:p w14:paraId="5E8F5E57">
            <w:pPr>
              <w:shd w:val="clear"/>
              <w:rPr>
                <w:rFonts w:hint="eastAsia"/>
                <w:color w:val="auto"/>
                <w:highlight w:val="none"/>
              </w:rPr>
            </w:pPr>
            <w:r>
              <w:rPr>
                <w:rFonts w:hint="eastAsia"/>
                <w:color w:val="auto"/>
                <w:highlight w:val="none"/>
              </w:rPr>
              <w:t>管内敷设437.56m，规格：UTP cat6；线槽内敷设3195.64m，规格：UTP cat6。</w:t>
            </w:r>
          </w:p>
          <w:p w14:paraId="7E8598C5">
            <w:pPr>
              <w:shd w:val="clear"/>
              <w:rPr>
                <w:rFonts w:hint="eastAsia"/>
                <w:color w:val="auto"/>
                <w:highlight w:val="none"/>
              </w:rPr>
            </w:pPr>
            <w:r>
              <w:rPr>
                <w:rFonts w:hint="eastAsia"/>
                <w:color w:val="auto"/>
                <w:highlight w:val="none"/>
              </w:rPr>
              <w:t>（4）HDMI线40m。</w:t>
            </w:r>
          </w:p>
          <w:p w14:paraId="4EA7BFE2">
            <w:pPr>
              <w:shd w:val="clear"/>
              <w:rPr>
                <w:rFonts w:hint="eastAsia"/>
                <w:color w:val="auto"/>
                <w:highlight w:val="none"/>
              </w:rPr>
            </w:pPr>
            <w:r>
              <w:rPr>
                <w:rFonts w:hint="eastAsia"/>
                <w:color w:val="auto"/>
                <w:highlight w:val="none"/>
              </w:rPr>
              <w:t>（5）监控摄像设备8台：</w:t>
            </w:r>
          </w:p>
          <w:p w14:paraId="29CCCFE3">
            <w:pPr>
              <w:shd w:val="clear"/>
              <w:rPr>
                <w:rFonts w:hint="eastAsia"/>
                <w:color w:val="auto"/>
                <w:highlight w:val="none"/>
              </w:rPr>
            </w:pPr>
            <w:r>
              <w:rPr>
                <w:rFonts w:hint="eastAsia"/>
                <w:color w:val="auto"/>
                <w:highlight w:val="none"/>
              </w:rPr>
              <w:t>红外筒型网络摄像机，最高分辨率≥400万像素，最大图像尺寸≥2560×1440，并在此分辨率下可输出25 fps实时图像；RJ45自适应以太网口≥1个，网口接口速率≥100Mbps，支持PoE供电；接口协议支持ISAPI，SDK，GB28181；编码类型至少支持H.265、H.264、Smart264编码；内置麦克风≥1个；支持越界侦测，区域入侵侦测，支持背光补偿，强光抑制，3D数字降噪；120dB宽动态；补光距离：白光≥30m，红外光≥50m；符合IP66防尘防水设计；含壁装金属支架及摄像机的安装调试；安装要求：开箱检查、设备组装、安装设备、接线等。</w:t>
            </w:r>
          </w:p>
          <w:p w14:paraId="50623094">
            <w:pPr>
              <w:shd w:val="clear"/>
              <w:rPr>
                <w:rFonts w:hint="eastAsia"/>
                <w:color w:val="auto"/>
                <w:highlight w:val="none"/>
              </w:rPr>
            </w:pPr>
            <w:r>
              <w:rPr>
                <w:rFonts w:hint="eastAsia"/>
                <w:color w:val="auto"/>
                <w:highlight w:val="none"/>
              </w:rPr>
              <w:t>（6）信息插座196个：</w:t>
            </w:r>
          </w:p>
          <w:p w14:paraId="769505B8">
            <w:pPr>
              <w:shd w:val="clear"/>
              <w:rPr>
                <w:rFonts w:hint="eastAsia"/>
                <w:color w:val="auto"/>
                <w:highlight w:val="none"/>
              </w:rPr>
            </w:pPr>
            <w:r>
              <w:rPr>
                <w:rFonts w:hint="eastAsia"/>
                <w:color w:val="auto"/>
                <w:highlight w:val="none"/>
              </w:rPr>
              <w:t>名称：网络信息面板；安装方式：详见设计图纸。</w:t>
            </w:r>
          </w:p>
          <w:p w14:paraId="6D0D5EA4">
            <w:pPr>
              <w:shd w:val="clear"/>
              <w:rPr>
                <w:rFonts w:hint="eastAsia"/>
                <w:color w:val="auto"/>
                <w:highlight w:val="none"/>
              </w:rPr>
            </w:pPr>
            <w:r>
              <w:rPr>
                <w:rFonts w:hint="eastAsia"/>
                <w:color w:val="auto"/>
                <w:highlight w:val="none"/>
              </w:rPr>
              <w:t>（7）接线盒：</w:t>
            </w:r>
          </w:p>
          <w:p w14:paraId="096EA8D6">
            <w:pPr>
              <w:shd w:val="clear"/>
              <w:rPr>
                <w:rFonts w:hint="eastAsia"/>
                <w:color w:val="auto"/>
                <w:highlight w:val="none"/>
              </w:rPr>
            </w:pPr>
            <w:r>
              <w:rPr>
                <w:rFonts w:hint="eastAsia"/>
                <w:color w:val="auto"/>
                <w:highlight w:val="none"/>
              </w:rPr>
              <w:t>接线盒8个，材质：塑料；开关盒196个，材质：塑料。</w:t>
            </w:r>
          </w:p>
          <w:p w14:paraId="54067011">
            <w:pPr>
              <w:shd w:val="clear"/>
              <w:rPr>
                <w:rFonts w:hint="eastAsia"/>
                <w:color w:val="auto"/>
                <w:highlight w:val="none"/>
              </w:rPr>
            </w:pPr>
            <w:r>
              <w:rPr>
                <w:rFonts w:hint="eastAsia"/>
                <w:color w:val="auto"/>
                <w:highlight w:val="none"/>
              </w:rPr>
              <w:t>（8）交换机13台：</w:t>
            </w:r>
          </w:p>
          <w:p w14:paraId="6F99D0FC">
            <w:pPr>
              <w:shd w:val="clear"/>
              <w:rPr>
                <w:rFonts w:hint="eastAsia"/>
                <w:color w:val="auto"/>
                <w:highlight w:val="none"/>
              </w:rPr>
            </w:pPr>
            <w:r>
              <w:rPr>
                <w:rFonts w:hint="eastAsia"/>
                <w:color w:val="auto"/>
                <w:highlight w:val="none"/>
              </w:rPr>
              <w:t>设备见本项目第8、9项，此处只记取安装费。</w:t>
            </w:r>
          </w:p>
          <w:p w14:paraId="578114C8">
            <w:pPr>
              <w:shd w:val="clear"/>
              <w:rPr>
                <w:rFonts w:hint="eastAsia"/>
                <w:color w:val="auto"/>
                <w:highlight w:val="none"/>
              </w:rPr>
            </w:pPr>
            <w:r>
              <w:rPr>
                <w:rFonts w:hint="eastAsia"/>
                <w:color w:val="auto"/>
                <w:highlight w:val="none"/>
              </w:rPr>
              <w:t>（9）安全防范分系统调试1套。根据现场要求</w:t>
            </w:r>
          </w:p>
          <w:p w14:paraId="4BDB8A06">
            <w:pPr>
              <w:shd w:val="clear"/>
              <w:rPr>
                <w:rFonts w:hint="eastAsia"/>
                <w:color w:val="auto"/>
                <w:highlight w:val="none"/>
              </w:rPr>
            </w:pPr>
            <w:r>
              <w:rPr>
                <w:rFonts w:hint="eastAsia"/>
                <w:color w:val="auto"/>
                <w:highlight w:val="none"/>
              </w:rPr>
              <w:t>（10）电气拆除1项：</w:t>
            </w:r>
          </w:p>
          <w:p w14:paraId="5116C79F">
            <w:pPr>
              <w:shd w:val="clear"/>
              <w:rPr>
                <w:rFonts w:hint="eastAsia"/>
                <w:color w:val="auto"/>
                <w:highlight w:val="none"/>
              </w:rPr>
            </w:pPr>
            <w:r>
              <w:rPr>
                <w:rFonts w:hint="eastAsia"/>
                <w:color w:val="auto"/>
                <w:highlight w:val="none"/>
              </w:rPr>
              <w:t>原有电气部分拆除，包含配管、配线、灯具、电箱等，拆除后放置建设单位指定地点。</w:t>
            </w:r>
          </w:p>
          <w:p w14:paraId="32AB4273">
            <w:pPr>
              <w:shd w:val="clear"/>
              <w:rPr>
                <w:rFonts w:hint="eastAsia"/>
                <w:color w:val="auto"/>
                <w:highlight w:val="none"/>
              </w:rPr>
            </w:pPr>
            <w:r>
              <w:rPr>
                <w:rFonts w:hint="eastAsia"/>
                <w:color w:val="auto"/>
                <w:highlight w:val="none"/>
              </w:rPr>
              <w:t>3.装饰工程</w:t>
            </w:r>
          </w:p>
          <w:p w14:paraId="40AD76F9">
            <w:pPr>
              <w:shd w:val="clear"/>
              <w:rPr>
                <w:rFonts w:hint="eastAsia"/>
                <w:color w:val="auto"/>
                <w:highlight w:val="none"/>
              </w:rPr>
            </w:pPr>
            <w:r>
              <w:rPr>
                <w:rFonts w:hint="eastAsia"/>
                <w:color w:val="auto"/>
                <w:highlight w:val="none"/>
              </w:rPr>
              <w:t>（1）铲除涂料面：</w:t>
            </w:r>
          </w:p>
          <w:p w14:paraId="6D79AE2B">
            <w:pPr>
              <w:shd w:val="clear"/>
              <w:rPr>
                <w:rFonts w:hint="eastAsia"/>
                <w:color w:val="auto"/>
                <w:highlight w:val="none"/>
              </w:rPr>
            </w:pPr>
            <w:r>
              <w:rPr>
                <w:rFonts w:hint="eastAsia"/>
                <w:color w:val="auto"/>
                <w:highlight w:val="none"/>
              </w:rPr>
              <w:t>内墙面50㎡，铲除原内大白饰面，铲除3厚面层耐水腻子；天棚50㎡，铲除原内大白饰面，铲除3厚面层耐水腻子。</w:t>
            </w:r>
          </w:p>
          <w:p w14:paraId="1E386921">
            <w:pPr>
              <w:shd w:val="clear"/>
              <w:rPr>
                <w:rFonts w:hint="eastAsia"/>
                <w:color w:val="auto"/>
                <w:highlight w:val="none"/>
              </w:rPr>
            </w:pPr>
            <w:r>
              <w:rPr>
                <w:rFonts w:hint="eastAsia"/>
                <w:color w:val="auto"/>
                <w:highlight w:val="none"/>
              </w:rPr>
              <w:t>（2）楼地面龙骨及饰面拆除100㎡：</w:t>
            </w:r>
          </w:p>
          <w:p w14:paraId="2E935CF7">
            <w:pPr>
              <w:shd w:val="clear"/>
              <w:rPr>
                <w:rFonts w:hint="eastAsia"/>
                <w:color w:val="auto"/>
                <w:highlight w:val="none"/>
              </w:rPr>
            </w:pPr>
            <w:r>
              <w:rPr>
                <w:rFonts w:hint="eastAsia"/>
                <w:color w:val="auto"/>
                <w:highlight w:val="none"/>
              </w:rPr>
              <w:t>拆除地面架空35mm陶瓷面防静电地砖600*600。</w:t>
            </w:r>
          </w:p>
          <w:p w14:paraId="56EE1E8E">
            <w:pPr>
              <w:shd w:val="clear"/>
              <w:rPr>
                <w:rFonts w:hint="eastAsia"/>
                <w:color w:val="auto"/>
                <w:highlight w:val="none"/>
              </w:rPr>
            </w:pPr>
            <w:r>
              <w:rPr>
                <w:rFonts w:hint="eastAsia"/>
                <w:color w:val="auto"/>
                <w:highlight w:val="none"/>
              </w:rPr>
              <w:t>（3）余方弃置0.5m³：</w:t>
            </w:r>
          </w:p>
          <w:p w14:paraId="6C21B6AD">
            <w:pPr>
              <w:shd w:val="clear"/>
              <w:rPr>
                <w:rFonts w:hint="eastAsia"/>
                <w:color w:val="auto"/>
                <w:highlight w:val="none"/>
              </w:rPr>
            </w:pPr>
            <w:r>
              <w:rPr>
                <w:rFonts w:hint="eastAsia"/>
                <w:color w:val="auto"/>
                <w:highlight w:val="none"/>
              </w:rPr>
              <w:t>拆除建筑垃圾外弃，运距投标人自行考虑。</w:t>
            </w:r>
          </w:p>
          <w:p w14:paraId="04679269">
            <w:pPr>
              <w:shd w:val="clear"/>
              <w:rPr>
                <w:rFonts w:hint="eastAsia"/>
                <w:color w:val="auto"/>
                <w:highlight w:val="none"/>
              </w:rPr>
            </w:pPr>
            <w:r>
              <w:rPr>
                <w:rFonts w:hint="eastAsia"/>
                <w:color w:val="auto"/>
                <w:highlight w:val="none"/>
              </w:rPr>
              <w:t>（4）新做大白饰面：</w:t>
            </w:r>
          </w:p>
          <w:p w14:paraId="0B374FC5">
            <w:pPr>
              <w:shd w:val="clear"/>
              <w:rPr>
                <w:rFonts w:hint="eastAsia"/>
                <w:color w:val="auto"/>
                <w:highlight w:val="none"/>
              </w:rPr>
            </w:pPr>
            <w:r>
              <w:rPr>
                <w:rFonts w:hint="eastAsia"/>
                <w:color w:val="auto"/>
                <w:highlight w:val="none"/>
              </w:rPr>
              <w:t>内墙面50㎡，刮大白两道饰面，3厚面层耐水腻子刮平，界面剂一道；天棚50㎡，刮大白两道饰面，3厚面层耐水腻子刮平，界面剂一道。</w:t>
            </w:r>
          </w:p>
          <w:p w14:paraId="24FD4981">
            <w:pPr>
              <w:shd w:val="clear"/>
              <w:rPr>
                <w:rFonts w:hint="eastAsia"/>
                <w:color w:val="auto"/>
                <w:highlight w:val="none"/>
              </w:rPr>
            </w:pPr>
            <w:r>
              <w:rPr>
                <w:rFonts w:hint="eastAsia"/>
                <w:color w:val="auto"/>
                <w:highlight w:val="none"/>
              </w:rPr>
              <w:t>（5）防静电活动地板：</w:t>
            </w:r>
          </w:p>
          <w:p w14:paraId="14F40B37">
            <w:pPr>
              <w:shd w:val="clear"/>
              <w:rPr>
                <w:rFonts w:hint="eastAsia"/>
                <w:color w:val="auto"/>
                <w:highlight w:val="none"/>
              </w:rPr>
            </w:pPr>
            <w:r>
              <w:rPr>
                <w:rFonts w:hint="eastAsia"/>
                <w:color w:val="auto"/>
                <w:highlight w:val="none"/>
              </w:rPr>
              <w:t>利旧恢复80㎡，面层材料品种、规格、颜色：架空35mm陶瓷面防静电地砖600*600；新做20㎡，面层材料品种、规格、颜色：架空35mm陶瓷面防静电地砖600*600。</w:t>
            </w:r>
          </w:p>
          <w:p w14:paraId="336DDCBE">
            <w:pPr>
              <w:shd w:val="clear"/>
              <w:rPr>
                <w:rFonts w:hint="eastAsia"/>
                <w:color w:val="auto"/>
                <w:highlight w:val="none"/>
              </w:rPr>
            </w:pPr>
            <w:r>
              <w:rPr>
                <w:rFonts w:hint="eastAsia"/>
                <w:color w:val="auto"/>
                <w:highlight w:val="none"/>
              </w:rPr>
              <w:t>4.其它</w:t>
            </w:r>
          </w:p>
          <w:p w14:paraId="13A08093">
            <w:pPr>
              <w:shd w:val="clear"/>
              <w:rPr>
                <w:rFonts w:hint="eastAsia"/>
                <w:color w:val="auto"/>
                <w:highlight w:val="none"/>
              </w:rPr>
            </w:pPr>
            <w:r>
              <w:rPr>
                <w:rFonts w:hint="eastAsia"/>
                <w:color w:val="auto"/>
                <w:highlight w:val="none"/>
              </w:rPr>
              <w:t>（1）材料运输及搬运。</w:t>
            </w:r>
          </w:p>
          <w:p w14:paraId="323FF851">
            <w:pPr>
              <w:shd w:val="clear"/>
              <w:rPr>
                <w:rFonts w:hint="eastAsia"/>
                <w:color w:val="auto"/>
                <w:highlight w:val="none"/>
              </w:rPr>
            </w:pPr>
            <w:r>
              <w:rPr>
                <w:rFonts w:hint="eastAsia"/>
                <w:color w:val="auto"/>
                <w:highlight w:val="none"/>
              </w:rPr>
              <w:t>（2）成品维护。</w:t>
            </w:r>
          </w:p>
        </w:tc>
        <w:tc>
          <w:tcPr>
            <w:tcW w:w="731" w:type="dxa"/>
            <w:vAlign w:val="center"/>
          </w:tcPr>
          <w:p w14:paraId="40AB6CCD">
            <w:pPr>
              <w:shd w:val="clear"/>
              <w:jc w:val="center"/>
              <w:rPr>
                <w:rFonts w:hint="eastAsia"/>
                <w:color w:val="auto"/>
                <w:highlight w:val="none"/>
              </w:rPr>
            </w:pPr>
            <w:r>
              <w:rPr>
                <w:rFonts w:hint="eastAsia"/>
                <w:color w:val="auto"/>
                <w:highlight w:val="none"/>
              </w:rPr>
              <w:t>1</w:t>
            </w:r>
          </w:p>
        </w:tc>
        <w:tc>
          <w:tcPr>
            <w:tcW w:w="725" w:type="dxa"/>
            <w:vAlign w:val="center"/>
          </w:tcPr>
          <w:p w14:paraId="6A065098">
            <w:pPr>
              <w:shd w:val="clear"/>
              <w:jc w:val="center"/>
              <w:rPr>
                <w:rFonts w:hint="eastAsia"/>
                <w:color w:val="auto"/>
                <w:highlight w:val="none"/>
              </w:rPr>
            </w:pPr>
            <w:r>
              <w:rPr>
                <w:rFonts w:hint="eastAsia"/>
                <w:color w:val="auto"/>
                <w:highlight w:val="none"/>
              </w:rPr>
              <w:t>项</w:t>
            </w:r>
          </w:p>
        </w:tc>
        <w:tc>
          <w:tcPr>
            <w:tcW w:w="1155" w:type="dxa"/>
            <w:vAlign w:val="center"/>
          </w:tcPr>
          <w:p w14:paraId="67926B21">
            <w:pPr>
              <w:shd w:val="clear"/>
              <w:jc w:val="center"/>
              <w:rPr>
                <w:rFonts w:hint="eastAsia"/>
                <w:color w:val="auto"/>
                <w:highlight w:val="none"/>
              </w:rPr>
            </w:pPr>
            <w:r>
              <w:rPr>
                <w:rFonts w:hint="eastAsia"/>
                <w:color w:val="auto"/>
                <w:highlight w:val="none"/>
              </w:rPr>
              <w:t>其他未列明行业</w:t>
            </w:r>
          </w:p>
        </w:tc>
      </w:tr>
      <w:tr w14:paraId="70C1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758DCEE7">
            <w:pPr>
              <w:shd w:val="clear"/>
              <w:rPr>
                <w:rFonts w:hint="eastAsia"/>
                <w:color w:val="auto"/>
                <w:highlight w:val="none"/>
              </w:rPr>
            </w:pPr>
            <w:r>
              <w:rPr>
                <w:rFonts w:hint="eastAsia"/>
                <w:color w:val="auto"/>
                <w:highlight w:val="none"/>
              </w:rPr>
              <w:t>12</w:t>
            </w:r>
          </w:p>
        </w:tc>
        <w:tc>
          <w:tcPr>
            <w:tcW w:w="1274" w:type="dxa"/>
            <w:vAlign w:val="center"/>
          </w:tcPr>
          <w:p w14:paraId="37514BB5">
            <w:pPr>
              <w:shd w:val="clear"/>
              <w:rPr>
                <w:rFonts w:hint="eastAsia"/>
                <w:color w:val="auto"/>
                <w:highlight w:val="none"/>
              </w:rPr>
            </w:pPr>
            <w:r>
              <w:rPr>
                <w:rFonts w:hint="eastAsia"/>
                <w:color w:val="auto"/>
                <w:highlight w:val="none"/>
              </w:rPr>
              <w:t>系统迁移</w:t>
            </w:r>
          </w:p>
        </w:tc>
        <w:tc>
          <w:tcPr>
            <w:tcW w:w="5181" w:type="dxa"/>
            <w:vAlign w:val="center"/>
          </w:tcPr>
          <w:p w14:paraId="3E6E263B">
            <w:pPr>
              <w:shd w:val="clear"/>
              <w:rPr>
                <w:rFonts w:hint="eastAsia"/>
                <w:color w:val="auto"/>
                <w:highlight w:val="none"/>
                <w:lang w:eastAsia="zh-CN"/>
              </w:rPr>
            </w:pPr>
            <w:r>
              <w:rPr>
                <w:rFonts w:hint="eastAsia"/>
                <w:color w:val="auto"/>
                <w:highlight w:val="none"/>
                <w:lang w:eastAsia="zh-CN"/>
              </w:rPr>
              <w:t>完成相关业务系统从原有私有云迁移到新私有云并部署部署，要求保证业务系统、数据完整一致，验收标准要求业务系统上线稳定运行至少40个工作日。</w:t>
            </w:r>
          </w:p>
        </w:tc>
        <w:tc>
          <w:tcPr>
            <w:tcW w:w="731" w:type="dxa"/>
            <w:vAlign w:val="center"/>
          </w:tcPr>
          <w:p w14:paraId="13CAA801">
            <w:pPr>
              <w:shd w:val="clear"/>
              <w:jc w:val="center"/>
              <w:rPr>
                <w:rFonts w:hint="eastAsia"/>
                <w:color w:val="auto"/>
                <w:highlight w:val="none"/>
              </w:rPr>
            </w:pPr>
            <w:r>
              <w:rPr>
                <w:rFonts w:hint="eastAsia"/>
                <w:color w:val="auto"/>
                <w:highlight w:val="none"/>
              </w:rPr>
              <w:t>1</w:t>
            </w:r>
          </w:p>
        </w:tc>
        <w:tc>
          <w:tcPr>
            <w:tcW w:w="725" w:type="dxa"/>
            <w:vAlign w:val="center"/>
          </w:tcPr>
          <w:p w14:paraId="2678FA53">
            <w:pPr>
              <w:shd w:val="clear"/>
              <w:jc w:val="center"/>
              <w:rPr>
                <w:rFonts w:hint="eastAsia"/>
                <w:color w:val="auto"/>
                <w:highlight w:val="none"/>
              </w:rPr>
            </w:pPr>
            <w:r>
              <w:rPr>
                <w:rFonts w:hint="eastAsia"/>
                <w:color w:val="auto"/>
                <w:highlight w:val="none"/>
              </w:rPr>
              <w:t>项</w:t>
            </w:r>
          </w:p>
        </w:tc>
        <w:tc>
          <w:tcPr>
            <w:tcW w:w="1155" w:type="dxa"/>
            <w:vAlign w:val="center"/>
          </w:tcPr>
          <w:p w14:paraId="6336639E">
            <w:pPr>
              <w:shd w:val="clear"/>
              <w:jc w:val="center"/>
              <w:rPr>
                <w:rFonts w:hint="eastAsia"/>
                <w:color w:val="auto"/>
                <w:highlight w:val="none"/>
              </w:rPr>
            </w:pPr>
            <w:r>
              <w:rPr>
                <w:rFonts w:hint="eastAsia"/>
                <w:color w:val="auto"/>
                <w:highlight w:val="none"/>
              </w:rPr>
              <w:t>软件和信息技术服务业</w:t>
            </w:r>
          </w:p>
        </w:tc>
      </w:tr>
      <w:tr w14:paraId="1FC5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0AEDB2ED">
            <w:pPr>
              <w:shd w:val="clear"/>
              <w:rPr>
                <w:rFonts w:hint="eastAsia"/>
                <w:color w:val="auto"/>
                <w:highlight w:val="none"/>
              </w:rPr>
            </w:pPr>
            <w:r>
              <w:rPr>
                <w:rFonts w:hint="eastAsia"/>
                <w:color w:val="auto"/>
                <w:highlight w:val="none"/>
              </w:rPr>
              <w:t>13</w:t>
            </w:r>
          </w:p>
        </w:tc>
        <w:tc>
          <w:tcPr>
            <w:tcW w:w="1274" w:type="dxa"/>
            <w:vAlign w:val="center"/>
          </w:tcPr>
          <w:p w14:paraId="4ACA1C9F">
            <w:pPr>
              <w:shd w:val="clear"/>
              <w:rPr>
                <w:rFonts w:hint="eastAsia"/>
                <w:color w:val="auto"/>
                <w:highlight w:val="none"/>
              </w:rPr>
            </w:pPr>
            <w:r>
              <w:rPr>
                <w:rFonts w:hint="eastAsia"/>
                <w:color w:val="auto"/>
                <w:highlight w:val="none"/>
              </w:rPr>
              <w:t>流程制作</w:t>
            </w:r>
          </w:p>
        </w:tc>
        <w:tc>
          <w:tcPr>
            <w:tcW w:w="5181" w:type="dxa"/>
            <w:vAlign w:val="center"/>
          </w:tcPr>
          <w:p w14:paraId="41C59AD2">
            <w:pPr>
              <w:shd w:val="clear"/>
              <w:rPr>
                <w:rFonts w:hint="eastAsia"/>
                <w:color w:val="auto"/>
                <w:highlight w:val="none"/>
                <w:lang w:eastAsia="zh-CN"/>
              </w:rPr>
            </w:pPr>
            <w:r>
              <w:rPr>
                <w:rFonts w:hint="eastAsia"/>
                <w:color w:val="auto"/>
                <w:highlight w:val="none"/>
                <w:lang w:eastAsia="zh-CN"/>
              </w:rPr>
              <w:t>新增四条流程定制开发服务（流程中不含有编程代码），流程制作符合上线需求，验收标准要求流程正常运行至少20个工作日。</w:t>
            </w:r>
          </w:p>
        </w:tc>
        <w:tc>
          <w:tcPr>
            <w:tcW w:w="731" w:type="dxa"/>
            <w:vAlign w:val="center"/>
          </w:tcPr>
          <w:p w14:paraId="42AD4880">
            <w:pPr>
              <w:shd w:val="clear"/>
              <w:jc w:val="center"/>
              <w:rPr>
                <w:rFonts w:hint="eastAsia"/>
                <w:color w:val="auto"/>
                <w:highlight w:val="none"/>
              </w:rPr>
            </w:pPr>
            <w:r>
              <w:rPr>
                <w:rFonts w:hint="eastAsia"/>
                <w:color w:val="auto"/>
                <w:highlight w:val="none"/>
              </w:rPr>
              <w:t>1</w:t>
            </w:r>
          </w:p>
        </w:tc>
        <w:tc>
          <w:tcPr>
            <w:tcW w:w="725" w:type="dxa"/>
            <w:vAlign w:val="center"/>
          </w:tcPr>
          <w:p w14:paraId="3CE23580">
            <w:pPr>
              <w:shd w:val="clear"/>
              <w:jc w:val="center"/>
              <w:rPr>
                <w:rFonts w:hint="eastAsia"/>
                <w:color w:val="auto"/>
                <w:highlight w:val="none"/>
              </w:rPr>
            </w:pPr>
            <w:r>
              <w:rPr>
                <w:rFonts w:hint="eastAsia"/>
                <w:color w:val="auto"/>
                <w:highlight w:val="none"/>
              </w:rPr>
              <w:t>项</w:t>
            </w:r>
          </w:p>
        </w:tc>
        <w:tc>
          <w:tcPr>
            <w:tcW w:w="1155" w:type="dxa"/>
            <w:vAlign w:val="center"/>
          </w:tcPr>
          <w:p w14:paraId="40258D9D">
            <w:pPr>
              <w:shd w:val="clear"/>
              <w:jc w:val="center"/>
              <w:rPr>
                <w:rFonts w:hint="eastAsia"/>
                <w:color w:val="auto"/>
                <w:highlight w:val="none"/>
              </w:rPr>
            </w:pPr>
            <w:r>
              <w:rPr>
                <w:rFonts w:hint="eastAsia"/>
                <w:color w:val="auto"/>
                <w:highlight w:val="none"/>
              </w:rPr>
              <w:t>软件和信息技术服务业</w:t>
            </w:r>
          </w:p>
        </w:tc>
      </w:tr>
      <w:tr w14:paraId="7B1C8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54221D4F">
            <w:pPr>
              <w:shd w:val="clear"/>
              <w:rPr>
                <w:rFonts w:hint="eastAsia"/>
                <w:color w:val="auto"/>
                <w:highlight w:val="none"/>
              </w:rPr>
            </w:pPr>
            <w:r>
              <w:rPr>
                <w:rFonts w:hint="eastAsia"/>
                <w:color w:val="auto"/>
                <w:highlight w:val="none"/>
              </w:rPr>
              <w:t>14</w:t>
            </w:r>
          </w:p>
        </w:tc>
        <w:tc>
          <w:tcPr>
            <w:tcW w:w="1274" w:type="dxa"/>
            <w:vAlign w:val="center"/>
          </w:tcPr>
          <w:p w14:paraId="2E9504D5">
            <w:pPr>
              <w:shd w:val="clear"/>
              <w:rPr>
                <w:rFonts w:hint="eastAsia"/>
                <w:color w:val="auto"/>
                <w:highlight w:val="none"/>
              </w:rPr>
            </w:pPr>
            <w:r>
              <w:rPr>
                <w:rFonts w:hint="eastAsia"/>
                <w:color w:val="auto"/>
                <w:highlight w:val="none"/>
              </w:rPr>
              <w:t>标考高清SIP转发管理三合一平台维保服务</w:t>
            </w:r>
          </w:p>
        </w:tc>
        <w:tc>
          <w:tcPr>
            <w:tcW w:w="5181" w:type="dxa"/>
            <w:vAlign w:val="center"/>
          </w:tcPr>
          <w:p w14:paraId="0999F6B3">
            <w:pPr>
              <w:shd w:val="clear"/>
              <w:rPr>
                <w:rFonts w:hint="eastAsia"/>
                <w:color w:val="auto"/>
                <w:highlight w:val="none"/>
                <w:lang w:eastAsia="zh-CN"/>
              </w:rPr>
            </w:pPr>
            <w:r>
              <w:rPr>
                <w:rFonts w:hint="eastAsia"/>
                <w:color w:val="auto"/>
                <w:highlight w:val="none"/>
                <w:lang w:eastAsia="zh-CN"/>
              </w:rPr>
              <w:t>型号：佳发JF-SVW6100；提供一年硬件维保服务，一年软件维护、软件升级服务，一年技术支持服务。依据故障情况对故障设备进行拆除、送修，并在设备维修完成后提供设备安装、调试服务，保证设备的可用性。</w:t>
            </w:r>
          </w:p>
        </w:tc>
        <w:tc>
          <w:tcPr>
            <w:tcW w:w="731" w:type="dxa"/>
            <w:vAlign w:val="center"/>
          </w:tcPr>
          <w:p w14:paraId="00392C7C">
            <w:pPr>
              <w:shd w:val="clear"/>
              <w:jc w:val="center"/>
              <w:rPr>
                <w:rFonts w:hint="eastAsia"/>
                <w:color w:val="auto"/>
                <w:highlight w:val="none"/>
              </w:rPr>
            </w:pPr>
            <w:r>
              <w:rPr>
                <w:rFonts w:hint="eastAsia"/>
                <w:color w:val="auto"/>
                <w:highlight w:val="none"/>
              </w:rPr>
              <w:t>1</w:t>
            </w:r>
          </w:p>
        </w:tc>
        <w:tc>
          <w:tcPr>
            <w:tcW w:w="725" w:type="dxa"/>
            <w:vAlign w:val="center"/>
          </w:tcPr>
          <w:p w14:paraId="4081A836">
            <w:pPr>
              <w:shd w:val="clear"/>
              <w:jc w:val="center"/>
              <w:rPr>
                <w:rFonts w:hint="eastAsia"/>
                <w:color w:val="auto"/>
                <w:highlight w:val="none"/>
              </w:rPr>
            </w:pPr>
            <w:r>
              <w:rPr>
                <w:rFonts w:hint="eastAsia"/>
                <w:color w:val="auto"/>
                <w:highlight w:val="none"/>
              </w:rPr>
              <w:t>项</w:t>
            </w:r>
          </w:p>
        </w:tc>
        <w:tc>
          <w:tcPr>
            <w:tcW w:w="1155" w:type="dxa"/>
            <w:vAlign w:val="center"/>
          </w:tcPr>
          <w:p w14:paraId="12F17FF5">
            <w:pPr>
              <w:shd w:val="clear"/>
              <w:jc w:val="center"/>
              <w:rPr>
                <w:rFonts w:hint="eastAsia"/>
                <w:color w:val="auto"/>
                <w:highlight w:val="none"/>
              </w:rPr>
            </w:pPr>
            <w:r>
              <w:rPr>
                <w:rFonts w:hint="eastAsia"/>
                <w:color w:val="auto"/>
                <w:highlight w:val="none"/>
              </w:rPr>
              <w:t>软件和信息技术服务业</w:t>
            </w:r>
          </w:p>
        </w:tc>
      </w:tr>
      <w:tr w14:paraId="307AE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62887CA4">
            <w:pPr>
              <w:shd w:val="clear"/>
              <w:rPr>
                <w:rFonts w:hint="eastAsia"/>
                <w:color w:val="auto"/>
                <w:highlight w:val="none"/>
              </w:rPr>
            </w:pPr>
            <w:r>
              <w:rPr>
                <w:rFonts w:hint="eastAsia"/>
                <w:color w:val="auto"/>
                <w:highlight w:val="none"/>
              </w:rPr>
              <w:t>15</w:t>
            </w:r>
          </w:p>
        </w:tc>
        <w:tc>
          <w:tcPr>
            <w:tcW w:w="1274" w:type="dxa"/>
            <w:vAlign w:val="center"/>
          </w:tcPr>
          <w:p w14:paraId="3B6F3AF8">
            <w:pPr>
              <w:shd w:val="clear"/>
              <w:rPr>
                <w:rFonts w:hint="eastAsia"/>
                <w:color w:val="auto"/>
                <w:highlight w:val="none"/>
              </w:rPr>
            </w:pPr>
            <w:r>
              <w:rPr>
                <w:rFonts w:hint="eastAsia"/>
                <w:color w:val="auto"/>
                <w:highlight w:val="none"/>
              </w:rPr>
              <w:t>媒体分发服务器维保服务</w:t>
            </w:r>
          </w:p>
        </w:tc>
        <w:tc>
          <w:tcPr>
            <w:tcW w:w="5181" w:type="dxa"/>
            <w:vAlign w:val="center"/>
          </w:tcPr>
          <w:p w14:paraId="36ACA544">
            <w:pPr>
              <w:shd w:val="clear"/>
              <w:rPr>
                <w:rFonts w:hint="eastAsia"/>
                <w:color w:val="auto"/>
                <w:highlight w:val="none"/>
                <w:lang w:eastAsia="zh-CN"/>
              </w:rPr>
            </w:pPr>
            <w:r>
              <w:rPr>
                <w:rFonts w:hint="eastAsia"/>
                <w:color w:val="auto"/>
                <w:highlight w:val="none"/>
                <w:lang w:eastAsia="zh-CN"/>
              </w:rPr>
              <w:t>型号：佳发JF-VPR6200GK；提供一年硬件维保服务，一年软件维护、软件升级服务，一年技术支持服务。依据故障情况对故障设备进行拆除、送修，并在设备维修完成后提供设备安装、调试服务，保证设备的可用性。</w:t>
            </w:r>
          </w:p>
        </w:tc>
        <w:tc>
          <w:tcPr>
            <w:tcW w:w="731" w:type="dxa"/>
            <w:vAlign w:val="center"/>
          </w:tcPr>
          <w:p w14:paraId="458D6A9B">
            <w:pPr>
              <w:shd w:val="clear"/>
              <w:jc w:val="center"/>
              <w:rPr>
                <w:rFonts w:hint="eastAsia"/>
                <w:color w:val="auto"/>
                <w:highlight w:val="none"/>
              </w:rPr>
            </w:pPr>
            <w:r>
              <w:rPr>
                <w:rFonts w:hint="eastAsia"/>
                <w:color w:val="auto"/>
                <w:highlight w:val="none"/>
              </w:rPr>
              <w:t>1</w:t>
            </w:r>
          </w:p>
        </w:tc>
        <w:tc>
          <w:tcPr>
            <w:tcW w:w="725" w:type="dxa"/>
            <w:vAlign w:val="center"/>
          </w:tcPr>
          <w:p w14:paraId="004C5F0D">
            <w:pPr>
              <w:shd w:val="clear"/>
              <w:jc w:val="center"/>
              <w:rPr>
                <w:rFonts w:hint="eastAsia"/>
                <w:color w:val="auto"/>
                <w:highlight w:val="none"/>
              </w:rPr>
            </w:pPr>
            <w:r>
              <w:rPr>
                <w:rFonts w:hint="eastAsia"/>
                <w:color w:val="auto"/>
                <w:highlight w:val="none"/>
              </w:rPr>
              <w:t>项</w:t>
            </w:r>
          </w:p>
        </w:tc>
        <w:tc>
          <w:tcPr>
            <w:tcW w:w="1155" w:type="dxa"/>
            <w:vAlign w:val="center"/>
          </w:tcPr>
          <w:p w14:paraId="5A7B8747">
            <w:pPr>
              <w:shd w:val="clear"/>
              <w:jc w:val="center"/>
              <w:rPr>
                <w:rFonts w:hint="eastAsia"/>
                <w:color w:val="auto"/>
                <w:highlight w:val="none"/>
              </w:rPr>
            </w:pPr>
            <w:r>
              <w:rPr>
                <w:rFonts w:hint="eastAsia"/>
                <w:color w:val="auto"/>
                <w:highlight w:val="none"/>
              </w:rPr>
              <w:t>软件和信息技术服务业</w:t>
            </w:r>
          </w:p>
        </w:tc>
      </w:tr>
      <w:tr w14:paraId="698D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6536A409">
            <w:pPr>
              <w:shd w:val="clear"/>
              <w:rPr>
                <w:rFonts w:hint="eastAsia"/>
                <w:color w:val="auto"/>
                <w:highlight w:val="none"/>
              </w:rPr>
            </w:pPr>
            <w:r>
              <w:rPr>
                <w:rFonts w:hint="eastAsia"/>
                <w:color w:val="auto"/>
                <w:highlight w:val="none"/>
              </w:rPr>
              <w:t>16</w:t>
            </w:r>
          </w:p>
        </w:tc>
        <w:tc>
          <w:tcPr>
            <w:tcW w:w="1274" w:type="dxa"/>
            <w:vAlign w:val="center"/>
          </w:tcPr>
          <w:p w14:paraId="0D69904F">
            <w:pPr>
              <w:shd w:val="clear"/>
              <w:rPr>
                <w:rFonts w:hint="eastAsia"/>
                <w:color w:val="auto"/>
                <w:highlight w:val="none"/>
              </w:rPr>
            </w:pPr>
            <w:r>
              <w:rPr>
                <w:rFonts w:hint="eastAsia"/>
                <w:color w:val="auto"/>
                <w:highlight w:val="none"/>
              </w:rPr>
              <w:t>标考网络流媒体存储平台维保服务</w:t>
            </w:r>
          </w:p>
        </w:tc>
        <w:tc>
          <w:tcPr>
            <w:tcW w:w="5181" w:type="dxa"/>
            <w:vAlign w:val="center"/>
          </w:tcPr>
          <w:p w14:paraId="27F138AD">
            <w:pPr>
              <w:shd w:val="clear"/>
              <w:rPr>
                <w:rFonts w:hint="eastAsia"/>
                <w:color w:val="auto"/>
                <w:highlight w:val="none"/>
                <w:lang w:eastAsia="zh-CN"/>
              </w:rPr>
            </w:pPr>
            <w:r>
              <w:rPr>
                <w:rFonts w:hint="eastAsia"/>
                <w:color w:val="auto"/>
                <w:highlight w:val="none"/>
                <w:lang w:eastAsia="zh-CN"/>
              </w:rPr>
              <w:t>型号：佳发JF-VER016K；数量：3台；提供一年硬件维保服务（不包含硬盘），一年软件维护、软件升级服务，一年技术支持服务。依据故障情况对故障设备进行拆除、送修，并在设备维修完成后提供设备安装、调试服务，保证设备的可用性。</w:t>
            </w:r>
          </w:p>
        </w:tc>
        <w:tc>
          <w:tcPr>
            <w:tcW w:w="731" w:type="dxa"/>
            <w:vAlign w:val="center"/>
          </w:tcPr>
          <w:p w14:paraId="49CFAD1C">
            <w:pPr>
              <w:shd w:val="clear"/>
              <w:jc w:val="center"/>
              <w:rPr>
                <w:rFonts w:hint="eastAsia"/>
                <w:color w:val="auto"/>
                <w:highlight w:val="none"/>
              </w:rPr>
            </w:pPr>
            <w:r>
              <w:rPr>
                <w:rFonts w:hint="eastAsia"/>
                <w:color w:val="auto"/>
                <w:highlight w:val="none"/>
              </w:rPr>
              <w:t>1</w:t>
            </w:r>
          </w:p>
        </w:tc>
        <w:tc>
          <w:tcPr>
            <w:tcW w:w="725" w:type="dxa"/>
            <w:vAlign w:val="center"/>
          </w:tcPr>
          <w:p w14:paraId="0D87374A">
            <w:pPr>
              <w:shd w:val="clear"/>
              <w:jc w:val="center"/>
              <w:rPr>
                <w:rFonts w:hint="eastAsia"/>
                <w:color w:val="auto"/>
                <w:highlight w:val="none"/>
              </w:rPr>
            </w:pPr>
            <w:r>
              <w:rPr>
                <w:rFonts w:hint="eastAsia"/>
                <w:color w:val="auto"/>
                <w:highlight w:val="none"/>
              </w:rPr>
              <w:t>项</w:t>
            </w:r>
          </w:p>
        </w:tc>
        <w:tc>
          <w:tcPr>
            <w:tcW w:w="1155" w:type="dxa"/>
            <w:vAlign w:val="center"/>
          </w:tcPr>
          <w:p w14:paraId="5DFDC4D1">
            <w:pPr>
              <w:shd w:val="clear"/>
              <w:jc w:val="center"/>
              <w:rPr>
                <w:rFonts w:hint="eastAsia"/>
                <w:color w:val="auto"/>
                <w:highlight w:val="none"/>
              </w:rPr>
            </w:pPr>
            <w:r>
              <w:rPr>
                <w:rFonts w:hint="eastAsia"/>
                <w:color w:val="auto"/>
                <w:highlight w:val="none"/>
              </w:rPr>
              <w:t>软件和信息技术服务业</w:t>
            </w:r>
          </w:p>
        </w:tc>
      </w:tr>
      <w:tr w14:paraId="32E38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200FACF7">
            <w:pPr>
              <w:shd w:val="clear"/>
              <w:rPr>
                <w:rFonts w:hint="eastAsia"/>
                <w:color w:val="auto"/>
                <w:highlight w:val="none"/>
              </w:rPr>
            </w:pPr>
            <w:r>
              <w:rPr>
                <w:rFonts w:hint="eastAsia"/>
                <w:color w:val="auto"/>
                <w:highlight w:val="none"/>
              </w:rPr>
              <w:t>17</w:t>
            </w:r>
          </w:p>
        </w:tc>
        <w:tc>
          <w:tcPr>
            <w:tcW w:w="1274" w:type="dxa"/>
            <w:vAlign w:val="center"/>
          </w:tcPr>
          <w:p w14:paraId="50FDFA01">
            <w:pPr>
              <w:shd w:val="clear"/>
              <w:rPr>
                <w:rFonts w:hint="eastAsia"/>
                <w:color w:val="auto"/>
                <w:highlight w:val="none"/>
              </w:rPr>
            </w:pPr>
            <w:r>
              <w:rPr>
                <w:rFonts w:hint="eastAsia"/>
                <w:color w:val="auto"/>
                <w:highlight w:val="none"/>
              </w:rPr>
              <w:t>大屏中控管理平台维保服务</w:t>
            </w:r>
          </w:p>
        </w:tc>
        <w:tc>
          <w:tcPr>
            <w:tcW w:w="5181" w:type="dxa"/>
            <w:vAlign w:val="center"/>
          </w:tcPr>
          <w:p w14:paraId="3BBAEFAA">
            <w:pPr>
              <w:shd w:val="clear"/>
              <w:rPr>
                <w:rFonts w:hint="eastAsia"/>
                <w:color w:val="auto"/>
                <w:highlight w:val="none"/>
                <w:lang w:eastAsia="zh-CN"/>
              </w:rPr>
            </w:pPr>
            <w:r>
              <w:rPr>
                <w:rFonts w:hint="eastAsia"/>
                <w:color w:val="auto"/>
                <w:highlight w:val="none"/>
                <w:lang w:eastAsia="zh-CN"/>
              </w:rPr>
              <w:t>型号：佳发JF-MAS3000；提供一年硬件维保服务，一年软件维护服务，一年技术支持服务。依据故障情况对故障设备进行拆除、送修，并在设备维修完成后提供设备安装、调试服务，保证设备的可用性。</w:t>
            </w:r>
          </w:p>
        </w:tc>
        <w:tc>
          <w:tcPr>
            <w:tcW w:w="731" w:type="dxa"/>
            <w:vAlign w:val="center"/>
          </w:tcPr>
          <w:p w14:paraId="3C8AAD7E">
            <w:pPr>
              <w:shd w:val="clear"/>
              <w:jc w:val="center"/>
              <w:rPr>
                <w:rFonts w:hint="eastAsia"/>
                <w:color w:val="auto"/>
                <w:highlight w:val="none"/>
              </w:rPr>
            </w:pPr>
            <w:r>
              <w:rPr>
                <w:rFonts w:hint="eastAsia"/>
                <w:color w:val="auto"/>
                <w:highlight w:val="none"/>
              </w:rPr>
              <w:t>1</w:t>
            </w:r>
          </w:p>
        </w:tc>
        <w:tc>
          <w:tcPr>
            <w:tcW w:w="725" w:type="dxa"/>
            <w:vAlign w:val="center"/>
          </w:tcPr>
          <w:p w14:paraId="1C47E29E">
            <w:pPr>
              <w:shd w:val="clear"/>
              <w:jc w:val="center"/>
              <w:rPr>
                <w:rFonts w:hint="eastAsia"/>
                <w:color w:val="auto"/>
                <w:highlight w:val="none"/>
              </w:rPr>
            </w:pPr>
            <w:r>
              <w:rPr>
                <w:rFonts w:hint="eastAsia"/>
                <w:color w:val="auto"/>
                <w:highlight w:val="none"/>
              </w:rPr>
              <w:t>项</w:t>
            </w:r>
          </w:p>
        </w:tc>
        <w:tc>
          <w:tcPr>
            <w:tcW w:w="1155" w:type="dxa"/>
            <w:vAlign w:val="center"/>
          </w:tcPr>
          <w:p w14:paraId="0405512D">
            <w:pPr>
              <w:shd w:val="clear"/>
              <w:jc w:val="center"/>
              <w:rPr>
                <w:rFonts w:hint="eastAsia"/>
                <w:color w:val="auto"/>
                <w:highlight w:val="none"/>
              </w:rPr>
            </w:pPr>
            <w:r>
              <w:rPr>
                <w:rFonts w:hint="eastAsia"/>
                <w:color w:val="auto"/>
                <w:highlight w:val="none"/>
              </w:rPr>
              <w:t>软件和信息技术服务业</w:t>
            </w:r>
          </w:p>
        </w:tc>
      </w:tr>
      <w:tr w14:paraId="08B0A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4F8284EE">
            <w:pPr>
              <w:shd w:val="clear"/>
              <w:rPr>
                <w:rFonts w:hint="eastAsia"/>
                <w:color w:val="auto"/>
                <w:highlight w:val="none"/>
              </w:rPr>
            </w:pPr>
            <w:r>
              <w:rPr>
                <w:rFonts w:hint="eastAsia"/>
                <w:color w:val="auto"/>
                <w:highlight w:val="none"/>
              </w:rPr>
              <w:t>18</w:t>
            </w:r>
          </w:p>
        </w:tc>
        <w:tc>
          <w:tcPr>
            <w:tcW w:w="1274" w:type="dxa"/>
            <w:vAlign w:val="center"/>
          </w:tcPr>
          <w:p w14:paraId="143E0D9E">
            <w:pPr>
              <w:shd w:val="clear"/>
              <w:rPr>
                <w:rFonts w:hint="eastAsia"/>
                <w:color w:val="auto"/>
                <w:highlight w:val="none"/>
              </w:rPr>
            </w:pPr>
            <w:r>
              <w:rPr>
                <w:rFonts w:hint="eastAsia"/>
                <w:color w:val="auto"/>
                <w:highlight w:val="none"/>
              </w:rPr>
              <w:t>网络视频解码器维保服务</w:t>
            </w:r>
          </w:p>
        </w:tc>
        <w:tc>
          <w:tcPr>
            <w:tcW w:w="5181" w:type="dxa"/>
            <w:vAlign w:val="center"/>
          </w:tcPr>
          <w:p w14:paraId="39316BBF">
            <w:pPr>
              <w:shd w:val="clear"/>
              <w:rPr>
                <w:rFonts w:hint="eastAsia"/>
                <w:color w:val="auto"/>
                <w:highlight w:val="none"/>
                <w:lang w:eastAsia="zh-CN"/>
              </w:rPr>
            </w:pPr>
            <w:r>
              <w:rPr>
                <w:rFonts w:hint="eastAsia"/>
                <w:color w:val="auto"/>
                <w:highlight w:val="none"/>
                <w:lang w:eastAsia="zh-CN"/>
              </w:rPr>
              <w:t>型号：佳发JF-PVW200K；数量：3台；提供一年硬件维保服务，一年技术支持服务。依据故障情况对故障设备进行拆除、送修，并在设备维修完成后提供设备安装、调试服务，保证设备的可用性。</w:t>
            </w:r>
          </w:p>
        </w:tc>
        <w:tc>
          <w:tcPr>
            <w:tcW w:w="731" w:type="dxa"/>
            <w:vAlign w:val="center"/>
          </w:tcPr>
          <w:p w14:paraId="07DCFC43">
            <w:pPr>
              <w:shd w:val="clear"/>
              <w:jc w:val="center"/>
              <w:rPr>
                <w:rFonts w:hint="eastAsia"/>
                <w:color w:val="auto"/>
                <w:highlight w:val="none"/>
              </w:rPr>
            </w:pPr>
            <w:r>
              <w:rPr>
                <w:rFonts w:hint="eastAsia"/>
                <w:color w:val="auto"/>
                <w:highlight w:val="none"/>
              </w:rPr>
              <w:t>1</w:t>
            </w:r>
          </w:p>
        </w:tc>
        <w:tc>
          <w:tcPr>
            <w:tcW w:w="725" w:type="dxa"/>
            <w:vAlign w:val="center"/>
          </w:tcPr>
          <w:p w14:paraId="287F22BD">
            <w:pPr>
              <w:shd w:val="clear"/>
              <w:jc w:val="center"/>
              <w:rPr>
                <w:rFonts w:hint="eastAsia"/>
                <w:color w:val="auto"/>
                <w:highlight w:val="none"/>
              </w:rPr>
            </w:pPr>
            <w:r>
              <w:rPr>
                <w:rFonts w:hint="eastAsia"/>
                <w:color w:val="auto"/>
                <w:highlight w:val="none"/>
              </w:rPr>
              <w:t>项</w:t>
            </w:r>
          </w:p>
        </w:tc>
        <w:tc>
          <w:tcPr>
            <w:tcW w:w="1155" w:type="dxa"/>
            <w:vAlign w:val="center"/>
          </w:tcPr>
          <w:p w14:paraId="3FDD8858">
            <w:pPr>
              <w:shd w:val="clear"/>
              <w:jc w:val="center"/>
              <w:rPr>
                <w:rFonts w:hint="eastAsia"/>
                <w:color w:val="auto"/>
                <w:highlight w:val="none"/>
              </w:rPr>
            </w:pPr>
            <w:r>
              <w:rPr>
                <w:rFonts w:hint="eastAsia"/>
                <w:color w:val="auto"/>
                <w:highlight w:val="none"/>
              </w:rPr>
              <w:t>软件和信息技术服务业</w:t>
            </w:r>
          </w:p>
        </w:tc>
      </w:tr>
      <w:tr w14:paraId="633F6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33C03888">
            <w:pPr>
              <w:shd w:val="clear"/>
              <w:rPr>
                <w:rFonts w:hint="eastAsia"/>
                <w:color w:val="auto"/>
                <w:highlight w:val="none"/>
              </w:rPr>
            </w:pPr>
            <w:r>
              <w:rPr>
                <w:rFonts w:hint="eastAsia"/>
                <w:color w:val="auto"/>
                <w:highlight w:val="none"/>
              </w:rPr>
              <w:t>19</w:t>
            </w:r>
          </w:p>
        </w:tc>
        <w:tc>
          <w:tcPr>
            <w:tcW w:w="1274" w:type="dxa"/>
            <w:vAlign w:val="center"/>
          </w:tcPr>
          <w:p w14:paraId="4F740E74">
            <w:pPr>
              <w:shd w:val="clear"/>
              <w:rPr>
                <w:rFonts w:hint="eastAsia"/>
                <w:color w:val="auto"/>
                <w:highlight w:val="none"/>
              </w:rPr>
            </w:pPr>
            <w:r>
              <w:rPr>
                <w:rFonts w:hint="eastAsia"/>
                <w:color w:val="auto"/>
                <w:highlight w:val="none"/>
              </w:rPr>
              <w:t>作弊防控管理平台维保服务</w:t>
            </w:r>
          </w:p>
        </w:tc>
        <w:tc>
          <w:tcPr>
            <w:tcW w:w="5181" w:type="dxa"/>
            <w:vAlign w:val="center"/>
          </w:tcPr>
          <w:p w14:paraId="6C111F67">
            <w:pPr>
              <w:shd w:val="clear"/>
              <w:rPr>
                <w:rFonts w:hint="eastAsia"/>
                <w:color w:val="auto"/>
                <w:highlight w:val="none"/>
                <w:lang w:eastAsia="zh-CN"/>
              </w:rPr>
            </w:pPr>
            <w:r>
              <w:rPr>
                <w:rFonts w:hint="eastAsia"/>
                <w:color w:val="auto"/>
                <w:highlight w:val="none"/>
                <w:lang w:eastAsia="zh-CN"/>
              </w:rPr>
              <w:t>型号：佳发JF-RSSM0700；提供一年硬件维保服务，一年软件维护、软件升级服务，一年技术支持服务。依据故障情况对故障设备进行拆除、送修，并在设备维修完成后提供设备安装、调试服务，保证设备的可用性。</w:t>
            </w:r>
          </w:p>
        </w:tc>
        <w:tc>
          <w:tcPr>
            <w:tcW w:w="731" w:type="dxa"/>
            <w:vAlign w:val="center"/>
          </w:tcPr>
          <w:p w14:paraId="5735791F">
            <w:pPr>
              <w:shd w:val="clear"/>
              <w:jc w:val="center"/>
              <w:rPr>
                <w:rFonts w:hint="eastAsia"/>
                <w:color w:val="auto"/>
                <w:highlight w:val="none"/>
              </w:rPr>
            </w:pPr>
            <w:r>
              <w:rPr>
                <w:rFonts w:hint="eastAsia"/>
                <w:color w:val="auto"/>
                <w:highlight w:val="none"/>
              </w:rPr>
              <w:t>1</w:t>
            </w:r>
          </w:p>
        </w:tc>
        <w:tc>
          <w:tcPr>
            <w:tcW w:w="725" w:type="dxa"/>
            <w:vAlign w:val="center"/>
          </w:tcPr>
          <w:p w14:paraId="52247B8D">
            <w:pPr>
              <w:shd w:val="clear"/>
              <w:jc w:val="center"/>
              <w:rPr>
                <w:rFonts w:hint="eastAsia"/>
                <w:color w:val="auto"/>
                <w:highlight w:val="none"/>
              </w:rPr>
            </w:pPr>
            <w:r>
              <w:rPr>
                <w:rFonts w:hint="eastAsia"/>
                <w:color w:val="auto"/>
                <w:highlight w:val="none"/>
              </w:rPr>
              <w:t>项</w:t>
            </w:r>
          </w:p>
        </w:tc>
        <w:tc>
          <w:tcPr>
            <w:tcW w:w="1155" w:type="dxa"/>
            <w:vAlign w:val="center"/>
          </w:tcPr>
          <w:p w14:paraId="75650E5A">
            <w:pPr>
              <w:shd w:val="clear"/>
              <w:jc w:val="center"/>
              <w:rPr>
                <w:rFonts w:hint="eastAsia"/>
                <w:color w:val="auto"/>
                <w:highlight w:val="none"/>
              </w:rPr>
            </w:pPr>
            <w:r>
              <w:rPr>
                <w:rFonts w:hint="eastAsia"/>
                <w:color w:val="auto"/>
                <w:highlight w:val="none"/>
              </w:rPr>
              <w:t>软件和信息技术服务业</w:t>
            </w:r>
          </w:p>
        </w:tc>
      </w:tr>
      <w:tr w14:paraId="7708C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6458BF58">
            <w:pPr>
              <w:shd w:val="clear"/>
              <w:rPr>
                <w:rFonts w:hint="eastAsia"/>
                <w:color w:val="auto"/>
                <w:highlight w:val="none"/>
              </w:rPr>
            </w:pPr>
            <w:r>
              <w:rPr>
                <w:rFonts w:hint="eastAsia"/>
                <w:color w:val="auto"/>
                <w:highlight w:val="none"/>
              </w:rPr>
              <w:t>20</w:t>
            </w:r>
          </w:p>
        </w:tc>
        <w:tc>
          <w:tcPr>
            <w:tcW w:w="1274" w:type="dxa"/>
            <w:vAlign w:val="center"/>
          </w:tcPr>
          <w:p w14:paraId="78B084FA">
            <w:pPr>
              <w:shd w:val="clear"/>
              <w:rPr>
                <w:rFonts w:hint="eastAsia"/>
                <w:color w:val="auto"/>
                <w:highlight w:val="none"/>
              </w:rPr>
            </w:pPr>
            <w:r>
              <w:rPr>
                <w:rFonts w:hint="eastAsia"/>
                <w:color w:val="auto"/>
                <w:highlight w:val="none"/>
              </w:rPr>
              <w:t>侦测服务器维保服务</w:t>
            </w:r>
          </w:p>
        </w:tc>
        <w:tc>
          <w:tcPr>
            <w:tcW w:w="5181" w:type="dxa"/>
            <w:vAlign w:val="center"/>
          </w:tcPr>
          <w:p w14:paraId="2780D931">
            <w:pPr>
              <w:shd w:val="clear"/>
              <w:rPr>
                <w:rFonts w:hint="eastAsia"/>
                <w:color w:val="auto"/>
                <w:highlight w:val="none"/>
                <w:lang w:eastAsia="zh-CN"/>
              </w:rPr>
            </w:pPr>
            <w:r>
              <w:rPr>
                <w:rFonts w:hint="eastAsia"/>
                <w:color w:val="auto"/>
                <w:highlight w:val="none"/>
                <w:lang w:eastAsia="zh-CN"/>
              </w:rPr>
              <w:t>型号：佳发JF-RSSD0600；提供一年硬件维保服务，一年软件维护服务，一年技术支持服务。依据故障情况对故障设备进行拆除、送修，并在设备维修完成后提供设备安装、调试服务，保证设备的可用性。</w:t>
            </w:r>
          </w:p>
        </w:tc>
        <w:tc>
          <w:tcPr>
            <w:tcW w:w="731" w:type="dxa"/>
            <w:vAlign w:val="center"/>
          </w:tcPr>
          <w:p w14:paraId="204371A6">
            <w:pPr>
              <w:shd w:val="clear"/>
              <w:jc w:val="center"/>
              <w:rPr>
                <w:rFonts w:hint="eastAsia"/>
                <w:color w:val="auto"/>
                <w:highlight w:val="none"/>
              </w:rPr>
            </w:pPr>
            <w:r>
              <w:rPr>
                <w:rFonts w:hint="eastAsia"/>
                <w:color w:val="auto"/>
                <w:highlight w:val="none"/>
              </w:rPr>
              <w:t>1</w:t>
            </w:r>
          </w:p>
        </w:tc>
        <w:tc>
          <w:tcPr>
            <w:tcW w:w="725" w:type="dxa"/>
            <w:vAlign w:val="center"/>
          </w:tcPr>
          <w:p w14:paraId="39CF1515">
            <w:pPr>
              <w:shd w:val="clear"/>
              <w:jc w:val="center"/>
              <w:rPr>
                <w:rFonts w:hint="eastAsia"/>
                <w:color w:val="auto"/>
                <w:highlight w:val="none"/>
              </w:rPr>
            </w:pPr>
            <w:r>
              <w:rPr>
                <w:rFonts w:hint="eastAsia"/>
                <w:color w:val="auto"/>
                <w:highlight w:val="none"/>
              </w:rPr>
              <w:t>项</w:t>
            </w:r>
          </w:p>
        </w:tc>
        <w:tc>
          <w:tcPr>
            <w:tcW w:w="1155" w:type="dxa"/>
            <w:vAlign w:val="center"/>
          </w:tcPr>
          <w:p w14:paraId="4201F35A">
            <w:pPr>
              <w:shd w:val="clear"/>
              <w:jc w:val="center"/>
              <w:rPr>
                <w:rFonts w:hint="eastAsia"/>
                <w:color w:val="auto"/>
                <w:highlight w:val="none"/>
              </w:rPr>
            </w:pPr>
            <w:r>
              <w:rPr>
                <w:rFonts w:hint="eastAsia"/>
                <w:color w:val="auto"/>
                <w:highlight w:val="none"/>
              </w:rPr>
              <w:t>软件和信息技术服务业</w:t>
            </w:r>
          </w:p>
        </w:tc>
      </w:tr>
      <w:tr w14:paraId="48C02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15571E96">
            <w:pPr>
              <w:shd w:val="clear"/>
              <w:rPr>
                <w:rFonts w:hint="eastAsia"/>
                <w:color w:val="auto"/>
                <w:highlight w:val="none"/>
              </w:rPr>
            </w:pPr>
            <w:r>
              <w:rPr>
                <w:rFonts w:hint="eastAsia"/>
                <w:color w:val="auto"/>
                <w:highlight w:val="none"/>
              </w:rPr>
              <w:t>21</w:t>
            </w:r>
          </w:p>
        </w:tc>
        <w:tc>
          <w:tcPr>
            <w:tcW w:w="1274" w:type="dxa"/>
            <w:vAlign w:val="center"/>
          </w:tcPr>
          <w:p w14:paraId="62E30953">
            <w:pPr>
              <w:shd w:val="clear"/>
              <w:rPr>
                <w:rFonts w:hint="eastAsia"/>
                <w:color w:val="auto"/>
                <w:highlight w:val="none"/>
              </w:rPr>
            </w:pPr>
            <w:r>
              <w:rPr>
                <w:rFonts w:hint="eastAsia"/>
                <w:color w:val="auto"/>
                <w:highlight w:val="none"/>
              </w:rPr>
              <w:t>全网监控系统维保服务</w:t>
            </w:r>
          </w:p>
        </w:tc>
        <w:tc>
          <w:tcPr>
            <w:tcW w:w="5181" w:type="dxa"/>
            <w:vAlign w:val="center"/>
          </w:tcPr>
          <w:p w14:paraId="26E20F30">
            <w:pPr>
              <w:shd w:val="clear"/>
              <w:rPr>
                <w:rFonts w:hint="eastAsia"/>
                <w:color w:val="auto"/>
                <w:highlight w:val="none"/>
                <w:lang w:eastAsia="zh-CN"/>
              </w:rPr>
            </w:pPr>
            <w:r>
              <w:rPr>
                <w:rFonts w:hint="eastAsia"/>
                <w:color w:val="auto"/>
                <w:highlight w:val="none"/>
                <w:lang w:eastAsia="zh-CN"/>
              </w:rPr>
              <w:t>型号：网格ANV-WG-V3.0；提供一年硬件维保服务。提供一年软硬件技术支持服务，软件技术支持服务，7*24小时电话支持服务，7*12小时上门服务。提供一年短信报警服务，每月不少于500条（其中动环报警短信数量不限）。依据故障情况对故障设备进行拆除、送修，并在设备维修完成后提供设备安装、调试服务，保证设备的可用性。</w:t>
            </w:r>
          </w:p>
        </w:tc>
        <w:tc>
          <w:tcPr>
            <w:tcW w:w="731" w:type="dxa"/>
            <w:vAlign w:val="center"/>
          </w:tcPr>
          <w:p w14:paraId="1AF5EB74">
            <w:pPr>
              <w:shd w:val="clear"/>
              <w:jc w:val="center"/>
              <w:rPr>
                <w:rFonts w:hint="eastAsia"/>
                <w:color w:val="auto"/>
                <w:highlight w:val="none"/>
              </w:rPr>
            </w:pPr>
            <w:r>
              <w:rPr>
                <w:rFonts w:hint="eastAsia"/>
                <w:color w:val="auto"/>
                <w:highlight w:val="none"/>
              </w:rPr>
              <w:t>1</w:t>
            </w:r>
          </w:p>
        </w:tc>
        <w:tc>
          <w:tcPr>
            <w:tcW w:w="725" w:type="dxa"/>
            <w:vAlign w:val="center"/>
          </w:tcPr>
          <w:p w14:paraId="5691CFEA">
            <w:pPr>
              <w:shd w:val="clear"/>
              <w:jc w:val="center"/>
              <w:rPr>
                <w:rFonts w:hint="eastAsia"/>
                <w:color w:val="auto"/>
                <w:highlight w:val="none"/>
              </w:rPr>
            </w:pPr>
            <w:r>
              <w:rPr>
                <w:rFonts w:hint="eastAsia"/>
                <w:color w:val="auto"/>
                <w:highlight w:val="none"/>
              </w:rPr>
              <w:t>项</w:t>
            </w:r>
          </w:p>
        </w:tc>
        <w:tc>
          <w:tcPr>
            <w:tcW w:w="1155" w:type="dxa"/>
            <w:vAlign w:val="center"/>
          </w:tcPr>
          <w:p w14:paraId="00DA15D8">
            <w:pPr>
              <w:shd w:val="clear"/>
              <w:jc w:val="center"/>
              <w:rPr>
                <w:rFonts w:hint="eastAsia"/>
                <w:color w:val="auto"/>
                <w:highlight w:val="none"/>
              </w:rPr>
            </w:pPr>
            <w:r>
              <w:rPr>
                <w:rFonts w:hint="eastAsia"/>
                <w:color w:val="auto"/>
                <w:highlight w:val="none"/>
              </w:rPr>
              <w:t>软件和信息技术服务业</w:t>
            </w:r>
          </w:p>
        </w:tc>
      </w:tr>
      <w:tr w14:paraId="3143E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76A97724">
            <w:pPr>
              <w:shd w:val="clear"/>
              <w:rPr>
                <w:rFonts w:hint="eastAsia"/>
                <w:color w:val="auto"/>
                <w:highlight w:val="none"/>
              </w:rPr>
            </w:pPr>
            <w:r>
              <w:rPr>
                <w:rFonts w:hint="eastAsia"/>
                <w:color w:val="auto"/>
                <w:highlight w:val="none"/>
              </w:rPr>
              <w:t>22</w:t>
            </w:r>
          </w:p>
        </w:tc>
        <w:tc>
          <w:tcPr>
            <w:tcW w:w="1274" w:type="dxa"/>
            <w:vAlign w:val="center"/>
          </w:tcPr>
          <w:p w14:paraId="0F756539">
            <w:pPr>
              <w:shd w:val="clear"/>
              <w:rPr>
                <w:rFonts w:hint="eastAsia" w:eastAsia="宋体"/>
                <w:color w:val="auto"/>
                <w:highlight w:val="none"/>
                <w:lang w:eastAsia="zh-CN"/>
              </w:rPr>
            </w:pPr>
            <w:r>
              <w:rPr>
                <w:rFonts w:hint="eastAsia"/>
                <w:color w:val="auto"/>
                <w:highlight w:val="none"/>
              </w:rPr>
              <w:t>标准化考场系统技术支持服务</w:t>
            </w:r>
            <w:r>
              <w:rPr>
                <w:rFonts w:hint="eastAsia"/>
                <w:b/>
                <w:bCs/>
                <w:color w:val="auto"/>
                <w:highlight w:val="none"/>
                <w:lang w:eastAsia="zh-CN"/>
              </w:rPr>
              <w:t>（</w:t>
            </w:r>
            <w:r>
              <w:rPr>
                <w:rFonts w:hint="eastAsia"/>
                <w:b/>
                <w:bCs/>
                <w:color w:val="auto"/>
                <w:highlight w:val="none"/>
                <w:lang w:val="en-US" w:eastAsia="zh-CN"/>
              </w:rPr>
              <w:t>核心产品</w:t>
            </w:r>
            <w:r>
              <w:rPr>
                <w:rFonts w:hint="eastAsia"/>
                <w:b/>
                <w:bCs/>
                <w:color w:val="auto"/>
                <w:highlight w:val="none"/>
                <w:lang w:eastAsia="zh-CN"/>
              </w:rPr>
              <w:t>）</w:t>
            </w:r>
          </w:p>
        </w:tc>
        <w:tc>
          <w:tcPr>
            <w:tcW w:w="5181" w:type="dxa"/>
            <w:vAlign w:val="center"/>
          </w:tcPr>
          <w:p w14:paraId="2A2E2EDF">
            <w:pPr>
              <w:shd w:val="clear"/>
              <w:rPr>
                <w:rFonts w:hint="eastAsia"/>
                <w:color w:val="auto"/>
                <w:highlight w:val="none"/>
              </w:rPr>
            </w:pPr>
            <w:r>
              <w:rPr>
                <w:rFonts w:hint="eastAsia"/>
                <w:color w:val="auto"/>
                <w:highlight w:val="none"/>
              </w:rPr>
              <w:t>技术支持服务范围：</w:t>
            </w:r>
          </w:p>
          <w:p w14:paraId="6E3151A3">
            <w:pPr>
              <w:shd w:val="clear"/>
              <w:rPr>
                <w:rFonts w:hint="eastAsia"/>
                <w:color w:val="auto"/>
                <w:highlight w:val="none"/>
              </w:rPr>
            </w:pPr>
            <w:r>
              <w:rPr>
                <w:rFonts w:hint="eastAsia"/>
                <w:color w:val="auto"/>
                <w:highlight w:val="none"/>
              </w:rPr>
              <w:t>提供7（天）×12（小时）现场技术支持服务。</w:t>
            </w:r>
          </w:p>
          <w:p w14:paraId="3EBCF168">
            <w:pPr>
              <w:shd w:val="clear"/>
              <w:rPr>
                <w:rFonts w:hint="eastAsia"/>
                <w:color w:val="auto"/>
                <w:highlight w:val="none"/>
              </w:rPr>
            </w:pPr>
            <w:r>
              <w:rPr>
                <w:rFonts w:hint="eastAsia"/>
                <w:color w:val="auto"/>
                <w:highlight w:val="none"/>
              </w:rPr>
              <w:t>提供7（天）×24（小时）远程技术支持服务。</w:t>
            </w:r>
          </w:p>
          <w:p w14:paraId="50A236EA">
            <w:pPr>
              <w:shd w:val="clear"/>
              <w:rPr>
                <w:rFonts w:hint="eastAsia"/>
                <w:color w:val="auto"/>
                <w:highlight w:val="none"/>
              </w:rPr>
            </w:pPr>
            <w:r>
              <w:rPr>
                <w:rFonts w:hint="eastAsia"/>
                <w:color w:val="auto"/>
                <w:highlight w:val="none"/>
              </w:rPr>
              <w:t>设备维修支持服务；</w:t>
            </w:r>
          </w:p>
          <w:p w14:paraId="55D7551B">
            <w:pPr>
              <w:shd w:val="clear"/>
              <w:rPr>
                <w:rFonts w:hint="eastAsia"/>
                <w:color w:val="auto"/>
                <w:highlight w:val="none"/>
              </w:rPr>
            </w:pPr>
            <w:r>
              <w:rPr>
                <w:rFonts w:hint="eastAsia"/>
                <w:color w:val="auto"/>
                <w:highlight w:val="none"/>
              </w:rPr>
              <w:t>对未纳入维保硬件设备，配合学校完成设备故障确认及维修工作，提供相应的维修支持。（备件由校方自行采购）</w:t>
            </w:r>
          </w:p>
          <w:p w14:paraId="267072AD">
            <w:pPr>
              <w:shd w:val="clear"/>
              <w:rPr>
                <w:rFonts w:hint="eastAsia"/>
                <w:color w:val="auto"/>
                <w:highlight w:val="none"/>
              </w:rPr>
            </w:pPr>
            <w:r>
              <w:rPr>
                <w:rFonts w:hint="eastAsia"/>
                <w:color w:val="auto"/>
                <w:highlight w:val="none"/>
              </w:rPr>
              <w:t>软件升级服务：以业务稳定性、可靠性为原则，对网上巡查系统、作弊防控系统等业务软件及时进行升级，解决系统隐患，提升系统运行效率及稳定性。</w:t>
            </w:r>
          </w:p>
          <w:p w14:paraId="5519BC88">
            <w:pPr>
              <w:shd w:val="clear"/>
              <w:rPr>
                <w:rFonts w:hint="eastAsia"/>
                <w:color w:val="auto"/>
                <w:highlight w:val="none"/>
              </w:rPr>
            </w:pPr>
            <w:r>
              <w:rPr>
                <w:rFonts w:hint="eastAsia"/>
                <w:color w:val="auto"/>
                <w:highlight w:val="none"/>
              </w:rPr>
              <w:t>UPS主机UPS电池技术支持服务：</w:t>
            </w:r>
          </w:p>
          <w:p w14:paraId="3F1834EB">
            <w:pPr>
              <w:shd w:val="clear"/>
              <w:rPr>
                <w:rFonts w:hint="eastAsia"/>
                <w:color w:val="auto"/>
                <w:highlight w:val="none"/>
              </w:rPr>
            </w:pPr>
            <w:r>
              <w:rPr>
                <w:rFonts w:hint="eastAsia"/>
                <w:color w:val="auto"/>
                <w:highlight w:val="none"/>
              </w:rPr>
              <w:t>提供UPS主机及电池定期巡检服务、设备维修技术支持服务。（设备相关备件由校方自行采购）。</w:t>
            </w:r>
          </w:p>
          <w:p w14:paraId="77677B52">
            <w:pPr>
              <w:shd w:val="clear"/>
              <w:rPr>
                <w:rFonts w:hint="eastAsia"/>
                <w:color w:val="auto"/>
                <w:highlight w:val="none"/>
              </w:rPr>
            </w:pPr>
            <w:r>
              <w:rPr>
                <w:rFonts w:hint="eastAsia"/>
                <w:color w:val="auto"/>
                <w:highlight w:val="none"/>
              </w:rPr>
              <w:t>网络交换机技术支持服务：</w:t>
            </w:r>
          </w:p>
          <w:p w14:paraId="13522C35">
            <w:pPr>
              <w:shd w:val="clear"/>
              <w:rPr>
                <w:rFonts w:hint="eastAsia"/>
                <w:color w:val="auto"/>
                <w:highlight w:val="none"/>
              </w:rPr>
            </w:pPr>
            <w:r>
              <w:rPr>
                <w:rFonts w:hint="eastAsia"/>
                <w:color w:val="auto"/>
                <w:highlight w:val="none"/>
              </w:rPr>
              <w:t>提供交换机配置定期备份服务、交换机巡检服务、项目相关交换机更换配置服务。</w:t>
            </w:r>
          </w:p>
          <w:p w14:paraId="60F66B19">
            <w:pPr>
              <w:shd w:val="clear"/>
              <w:rPr>
                <w:rFonts w:hint="eastAsia"/>
                <w:color w:val="auto"/>
                <w:highlight w:val="none"/>
              </w:rPr>
            </w:pPr>
            <w:r>
              <w:rPr>
                <w:rFonts w:hint="eastAsia"/>
                <w:color w:val="auto"/>
                <w:highlight w:val="none"/>
              </w:rPr>
              <w:t>提供网络广播主机广播系统软件技术支持服务：广播主机维修技术支持、广播软件部署技术支持、广播主机备机服务、广播软件配置定期备份服务、广播系统定期巡检服务。（备件由校方自行采购）。</w:t>
            </w:r>
          </w:p>
          <w:p w14:paraId="08C84B08">
            <w:pPr>
              <w:shd w:val="clear"/>
              <w:rPr>
                <w:rFonts w:hint="eastAsia"/>
                <w:color w:val="auto"/>
                <w:highlight w:val="none"/>
              </w:rPr>
            </w:pPr>
            <w:r>
              <w:rPr>
                <w:rFonts w:hint="eastAsia"/>
                <w:color w:val="auto"/>
                <w:highlight w:val="none"/>
              </w:rPr>
              <w:t>系统巡检服务：完成不少于3次系统巡检服务并出具巡查报告。</w:t>
            </w:r>
          </w:p>
          <w:p w14:paraId="5E9B243B">
            <w:pPr>
              <w:shd w:val="clear"/>
              <w:rPr>
                <w:rFonts w:hint="eastAsia"/>
                <w:color w:val="auto"/>
                <w:highlight w:val="none"/>
              </w:rPr>
            </w:pPr>
            <w:r>
              <w:rPr>
                <w:rFonts w:hint="eastAsia"/>
                <w:color w:val="auto"/>
                <w:highlight w:val="none"/>
              </w:rPr>
              <w:t>提供技术服务设备清单：</w:t>
            </w:r>
          </w:p>
          <w:p w14:paraId="501A3D3D">
            <w:pPr>
              <w:shd w:val="clear"/>
              <w:rPr>
                <w:rFonts w:hint="eastAsia"/>
                <w:color w:val="auto"/>
                <w:highlight w:val="none"/>
              </w:rPr>
            </w:pPr>
            <w:r>
              <w:rPr>
                <w:rFonts w:hint="eastAsia"/>
                <w:color w:val="auto"/>
                <w:highlight w:val="none"/>
              </w:rPr>
              <w:t>监控级硬盘：希捷6T*48块</w:t>
            </w:r>
          </w:p>
          <w:p w14:paraId="5A728D89">
            <w:pPr>
              <w:shd w:val="clear"/>
              <w:rPr>
                <w:rFonts w:hint="eastAsia"/>
                <w:color w:val="auto"/>
                <w:highlight w:val="none"/>
              </w:rPr>
            </w:pPr>
            <w:r>
              <w:rPr>
                <w:rFonts w:hint="eastAsia"/>
                <w:color w:val="auto"/>
                <w:highlight w:val="none"/>
              </w:rPr>
              <w:t>汇聚交换机：锐捷RG-S5760C-24GT8XS-X*1台</w:t>
            </w:r>
          </w:p>
          <w:p w14:paraId="21036143">
            <w:pPr>
              <w:shd w:val="clear"/>
              <w:rPr>
                <w:rFonts w:hint="eastAsia"/>
                <w:color w:val="auto"/>
                <w:highlight w:val="none"/>
              </w:rPr>
            </w:pPr>
            <w:r>
              <w:rPr>
                <w:rFonts w:hint="eastAsia"/>
                <w:color w:val="auto"/>
                <w:highlight w:val="none"/>
              </w:rPr>
              <w:t>48口接入交换机：锐捷RG-S2910-48GT4XS-E*7台</w:t>
            </w:r>
          </w:p>
          <w:p w14:paraId="7F5A31F3">
            <w:pPr>
              <w:shd w:val="clear"/>
              <w:rPr>
                <w:rFonts w:hint="eastAsia"/>
                <w:color w:val="auto"/>
                <w:highlight w:val="none"/>
              </w:rPr>
            </w:pPr>
            <w:r>
              <w:rPr>
                <w:rFonts w:hint="eastAsia"/>
                <w:color w:val="auto"/>
                <w:highlight w:val="none"/>
              </w:rPr>
              <w:t>24口接入交换机：锐捷RG-S2910-24GT4XS-E*15台</w:t>
            </w:r>
          </w:p>
          <w:p w14:paraId="3517F365">
            <w:pPr>
              <w:shd w:val="clear"/>
              <w:rPr>
                <w:rFonts w:hint="eastAsia"/>
                <w:color w:val="auto"/>
                <w:highlight w:val="none"/>
              </w:rPr>
            </w:pPr>
            <w:r>
              <w:rPr>
                <w:rFonts w:hint="eastAsia"/>
                <w:color w:val="auto"/>
                <w:highlight w:val="none"/>
              </w:rPr>
              <w:t>万兆单模光模块：锐捷XG-SFP-LR-SM1310*41块</w:t>
            </w:r>
          </w:p>
          <w:p w14:paraId="7B92EBB4">
            <w:pPr>
              <w:shd w:val="clear"/>
              <w:rPr>
                <w:rFonts w:hint="eastAsia"/>
                <w:color w:val="auto"/>
                <w:highlight w:val="none"/>
              </w:rPr>
            </w:pPr>
            <w:r>
              <w:rPr>
                <w:rFonts w:hint="eastAsia"/>
                <w:color w:val="auto"/>
                <w:highlight w:val="none"/>
              </w:rPr>
              <w:t>30KUPS：科士达YDC3330*1套</w:t>
            </w:r>
          </w:p>
          <w:p w14:paraId="5736B024">
            <w:pPr>
              <w:shd w:val="clear"/>
              <w:rPr>
                <w:rFonts w:hint="eastAsia"/>
                <w:color w:val="auto"/>
                <w:highlight w:val="none"/>
              </w:rPr>
            </w:pPr>
            <w:r>
              <w:rPr>
                <w:rFonts w:hint="eastAsia"/>
                <w:color w:val="auto"/>
                <w:highlight w:val="none"/>
              </w:rPr>
              <w:t>网络广播控制主机：湖山NET200*1台</w:t>
            </w:r>
          </w:p>
          <w:p w14:paraId="4339804A">
            <w:pPr>
              <w:shd w:val="clear"/>
              <w:rPr>
                <w:rFonts w:hint="eastAsia"/>
                <w:color w:val="auto"/>
                <w:highlight w:val="none"/>
              </w:rPr>
            </w:pPr>
            <w:r>
              <w:rPr>
                <w:rFonts w:hint="eastAsia"/>
                <w:color w:val="auto"/>
                <w:highlight w:val="none"/>
              </w:rPr>
              <w:t>网络广播软件：湖山SM28100*1套</w:t>
            </w:r>
          </w:p>
          <w:p w14:paraId="19C9BE0F">
            <w:pPr>
              <w:shd w:val="clear"/>
              <w:rPr>
                <w:rFonts w:hint="eastAsia"/>
                <w:color w:val="auto"/>
                <w:highlight w:val="none"/>
              </w:rPr>
            </w:pPr>
            <w:r>
              <w:rPr>
                <w:rFonts w:hint="eastAsia"/>
                <w:color w:val="auto"/>
                <w:highlight w:val="none"/>
              </w:rPr>
              <w:t>壁挂式IP有源信息音箱：湖山FN2820*1台</w:t>
            </w:r>
          </w:p>
          <w:p w14:paraId="01626AF5">
            <w:pPr>
              <w:shd w:val="clear"/>
              <w:rPr>
                <w:rFonts w:hint="eastAsia"/>
                <w:color w:val="auto"/>
                <w:highlight w:val="none"/>
              </w:rPr>
            </w:pPr>
            <w:r>
              <w:rPr>
                <w:rFonts w:hint="eastAsia"/>
                <w:color w:val="auto"/>
                <w:highlight w:val="none"/>
              </w:rPr>
              <w:t>CD播放机：湖山PDV878*1台</w:t>
            </w:r>
          </w:p>
          <w:p w14:paraId="4AC41831">
            <w:pPr>
              <w:shd w:val="clear"/>
              <w:rPr>
                <w:rFonts w:hint="eastAsia"/>
                <w:color w:val="auto"/>
                <w:highlight w:val="none"/>
              </w:rPr>
            </w:pPr>
            <w:r>
              <w:rPr>
                <w:rFonts w:hint="eastAsia"/>
                <w:color w:val="auto"/>
                <w:highlight w:val="none"/>
              </w:rPr>
              <w:t>前置放大器：湖山QF10*1台</w:t>
            </w:r>
          </w:p>
          <w:p w14:paraId="76A2D90B">
            <w:pPr>
              <w:shd w:val="clear"/>
              <w:rPr>
                <w:rFonts w:hint="eastAsia"/>
                <w:color w:val="auto"/>
                <w:highlight w:val="none"/>
              </w:rPr>
            </w:pPr>
            <w:r>
              <w:rPr>
                <w:rFonts w:hint="eastAsia"/>
                <w:color w:val="auto"/>
                <w:highlight w:val="none"/>
              </w:rPr>
              <w:t>网络广播话筒：湖山NXH215*1只</w:t>
            </w:r>
          </w:p>
          <w:p w14:paraId="063FB676">
            <w:pPr>
              <w:shd w:val="clear"/>
              <w:rPr>
                <w:rFonts w:hint="eastAsia"/>
                <w:color w:val="auto"/>
                <w:highlight w:val="none"/>
              </w:rPr>
            </w:pPr>
            <w:r>
              <w:rPr>
                <w:rFonts w:hint="eastAsia"/>
                <w:color w:val="auto"/>
                <w:highlight w:val="none"/>
              </w:rPr>
              <w:t>广播话筒：湖山DS-308M*1只</w:t>
            </w:r>
          </w:p>
          <w:p w14:paraId="05CE4790">
            <w:pPr>
              <w:shd w:val="clear"/>
              <w:rPr>
                <w:rFonts w:hint="eastAsia"/>
                <w:color w:val="auto"/>
                <w:highlight w:val="none"/>
              </w:rPr>
            </w:pPr>
            <w:r>
              <w:rPr>
                <w:rFonts w:hint="eastAsia"/>
                <w:color w:val="auto"/>
                <w:highlight w:val="none"/>
              </w:rPr>
              <w:t>网络电源控制器：湖山PC-16*1台</w:t>
            </w:r>
          </w:p>
          <w:p w14:paraId="45F385AC">
            <w:pPr>
              <w:shd w:val="clear"/>
              <w:rPr>
                <w:rFonts w:hint="eastAsia"/>
                <w:color w:val="auto"/>
                <w:highlight w:val="none"/>
              </w:rPr>
            </w:pPr>
            <w:r>
              <w:rPr>
                <w:rFonts w:hint="eastAsia"/>
                <w:color w:val="auto"/>
                <w:highlight w:val="none"/>
              </w:rPr>
              <w:t>多功能网络音箱：湖山NT108*48台</w:t>
            </w:r>
          </w:p>
          <w:p w14:paraId="5D532859">
            <w:pPr>
              <w:shd w:val="clear"/>
              <w:rPr>
                <w:rFonts w:hint="eastAsia"/>
                <w:color w:val="auto"/>
                <w:highlight w:val="none"/>
              </w:rPr>
            </w:pPr>
            <w:r>
              <w:rPr>
                <w:rFonts w:hint="eastAsia"/>
                <w:color w:val="auto"/>
                <w:highlight w:val="none"/>
              </w:rPr>
              <w:t>副音箱：湖山SM28108B*48台</w:t>
            </w:r>
          </w:p>
          <w:p w14:paraId="29C0E3F9">
            <w:pPr>
              <w:shd w:val="clear"/>
              <w:rPr>
                <w:rFonts w:hint="eastAsia"/>
                <w:color w:val="auto"/>
                <w:highlight w:val="none"/>
              </w:rPr>
            </w:pPr>
            <w:r>
              <w:rPr>
                <w:rFonts w:hint="eastAsia"/>
                <w:color w:val="auto"/>
                <w:highlight w:val="none"/>
              </w:rPr>
              <w:t>2.4G话筒：湖山GLS-102/GLR-102*70台</w:t>
            </w:r>
          </w:p>
          <w:p w14:paraId="5F3DF2DC">
            <w:pPr>
              <w:shd w:val="clear"/>
              <w:rPr>
                <w:rFonts w:hint="eastAsia"/>
                <w:color w:val="auto"/>
                <w:highlight w:val="none"/>
              </w:rPr>
            </w:pPr>
            <w:r>
              <w:rPr>
                <w:rFonts w:hint="eastAsia"/>
                <w:color w:val="auto"/>
                <w:highlight w:val="none"/>
              </w:rPr>
              <w:t>高清教师智能跟踪摄像机：佳发JF-NC308CT*48台</w:t>
            </w:r>
          </w:p>
          <w:p w14:paraId="6D7F2A95">
            <w:pPr>
              <w:shd w:val="clear"/>
              <w:rPr>
                <w:rFonts w:hint="eastAsia"/>
                <w:color w:val="auto"/>
                <w:highlight w:val="none"/>
              </w:rPr>
            </w:pPr>
            <w:r>
              <w:rPr>
                <w:rFonts w:hint="eastAsia"/>
                <w:color w:val="auto"/>
                <w:highlight w:val="none"/>
              </w:rPr>
              <w:t>红外高清半球摄像机：佳发JF-NC302RP-K*55台</w:t>
            </w:r>
          </w:p>
          <w:p w14:paraId="2530C457">
            <w:pPr>
              <w:shd w:val="clear"/>
              <w:rPr>
                <w:rFonts w:hint="eastAsia"/>
                <w:color w:val="auto"/>
                <w:highlight w:val="none"/>
              </w:rPr>
            </w:pPr>
            <w:r>
              <w:rPr>
                <w:rFonts w:hint="eastAsia"/>
                <w:color w:val="auto"/>
                <w:highlight w:val="none"/>
              </w:rPr>
              <w:t>拾音器：佳发JF-IESPE2300*103台</w:t>
            </w:r>
          </w:p>
          <w:p w14:paraId="0ED7E6BA">
            <w:pPr>
              <w:shd w:val="clear"/>
              <w:rPr>
                <w:rFonts w:hint="eastAsia"/>
                <w:color w:val="auto"/>
                <w:highlight w:val="none"/>
              </w:rPr>
            </w:pPr>
            <w:r>
              <w:rPr>
                <w:rFonts w:hint="eastAsia"/>
                <w:color w:val="auto"/>
                <w:highlight w:val="none"/>
              </w:rPr>
              <w:t>半球摄像机支架：佳发定制*55套</w:t>
            </w:r>
          </w:p>
          <w:p w14:paraId="1BB8BA5F">
            <w:pPr>
              <w:shd w:val="clear"/>
              <w:rPr>
                <w:rFonts w:hint="eastAsia"/>
                <w:color w:val="auto"/>
                <w:highlight w:val="none"/>
              </w:rPr>
            </w:pPr>
            <w:r>
              <w:rPr>
                <w:rFonts w:hint="eastAsia"/>
                <w:color w:val="auto"/>
                <w:highlight w:val="none"/>
              </w:rPr>
              <w:t>高清教师智能跟踪摄像机支架：佳发JF-PFB201*48套</w:t>
            </w:r>
          </w:p>
          <w:p w14:paraId="4443CCEF">
            <w:pPr>
              <w:shd w:val="clear"/>
              <w:rPr>
                <w:rFonts w:hint="eastAsia"/>
                <w:color w:val="auto"/>
                <w:highlight w:val="none"/>
                <w:lang w:eastAsia="zh-CN"/>
              </w:rPr>
            </w:pPr>
            <w:r>
              <w:rPr>
                <w:rFonts w:hint="eastAsia"/>
                <w:color w:val="auto"/>
                <w:highlight w:val="none"/>
                <w:lang w:eastAsia="zh-CN"/>
              </w:rPr>
              <w:t>高科技屏蔽终端：佳发JF-RSST0600*48台</w:t>
            </w:r>
          </w:p>
        </w:tc>
        <w:tc>
          <w:tcPr>
            <w:tcW w:w="731" w:type="dxa"/>
            <w:vAlign w:val="center"/>
          </w:tcPr>
          <w:p w14:paraId="69FE5F3A">
            <w:pPr>
              <w:shd w:val="clear"/>
              <w:jc w:val="center"/>
              <w:rPr>
                <w:rFonts w:hint="eastAsia"/>
                <w:color w:val="auto"/>
                <w:highlight w:val="none"/>
              </w:rPr>
            </w:pPr>
            <w:r>
              <w:rPr>
                <w:rFonts w:hint="eastAsia"/>
                <w:color w:val="auto"/>
                <w:highlight w:val="none"/>
              </w:rPr>
              <w:t>1</w:t>
            </w:r>
          </w:p>
        </w:tc>
        <w:tc>
          <w:tcPr>
            <w:tcW w:w="725" w:type="dxa"/>
            <w:vAlign w:val="center"/>
          </w:tcPr>
          <w:p w14:paraId="5B73D5C9">
            <w:pPr>
              <w:shd w:val="clear"/>
              <w:jc w:val="center"/>
              <w:rPr>
                <w:rFonts w:hint="eastAsia"/>
                <w:color w:val="auto"/>
                <w:highlight w:val="none"/>
              </w:rPr>
            </w:pPr>
            <w:r>
              <w:rPr>
                <w:rFonts w:hint="eastAsia"/>
                <w:color w:val="auto"/>
                <w:highlight w:val="none"/>
              </w:rPr>
              <w:t>项</w:t>
            </w:r>
          </w:p>
        </w:tc>
        <w:tc>
          <w:tcPr>
            <w:tcW w:w="1155" w:type="dxa"/>
            <w:vAlign w:val="center"/>
          </w:tcPr>
          <w:p w14:paraId="7CC8B60C">
            <w:pPr>
              <w:shd w:val="clear"/>
              <w:jc w:val="center"/>
              <w:rPr>
                <w:rFonts w:hint="eastAsia"/>
                <w:color w:val="auto"/>
                <w:highlight w:val="none"/>
              </w:rPr>
            </w:pPr>
            <w:r>
              <w:rPr>
                <w:rFonts w:hint="eastAsia"/>
                <w:color w:val="auto"/>
                <w:highlight w:val="none"/>
              </w:rPr>
              <w:t>软件和信息技术服务业</w:t>
            </w:r>
          </w:p>
        </w:tc>
      </w:tr>
      <w:tr w14:paraId="10DF3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7" w:type="dxa"/>
            <w:vAlign w:val="center"/>
          </w:tcPr>
          <w:p w14:paraId="01D0689D">
            <w:pPr>
              <w:shd w:val="clear"/>
              <w:rPr>
                <w:rFonts w:hint="eastAsia"/>
                <w:color w:val="auto"/>
                <w:highlight w:val="none"/>
              </w:rPr>
            </w:pPr>
            <w:r>
              <w:rPr>
                <w:rFonts w:hint="eastAsia"/>
                <w:color w:val="auto"/>
                <w:highlight w:val="none"/>
              </w:rPr>
              <w:t>23</w:t>
            </w:r>
          </w:p>
        </w:tc>
        <w:tc>
          <w:tcPr>
            <w:tcW w:w="1274" w:type="dxa"/>
            <w:vAlign w:val="center"/>
          </w:tcPr>
          <w:p w14:paraId="7A799A1F">
            <w:pPr>
              <w:shd w:val="clear"/>
              <w:rPr>
                <w:rFonts w:hint="eastAsia"/>
                <w:color w:val="auto"/>
                <w:highlight w:val="none"/>
              </w:rPr>
            </w:pPr>
            <w:r>
              <w:rPr>
                <w:rFonts w:hint="eastAsia"/>
                <w:color w:val="auto"/>
                <w:highlight w:val="none"/>
              </w:rPr>
              <w:t>标准化考场系统考试保障服务</w:t>
            </w:r>
          </w:p>
        </w:tc>
        <w:tc>
          <w:tcPr>
            <w:tcW w:w="5181" w:type="dxa"/>
            <w:vAlign w:val="center"/>
          </w:tcPr>
          <w:p w14:paraId="0CA7F6C6">
            <w:pPr>
              <w:shd w:val="clear"/>
              <w:rPr>
                <w:rFonts w:hint="eastAsia"/>
                <w:color w:val="auto"/>
                <w:highlight w:val="none"/>
              </w:rPr>
            </w:pPr>
            <w:r>
              <w:rPr>
                <w:rFonts w:hint="eastAsia"/>
                <w:color w:val="auto"/>
                <w:highlight w:val="none"/>
              </w:rPr>
              <w:t>提供至少6次考试保障服务，每次考试至少提前2天到场开展巡检、联调工作，确保考前上下级互联互通、软硬件运行正常，主要包含：</w:t>
            </w:r>
          </w:p>
          <w:p w14:paraId="62282B12">
            <w:pPr>
              <w:shd w:val="clear"/>
              <w:rPr>
                <w:rFonts w:hint="eastAsia"/>
                <w:color w:val="auto"/>
                <w:highlight w:val="none"/>
              </w:rPr>
            </w:pPr>
            <w:r>
              <w:rPr>
                <w:rFonts w:hint="eastAsia"/>
                <w:color w:val="auto"/>
                <w:highlight w:val="none"/>
              </w:rPr>
              <w:t>1．标准化考场系统软硬件运行状态检测与联合调试，实现考点与上级的互联互通；</w:t>
            </w:r>
          </w:p>
          <w:p w14:paraId="44276239">
            <w:pPr>
              <w:shd w:val="clear"/>
              <w:rPr>
                <w:rFonts w:hint="eastAsia"/>
                <w:color w:val="auto"/>
                <w:highlight w:val="none"/>
              </w:rPr>
            </w:pPr>
            <w:r>
              <w:rPr>
                <w:rFonts w:hint="eastAsia"/>
                <w:color w:val="auto"/>
                <w:highlight w:val="none"/>
              </w:rPr>
              <w:t>2．指导大屏中控、信号屏蔽、录像配置、黑白名单配置、录像下载、OSD设置等各种考试相关操作，确保系统业务配置满足考试要求；</w:t>
            </w:r>
          </w:p>
          <w:p w14:paraId="28B38D5E">
            <w:pPr>
              <w:shd w:val="clear"/>
              <w:rPr>
                <w:rFonts w:hint="eastAsia"/>
                <w:color w:val="auto"/>
                <w:highlight w:val="none"/>
              </w:rPr>
            </w:pPr>
            <w:r>
              <w:rPr>
                <w:rFonts w:hint="eastAsia"/>
                <w:color w:val="auto"/>
                <w:highlight w:val="none"/>
              </w:rPr>
              <w:t>3．逐一调取考场，进行拉图测试、图像标签检测、图像质量检测、时间校准等，确保考点满足考试业务要求；</w:t>
            </w:r>
          </w:p>
          <w:p w14:paraId="7E7D1DB4">
            <w:pPr>
              <w:shd w:val="clear"/>
              <w:rPr>
                <w:rFonts w:hint="eastAsia"/>
                <w:color w:val="auto"/>
                <w:highlight w:val="none"/>
              </w:rPr>
            </w:pPr>
            <w:r>
              <w:rPr>
                <w:rFonts w:hint="eastAsia"/>
                <w:color w:val="auto"/>
                <w:highlight w:val="none"/>
              </w:rPr>
              <w:t>4．受理、处置各类软硬件异常，确保考前系统处于正常、稳定运行状态。</w:t>
            </w:r>
          </w:p>
          <w:p w14:paraId="7A805588">
            <w:pPr>
              <w:shd w:val="clear"/>
              <w:rPr>
                <w:rFonts w:hint="eastAsia"/>
                <w:color w:val="auto"/>
                <w:highlight w:val="none"/>
              </w:rPr>
            </w:pPr>
            <w:r>
              <w:rPr>
                <w:rFonts w:hint="eastAsia"/>
                <w:color w:val="auto"/>
                <w:highlight w:val="none"/>
              </w:rPr>
              <w:t>5．在考试期间，提供1名专业的运维人员现场值守，一旦出现异常、故障立即处置，保障考试顺利进行。</w:t>
            </w:r>
          </w:p>
          <w:p w14:paraId="1530533B">
            <w:pPr>
              <w:shd w:val="clear"/>
              <w:rPr>
                <w:rFonts w:hint="eastAsia"/>
                <w:color w:val="auto"/>
                <w:highlight w:val="none"/>
                <w:lang w:eastAsia="zh-CN"/>
              </w:rPr>
            </w:pPr>
            <w:r>
              <w:rPr>
                <w:rFonts w:hint="eastAsia"/>
                <w:color w:val="auto"/>
                <w:highlight w:val="none"/>
                <w:lang w:eastAsia="zh-CN"/>
              </w:rPr>
              <w:t>6．考试期间备机服务：提供核心备品备件，考前运送至交通职业技术学院，以便紧急情况下启用，快速恢复业务。</w:t>
            </w:r>
          </w:p>
        </w:tc>
        <w:tc>
          <w:tcPr>
            <w:tcW w:w="731" w:type="dxa"/>
            <w:vAlign w:val="center"/>
          </w:tcPr>
          <w:p w14:paraId="4810F49B">
            <w:pPr>
              <w:shd w:val="clear"/>
              <w:jc w:val="center"/>
              <w:rPr>
                <w:rFonts w:hint="eastAsia"/>
                <w:color w:val="auto"/>
                <w:highlight w:val="none"/>
              </w:rPr>
            </w:pPr>
            <w:r>
              <w:rPr>
                <w:rFonts w:hint="eastAsia"/>
                <w:color w:val="auto"/>
                <w:highlight w:val="none"/>
              </w:rPr>
              <w:t>1</w:t>
            </w:r>
          </w:p>
        </w:tc>
        <w:tc>
          <w:tcPr>
            <w:tcW w:w="725" w:type="dxa"/>
            <w:vAlign w:val="center"/>
          </w:tcPr>
          <w:p w14:paraId="5198AC92">
            <w:pPr>
              <w:shd w:val="clear"/>
              <w:jc w:val="center"/>
              <w:rPr>
                <w:rFonts w:hint="eastAsia"/>
                <w:color w:val="auto"/>
                <w:highlight w:val="none"/>
              </w:rPr>
            </w:pPr>
            <w:r>
              <w:rPr>
                <w:rFonts w:hint="eastAsia"/>
                <w:color w:val="auto"/>
                <w:highlight w:val="none"/>
              </w:rPr>
              <w:t>项</w:t>
            </w:r>
          </w:p>
        </w:tc>
        <w:tc>
          <w:tcPr>
            <w:tcW w:w="1155" w:type="dxa"/>
            <w:vAlign w:val="center"/>
          </w:tcPr>
          <w:p w14:paraId="5549C03B">
            <w:pPr>
              <w:shd w:val="clear"/>
              <w:jc w:val="center"/>
              <w:rPr>
                <w:rFonts w:hint="eastAsia"/>
                <w:color w:val="auto"/>
                <w:highlight w:val="none"/>
              </w:rPr>
            </w:pPr>
            <w:r>
              <w:rPr>
                <w:rFonts w:hint="eastAsia"/>
                <w:color w:val="auto"/>
                <w:highlight w:val="none"/>
              </w:rPr>
              <w:t>软件和信息技术服务业</w:t>
            </w:r>
          </w:p>
        </w:tc>
      </w:tr>
    </w:tbl>
    <w:p w14:paraId="1B309701">
      <w:pPr>
        <w:shd w:val="clear"/>
        <w:rPr>
          <w:rFonts w:hint="eastAsia"/>
          <w:color w:val="auto"/>
          <w:highlight w:val="none"/>
        </w:rPr>
      </w:pPr>
    </w:p>
    <w:p w14:paraId="77541EAA">
      <w:pPr>
        <w:shd w:val="clear"/>
        <w:rPr>
          <w:rFonts w:hint="eastAsia"/>
          <w:color w:val="auto"/>
          <w:highlight w:val="none"/>
        </w:rPr>
      </w:pPr>
    </w:p>
    <w:p w14:paraId="3BA5411A">
      <w:pPr>
        <w:shd w:val="clear"/>
        <w:rPr>
          <w:rFonts w:hint="eastAsia"/>
          <w:color w:val="auto"/>
          <w:highlight w:val="none"/>
        </w:rPr>
      </w:pPr>
    </w:p>
    <w:p w14:paraId="39E1E9D8">
      <w:pPr>
        <w:shd w:val="clear"/>
        <w:rPr>
          <w:rFonts w:hint="eastAsia"/>
          <w:color w:val="auto"/>
          <w:highlight w:val="none"/>
        </w:rPr>
      </w:pPr>
    </w:p>
    <w:p w14:paraId="0A8F80DC">
      <w:pPr>
        <w:shd w:val="clear"/>
        <w:rPr>
          <w:rFonts w:hint="eastAsia"/>
          <w:color w:val="auto"/>
          <w:highlight w:val="none"/>
        </w:rPr>
      </w:pPr>
    </w:p>
    <w:p w14:paraId="1A2EB146">
      <w:pPr>
        <w:shd w:val="clear"/>
        <w:rPr>
          <w:rFonts w:hint="eastAsia"/>
          <w:color w:val="auto"/>
          <w:highlight w:val="none"/>
        </w:rPr>
      </w:pPr>
    </w:p>
    <w:p w14:paraId="47697138">
      <w:pPr>
        <w:shd w:val="clear"/>
        <w:rPr>
          <w:rFonts w:hint="eastAsia"/>
          <w:color w:val="auto"/>
          <w:highlight w:val="none"/>
        </w:rPr>
      </w:pPr>
    </w:p>
    <w:p w14:paraId="3687EE4F">
      <w:pPr>
        <w:shd w:val="clear"/>
        <w:rPr>
          <w:rFonts w:hint="eastAsia"/>
          <w:color w:val="auto"/>
          <w:highlight w:val="none"/>
        </w:rPr>
      </w:pPr>
    </w:p>
    <w:p w14:paraId="682EF627">
      <w:pPr>
        <w:shd w:val="clear"/>
        <w:rPr>
          <w:rFonts w:hint="eastAsia"/>
          <w:color w:val="auto"/>
          <w:highlight w:val="none"/>
        </w:rPr>
      </w:pPr>
    </w:p>
    <w:p w14:paraId="3E44D03C">
      <w:pPr>
        <w:shd w:val="clear"/>
        <w:rPr>
          <w:rFonts w:hint="eastAsia"/>
          <w:color w:val="auto"/>
          <w:highlight w:val="none"/>
        </w:rPr>
      </w:pPr>
    </w:p>
    <w:p w14:paraId="628E2FDC">
      <w:pPr>
        <w:shd w:val="clear"/>
        <w:rPr>
          <w:rFonts w:hint="eastAsia"/>
          <w:color w:val="auto"/>
          <w:highlight w:val="none"/>
        </w:rPr>
      </w:pPr>
    </w:p>
    <w:p w14:paraId="68BBD4D5">
      <w:pPr>
        <w:shd w:val="clear"/>
        <w:rPr>
          <w:rFonts w:hint="eastAsia"/>
          <w:color w:val="auto"/>
          <w:highlight w:val="none"/>
        </w:rPr>
      </w:pPr>
    </w:p>
    <w:p w14:paraId="3D0EBA58">
      <w:pPr>
        <w:shd w:val="clear"/>
        <w:rPr>
          <w:rFonts w:hint="eastAsia"/>
          <w:color w:val="auto"/>
          <w:highlight w:val="none"/>
        </w:rPr>
      </w:pPr>
    </w:p>
    <w:p w14:paraId="4B04816B">
      <w:pPr>
        <w:shd w:val="clear"/>
        <w:rPr>
          <w:rFonts w:hint="eastAsia"/>
          <w:color w:val="auto"/>
          <w:highlight w:val="none"/>
        </w:rPr>
      </w:pPr>
    </w:p>
    <w:p w14:paraId="07165A39">
      <w:pPr>
        <w:shd w:val="clear"/>
        <w:rPr>
          <w:rFonts w:hint="eastAsia" w:ascii="宋体" w:hAnsi="宋体" w:eastAsia="宋体" w:cs="宋体"/>
          <w:b/>
          <w:bCs/>
          <w:color w:val="auto"/>
          <w:kern w:val="44"/>
          <w:sz w:val="36"/>
          <w:szCs w:val="36"/>
          <w:highlight w:val="none"/>
          <w:lang w:val="zh-CN"/>
        </w:rPr>
      </w:pPr>
    </w:p>
    <w:p w14:paraId="294C1916">
      <w:pPr>
        <w:shd w:val="clear"/>
        <w:spacing w:line="498" w:lineRule="atLeast"/>
        <w:jc w:val="center"/>
        <w:rPr>
          <w:rFonts w:hint="eastAsia" w:ascii="宋体" w:hAnsi="宋体" w:eastAsia="宋体" w:cs="宋体"/>
          <w:b/>
          <w:bCs/>
          <w:color w:val="auto"/>
          <w:kern w:val="44"/>
          <w:sz w:val="36"/>
          <w:szCs w:val="36"/>
          <w:highlight w:val="none"/>
          <w:lang w:val="zh-CN"/>
        </w:rPr>
      </w:pPr>
      <w:r>
        <w:rPr>
          <w:rFonts w:hint="eastAsia" w:ascii="宋体" w:hAnsi="宋体" w:eastAsia="宋体" w:cs="宋体"/>
          <w:b/>
          <w:bCs/>
          <w:color w:val="auto"/>
          <w:kern w:val="44"/>
          <w:sz w:val="36"/>
          <w:szCs w:val="36"/>
          <w:highlight w:val="none"/>
          <w:lang w:val="zh-CN"/>
        </w:rPr>
        <w:t>第</w:t>
      </w:r>
      <w:r>
        <w:rPr>
          <w:rFonts w:hint="eastAsia" w:ascii="宋体" w:hAnsi="宋体" w:eastAsia="宋体" w:cs="宋体"/>
          <w:b/>
          <w:bCs/>
          <w:color w:val="auto"/>
          <w:kern w:val="44"/>
          <w:sz w:val="36"/>
          <w:szCs w:val="36"/>
          <w:highlight w:val="none"/>
        </w:rPr>
        <w:t>六</w:t>
      </w:r>
      <w:r>
        <w:rPr>
          <w:rFonts w:hint="eastAsia" w:ascii="宋体" w:hAnsi="宋体" w:eastAsia="宋体" w:cs="宋体"/>
          <w:b/>
          <w:bCs/>
          <w:color w:val="auto"/>
          <w:kern w:val="44"/>
          <w:sz w:val="36"/>
          <w:szCs w:val="36"/>
          <w:highlight w:val="none"/>
          <w:lang w:val="zh-CN"/>
        </w:rPr>
        <w:t>章 磋商响应文件格式</w:t>
      </w:r>
    </w:p>
    <w:p w14:paraId="10D28403">
      <w:pPr>
        <w:shd w:val="clear"/>
        <w:spacing w:line="480" w:lineRule="auto"/>
        <w:jc w:val="center"/>
        <w:rPr>
          <w:rFonts w:hint="eastAsia" w:ascii="宋体" w:hAnsi="宋体" w:eastAsia="宋体" w:cs="宋体"/>
          <w:b/>
          <w:color w:val="auto"/>
          <w:sz w:val="40"/>
          <w:szCs w:val="40"/>
          <w:highlight w:val="none"/>
        </w:rPr>
      </w:pPr>
    </w:p>
    <w:p w14:paraId="5877BC8F">
      <w:pPr>
        <w:pStyle w:val="60"/>
        <w:shd w:val="clear"/>
        <w:ind w:left="0" w:leftChars="0" w:firstLine="0" w:firstLineChars="0"/>
        <w:jc w:val="center"/>
        <w:rPr>
          <w:rFonts w:hint="eastAsia" w:ascii="宋体" w:hAnsi="宋体" w:eastAsia="宋体" w:cs="宋体"/>
          <w:color w:val="auto"/>
          <w:sz w:val="36"/>
          <w:szCs w:val="44"/>
          <w:highlight w:val="none"/>
        </w:rPr>
      </w:pPr>
      <w:r>
        <w:rPr>
          <w:rFonts w:hint="eastAsia" w:ascii="宋体" w:hAnsi="宋体" w:eastAsia="宋体" w:cs="宋体"/>
          <w:color w:val="auto"/>
          <w:sz w:val="36"/>
          <w:szCs w:val="44"/>
          <w:highlight w:val="none"/>
        </w:rPr>
        <w:br w:type="page"/>
      </w:r>
    </w:p>
    <w:p w14:paraId="3CC2A2C1">
      <w:pPr>
        <w:pStyle w:val="60"/>
        <w:shd w:val="clear"/>
        <w:ind w:left="0" w:leftChars="0" w:firstLine="0" w:firstLineChars="0"/>
        <w:jc w:val="center"/>
        <w:rPr>
          <w:rFonts w:hint="eastAsia" w:ascii="宋体" w:hAnsi="宋体" w:eastAsia="宋体" w:cs="宋体"/>
          <w:color w:val="auto"/>
          <w:sz w:val="36"/>
          <w:szCs w:val="44"/>
          <w:highlight w:val="none"/>
        </w:rPr>
      </w:pPr>
    </w:p>
    <w:p w14:paraId="65E049E1">
      <w:pPr>
        <w:shd w:val="clear"/>
        <w:rPr>
          <w:rFonts w:hint="eastAsia" w:ascii="宋体" w:hAnsi="宋体" w:eastAsia="宋体" w:cs="宋体"/>
          <w:color w:val="auto"/>
          <w:sz w:val="36"/>
          <w:szCs w:val="44"/>
          <w:highlight w:val="none"/>
        </w:rPr>
      </w:pPr>
    </w:p>
    <w:p w14:paraId="4FA7652F">
      <w:pPr>
        <w:shd w:val="clear"/>
        <w:rPr>
          <w:rFonts w:hint="eastAsia" w:ascii="宋体" w:hAnsi="宋体" w:eastAsia="宋体" w:cs="宋体"/>
          <w:color w:val="auto"/>
          <w:sz w:val="36"/>
          <w:szCs w:val="44"/>
          <w:highlight w:val="none"/>
        </w:rPr>
      </w:pPr>
    </w:p>
    <w:p w14:paraId="0780E010">
      <w:pPr>
        <w:pStyle w:val="59"/>
        <w:shd w:val="clear"/>
        <w:jc w:val="center"/>
        <w:rPr>
          <w:rFonts w:hint="eastAsia" w:ascii="宋体" w:hAnsi="宋体" w:eastAsia="宋体" w:cs="宋体"/>
          <w:b/>
          <w:color w:val="auto"/>
          <w:sz w:val="40"/>
          <w:szCs w:val="40"/>
          <w:highlight w:val="none"/>
        </w:rPr>
      </w:pPr>
      <w:r>
        <w:rPr>
          <w:rFonts w:hint="eastAsia" w:ascii="宋体" w:hAnsi="宋体" w:eastAsia="宋体" w:cs="宋体"/>
          <w:b/>
          <w:color w:val="auto"/>
          <w:sz w:val="40"/>
          <w:szCs w:val="40"/>
          <w:highlight w:val="none"/>
        </w:rPr>
        <w:t>(项目名称)</w:t>
      </w:r>
    </w:p>
    <w:p w14:paraId="7D1F4FDE">
      <w:pPr>
        <w:pStyle w:val="59"/>
        <w:shd w:val="clear"/>
        <w:jc w:val="center"/>
        <w:rPr>
          <w:rFonts w:hint="eastAsia" w:ascii="宋体" w:hAnsi="宋体" w:eastAsia="宋体" w:cs="宋体"/>
          <w:b/>
          <w:color w:val="auto"/>
          <w:sz w:val="40"/>
          <w:szCs w:val="40"/>
          <w:highlight w:val="none"/>
        </w:rPr>
      </w:pPr>
    </w:p>
    <w:p w14:paraId="55558E03">
      <w:pPr>
        <w:pStyle w:val="59"/>
        <w:shd w:val="clear"/>
        <w:jc w:val="center"/>
        <w:rPr>
          <w:rFonts w:hint="eastAsia" w:ascii="宋体" w:hAnsi="宋体" w:eastAsia="宋体" w:cs="宋体"/>
          <w:b/>
          <w:color w:val="auto"/>
          <w:sz w:val="40"/>
          <w:szCs w:val="40"/>
          <w:highlight w:val="none"/>
        </w:rPr>
      </w:pPr>
    </w:p>
    <w:p w14:paraId="59A3ADB0">
      <w:pPr>
        <w:pStyle w:val="15"/>
        <w:shd w:val="clear"/>
        <w:rPr>
          <w:rFonts w:hint="eastAsia" w:ascii="宋体" w:hAnsi="宋体" w:eastAsia="宋体" w:cs="宋体"/>
          <w:color w:val="auto"/>
          <w:highlight w:val="none"/>
        </w:rPr>
      </w:pPr>
    </w:p>
    <w:p w14:paraId="16AED802">
      <w:pPr>
        <w:shd w:val="clear"/>
        <w:spacing w:line="360" w:lineRule="auto"/>
        <w:rPr>
          <w:rFonts w:hint="eastAsia" w:ascii="宋体" w:hAnsi="宋体" w:eastAsia="宋体" w:cs="宋体"/>
          <w:color w:val="auto"/>
          <w:sz w:val="20"/>
          <w:highlight w:val="none"/>
        </w:rPr>
      </w:pPr>
    </w:p>
    <w:p w14:paraId="6D089C34">
      <w:pPr>
        <w:shd w:val="clear"/>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72"/>
          <w:szCs w:val="72"/>
          <w:highlight w:val="none"/>
        </w:rPr>
        <w:t xml:space="preserve"> 磋商响应文件</w:t>
      </w:r>
    </w:p>
    <w:p w14:paraId="13F02912">
      <w:pPr>
        <w:shd w:val="clear"/>
        <w:spacing w:line="360" w:lineRule="auto"/>
        <w:jc w:val="center"/>
        <w:rPr>
          <w:rFonts w:hint="eastAsia" w:ascii="宋体" w:hAnsi="宋体" w:eastAsia="宋体" w:cs="宋体"/>
          <w:color w:val="auto"/>
          <w:sz w:val="72"/>
          <w:szCs w:val="72"/>
          <w:highlight w:val="none"/>
        </w:rPr>
      </w:pPr>
      <w:r>
        <w:rPr>
          <w:rFonts w:hint="eastAsia" w:ascii="宋体" w:hAnsi="宋体" w:eastAsia="宋体" w:cs="宋体"/>
          <w:color w:val="auto"/>
          <w:sz w:val="28"/>
          <w:szCs w:val="28"/>
          <w:highlight w:val="none"/>
        </w:rPr>
        <w:t>招标编号：</w:t>
      </w:r>
    </w:p>
    <w:p w14:paraId="31A1DD4D">
      <w:pPr>
        <w:shd w:val="clea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p w14:paraId="60CECB44">
      <w:pPr>
        <w:shd w:val="clear"/>
        <w:spacing w:line="360" w:lineRule="auto"/>
        <w:rPr>
          <w:rFonts w:hint="eastAsia" w:ascii="宋体" w:hAnsi="宋体" w:eastAsia="宋体" w:cs="宋体"/>
          <w:color w:val="auto"/>
          <w:sz w:val="28"/>
          <w:szCs w:val="28"/>
          <w:highlight w:val="none"/>
        </w:rPr>
      </w:pPr>
    </w:p>
    <w:p w14:paraId="7F57E7FA">
      <w:pPr>
        <w:shd w:val="clear"/>
        <w:spacing w:line="360" w:lineRule="auto"/>
        <w:rPr>
          <w:rFonts w:hint="eastAsia" w:ascii="宋体" w:hAnsi="宋体" w:eastAsia="宋体" w:cs="宋体"/>
          <w:color w:val="auto"/>
          <w:sz w:val="28"/>
          <w:szCs w:val="28"/>
          <w:highlight w:val="none"/>
        </w:rPr>
      </w:pPr>
    </w:p>
    <w:p w14:paraId="4BA826A3">
      <w:pPr>
        <w:shd w:val="clear"/>
        <w:spacing w:line="360" w:lineRule="auto"/>
        <w:rPr>
          <w:rFonts w:hint="eastAsia" w:ascii="宋体" w:hAnsi="宋体" w:eastAsia="宋体" w:cs="宋体"/>
          <w:color w:val="auto"/>
          <w:sz w:val="28"/>
          <w:szCs w:val="28"/>
          <w:highlight w:val="none"/>
        </w:rPr>
      </w:pPr>
    </w:p>
    <w:p w14:paraId="4C4AFF3B">
      <w:pPr>
        <w:shd w:val="clear"/>
        <w:spacing w:line="360" w:lineRule="auto"/>
        <w:rPr>
          <w:rFonts w:hint="eastAsia" w:ascii="宋体" w:hAnsi="宋体" w:eastAsia="宋体" w:cs="宋体"/>
          <w:color w:val="auto"/>
          <w:sz w:val="28"/>
          <w:szCs w:val="28"/>
          <w:highlight w:val="none"/>
        </w:rPr>
      </w:pPr>
    </w:p>
    <w:p w14:paraId="09E2D3C7">
      <w:pPr>
        <w:shd w:val="clear"/>
        <w:spacing w:line="360" w:lineRule="auto"/>
        <w:rPr>
          <w:rFonts w:hint="eastAsia" w:ascii="宋体" w:hAnsi="宋体" w:eastAsia="宋体" w:cs="宋体"/>
          <w:color w:val="auto"/>
          <w:sz w:val="28"/>
          <w:szCs w:val="28"/>
          <w:highlight w:val="none"/>
        </w:rPr>
      </w:pPr>
    </w:p>
    <w:p w14:paraId="29754C84">
      <w:pPr>
        <w:shd w:val="clear"/>
        <w:spacing w:line="360" w:lineRule="auto"/>
        <w:ind w:firstLine="980" w:firstLineChars="35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供应商</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（盖单位章）</w:t>
      </w:r>
    </w:p>
    <w:p w14:paraId="5FCBFB17">
      <w:pPr>
        <w:shd w:val="clear"/>
        <w:spacing w:line="360" w:lineRule="auto"/>
        <w:ind w:firstLine="980" w:firstLineChars="350"/>
        <w:rPr>
          <w:rFonts w:hint="eastAsia" w:ascii="宋体" w:hAnsi="宋体" w:eastAsia="宋体" w:cs="宋体"/>
          <w:color w:val="auto"/>
          <w:sz w:val="28"/>
          <w:szCs w:val="28"/>
          <w:highlight w:val="none"/>
          <w:u w:val="single"/>
        </w:rPr>
      </w:pPr>
    </w:p>
    <w:p w14:paraId="6A7ED93F">
      <w:pPr>
        <w:shd w:val="clear"/>
        <w:spacing w:line="360" w:lineRule="auto"/>
        <w:ind w:firstLine="840" w:firstLineChars="3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法定代表人或其委托代理人：</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（签字）</w:t>
      </w:r>
    </w:p>
    <w:p w14:paraId="61A8CDD5">
      <w:pPr>
        <w:shd w:val="clear"/>
        <w:spacing w:line="360" w:lineRule="auto"/>
        <w:ind w:firstLine="840" w:firstLineChars="300"/>
        <w:rPr>
          <w:rFonts w:hint="eastAsia" w:ascii="宋体" w:hAnsi="宋体" w:eastAsia="宋体" w:cs="宋体"/>
          <w:color w:val="auto"/>
          <w:sz w:val="28"/>
          <w:szCs w:val="28"/>
          <w:highlight w:val="none"/>
        </w:rPr>
      </w:pPr>
    </w:p>
    <w:p w14:paraId="7A991D53">
      <w:pPr>
        <w:shd w:val="clear"/>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月</w:t>
      </w:r>
      <w:r>
        <w:rPr>
          <w:rFonts w:hint="eastAsia" w:ascii="宋体" w:hAnsi="宋体" w:eastAsia="宋体" w:cs="宋体"/>
          <w:color w:val="auto"/>
          <w:sz w:val="28"/>
          <w:szCs w:val="28"/>
          <w:highlight w:val="none"/>
          <w:u w:val="single"/>
        </w:rPr>
        <w:t xml:space="preserve">        </w:t>
      </w:r>
      <w:r>
        <w:rPr>
          <w:rFonts w:hint="eastAsia" w:ascii="宋体" w:hAnsi="宋体" w:eastAsia="宋体" w:cs="宋体"/>
          <w:color w:val="auto"/>
          <w:sz w:val="28"/>
          <w:szCs w:val="28"/>
          <w:highlight w:val="none"/>
        </w:rPr>
        <w:t>日</w:t>
      </w:r>
    </w:p>
    <w:p w14:paraId="2C802E97">
      <w:pPr>
        <w:shd w:val="clear"/>
        <w:spacing w:line="360" w:lineRule="auto"/>
        <w:jc w:val="center"/>
        <w:rPr>
          <w:rFonts w:hint="eastAsia" w:ascii="宋体" w:hAnsi="宋体" w:eastAsia="宋体" w:cs="宋体"/>
          <w:color w:val="auto"/>
          <w:sz w:val="28"/>
          <w:szCs w:val="28"/>
          <w:highlight w:val="none"/>
        </w:rPr>
      </w:pPr>
    </w:p>
    <w:p w14:paraId="2454DD93">
      <w:pPr>
        <w:shd w:val="clear"/>
        <w:spacing w:line="360" w:lineRule="auto"/>
        <w:jc w:val="center"/>
        <w:rPr>
          <w:rFonts w:hint="eastAsia" w:ascii="宋体" w:hAnsi="宋体" w:eastAsia="宋体" w:cs="宋体"/>
          <w:color w:val="auto"/>
          <w:sz w:val="28"/>
          <w:szCs w:val="28"/>
          <w:highlight w:val="none"/>
        </w:rPr>
      </w:pPr>
    </w:p>
    <w:bookmarkEnd w:id="32"/>
    <w:p w14:paraId="0D13AAAB">
      <w:pPr>
        <w:pStyle w:val="4"/>
        <w:numPr>
          <w:ilvl w:val="0"/>
          <w:numId w:val="0"/>
        </w:numPr>
        <w:shd w:val="clear"/>
        <w:spacing w:line="240" w:lineRule="auto"/>
        <w:ind w:leftChars="0"/>
        <w:jc w:val="center"/>
        <w:rPr>
          <w:rFonts w:hint="eastAsia" w:ascii="宋体" w:hAnsi="宋体" w:eastAsia="宋体" w:cs="宋体"/>
          <w:color w:val="auto"/>
          <w:highlight w:val="none"/>
        </w:rPr>
      </w:pPr>
      <w:bookmarkStart w:id="54" w:name="_Toc365956993"/>
    </w:p>
    <w:p w14:paraId="1D587B72">
      <w:pPr>
        <w:pStyle w:val="4"/>
        <w:numPr>
          <w:ilvl w:val="0"/>
          <w:numId w:val="0"/>
        </w:numPr>
        <w:shd w:val="clear"/>
        <w:spacing w:line="240" w:lineRule="auto"/>
        <w:ind w:leftChars="0"/>
        <w:jc w:val="center"/>
        <w:rPr>
          <w:rFonts w:hint="eastAsia" w:ascii="宋体" w:hAnsi="宋体" w:eastAsia="宋体" w:cs="宋体"/>
          <w:color w:val="auto"/>
          <w:highlight w:val="none"/>
        </w:rPr>
      </w:pPr>
      <w:r>
        <w:rPr>
          <w:rFonts w:hint="eastAsia" w:ascii="宋体" w:hAnsi="宋体" w:eastAsia="宋体" w:cs="宋体"/>
          <w:color w:val="auto"/>
          <w:highlight w:val="none"/>
        </w:rPr>
        <w:t>目  录</w:t>
      </w:r>
      <w:bookmarkEnd w:id="54"/>
    </w:p>
    <w:p w14:paraId="6815E7EA">
      <w:pPr>
        <w:shd w:val="clear"/>
        <w:spacing w:line="360" w:lineRule="auto"/>
        <w:jc w:val="both"/>
        <w:rPr>
          <w:rFonts w:hint="eastAsia" w:ascii="宋体" w:hAnsi="宋体" w:eastAsia="宋体" w:cs="宋体"/>
          <w:color w:val="auto"/>
          <w:highlight w:val="none"/>
          <w:lang w:val="en-US" w:eastAsia="zh-CN"/>
        </w:rPr>
      </w:pPr>
    </w:p>
    <w:p w14:paraId="0FE331F0">
      <w:pPr>
        <w:shd w:val="clear"/>
        <w:spacing w:line="360" w:lineRule="auto"/>
        <w:jc w:val="both"/>
        <w:rPr>
          <w:rFonts w:hint="eastAsia" w:ascii="宋体" w:hAnsi="宋体" w:eastAsia="宋体" w:cs="宋体"/>
          <w:color w:val="auto"/>
          <w:highlight w:val="none"/>
          <w:lang w:val="en-US" w:eastAsia="zh-CN"/>
        </w:rPr>
      </w:pPr>
    </w:p>
    <w:p w14:paraId="1853604B">
      <w:pPr>
        <w:shd w:val="clear"/>
        <w:spacing w:line="360" w:lineRule="auto"/>
        <w:jc w:val="left"/>
        <w:rPr>
          <w:rFonts w:hint="eastAsia" w:ascii="宋体" w:hAnsi="宋体" w:eastAsia="宋体" w:cs="宋体"/>
          <w:b/>
          <w:color w:val="auto"/>
          <w:sz w:val="24"/>
          <w:szCs w:val="28"/>
          <w:highlight w:val="none"/>
        </w:rPr>
      </w:pPr>
      <w:r>
        <w:rPr>
          <w:rFonts w:hint="eastAsia" w:ascii="宋体" w:hAnsi="宋体" w:eastAsia="宋体" w:cs="宋体"/>
          <w:color w:val="auto"/>
          <w:sz w:val="24"/>
          <w:szCs w:val="32"/>
          <w:highlight w:val="none"/>
          <w:lang w:val="en-US" w:eastAsia="zh-CN"/>
        </w:rPr>
        <w:t xml:space="preserve">  格式自拟</w:t>
      </w:r>
      <w:r>
        <w:rPr>
          <w:rFonts w:hint="eastAsia" w:ascii="宋体" w:hAnsi="宋体" w:eastAsia="宋体" w:cs="宋体"/>
          <w:b/>
          <w:color w:val="auto"/>
          <w:sz w:val="24"/>
          <w:szCs w:val="28"/>
          <w:highlight w:val="none"/>
        </w:rPr>
        <w:br w:type="page"/>
      </w:r>
    </w:p>
    <w:p w14:paraId="7BE770E2">
      <w:pPr>
        <w:shd w:val="clear"/>
        <w:spacing w:line="360" w:lineRule="auto"/>
        <w:jc w:val="left"/>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格式一</w:t>
      </w:r>
    </w:p>
    <w:p w14:paraId="1121AA0F">
      <w:pPr>
        <w:shd w:val="clear"/>
        <w:spacing w:line="360" w:lineRule="auto"/>
        <w:jc w:val="center"/>
        <w:rPr>
          <w:rFonts w:hint="eastAsia" w:ascii="宋体" w:hAnsi="宋体" w:eastAsia="宋体" w:cs="宋体"/>
          <w:b/>
          <w:color w:val="auto"/>
          <w:sz w:val="24"/>
          <w:szCs w:val="28"/>
          <w:highlight w:val="none"/>
        </w:rPr>
      </w:pPr>
      <w:r>
        <w:rPr>
          <w:rFonts w:hint="eastAsia" w:ascii="宋体" w:hAnsi="宋体" w:eastAsia="宋体" w:cs="宋体"/>
          <w:b/>
          <w:bCs/>
          <w:color w:val="auto"/>
          <w:sz w:val="24"/>
          <w:szCs w:val="28"/>
          <w:highlight w:val="none"/>
        </w:rPr>
        <w:t>报价一览表（格式）</w:t>
      </w:r>
    </w:p>
    <w:p w14:paraId="2ABE3795">
      <w:pPr>
        <w:shd w:val="clea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项目名称：</w:t>
      </w:r>
      <w:r>
        <w:rPr>
          <w:rFonts w:hint="eastAsia" w:ascii="宋体" w:hAnsi="宋体" w:eastAsia="宋体" w:cs="宋体"/>
          <w:bCs/>
          <w:color w:val="auto"/>
          <w:sz w:val="24"/>
          <w:highlight w:val="none"/>
          <w:u w:val="single"/>
        </w:rPr>
        <w:t xml:space="preserve">    </w:t>
      </w:r>
      <w:r>
        <w:rPr>
          <w:rFonts w:hint="eastAsia" w:ascii="宋体" w:hAnsi="宋体" w:cs="宋体"/>
          <w:bCs/>
          <w:color w:val="auto"/>
          <w:sz w:val="24"/>
          <w:highlight w:val="none"/>
          <w:u w:val="single"/>
          <w:lang w:val="en-US" w:eastAsia="zh-CN"/>
        </w:rPr>
        <w:t xml:space="preserve">   </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            </w:t>
      </w:r>
    </w:p>
    <w:p w14:paraId="6A578ECC">
      <w:pPr>
        <w:shd w:val="clea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项目编号：</w:t>
      </w:r>
    </w:p>
    <w:p w14:paraId="583B4443">
      <w:pPr>
        <w:shd w:val="clea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时间：     年  月  日                                  货币单位:</w:t>
      </w:r>
      <w:r>
        <w:rPr>
          <w:rFonts w:hint="eastAsia" w:ascii="宋体" w:hAnsi="宋体" w:eastAsia="宋体" w:cs="宋体"/>
          <w:b/>
          <w:bCs/>
          <w:i/>
          <w:color w:val="auto"/>
          <w:sz w:val="24"/>
          <w:highlight w:val="none"/>
          <w:u w:val="single"/>
        </w:rPr>
        <w:t>元</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3059"/>
        <w:gridCol w:w="1414"/>
        <w:gridCol w:w="1572"/>
        <w:gridCol w:w="1223"/>
        <w:gridCol w:w="798"/>
      </w:tblGrid>
      <w:tr w14:paraId="3177D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1" w:hRule="atLeast"/>
        </w:trPr>
        <w:tc>
          <w:tcPr>
            <w:tcW w:w="831" w:type="dxa"/>
            <w:noWrap w:val="0"/>
            <w:vAlign w:val="center"/>
          </w:tcPr>
          <w:p w14:paraId="124FA7D4">
            <w:pPr>
              <w:shd w:val="clea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序号</w:t>
            </w:r>
          </w:p>
        </w:tc>
        <w:tc>
          <w:tcPr>
            <w:tcW w:w="3059" w:type="dxa"/>
            <w:noWrap w:val="0"/>
            <w:vAlign w:val="center"/>
          </w:tcPr>
          <w:p w14:paraId="3AC0656F">
            <w:pPr>
              <w:shd w:val="clea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投标单位</w:t>
            </w:r>
          </w:p>
        </w:tc>
        <w:tc>
          <w:tcPr>
            <w:tcW w:w="1414" w:type="dxa"/>
            <w:noWrap w:val="0"/>
            <w:vAlign w:val="center"/>
          </w:tcPr>
          <w:p w14:paraId="235F748E">
            <w:pPr>
              <w:shd w:val="clea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投标报价</w:t>
            </w:r>
          </w:p>
        </w:tc>
        <w:tc>
          <w:tcPr>
            <w:tcW w:w="1572" w:type="dxa"/>
            <w:noWrap w:val="0"/>
            <w:vAlign w:val="center"/>
          </w:tcPr>
          <w:p w14:paraId="6BFBDB56">
            <w:pPr>
              <w:shd w:val="clea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质量标准</w:t>
            </w:r>
          </w:p>
        </w:tc>
        <w:tc>
          <w:tcPr>
            <w:tcW w:w="1223" w:type="dxa"/>
            <w:noWrap w:val="0"/>
            <w:vAlign w:val="center"/>
          </w:tcPr>
          <w:p w14:paraId="5AF24BAB">
            <w:pPr>
              <w:shd w:val="clear"/>
              <w:spacing w:line="36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合同履行期限</w:t>
            </w:r>
          </w:p>
        </w:tc>
        <w:tc>
          <w:tcPr>
            <w:tcW w:w="798" w:type="dxa"/>
            <w:noWrap w:val="0"/>
            <w:vAlign w:val="center"/>
          </w:tcPr>
          <w:p w14:paraId="1C734D3B">
            <w:pPr>
              <w:shd w:val="clear"/>
              <w:spacing w:line="360"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说明</w:t>
            </w:r>
          </w:p>
        </w:tc>
      </w:tr>
      <w:tr w14:paraId="0BE3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6" w:hRule="exact"/>
        </w:trPr>
        <w:tc>
          <w:tcPr>
            <w:tcW w:w="831" w:type="dxa"/>
            <w:noWrap w:val="0"/>
            <w:vAlign w:val="top"/>
          </w:tcPr>
          <w:p w14:paraId="2B463502">
            <w:pPr>
              <w:shd w:val="clear"/>
              <w:spacing w:line="360" w:lineRule="auto"/>
              <w:rPr>
                <w:rFonts w:hint="eastAsia" w:ascii="宋体" w:hAnsi="宋体" w:eastAsia="宋体" w:cs="宋体"/>
                <w:bCs/>
                <w:color w:val="auto"/>
                <w:sz w:val="24"/>
                <w:highlight w:val="none"/>
              </w:rPr>
            </w:pPr>
          </w:p>
        </w:tc>
        <w:tc>
          <w:tcPr>
            <w:tcW w:w="3059" w:type="dxa"/>
            <w:noWrap w:val="0"/>
            <w:vAlign w:val="top"/>
          </w:tcPr>
          <w:p w14:paraId="46439580">
            <w:pPr>
              <w:shd w:val="clear"/>
              <w:spacing w:line="360" w:lineRule="auto"/>
              <w:rPr>
                <w:rFonts w:hint="eastAsia" w:ascii="宋体" w:hAnsi="宋体" w:eastAsia="宋体" w:cs="宋体"/>
                <w:bCs/>
                <w:color w:val="auto"/>
                <w:sz w:val="24"/>
                <w:highlight w:val="none"/>
              </w:rPr>
            </w:pPr>
          </w:p>
        </w:tc>
        <w:tc>
          <w:tcPr>
            <w:tcW w:w="1414" w:type="dxa"/>
            <w:noWrap w:val="0"/>
            <w:vAlign w:val="top"/>
          </w:tcPr>
          <w:p w14:paraId="641DF74F">
            <w:pPr>
              <w:shd w:val="clear"/>
              <w:spacing w:line="360" w:lineRule="auto"/>
              <w:rPr>
                <w:rFonts w:hint="eastAsia" w:ascii="宋体" w:hAnsi="宋体" w:eastAsia="宋体" w:cs="宋体"/>
                <w:bCs/>
                <w:color w:val="auto"/>
                <w:sz w:val="24"/>
                <w:highlight w:val="none"/>
              </w:rPr>
            </w:pPr>
          </w:p>
        </w:tc>
        <w:tc>
          <w:tcPr>
            <w:tcW w:w="1572" w:type="dxa"/>
            <w:noWrap w:val="0"/>
            <w:vAlign w:val="top"/>
          </w:tcPr>
          <w:p w14:paraId="73AE0B90">
            <w:pPr>
              <w:shd w:val="clear"/>
              <w:spacing w:line="360" w:lineRule="auto"/>
              <w:rPr>
                <w:rFonts w:hint="eastAsia" w:ascii="宋体" w:hAnsi="宋体" w:eastAsia="宋体" w:cs="宋体"/>
                <w:bCs/>
                <w:color w:val="auto"/>
                <w:sz w:val="24"/>
                <w:highlight w:val="none"/>
              </w:rPr>
            </w:pPr>
          </w:p>
        </w:tc>
        <w:tc>
          <w:tcPr>
            <w:tcW w:w="1223" w:type="dxa"/>
            <w:noWrap w:val="0"/>
            <w:vAlign w:val="top"/>
          </w:tcPr>
          <w:p w14:paraId="4640BF60">
            <w:pPr>
              <w:shd w:val="clear"/>
              <w:spacing w:line="360" w:lineRule="auto"/>
              <w:rPr>
                <w:rFonts w:hint="eastAsia" w:ascii="宋体" w:hAnsi="宋体" w:eastAsia="宋体" w:cs="宋体"/>
                <w:bCs/>
                <w:color w:val="auto"/>
                <w:sz w:val="24"/>
                <w:highlight w:val="none"/>
              </w:rPr>
            </w:pPr>
          </w:p>
        </w:tc>
        <w:tc>
          <w:tcPr>
            <w:tcW w:w="798" w:type="dxa"/>
            <w:noWrap w:val="0"/>
            <w:vAlign w:val="top"/>
          </w:tcPr>
          <w:p w14:paraId="7BBE107D">
            <w:pPr>
              <w:shd w:val="clear"/>
              <w:spacing w:line="360" w:lineRule="auto"/>
              <w:rPr>
                <w:rFonts w:hint="eastAsia" w:ascii="宋体" w:hAnsi="宋体" w:eastAsia="宋体" w:cs="宋体"/>
                <w:bCs/>
                <w:color w:val="auto"/>
                <w:sz w:val="24"/>
                <w:highlight w:val="none"/>
              </w:rPr>
            </w:pPr>
          </w:p>
        </w:tc>
      </w:tr>
    </w:tbl>
    <w:p w14:paraId="3A6105B0">
      <w:pPr>
        <w:shd w:val="clear"/>
        <w:spacing w:line="360" w:lineRule="auto"/>
        <w:rPr>
          <w:rFonts w:hint="eastAsia" w:ascii="宋体" w:hAnsi="宋体" w:eastAsia="宋体" w:cs="宋体"/>
          <w:color w:val="auto"/>
          <w:sz w:val="24"/>
          <w:highlight w:val="none"/>
        </w:rPr>
      </w:pPr>
    </w:p>
    <w:p w14:paraId="527481B4">
      <w:pPr>
        <w:shd w:val="clea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p w14:paraId="694A308F">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1.本“报价一览表”用于记录时使用。</w:t>
      </w:r>
    </w:p>
    <w:p w14:paraId="4EDEBF5F">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2.此表中的各项内容应与响应文件的相应内容一致，如不一致以</w:t>
      </w:r>
      <w:r>
        <w:rPr>
          <w:rFonts w:hint="eastAsia" w:ascii="宋体" w:hAnsi="宋体" w:cs="宋体"/>
          <w:color w:val="auto"/>
          <w:sz w:val="24"/>
          <w:highlight w:val="none"/>
          <w:lang w:val="en-US" w:eastAsia="zh-CN"/>
        </w:rPr>
        <w:t>电子标系统中</w:t>
      </w:r>
      <w:r>
        <w:rPr>
          <w:rFonts w:hint="eastAsia" w:ascii="宋体" w:hAnsi="宋体" w:eastAsia="宋体" w:cs="宋体"/>
          <w:color w:val="auto"/>
          <w:sz w:val="24"/>
          <w:highlight w:val="none"/>
        </w:rPr>
        <w:t xml:space="preserve">报价一览表内容为准。                   </w:t>
      </w:r>
    </w:p>
    <w:p w14:paraId="62344647">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此表可根据需要自行拉长加宽。</w:t>
      </w:r>
    </w:p>
    <w:p w14:paraId="0E47540C">
      <w:pPr>
        <w:pStyle w:val="32"/>
        <w:shd w:val="clear"/>
        <w:spacing w:line="360" w:lineRule="auto"/>
        <w:outlineLvl w:val="0"/>
        <w:rPr>
          <w:rFonts w:hint="eastAsia" w:ascii="宋体" w:hAnsi="宋体" w:eastAsia="宋体" w:cs="宋体"/>
          <w:color w:val="auto"/>
          <w:highlight w:val="none"/>
        </w:rPr>
      </w:pPr>
    </w:p>
    <w:p w14:paraId="7DF4B7A8">
      <w:pPr>
        <w:pStyle w:val="32"/>
        <w:shd w:val="clear"/>
        <w:spacing w:line="360" w:lineRule="auto"/>
        <w:outlineLvl w:val="0"/>
        <w:rPr>
          <w:rFonts w:hint="eastAsia" w:ascii="宋体" w:hAnsi="宋体" w:eastAsia="宋体" w:cs="宋体"/>
          <w:color w:val="auto"/>
          <w:highlight w:val="none"/>
        </w:rPr>
      </w:pPr>
    </w:p>
    <w:p w14:paraId="228C1DF3">
      <w:pPr>
        <w:pStyle w:val="32"/>
        <w:shd w:val="clear"/>
        <w:spacing w:line="360" w:lineRule="auto"/>
        <w:outlineLvl w:val="0"/>
        <w:rPr>
          <w:rFonts w:hint="eastAsia" w:ascii="宋体" w:hAnsi="宋体" w:eastAsia="宋体" w:cs="宋体"/>
          <w:color w:val="auto"/>
          <w:highlight w:val="none"/>
        </w:rPr>
      </w:pPr>
    </w:p>
    <w:p w14:paraId="1386345B">
      <w:pPr>
        <w:pStyle w:val="32"/>
        <w:shd w:val="clear"/>
        <w:spacing w:line="360" w:lineRule="auto"/>
        <w:outlineLvl w:val="0"/>
        <w:rPr>
          <w:rFonts w:hint="eastAsia" w:ascii="宋体" w:hAnsi="宋体" w:eastAsia="宋体" w:cs="宋体"/>
          <w:color w:val="auto"/>
          <w:highlight w:val="none"/>
        </w:rPr>
      </w:pPr>
    </w:p>
    <w:p w14:paraId="055C7C0E">
      <w:pPr>
        <w:shd w:val="clear"/>
        <w:autoSpaceDE w:val="0"/>
        <w:autoSpaceDN w:val="0"/>
        <w:adjustRightInd w:val="0"/>
        <w:spacing w:line="300" w:lineRule="auto"/>
        <w:ind w:firstLine="240" w:firstLineChars="100"/>
        <w:jc w:val="left"/>
        <w:rPr>
          <w:rFonts w:hint="eastAsia" w:ascii="宋体" w:hAnsi="宋体" w:eastAsia="宋体" w:cs="宋体"/>
          <w:bCs/>
          <w:color w:val="auto"/>
          <w:sz w:val="24"/>
          <w:highlight w:val="none"/>
          <w:u w:val="single"/>
          <w:lang w:val="zh-CN"/>
        </w:rPr>
      </w:pPr>
      <w:r>
        <w:rPr>
          <w:rFonts w:hint="eastAsia" w:ascii="宋体" w:hAnsi="宋体" w:eastAsia="宋体" w:cs="宋体"/>
          <w:color w:val="auto"/>
          <w:sz w:val="24"/>
          <w:highlight w:val="none"/>
          <w:u w:val="none"/>
          <w:lang w:val="en-US" w:eastAsia="zh-CN"/>
        </w:rPr>
        <w:t>供应商</w:t>
      </w:r>
      <w:r>
        <w:rPr>
          <w:rFonts w:hint="eastAsia" w:ascii="宋体" w:hAnsi="宋体" w:eastAsia="宋体" w:cs="宋体"/>
          <w:bCs/>
          <w:color w:val="auto"/>
          <w:sz w:val="24"/>
          <w:highlight w:val="none"/>
          <w:lang w:val="zh-CN"/>
        </w:rPr>
        <w:t>：</w:t>
      </w:r>
      <w:r>
        <w:rPr>
          <w:rFonts w:hint="eastAsia" w:ascii="宋体" w:hAnsi="宋体" w:eastAsia="宋体" w:cs="宋体"/>
          <w:bCs/>
          <w:color w:val="auto"/>
          <w:sz w:val="24"/>
          <w:highlight w:val="none"/>
          <w:u w:val="single"/>
          <w:lang w:val="zh-CN"/>
        </w:rPr>
        <w:t xml:space="preserve">                            </w:t>
      </w:r>
      <w:r>
        <w:rPr>
          <w:rFonts w:hint="eastAsia" w:ascii="宋体" w:hAnsi="宋体" w:eastAsia="宋体" w:cs="宋体"/>
          <w:bCs/>
          <w:color w:val="auto"/>
          <w:sz w:val="24"/>
          <w:highlight w:val="none"/>
          <w:lang w:val="zh-CN"/>
        </w:rPr>
        <w:t>(盖单位章)</w:t>
      </w:r>
    </w:p>
    <w:p w14:paraId="15CA1B6D">
      <w:pPr>
        <w:shd w:val="clear"/>
        <w:autoSpaceDE w:val="0"/>
        <w:autoSpaceDN w:val="0"/>
        <w:adjustRightInd w:val="0"/>
        <w:spacing w:line="300" w:lineRule="auto"/>
        <w:ind w:firstLine="240" w:firstLineChars="100"/>
        <w:jc w:val="left"/>
        <w:rPr>
          <w:rFonts w:hint="eastAsia"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法定代表人：</w:t>
      </w:r>
      <w:r>
        <w:rPr>
          <w:rFonts w:hint="eastAsia" w:ascii="宋体" w:hAnsi="宋体" w:eastAsia="宋体" w:cs="宋体"/>
          <w:bCs/>
          <w:color w:val="auto"/>
          <w:sz w:val="24"/>
          <w:highlight w:val="none"/>
          <w:u w:val="single"/>
          <w:lang w:val="zh-CN"/>
        </w:rPr>
        <w:t xml:space="preserve">                       </w:t>
      </w:r>
      <w:r>
        <w:rPr>
          <w:rFonts w:hint="eastAsia" w:ascii="宋体" w:hAnsi="宋体" w:eastAsia="宋体" w:cs="宋体"/>
          <w:bCs/>
          <w:color w:val="auto"/>
          <w:sz w:val="24"/>
          <w:highlight w:val="none"/>
          <w:lang w:val="zh-CN"/>
        </w:rPr>
        <w:t>（盖章）</w:t>
      </w:r>
    </w:p>
    <w:p w14:paraId="70AC0908">
      <w:pPr>
        <w:shd w:val="clear"/>
        <w:autoSpaceDE w:val="0"/>
        <w:autoSpaceDN w:val="0"/>
        <w:adjustRightInd w:val="0"/>
        <w:spacing w:line="300" w:lineRule="auto"/>
        <w:ind w:firstLine="240" w:firstLineChars="100"/>
        <w:jc w:val="left"/>
        <w:rPr>
          <w:rFonts w:hint="eastAsia" w:ascii="宋体" w:hAnsi="宋体" w:eastAsia="宋体" w:cs="宋体"/>
          <w:bCs/>
          <w:color w:val="auto"/>
          <w:sz w:val="24"/>
          <w:highlight w:val="none"/>
          <w:lang w:val="zh-CN"/>
        </w:rPr>
      </w:pPr>
      <w:r>
        <w:rPr>
          <w:rFonts w:hint="eastAsia" w:ascii="宋体" w:hAnsi="宋体" w:eastAsia="宋体" w:cs="宋体"/>
          <w:bCs/>
          <w:color w:val="auto"/>
          <w:sz w:val="24"/>
          <w:highlight w:val="none"/>
          <w:lang w:val="zh-CN"/>
        </w:rPr>
        <w:t>委托代理人：</w:t>
      </w:r>
      <w:r>
        <w:rPr>
          <w:rFonts w:hint="eastAsia" w:ascii="宋体" w:hAnsi="宋体" w:eastAsia="宋体" w:cs="宋体"/>
          <w:bCs/>
          <w:color w:val="auto"/>
          <w:sz w:val="24"/>
          <w:highlight w:val="none"/>
          <w:u w:val="single"/>
          <w:lang w:val="zh-CN"/>
        </w:rPr>
        <w:t xml:space="preserve">                       </w:t>
      </w:r>
      <w:r>
        <w:rPr>
          <w:rFonts w:hint="eastAsia" w:ascii="宋体" w:hAnsi="宋体" w:eastAsia="宋体" w:cs="宋体"/>
          <w:bCs/>
          <w:color w:val="auto"/>
          <w:sz w:val="24"/>
          <w:highlight w:val="none"/>
          <w:lang w:val="zh-CN"/>
        </w:rPr>
        <w:t>（签字或盖章）</w:t>
      </w:r>
    </w:p>
    <w:p w14:paraId="5D212175">
      <w:pPr>
        <w:pStyle w:val="32"/>
        <w:shd w:val="clear"/>
        <w:spacing w:line="360" w:lineRule="auto"/>
        <w:outlineLvl w:val="0"/>
        <w:rPr>
          <w:rFonts w:hint="eastAsia" w:ascii="宋体" w:hAnsi="宋体" w:eastAsia="宋体" w:cs="宋体"/>
          <w:color w:val="auto"/>
          <w:szCs w:val="24"/>
          <w:highlight w:val="none"/>
        </w:rPr>
      </w:pPr>
      <w:r>
        <w:rPr>
          <w:rFonts w:hint="eastAsia" w:ascii="宋体" w:hAnsi="宋体" w:eastAsia="宋体" w:cs="宋体"/>
          <w:bCs/>
          <w:color w:val="auto"/>
          <w:szCs w:val="24"/>
          <w:highlight w:val="none"/>
          <w:lang w:val="zh-CN"/>
        </w:rPr>
        <w:t>　日　期：　　年　　月　　　日</w:t>
      </w:r>
    </w:p>
    <w:p w14:paraId="653BE643">
      <w:pPr>
        <w:pStyle w:val="32"/>
        <w:shd w:val="clear"/>
        <w:spacing w:line="360" w:lineRule="auto"/>
        <w:outlineLvl w:val="0"/>
        <w:rPr>
          <w:rFonts w:hint="eastAsia" w:ascii="宋体" w:hAnsi="宋体" w:eastAsia="宋体" w:cs="宋体"/>
          <w:color w:val="auto"/>
          <w:highlight w:val="none"/>
        </w:rPr>
      </w:pPr>
    </w:p>
    <w:p w14:paraId="62AA319B">
      <w:pPr>
        <w:shd w:val="clear"/>
        <w:rPr>
          <w:rFonts w:hint="eastAsia" w:ascii="宋体" w:hAnsi="宋体" w:eastAsia="宋体" w:cs="宋体"/>
          <w:color w:val="auto"/>
          <w:highlight w:val="none"/>
        </w:rPr>
      </w:pPr>
    </w:p>
    <w:p w14:paraId="7B461D76">
      <w:pPr>
        <w:shd w:val="clea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DC45CFD">
      <w:pPr>
        <w:shd w:val="clear"/>
        <w:spacing w:line="360" w:lineRule="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格式二：</w:t>
      </w:r>
    </w:p>
    <w:p w14:paraId="778078B0">
      <w:pPr>
        <w:pStyle w:val="32"/>
        <w:shd w:val="clear"/>
        <w:spacing w:line="360" w:lineRule="auto"/>
        <w:jc w:val="center"/>
        <w:outlineLvl w:val="0"/>
        <w:rPr>
          <w:rFonts w:hint="eastAsia" w:ascii="宋体" w:hAnsi="宋体" w:eastAsia="宋体" w:cs="宋体"/>
          <w:b/>
          <w:bCs/>
          <w:color w:val="auto"/>
          <w:szCs w:val="28"/>
          <w:highlight w:val="none"/>
        </w:rPr>
      </w:pPr>
      <w:r>
        <w:rPr>
          <w:rFonts w:hint="eastAsia" w:ascii="宋体" w:hAnsi="宋体" w:eastAsia="宋体" w:cs="宋体"/>
          <w:b/>
          <w:bCs/>
          <w:color w:val="auto"/>
          <w:szCs w:val="28"/>
          <w:highlight w:val="none"/>
        </w:rPr>
        <w:t>投标函（格式）</w:t>
      </w:r>
    </w:p>
    <w:p w14:paraId="74F2ECB8">
      <w:pPr>
        <w:shd w:val="clear"/>
        <w:autoSpaceDE w:val="0"/>
        <w:autoSpaceDN w:val="0"/>
        <w:adjustRightInd w:val="0"/>
        <w:spacing w:line="480" w:lineRule="auto"/>
        <w:jc w:val="left"/>
        <w:rPr>
          <w:rFonts w:ascii="宋体" w:hAnsi="宋体"/>
          <w:color w:val="auto"/>
          <w:kern w:val="0"/>
          <w:szCs w:val="21"/>
          <w:highlight w:val="none"/>
        </w:rPr>
      </w:pPr>
      <w:r>
        <w:rPr>
          <w:rFonts w:ascii="宋体" w:hAnsi="宋体"/>
          <w:color w:val="auto"/>
          <w:kern w:val="0"/>
          <w:szCs w:val="21"/>
          <w:highlight w:val="none"/>
          <w:u w:val="single"/>
        </w:rPr>
        <w:t xml:space="preserve">                   </w:t>
      </w:r>
      <w:r>
        <w:rPr>
          <w:rFonts w:ascii="宋体" w:hAnsi="宋体"/>
          <w:color w:val="auto"/>
          <w:kern w:val="0"/>
          <w:szCs w:val="21"/>
          <w:highlight w:val="none"/>
        </w:rPr>
        <w:t>(</w:t>
      </w:r>
      <w:r>
        <w:rPr>
          <w:rFonts w:hint="eastAsia" w:ascii="宋体" w:hAnsi="宋体"/>
          <w:color w:val="auto"/>
          <w:kern w:val="0"/>
          <w:szCs w:val="21"/>
          <w:highlight w:val="none"/>
        </w:rPr>
        <w:t>采购</w:t>
      </w:r>
      <w:r>
        <w:rPr>
          <w:rFonts w:ascii="宋体" w:hAnsi="宋体"/>
          <w:color w:val="auto"/>
          <w:kern w:val="0"/>
          <w:szCs w:val="21"/>
          <w:highlight w:val="none"/>
        </w:rPr>
        <w:t>人名称)：</w:t>
      </w:r>
    </w:p>
    <w:p w14:paraId="32645148">
      <w:pPr>
        <w:shd w:val="clear"/>
        <w:spacing w:line="480" w:lineRule="auto"/>
        <w:ind w:firstLine="420" w:firstLineChars="200"/>
        <w:rPr>
          <w:rFonts w:ascii="宋体" w:hAnsi="宋体"/>
          <w:bCs/>
          <w:color w:val="auto"/>
          <w:szCs w:val="21"/>
          <w:highlight w:val="none"/>
          <w:lang w:val="zh-CN"/>
        </w:rPr>
      </w:pPr>
      <w:r>
        <w:rPr>
          <w:rFonts w:ascii="宋体" w:hAnsi="宋体"/>
          <w:color w:val="auto"/>
          <w:kern w:val="0"/>
          <w:szCs w:val="21"/>
          <w:highlight w:val="none"/>
        </w:rPr>
        <w:t>1.我方已仔细研究了</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lang w:eastAsia="zh-CN"/>
        </w:rPr>
        <w:t>项目名称</w:t>
      </w:r>
      <w:r>
        <w:rPr>
          <w:rFonts w:ascii="宋体" w:hAnsi="宋体"/>
          <w:color w:val="auto"/>
          <w:kern w:val="0"/>
          <w:szCs w:val="21"/>
          <w:highlight w:val="none"/>
          <w:u w:val="single"/>
        </w:rPr>
        <w:t>)</w:t>
      </w:r>
      <w:r>
        <w:rPr>
          <w:rFonts w:hint="eastAsia" w:ascii="宋体" w:hAnsi="宋体"/>
          <w:color w:val="auto"/>
          <w:kern w:val="0"/>
          <w:szCs w:val="21"/>
          <w:highlight w:val="none"/>
        </w:rPr>
        <w:t>磋商</w:t>
      </w:r>
      <w:r>
        <w:rPr>
          <w:rFonts w:ascii="宋体" w:hAnsi="宋体"/>
          <w:color w:val="auto"/>
          <w:kern w:val="0"/>
          <w:szCs w:val="21"/>
          <w:highlight w:val="none"/>
        </w:rPr>
        <w:t>文件的全部内容，我方愿按采购要求</w:t>
      </w:r>
      <w:r>
        <w:rPr>
          <w:rFonts w:hint="eastAsia" w:ascii="宋体" w:hAnsi="宋体"/>
          <w:color w:val="auto"/>
          <w:kern w:val="0"/>
          <w:szCs w:val="21"/>
          <w:highlight w:val="none"/>
        </w:rPr>
        <w:t>的合同履行期限：</w:t>
      </w:r>
      <w:r>
        <w:rPr>
          <w:rFonts w:ascii="宋体" w:hAnsi="宋体"/>
          <w:bCs/>
          <w:color w:val="auto"/>
          <w:szCs w:val="21"/>
          <w:highlight w:val="none"/>
          <w:u w:val="single"/>
          <w:lang w:val="zh-CN"/>
        </w:rPr>
        <w:t xml:space="preserve">      </w:t>
      </w:r>
      <w:r>
        <w:rPr>
          <w:rFonts w:hint="eastAsia" w:ascii="宋体" w:hAnsi="宋体"/>
          <w:bCs/>
          <w:color w:val="auto"/>
          <w:szCs w:val="21"/>
          <w:highlight w:val="none"/>
          <w:u w:val="single"/>
          <w:lang w:val="zh-CN"/>
        </w:rPr>
        <w:t xml:space="preserve"> </w:t>
      </w:r>
      <w:r>
        <w:rPr>
          <w:rFonts w:ascii="宋体" w:hAnsi="宋体"/>
          <w:bCs/>
          <w:color w:val="auto"/>
          <w:szCs w:val="21"/>
          <w:highlight w:val="none"/>
          <w:u w:val="single"/>
          <w:lang w:val="zh-CN"/>
        </w:rPr>
        <w:t xml:space="preserve">  </w:t>
      </w:r>
      <w:r>
        <w:rPr>
          <w:rFonts w:hint="eastAsia" w:ascii="宋体" w:hAnsi="宋体"/>
          <w:bCs/>
          <w:color w:val="auto"/>
          <w:szCs w:val="21"/>
          <w:highlight w:val="none"/>
          <w:lang w:val="zh-CN"/>
        </w:rPr>
        <w:t>，</w:t>
      </w:r>
      <w:r>
        <w:rPr>
          <w:rFonts w:hint="eastAsia" w:ascii="宋体" w:hAnsi="宋体" w:eastAsia="宋体" w:cs="宋体"/>
          <w:color w:val="auto"/>
          <w:highlight w:val="none"/>
        </w:rPr>
        <w:t>质量标准：</w:t>
      </w:r>
      <w:r>
        <w:rPr>
          <w:rFonts w:ascii="宋体" w:hAnsi="宋体"/>
          <w:bCs/>
          <w:color w:val="auto"/>
          <w:szCs w:val="21"/>
          <w:highlight w:val="none"/>
          <w:u w:val="single"/>
          <w:lang w:val="zh-CN"/>
        </w:rPr>
        <w:t xml:space="preserve">    </w:t>
      </w:r>
      <w:r>
        <w:rPr>
          <w:rFonts w:hint="eastAsia" w:ascii="宋体" w:hAnsi="宋体"/>
          <w:bCs/>
          <w:color w:val="auto"/>
          <w:szCs w:val="21"/>
          <w:highlight w:val="none"/>
          <w:u w:val="single"/>
          <w:lang w:val="zh-CN"/>
        </w:rPr>
        <w:t xml:space="preserve"> </w:t>
      </w:r>
      <w:r>
        <w:rPr>
          <w:rFonts w:ascii="宋体" w:hAnsi="宋体"/>
          <w:bCs/>
          <w:color w:val="auto"/>
          <w:szCs w:val="21"/>
          <w:highlight w:val="none"/>
          <w:u w:val="single"/>
          <w:lang w:val="zh-CN"/>
        </w:rPr>
        <w:t xml:space="preserve">    </w:t>
      </w:r>
      <w:r>
        <w:rPr>
          <w:rFonts w:hint="eastAsia" w:ascii="宋体" w:hAnsi="宋体"/>
          <w:bCs/>
          <w:color w:val="auto"/>
          <w:szCs w:val="21"/>
          <w:highlight w:val="none"/>
          <w:lang w:val="zh-CN"/>
        </w:rPr>
        <w:t>，</w:t>
      </w:r>
      <w:r>
        <w:rPr>
          <w:rFonts w:hint="eastAsia" w:ascii="宋体" w:hAnsi="宋体"/>
          <w:bCs/>
          <w:color w:val="auto"/>
          <w:szCs w:val="21"/>
          <w:highlight w:val="none"/>
          <w:lang w:val="en-US" w:eastAsia="zh-CN"/>
        </w:rPr>
        <w:t>磋商</w:t>
      </w:r>
      <w:r>
        <w:rPr>
          <w:rFonts w:hint="eastAsia" w:ascii="宋体" w:hAnsi="宋体"/>
          <w:bCs/>
          <w:color w:val="auto"/>
          <w:szCs w:val="21"/>
          <w:highlight w:val="none"/>
          <w:lang w:val="zh-CN"/>
        </w:rPr>
        <w:t>报价为</w:t>
      </w:r>
      <w:r>
        <w:rPr>
          <w:rFonts w:hint="eastAsia" w:ascii="宋体" w:hAnsi="宋体"/>
          <w:bCs/>
          <w:color w:val="auto"/>
          <w:szCs w:val="21"/>
          <w:highlight w:val="none"/>
          <w:u w:val="single"/>
          <w:lang w:val="zh-CN"/>
        </w:rPr>
        <w:t xml:space="preserve">  </w:t>
      </w:r>
      <w:r>
        <w:rPr>
          <w:rFonts w:ascii="宋体" w:hAnsi="宋体"/>
          <w:bCs/>
          <w:color w:val="auto"/>
          <w:szCs w:val="21"/>
          <w:highlight w:val="none"/>
          <w:u w:val="single"/>
          <w:lang w:val="zh-CN"/>
        </w:rPr>
        <w:t xml:space="preserve"> </w:t>
      </w:r>
      <w:r>
        <w:rPr>
          <w:rFonts w:hint="eastAsia" w:ascii="宋体" w:hAnsi="宋体"/>
          <w:bCs/>
          <w:color w:val="auto"/>
          <w:szCs w:val="21"/>
          <w:highlight w:val="none"/>
          <w:u w:val="single"/>
          <w:lang w:val="zh-CN"/>
        </w:rPr>
        <w:t xml:space="preserve">  </w:t>
      </w:r>
      <w:r>
        <w:rPr>
          <w:rFonts w:ascii="宋体" w:hAnsi="宋体"/>
          <w:bCs/>
          <w:color w:val="auto"/>
          <w:szCs w:val="21"/>
          <w:highlight w:val="none"/>
          <w:u w:val="single"/>
          <w:lang w:val="zh-CN"/>
        </w:rPr>
        <w:t xml:space="preserve">   </w:t>
      </w:r>
      <w:r>
        <w:rPr>
          <w:rFonts w:hint="eastAsia" w:ascii="宋体" w:hAnsi="宋体"/>
          <w:bCs/>
          <w:color w:val="auto"/>
          <w:szCs w:val="21"/>
          <w:highlight w:val="none"/>
          <w:lang w:val="zh-CN"/>
        </w:rPr>
        <w:t>元</w:t>
      </w:r>
      <w:r>
        <w:rPr>
          <w:rFonts w:ascii="宋体" w:hAnsi="宋体"/>
          <w:color w:val="auto"/>
          <w:kern w:val="0"/>
          <w:szCs w:val="21"/>
          <w:highlight w:val="none"/>
        </w:rPr>
        <w:t>，按合同约定实施和完成上述</w:t>
      </w:r>
      <w:r>
        <w:rPr>
          <w:rFonts w:hint="eastAsia" w:ascii="宋体" w:hAnsi="宋体"/>
          <w:color w:val="auto"/>
          <w:kern w:val="0"/>
          <w:szCs w:val="21"/>
          <w:highlight w:val="none"/>
        </w:rPr>
        <w:t>竞争性磋商</w:t>
      </w:r>
      <w:r>
        <w:rPr>
          <w:rFonts w:ascii="宋体" w:hAnsi="宋体"/>
          <w:color w:val="auto"/>
          <w:kern w:val="0"/>
          <w:szCs w:val="21"/>
          <w:highlight w:val="none"/>
        </w:rPr>
        <w:t>项目。</w:t>
      </w:r>
    </w:p>
    <w:p w14:paraId="46F840F0">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2.我方承诺在</w:t>
      </w:r>
      <w:r>
        <w:rPr>
          <w:rFonts w:hint="eastAsia" w:ascii="宋体" w:hAnsi="宋体"/>
          <w:color w:val="auto"/>
          <w:kern w:val="0"/>
          <w:szCs w:val="21"/>
          <w:highlight w:val="none"/>
        </w:rPr>
        <w:t>响应</w:t>
      </w:r>
      <w:r>
        <w:rPr>
          <w:rFonts w:ascii="宋体" w:hAnsi="宋体"/>
          <w:color w:val="auto"/>
          <w:kern w:val="0"/>
          <w:szCs w:val="21"/>
          <w:highlight w:val="none"/>
        </w:rPr>
        <w:t>有效期</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u w:val="single"/>
          <w:lang w:val="en-US" w:eastAsia="zh-CN"/>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rPr>
        <w:t>天内不修改、撤销</w:t>
      </w:r>
      <w:r>
        <w:rPr>
          <w:rFonts w:hint="eastAsia" w:ascii="宋体" w:hAnsi="宋体"/>
          <w:color w:val="auto"/>
          <w:kern w:val="0"/>
          <w:szCs w:val="21"/>
          <w:highlight w:val="none"/>
        </w:rPr>
        <w:t>响应</w:t>
      </w:r>
      <w:r>
        <w:rPr>
          <w:rFonts w:ascii="宋体" w:hAnsi="宋体"/>
          <w:color w:val="auto"/>
          <w:kern w:val="0"/>
          <w:szCs w:val="21"/>
          <w:highlight w:val="none"/>
        </w:rPr>
        <w:t>文件。</w:t>
      </w:r>
    </w:p>
    <w:p w14:paraId="45DA3008">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3.如我方</w:t>
      </w:r>
      <w:r>
        <w:rPr>
          <w:rFonts w:hint="eastAsia" w:ascii="宋体" w:hAnsi="宋体"/>
          <w:color w:val="auto"/>
          <w:kern w:val="0"/>
          <w:szCs w:val="21"/>
          <w:highlight w:val="none"/>
        </w:rPr>
        <w:t>为成交供应商</w:t>
      </w:r>
      <w:r>
        <w:rPr>
          <w:rFonts w:ascii="宋体" w:hAnsi="宋体"/>
          <w:color w:val="auto"/>
          <w:kern w:val="0"/>
          <w:szCs w:val="21"/>
          <w:highlight w:val="none"/>
        </w:rPr>
        <w:t>：</w:t>
      </w:r>
    </w:p>
    <w:p w14:paraId="75C1256C">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（1）</w:t>
      </w:r>
      <w:r>
        <w:rPr>
          <w:rFonts w:ascii="宋体" w:hAnsi="宋体"/>
          <w:color w:val="auto"/>
          <w:kern w:val="0"/>
          <w:szCs w:val="21"/>
          <w:highlight w:val="none"/>
        </w:rPr>
        <w:t>我方承诺在收到</w:t>
      </w:r>
      <w:r>
        <w:rPr>
          <w:rFonts w:hint="eastAsia" w:ascii="宋体" w:hAnsi="宋体"/>
          <w:color w:val="auto"/>
          <w:kern w:val="0"/>
          <w:szCs w:val="21"/>
          <w:highlight w:val="none"/>
        </w:rPr>
        <w:t>成交</w:t>
      </w:r>
      <w:r>
        <w:rPr>
          <w:rFonts w:ascii="宋体" w:hAnsi="宋体"/>
          <w:color w:val="auto"/>
          <w:kern w:val="0"/>
          <w:szCs w:val="21"/>
          <w:highlight w:val="none"/>
        </w:rPr>
        <w:t>通知书后，在</w:t>
      </w:r>
      <w:r>
        <w:rPr>
          <w:rFonts w:hint="eastAsia" w:ascii="宋体" w:hAnsi="宋体"/>
          <w:color w:val="auto"/>
          <w:kern w:val="0"/>
          <w:szCs w:val="21"/>
          <w:highlight w:val="none"/>
        </w:rPr>
        <w:t>成交</w:t>
      </w:r>
      <w:r>
        <w:rPr>
          <w:rFonts w:ascii="宋体" w:hAnsi="宋体"/>
          <w:color w:val="auto"/>
          <w:kern w:val="0"/>
          <w:szCs w:val="21"/>
          <w:highlight w:val="none"/>
        </w:rPr>
        <w:t>通知书规定的期限内与你方签订合同，并遵守合同中关于权利和义务的约定；</w:t>
      </w:r>
    </w:p>
    <w:p w14:paraId="18F458C2">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hint="eastAsia" w:ascii="宋体" w:hAnsi="宋体"/>
          <w:color w:val="auto"/>
          <w:kern w:val="0"/>
          <w:szCs w:val="21"/>
          <w:highlight w:val="none"/>
        </w:rPr>
        <w:t>（2）</w:t>
      </w:r>
      <w:r>
        <w:rPr>
          <w:rFonts w:ascii="宋体" w:hAnsi="宋体"/>
          <w:color w:val="auto"/>
          <w:kern w:val="0"/>
          <w:szCs w:val="21"/>
          <w:highlight w:val="none"/>
        </w:rPr>
        <w:t>我方承诺按照</w:t>
      </w:r>
      <w:r>
        <w:rPr>
          <w:rFonts w:hint="eastAsia" w:ascii="宋体" w:hAnsi="宋体"/>
          <w:color w:val="auto"/>
          <w:kern w:val="0"/>
          <w:szCs w:val="21"/>
          <w:highlight w:val="none"/>
        </w:rPr>
        <w:t>磋商</w:t>
      </w:r>
      <w:r>
        <w:rPr>
          <w:rFonts w:ascii="宋体" w:hAnsi="宋体"/>
          <w:color w:val="auto"/>
          <w:kern w:val="0"/>
          <w:szCs w:val="21"/>
          <w:highlight w:val="none"/>
        </w:rPr>
        <w:t>文件中规定的采购需求在合同约定的期限内，完成并移交全部合同内容。</w:t>
      </w:r>
    </w:p>
    <w:p w14:paraId="49C768B0">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5.我方在此声明，所递交的</w:t>
      </w:r>
      <w:r>
        <w:rPr>
          <w:rFonts w:hint="eastAsia" w:ascii="宋体" w:hAnsi="宋体"/>
          <w:color w:val="auto"/>
          <w:kern w:val="0"/>
          <w:szCs w:val="21"/>
          <w:highlight w:val="none"/>
        </w:rPr>
        <w:t>响应</w:t>
      </w:r>
      <w:r>
        <w:rPr>
          <w:rFonts w:ascii="宋体" w:hAnsi="宋体"/>
          <w:color w:val="auto"/>
          <w:kern w:val="0"/>
          <w:szCs w:val="21"/>
          <w:highlight w:val="none"/>
        </w:rPr>
        <w:t>文件及有关资料内容完整、真实和准确。</w:t>
      </w:r>
    </w:p>
    <w:p w14:paraId="1E931DEB">
      <w:pPr>
        <w:shd w:val="clear"/>
        <w:autoSpaceDE w:val="0"/>
        <w:autoSpaceDN w:val="0"/>
        <w:adjustRightInd w:val="0"/>
        <w:spacing w:line="480" w:lineRule="auto"/>
        <w:ind w:firstLine="420" w:firstLineChars="200"/>
        <w:jc w:val="left"/>
        <w:rPr>
          <w:rFonts w:ascii="宋体" w:hAnsi="宋体"/>
          <w:color w:val="auto"/>
          <w:kern w:val="0"/>
          <w:szCs w:val="21"/>
          <w:highlight w:val="none"/>
        </w:rPr>
      </w:pPr>
      <w:r>
        <w:rPr>
          <w:rFonts w:ascii="宋体" w:hAnsi="宋体"/>
          <w:color w:val="auto"/>
          <w:kern w:val="0"/>
          <w:szCs w:val="21"/>
          <w:highlight w:val="none"/>
        </w:rPr>
        <w:t>6．</w:t>
      </w:r>
      <w:r>
        <w:rPr>
          <w:rFonts w:ascii="宋体" w:hAnsi="宋体"/>
          <w:color w:val="auto"/>
          <w:kern w:val="0"/>
          <w:szCs w:val="21"/>
          <w:highlight w:val="none"/>
          <w:u w:val="single"/>
        </w:rPr>
        <w:t xml:space="preserve">                                </w:t>
      </w:r>
      <w:r>
        <w:rPr>
          <w:rFonts w:ascii="宋体" w:hAnsi="宋体"/>
          <w:color w:val="auto"/>
          <w:kern w:val="0"/>
          <w:szCs w:val="21"/>
          <w:highlight w:val="none"/>
        </w:rPr>
        <w:t>(其他补充说明)。</w:t>
      </w:r>
    </w:p>
    <w:p w14:paraId="574A1FA5">
      <w:pPr>
        <w:shd w:val="clear"/>
        <w:autoSpaceDE w:val="0"/>
        <w:autoSpaceDN w:val="0"/>
        <w:adjustRightInd w:val="0"/>
        <w:spacing w:line="500" w:lineRule="exact"/>
        <w:ind w:firstLine="480" w:firstLineChars="200"/>
        <w:jc w:val="left"/>
        <w:rPr>
          <w:rFonts w:hint="eastAsia" w:ascii="宋体" w:hAnsi="宋体" w:cs="宋体"/>
          <w:color w:val="auto"/>
          <w:kern w:val="0"/>
          <w:sz w:val="24"/>
          <w:szCs w:val="24"/>
          <w:highlight w:val="none"/>
        </w:rPr>
      </w:pPr>
    </w:p>
    <w:p w14:paraId="2409AA05">
      <w:pPr>
        <w:shd w:val="clear"/>
        <w:autoSpaceDE w:val="0"/>
        <w:autoSpaceDN w:val="0"/>
        <w:adjustRightInd w:val="0"/>
        <w:spacing w:line="500" w:lineRule="exact"/>
        <w:jc w:val="left"/>
        <w:rPr>
          <w:rFonts w:hint="eastAsia" w:ascii="宋体" w:hAnsi="宋体" w:cs="宋体"/>
          <w:color w:val="auto"/>
          <w:kern w:val="0"/>
          <w:sz w:val="24"/>
          <w:szCs w:val="24"/>
          <w:highlight w:val="none"/>
        </w:rPr>
      </w:pPr>
    </w:p>
    <w:p w14:paraId="46A86566">
      <w:pPr>
        <w:shd w:val="clear"/>
        <w:autoSpaceDE w:val="0"/>
        <w:autoSpaceDN w:val="0"/>
        <w:adjustRightInd w:val="0"/>
        <w:spacing w:line="480" w:lineRule="auto"/>
        <w:jc w:val="right"/>
        <w:rPr>
          <w:rFonts w:ascii="宋体" w:hAnsi="宋体"/>
          <w:color w:val="auto"/>
          <w:kern w:val="0"/>
          <w:szCs w:val="21"/>
          <w:highlight w:val="none"/>
        </w:rPr>
      </w:pPr>
      <w:r>
        <w:rPr>
          <w:rFonts w:hint="eastAsia" w:ascii="宋体" w:hAnsi="宋体"/>
          <w:color w:val="auto"/>
          <w:kern w:val="0"/>
          <w:szCs w:val="21"/>
          <w:highlight w:val="none"/>
        </w:rPr>
        <w:t>供应商</w:t>
      </w:r>
      <w:r>
        <w:rPr>
          <w:rFonts w:ascii="宋体" w:hAnsi="宋体"/>
          <w:color w:val="auto"/>
          <w:kern w:val="0"/>
          <w:szCs w:val="21"/>
          <w:highlight w:val="none"/>
        </w:rPr>
        <w:t>：</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ascii="宋体" w:hAnsi="宋体"/>
          <w:color w:val="auto"/>
          <w:kern w:val="0"/>
          <w:szCs w:val="21"/>
          <w:highlight w:val="none"/>
        </w:rPr>
        <w:t>(盖单位章)</w:t>
      </w:r>
    </w:p>
    <w:p w14:paraId="23720CAF">
      <w:pPr>
        <w:shd w:val="clear"/>
        <w:autoSpaceDE w:val="0"/>
        <w:autoSpaceDN w:val="0"/>
        <w:adjustRightInd w:val="0"/>
        <w:spacing w:line="480" w:lineRule="auto"/>
        <w:jc w:val="right"/>
        <w:rPr>
          <w:rFonts w:ascii="宋体" w:hAnsi="宋体"/>
          <w:color w:val="auto"/>
          <w:kern w:val="0"/>
          <w:szCs w:val="21"/>
          <w:highlight w:val="none"/>
        </w:rPr>
      </w:pPr>
      <w:r>
        <w:rPr>
          <w:rFonts w:ascii="宋体" w:hAnsi="宋体"/>
          <w:color w:val="auto"/>
          <w:kern w:val="0"/>
          <w:szCs w:val="21"/>
          <w:highlight w:val="none"/>
        </w:rPr>
        <w:t>法定代表人或其授权委托代理人：</w:t>
      </w:r>
      <w:r>
        <w:rPr>
          <w:rFonts w:ascii="宋体" w:hAnsi="宋体"/>
          <w:color w:val="auto"/>
          <w:kern w:val="0"/>
          <w:szCs w:val="21"/>
          <w:highlight w:val="none"/>
          <w:u w:val="single"/>
        </w:rPr>
        <w:t xml:space="preserve">              </w:t>
      </w:r>
      <w:r>
        <w:rPr>
          <w:rFonts w:ascii="宋体" w:hAnsi="宋体"/>
          <w:color w:val="auto"/>
          <w:kern w:val="0"/>
          <w:szCs w:val="21"/>
          <w:highlight w:val="none"/>
        </w:rPr>
        <w:t>(签字)</w:t>
      </w:r>
    </w:p>
    <w:p w14:paraId="160DC555">
      <w:pPr>
        <w:shd w:val="clear"/>
        <w:autoSpaceDE w:val="0"/>
        <w:autoSpaceDN w:val="0"/>
        <w:adjustRightInd w:val="0"/>
        <w:spacing w:line="480" w:lineRule="auto"/>
        <w:ind w:firstLine="3826" w:firstLineChars="1822"/>
        <w:jc w:val="left"/>
        <w:rPr>
          <w:rFonts w:ascii="宋体" w:hAnsi="宋体"/>
          <w:color w:val="auto"/>
          <w:kern w:val="0"/>
          <w:szCs w:val="21"/>
          <w:highlight w:val="none"/>
        </w:rPr>
      </w:pPr>
      <w:r>
        <w:rPr>
          <w:rFonts w:ascii="宋体" w:hAnsi="宋体"/>
          <w:color w:val="auto"/>
          <w:kern w:val="0"/>
          <w:szCs w:val="21"/>
          <w:highlight w:val="none"/>
        </w:rPr>
        <w:t>地    址：</w:t>
      </w:r>
      <w:r>
        <w:rPr>
          <w:rFonts w:ascii="宋体" w:hAnsi="宋体"/>
          <w:color w:val="auto"/>
          <w:kern w:val="0"/>
          <w:szCs w:val="21"/>
          <w:highlight w:val="none"/>
          <w:u w:val="single"/>
        </w:rPr>
        <w:t xml:space="preserve">                                        </w:t>
      </w:r>
    </w:p>
    <w:p w14:paraId="5C69018A">
      <w:pPr>
        <w:shd w:val="clear"/>
        <w:autoSpaceDE w:val="0"/>
        <w:autoSpaceDN w:val="0"/>
        <w:adjustRightInd w:val="0"/>
        <w:spacing w:line="480" w:lineRule="auto"/>
        <w:ind w:firstLine="3826" w:firstLineChars="1822"/>
        <w:jc w:val="left"/>
        <w:rPr>
          <w:rFonts w:ascii="宋体" w:hAnsi="宋体"/>
          <w:color w:val="auto"/>
          <w:kern w:val="0"/>
          <w:szCs w:val="21"/>
          <w:highlight w:val="none"/>
        </w:rPr>
      </w:pPr>
      <w:r>
        <w:rPr>
          <w:rFonts w:ascii="宋体" w:hAnsi="宋体"/>
          <w:color w:val="auto"/>
          <w:kern w:val="0"/>
          <w:szCs w:val="21"/>
          <w:highlight w:val="none"/>
        </w:rPr>
        <w:t>网    址：</w:t>
      </w:r>
      <w:r>
        <w:rPr>
          <w:rFonts w:ascii="宋体" w:hAnsi="宋体"/>
          <w:color w:val="auto"/>
          <w:kern w:val="0"/>
          <w:szCs w:val="21"/>
          <w:highlight w:val="none"/>
          <w:u w:val="single"/>
        </w:rPr>
        <w:t xml:space="preserve">                                        </w:t>
      </w:r>
    </w:p>
    <w:p w14:paraId="5282B2CA">
      <w:pPr>
        <w:shd w:val="clear"/>
        <w:autoSpaceDE w:val="0"/>
        <w:autoSpaceDN w:val="0"/>
        <w:adjustRightInd w:val="0"/>
        <w:spacing w:line="480" w:lineRule="auto"/>
        <w:ind w:firstLine="3826" w:firstLineChars="1822"/>
        <w:jc w:val="left"/>
        <w:rPr>
          <w:rFonts w:ascii="宋体" w:hAnsi="宋体"/>
          <w:color w:val="auto"/>
          <w:kern w:val="0"/>
          <w:szCs w:val="21"/>
          <w:highlight w:val="none"/>
        </w:rPr>
      </w:pPr>
      <w:r>
        <w:rPr>
          <w:rFonts w:ascii="宋体" w:hAnsi="宋体"/>
          <w:color w:val="auto"/>
          <w:kern w:val="0"/>
          <w:szCs w:val="21"/>
          <w:highlight w:val="none"/>
        </w:rPr>
        <w:t>电    话：</w:t>
      </w:r>
      <w:r>
        <w:rPr>
          <w:rFonts w:ascii="宋体" w:hAnsi="宋体"/>
          <w:color w:val="auto"/>
          <w:kern w:val="0"/>
          <w:szCs w:val="21"/>
          <w:highlight w:val="none"/>
          <w:u w:val="single"/>
        </w:rPr>
        <w:t xml:space="preserve">                                        </w:t>
      </w:r>
    </w:p>
    <w:p w14:paraId="4FA3A28E">
      <w:pPr>
        <w:shd w:val="clear"/>
        <w:autoSpaceDE w:val="0"/>
        <w:autoSpaceDN w:val="0"/>
        <w:adjustRightInd w:val="0"/>
        <w:spacing w:line="480" w:lineRule="auto"/>
        <w:ind w:firstLine="3826" w:firstLineChars="1822"/>
        <w:jc w:val="left"/>
        <w:rPr>
          <w:rFonts w:ascii="宋体" w:hAnsi="宋体"/>
          <w:color w:val="auto"/>
          <w:kern w:val="0"/>
          <w:szCs w:val="21"/>
          <w:highlight w:val="none"/>
        </w:rPr>
      </w:pPr>
      <w:r>
        <w:rPr>
          <w:rFonts w:ascii="宋体" w:hAnsi="宋体"/>
          <w:color w:val="auto"/>
          <w:kern w:val="0"/>
          <w:szCs w:val="21"/>
          <w:highlight w:val="none"/>
        </w:rPr>
        <w:t>传    真：</w:t>
      </w:r>
      <w:r>
        <w:rPr>
          <w:rFonts w:ascii="宋体" w:hAnsi="宋体"/>
          <w:color w:val="auto"/>
          <w:kern w:val="0"/>
          <w:szCs w:val="21"/>
          <w:highlight w:val="none"/>
          <w:u w:val="single"/>
        </w:rPr>
        <w:t xml:space="preserve">                                        </w:t>
      </w:r>
    </w:p>
    <w:p w14:paraId="0EF73114">
      <w:pPr>
        <w:shd w:val="clear"/>
        <w:autoSpaceDE w:val="0"/>
        <w:autoSpaceDN w:val="0"/>
        <w:adjustRightInd w:val="0"/>
        <w:spacing w:line="480" w:lineRule="auto"/>
        <w:ind w:firstLine="3826" w:firstLineChars="1822"/>
        <w:jc w:val="left"/>
        <w:rPr>
          <w:rFonts w:ascii="宋体" w:hAnsi="宋体"/>
          <w:color w:val="auto"/>
          <w:kern w:val="0"/>
          <w:szCs w:val="21"/>
          <w:highlight w:val="none"/>
        </w:rPr>
      </w:pPr>
      <w:r>
        <w:rPr>
          <w:rFonts w:ascii="宋体" w:hAnsi="宋体"/>
          <w:color w:val="auto"/>
          <w:kern w:val="0"/>
          <w:szCs w:val="21"/>
          <w:highlight w:val="none"/>
        </w:rPr>
        <w:t>邮政编码：</w:t>
      </w:r>
      <w:r>
        <w:rPr>
          <w:rFonts w:ascii="宋体" w:hAnsi="宋体"/>
          <w:color w:val="auto"/>
          <w:kern w:val="0"/>
          <w:szCs w:val="21"/>
          <w:highlight w:val="none"/>
          <w:u w:val="single"/>
        </w:rPr>
        <w:t xml:space="preserve">                                        </w:t>
      </w:r>
    </w:p>
    <w:p w14:paraId="3404D7EA">
      <w:pPr>
        <w:shd w:val="clear"/>
        <w:spacing w:line="480" w:lineRule="auto"/>
        <w:ind w:leftChars="-67" w:right="840" w:hanging="140" w:hangingChars="67"/>
        <w:jc w:val="right"/>
        <w:rPr>
          <w:rFonts w:ascii="宋体" w:hAnsi="宋体"/>
          <w:color w:val="auto"/>
          <w:kern w:val="0"/>
          <w:szCs w:val="21"/>
          <w:highlight w:val="none"/>
        </w:rPr>
      </w:pPr>
      <w:r>
        <w:rPr>
          <w:rFonts w:ascii="宋体" w:hAnsi="宋体"/>
          <w:color w:val="auto"/>
          <w:kern w:val="0"/>
          <w:szCs w:val="21"/>
          <w:highlight w:val="none"/>
          <w:u w:val="single"/>
        </w:rPr>
        <w:t xml:space="preserve">        </w:t>
      </w:r>
      <w:r>
        <w:rPr>
          <w:rFonts w:ascii="宋体" w:hAnsi="宋体"/>
          <w:color w:val="auto"/>
          <w:kern w:val="0"/>
          <w:szCs w:val="21"/>
          <w:highlight w:val="none"/>
        </w:rPr>
        <w:t>年</w:t>
      </w:r>
      <w:r>
        <w:rPr>
          <w:rFonts w:ascii="宋体" w:hAnsi="宋体"/>
          <w:color w:val="auto"/>
          <w:kern w:val="0"/>
          <w:szCs w:val="21"/>
          <w:highlight w:val="none"/>
          <w:u w:val="single"/>
        </w:rPr>
        <w:t xml:space="preserve">     </w:t>
      </w:r>
      <w:r>
        <w:rPr>
          <w:rFonts w:ascii="宋体" w:hAnsi="宋体"/>
          <w:color w:val="auto"/>
          <w:kern w:val="0"/>
          <w:szCs w:val="21"/>
          <w:highlight w:val="none"/>
        </w:rPr>
        <w:t>月</w:t>
      </w:r>
      <w:r>
        <w:rPr>
          <w:rFonts w:ascii="宋体" w:hAnsi="宋体"/>
          <w:color w:val="auto"/>
          <w:kern w:val="0"/>
          <w:szCs w:val="21"/>
          <w:highlight w:val="none"/>
          <w:u w:val="single"/>
        </w:rPr>
        <w:t xml:space="preserve">     </w:t>
      </w:r>
      <w:r>
        <w:rPr>
          <w:rFonts w:ascii="宋体" w:hAnsi="宋体"/>
          <w:color w:val="auto"/>
          <w:kern w:val="0"/>
          <w:szCs w:val="21"/>
          <w:highlight w:val="none"/>
        </w:rPr>
        <w:t>日</w:t>
      </w:r>
    </w:p>
    <w:p w14:paraId="3CC59BC8">
      <w:pPr>
        <w:shd w:val="clear"/>
        <w:spacing w:line="300" w:lineRule="auto"/>
        <w:ind w:firstLine="570"/>
        <w:rPr>
          <w:rFonts w:hint="eastAsia" w:ascii="宋体" w:hAnsi="宋体" w:eastAsia="宋体" w:cs="宋体"/>
          <w:color w:val="auto"/>
          <w:sz w:val="24"/>
          <w:highlight w:val="none"/>
        </w:rPr>
      </w:pPr>
    </w:p>
    <w:p w14:paraId="7D557FD6">
      <w:pPr>
        <w:shd w:val="clear"/>
        <w:rPr>
          <w:rFonts w:hint="eastAsia" w:ascii="宋体" w:hAnsi="宋体" w:eastAsia="宋体" w:cs="宋体"/>
          <w:color w:val="auto"/>
          <w:highlight w:val="none"/>
        </w:rPr>
        <w:sectPr>
          <w:footerReference r:id="rId11" w:type="default"/>
          <w:pgSz w:w="11906" w:h="16838"/>
          <w:pgMar w:top="1361" w:right="1304" w:bottom="1247" w:left="1304" w:header="680" w:footer="680" w:gutter="0"/>
          <w:pgNumType w:fmt="decimal"/>
          <w:cols w:space="720" w:num="1"/>
          <w:docGrid w:linePitch="312" w:charSpace="0"/>
        </w:sectPr>
      </w:pPr>
      <w:bookmarkStart w:id="55" w:name="chapter7"/>
      <w:bookmarkEnd w:id="55"/>
    </w:p>
    <w:p w14:paraId="3EDE5562">
      <w:pPr>
        <w:shd w:val="clear"/>
        <w:spacing w:line="360" w:lineRule="auto"/>
        <w:jc w:val="center"/>
        <w:rPr>
          <w:rFonts w:hint="eastAsia" w:ascii="宋体" w:hAnsi="宋体" w:eastAsia="宋体" w:cs="宋体"/>
          <w:bCs/>
          <w:color w:val="auto"/>
          <w:sz w:val="24"/>
          <w:highlight w:val="none"/>
        </w:rPr>
      </w:pPr>
    </w:p>
    <w:p w14:paraId="0897BB76">
      <w:pPr>
        <w:shd w:val="clear"/>
        <w:spacing w:line="360" w:lineRule="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格式三：</w:t>
      </w:r>
    </w:p>
    <w:p w14:paraId="08261A47">
      <w:pPr>
        <w:shd w:val="clear"/>
        <w:spacing w:line="360" w:lineRule="auto"/>
        <w:jc w:val="center"/>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投标报价一览表（格式）</w:t>
      </w:r>
    </w:p>
    <w:p w14:paraId="44EEF84B">
      <w:pPr>
        <w:shd w:val="clear"/>
        <w:spacing w:line="360" w:lineRule="auto"/>
        <w:jc w:val="center"/>
        <w:rPr>
          <w:rFonts w:hint="eastAsia" w:ascii="宋体" w:hAnsi="宋体" w:eastAsia="宋体" w:cs="宋体"/>
          <w:bCs/>
          <w:color w:val="auto"/>
          <w:sz w:val="24"/>
          <w:highlight w:val="none"/>
        </w:rPr>
      </w:pPr>
    </w:p>
    <w:p w14:paraId="7B990FCE">
      <w:pPr>
        <w:shd w:val="clear"/>
        <w:spacing w:line="360"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项目名称：                                货币单位:</w:t>
      </w:r>
      <w:r>
        <w:rPr>
          <w:rFonts w:hint="eastAsia" w:ascii="宋体" w:hAnsi="宋体" w:eastAsia="宋体" w:cs="宋体"/>
          <w:b/>
          <w:bCs/>
          <w:i/>
          <w:color w:val="auto"/>
          <w:sz w:val="24"/>
          <w:highlight w:val="none"/>
          <w:u w:val="single"/>
        </w:rPr>
        <w:t>元</w:t>
      </w:r>
    </w:p>
    <w:tbl>
      <w:tblPr>
        <w:tblStyle w:val="61"/>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1119"/>
        <w:gridCol w:w="754"/>
        <w:gridCol w:w="1329"/>
        <w:gridCol w:w="1165"/>
        <w:gridCol w:w="1121"/>
        <w:gridCol w:w="734"/>
        <w:gridCol w:w="1673"/>
        <w:gridCol w:w="714"/>
      </w:tblGrid>
      <w:tr w14:paraId="02E7B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667" w:type="dxa"/>
            <w:noWrap w:val="0"/>
            <w:vAlign w:val="center"/>
          </w:tcPr>
          <w:p w14:paraId="3763F3EE">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序号</w:t>
            </w:r>
          </w:p>
        </w:tc>
        <w:tc>
          <w:tcPr>
            <w:tcW w:w="1119" w:type="dxa"/>
            <w:noWrap w:val="0"/>
            <w:vAlign w:val="center"/>
          </w:tcPr>
          <w:p w14:paraId="2B88AB3B">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名称</w:t>
            </w:r>
          </w:p>
        </w:tc>
        <w:tc>
          <w:tcPr>
            <w:tcW w:w="754" w:type="dxa"/>
            <w:noWrap w:val="0"/>
            <w:vAlign w:val="center"/>
          </w:tcPr>
          <w:p w14:paraId="18CF28FE">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品牌</w:t>
            </w:r>
          </w:p>
        </w:tc>
        <w:tc>
          <w:tcPr>
            <w:tcW w:w="1329" w:type="dxa"/>
            <w:noWrap w:val="0"/>
            <w:vAlign w:val="center"/>
          </w:tcPr>
          <w:p w14:paraId="19272862">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型号</w:t>
            </w:r>
          </w:p>
        </w:tc>
        <w:tc>
          <w:tcPr>
            <w:tcW w:w="1165" w:type="dxa"/>
            <w:noWrap w:val="0"/>
            <w:vAlign w:val="center"/>
          </w:tcPr>
          <w:p w14:paraId="528034E4">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规格、参数</w:t>
            </w:r>
          </w:p>
        </w:tc>
        <w:tc>
          <w:tcPr>
            <w:tcW w:w="1121" w:type="dxa"/>
            <w:noWrap w:val="0"/>
            <w:vAlign w:val="center"/>
          </w:tcPr>
          <w:p w14:paraId="3AB99FEB">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数量</w:t>
            </w:r>
          </w:p>
        </w:tc>
        <w:tc>
          <w:tcPr>
            <w:tcW w:w="734" w:type="dxa"/>
            <w:noWrap w:val="0"/>
            <w:vAlign w:val="center"/>
          </w:tcPr>
          <w:p w14:paraId="3B70537D">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单位</w:t>
            </w:r>
          </w:p>
        </w:tc>
        <w:tc>
          <w:tcPr>
            <w:tcW w:w="1673" w:type="dxa"/>
            <w:noWrap w:val="0"/>
            <w:vAlign w:val="center"/>
          </w:tcPr>
          <w:p w14:paraId="571146D1">
            <w:pPr>
              <w:shd w:val="clear"/>
              <w:spacing w:line="360" w:lineRule="auto"/>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单价</w:t>
            </w:r>
          </w:p>
          <w:p w14:paraId="3EFAE6BD">
            <w:pPr>
              <w:shd w:val="clear"/>
              <w:spacing w:line="360" w:lineRule="auto"/>
              <w:ind w:firstLine="420" w:firstLineChars="200"/>
              <w:jc w:val="both"/>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（元）</w:t>
            </w:r>
          </w:p>
        </w:tc>
        <w:tc>
          <w:tcPr>
            <w:tcW w:w="714" w:type="dxa"/>
            <w:noWrap w:val="0"/>
            <w:vAlign w:val="center"/>
          </w:tcPr>
          <w:p w14:paraId="137629ED">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合计</w:t>
            </w:r>
          </w:p>
        </w:tc>
      </w:tr>
      <w:tr w14:paraId="5CD1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exact"/>
        </w:trPr>
        <w:tc>
          <w:tcPr>
            <w:tcW w:w="667" w:type="dxa"/>
            <w:noWrap w:val="0"/>
            <w:vAlign w:val="top"/>
          </w:tcPr>
          <w:p w14:paraId="34E2DE19">
            <w:pPr>
              <w:shd w:val="clear"/>
              <w:spacing w:line="360" w:lineRule="auto"/>
              <w:jc w:val="center"/>
              <w:rPr>
                <w:rFonts w:hint="eastAsia" w:ascii="宋体" w:hAnsi="宋体" w:eastAsia="宋体" w:cs="宋体"/>
                <w:b/>
                <w:color w:val="auto"/>
                <w:szCs w:val="21"/>
                <w:highlight w:val="none"/>
              </w:rPr>
            </w:pPr>
            <w:r>
              <w:rPr>
                <w:rFonts w:hint="eastAsia" w:ascii="宋体" w:hAnsi="宋体" w:eastAsia="宋体" w:cs="宋体"/>
                <w:b w:val="0"/>
                <w:bCs/>
                <w:color w:val="auto"/>
                <w:szCs w:val="21"/>
                <w:highlight w:val="none"/>
              </w:rPr>
              <w:t>1</w:t>
            </w:r>
          </w:p>
        </w:tc>
        <w:tc>
          <w:tcPr>
            <w:tcW w:w="1119" w:type="dxa"/>
            <w:noWrap w:val="0"/>
            <w:vAlign w:val="center"/>
          </w:tcPr>
          <w:p w14:paraId="6724A491">
            <w:pPr>
              <w:shd w:val="clear"/>
              <w:spacing w:line="360" w:lineRule="auto"/>
              <w:jc w:val="center"/>
              <w:rPr>
                <w:rFonts w:hint="eastAsia" w:ascii="宋体" w:hAnsi="宋体" w:eastAsia="宋体" w:cs="宋体"/>
                <w:b/>
                <w:color w:val="auto"/>
                <w:szCs w:val="21"/>
                <w:highlight w:val="none"/>
              </w:rPr>
            </w:pPr>
          </w:p>
        </w:tc>
        <w:tc>
          <w:tcPr>
            <w:tcW w:w="754" w:type="dxa"/>
            <w:noWrap w:val="0"/>
            <w:vAlign w:val="top"/>
          </w:tcPr>
          <w:p w14:paraId="51F11518">
            <w:pPr>
              <w:shd w:val="clear"/>
              <w:spacing w:line="360" w:lineRule="auto"/>
              <w:rPr>
                <w:rFonts w:hint="eastAsia" w:ascii="宋体" w:hAnsi="宋体" w:eastAsia="宋体" w:cs="宋体"/>
                <w:b/>
                <w:color w:val="auto"/>
                <w:szCs w:val="21"/>
                <w:highlight w:val="none"/>
              </w:rPr>
            </w:pPr>
          </w:p>
        </w:tc>
        <w:tc>
          <w:tcPr>
            <w:tcW w:w="1329" w:type="dxa"/>
            <w:noWrap w:val="0"/>
            <w:vAlign w:val="top"/>
          </w:tcPr>
          <w:p w14:paraId="79F96727">
            <w:pPr>
              <w:shd w:val="clear"/>
              <w:rPr>
                <w:rFonts w:hint="eastAsia" w:ascii="宋体" w:hAnsi="宋体" w:eastAsia="宋体" w:cs="宋体"/>
                <w:b/>
                <w:color w:val="auto"/>
                <w:szCs w:val="21"/>
                <w:highlight w:val="none"/>
              </w:rPr>
            </w:pPr>
          </w:p>
        </w:tc>
        <w:tc>
          <w:tcPr>
            <w:tcW w:w="1165" w:type="dxa"/>
            <w:noWrap w:val="0"/>
            <w:vAlign w:val="top"/>
          </w:tcPr>
          <w:p w14:paraId="6EFB782C">
            <w:pPr>
              <w:shd w:val="clear"/>
              <w:rPr>
                <w:rFonts w:hint="eastAsia" w:ascii="宋体" w:hAnsi="宋体" w:eastAsia="宋体" w:cs="宋体"/>
                <w:b/>
                <w:color w:val="auto"/>
                <w:szCs w:val="21"/>
                <w:highlight w:val="none"/>
              </w:rPr>
            </w:pPr>
          </w:p>
        </w:tc>
        <w:tc>
          <w:tcPr>
            <w:tcW w:w="1121" w:type="dxa"/>
            <w:noWrap w:val="0"/>
            <w:vAlign w:val="top"/>
          </w:tcPr>
          <w:p w14:paraId="5D22D1B2">
            <w:pPr>
              <w:shd w:val="clear"/>
              <w:spacing w:line="360" w:lineRule="auto"/>
              <w:rPr>
                <w:rFonts w:hint="eastAsia" w:ascii="宋体" w:hAnsi="宋体" w:eastAsia="宋体" w:cs="宋体"/>
                <w:b/>
                <w:color w:val="auto"/>
                <w:szCs w:val="21"/>
                <w:highlight w:val="none"/>
              </w:rPr>
            </w:pPr>
          </w:p>
        </w:tc>
        <w:tc>
          <w:tcPr>
            <w:tcW w:w="734" w:type="dxa"/>
            <w:noWrap w:val="0"/>
            <w:vAlign w:val="top"/>
          </w:tcPr>
          <w:p w14:paraId="72A402C9">
            <w:pPr>
              <w:shd w:val="clear"/>
              <w:spacing w:line="360" w:lineRule="auto"/>
              <w:rPr>
                <w:rFonts w:hint="eastAsia" w:ascii="宋体" w:hAnsi="宋体" w:eastAsia="宋体" w:cs="宋体"/>
                <w:b/>
                <w:color w:val="auto"/>
                <w:szCs w:val="21"/>
                <w:highlight w:val="none"/>
              </w:rPr>
            </w:pPr>
          </w:p>
        </w:tc>
        <w:tc>
          <w:tcPr>
            <w:tcW w:w="1673" w:type="dxa"/>
            <w:noWrap w:val="0"/>
            <w:vAlign w:val="top"/>
          </w:tcPr>
          <w:p w14:paraId="79E00E63">
            <w:pPr>
              <w:shd w:val="clear"/>
              <w:spacing w:line="360" w:lineRule="auto"/>
              <w:rPr>
                <w:rFonts w:hint="eastAsia" w:ascii="宋体" w:hAnsi="宋体" w:eastAsia="宋体" w:cs="宋体"/>
                <w:b/>
                <w:color w:val="auto"/>
                <w:szCs w:val="21"/>
                <w:highlight w:val="none"/>
              </w:rPr>
            </w:pPr>
          </w:p>
        </w:tc>
        <w:tc>
          <w:tcPr>
            <w:tcW w:w="714" w:type="dxa"/>
            <w:noWrap w:val="0"/>
            <w:vAlign w:val="top"/>
          </w:tcPr>
          <w:p w14:paraId="01A4647B">
            <w:pPr>
              <w:shd w:val="clear"/>
              <w:spacing w:line="360" w:lineRule="auto"/>
              <w:rPr>
                <w:rFonts w:hint="eastAsia" w:ascii="宋体" w:hAnsi="宋体" w:eastAsia="宋体" w:cs="宋体"/>
                <w:b/>
                <w:color w:val="auto"/>
                <w:szCs w:val="21"/>
                <w:highlight w:val="none"/>
              </w:rPr>
            </w:pPr>
          </w:p>
        </w:tc>
      </w:tr>
      <w:tr w14:paraId="2B907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trPr>
        <w:tc>
          <w:tcPr>
            <w:tcW w:w="667" w:type="dxa"/>
            <w:noWrap w:val="0"/>
            <w:vAlign w:val="top"/>
          </w:tcPr>
          <w:p w14:paraId="67DCE155">
            <w:pPr>
              <w:shd w:val="clear"/>
              <w:spacing w:line="360" w:lineRule="auto"/>
              <w:jc w:val="center"/>
              <w:rPr>
                <w:rFonts w:hint="eastAsia" w:ascii="宋体" w:hAnsi="宋体" w:eastAsia="宋体" w:cs="宋体"/>
                <w:b/>
                <w:color w:val="auto"/>
                <w:szCs w:val="21"/>
                <w:highlight w:val="none"/>
              </w:rPr>
            </w:pPr>
          </w:p>
        </w:tc>
        <w:tc>
          <w:tcPr>
            <w:tcW w:w="1119" w:type="dxa"/>
            <w:noWrap w:val="0"/>
            <w:vAlign w:val="center"/>
          </w:tcPr>
          <w:p w14:paraId="0466B006">
            <w:pPr>
              <w:shd w:val="clear"/>
              <w:spacing w:line="360" w:lineRule="auto"/>
              <w:jc w:val="center"/>
              <w:rPr>
                <w:rFonts w:hint="eastAsia" w:ascii="宋体" w:hAnsi="宋体" w:eastAsia="宋体" w:cs="宋体"/>
                <w:b/>
                <w:color w:val="auto"/>
                <w:szCs w:val="21"/>
                <w:highlight w:val="none"/>
              </w:rPr>
            </w:pPr>
          </w:p>
        </w:tc>
        <w:tc>
          <w:tcPr>
            <w:tcW w:w="754" w:type="dxa"/>
            <w:noWrap w:val="0"/>
            <w:vAlign w:val="top"/>
          </w:tcPr>
          <w:p w14:paraId="0A33FB92">
            <w:pPr>
              <w:shd w:val="clear"/>
              <w:spacing w:line="360" w:lineRule="auto"/>
              <w:rPr>
                <w:rFonts w:hint="eastAsia" w:ascii="宋体" w:hAnsi="宋体" w:eastAsia="宋体" w:cs="宋体"/>
                <w:b/>
                <w:color w:val="auto"/>
                <w:szCs w:val="21"/>
                <w:highlight w:val="none"/>
              </w:rPr>
            </w:pPr>
          </w:p>
        </w:tc>
        <w:tc>
          <w:tcPr>
            <w:tcW w:w="1329" w:type="dxa"/>
            <w:noWrap w:val="0"/>
            <w:vAlign w:val="top"/>
          </w:tcPr>
          <w:p w14:paraId="7885E784">
            <w:pPr>
              <w:shd w:val="clear"/>
              <w:spacing w:line="360" w:lineRule="auto"/>
              <w:rPr>
                <w:rFonts w:hint="eastAsia" w:ascii="宋体" w:hAnsi="宋体" w:eastAsia="宋体" w:cs="宋体"/>
                <w:b/>
                <w:color w:val="auto"/>
                <w:szCs w:val="21"/>
                <w:highlight w:val="none"/>
              </w:rPr>
            </w:pPr>
          </w:p>
        </w:tc>
        <w:tc>
          <w:tcPr>
            <w:tcW w:w="1165" w:type="dxa"/>
            <w:noWrap w:val="0"/>
            <w:vAlign w:val="top"/>
          </w:tcPr>
          <w:p w14:paraId="2651A5D3">
            <w:pPr>
              <w:shd w:val="clear"/>
              <w:spacing w:line="360" w:lineRule="auto"/>
              <w:rPr>
                <w:rFonts w:hint="eastAsia" w:ascii="宋体" w:hAnsi="宋体" w:eastAsia="宋体" w:cs="宋体"/>
                <w:b/>
                <w:color w:val="auto"/>
                <w:szCs w:val="21"/>
                <w:highlight w:val="none"/>
              </w:rPr>
            </w:pPr>
          </w:p>
        </w:tc>
        <w:tc>
          <w:tcPr>
            <w:tcW w:w="1121" w:type="dxa"/>
            <w:noWrap w:val="0"/>
            <w:vAlign w:val="top"/>
          </w:tcPr>
          <w:p w14:paraId="6BEA8103">
            <w:pPr>
              <w:shd w:val="clear"/>
              <w:spacing w:line="360" w:lineRule="auto"/>
              <w:rPr>
                <w:rFonts w:hint="eastAsia" w:ascii="宋体" w:hAnsi="宋体" w:eastAsia="宋体" w:cs="宋体"/>
                <w:b/>
                <w:color w:val="auto"/>
                <w:szCs w:val="21"/>
                <w:highlight w:val="none"/>
              </w:rPr>
            </w:pPr>
          </w:p>
        </w:tc>
        <w:tc>
          <w:tcPr>
            <w:tcW w:w="734" w:type="dxa"/>
            <w:noWrap w:val="0"/>
            <w:vAlign w:val="top"/>
          </w:tcPr>
          <w:p w14:paraId="45D55614">
            <w:pPr>
              <w:shd w:val="clear"/>
              <w:spacing w:line="360" w:lineRule="auto"/>
              <w:rPr>
                <w:rFonts w:hint="eastAsia" w:ascii="宋体" w:hAnsi="宋体" w:eastAsia="宋体" w:cs="宋体"/>
                <w:b/>
                <w:color w:val="auto"/>
                <w:szCs w:val="21"/>
                <w:highlight w:val="none"/>
              </w:rPr>
            </w:pPr>
          </w:p>
        </w:tc>
        <w:tc>
          <w:tcPr>
            <w:tcW w:w="1673" w:type="dxa"/>
            <w:noWrap w:val="0"/>
            <w:vAlign w:val="top"/>
          </w:tcPr>
          <w:p w14:paraId="2E034CB4">
            <w:pPr>
              <w:shd w:val="clear"/>
              <w:spacing w:line="360" w:lineRule="auto"/>
              <w:rPr>
                <w:rFonts w:hint="eastAsia" w:ascii="宋体" w:hAnsi="宋体" w:eastAsia="宋体" w:cs="宋体"/>
                <w:b/>
                <w:color w:val="auto"/>
                <w:szCs w:val="21"/>
                <w:highlight w:val="none"/>
              </w:rPr>
            </w:pPr>
          </w:p>
        </w:tc>
        <w:tc>
          <w:tcPr>
            <w:tcW w:w="714" w:type="dxa"/>
            <w:noWrap w:val="0"/>
            <w:vAlign w:val="top"/>
          </w:tcPr>
          <w:p w14:paraId="46D2AD28">
            <w:pPr>
              <w:shd w:val="clear"/>
              <w:spacing w:line="360" w:lineRule="auto"/>
              <w:rPr>
                <w:rFonts w:hint="eastAsia" w:ascii="宋体" w:hAnsi="宋体" w:eastAsia="宋体" w:cs="宋体"/>
                <w:b/>
                <w:color w:val="auto"/>
                <w:szCs w:val="21"/>
                <w:highlight w:val="none"/>
              </w:rPr>
            </w:pPr>
          </w:p>
        </w:tc>
      </w:tr>
      <w:tr w14:paraId="4E3EC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exact"/>
        </w:trPr>
        <w:tc>
          <w:tcPr>
            <w:tcW w:w="667" w:type="dxa"/>
            <w:tcBorders>
              <w:bottom w:val="nil"/>
            </w:tcBorders>
            <w:noWrap w:val="0"/>
            <w:vAlign w:val="top"/>
          </w:tcPr>
          <w:p w14:paraId="663C2AD4">
            <w:pPr>
              <w:shd w:val="clear"/>
              <w:spacing w:line="360" w:lineRule="auto"/>
              <w:jc w:val="center"/>
              <w:rPr>
                <w:rFonts w:hint="eastAsia" w:ascii="宋体" w:hAnsi="宋体" w:eastAsia="宋体" w:cs="宋体"/>
                <w:b/>
                <w:color w:val="auto"/>
                <w:szCs w:val="21"/>
                <w:highlight w:val="none"/>
              </w:rPr>
            </w:pPr>
          </w:p>
        </w:tc>
        <w:tc>
          <w:tcPr>
            <w:tcW w:w="1119" w:type="dxa"/>
            <w:tcBorders>
              <w:bottom w:val="nil"/>
            </w:tcBorders>
            <w:noWrap w:val="0"/>
            <w:vAlign w:val="center"/>
          </w:tcPr>
          <w:p w14:paraId="3040212C">
            <w:pPr>
              <w:shd w:val="clear"/>
              <w:spacing w:line="360" w:lineRule="auto"/>
              <w:jc w:val="center"/>
              <w:rPr>
                <w:rFonts w:hint="eastAsia" w:ascii="宋体" w:hAnsi="宋体" w:eastAsia="宋体" w:cs="宋体"/>
                <w:b/>
                <w:color w:val="auto"/>
                <w:szCs w:val="21"/>
                <w:highlight w:val="none"/>
              </w:rPr>
            </w:pPr>
          </w:p>
        </w:tc>
        <w:tc>
          <w:tcPr>
            <w:tcW w:w="754" w:type="dxa"/>
            <w:noWrap w:val="0"/>
            <w:vAlign w:val="top"/>
          </w:tcPr>
          <w:p w14:paraId="47D0A323">
            <w:pPr>
              <w:shd w:val="clear"/>
              <w:spacing w:line="360" w:lineRule="auto"/>
              <w:rPr>
                <w:rFonts w:hint="eastAsia" w:ascii="宋体" w:hAnsi="宋体" w:eastAsia="宋体" w:cs="宋体"/>
                <w:b/>
                <w:color w:val="auto"/>
                <w:szCs w:val="21"/>
                <w:highlight w:val="none"/>
              </w:rPr>
            </w:pPr>
          </w:p>
        </w:tc>
        <w:tc>
          <w:tcPr>
            <w:tcW w:w="1329" w:type="dxa"/>
            <w:noWrap w:val="0"/>
            <w:vAlign w:val="top"/>
          </w:tcPr>
          <w:p w14:paraId="3D88CC64">
            <w:pPr>
              <w:shd w:val="clear"/>
              <w:spacing w:line="360" w:lineRule="auto"/>
              <w:rPr>
                <w:rFonts w:hint="eastAsia" w:ascii="宋体" w:hAnsi="宋体" w:eastAsia="宋体" w:cs="宋体"/>
                <w:b/>
                <w:color w:val="auto"/>
                <w:szCs w:val="21"/>
                <w:highlight w:val="none"/>
              </w:rPr>
            </w:pPr>
          </w:p>
        </w:tc>
        <w:tc>
          <w:tcPr>
            <w:tcW w:w="1165" w:type="dxa"/>
            <w:noWrap w:val="0"/>
            <w:vAlign w:val="top"/>
          </w:tcPr>
          <w:p w14:paraId="10CD4CF7">
            <w:pPr>
              <w:shd w:val="clear"/>
              <w:spacing w:line="360" w:lineRule="auto"/>
              <w:rPr>
                <w:rFonts w:hint="eastAsia" w:ascii="宋体" w:hAnsi="宋体" w:eastAsia="宋体" w:cs="宋体"/>
                <w:b/>
                <w:color w:val="auto"/>
                <w:szCs w:val="21"/>
                <w:highlight w:val="none"/>
              </w:rPr>
            </w:pPr>
          </w:p>
        </w:tc>
        <w:tc>
          <w:tcPr>
            <w:tcW w:w="1121" w:type="dxa"/>
            <w:noWrap w:val="0"/>
            <w:vAlign w:val="top"/>
          </w:tcPr>
          <w:p w14:paraId="16C8A66F">
            <w:pPr>
              <w:shd w:val="clear"/>
              <w:spacing w:line="360" w:lineRule="auto"/>
              <w:rPr>
                <w:rFonts w:hint="eastAsia" w:ascii="宋体" w:hAnsi="宋体" w:eastAsia="宋体" w:cs="宋体"/>
                <w:b/>
                <w:color w:val="auto"/>
                <w:szCs w:val="21"/>
                <w:highlight w:val="none"/>
              </w:rPr>
            </w:pPr>
          </w:p>
        </w:tc>
        <w:tc>
          <w:tcPr>
            <w:tcW w:w="734" w:type="dxa"/>
            <w:noWrap w:val="0"/>
            <w:vAlign w:val="top"/>
          </w:tcPr>
          <w:p w14:paraId="6492FCC5">
            <w:pPr>
              <w:shd w:val="clear"/>
              <w:spacing w:line="360" w:lineRule="auto"/>
              <w:rPr>
                <w:rFonts w:hint="eastAsia" w:ascii="宋体" w:hAnsi="宋体" w:eastAsia="宋体" w:cs="宋体"/>
                <w:b/>
                <w:color w:val="auto"/>
                <w:szCs w:val="21"/>
                <w:highlight w:val="none"/>
              </w:rPr>
            </w:pPr>
          </w:p>
        </w:tc>
        <w:tc>
          <w:tcPr>
            <w:tcW w:w="1673" w:type="dxa"/>
            <w:noWrap w:val="0"/>
            <w:vAlign w:val="top"/>
          </w:tcPr>
          <w:p w14:paraId="4210D2A5">
            <w:pPr>
              <w:shd w:val="clear"/>
              <w:spacing w:line="360" w:lineRule="auto"/>
              <w:rPr>
                <w:rFonts w:hint="eastAsia" w:ascii="宋体" w:hAnsi="宋体" w:eastAsia="宋体" w:cs="宋体"/>
                <w:b/>
                <w:color w:val="auto"/>
                <w:szCs w:val="21"/>
                <w:highlight w:val="none"/>
              </w:rPr>
            </w:pPr>
          </w:p>
        </w:tc>
        <w:tc>
          <w:tcPr>
            <w:tcW w:w="714" w:type="dxa"/>
            <w:noWrap w:val="0"/>
            <w:vAlign w:val="top"/>
          </w:tcPr>
          <w:p w14:paraId="0F56229F">
            <w:pPr>
              <w:shd w:val="clear"/>
              <w:spacing w:line="360" w:lineRule="auto"/>
              <w:rPr>
                <w:rFonts w:hint="eastAsia" w:ascii="宋体" w:hAnsi="宋体" w:eastAsia="宋体" w:cs="宋体"/>
                <w:b/>
                <w:color w:val="auto"/>
                <w:szCs w:val="21"/>
                <w:highlight w:val="none"/>
              </w:rPr>
            </w:pPr>
          </w:p>
        </w:tc>
      </w:tr>
      <w:tr w14:paraId="0FD9B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exact"/>
        </w:trPr>
        <w:tc>
          <w:tcPr>
            <w:tcW w:w="1786" w:type="dxa"/>
            <w:gridSpan w:val="2"/>
            <w:tcBorders>
              <w:top w:val="single" w:color="auto" w:sz="4" w:space="0"/>
            </w:tcBorders>
            <w:noWrap w:val="0"/>
            <w:vAlign w:val="top"/>
          </w:tcPr>
          <w:p w14:paraId="7B9C7FD0">
            <w:pPr>
              <w:shd w:val="clear"/>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投标报价</w:t>
            </w:r>
          </w:p>
        </w:tc>
        <w:tc>
          <w:tcPr>
            <w:tcW w:w="7490" w:type="dxa"/>
            <w:gridSpan w:val="7"/>
            <w:tcBorders>
              <w:top w:val="single" w:color="auto" w:sz="4" w:space="0"/>
            </w:tcBorders>
            <w:noWrap w:val="0"/>
            <w:vAlign w:val="top"/>
          </w:tcPr>
          <w:p w14:paraId="73D1E739">
            <w:pPr>
              <w:shd w:val="clear"/>
              <w:spacing w:line="360" w:lineRule="auto"/>
              <w:rPr>
                <w:rFonts w:hint="eastAsia" w:ascii="宋体" w:hAnsi="宋体" w:eastAsia="宋体" w:cs="宋体"/>
                <w:bCs/>
                <w:color w:val="auto"/>
                <w:szCs w:val="21"/>
                <w:highlight w:val="none"/>
              </w:rPr>
            </w:pPr>
          </w:p>
        </w:tc>
      </w:tr>
    </w:tbl>
    <w:p w14:paraId="6C8A3D63">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投标单位全称（公章）：</w:t>
      </w:r>
    </w:p>
    <w:p w14:paraId="7BFC3718">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单位负责人或授权代理人（签字）：</w:t>
      </w:r>
    </w:p>
    <w:p w14:paraId="42BA0CE5">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时间：     年  月  日</w:t>
      </w:r>
    </w:p>
    <w:p w14:paraId="119CE000">
      <w:pPr>
        <w:shd w:val="clear"/>
        <w:spacing w:line="360" w:lineRule="auto"/>
        <w:ind w:firstLine="480" w:firstLineChars="200"/>
        <w:rPr>
          <w:rFonts w:hint="eastAsia" w:ascii="宋体" w:hAnsi="宋体" w:eastAsia="宋体" w:cs="宋体"/>
          <w:color w:val="auto"/>
          <w:sz w:val="24"/>
          <w:highlight w:val="none"/>
        </w:rPr>
      </w:pPr>
    </w:p>
    <w:p w14:paraId="188C71F0">
      <w:pPr>
        <w:shd w:val="clea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p w14:paraId="70B318E3">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1.与本项目有关的各种费用包含税金均应包含在总报价中。</w:t>
      </w:r>
    </w:p>
    <w:p w14:paraId="04520EC3">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针对本项目投入的全部</w:t>
      </w:r>
      <w:r>
        <w:rPr>
          <w:rFonts w:hint="eastAsia" w:ascii="宋体" w:hAnsi="宋体" w:eastAsia="宋体" w:cs="宋体"/>
          <w:color w:val="auto"/>
          <w:sz w:val="24"/>
          <w:highlight w:val="none"/>
          <w:lang w:val="en-US" w:eastAsia="zh-CN"/>
        </w:rPr>
        <w:t>货物</w:t>
      </w:r>
      <w:r>
        <w:rPr>
          <w:rFonts w:hint="eastAsia" w:ascii="宋体" w:hAnsi="宋体" w:eastAsia="宋体" w:cs="宋体"/>
          <w:color w:val="auto"/>
          <w:sz w:val="24"/>
          <w:highlight w:val="none"/>
        </w:rPr>
        <w:t>、服务、材料等均应在本表中填写报价。</w:t>
      </w:r>
    </w:p>
    <w:p w14:paraId="0F44411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3.要说明的问题可另附页说明并签字和加盖公章。                      </w:t>
      </w:r>
    </w:p>
    <w:p w14:paraId="1E02275C">
      <w:pPr>
        <w:shd w:val="clear"/>
        <w:spacing w:line="360" w:lineRule="auto"/>
        <w:outlineLvl w:val="0"/>
        <w:rPr>
          <w:rFonts w:hint="eastAsia" w:ascii="宋体" w:hAnsi="宋体" w:eastAsia="宋体" w:cs="宋体"/>
          <w:color w:val="auto"/>
          <w:sz w:val="24"/>
          <w:highlight w:val="none"/>
        </w:rPr>
      </w:pPr>
    </w:p>
    <w:p w14:paraId="173421D3">
      <w:pPr>
        <w:shd w:val="clear"/>
        <w:spacing w:line="360" w:lineRule="auto"/>
        <w:outlineLvl w:val="0"/>
        <w:rPr>
          <w:rFonts w:hint="eastAsia" w:ascii="宋体" w:hAnsi="宋体" w:eastAsia="宋体" w:cs="宋体"/>
          <w:color w:val="auto"/>
          <w:sz w:val="24"/>
          <w:highlight w:val="none"/>
        </w:rPr>
      </w:pPr>
    </w:p>
    <w:p w14:paraId="278C7B1E">
      <w:pPr>
        <w:shd w:val="clear"/>
        <w:spacing w:line="360" w:lineRule="auto"/>
        <w:outlineLvl w:val="0"/>
        <w:rPr>
          <w:rFonts w:hint="eastAsia" w:ascii="宋体" w:hAnsi="宋体" w:eastAsia="宋体" w:cs="宋体"/>
          <w:b/>
          <w:color w:val="auto"/>
          <w:sz w:val="24"/>
          <w:szCs w:val="28"/>
          <w:highlight w:val="none"/>
        </w:rPr>
        <w:sectPr>
          <w:pgSz w:w="11906" w:h="16838"/>
          <w:pgMar w:top="1361" w:right="1304" w:bottom="1247" w:left="1304" w:header="680" w:footer="680" w:gutter="0"/>
          <w:pgNumType w:fmt="decimal"/>
          <w:cols w:space="720" w:num="1"/>
          <w:docGrid w:linePitch="312" w:charSpace="0"/>
        </w:sectPr>
      </w:pPr>
    </w:p>
    <w:p w14:paraId="04A303CC">
      <w:pPr>
        <w:shd w:val="clear"/>
        <w:spacing w:line="360" w:lineRule="auto"/>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格式四：</w:t>
      </w:r>
    </w:p>
    <w:p w14:paraId="2F31B43C">
      <w:pPr>
        <w:shd w:val="clear"/>
        <w:spacing w:line="360" w:lineRule="auto"/>
        <w:jc w:val="center"/>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技术</w:t>
      </w:r>
      <w:r>
        <w:rPr>
          <w:rFonts w:hint="eastAsia" w:ascii="宋体" w:hAnsi="宋体" w:eastAsia="宋体" w:cs="宋体"/>
          <w:b/>
          <w:color w:val="auto"/>
          <w:sz w:val="24"/>
          <w:szCs w:val="28"/>
          <w:highlight w:val="none"/>
          <w:lang w:val="en-US" w:eastAsia="zh-CN"/>
        </w:rPr>
        <w:t>标准与要求</w:t>
      </w:r>
      <w:r>
        <w:rPr>
          <w:rFonts w:hint="eastAsia" w:ascii="宋体" w:hAnsi="宋体" w:eastAsia="宋体" w:cs="宋体"/>
          <w:b/>
          <w:color w:val="auto"/>
          <w:sz w:val="24"/>
          <w:szCs w:val="28"/>
          <w:highlight w:val="none"/>
        </w:rPr>
        <w:t>偏离表（格式）</w:t>
      </w:r>
    </w:p>
    <w:p w14:paraId="5244A6C7">
      <w:pPr>
        <w:shd w:val="clear"/>
        <w:spacing w:line="360" w:lineRule="auto"/>
        <w:jc w:val="center"/>
        <w:outlineLvl w:val="0"/>
        <w:rPr>
          <w:rFonts w:hint="eastAsia" w:ascii="宋体" w:hAnsi="宋体" w:eastAsia="宋体" w:cs="宋体"/>
          <w:b/>
          <w:color w:val="auto"/>
          <w:sz w:val="24"/>
          <w:szCs w:val="28"/>
          <w:highlight w:val="none"/>
        </w:rPr>
      </w:pPr>
    </w:p>
    <w:p w14:paraId="12E393F5">
      <w:pPr>
        <w:shd w:val="clear"/>
        <w:spacing w:line="360" w:lineRule="auto"/>
        <w:jc w:val="center"/>
        <w:outlineLvl w:val="0"/>
        <w:rPr>
          <w:rFonts w:hint="eastAsia" w:ascii="宋体" w:hAnsi="宋体" w:eastAsia="宋体" w:cs="宋体"/>
          <w:b/>
          <w:color w:val="auto"/>
          <w:sz w:val="24"/>
          <w:szCs w:val="28"/>
          <w:highlight w:val="none"/>
        </w:rPr>
      </w:pPr>
    </w:p>
    <w:p w14:paraId="53E970D7">
      <w:pPr>
        <w:pStyle w:val="32"/>
        <w:shd w:val="clear"/>
        <w:spacing w:line="360" w:lineRule="auto"/>
        <w:ind w:firstLine="480" w:firstLineChars="200"/>
        <w:outlineLvl w:val="0"/>
        <w:rPr>
          <w:rFonts w:hint="eastAsia" w:ascii="宋体" w:hAnsi="宋体" w:eastAsia="宋体" w:cs="宋体"/>
          <w:color w:val="auto"/>
          <w:szCs w:val="24"/>
          <w:highlight w:val="none"/>
        </w:rPr>
      </w:pPr>
      <w:r>
        <w:rPr>
          <w:rFonts w:hint="eastAsia" w:ascii="宋体" w:hAnsi="宋体" w:eastAsia="宋体" w:cs="宋体"/>
          <w:color w:val="auto"/>
          <w:szCs w:val="24"/>
          <w:highlight w:val="none"/>
        </w:rPr>
        <w:t>项目名称：                                    竞争性磋商文件编号：</w:t>
      </w:r>
    </w:p>
    <w:tbl>
      <w:tblPr>
        <w:tblStyle w:val="61"/>
        <w:tblW w:w="0" w:type="auto"/>
        <w:tblInd w:w="-3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84"/>
        <w:gridCol w:w="1433"/>
        <w:gridCol w:w="2501"/>
        <w:gridCol w:w="2610"/>
        <w:gridCol w:w="1320"/>
        <w:gridCol w:w="948"/>
      </w:tblGrid>
      <w:tr w14:paraId="4A320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38" w:hRule="atLeast"/>
        </w:trPr>
        <w:tc>
          <w:tcPr>
            <w:tcW w:w="984" w:type="dxa"/>
            <w:noWrap w:val="0"/>
            <w:vAlign w:val="center"/>
          </w:tcPr>
          <w:p w14:paraId="78C6A241">
            <w:pPr>
              <w:shd w:val="clear"/>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t>序号</w:t>
            </w:r>
          </w:p>
        </w:tc>
        <w:tc>
          <w:tcPr>
            <w:tcW w:w="1433" w:type="dxa"/>
            <w:noWrap w:val="0"/>
            <w:vAlign w:val="center"/>
          </w:tcPr>
          <w:p w14:paraId="1C01472A">
            <w:pPr>
              <w:shd w:val="clear"/>
              <w:spacing w:line="360" w:lineRule="auto"/>
              <w:jc w:val="center"/>
              <w:outlineLvl w:val="0"/>
              <w:rPr>
                <w:rFonts w:hint="eastAsia" w:ascii="宋体" w:hAnsi="宋体" w:eastAsia="宋体"/>
                <w:bCs/>
                <w:color w:val="auto"/>
                <w:sz w:val="24"/>
                <w:highlight w:val="none"/>
                <w:lang w:eastAsia="zh-CN"/>
              </w:rPr>
            </w:pPr>
            <w:r>
              <w:rPr>
                <w:rFonts w:hint="eastAsia" w:ascii="宋体" w:hAnsi="宋体"/>
                <w:bCs/>
                <w:color w:val="auto"/>
                <w:sz w:val="24"/>
                <w:highlight w:val="none"/>
                <w:lang w:val="en-US" w:eastAsia="zh-CN"/>
              </w:rPr>
              <w:t>名称</w:t>
            </w:r>
          </w:p>
        </w:tc>
        <w:tc>
          <w:tcPr>
            <w:tcW w:w="2501" w:type="dxa"/>
            <w:noWrap w:val="0"/>
            <w:vAlign w:val="center"/>
          </w:tcPr>
          <w:p w14:paraId="2BCEB9E3">
            <w:pPr>
              <w:shd w:val="clear"/>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t>竞争性磋商文件规定的</w:t>
            </w:r>
            <w:r>
              <w:rPr>
                <w:rFonts w:hint="eastAsia" w:ascii="宋体" w:hAnsi="宋体"/>
                <w:bCs/>
                <w:color w:val="auto"/>
                <w:sz w:val="24"/>
                <w:highlight w:val="none"/>
              </w:rPr>
              <w:t>货物</w:t>
            </w:r>
            <w:r>
              <w:rPr>
                <w:rFonts w:hint="eastAsia" w:ascii="宋体" w:hAnsi="宋体"/>
                <w:color w:val="auto"/>
                <w:sz w:val="24"/>
                <w:highlight w:val="none"/>
              </w:rPr>
              <w:t>需求、技术规格</w:t>
            </w:r>
          </w:p>
        </w:tc>
        <w:tc>
          <w:tcPr>
            <w:tcW w:w="2610" w:type="dxa"/>
            <w:noWrap w:val="0"/>
            <w:vAlign w:val="center"/>
          </w:tcPr>
          <w:p w14:paraId="3C540DAA">
            <w:pPr>
              <w:shd w:val="clear"/>
              <w:spacing w:line="360" w:lineRule="auto"/>
              <w:jc w:val="center"/>
              <w:outlineLvl w:val="0"/>
              <w:rPr>
                <w:rFonts w:hint="eastAsia" w:ascii="宋体" w:hAnsi="宋体"/>
                <w:color w:val="auto"/>
                <w:sz w:val="24"/>
                <w:highlight w:val="none"/>
              </w:rPr>
            </w:pP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w:t>
            </w:r>
            <w:r>
              <w:rPr>
                <w:rFonts w:hint="eastAsia" w:ascii="宋体" w:hAnsi="宋体"/>
                <w:color w:val="auto"/>
                <w:sz w:val="24"/>
                <w:highlight w:val="none"/>
              </w:rPr>
              <w:t>对应的</w:t>
            </w:r>
            <w:r>
              <w:rPr>
                <w:rFonts w:hint="eastAsia" w:ascii="宋体" w:hAnsi="宋体"/>
                <w:bCs/>
                <w:color w:val="auto"/>
                <w:sz w:val="24"/>
                <w:highlight w:val="none"/>
              </w:rPr>
              <w:t>货物</w:t>
            </w:r>
            <w:r>
              <w:rPr>
                <w:rFonts w:hint="eastAsia" w:ascii="宋体" w:hAnsi="宋体"/>
                <w:color w:val="auto"/>
                <w:sz w:val="24"/>
                <w:highlight w:val="none"/>
              </w:rPr>
              <w:t>情况、技术规格</w:t>
            </w:r>
          </w:p>
        </w:tc>
        <w:tc>
          <w:tcPr>
            <w:tcW w:w="1320" w:type="dxa"/>
            <w:noWrap w:val="0"/>
            <w:vAlign w:val="center"/>
          </w:tcPr>
          <w:p w14:paraId="275CFB42">
            <w:pPr>
              <w:shd w:val="clear"/>
              <w:spacing w:line="360" w:lineRule="auto"/>
              <w:jc w:val="center"/>
              <w:outlineLvl w:val="0"/>
              <w:rPr>
                <w:rFonts w:hint="eastAsia" w:ascii="宋体" w:hAnsi="宋体" w:eastAsia="宋体"/>
                <w:color w:val="auto"/>
                <w:sz w:val="24"/>
                <w:highlight w:val="none"/>
                <w:lang w:val="en-US" w:eastAsia="zh-CN"/>
              </w:rPr>
            </w:pPr>
            <w:r>
              <w:rPr>
                <w:rFonts w:hint="eastAsia" w:ascii="宋体" w:hAnsi="宋体"/>
                <w:color w:val="auto"/>
                <w:sz w:val="24"/>
                <w:highlight w:val="none"/>
              </w:rPr>
              <w:t>偏离</w:t>
            </w:r>
            <w:r>
              <w:rPr>
                <w:rFonts w:hint="eastAsia" w:ascii="宋体" w:hAnsi="宋体"/>
                <w:color w:val="auto"/>
                <w:sz w:val="24"/>
                <w:highlight w:val="none"/>
                <w:lang w:val="en-US" w:eastAsia="zh-CN"/>
              </w:rPr>
              <w:t>情况</w:t>
            </w:r>
          </w:p>
        </w:tc>
        <w:tc>
          <w:tcPr>
            <w:tcW w:w="948" w:type="dxa"/>
            <w:noWrap w:val="0"/>
            <w:vAlign w:val="center"/>
          </w:tcPr>
          <w:p w14:paraId="38AC8037">
            <w:pPr>
              <w:shd w:val="clear"/>
              <w:spacing w:line="360" w:lineRule="auto"/>
              <w:jc w:val="center"/>
              <w:outlineLvl w:val="0"/>
              <w:rPr>
                <w:rFonts w:hint="eastAsia" w:ascii="宋体" w:hAnsi="宋体"/>
                <w:color w:val="auto"/>
                <w:sz w:val="24"/>
                <w:highlight w:val="none"/>
              </w:rPr>
            </w:pPr>
            <w:r>
              <w:rPr>
                <w:rFonts w:hint="eastAsia" w:ascii="宋体" w:hAnsi="宋体"/>
                <w:color w:val="auto"/>
                <w:sz w:val="24"/>
                <w:highlight w:val="none"/>
              </w:rPr>
              <w:t>备注</w:t>
            </w:r>
          </w:p>
        </w:tc>
      </w:tr>
      <w:tr w14:paraId="1189E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4" w:hRule="atLeast"/>
        </w:trPr>
        <w:tc>
          <w:tcPr>
            <w:tcW w:w="984" w:type="dxa"/>
            <w:noWrap w:val="0"/>
            <w:vAlign w:val="top"/>
          </w:tcPr>
          <w:p w14:paraId="7F1E6C6B">
            <w:pPr>
              <w:shd w:val="clear"/>
              <w:spacing w:line="360" w:lineRule="auto"/>
              <w:outlineLvl w:val="0"/>
              <w:rPr>
                <w:rFonts w:hint="eastAsia" w:ascii="宋体" w:hAnsi="宋体"/>
                <w:color w:val="auto"/>
                <w:sz w:val="24"/>
                <w:highlight w:val="none"/>
              </w:rPr>
            </w:pPr>
          </w:p>
        </w:tc>
        <w:tc>
          <w:tcPr>
            <w:tcW w:w="1433" w:type="dxa"/>
            <w:noWrap w:val="0"/>
            <w:vAlign w:val="top"/>
          </w:tcPr>
          <w:p w14:paraId="4712315A">
            <w:pPr>
              <w:shd w:val="clear"/>
              <w:spacing w:line="360" w:lineRule="auto"/>
              <w:outlineLvl w:val="0"/>
              <w:rPr>
                <w:rFonts w:hint="eastAsia" w:ascii="宋体" w:hAnsi="宋体"/>
                <w:color w:val="auto"/>
                <w:sz w:val="24"/>
                <w:highlight w:val="none"/>
              </w:rPr>
            </w:pPr>
          </w:p>
        </w:tc>
        <w:tc>
          <w:tcPr>
            <w:tcW w:w="2501" w:type="dxa"/>
            <w:noWrap w:val="0"/>
            <w:vAlign w:val="top"/>
          </w:tcPr>
          <w:p w14:paraId="3FD5A645">
            <w:pPr>
              <w:shd w:val="clear"/>
              <w:spacing w:line="360" w:lineRule="auto"/>
              <w:outlineLvl w:val="0"/>
              <w:rPr>
                <w:rFonts w:hint="eastAsia" w:ascii="宋体" w:hAnsi="宋体"/>
                <w:color w:val="auto"/>
                <w:sz w:val="24"/>
                <w:highlight w:val="none"/>
              </w:rPr>
            </w:pPr>
          </w:p>
        </w:tc>
        <w:tc>
          <w:tcPr>
            <w:tcW w:w="2610" w:type="dxa"/>
            <w:noWrap w:val="0"/>
            <w:vAlign w:val="top"/>
          </w:tcPr>
          <w:p w14:paraId="71B75D1E">
            <w:pPr>
              <w:shd w:val="clear"/>
              <w:spacing w:line="360" w:lineRule="auto"/>
              <w:outlineLvl w:val="0"/>
              <w:rPr>
                <w:rFonts w:hint="eastAsia" w:ascii="宋体" w:hAnsi="宋体"/>
                <w:color w:val="auto"/>
                <w:sz w:val="24"/>
                <w:highlight w:val="none"/>
              </w:rPr>
            </w:pPr>
          </w:p>
        </w:tc>
        <w:tc>
          <w:tcPr>
            <w:tcW w:w="1320" w:type="dxa"/>
            <w:noWrap w:val="0"/>
            <w:vAlign w:val="top"/>
          </w:tcPr>
          <w:p w14:paraId="1DBDD826">
            <w:pPr>
              <w:shd w:val="clear"/>
              <w:spacing w:line="360" w:lineRule="auto"/>
              <w:outlineLvl w:val="0"/>
              <w:rPr>
                <w:rFonts w:hint="eastAsia" w:ascii="宋体" w:hAnsi="宋体"/>
                <w:color w:val="auto"/>
                <w:sz w:val="24"/>
                <w:highlight w:val="none"/>
              </w:rPr>
            </w:pPr>
          </w:p>
        </w:tc>
        <w:tc>
          <w:tcPr>
            <w:tcW w:w="948" w:type="dxa"/>
            <w:noWrap w:val="0"/>
            <w:vAlign w:val="top"/>
          </w:tcPr>
          <w:p w14:paraId="225B2775">
            <w:pPr>
              <w:shd w:val="clear"/>
              <w:spacing w:line="360" w:lineRule="auto"/>
              <w:outlineLvl w:val="0"/>
              <w:rPr>
                <w:rFonts w:hint="eastAsia" w:ascii="宋体" w:hAnsi="宋体"/>
                <w:color w:val="auto"/>
                <w:sz w:val="24"/>
                <w:highlight w:val="none"/>
              </w:rPr>
            </w:pPr>
          </w:p>
        </w:tc>
      </w:tr>
      <w:tr w14:paraId="795A42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4" w:hRule="atLeast"/>
        </w:trPr>
        <w:tc>
          <w:tcPr>
            <w:tcW w:w="984" w:type="dxa"/>
            <w:noWrap w:val="0"/>
            <w:vAlign w:val="top"/>
          </w:tcPr>
          <w:p w14:paraId="5D358518">
            <w:pPr>
              <w:shd w:val="clear"/>
              <w:spacing w:line="360" w:lineRule="auto"/>
              <w:outlineLvl w:val="0"/>
              <w:rPr>
                <w:rFonts w:hint="eastAsia" w:ascii="宋体" w:hAnsi="宋体"/>
                <w:color w:val="auto"/>
                <w:sz w:val="24"/>
                <w:highlight w:val="none"/>
              </w:rPr>
            </w:pPr>
          </w:p>
        </w:tc>
        <w:tc>
          <w:tcPr>
            <w:tcW w:w="1433" w:type="dxa"/>
            <w:noWrap w:val="0"/>
            <w:vAlign w:val="top"/>
          </w:tcPr>
          <w:p w14:paraId="6DB29038">
            <w:pPr>
              <w:shd w:val="clear"/>
              <w:spacing w:line="360" w:lineRule="auto"/>
              <w:outlineLvl w:val="0"/>
              <w:rPr>
                <w:rFonts w:hint="eastAsia" w:ascii="宋体" w:hAnsi="宋体"/>
                <w:color w:val="auto"/>
                <w:sz w:val="24"/>
                <w:highlight w:val="none"/>
              </w:rPr>
            </w:pPr>
          </w:p>
        </w:tc>
        <w:tc>
          <w:tcPr>
            <w:tcW w:w="2501" w:type="dxa"/>
            <w:noWrap w:val="0"/>
            <w:vAlign w:val="top"/>
          </w:tcPr>
          <w:p w14:paraId="5723B5A5">
            <w:pPr>
              <w:shd w:val="clear"/>
              <w:spacing w:line="360" w:lineRule="auto"/>
              <w:outlineLvl w:val="0"/>
              <w:rPr>
                <w:rFonts w:hint="eastAsia" w:ascii="宋体" w:hAnsi="宋体"/>
                <w:color w:val="auto"/>
                <w:sz w:val="24"/>
                <w:highlight w:val="none"/>
              </w:rPr>
            </w:pPr>
          </w:p>
        </w:tc>
        <w:tc>
          <w:tcPr>
            <w:tcW w:w="2610" w:type="dxa"/>
            <w:noWrap w:val="0"/>
            <w:vAlign w:val="top"/>
          </w:tcPr>
          <w:p w14:paraId="164D95A8">
            <w:pPr>
              <w:shd w:val="clear"/>
              <w:spacing w:line="360" w:lineRule="auto"/>
              <w:outlineLvl w:val="0"/>
              <w:rPr>
                <w:rFonts w:hint="eastAsia" w:ascii="宋体" w:hAnsi="宋体"/>
                <w:color w:val="auto"/>
                <w:sz w:val="24"/>
                <w:highlight w:val="none"/>
              </w:rPr>
            </w:pPr>
          </w:p>
        </w:tc>
        <w:tc>
          <w:tcPr>
            <w:tcW w:w="1320" w:type="dxa"/>
            <w:noWrap w:val="0"/>
            <w:vAlign w:val="top"/>
          </w:tcPr>
          <w:p w14:paraId="77FA6995">
            <w:pPr>
              <w:shd w:val="clear"/>
              <w:spacing w:line="360" w:lineRule="auto"/>
              <w:outlineLvl w:val="0"/>
              <w:rPr>
                <w:rFonts w:hint="eastAsia" w:ascii="宋体" w:hAnsi="宋体"/>
                <w:color w:val="auto"/>
                <w:sz w:val="24"/>
                <w:highlight w:val="none"/>
              </w:rPr>
            </w:pPr>
          </w:p>
        </w:tc>
        <w:tc>
          <w:tcPr>
            <w:tcW w:w="948" w:type="dxa"/>
            <w:noWrap w:val="0"/>
            <w:vAlign w:val="top"/>
          </w:tcPr>
          <w:p w14:paraId="637F5866">
            <w:pPr>
              <w:shd w:val="clear"/>
              <w:spacing w:line="360" w:lineRule="auto"/>
              <w:outlineLvl w:val="0"/>
              <w:rPr>
                <w:rFonts w:hint="eastAsia" w:ascii="宋体" w:hAnsi="宋体"/>
                <w:color w:val="auto"/>
                <w:sz w:val="24"/>
                <w:highlight w:val="none"/>
              </w:rPr>
            </w:pPr>
          </w:p>
        </w:tc>
      </w:tr>
      <w:tr w14:paraId="4C9D2F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4" w:hRule="atLeast"/>
        </w:trPr>
        <w:tc>
          <w:tcPr>
            <w:tcW w:w="984" w:type="dxa"/>
            <w:noWrap w:val="0"/>
            <w:vAlign w:val="top"/>
          </w:tcPr>
          <w:p w14:paraId="646A1F0F">
            <w:pPr>
              <w:shd w:val="clear"/>
              <w:spacing w:line="360" w:lineRule="auto"/>
              <w:outlineLvl w:val="0"/>
              <w:rPr>
                <w:rFonts w:hint="eastAsia" w:ascii="宋体" w:hAnsi="宋体"/>
                <w:color w:val="auto"/>
                <w:sz w:val="24"/>
                <w:highlight w:val="none"/>
              </w:rPr>
            </w:pPr>
          </w:p>
        </w:tc>
        <w:tc>
          <w:tcPr>
            <w:tcW w:w="1433" w:type="dxa"/>
            <w:noWrap w:val="0"/>
            <w:vAlign w:val="top"/>
          </w:tcPr>
          <w:p w14:paraId="36A82BA6">
            <w:pPr>
              <w:shd w:val="clear"/>
              <w:spacing w:line="360" w:lineRule="auto"/>
              <w:outlineLvl w:val="0"/>
              <w:rPr>
                <w:rFonts w:hint="eastAsia" w:ascii="宋体" w:hAnsi="宋体"/>
                <w:color w:val="auto"/>
                <w:sz w:val="24"/>
                <w:highlight w:val="none"/>
              </w:rPr>
            </w:pPr>
          </w:p>
        </w:tc>
        <w:tc>
          <w:tcPr>
            <w:tcW w:w="2501" w:type="dxa"/>
            <w:noWrap w:val="0"/>
            <w:vAlign w:val="top"/>
          </w:tcPr>
          <w:p w14:paraId="2A03676C">
            <w:pPr>
              <w:shd w:val="clear"/>
              <w:spacing w:line="360" w:lineRule="auto"/>
              <w:outlineLvl w:val="0"/>
              <w:rPr>
                <w:rFonts w:hint="eastAsia" w:ascii="宋体" w:hAnsi="宋体"/>
                <w:color w:val="auto"/>
                <w:sz w:val="24"/>
                <w:highlight w:val="none"/>
              </w:rPr>
            </w:pPr>
          </w:p>
        </w:tc>
        <w:tc>
          <w:tcPr>
            <w:tcW w:w="2610" w:type="dxa"/>
            <w:noWrap w:val="0"/>
            <w:vAlign w:val="top"/>
          </w:tcPr>
          <w:p w14:paraId="581DBF1C">
            <w:pPr>
              <w:shd w:val="clear"/>
              <w:spacing w:line="360" w:lineRule="auto"/>
              <w:outlineLvl w:val="0"/>
              <w:rPr>
                <w:rFonts w:hint="eastAsia" w:ascii="宋体" w:hAnsi="宋体"/>
                <w:color w:val="auto"/>
                <w:sz w:val="24"/>
                <w:highlight w:val="none"/>
              </w:rPr>
            </w:pPr>
          </w:p>
        </w:tc>
        <w:tc>
          <w:tcPr>
            <w:tcW w:w="1320" w:type="dxa"/>
            <w:noWrap w:val="0"/>
            <w:vAlign w:val="top"/>
          </w:tcPr>
          <w:p w14:paraId="56472465">
            <w:pPr>
              <w:shd w:val="clear"/>
              <w:spacing w:line="360" w:lineRule="auto"/>
              <w:outlineLvl w:val="0"/>
              <w:rPr>
                <w:rFonts w:hint="eastAsia" w:ascii="宋体" w:hAnsi="宋体"/>
                <w:color w:val="auto"/>
                <w:sz w:val="24"/>
                <w:highlight w:val="none"/>
              </w:rPr>
            </w:pPr>
          </w:p>
        </w:tc>
        <w:tc>
          <w:tcPr>
            <w:tcW w:w="948" w:type="dxa"/>
            <w:noWrap w:val="0"/>
            <w:vAlign w:val="top"/>
          </w:tcPr>
          <w:p w14:paraId="2A1F3193">
            <w:pPr>
              <w:shd w:val="clear"/>
              <w:spacing w:line="360" w:lineRule="auto"/>
              <w:outlineLvl w:val="0"/>
              <w:rPr>
                <w:rFonts w:hint="eastAsia" w:ascii="宋体" w:hAnsi="宋体"/>
                <w:color w:val="auto"/>
                <w:sz w:val="24"/>
                <w:highlight w:val="none"/>
              </w:rPr>
            </w:pPr>
          </w:p>
        </w:tc>
      </w:tr>
    </w:tbl>
    <w:p w14:paraId="55262448">
      <w:pPr>
        <w:shd w:val="clear"/>
        <w:spacing w:line="360" w:lineRule="auto"/>
        <w:rPr>
          <w:rFonts w:hint="eastAsia" w:ascii="宋体" w:hAnsi="宋体" w:eastAsia="宋体" w:cs="宋体"/>
          <w:color w:val="auto"/>
          <w:sz w:val="24"/>
          <w:highlight w:val="none"/>
        </w:rPr>
      </w:pPr>
    </w:p>
    <w:p w14:paraId="28C34B0F">
      <w:pPr>
        <w:shd w:val="clea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p w14:paraId="558A1EF9">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1.技术条款均应根据响应文件对</w:t>
      </w:r>
      <w:r>
        <w:rPr>
          <w:rFonts w:hint="eastAsia" w:ascii="宋体" w:hAnsi="宋体" w:eastAsia="宋体" w:cs="宋体"/>
          <w:color w:val="auto"/>
          <w:sz w:val="24"/>
          <w:highlight w:val="none"/>
          <w:lang w:val="en-US" w:eastAsia="zh-CN"/>
        </w:rPr>
        <w:t>竞争性磋商</w:t>
      </w:r>
      <w:r>
        <w:rPr>
          <w:rFonts w:hint="eastAsia" w:ascii="宋体" w:hAnsi="宋体" w:eastAsia="宋体" w:cs="宋体"/>
          <w:color w:val="auto"/>
          <w:sz w:val="24"/>
          <w:highlight w:val="none"/>
        </w:rPr>
        <w:t>文件的偏离情况相对应地填列。</w:t>
      </w:r>
    </w:p>
    <w:p w14:paraId="019ECD2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2.表内如果填列不全，可另外附页说明并按规定签字和加盖公章。             </w:t>
      </w:r>
    </w:p>
    <w:p w14:paraId="5B5E7FC7">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3.采购人要求</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认真填写本表。</w:t>
      </w:r>
    </w:p>
    <w:p w14:paraId="4603B9D9">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4.此表可根据需要自行拉长加宽。</w:t>
      </w:r>
    </w:p>
    <w:p w14:paraId="05F213A8">
      <w:pPr>
        <w:shd w:val="clear"/>
        <w:spacing w:line="360" w:lineRule="auto"/>
        <w:ind w:firstLine="480" w:firstLineChars="200"/>
        <w:outlineLvl w:val="0"/>
        <w:rPr>
          <w:rFonts w:hint="eastAsia" w:ascii="宋体" w:hAnsi="宋体" w:eastAsia="宋体" w:cs="宋体"/>
          <w:color w:val="auto"/>
          <w:sz w:val="24"/>
          <w:highlight w:val="none"/>
        </w:rPr>
      </w:pPr>
    </w:p>
    <w:p w14:paraId="095C03C2">
      <w:pPr>
        <w:pStyle w:val="23"/>
        <w:shd w:val="clear"/>
        <w:rPr>
          <w:rFonts w:hint="eastAsia"/>
          <w:color w:val="auto"/>
          <w:highlight w:val="none"/>
        </w:rPr>
      </w:pPr>
    </w:p>
    <w:p w14:paraId="06F86C50">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投标单位全称（公章）：</w:t>
      </w:r>
    </w:p>
    <w:p w14:paraId="0803549C">
      <w:pPr>
        <w:shd w:val="clear"/>
        <w:spacing w:line="360" w:lineRule="auto"/>
        <w:ind w:firstLine="480" w:firstLineChars="200"/>
        <w:rPr>
          <w:rFonts w:hint="eastAsia" w:ascii="宋体" w:hAnsi="宋体" w:eastAsia="宋体" w:cs="宋体"/>
          <w:color w:val="auto"/>
          <w:sz w:val="24"/>
          <w:highlight w:val="none"/>
        </w:rPr>
      </w:pPr>
    </w:p>
    <w:p w14:paraId="0A871C9A">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单位负责人或授权代理人（签字）：</w:t>
      </w:r>
    </w:p>
    <w:p w14:paraId="2690CDC7">
      <w:pPr>
        <w:shd w:val="clear"/>
        <w:spacing w:line="360" w:lineRule="auto"/>
        <w:ind w:firstLine="480" w:firstLineChars="200"/>
        <w:rPr>
          <w:rFonts w:hint="eastAsia" w:ascii="宋体" w:hAnsi="宋体" w:eastAsia="宋体" w:cs="宋体"/>
          <w:color w:val="auto"/>
          <w:sz w:val="24"/>
          <w:highlight w:val="none"/>
        </w:rPr>
      </w:pPr>
    </w:p>
    <w:p w14:paraId="1A292D2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时间：     年  月  日</w:t>
      </w:r>
    </w:p>
    <w:p w14:paraId="7268C67C">
      <w:pPr>
        <w:shd w:val="clear"/>
        <w:spacing w:line="360" w:lineRule="auto"/>
        <w:jc w:val="center"/>
        <w:outlineLvl w:val="0"/>
        <w:rPr>
          <w:rFonts w:hint="eastAsia" w:ascii="宋体" w:hAnsi="宋体" w:eastAsia="宋体" w:cs="宋体"/>
          <w:b/>
          <w:color w:val="auto"/>
          <w:sz w:val="24"/>
          <w:szCs w:val="28"/>
          <w:highlight w:val="none"/>
        </w:rPr>
        <w:sectPr>
          <w:pgSz w:w="11906" w:h="16838"/>
          <w:pgMar w:top="1361" w:right="1304" w:bottom="1247" w:left="1304" w:header="680" w:footer="680" w:gutter="0"/>
          <w:pgNumType w:fmt="decimal"/>
          <w:cols w:space="720" w:num="1"/>
          <w:docGrid w:linePitch="312" w:charSpace="0"/>
        </w:sectPr>
      </w:pPr>
    </w:p>
    <w:p w14:paraId="16AA8AF2">
      <w:pPr>
        <w:shd w:val="clear"/>
        <w:spacing w:line="360" w:lineRule="auto"/>
        <w:jc w:val="center"/>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商务条款偏离表（格式）</w:t>
      </w:r>
    </w:p>
    <w:p w14:paraId="53C9F5E6">
      <w:pPr>
        <w:shd w:val="clear"/>
        <w:spacing w:line="360" w:lineRule="auto"/>
        <w:jc w:val="center"/>
        <w:outlineLvl w:val="0"/>
        <w:rPr>
          <w:rFonts w:hint="eastAsia" w:ascii="宋体" w:hAnsi="宋体" w:eastAsia="宋体" w:cs="宋体"/>
          <w:b/>
          <w:color w:val="auto"/>
          <w:sz w:val="24"/>
          <w:szCs w:val="28"/>
          <w:highlight w:val="none"/>
        </w:rPr>
      </w:pPr>
    </w:p>
    <w:p w14:paraId="565FB4BC">
      <w:pPr>
        <w:shd w:val="clear"/>
        <w:spacing w:line="360" w:lineRule="auto"/>
        <w:jc w:val="center"/>
        <w:outlineLvl w:val="0"/>
        <w:rPr>
          <w:rFonts w:hint="eastAsia" w:ascii="宋体" w:hAnsi="宋体" w:eastAsia="宋体" w:cs="宋体"/>
          <w:b/>
          <w:color w:val="auto"/>
          <w:sz w:val="24"/>
          <w:szCs w:val="28"/>
          <w:highlight w:val="none"/>
        </w:rPr>
      </w:pPr>
    </w:p>
    <w:p w14:paraId="33A7D1D1">
      <w:pPr>
        <w:pStyle w:val="32"/>
        <w:shd w:val="clear"/>
        <w:spacing w:line="360" w:lineRule="auto"/>
        <w:ind w:firstLine="480" w:firstLineChars="200"/>
        <w:outlineLvl w:val="0"/>
        <w:rPr>
          <w:rFonts w:hint="eastAsia" w:ascii="宋体" w:hAnsi="宋体" w:eastAsia="宋体" w:cs="宋体"/>
          <w:color w:val="auto"/>
          <w:szCs w:val="24"/>
          <w:highlight w:val="none"/>
        </w:rPr>
      </w:pPr>
      <w:r>
        <w:rPr>
          <w:rFonts w:hint="eastAsia" w:ascii="宋体" w:hAnsi="宋体" w:eastAsia="宋体" w:cs="宋体"/>
          <w:color w:val="auto"/>
          <w:szCs w:val="24"/>
          <w:highlight w:val="none"/>
        </w:rPr>
        <w:t>项目名称：                               项目编号：</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260"/>
        <w:gridCol w:w="3060"/>
        <w:gridCol w:w="3090"/>
        <w:gridCol w:w="888"/>
        <w:gridCol w:w="748"/>
      </w:tblGrid>
      <w:tr w14:paraId="5954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noWrap w:val="0"/>
            <w:vAlign w:val="center"/>
          </w:tcPr>
          <w:p w14:paraId="01341015">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60" w:type="dxa"/>
            <w:noWrap w:val="0"/>
            <w:vAlign w:val="center"/>
          </w:tcPr>
          <w:p w14:paraId="1A835D17">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服务项目名称</w:t>
            </w:r>
          </w:p>
        </w:tc>
        <w:tc>
          <w:tcPr>
            <w:tcW w:w="3060" w:type="dxa"/>
            <w:noWrap w:val="0"/>
            <w:vAlign w:val="center"/>
          </w:tcPr>
          <w:p w14:paraId="4F44CE55">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磋商文件规定的商务条款</w:t>
            </w:r>
          </w:p>
        </w:tc>
        <w:tc>
          <w:tcPr>
            <w:tcW w:w="3090" w:type="dxa"/>
            <w:noWrap w:val="0"/>
            <w:vAlign w:val="center"/>
          </w:tcPr>
          <w:p w14:paraId="2E74285F">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文件对应的商务条款</w:t>
            </w:r>
          </w:p>
        </w:tc>
        <w:tc>
          <w:tcPr>
            <w:tcW w:w="888" w:type="dxa"/>
            <w:noWrap w:val="0"/>
            <w:vAlign w:val="center"/>
          </w:tcPr>
          <w:p w14:paraId="033A2994">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是否偏离</w:t>
            </w:r>
          </w:p>
        </w:tc>
        <w:tc>
          <w:tcPr>
            <w:tcW w:w="748" w:type="dxa"/>
            <w:noWrap w:val="0"/>
            <w:vAlign w:val="center"/>
          </w:tcPr>
          <w:p w14:paraId="728C349E">
            <w:pPr>
              <w:shd w:val="clear"/>
              <w:spacing w:line="360" w:lineRule="auto"/>
              <w:jc w:val="center"/>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13A4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noWrap w:val="0"/>
            <w:vAlign w:val="top"/>
          </w:tcPr>
          <w:p w14:paraId="5F3ED5E5">
            <w:pPr>
              <w:shd w:val="clear"/>
              <w:spacing w:line="360" w:lineRule="auto"/>
              <w:outlineLvl w:val="0"/>
              <w:rPr>
                <w:rFonts w:hint="eastAsia" w:ascii="宋体" w:hAnsi="宋体" w:eastAsia="宋体" w:cs="宋体"/>
                <w:color w:val="auto"/>
                <w:sz w:val="24"/>
                <w:highlight w:val="none"/>
              </w:rPr>
            </w:pPr>
          </w:p>
        </w:tc>
        <w:tc>
          <w:tcPr>
            <w:tcW w:w="1260" w:type="dxa"/>
            <w:noWrap w:val="0"/>
            <w:vAlign w:val="top"/>
          </w:tcPr>
          <w:p w14:paraId="5D476672">
            <w:pPr>
              <w:shd w:val="clear"/>
              <w:spacing w:line="360" w:lineRule="auto"/>
              <w:outlineLvl w:val="0"/>
              <w:rPr>
                <w:rFonts w:hint="eastAsia" w:ascii="宋体" w:hAnsi="宋体" w:eastAsia="宋体" w:cs="宋体"/>
                <w:color w:val="auto"/>
                <w:sz w:val="24"/>
                <w:highlight w:val="none"/>
              </w:rPr>
            </w:pPr>
          </w:p>
        </w:tc>
        <w:tc>
          <w:tcPr>
            <w:tcW w:w="3060" w:type="dxa"/>
            <w:noWrap w:val="0"/>
            <w:vAlign w:val="top"/>
          </w:tcPr>
          <w:p w14:paraId="29D8EF16">
            <w:pPr>
              <w:shd w:val="clear"/>
              <w:spacing w:line="360" w:lineRule="auto"/>
              <w:outlineLvl w:val="0"/>
              <w:rPr>
                <w:rFonts w:hint="eastAsia" w:ascii="宋体" w:hAnsi="宋体" w:eastAsia="宋体" w:cs="宋体"/>
                <w:color w:val="auto"/>
                <w:sz w:val="24"/>
                <w:highlight w:val="none"/>
              </w:rPr>
            </w:pPr>
          </w:p>
        </w:tc>
        <w:tc>
          <w:tcPr>
            <w:tcW w:w="3090" w:type="dxa"/>
            <w:noWrap w:val="0"/>
            <w:vAlign w:val="top"/>
          </w:tcPr>
          <w:p w14:paraId="6BF26850">
            <w:pPr>
              <w:shd w:val="clear"/>
              <w:spacing w:line="360" w:lineRule="auto"/>
              <w:outlineLvl w:val="0"/>
              <w:rPr>
                <w:rFonts w:hint="eastAsia" w:ascii="宋体" w:hAnsi="宋体" w:eastAsia="宋体" w:cs="宋体"/>
                <w:color w:val="auto"/>
                <w:sz w:val="24"/>
                <w:highlight w:val="none"/>
              </w:rPr>
            </w:pPr>
          </w:p>
        </w:tc>
        <w:tc>
          <w:tcPr>
            <w:tcW w:w="888" w:type="dxa"/>
            <w:noWrap w:val="0"/>
            <w:vAlign w:val="top"/>
          </w:tcPr>
          <w:p w14:paraId="6106E821">
            <w:pPr>
              <w:shd w:val="clear"/>
              <w:spacing w:line="360" w:lineRule="auto"/>
              <w:outlineLvl w:val="0"/>
              <w:rPr>
                <w:rFonts w:hint="eastAsia" w:ascii="宋体" w:hAnsi="宋体" w:eastAsia="宋体" w:cs="宋体"/>
                <w:color w:val="auto"/>
                <w:sz w:val="24"/>
                <w:highlight w:val="none"/>
              </w:rPr>
            </w:pPr>
          </w:p>
        </w:tc>
        <w:tc>
          <w:tcPr>
            <w:tcW w:w="748" w:type="dxa"/>
            <w:noWrap w:val="0"/>
            <w:vAlign w:val="top"/>
          </w:tcPr>
          <w:p w14:paraId="2364469C">
            <w:pPr>
              <w:shd w:val="clear"/>
              <w:spacing w:line="360" w:lineRule="auto"/>
              <w:outlineLvl w:val="0"/>
              <w:rPr>
                <w:rFonts w:hint="eastAsia" w:ascii="宋体" w:hAnsi="宋体" w:eastAsia="宋体" w:cs="宋体"/>
                <w:color w:val="auto"/>
                <w:sz w:val="24"/>
                <w:highlight w:val="none"/>
              </w:rPr>
            </w:pPr>
          </w:p>
        </w:tc>
      </w:tr>
      <w:tr w14:paraId="4E187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noWrap w:val="0"/>
            <w:vAlign w:val="top"/>
          </w:tcPr>
          <w:p w14:paraId="4F54A26F">
            <w:pPr>
              <w:shd w:val="clear"/>
              <w:spacing w:line="360" w:lineRule="auto"/>
              <w:outlineLvl w:val="0"/>
              <w:rPr>
                <w:rFonts w:hint="eastAsia" w:ascii="宋体" w:hAnsi="宋体" w:eastAsia="宋体" w:cs="宋体"/>
                <w:color w:val="auto"/>
                <w:sz w:val="24"/>
                <w:highlight w:val="none"/>
              </w:rPr>
            </w:pPr>
          </w:p>
        </w:tc>
        <w:tc>
          <w:tcPr>
            <w:tcW w:w="1260" w:type="dxa"/>
            <w:noWrap w:val="0"/>
            <w:vAlign w:val="top"/>
          </w:tcPr>
          <w:p w14:paraId="214458E0">
            <w:pPr>
              <w:shd w:val="clear"/>
              <w:spacing w:line="360" w:lineRule="auto"/>
              <w:outlineLvl w:val="0"/>
              <w:rPr>
                <w:rFonts w:hint="eastAsia" w:ascii="宋体" w:hAnsi="宋体" w:eastAsia="宋体" w:cs="宋体"/>
                <w:color w:val="auto"/>
                <w:sz w:val="24"/>
                <w:highlight w:val="none"/>
              </w:rPr>
            </w:pPr>
          </w:p>
        </w:tc>
        <w:tc>
          <w:tcPr>
            <w:tcW w:w="3060" w:type="dxa"/>
            <w:noWrap w:val="0"/>
            <w:vAlign w:val="top"/>
          </w:tcPr>
          <w:p w14:paraId="2FF2C9E9">
            <w:pPr>
              <w:shd w:val="clear"/>
              <w:spacing w:line="360" w:lineRule="auto"/>
              <w:outlineLvl w:val="0"/>
              <w:rPr>
                <w:rFonts w:hint="eastAsia" w:ascii="宋体" w:hAnsi="宋体" w:eastAsia="宋体" w:cs="宋体"/>
                <w:color w:val="auto"/>
                <w:sz w:val="24"/>
                <w:highlight w:val="none"/>
              </w:rPr>
            </w:pPr>
          </w:p>
        </w:tc>
        <w:tc>
          <w:tcPr>
            <w:tcW w:w="3090" w:type="dxa"/>
            <w:noWrap w:val="0"/>
            <w:vAlign w:val="top"/>
          </w:tcPr>
          <w:p w14:paraId="2145AA95">
            <w:pPr>
              <w:shd w:val="clear"/>
              <w:spacing w:line="360" w:lineRule="auto"/>
              <w:outlineLvl w:val="0"/>
              <w:rPr>
                <w:rFonts w:hint="eastAsia" w:ascii="宋体" w:hAnsi="宋体" w:eastAsia="宋体" w:cs="宋体"/>
                <w:color w:val="auto"/>
                <w:sz w:val="24"/>
                <w:highlight w:val="none"/>
              </w:rPr>
            </w:pPr>
          </w:p>
        </w:tc>
        <w:tc>
          <w:tcPr>
            <w:tcW w:w="888" w:type="dxa"/>
            <w:noWrap w:val="0"/>
            <w:vAlign w:val="top"/>
          </w:tcPr>
          <w:p w14:paraId="3564E53E">
            <w:pPr>
              <w:shd w:val="clear"/>
              <w:spacing w:line="360" w:lineRule="auto"/>
              <w:outlineLvl w:val="0"/>
              <w:rPr>
                <w:rFonts w:hint="eastAsia" w:ascii="宋体" w:hAnsi="宋体" w:eastAsia="宋体" w:cs="宋体"/>
                <w:color w:val="auto"/>
                <w:sz w:val="24"/>
                <w:highlight w:val="none"/>
              </w:rPr>
            </w:pPr>
          </w:p>
        </w:tc>
        <w:tc>
          <w:tcPr>
            <w:tcW w:w="748" w:type="dxa"/>
            <w:noWrap w:val="0"/>
            <w:vAlign w:val="top"/>
          </w:tcPr>
          <w:p w14:paraId="144EC911">
            <w:pPr>
              <w:shd w:val="clear"/>
              <w:spacing w:line="360" w:lineRule="auto"/>
              <w:outlineLvl w:val="0"/>
              <w:rPr>
                <w:rFonts w:hint="eastAsia" w:ascii="宋体" w:hAnsi="宋体" w:eastAsia="宋体" w:cs="宋体"/>
                <w:color w:val="auto"/>
                <w:sz w:val="24"/>
                <w:highlight w:val="none"/>
              </w:rPr>
            </w:pPr>
          </w:p>
        </w:tc>
      </w:tr>
      <w:tr w14:paraId="68CC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468" w:type="dxa"/>
            <w:noWrap w:val="0"/>
            <w:vAlign w:val="top"/>
          </w:tcPr>
          <w:p w14:paraId="5974C7E3">
            <w:pPr>
              <w:shd w:val="clear"/>
              <w:spacing w:line="360" w:lineRule="auto"/>
              <w:outlineLvl w:val="0"/>
              <w:rPr>
                <w:rFonts w:hint="eastAsia" w:ascii="宋体" w:hAnsi="宋体" w:eastAsia="宋体" w:cs="宋体"/>
                <w:color w:val="auto"/>
                <w:sz w:val="24"/>
                <w:highlight w:val="none"/>
              </w:rPr>
            </w:pPr>
          </w:p>
        </w:tc>
        <w:tc>
          <w:tcPr>
            <w:tcW w:w="1260" w:type="dxa"/>
            <w:noWrap w:val="0"/>
            <w:vAlign w:val="top"/>
          </w:tcPr>
          <w:p w14:paraId="01002B37">
            <w:pPr>
              <w:shd w:val="clear"/>
              <w:spacing w:line="360" w:lineRule="auto"/>
              <w:outlineLvl w:val="0"/>
              <w:rPr>
                <w:rFonts w:hint="eastAsia" w:ascii="宋体" w:hAnsi="宋体" w:eastAsia="宋体" w:cs="宋体"/>
                <w:color w:val="auto"/>
                <w:sz w:val="24"/>
                <w:highlight w:val="none"/>
              </w:rPr>
            </w:pPr>
          </w:p>
        </w:tc>
        <w:tc>
          <w:tcPr>
            <w:tcW w:w="3060" w:type="dxa"/>
            <w:noWrap w:val="0"/>
            <w:vAlign w:val="top"/>
          </w:tcPr>
          <w:p w14:paraId="2652D3CC">
            <w:pPr>
              <w:shd w:val="clear"/>
              <w:spacing w:line="360" w:lineRule="auto"/>
              <w:outlineLvl w:val="0"/>
              <w:rPr>
                <w:rFonts w:hint="eastAsia" w:ascii="宋体" w:hAnsi="宋体" w:eastAsia="宋体" w:cs="宋体"/>
                <w:color w:val="auto"/>
                <w:sz w:val="24"/>
                <w:highlight w:val="none"/>
              </w:rPr>
            </w:pPr>
          </w:p>
        </w:tc>
        <w:tc>
          <w:tcPr>
            <w:tcW w:w="3090" w:type="dxa"/>
            <w:noWrap w:val="0"/>
            <w:vAlign w:val="top"/>
          </w:tcPr>
          <w:p w14:paraId="03078D69">
            <w:pPr>
              <w:shd w:val="clear"/>
              <w:spacing w:line="360" w:lineRule="auto"/>
              <w:outlineLvl w:val="0"/>
              <w:rPr>
                <w:rFonts w:hint="eastAsia" w:ascii="宋体" w:hAnsi="宋体" w:eastAsia="宋体" w:cs="宋体"/>
                <w:color w:val="auto"/>
                <w:sz w:val="24"/>
                <w:highlight w:val="none"/>
              </w:rPr>
            </w:pPr>
          </w:p>
        </w:tc>
        <w:tc>
          <w:tcPr>
            <w:tcW w:w="888" w:type="dxa"/>
            <w:noWrap w:val="0"/>
            <w:vAlign w:val="top"/>
          </w:tcPr>
          <w:p w14:paraId="640F9232">
            <w:pPr>
              <w:shd w:val="clear"/>
              <w:spacing w:line="360" w:lineRule="auto"/>
              <w:outlineLvl w:val="0"/>
              <w:rPr>
                <w:rFonts w:hint="eastAsia" w:ascii="宋体" w:hAnsi="宋体" w:eastAsia="宋体" w:cs="宋体"/>
                <w:color w:val="auto"/>
                <w:sz w:val="24"/>
                <w:highlight w:val="none"/>
              </w:rPr>
            </w:pPr>
          </w:p>
        </w:tc>
        <w:tc>
          <w:tcPr>
            <w:tcW w:w="748" w:type="dxa"/>
            <w:noWrap w:val="0"/>
            <w:vAlign w:val="top"/>
          </w:tcPr>
          <w:p w14:paraId="3A99CCC8">
            <w:pPr>
              <w:shd w:val="clear"/>
              <w:spacing w:line="360" w:lineRule="auto"/>
              <w:outlineLvl w:val="0"/>
              <w:rPr>
                <w:rFonts w:hint="eastAsia" w:ascii="宋体" w:hAnsi="宋体" w:eastAsia="宋体" w:cs="宋体"/>
                <w:color w:val="auto"/>
                <w:sz w:val="24"/>
                <w:highlight w:val="none"/>
              </w:rPr>
            </w:pPr>
          </w:p>
        </w:tc>
      </w:tr>
    </w:tbl>
    <w:p w14:paraId="2DEE47E6">
      <w:pPr>
        <w:shd w:val="clea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说明：</w:t>
      </w:r>
    </w:p>
    <w:p w14:paraId="490C83E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1.商务条款均应根据</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文件对</w:t>
      </w:r>
      <w:r>
        <w:rPr>
          <w:rFonts w:hint="eastAsia" w:ascii="宋体" w:hAnsi="宋体" w:eastAsia="宋体" w:cs="宋体"/>
          <w:color w:val="auto"/>
          <w:sz w:val="24"/>
          <w:highlight w:val="none"/>
          <w:lang w:val="en-US" w:eastAsia="zh-CN"/>
        </w:rPr>
        <w:t>竞争性磋商</w:t>
      </w:r>
      <w:r>
        <w:rPr>
          <w:rFonts w:hint="eastAsia" w:ascii="宋体" w:hAnsi="宋体" w:eastAsia="宋体" w:cs="宋体"/>
          <w:color w:val="auto"/>
          <w:sz w:val="24"/>
          <w:highlight w:val="none"/>
        </w:rPr>
        <w:t>文件的偏离情况相对应地填列。</w:t>
      </w:r>
    </w:p>
    <w:p w14:paraId="54E5E2DF">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2.商务条款主要填列付款条件、合同履行期限、服务方式、售后服务、质量保证、违约赔偿等重要条款方面的偏离情况。</w:t>
      </w:r>
    </w:p>
    <w:p w14:paraId="4347F513">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3.表内如果填列不全，可另外附页说明并按规定签字和加盖公章。             </w:t>
      </w:r>
    </w:p>
    <w:p w14:paraId="29E2E7C9">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4.采购人要求</w:t>
      </w: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认真填写本表。</w:t>
      </w:r>
    </w:p>
    <w:p w14:paraId="597F6A16">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5.此表可根据需要自行拉长加宽。</w:t>
      </w:r>
    </w:p>
    <w:p w14:paraId="428ADBD0">
      <w:pPr>
        <w:shd w:val="clear"/>
        <w:spacing w:line="360" w:lineRule="auto"/>
        <w:ind w:firstLine="480" w:firstLineChars="200"/>
        <w:rPr>
          <w:rFonts w:hint="eastAsia" w:ascii="宋体" w:hAnsi="宋体" w:eastAsia="宋体" w:cs="宋体"/>
          <w:color w:val="auto"/>
          <w:sz w:val="24"/>
          <w:highlight w:val="none"/>
        </w:rPr>
      </w:pPr>
    </w:p>
    <w:p w14:paraId="008FAD99">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投标单位全称（公章）：</w:t>
      </w:r>
    </w:p>
    <w:p w14:paraId="48F0BF0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单位负责人或授权代理人（签字）：</w:t>
      </w:r>
    </w:p>
    <w:p w14:paraId="36B5AE63">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时间：     年  月  日</w:t>
      </w:r>
    </w:p>
    <w:p w14:paraId="165AD2B6">
      <w:pPr>
        <w:pStyle w:val="32"/>
        <w:shd w:val="clear"/>
        <w:spacing w:line="360" w:lineRule="auto"/>
        <w:outlineLvl w:val="0"/>
        <w:rPr>
          <w:rFonts w:hint="eastAsia" w:ascii="宋体" w:hAnsi="宋体" w:eastAsia="宋体" w:cs="宋体"/>
          <w:color w:val="auto"/>
          <w:szCs w:val="24"/>
          <w:highlight w:val="none"/>
        </w:rPr>
        <w:sectPr>
          <w:pgSz w:w="11906" w:h="16838"/>
          <w:pgMar w:top="1361" w:right="1304" w:bottom="1247" w:left="1304" w:header="680" w:footer="680" w:gutter="0"/>
          <w:pgNumType w:fmt="decimal"/>
          <w:cols w:space="720" w:num="1"/>
          <w:docGrid w:linePitch="312" w:charSpace="0"/>
        </w:sectPr>
      </w:pPr>
    </w:p>
    <w:p w14:paraId="5DB30179">
      <w:pPr>
        <w:pStyle w:val="32"/>
        <w:shd w:val="clear"/>
        <w:spacing w:line="360" w:lineRule="auto"/>
        <w:outlineLvl w:val="0"/>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格式五：</w:t>
      </w:r>
    </w:p>
    <w:p w14:paraId="02661218">
      <w:pPr>
        <w:shd w:val="clear"/>
        <w:spacing w:line="360" w:lineRule="auto"/>
        <w:jc w:val="center"/>
        <w:outlineLvl w:val="0"/>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售后服务承诺书（格式）</w:t>
      </w:r>
    </w:p>
    <w:p w14:paraId="0E9D64DF">
      <w:pPr>
        <w:shd w:val="clear"/>
        <w:spacing w:line="360" w:lineRule="auto"/>
        <w:jc w:val="center"/>
        <w:outlineLvl w:val="0"/>
        <w:rPr>
          <w:rFonts w:hint="eastAsia" w:ascii="宋体" w:hAnsi="宋体" w:eastAsia="宋体" w:cs="宋体"/>
          <w:b/>
          <w:bCs/>
          <w:color w:val="auto"/>
          <w:sz w:val="24"/>
          <w:szCs w:val="28"/>
          <w:highlight w:val="none"/>
        </w:rPr>
      </w:pPr>
    </w:p>
    <w:p w14:paraId="4D2F9DC3">
      <w:pPr>
        <w:shd w:val="clear"/>
        <w:spacing w:line="360" w:lineRule="auto"/>
        <w:jc w:val="center"/>
        <w:outlineLvl w:val="0"/>
        <w:rPr>
          <w:rFonts w:hint="eastAsia" w:ascii="宋体" w:hAnsi="宋体" w:eastAsia="宋体" w:cs="宋体"/>
          <w:b/>
          <w:bCs/>
          <w:color w:val="auto"/>
          <w:sz w:val="24"/>
          <w:szCs w:val="28"/>
          <w:highlight w:val="none"/>
        </w:rPr>
      </w:pPr>
    </w:p>
    <w:p w14:paraId="26553E7B">
      <w:pPr>
        <w:shd w:val="clear"/>
        <w:spacing w:line="360" w:lineRule="auto"/>
        <w:outlineLvl w:val="0"/>
        <w:rPr>
          <w:rFonts w:hint="eastAsia" w:ascii="宋体" w:hAnsi="宋体" w:eastAsia="宋体" w:cs="宋体"/>
          <w:bCs/>
          <w:color w:val="auto"/>
          <w:sz w:val="24"/>
          <w:highlight w:val="none"/>
        </w:rPr>
      </w:pP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w:t>
      </w:r>
    </w:p>
    <w:p w14:paraId="105231E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我公司自愿参加</w:t>
      </w:r>
      <w:r>
        <w:rPr>
          <w:rFonts w:hint="eastAsia" w:ascii="宋体" w:hAnsi="宋体" w:eastAsia="宋体" w:cs="宋体"/>
          <w:bCs/>
          <w:color w:val="auto"/>
          <w:sz w:val="24"/>
          <w:highlight w:val="none"/>
          <w:u w:val="single"/>
        </w:rPr>
        <w:t xml:space="preserve">                          　　　　   </w:t>
      </w:r>
      <w:r>
        <w:rPr>
          <w:rFonts w:hint="eastAsia" w:ascii="宋体" w:hAnsi="宋体" w:eastAsia="宋体" w:cs="宋体"/>
          <w:bCs/>
          <w:color w:val="auto"/>
          <w:sz w:val="24"/>
          <w:highlight w:val="none"/>
        </w:rPr>
        <w:t xml:space="preserve">项目（项目编号          </w:t>
      </w:r>
      <w:r>
        <w:rPr>
          <w:rFonts w:hint="eastAsia" w:ascii="宋体" w:hAnsi="宋体" w:eastAsia="宋体" w:cs="宋体"/>
          <w:color w:val="auto"/>
          <w:sz w:val="24"/>
          <w:highlight w:val="none"/>
        </w:rPr>
        <w:t>）的投标。我公司郑重承诺，如果我公司的投标被评定为中标，我公司对于中标货物，除完全响应</w:t>
      </w:r>
      <w:r>
        <w:rPr>
          <w:rFonts w:hint="eastAsia" w:ascii="宋体" w:hAnsi="宋体" w:eastAsia="宋体" w:cs="宋体"/>
          <w:color w:val="auto"/>
          <w:sz w:val="24"/>
          <w:highlight w:val="none"/>
          <w:lang w:val="en-US" w:eastAsia="zh-CN"/>
        </w:rPr>
        <w:t>竞争性磋商</w:t>
      </w:r>
      <w:r>
        <w:rPr>
          <w:rFonts w:hint="eastAsia" w:ascii="宋体" w:hAnsi="宋体" w:eastAsia="宋体" w:cs="宋体"/>
          <w:color w:val="auto"/>
          <w:sz w:val="24"/>
          <w:highlight w:val="none"/>
        </w:rPr>
        <w:t>文件第四章合同条款对伴随服务和售后服务的所有要求外，还将按照以下条款提供优质和完善的售后服务：</w:t>
      </w:r>
    </w:p>
    <w:p w14:paraId="6E6C4ED9">
      <w:pPr>
        <w:numPr>
          <w:ilvl w:val="0"/>
          <w:numId w:val="27"/>
        </w:numPr>
        <w:shd w:val="clear"/>
        <w:spacing w:line="360" w:lineRule="auto"/>
        <w:ind w:firstLine="480" w:firstLineChars="2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u w:val="single"/>
        </w:rPr>
        <w:t xml:space="preserve">             ；</w:t>
      </w:r>
    </w:p>
    <w:p w14:paraId="66F5F470">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135CD05C">
      <w:pPr>
        <w:shd w:val="clear"/>
        <w:spacing w:line="360" w:lineRule="auto"/>
        <w:ind w:firstLine="480" w:firstLineChars="200"/>
        <w:rPr>
          <w:rFonts w:hint="eastAsia" w:ascii="宋体" w:hAnsi="宋体" w:eastAsia="宋体" w:cs="宋体"/>
          <w:color w:val="auto"/>
          <w:sz w:val="24"/>
          <w:highlight w:val="none"/>
        </w:rPr>
      </w:pPr>
    </w:p>
    <w:p w14:paraId="7B2AE993">
      <w:pPr>
        <w:shd w:val="clear"/>
        <w:spacing w:line="360" w:lineRule="auto"/>
        <w:ind w:firstLine="480" w:firstLineChars="200"/>
        <w:rPr>
          <w:rFonts w:hint="eastAsia" w:ascii="宋体" w:hAnsi="宋体" w:eastAsia="宋体" w:cs="宋体"/>
          <w:color w:val="auto"/>
          <w:sz w:val="24"/>
          <w:highlight w:val="none"/>
        </w:rPr>
      </w:pPr>
    </w:p>
    <w:p w14:paraId="548ADCBD">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投标单位全称（公章）：</w:t>
      </w:r>
    </w:p>
    <w:p w14:paraId="1351FFF6">
      <w:pPr>
        <w:shd w:val="clear"/>
        <w:spacing w:line="360" w:lineRule="auto"/>
        <w:outlineLvl w:val="0"/>
        <w:rPr>
          <w:rFonts w:hint="eastAsia" w:ascii="宋体" w:hAnsi="宋体" w:eastAsia="宋体" w:cs="宋体"/>
          <w:color w:val="auto"/>
          <w:sz w:val="24"/>
          <w:highlight w:val="none"/>
        </w:rPr>
      </w:pPr>
    </w:p>
    <w:p w14:paraId="412DD622">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单位负责人或授权代理人签字：</w:t>
      </w:r>
    </w:p>
    <w:p w14:paraId="2C5446B2">
      <w:pPr>
        <w:shd w:val="clear"/>
        <w:spacing w:line="360" w:lineRule="auto"/>
        <w:outlineLvl w:val="0"/>
        <w:rPr>
          <w:rFonts w:hint="eastAsia" w:ascii="宋体" w:hAnsi="宋体" w:eastAsia="宋体" w:cs="宋体"/>
          <w:color w:val="auto"/>
          <w:sz w:val="24"/>
          <w:highlight w:val="none"/>
        </w:rPr>
      </w:pPr>
    </w:p>
    <w:p w14:paraId="1F2AC5AD">
      <w:pPr>
        <w:shd w:val="clear"/>
        <w:spacing w:line="360" w:lineRule="auto"/>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441905E3">
      <w:pPr>
        <w:pStyle w:val="32"/>
        <w:shd w:val="clear"/>
        <w:spacing w:line="360" w:lineRule="auto"/>
        <w:outlineLvl w:val="0"/>
        <w:rPr>
          <w:rFonts w:hint="eastAsia" w:ascii="宋体" w:hAnsi="宋体" w:eastAsia="宋体" w:cs="宋体"/>
          <w:color w:val="auto"/>
          <w:szCs w:val="24"/>
          <w:highlight w:val="none"/>
        </w:rPr>
      </w:pPr>
    </w:p>
    <w:p w14:paraId="6206DFCC">
      <w:pPr>
        <w:pStyle w:val="32"/>
        <w:shd w:val="clear"/>
        <w:spacing w:line="360" w:lineRule="auto"/>
        <w:outlineLvl w:val="0"/>
        <w:rPr>
          <w:rFonts w:hint="eastAsia" w:ascii="宋体" w:hAnsi="宋体" w:eastAsia="宋体" w:cs="宋体"/>
          <w:b/>
          <w:color w:val="auto"/>
          <w:szCs w:val="28"/>
          <w:highlight w:val="none"/>
        </w:rPr>
      </w:pPr>
    </w:p>
    <w:p w14:paraId="4DB1C203">
      <w:pPr>
        <w:pStyle w:val="32"/>
        <w:shd w:val="clear"/>
        <w:spacing w:line="360" w:lineRule="auto"/>
        <w:outlineLvl w:val="0"/>
        <w:rPr>
          <w:rFonts w:hint="eastAsia" w:ascii="宋体" w:hAnsi="宋体" w:eastAsia="宋体" w:cs="宋体"/>
          <w:b/>
          <w:color w:val="auto"/>
          <w:szCs w:val="28"/>
          <w:highlight w:val="none"/>
        </w:rPr>
      </w:pPr>
    </w:p>
    <w:p w14:paraId="6754FEF8">
      <w:pPr>
        <w:pStyle w:val="32"/>
        <w:shd w:val="clear"/>
        <w:spacing w:line="360" w:lineRule="auto"/>
        <w:outlineLvl w:val="0"/>
        <w:rPr>
          <w:rFonts w:hint="eastAsia" w:ascii="宋体" w:hAnsi="宋体" w:eastAsia="宋体" w:cs="宋体"/>
          <w:b/>
          <w:color w:val="auto"/>
          <w:szCs w:val="28"/>
          <w:highlight w:val="none"/>
        </w:rPr>
      </w:pPr>
    </w:p>
    <w:p w14:paraId="724F41A1">
      <w:pPr>
        <w:pStyle w:val="32"/>
        <w:shd w:val="clear"/>
        <w:spacing w:line="360" w:lineRule="auto"/>
        <w:outlineLvl w:val="0"/>
        <w:rPr>
          <w:rFonts w:hint="eastAsia" w:ascii="宋体" w:hAnsi="宋体" w:eastAsia="宋体" w:cs="宋体"/>
          <w:b/>
          <w:color w:val="auto"/>
          <w:szCs w:val="28"/>
          <w:highlight w:val="none"/>
        </w:rPr>
      </w:pPr>
    </w:p>
    <w:p w14:paraId="59ABCE4E">
      <w:pPr>
        <w:pStyle w:val="32"/>
        <w:shd w:val="clear"/>
        <w:spacing w:line="360" w:lineRule="auto"/>
        <w:outlineLvl w:val="0"/>
        <w:rPr>
          <w:rFonts w:hint="eastAsia" w:ascii="宋体" w:hAnsi="宋体" w:eastAsia="宋体" w:cs="宋体"/>
          <w:b/>
          <w:color w:val="auto"/>
          <w:szCs w:val="28"/>
          <w:highlight w:val="none"/>
        </w:rPr>
        <w:sectPr>
          <w:pgSz w:w="11906" w:h="16838"/>
          <w:pgMar w:top="1361" w:right="1304" w:bottom="1247" w:left="1304" w:header="680" w:footer="680" w:gutter="0"/>
          <w:pgNumType w:fmt="decimal"/>
          <w:cols w:space="720" w:num="1"/>
          <w:docGrid w:linePitch="312" w:charSpace="0"/>
        </w:sectPr>
      </w:pPr>
    </w:p>
    <w:p w14:paraId="3D520607">
      <w:pPr>
        <w:pStyle w:val="32"/>
        <w:shd w:val="clear"/>
        <w:spacing w:line="360" w:lineRule="auto"/>
        <w:outlineLvl w:val="0"/>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格式六：</w:t>
      </w:r>
    </w:p>
    <w:p w14:paraId="6BF49086">
      <w:pPr>
        <w:shd w:val="clear"/>
        <w:spacing w:line="360" w:lineRule="auto"/>
        <w:jc w:val="center"/>
        <w:outlineLvl w:val="0"/>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法定代表人资格证明（格式）</w:t>
      </w:r>
    </w:p>
    <w:p w14:paraId="4E97288D">
      <w:pPr>
        <w:shd w:val="clear"/>
        <w:spacing w:line="360" w:lineRule="auto"/>
        <w:jc w:val="center"/>
        <w:outlineLvl w:val="0"/>
        <w:rPr>
          <w:rFonts w:hint="eastAsia" w:ascii="宋体" w:hAnsi="宋体" w:eastAsia="宋体" w:cs="宋体"/>
          <w:color w:val="auto"/>
          <w:sz w:val="24"/>
          <w:highlight w:val="none"/>
        </w:rPr>
      </w:pPr>
    </w:p>
    <w:p w14:paraId="62243877">
      <w:pPr>
        <w:shd w:val="clear"/>
        <w:spacing w:line="360" w:lineRule="auto"/>
        <w:ind w:firstLine="480" w:firstLineChars="200"/>
        <w:jc w:val="left"/>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兹证明：在下面签字的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（被证明人姓名）现任</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（职务），系</w:t>
      </w:r>
      <w:r>
        <w:rPr>
          <w:rFonts w:hint="eastAsia" w:ascii="宋体" w:hAnsi="宋体" w:eastAsia="宋体" w:cs="宋体"/>
          <w:color w:val="auto"/>
          <w:sz w:val="24"/>
          <w:highlight w:val="none"/>
          <w:u w:val="single"/>
        </w:rPr>
        <w:t xml:space="preserve">  （单位名称）  </w:t>
      </w:r>
      <w:r>
        <w:rPr>
          <w:rFonts w:hint="eastAsia" w:ascii="宋体" w:hAnsi="宋体" w:eastAsia="宋体" w:cs="宋体"/>
          <w:color w:val="auto"/>
          <w:sz w:val="24"/>
          <w:highlight w:val="none"/>
        </w:rPr>
        <w:t>的法定代表人。</w:t>
      </w:r>
    </w:p>
    <w:p w14:paraId="03D7543D">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0EECF86C">
      <w:pPr>
        <w:shd w:val="clear"/>
        <w:spacing w:line="360" w:lineRule="auto"/>
        <w:ind w:firstLine="480" w:firstLineChars="200"/>
        <w:outlineLvl w:val="0"/>
        <w:rPr>
          <w:rFonts w:hint="eastAsia" w:ascii="宋体" w:hAnsi="宋体" w:eastAsia="宋体" w:cs="宋体"/>
          <w:color w:val="auto"/>
          <w:sz w:val="24"/>
          <w:highlight w:val="none"/>
        </w:rPr>
      </w:pPr>
    </w:p>
    <w:p w14:paraId="2597A8C7">
      <w:pPr>
        <w:shd w:val="clear"/>
        <w:spacing w:line="360" w:lineRule="auto"/>
        <w:ind w:firstLine="480" w:firstLineChars="200"/>
        <w:outlineLvl w:val="0"/>
        <w:rPr>
          <w:rFonts w:hint="eastAsia" w:ascii="宋体" w:hAnsi="宋体" w:eastAsia="宋体" w:cs="宋体"/>
          <w:color w:val="auto"/>
          <w:sz w:val="24"/>
          <w:highlight w:val="none"/>
        </w:rPr>
      </w:pPr>
    </w:p>
    <w:p w14:paraId="33F43653">
      <w:pPr>
        <w:shd w:val="clear"/>
        <w:spacing w:line="360" w:lineRule="auto"/>
        <w:ind w:firstLine="480" w:firstLineChars="200"/>
        <w:outlineLvl w:val="0"/>
        <w:rPr>
          <w:rFonts w:hint="eastAsia" w:ascii="宋体" w:hAnsi="宋体" w:eastAsia="宋体" w:cs="宋体"/>
          <w:color w:val="auto"/>
          <w:sz w:val="24"/>
          <w:highlight w:val="none"/>
        </w:rPr>
      </w:pPr>
    </w:p>
    <w:p w14:paraId="1A37EA64">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投标单位全称（公章）：</w:t>
      </w:r>
    </w:p>
    <w:p w14:paraId="10CFB27D">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p>
    <w:p w14:paraId="53423766">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被证明人签字：</w:t>
      </w:r>
    </w:p>
    <w:p w14:paraId="231BB983">
      <w:pPr>
        <w:shd w:val="clear"/>
        <w:spacing w:line="360" w:lineRule="auto"/>
        <w:ind w:firstLine="555"/>
        <w:outlineLvl w:val="0"/>
        <w:rPr>
          <w:rFonts w:hint="eastAsia" w:ascii="宋体" w:hAnsi="宋体" w:eastAsia="宋体" w:cs="宋体"/>
          <w:color w:val="auto"/>
          <w:sz w:val="24"/>
          <w:highlight w:val="none"/>
        </w:rPr>
      </w:pPr>
    </w:p>
    <w:p w14:paraId="2293222D">
      <w:pPr>
        <w:shd w:val="clear"/>
        <w:spacing w:line="360" w:lineRule="auto"/>
        <w:outlineLvl w:val="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年   月   日</w:t>
      </w:r>
    </w:p>
    <w:p w14:paraId="6E3BCE90">
      <w:pPr>
        <w:pStyle w:val="32"/>
        <w:shd w:val="clear"/>
        <w:spacing w:line="360" w:lineRule="auto"/>
        <w:outlineLvl w:val="0"/>
        <w:rPr>
          <w:rFonts w:hint="eastAsia" w:ascii="宋体" w:hAnsi="宋体" w:eastAsia="宋体" w:cs="宋体"/>
          <w:color w:val="auto"/>
          <w:szCs w:val="24"/>
          <w:highlight w:val="none"/>
        </w:rPr>
      </w:pPr>
    </w:p>
    <w:p w14:paraId="1AC85CAB">
      <w:pPr>
        <w:pStyle w:val="32"/>
        <w:shd w:val="clear"/>
        <w:spacing w:line="360" w:lineRule="auto"/>
        <w:jc w:val="center"/>
        <w:outlineLvl w:val="0"/>
        <w:rPr>
          <w:rFonts w:hint="eastAsia" w:ascii="宋体" w:hAnsi="宋体" w:eastAsia="宋体" w:cs="宋体"/>
          <w:color w:val="auto"/>
          <w:szCs w:val="24"/>
          <w:highlight w:val="none"/>
        </w:rPr>
      </w:pPr>
      <w:r>
        <w:rPr>
          <w:rFonts w:hint="eastAsia" w:ascii="宋体" w:hAnsi="宋体" w:eastAsia="宋体" w:cs="宋体"/>
          <w:color w:val="auto"/>
          <w:highlight w:val="none"/>
        </w:rPr>
        <w:t>法定代表人</w:t>
      </w:r>
      <w:r>
        <w:rPr>
          <w:rFonts w:hint="eastAsia" w:ascii="宋体" w:hAnsi="宋体" w:eastAsia="宋体" w:cs="宋体"/>
          <w:color w:val="auto"/>
          <w:szCs w:val="24"/>
          <w:highlight w:val="none"/>
        </w:rPr>
        <w:t>身份证正、反面</w:t>
      </w:r>
      <w:r>
        <w:rPr>
          <w:rFonts w:hint="eastAsia" w:ascii="宋体" w:hAnsi="宋体" w:eastAsia="宋体" w:cs="宋体"/>
          <w:color w:val="auto"/>
          <w:szCs w:val="24"/>
          <w:highlight w:val="none"/>
          <w:lang w:eastAsia="zh-CN"/>
        </w:rPr>
        <w:t>粘贴</w:t>
      </w:r>
      <w:r>
        <w:rPr>
          <w:rFonts w:hint="eastAsia" w:ascii="宋体" w:hAnsi="宋体" w:eastAsia="宋体" w:cs="宋体"/>
          <w:color w:val="auto"/>
          <w:szCs w:val="24"/>
          <w:highlight w:val="none"/>
        </w:rPr>
        <w:t>处</w:t>
      </w:r>
    </w:p>
    <w:p w14:paraId="39D26C70">
      <w:pPr>
        <w:pStyle w:val="32"/>
        <w:shd w:val="clear"/>
        <w:spacing w:line="360" w:lineRule="auto"/>
        <w:outlineLvl w:val="0"/>
        <w:rPr>
          <w:rFonts w:hint="eastAsia" w:ascii="宋体" w:hAnsi="宋体" w:eastAsia="宋体" w:cs="宋体"/>
          <w:color w:val="auto"/>
          <w:szCs w:val="24"/>
          <w:highlight w:val="none"/>
        </w:rPr>
      </w:pPr>
    </w:p>
    <w:p w14:paraId="79523FB6">
      <w:pPr>
        <w:pStyle w:val="32"/>
        <w:shd w:val="clear"/>
        <w:spacing w:line="360" w:lineRule="auto"/>
        <w:outlineLvl w:val="0"/>
        <w:rPr>
          <w:rFonts w:hint="eastAsia" w:ascii="宋体" w:hAnsi="宋体" w:eastAsia="宋体" w:cs="宋体"/>
          <w:color w:val="auto"/>
          <w:szCs w:val="24"/>
          <w:highlight w:val="none"/>
        </w:rPr>
      </w:pPr>
    </w:p>
    <w:p w14:paraId="7CF83296">
      <w:pPr>
        <w:pStyle w:val="32"/>
        <w:shd w:val="clear"/>
        <w:spacing w:line="360" w:lineRule="auto"/>
        <w:outlineLvl w:val="0"/>
        <w:rPr>
          <w:rFonts w:hint="eastAsia" w:ascii="宋体" w:hAnsi="宋体" w:eastAsia="宋体" w:cs="宋体"/>
          <w:b/>
          <w:color w:val="auto"/>
          <w:szCs w:val="28"/>
          <w:highlight w:val="none"/>
        </w:rPr>
      </w:pPr>
    </w:p>
    <w:p w14:paraId="173CB7A9">
      <w:pPr>
        <w:pStyle w:val="32"/>
        <w:shd w:val="clear"/>
        <w:spacing w:line="360" w:lineRule="auto"/>
        <w:outlineLvl w:val="0"/>
        <w:rPr>
          <w:rFonts w:hint="eastAsia" w:ascii="宋体" w:hAnsi="宋体" w:eastAsia="宋体" w:cs="宋体"/>
          <w:b/>
          <w:color w:val="auto"/>
          <w:szCs w:val="28"/>
          <w:highlight w:val="none"/>
        </w:rPr>
      </w:pPr>
    </w:p>
    <w:p w14:paraId="4BCB14EA">
      <w:pPr>
        <w:pStyle w:val="32"/>
        <w:shd w:val="clear"/>
        <w:spacing w:line="360" w:lineRule="auto"/>
        <w:outlineLvl w:val="0"/>
        <w:rPr>
          <w:rFonts w:hint="eastAsia" w:ascii="宋体" w:hAnsi="宋体" w:eastAsia="宋体" w:cs="宋体"/>
          <w:b/>
          <w:color w:val="auto"/>
          <w:szCs w:val="28"/>
          <w:highlight w:val="none"/>
        </w:rPr>
        <w:sectPr>
          <w:pgSz w:w="11906" w:h="16838"/>
          <w:pgMar w:top="1361" w:right="1304" w:bottom="1247" w:left="1304" w:header="680" w:footer="680" w:gutter="0"/>
          <w:pgNumType w:fmt="decimal"/>
          <w:cols w:space="720" w:num="1"/>
          <w:docGrid w:linePitch="312" w:charSpace="0"/>
        </w:sectPr>
      </w:pPr>
    </w:p>
    <w:p w14:paraId="733F53AF">
      <w:pPr>
        <w:pStyle w:val="32"/>
        <w:shd w:val="clear"/>
        <w:spacing w:line="360" w:lineRule="auto"/>
        <w:outlineLvl w:val="0"/>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格式七：</w:t>
      </w:r>
    </w:p>
    <w:p w14:paraId="46AAD1A4">
      <w:pPr>
        <w:shd w:val="clear"/>
        <w:spacing w:line="360" w:lineRule="auto"/>
        <w:rPr>
          <w:rFonts w:hint="eastAsia" w:ascii="宋体" w:hAnsi="宋体" w:eastAsia="宋体" w:cs="宋体"/>
          <w:b/>
          <w:color w:val="auto"/>
          <w:sz w:val="24"/>
          <w:szCs w:val="28"/>
          <w:highlight w:val="none"/>
        </w:rPr>
      </w:pPr>
    </w:p>
    <w:p w14:paraId="1C0E5B6A">
      <w:pPr>
        <w:shd w:val="clear"/>
        <w:snapToGrid w:val="0"/>
        <w:spacing w:line="360" w:lineRule="auto"/>
        <w:jc w:val="center"/>
        <w:textAlignment w:val="bottom"/>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法定代表人授权书（格式）</w:t>
      </w:r>
    </w:p>
    <w:p w14:paraId="62A36999">
      <w:pPr>
        <w:shd w:val="clear"/>
        <w:snapToGrid w:val="0"/>
        <w:spacing w:line="360" w:lineRule="auto"/>
        <w:jc w:val="center"/>
        <w:textAlignment w:val="bottom"/>
        <w:rPr>
          <w:rFonts w:hint="eastAsia" w:ascii="宋体" w:hAnsi="宋体" w:eastAsia="宋体" w:cs="宋体"/>
          <w:b/>
          <w:bCs/>
          <w:color w:val="auto"/>
          <w:sz w:val="24"/>
          <w:szCs w:val="28"/>
          <w:highlight w:val="none"/>
        </w:rPr>
      </w:pPr>
    </w:p>
    <w:p w14:paraId="611E1432">
      <w:pPr>
        <w:shd w:val="clear"/>
        <w:snapToGrid w:val="0"/>
        <w:spacing w:line="360" w:lineRule="auto"/>
        <w:textAlignment w:val="bottom"/>
        <w:rPr>
          <w:rFonts w:hint="eastAsia" w:ascii="宋体" w:hAnsi="宋体" w:eastAsia="宋体" w:cs="宋体"/>
          <w:color w:val="auto"/>
          <w:sz w:val="24"/>
          <w:highlight w:val="none"/>
        </w:rPr>
      </w:pPr>
    </w:p>
    <w:p w14:paraId="0BC3E1C2">
      <w:pPr>
        <w:shd w:val="clear"/>
        <w:snapToGrid w:val="0"/>
        <w:spacing w:line="360" w:lineRule="auto"/>
        <w:textAlignment w:val="bottom"/>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本授权书声明：注册于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公司的在下面签字的（单位负责人姓名、职务）代表本公司授权在下面签字的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（被授权人的姓名、职务）为本公司的合法代理人，就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项目（招标编号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）的投标以及合同的谈判、签约、执行、完成和保修等全权负责，以本公司名义处理一切与之有关的事务。</w:t>
      </w:r>
    </w:p>
    <w:p w14:paraId="1ABAD9BF">
      <w:pPr>
        <w:shd w:val="clear"/>
        <w:snapToGrid w:val="0"/>
        <w:spacing w:line="360" w:lineRule="auto"/>
        <w:textAlignment w:val="bottom"/>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本授权书于</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日签字生效，特此声明。</w:t>
      </w:r>
    </w:p>
    <w:p w14:paraId="7E7807C7">
      <w:pPr>
        <w:shd w:val="clear"/>
        <w:snapToGrid w:val="0"/>
        <w:spacing w:line="360" w:lineRule="auto"/>
        <w:ind w:firstLine="975"/>
        <w:textAlignment w:val="bottom"/>
        <w:rPr>
          <w:rFonts w:hint="eastAsia" w:ascii="宋体" w:hAnsi="宋体" w:eastAsia="宋体" w:cs="宋体"/>
          <w:color w:val="auto"/>
          <w:sz w:val="24"/>
          <w:highlight w:val="none"/>
        </w:rPr>
      </w:pPr>
    </w:p>
    <w:p w14:paraId="48393A84">
      <w:pPr>
        <w:shd w:val="clear"/>
        <w:snapToGrid w:val="0"/>
        <w:spacing w:line="360" w:lineRule="auto"/>
        <w:ind w:firstLine="975"/>
        <w:textAlignment w:val="bottom"/>
        <w:rPr>
          <w:rFonts w:hint="eastAsia" w:ascii="宋体" w:hAnsi="宋体" w:eastAsia="宋体" w:cs="宋体"/>
          <w:color w:val="auto"/>
          <w:sz w:val="24"/>
          <w:highlight w:val="none"/>
        </w:rPr>
      </w:pPr>
    </w:p>
    <w:p w14:paraId="73839013">
      <w:pPr>
        <w:shd w:val="clear"/>
        <w:snapToGrid w:val="0"/>
        <w:spacing w:line="360" w:lineRule="auto"/>
        <w:ind w:firstLine="480" w:firstLineChars="200"/>
        <w:textAlignment w:val="bottom"/>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供应商</w:t>
      </w:r>
      <w:r>
        <w:rPr>
          <w:rFonts w:hint="eastAsia" w:ascii="宋体" w:hAnsi="宋体" w:eastAsia="宋体" w:cs="宋体"/>
          <w:color w:val="auto"/>
          <w:sz w:val="24"/>
          <w:highlight w:val="none"/>
        </w:rPr>
        <w:t>名称（盖章）：</w:t>
      </w:r>
    </w:p>
    <w:p w14:paraId="0F3F0AEB">
      <w:pPr>
        <w:shd w:val="clear"/>
        <w:snapToGrid w:val="0"/>
        <w:spacing w:line="360" w:lineRule="auto"/>
        <w:ind w:firstLine="972" w:firstLineChars="405"/>
        <w:textAlignment w:val="bottom"/>
        <w:rPr>
          <w:rFonts w:hint="eastAsia" w:ascii="宋体" w:hAnsi="宋体" w:eastAsia="宋体" w:cs="宋体"/>
          <w:color w:val="auto"/>
          <w:sz w:val="24"/>
          <w:highlight w:val="none"/>
        </w:rPr>
      </w:pPr>
    </w:p>
    <w:p w14:paraId="16A34604">
      <w:pPr>
        <w:shd w:val="clear"/>
        <w:snapToGrid w:val="0"/>
        <w:spacing w:line="360" w:lineRule="auto"/>
        <w:textAlignment w:val="bottom"/>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地址：</w:t>
      </w:r>
    </w:p>
    <w:p w14:paraId="57EDC1F1">
      <w:pPr>
        <w:shd w:val="clear"/>
        <w:snapToGrid w:val="0"/>
        <w:spacing w:line="360" w:lineRule="auto"/>
        <w:textAlignment w:val="bottom"/>
        <w:rPr>
          <w:rFonts w:hint="eastAsia" w:ascii="宋体" w:hAnsi="宋体" w:eastAsia="宋体" w:cs="宋体"/>
          <w:color w:val="auto"/>
          <w:sz w:val="24"/>
          <w:highlight w:val="none"/>
        </w:rPr>
      </w:pPr>
    </w:p>
    <w:p w14:paraId="12D55AE8">
      <w:pPr>
        <w:shd w:val="clear"/>
        <w:snapToGrid w:val="0"/>
        <w:spacing w:line="360" w:lineRule="auto"/>
        <w:textAlignment w:val="bottom"/>
        <w:rPr>
          <w:rFonts w:hint="eastAsia" w:ascii="宋体" w:hAnsi="宋体" w:eastAsia="宋体" w:cs="宋体"/>
          <w:color w:val="auto"/>
          <w:sz w:val="24"/>
          <w:highlight w:val="none"/>
        </w:rPr>
      </w:pPr>
      <w:r>
        <w:rPr>
          <w:rFonts w:hint="eastAsia" w:ascii="宋体" w:hAnsi="宋体" w:eastAsia="宋体" w:cs="宋体"/>
          <w:color w:val="auto"/>
          <w:sz w:val="24"/>
          <w:highlight w:val="none"/>
        </w:rPr>
        <mc:AlternateContent>
          <mc:Choice Requires="wps">
            <w:drawing>
              <wp:anchor distT="0" distB="0" distL="114300" distR="114300" simplePos="0" relativeHeight="251659264" behindDoc="0" locked="0" layoutInCell="0" allowOverlap="1">
                <wp:simplePos x="0" y="0"/>
                <wp:positionH relativeFrom="column">
                  <wp:posOffset>2753360</wp:posOffset>
                </wp:positionH>
                <wp:positionV relativeFrom="paragraph">
                  <wp:posOffset>180340</wp:posOffset>
                </wp:positionV>
                <wp:extent cx="1393190" cy="0"/>
                <wp:effectExtent l="0" t="4445" r="0" b="5080"/>
                <wp:wrapNone/>
                <wp:docPr id="1" name="Line 2"/>
                <wp:cNvGraphicFramePr/>
                <a:graphic xmlns:a="http://schemas.openxmlformats.org/drawingml/2006/main">
                  <a:graphicData uri="http://schemas.microsoft.com/office/word/2010/wordprocessingShape">
                    <wps:wsp>
                      <wps:cNvCnPr/>
                      <wps:spPr>
                        <a:xfrm>
                          <a:off x="0" y="0"/>
                          <a:ext cx="139319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216.8pt;margin-top:14.2pt;height:0pt;width:109.7pt;z-index:251659264;mso-width-relative:page;mso-height-relative:page;" filled="f" stroked="t" coordsize="21600,21600" o:allowincell="f" o:gfxdata="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p2s981gAAAAkBAAAPAAAAAAAA&#10;AAEAIAAAACIAAABkcnMvZG93bnJldi54bWxQSwECFAAUAAAACACHTuJA2nnpANsBAADZAwAADgAA&#10;AAAAAAABACAAAAAlAQAAZHJzL2Uyb0RvYy54bWxQSwUGAAAAAAYABgBZAQAAcgUAAAAA&#10;">
                <v:fill on="f" focussize="0,0"/>
                <v:stroke color="#000000" joinstyle="round"/>
                <v:imagedata o:title=""/>
                <o:lock v:ext="edit" aspectratio="f"/>
              </v:line>
            </w:pict>
          </mc:Fallback>
        </mc:AlternateContent>
      </w:r>
      <w:r>
        <w:rPr>
          <w:rFonts w:hint="eastAsia" w:ascii="宋体" w:hAnsi="宋体" w:eastAsia="宋体" w:cs="宋体"/>
          <w:color w:val="auto"/>
          <w:sz w:val="24"/>
          <w:highlight w:val="none"/>
        </w:rPr>
        <w:t xml:space="preserve">    授权人（法定代表人）签字：</w:t>
      </w:r>
    </w:p>
    <w:p w14:paraId="54ACA66F">
      <w:pPr>
        <w:shd w:val="clear"/>
        <w:snapToGrid w:val="0"/>
        <w:spacing w:line="360" w:lineRule="auto"/>
        <w:textAlignment w:val="bottom"/>
        <w:rPr>
          <w:rFonts w:hint="eastAsia" w:ascii="宋体" w:hAnsi="宋体" w:eastAsia="宋体" w:cs="宋体"/>
          <w:color w:val="auto"/>
          <w:sz w:val="24"/>
          <w:highlight w:val="none"/>
          <w:u w:val="single"/>
        </w:rPr>
      </w:pPr>
    </w:p>
    <w:p w14:paraId="062C4A94">
      <w:pPr>
        <w:shd w:val="clear"/>
        <w:snapToGrid w:val="0"/>
        <w:spacing w:line="360" w:lineRule="auto"/>
        <w:textAlignment w:val="bottom"/>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被授权人（代理人）签字：        </w:t>
      </w:r>
    </w:p>
    <w:p w14:paraId="3437C8F7">
      <w:pPr>
        <w:shd w:val="clear"/>
        <w:snapToGrid w:val="0"/>
        <w:spacing w:line="360" w:lineRule="auto"/>
        <w:textAlignment w:val="bottom"/>
        <w:rPr>
          <w:rFonts w:hint="eastAsia" w:ascii="宋体" w:hAnsi="宋体" w:eastAsia="宋体" w:cs="宋体"/>
          <w:bCs/>
          <w:color w:val="auto"/>
          <w:sz w:val="24"/>
          <w:highlight w:val="none"/>
        </w:rPr>
      </w:pPr>
    </w:p>
    <w:p w14:paraId="0843AB0C">
      <w:pPr>
        <w:shd w:val="clear"/>
        <w:snapToGrid w:val="0"/>
        <w:spacing w:line="360" w:lineRule="auto"/>
        <w:textAlignment w:val="bottom"/>
        <w:rPr>
          <w:rFonts w:hint="eastAsia" w:ascii="宋体" w:hAnsi="宋体" w:eastAsia="宋体" w:cs="宋体"/>
          <w:bCs/>
          <w:color w:val="auto"/>
          <w:sz w:val="24"/>
          <w:highlight w:val="none"/>
        </w:rPr>
      </w:pPr>
      <w:r>
        <w:rPr>
          <w:rFonts w:hint="eastAsia" w:ascii="宋体" w:hAnsi="宋体" w:eastAsia="宋体" w:cs="宋体"/>
          <w:color w:val="auto"/>
          <w:sz w:val="24"/>
          <w:highlight w:val="none"/>
        </w:rPr>
        <w:t>附：被授权人身份证正反面复印件</w:t>
      </w:r>
    </w:p>
    <w:p w14:paraId="30E95B65">
      <w:pPr>
        <w:shd w:val="clear"/>
        <w:snapToGrid w:val="0"/>
        <w:spacing w:line="360" w:lineRule="auto"/>
        <w:textAlignment w:val="bottom"/>
        <w:rPr>
          <w:rFonts w:hint="eastAsia" w:ascii="宋体" w:hAnsi="宋体" w:eastAsia="宋体" w:cs="宋体"/>
          <w:b/>
          <w:bCs/>
          <w:color w:val="auto"/>
          <w:sz w:val="24"/>
          <w:szCs w:val="28"/>
          <w:highlight w:val="none"/>
        </w:rPr>
        <w:sectPr>
          <w:pgSz w:w="11906" w:h="16838"/>
          <w:pgMar w:top="1361" w:right="1304" w:bottom="1247" w:left="1304" w:header="680" w:footer="680" w:gutter="0"/>
          <w:pgNumType w:fmt="decimal"/>
          <w:cols w:space="720" w:num="1"/>
          <w:docGrid w:linePitch="312" w:charSpace="0"/>
        </w:sectPr>
      </w:pPr>
    </w:p>
    <w:p w14:paraId="4CD4C4DB">
      <w:pPr>
        <w:shd w:val="clear"/>
        <w:snapToGrid w:val="0"/>
        <w:spacing w:line="360" w:lineRule="auto"/>
        <w:textAlignment w:val="bottom"/>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rPr>
        <w:t>格式八：</w:t>
      </w:r>
    </w:p>
    <w:p w14:paraId="4A20FB11">
      <w:pPr>
        <w:shd w:val="clear"/>
        <w:snapToGrid w:val="0"/>
        <w:spacing w:line="360" w:lineRule="auto"/>
        <w:textAlignment w:val="bottom"/>
        <w:rPr>
          <w:rFonts w:hint="eastAsia" w:ascii="宋体" w:hAnsi="宋体" w:eastAsia="宋体" w:cs="宋体"/>
          <w:b/>
          <w:color w:val="auto"/>
          <w:sz w:val="24"/>
          <w:szCs w:val="28"/>
          <w:highlight w:val="none"/>
        </w:rPr>
      </w:pPr>
    </w:p>
    <w:p w14:paraId="08928D8C">
      <w:pPr>
        <w:shd w:val="clear"/>
        <w:snapToGrid w:val="0"/>
        <w:spacing w:line="360" w:lineRule="auto"/>
        <w:jc w:val="center"/>
        <w:textAlignment w:val="bottom"/>
        <w:rPr>
          <w:rFonts w:hint="eastAsia" w:ascii="宋体" w:hAnsi="宋体" w:eastAsia="宋体" w:cs="宋体"/>
          <w:b/>
          <w:color w:val="auto"/>
          <w:sz w:val="24"/>
          <w:szCs w:val="28"/>
          <w:highlight w:val="none"/>
        </w:rPr>
      </w:pPr>
      <w:r>
        <w:rPr>
          <w:rFonts w:hint="eastAsia" w:ascii="宋体" w:hAnsi="宋体" w:eastAsia="宋体" w:cs="宋体"/>
          <w:b/>
          <w:color w:val="auto"/>
          <w:sz w:val="24"/>
          <w:szCs w:val="28"/>
          <w:highlight w:val="none"/>
          <w:lang w:eastAsia="zh-CN"/>
        </w:rPr>
        <w:t>供应商</w:t>
      </w:r>
      <w:r>
        <w:rPr>
          <w:rFonts w:hint="eastAsia" w:ascii="宋体" w:hAnsi="宋体" w:eastAsia="宋体" w:cs="宋体"/>
          <w:b/>
          <w:color w:val="auto"/>
          <w:sz w:val="24"/>
          <w:szCs w:val="28"/>
          <w:highlight w:val="none"/>
        </w:rPr>
        <w:t>资格证明文件</w:t>
      </w:r>
    </w:p>
    <w:p w14:paraId="6EF1A7C8">
      <w:pPr>
        <w:pStyle w:val="32"/>
        <w:shd w:val="clear"/>
        <w:spacing w:line="360" w:lineRule="auto"/>
        <w:outlineLvl w:val="0"/>
        <w:rPr>
          <w:rFonts w:hint="eastAsia" w:ascii="宋体" w:hAnsi="宋体" w:eastAsia="宋体" w:cs="宋体"/>
          <w:color w:val="auto"/>
          <w:szCs w:val="24"/>
          <w:highlight w:val="none"/>
        </w:rPr>
      </w:pPr>
    </w:p>
    <w:p w14:paraId="27614226">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投标人还应提供下列文件，标书内附加盖公章复印件：</w:t>
      </w:r>
    </w:p>
    <w:p w14:paraId="3AC5ED23">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1.营业执照；</w:t>
      </w:r>
    </w:p>
    <w:p w14:paraId="59CCDBA1">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2.参加政府采购活动前三年内在经营活动中没有重大违法记录；</w:t>
      </w:r>
    </w:p>
    <w:p w14:paraId="0AC046F9">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lang w:val="en-US" w:eastAsia="zh-CN"/>
        </w:rPr>
        <w:t>供应商近三年（2023年1月1日-至今）内投标人、法定代表人未在“中国裁判文书网”（www.wenshu.court.gov.cn）有行贿犯罪记录；</w:t>
      </w:r>
    </w:p>
    <w:p w14:paraId="6DB6F75A">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lang w:val="en-US" w:eastAsia="zh-CN"/>
        </w:rPr>
        <w:t>拒绝列入政府取消投标资格记录期间的企业或个人投标；</w:t>
      </w:r>
    </w:p>
    <w:p w14:paraId="6CE8C1BD">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lang w:val="en-US" w:eastAsia="zh-CN"/>
        </w:rPr>
        <w:t>供应商不能列入失信被执行人、重大税收违法案件当事人名单、政府采购严重违法失信行为记录名单（详见财库〔2016〕125号）；</w:t>
      </w:r>
    </w:p>
    <w:p w14:paraId="2DFDDCC9">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val="en-US" w:eastAsia="zh-CN"/>
        </w:rPr>
        <w:t>拒绝被工商行政管理机关在国家企业信用信息公示系统中列入严重违法失信企业名单的参与投标；</w:t>
      </w:r>
    </w:p>
    <w:p w14:paraId="30A7019E">
      <w:pPr>
        <w:shd w:val="clear"/>
        <w:spacing w:line="360" w:lineRule="auto"/>
        <w:ind w:firstLine="480" w:firstLineChars="200"/>
        <w:outlineLvl w:val="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lang w:val="en-US" w:eastAsia="zh-CN"/>
        </w:rPr>
        <w:t>与采购人存在利害关系可能影响招标公正性的法人、其他组织或者个人，不得参加投标。单位负责人为同一人或者存在控股、管理关系的不同单位，不得参加同一标段投标或者未划分标段的同一招标项目投标。违反这两款规定的，相关投标均无效；</w:t>
      </w:r>
    </w:p>
    <w:p w14:paraId="7E450210">
      <w:pPr>
        <w:shd w:val="clear"/>
        <w:spacing w:line="360" w:lineRule="auto"/>
        <w:ind w:firstLine="480" w:firstLineChars="200"/>
        <w:outlineLvl w:val="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8.</w:t>
      </w:r>
      <w:r>
        <w:rPr>
          <w:rFonts w:hint="eastAsia" w:ascii="宋体" w:hAnsi="宋体" w:eastAsia="宋体" w:cs="宋体"/>
          <w:color w:val="auto"/>
          <w:sz w:val="24"/>
          <w:highlight w:val="none"/>
        </w:rPr>
        <w:t>竞争性磋商文件中要求的其他文件。</w:t>
      </w:r>
    </w:p>
    <w:p w14:paraId="1B34C31C">
      <w:pPr>
        <w:shd w:val="clear"/>
        <w:spacing w:before="143" w:line="219" w:lineRule="auto"/>
        <w:jc w:val="center"/>
        <w:rPr>
          <w:rFonts w:hint="eastAsia" w:ascii="宋体" w:hAnsi="宋体" w:eastAsia="宋体" w:cs="宋体"/>
          <w:color w:val="auto"/>
          <w:sz w:val="44"/>
          <w:szCs w:val="44"/>
          <w:highlight w:val="none"/>
        </w:rPr>
      </w:pPr>
      <w:r>
        <w:rPr>
          <w:rFonts w:hint="eastAsia" w:ascii="宋体" w:hAnsi="宋体" w:eastAsia="宋体" w:cs="宋体"/>
          <w:b/>
          <w:color w:val="auto"/>
          <w:sz w:val="24"/>
          <w:highlight w:val="none"/>
        </w:rPr>
        <w:br w:type="page"/>
      </w:r>
      <w:r>
        <w:rPr>
          <w:rFonts w:hint="eastAsia" w:ascii="宋体" w:hAnsi="宋体" w:eastAsia="宋体" w:cs="宋体"/>
          <w:b/>
          <w:bCs/>
          <w:color w:val="auto"/>
          <w:spacing w:val="-10"/>
          <w:sz w:val="36"/>
          <w:szCs w:val="36"/>
          <w:highlight w:val="none"/>
        </w:rPr>
        <w:t>资格条件承诺函</w:t>
      </w:r>
    </w:p>
    <w:p w14:paraId="3C3DC6A2">
      <w:pPr>
        <w:shd w:val="clear"/>
        <w:spacing w:line="283" w:lineRule="auto"/>
        <w:rPr>
          <w:rFonts w:hint="eastAsia" w:ascii="宋体" w:hAnsi="宋体" w:eastAsia="宋体" w:cs="宋体"/>
          <w:color w:val="auto"/>
          <w:sz w:val="21"/>
          <w:highlight w:val="none"/>
        </w:rPr>
      </w:pPr>
    </w:p>
    <w:p w14:paraId="4945E36C">
      <w:pPr>
        <w:shd w:val="clear"/>
        <w:spacing w:line="283" w:lineRule="auto"/>
        <w:rPr>
          <w:rFonts w:hint="eastAsia" w:ascii="宋体" w:hAnsi="宋体" w:eastAsia="宋体" w:cs="宋体"/>
          <w:color w:val="auto"/>
          <w:sz w:val="21"/>
          <w:highlight w:val="none"/>
        </w:rPr>
      </w:pPr>
    </w:p>
    <w:p w14:paraId="3FEC3409">
      <w:pPr>
        <w:shd w:val="clear"/>
        <w:spacing w:line="284" w:lineRule="auto"/>
        <w:rPr>
          <w:rFonts w:hint="eastAsia" w:ascii="宋体" w:hAnsi="宋体" w:eastAsia="宋体" w:cs="宋体"/>
          <w:color w:val="auto"/>
          <w:sz w:val="21"/>
          <w:highlight w:val="none"/>
        </w:rPr>
      </w:pPr>
    </w:p>
    <w:p w14:paraId="60CC8E6F">
      <w:pPr>
        <w:shd w:val="clear"/>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致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采购人、采购代理机构</w:t>
      </w:r>
      <w:r>
        <w:rPr>
          <w:rFonts w:hint="eastAsia" w:ascii="宋体" w:hAnsi="宋体" w:eastAsia="宋体" w:cs="宋体"/>
          <w:color w:val="auto"/>
          <w:highlight w:val="none"/>
          <w:u w:val="single"/>
        </w:rPr>
        <w:t xml:space="preserve"> ) :</w:t>
      </w:r>
    </w:p>
    <w:p w14:paraId="225AE5D7">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我单位</w:t>
      </w:r>
      <w:r>
        <w:rPr>
          <w:rFonts w:hint="eastAsia" w:ascii="宋体" w:hAnsi="宋体" w:eastAsia="宋体" w:cs="宋体"/>
          <w:color w:val="auto"/>
          <w:highlight w:val="none"/>
          <w:u w:val="single"/>
        </w:rPr>
        <w:t>(公司)</w:t>
      </w:r>
      <w:r>
        <w:rPr>
          <w:rFonts w:hint="eastAsia" w:ascii="宋体" w:hAnsi="宋体" w:eastAsia="宋体" w:cs="宋体"/>
          <w:color w:val="auto"/>
          <w:highlight w:val="none"/>
        </w:rPr>
        <w:t>参与</w:t>
      </w:r>
      <w:r>
        <w:rPr>
          <w:rFonts w:hint="eastAsia" w:ascii="宋体" w:hAnsi="宋体" w:eastAsia="宋体" w:cs="宋体"/>
          <w:color w:val="auto"/>
          <w:highlight w:val="none"/>
          <w:u w:val="single"/>
        </w:rPr>
        <w:t xml:space="preserve">    ( 采 购 项目 名 称 </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u w:val="single"/>
        </w:rPr>
        <w:t>项目 编 号 )</w:t>
      </w:r>
      <w:r>
        <w:rPr>
          <w:rFonts w:hint="eastAsia" w:ascii="宋体" w:hAnsi="宋体" w:eastAsia="宋体" w:cs="宋体"/>
          <w:color w:val="auto"/>
          <w:highlight w:val="none"/>
        </w:rPr>
        <w:t>采购项目的政府采购活动，现承诺如下：</w:t>
      </w:r>
    </w:p>
    <w:p w14:paraId="73533D9F">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1. 具有良好的商业信誉和健全的财务会计制度；</w:t>
      </w:r>
    </w:p>
    <w:p w14:paraId="2F1245B3">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2. 具有依法缴纳税收的良好记录；</w:t>
      </w:r>
    </w:p>
    <w:p w14:paraId="59E07DD9">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3.具有依法缴纳社会保障金的良好记录。</w:t>
      </w:r>
    </w:p>
    <w:p w14:paraId="0CA966D6">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我方在采购项目评审(评标)环节结束后，随时接受采购人、采购代理机构的检查验证，配合提供相关证明材料， 证明符合《中华人民共和国政府采购法》规定的供应商基本资格条件。</w:t>
      </w:r>
    </w:p>
    <w:p w14:paraId="7D6762C1">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我单位(公司)对上述承诺的真实性负责。如有虚假，将依法承担相应责任。</w:t>
      </w:r>
    </w:p>
    <w:p w14:paraId="07A7B7A1">
      <w:pPr>
        <w:shd w:val="clea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特此承诺。</w:t>
      </w:r>
    </w:p>
    <w:p w14:paraId="3912C2DB">
      <w:pPr>
        <w:shd w:val="clear"/>
        <w:rPr>
          <w:rFonts w:hint="eastAsia" w:ascii="宋体" w:hAnsi="宋体" w:eastAsia="宋体" w:cs="宋体"/>
          <w:color w:val="auto"/>
          <w:highlight w:val="none"/>
        </w:rPr>
      </w:pPr>
    </w:p>
    <w:p w14:paraId="50084200">
      <w:pPr>
        <w:shd w:val="clear"/>
        <w:rPr>
          <w:rFonts w:hint="eastAsia" w:ascii="宋体" w:hAnsi="宋体" w:eastAsia="宋体" w:cs="宋体"/>
          <w:color w:val="auto"/>
          <w:highlight w:val="none"/>
        </w:rPr>
      </w:pPr>
    </w:p>
    <w:p w14:paraId="3F35A10E">
      <w:pPr>
        <w:shd w:val="clear"/>
        <w:spacing w:line="259" w:lineRule="auto"/>
        <w:rPr>
          <w:rFonts w:hint="eastAsia" w:ascii="宋体" w:hAnsi="宋体" w:eastAsia="宋体" w:cs="宋体"/>
          <w:color w:val="auto"/>
          <w:sz w:val="21"/>
          <w:szCs w:val="21"/>
          <w:highlight w:val="none"/>
        </w:rPr>
      </w:pPr>
    </w:p>
    <w:p w14:paraId="01584F19">
      <w:pPr>
        <w:shd w:val="clear"/>
        <w:spacing w:before="101" w:line="611" w:lineRule="exact"/>
        <w:ind w:left="4920"/>
        <w:rPr>
          <w:rFonts w:hint="eastAsia" w:ascii="宋体" w:hAnsi="宋体" w:eastAsia="宋体" w:cs="宋体"/>
          <w:color w:val="auto"/>
          <w:sz w:val="21"/>
          <w:szCs w:val="21"/>
          <w:highlight w:val="none"/>
        </w:rPr>
      </w:pPr>
      <w:r>
        <w:rPr>
          <w:rFonts w:hint="eastAsia" w:ascii="宋体" w:hAnsi="宋体" w:eastAsia="宋体" w:cs="宋体"/>
          <w:color w:val="auto"/>
          <w:spacing w:val="-19"/>
          <w:position w:val="22"/>
          <w:sz w:val="21"/>
          <w:szCs w:val="21"/>
          <w:highlight w:val="none"/>
        </w:rPr>
        <w:t>盖章：</w:t>
      </w:r>
    </w:p>
    <w:p w14:paraId="566CF526">
      <w:pPr>
        <w:shd w:val="clear"/>
        <w:spacing w:line="219" w:lineRule="auto"/>
        <w:ind w:left="4920"/>
        <w:rPr>
          <w:rFonts w:hint="eastAsia" w:ascii="宋体" w:hAnsi="宋体" w:eastAsia="宋体" w:cs="宋体"/>
          <w:color w:val="auto"/>
          <w:sz w:val="21"/>
          <w:szCs w:val="21"/>
          <w:highlight w:val="none"/>
        </w:rPr>
      </w:pPr>
      <w:r>
        <w:rPr>
          <w:rFonts w:hint="eastAsia" w:ascii="宋体" w:hAnsi="宋体" w:eastAsia="宋体" w:cs="宋体"/>
          <w:color w:val="auto"/>
          <w:spacing w:val="-19"/>
          <w:sz w:val="21"/>
          <w:szCs w:val="21"/>
          <w:highlight w:val="none"/>
        </w:rPr>
        <w:t>签字：</w:t>
      </w:r>
    </w:p>
    <w:p w14:paraId="51836D68">
      <w:pPr>
        <w:shd w:val="clear"/>
        <w:spacing w:before="253" w:line="220" w:lineRule="auto"/>
        <w:ind w:left="4920"/>
        <w:rPr>
          <w:rFonts w:hint="eastAsia" w:ascii="宋体" w:hAnsi="宋体" w:eastAsia="宋体" w:cs="宋体"/>
          <w:color w:val="auto"/>
          <w:sz w:val="21"/>
          <w:szCs w:val="21"/>
          <w:highlight w:val="none"/>
        </w:rPr>
      </w:pPr>
      <w:r>
        <w:rPr>
          <w:rFonts w:hint="eastAsia" w:ascii="宋体" w:hAnsi="宋体" w:eastAsia="宋体" w:cs="宋体"/>
          <w:color w:val="auto"/>
          <w:spacing w:val="-26"/>
          <w:sz w:val="21"/>
          <w:szCs w:val="21"/>
          <w:highlight w:val="none"/>
        </w:rPr>
        <w:t>日期：</w:t>
      </w:r>
    </w:p>
    <w:p w14:paraId="159DD310">
      <w:pPr>
        <w:shd w:val="clear"/>
        <w:rPr>
          <w:rFonts w:hint="eastAsia" w:ascii="宋体" w:hAnsi="宋体" w:eastAsia="宋体" w:cs="宋体"/>
          <w:color w:val="auto"/>
          <w:sz w:val="21"/>
          <w:szCs w:val="21"/>
          <w:highlight w:val="none"/>
        </w:rPr>
        <w:sectPr>
          <w:pgSz w:w="12190" w:h="15820"/>
          <w:pgMar w:top="1344" w:right="1828" w:bottom="400" w:left="1740" w:header="567" w:footer="567" w:gutter="0"/>
          <w:cols w:space="720" w:num="1"/>
        </w:sectPr>
      </w:pPr>
    </w:p>
    <w:p w14:paraId="27476218">
      <w:pPr>
        <w:shd w:val="clear"/>
        <w:spacing w:line="40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企业已完成类似项目一览表</w:t>
      </w:r>
    </w:p>
    <w:p w14:paraId="78822ECF">
      <w:pPr>
        <w:shd w:val="clear"/>
        <w:spacing w:line="400" w:lineRule="exact"/>
        <w:rPr>
          <w:rFonts w:hint="eastAsia" w:ascii="宋体" w:hAnsi="宋体" w:eastAsia="宋体" w:cs="宋体"/>
          <w:color w:val="auto"/>
          <w:szCs w:val="21"/>
          <w:highlight w:val="none"/>
          <w:u w:val="single"/>
        </w:rPr>
      </w:pPr>
    </w:p>
    <w:p w14:paraId="1DAA7F55">
      <w:pPr>
        <w:shd w:val="clear"/>
        <w:spacing w:line="400" w:lineRule="exact"/>
        <w:rPr>
          <w:rFonts w:hint="eastAsia" w:ascii="宋体" w:hAnsi="宋体" w:eastAsia="宋体" w:cs="宋体"/>
          <w:color w:val="auto"/>
          <w:sz w:val="24"/>
          <w:highlight w:val="none"/>
          <w:u w:val="none"/>
        </w:rPr>
      </w:pPr>
      <w:r>
        <w:rPr>
          <w:rFonts w:hint="eastAsia" w:ascii="宋体" w:hAnsi="宋体" w:eastAsia="宋体" w:cs="宋体"/>
          <w:color w:val="auto"/>
          <w:szCs w:val="21"/>
          <w:highlight w:val="none"/>
          <w:u w:val="none"/>
          <w:lang w:eastAsia="zh-CN"/>
        </w:rPr>
        <w:t>供应商</w:t>
      </w:r>
      <w:r>
        <w:rPr>
          <w:rFonts w:hint="eastAsia" w:ascii="宋体" w:hAnsi="宋体" w:eastAsia="宋体" w:cs="宋体"/>
          <w:color w:val="auto"/>
          <w:szCs w:val="21"/>
          <w:highlight w:val="none"/>
          <w:u w:val="none"/>
        </w:rPr>
        <w:t>名称：</w:t>
      </w:r>
    </w:p>
    <w:tbl>
      <w:tblPr>
        <w:tblStyle w:val="61"/>
        <w:tblW w:w="0" w:type="auto"/>
        <w:tblInd w:w="-10" w:type="dxa"/>
        <w:tblLayout w:type="fixed"/>
        <w:tblCellMar>
          <w:top w:w="0" w:type="dxa"/>
          <w:left w:w="108" w:type="dxa"/>
          <w:bottom w:w="0" w:type="dxa"/>
          <w:right w:w="108" w:type="dxa"/>
        </w:tblCellMar>
      </w:tblPr>
      <w:tblGrid>
        <w:gridCol w:w="743"/>
        <w:gridCol w:w="5689"/>
        <w:gridCol w:w="3062"/>
      </w:tblGrid>
      <w:tr w14:paraId="43D606EB">
        <w:tblPrEx>
          <w:tblCellMar>
            <w:top w:w="0" w:type="dxa"/>
            <w:left w:w="108" w:type="dxa"/>
            <w:bottom w:w="0" w:type="dxa"/>
            <w:right w:w="108" w:type="dxa"/>
          </w:tblCellMar>
        </w:tblPrEx>
        <w:trPr>
          <w:cantSplit/>
          <w:trHeight w:val="680" w:hRule="atLeast"/>
        </w:trPr>
        <w:tc>
          <w:tcPr>
            <w:tcW w:w="743" w:type="dxa"/>
            <w:tcBorders>
              <w:top w:val="single" w:color="000000" w:sz="4" w:space="0"/>
              <w:left w:val="single" w:color="000000" w:sz="4" w:space="0"/>
              <w:bottom w:val="single" w:color="000000" w:sz="4" w:space="0"/>
            </w:tcBorders>
            <w:noWrap w:val="0"/>
            <w:vAlign w:val="center"/>
          </w:tcPr>
          <w:p w14:paraId="67014209">
            <w:pPr>
              <w:shd w:val="clear"/>
              <w:spacing w:line="360" w:lineRule="auto"/>
              <w:jc w:val="center"/>
              <w:rPr>
                <w:rFonts w:hint="eastAsia" w:ascii="宋体" w:hAnsi="宋体" w:eastAsia="宋体" w:cs="宋体"/>
                <w:color w:val="auto"/>
                <w:highlight w:val="none"/>
              </w:rPr>
            </w:pPr>
            <w:r>
              <w:rPr>
                <w:rFonts w:hint="eastAsia" w:ascii="宋体" w:hAnsi="宋体" w:eastAsia="宋体" w:cs="宋体"/>
                <w:bCs/>
                <w:color w:val="auto"/>
                <w:szCs w:val="21"/>
                <w:highlight w:val="none"/>
              </w:rPr>
              <w:t>序号</w:t>
            </w: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4CACE493">
            <w:pPr>
              <w:shd w:val="clear"/>
              <w:spacing w:line="360" w:lineRule="auto"/>
              <w:jc w:val="center"/>
              <w:rPr>
                <w:rFonts w:hint="eastAsia" w:ascii="宋体" w:hAnsi="宋体" w:eastAsia="宋体" w:cs="宋体"/>
                <w:color w:val="auto"/>
                <w:highlight w:val="none"/>
              </w:rPr>
            </w:pPr>
            <w:r>
              <w:rPr>
                <w:rFonts w:hint="eastAsia" w:ascii="宋体" w:hAnsi="宋体" w:eastAsia="宋体" w:cs="宋体"/>
                <w:bCs/>
                <w:color w:val="auto"/>
                <w:szCs w:val="21"/>
                <w:highlight w:val="none"/>
              </w:rPr>
              <w:t>项目名称</w:t>
            </w: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150F870F">
            <w:pPr>
              <w:shd w:val="clear"/>
              <w:spacing w:line="360" w:lineRule="auto"/>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金额</w:t>
            </w:r>
          </w:p>
        </w:tc>
      </w:tr>
      <w:tr w14:paraId="0C246DAF">
        <w:tblPrEx>
          <w:tblCellMar>
            <w:top w:w="0" w:type="dxa"/>
            <w:left w:w="108" w:type="dxa"/>
            <w:bottom w:w="0" w:type="dxa"/>
            <w:right w:w="108" w:type="dxa"/>
          </w:tblCellMar>
        </w:tblPrEx>
        <w:trPr>
          <w:trHeight w:val="680" w:hRule="atLeast"/>
        </w:trPr>
        <w:tc>
          <w:tcPr>
            <w:tcW w:w="743" w:type="dxa"/>
            <w:tcBorders>
              <w:top w:val="single" w:color="000000" w:sz="4" w:space="0"/>
              <w:left w:val="single" w:color="000000" w:sz="4" w:space="0"/>
              <w:bottom w:val="single" w:color="000000" w:sz="4" w:space="0"/>
            </w:tcBorders>
            <w:noWrap w:val="0"/>
            <w:vAlign w:val="center"/>
          </w:tcPr>
          <w:p w14:paraId="6AB06B55">
            <w:pPr>
              <w:shd w:val="clear"/>
              <w:snapToGrid w:val="0"/>
              <w:spacing w:line="360" w:lineRule="auto"/>
              <w:jc w:val="center"/>
              <w:rPr>
                <w:rFonts w:hint="eastAsia" w:ascii="宋体" w:hAnsi="宋体" w:eastAsia="宋体" w:cs="宋体"/>
                <w:bCs/>
                <w:color w:val="auto"/>
                <w:szCs w:val="21"/>
                <w:highlight w:val="none"/>
              </w:rPr>
            </w:pP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036E02E1">
            <w:pPr>
              <w:shd w:val="clear"/>
              <w:snapToGrid w:val="0"/>
              <w:spacing w:line="360" w:lineRule="auto"/>
              <w:rPr>
                <w:rFonts w:hint="eastAsia" w:ascii="宋体" w:hAnsi="宋体" w:eastAsia="宋体" w:cs="宋体"/>
                <w:bCs/>
                <w:color w:val="auto"/>
                <w:szCs w:val="21"/>
                <w:highlight w:val="none"/>
              </w:rPr>
            </w:pP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2F34EF09">
            <w:pPr>
              <w:shd w:val="clear"/>
              <w:snapToGrid w:val="0"/>
              <w:spacing w:line="360" w:lineRule="auto"/>
              <w:rPr>
                <w:rFonts w:hint="eastAsia" w:ascii="宋体" w:hAnsi="宋体" w:eastAsia="宋体" w:cs="宋体"/>
                <w:bCs/>
                <w:color w:val="auto"/>
                <w:szCs w:val="21"/>
                <w:highlight w:val="none"/>
              </w:rPr>
            </w:pPr>
          </w:p>
        </w:tc>
      </w:tr>
      <w:tr w14:paraId="7D51FA51">
        <w:tblPrEx>
          <w:tblCellMar>
            <w:top w:w="0" w:type="dxa"/>
            <w:left w:w="108" w:type="dxa"/>
            <w:bottom w:w="0" w:type="dxa"/>
            <w:right w:w="108" w:type="dxa"/>
          </w:tblCellMar>
        </w:tblPrEx>
        <w:trPr>
          <w:trHeight w:val="680" w:hRule="atLeast"/>
        </w:trPr>
        <w:tc>
          <w:tcPr>
            <w:tcW w:w="743" w:type="dxa"/>
            <w:tcBorders>
              <w:top w:val="single" w:color="000000" w:sz="4" w:space="0"/>
              <w:left w:val="single" w:color="000000" w:sz="4" w:space="0"/>
              <w:bottom w:val="single" w:color="000000" w:sz="4" w:space="0"/>
            </w:tcBorders>
            <w:noWrap w:val="0"/>
            <w:vAlign w:val="center"/>
          </w:tcPr>
          <w:p w14:paraId="01E90791">
            <w:pPr>
              <w:shd w:val="clear"/>
              <w:snapToGrid w:val="0"/>
              <w:spacing w:line="360" w:lineRule="auto"/>
              <w:jc w:val="center"/>
              <w:rPr>
                <w:rFonts w:hint="eastAsia" w:ascii="宋体" w:hAnsi="宋体" w:eastAsia="宋体" w:cs="宋体"/>
                <w:color w:val="auto"/>
                <w:szCs w:val="21"/>
                <w:highlight w:val="none"/>
              </w:rPr>
            </w:pP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015CFA73">
            <w:pPr>
              <w:shd w:val="clear"/>
              <w:snapToGrid w:val="0"/>
              <w:spacing w:line="360" w:lineRule="auto"/>
              <w:rPr>
                <w:rFonts w:hint="eastAsia" w:ascii="宋体" w:hAnsi="宋体" w:eastAsia="宋体" w:cs="宋体"/>
                <w:color w:val="auto"/>
                <w:szCs w:val="21"/>
                <w:highlight w:val="none"/>
              </w:rPr>
            </w:pP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46AE2351">
            <w:pPr>
              <w:shd w:val="clear"/>
              <w:snapToGrid w:val="0"/>
              <w:spacing w:line="360" w:lineRule="auto"/>
              <w:rPr>
                <w:rFonts w:hint="eastAsia" w:ascii="宋体" w:hAnsi="宋体" w:eastAsia="宋体" w:cs="宋体"/>
                <w:color w:val="auto"/>
                <w:szCs w:val="21"/>
                <w:highlight w:val="none"/>
              </w:rPr>
            </w:pPr>
          </w:p>
        </w:tc>
      </w:tr>
      <w:tr w14:paraId="22DD8259">
        <w:tblPrEx>
          <w:tblCellMar>
            <w:top w:w="0" w:type="dxa"/>
            <w:left w:w="108" w:type="dxa"/>
            <w:bottom w:w="0" w:type="dxa"/>
            <w:right w:w="108" w:type="dxa"/>
          </w:tblCellMar>
        </w:tblPrEx>
        <w:trPr>
          <w:trHeight w:val="680" w:hRule="atLeast"/>
        </w:trPr>
        <w:tc>
          <w:tcPr>
            <w:tcW w:w="743" w:type="dxa"/>
            <w:tcBorders>
              <w:top w:val="single" w:color="000000" w:sz="4" w:space="0"/>
              <w:left w:val="single" w:color="000000" w:sz="4" w:space="0"/>
              <w:bottom w:val="single" w:color="000000" w:sz="4" w:space="0"/>
            </w:tcBorders>
            <w:noWrap w:val="0"/>
            <w:vAlign w:val="center"/>
          </w:tcPr>
          <w:p w14:paraId="799517C6">
            <w:pPr>
              <w:shd w:val="clear"/>
              <w:snapToGrid w:val="0"/>
              <w:spacing w:line="360" w:lineRule="auto"/>
              <w:jc w:val="center"/>
              <w:rPr>
                <w:rFonts w:hint="eastAsia" w:ascii="宋体" w:hAnsi="宋体" w:eastAsia="宋体" w:cs="宋体"/>
                <w:color w:val="auto"/>
                <w:szCs w:val="21"/>
                <w:highlight w:val="none"/>
              </w:rPr>
            </w:pP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3049434B">
            <w:pPr>
              <w:shd w:val="clear"/>
              <w:snapToGrid w:val="0"/>
              <w:spacing w:line="360" w:lineRule="auto"/>
              <w:rPr>
                <w:rFonts w:hint="eastAsia" w:ascii="宋体" w:hAnsi="宋体" w:eastAsia="宋体" w:cs="宋体"/>
                <w:color w:val="auto"/>
                <w:szCs w:val="21"/>
                <w:highlight w:val="none"/>
              </w:rPr>
            </w:pP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0B6197F9">
            <w:pPr>
              <w:shd w:val="clear"/>
              <w:snapToGrid w:val="0"/>
              <w:spacing w:line="360" w:lineRule="auto"/>
              <w:rPr>
                <w:rFonts w:hint="eastAsia" w:ascii="宋体" w:hAnsi="宋体" w:eastAsia="宋体" w:cs="宋体"/>
                <w:color w:val="auto"/>
                <w:szCs w:val="21"/>
                <w:highlight w:val="none"/>
              </w:rPr>
            </w:pPr>
          </w:p>
        </w:tc>
      </w:tr>
      <w:tr w14:paraId="4C07F8A3">
        <w:tblPrEx>
          <w:tblCellMar>
            <w:top w:w="0" w:type="dxa"/>
            <w:left w:w="108" w:type="dxa"/>
            <w:bottom w:w="0" w:type="dxa"/>
            <w:right w:w="108" w:type="dxa"/>
          </w:tblCellMar>
        </w:tblPrEx>
        <w:trPr>
          <w:trHeight w:val="680" w:hRule="atLeast"/>
        </w:trPr>
        <w:tc>
          <w:tcPr>
            <w:tcW w:w="743" w:type="dxa"/>
            <w:tcBorders>
              <w:top w:val="single" w:color="000000" w:sz="4" w:space="0"/>
              <w:left w:val="single" w:color="000000" w:sz="4" w:space="0"/>
              <w:bottom w:val="single" w:color="000000" w:sz="4" w:space="0"/>
            </w:tcBorders>
            <w:noWrap w:val="0"/>
            <w:vAlign w:val="center"/>
          </w:tcPr>
          <w:p w14:paraId="289CE420">
            <w:pPr>
              <w:shd w:val="clear"/>
              <w:snapToGrid w:val="0"/>
              <w:spacing w:line="360" w:lineRule="auto"/>
              <w:jc w:val="center"/>
              <w:rPr>
                <w:rFonts w:hint="eastAsia" w:ascii="宋体" w:hAnsi="宋体" w:eastAsia="宋体" w:cs="宋体"/>
                <w:color w:val="auto"/>
                <w:szCs w:val="21"/>
                <w:highlight w:val="none"/>
              </w:rPr>
            </w:pP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0CB13930">
            <w:pPr>
              <w:shd w:val="clear"/>
              <w:snapToGrid w:val="0"/>
              <w:spacing w:line="360" w:lineRule="auto"/>
              <w:rPr>
                <w:rFonts w:hint="eastAsia" w:ascii="宋体" w:hAnsi="宋体" w:eastAsia="宋体" w:cs="宋体"/>
                <w:color w:val="auto"/>
                <w:szCs w:val="21"/>
                <w:highlight w:val="none"/>
              </w:rPr>
            </w:pP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421E835F">
            <w:pPr>
              <w:shd w:val="clear"/>
              <w:snapToGrid w:val="0"/>
              <w:spacing w:line="360" w:lineRule="auto"/>
              <w:rPr>
                <w:rFonts w:hint="eastAsia" w:ascii="宋体" w:hAnsi="宋体" w:eastAsia="宋体" w:cs="宋体"/>
                <w:color w:val="auto"/>
                <w:szCs w:val="21"/>
                <w:highlight w:val="none"/>
              </w:rPr>
            </w:pPr>
          </w:p>
        </w:tc>
      </w:tr>
      <w:tr w14:paraId="0290C324">
        <w:tblPrEx>
          <w:tblCellMar>
            <w:top w:w="0" w:type="dxa"/>
            <w:left w:w="108" w:type="dxa"/>
            <w:bottom w:w="0" w:type="dxa"/>
            <w:right w:w="108" w:type="dxa"/>
          </w:tblCellMar>
        </w:tblPrEx>
        <w:trPr>
          <w:trHeight w:val="680" w:hRule="atLeast"/>
        </w:trPr>
        <w:tc>
          <w:tcPr>
            <w:tcW w:w="743" w:type="dxa"/>
            <w:tcBorders>
              <w:top w:val="single" w:color="000000" w:sz="4" w:space="0"/>
              <w:left w:val="single" w:color="000000" w:sz="4" w:space="0"/>
              <w:bottom w:val="single" w:color="000000" w:sz="4" w:space="0"/>
            </w:tcBorders>
            <w:noWrap w:val="0"/>
            <w:vAlign w:val="center"/>
          </w:tcPr>
          <w:p w14:paraId="1AAA1DAF">
            <w:pPr>
              <w:shd w:val="clear"/>
              <w:snapToGrid w:val="0"/>
              <w:spacing w:line="360" w:lineRule="auto"/>
              <w:jc w:val="center"/>
              <w:rPr>
                <w:rFonts w:hint="eastAsia" w:ascii="宋体" w:hAnsi="宋体" w:eastAsia="宋体" w:cs="宋体"/>
                <w:color w:val="auto"/>
                <w:szCs w:val="21"/>
                <w:highlight w:val="none"/>
              </w:rPr>
            </w:pPr>
          </w:p>
        </w:tc>
        <w:tc>
          <w:tcPr>
            <w:tcW w:w="5689" w:type="dxa"/>
            <w:tcBorders>
              <w:top w:val="single" w:color="000000" w:sz="4" w:space="0"/>
              <w:left w:val="single" w:color="000000" w:sz="4" w:space="0"/>
              <w:bottom w:val="single" w:color="000000" w:sz="4" w:space="0"/>
              <w:right w:val="single" w:color="000000" w:sz="4" w:space="0"/>
            </w:tcBorders>
            <w:noWrap w:val="0"/>
            <w:vAlign w:val="center"/>
          </w:tcPr>
          <w:p w14:paraId="6815D340">
            <w:pPr>
              <w:shd w:val="clear"/>
              <w:snapToGrid w:val="0"/>
              <w:spacing w:line="360" w:lineRule="auto"/>
              <w:rPr>
                <w:rFonts w:hint="eastAsia" w:ascii="宋体" w:hAnsi="宋体" w:eastAsia="宋体" w:cs="宋体"/>
                <w:color w:val="auto"/>
                <w:szCs w:val="21"/>
                <w:highlight w:val="none"/>
              </w:rPr>
            </w:pPr>
          </w:p>
        </w:tc>
        <w:tc>
          <w:tcPr>
            <w:tcW w:w="3062" w:type="dxa"/>
            <w:tcBorders>
              <w:top w:val="single" w:color="000000" w:sz="4" w:space="0"/>
              <w:left w:val="single" w:color="000000" w:sz="4" w:space="0"/>
              <w:bottom w:val="single" w:color="000000" w:sz="4" w:space="0"/>
              <w:right w:val="single" w:color="000000" w:sz="4" w:space="0"/>
            </w:tcBorders>
            <w:noWrap w:val="0"/>
            <w:vAlign w:val="center"/>
          </w:tcPr>
          <w:p w14:paraId="161BCF6A">
            <w:pPr>
              <w:shd w:val="clear"/>
              <w:snapToGrid w:val="0"/>
              <w:spacing w:line="360" w:lineRule="auto"/>
              <w:rPr>
                <w:rFonts w:hint="eastAsia" w:ascii="宋体" w:hAnsi="宋体" w:eastAsia="宋体" w:cs="宋体"/>
                <w:color w:val="auto"/>
                <w:szCs w:val="21"/>
                <w:highlight w:val="none"/>
              </w:rPr>
            </w:pPr>
          </w:p>
        </w:tc>
      </w:tr>
    </w:tbl>
    <w:p w14:paraId="05024C63">
      <w:pPr>
        <w:shd w:val="clea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注：应附合同</w:t>
      </w:r>
      <w:r>
        <w:rPr>
          <w:rFonts w:hint="eastAsia" w:ascii="宋体" w:hAnsi="宋体" w:cs="宋体"/>
          <w:color w:val="auto"/>
          <w:sz w:val="24"/>
          <w:highlight w:val="none"/>
          <w:lang w:val="en-US" w:eastAsia="zh-CN"/>
        </w:rPr>
        <w:t>及发票</w:t>
      </w:r>
      <w:r>
        <w:rPr>
          <w:rFonts w:hint="eastAsia" w:ascii="宋体" w:hAnsi="宋体" w:eastAsia="宋体" w:cs="宋体"/>
          <w:color w:val="auto"/>
          <w:sz w:val="24"/>
          <w:highlight w:val="none"/>
        </w:rPr>
        <w:t>复印件。</w:t>
      </w:r>
    </w:p>
    <w:p w14:paraId="327D0731">
      <w:pPr>
        <w:shd w:val="clear"/>
        <w:spacing w:line="40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r>
        <w:rPr>
          <w:rFonts w:hint="eastAsia" w:ascii="宋体" w:hAnsi="宋体" w:eastAsia="宋体" w:cs="宋体"/>
          <w:color w:val="auto"/>
          <w:sz w:val="24"/>
          <w:highlight w:val="none"/>
        </w:rPr>
        <w:t>项目配备人员</w:t>
      </w:r>
    </w:p>
    <w:tbl>
      <w:tblPr>
        <w:tblStyle w:val="6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6"/>
        <w:gridCol w:w="1051"/>
        <w:gridCol w:w="669"/>
        <w:gridCol w:w="855"/>
        <w:gridCol w:w="705"/>
        <w:gridCol w:w="1200"/>
        <w:gridCol w:w="784"/>
        <w:gridCol w:w="870"/>
        <w:gridCol w:w="1389"/>
      </w:tblGrid>
      <w:tr w14:paraId="0BA42D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866" w:type="dxa"/>
            <w:tcBorders>
              <w:top w:val="single" w:color="auto" w:sz="8" w:space="0"/>
              <w:left w:val="single" w:color="auto" w:sz="8" w:space="0"/>
              <w:bottom w:val="single" w:color="auto" w:sz="4" w:space="0"/>
              <w:right w:val="single" w:color="auto" w:sz="4" w:space="0"/>
            </w:tcBorders>
            <w:noWrap w:val="0"/>
            <w:vAlign w:val="center"/>
          </w:tcPr>
          <w:p w14:paraId="2F6EB50E">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051" w:type="dxa"/>
            <w:tcBorders>
              <w:top w:val="single" w:color="auto" w:sz="8" w:space="0"/>
              <w:left w:val="single" w:color="auto" w:sz="4" w:space="0"/>
              <w:bottom w:val="single" w:color="auto" w:sz="4" w:space="0"/>
              <w:right w:val="single" w:color="auto" w:sz="4" w:space="0"/>
            </w:tcBorders>
            <w:noWrap w:val="0"/>
            <w:vAlign w:val="center"/>
          </w:tcPr>
          <w:p w14:paraId="6BE547EF">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669" w:type="dxa"/>
            <w:tcBorders>
              <w:top w:val="single" w:color="auto" w:sz="8" w:space="0"/>
              <w:left w:val="single" w:color="auto" w:sz="4" w:space="0"/>
              <w:bottom w:val="single" w:color="auto" w:sz="4" w:space="0"/>
              <w:right w:val="single" w:color="auto" w:sz="4" w:space="0"/>
            </w:tcBorders>
            <w:noWrap w:val="0"/>
            <w:vAlign w:val="center"/>
          </w:tcPr>
          <w:p w14:paraId="16B3D401">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855" w:type="dxa"/>
            <w:tcBorders>
              <w:top w:val="single" w:color="auto" w:sz="8" w:space="0"/>
              <w:left w:val="single" w:color="auto" w:sz="4" w:space="0"/>
              <w:bottom w:val="single" w:color="auto" w:sz="4" w:space="0"/>
              <w:right w:val="single" w:color="auto" w:sz="4" w:space="0"/>
            </w:tcBorders>
            <w:noWrap w:val="0"/>
            <w:vAlign w:val="center"/>
          </w:tcPr>
          <w:p w14:paraId="16002EE5">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705" w:type="dxa"/>
            <w:tcBorders>
              <w:top w:val="single" w:color="auto" w:sz="8" w:space="0"/>
              <w:left w:val="single" w:color="auto" w:sz="4" w:space="0"/>
              <w:bottom w:val="single" w:color="auto" w:sz="4" w:space="0"/>
              <w:right w:val="single" w:color="auto" w:sz="4" w:space="0"/>
            </w:tcBorders>
            <w:noWrap w:val="0"/>
            <w:vAlign w:val="center"/>
          </w:tcPr>
          <w:p w14:paraId="0A294447">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200" w:type="dxa"/>
            <w:tcBorders>
              <w:top w:val="single" w:color="auto" w:sz="8" w:space="0"/>
              <w:left w:val="single" w:color="auto" w:sz="4" w:space="0"/>
              <w:bottom w:val="single" w:color="auto" w:sz="4" w:space="0"/>
              <w:right w:val="single" w:color="auto" w:sz="4" w:space="0"/>
            </w:tcBorders>
            <w:noWrap w:val="0"/>
            <w:vAlign w:val="center"/>
          </w:tcPr>
          <w:p w14:paraId="27CBC75F">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职称/资格</w:t>
            </w:r>
          </w:p>
        </w:tc>
        <w:tc>
          <w:tcPr>
            <w:tcW w:w="784" w:type="dxa"/>
            <w:tcBorders>
              <w:top w:val="single" w:color="auto" w:sz="8" w:space="0"/>
              <w:left w:val="single" w:color="auto" w:sz="4" w:space="0"/>
              <w:bottom w:val="single" w:color="auto" w:sz="4" w:space="0"/>
              <w:right w:val="single" w:color="auto" w:sz="4" w:space="0"/>
            </w:tcBorders>
            <w:noWrap w:val="0"/>
            <w:vAlign w:val="center"/>
          </w:tcPr>
          <w:p w14:paraId="5B05912C">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870" w:type="dxa"/>
            <w:tcBorders>
              <w:top w:val="single" w:color="auto" w:sz="8" w:space="0"/>
              <w:left w:val="single" w:color="auto" w:sz="4" w:space="0"/>
              <w:bottom w:val="single" w:color="auto" w:sz="4" w:space="0"/>
              <w:right w:val="single" w:color="auto" w:sz="4" w:space="0"/>
            </w:tcBorders>
            <w:noWrap w:val="0"/>
            <w:vAlign w:val="center"/>
          </w:tcPr>
          <w:p w14:paraId="744174F5">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经验</w:t>
            </w:r>
          </w:p>
          <w:p w14:paraId="11D8B03A">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年限</w:t>
            </w:r>
          </w:p>
        </w:tc>
        <w:tc>
          <w:tcPr>
            <w:tcW w:w="1389" w:type="dxa"/>
            <w:tcBorders>
              <w:top w:val="single" w:color="auto" w:sz="8" w:space="0"/>
              <w:left w:val="single" w:color="auto" w:sz="4" w:space="0"/>
              <w:bottom w:val="single" w:color="auto" w:sz="4" w:space="0"/>
              <w:right w:val="single" w:color="auto" w:sz="8" w:space="0"/>
            </w:tcBorders>
            <w:noWrap w:val="0"/>
            <w:vAlign w:val="center"/>
          </w:tcPr>
          <w:p w14:paraId="60F47418">
            <w:pPr>
              <w:shd w:val="clear"/>
              <w:autoSpaceDE w:val="0"/>
              <w:autoSpaceDN w:val="0"/>
              <w:adjustRightInd w:val="0"/>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在本项目中担任职务</w:t>
            </w:r>
          </w:p>
        </w:tc>
      </w:tr>
      <w:tr w14:paraId="4811F5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6125E24E">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0EB4FDE0">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3D0E388C">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0A4251ED">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6C0EF788">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A13CA3C">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5566F0F6">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12ECEDED">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0D77F4E8">
            <w:pPr>
              <w:pStyle w:val="289"/>
              <w:shd w:val="clear"/>
              <w:rPr>
                <w:rFonts w:hint="eastAsia" w:ascii="宋体" w:hAnsi="宋体" w:eastAsia="宋体" w:cs="宋体"/>
                <w:color w:val="auto"/>
                <w:sz w:val="24"/>
                <w:szCs w:val="24"/>
                <w:highlight w:val="none"/>
              </w:rPr>
            </w:pPr>
          </w:p>
        </w:tc>
      </w:tr>
      <w:tr w14:paraId="5516B2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5211E1A8">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2A7AADBE">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3B3B0E8F">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527A24FB">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6F109B4E">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3B1BAD1">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74209435">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168C62DD">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204BFA70">
            <w:pPr>
              <w:pStyle w:val="289"/>
              <w:shd w:val="clear"/>
              <w:rPr>
                <w:rFonts w:hint="eastAsia" w:ascii="宋体" w:hAnsi="宋体" w:eastAsia="宋体" w:cs="宋体"/>
                <w:color w:val="auto"/>
                <w:sz w:val="24"/>
                <w:szCs w:val="24"/>
                <w:highlight w:val="none"/>
              </w:rPr>
            </w:pPr>
          </w:p>
        </w:tc>
      </w:tr>
      <w:tr w14:paraId="14E493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578F720E">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0141D563">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15EDC552">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F2BAC2F">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30A02467">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1641E4D">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764F8560">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20BB25D5">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17F2DB4E">
            <w:pPr>
              <w:pStyle w:val="289"/>
              <w:shd w:val="clear"/>
              <w:rPr>
                <w:rFonts w:hint="eastAsia" w:ascii="宋体" w:hAnsi="宋体" w:eastAsia="宋体" w:cs="宋体"/>
                <w:color w:val="auto"/>
                <w:sz w:val="24"/>
                <w:szCs w:val="24"/>
                <w:highlight w:val="none"/>
              </w:rPr>
            </w:pPr>
          </w:p>
        </w:tc>
      </w:tr>
      <w:tr w14:paraId="186FF2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730E2A66">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2E672C6C">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419E4893">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74C7AD0">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4D9A27C6">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6467C6D">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15B024B0">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5EF38DE3">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2FC120F9">
            <w:pPr>
              <w:pStyle w:val="289"/>
              <w:shd w:val="clear"/>
              <w:rPr>
                <w:rFonts w:hint="eastAsia" w:ascii="宋体" w:hAnsi="宋体" w:eastAsia="宋体" w:cs="宋体"/>
                <w:color w:val="auto"/>
                <w:sz w:val="24"/>
                <w:szCs w:val="24"/>
                <w:highlight w:val="none"/>
              </w:rPr>
            </w:pPr>
          </w:p>
        </w:tc>
      </w:tr>
      <w:tr w14:paraId="0BE8B5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4A9F25C3">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0A80EC48">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3621414B">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388E58C">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14607CE0">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C80A057">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3301B316">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0605FB7F">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5B1167BA">
            <w:pPr>
              <w:pStyle w:val="289"/>
              <w:shd w:val="clear"/>
              <w:rPr>
                <w:rFonts w:hint="eastAsia" w:ascii="宋体" w:hAnsi="宋体" w:eastAsia="宋体" w:cs="宋体"/>
                <w:color w:val="auto"/>
                <w:sz w:val="24"/>
                <w:szCs w:val="24"/>
                <w:highlight w:val="none"/>
              </w:rPr>
            </w:pPr>
          </w:p>
        </w:tc>
      </w:tr>
      <w:tr w14:paraId="568DB4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5D1549F9">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64136A6A">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6EA924B7">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0EB2B93A">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59DC1F04">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5D9FC13">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785FB823">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6B075B54">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079124BA">
            <w:pPr>
              <w:pStyle w:val="289"/>
              <w:shd w:val="clear"/>
              <w:rPr>
                <w:rFonts w:hint="eastAsia" w:ascii="宋体" w:hAnsi="宋体" w:eastAsia="宋体" w:cs="宋体"/>
                <w:color w:val="auto"/>
                <w:sz w:val="24"/>
                <w:szCs w:val="24"/>
                <w:highlight w:val="none"/>
              </w:rPr>
            </w:pPr>
          </w:p>
        </w:tc>
      </w:tr>
      <w:tr w14:paraId="59BD42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51148697">
            <w:pPr>
              <w:pStyle w:val="289"/>
              <w:shd w:val="clear"/>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051" w:type="dxa"/>
            <w:tcBorders>
              <w:top w:val="single" w:color="auto" w:sz="4" w:space="0"/>
              <w:left w:val="single" w:color="auto" w:sz="4" w:space="0"/>
              <w:bottom w:val="single" w:color="auto" w:sz="4" w:space="0"/>
              <w:right w:val="single" w:color="auto" w:sz="4" w:space="0"/>
            </w:tcBorders>
            <w:noWrap w:val="0"/>
            <w:vAlign w:val="center"/>
          </w:tcPr>
          <w:p w14:paraId="0395C51E">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4476B6A9">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4C0D0DC1">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30128DA4">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386D265">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33560963">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2F328033">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0C9FCA2F">
            <w:pPr>
              <w:pStyle w:val="289"/>
              <w:shd w:val="clear"/>
              <w:rPr>
                <w:rFonts w:hint="eastAsia" w:ascii="宋体" w:hAnsi="宋体" w:eastAsia="宋体" w:cs="宋体"/>
                <w:color w:val="auto"/>
                <w:sz w:val="24"/>
                <w:szCs w:val="24"/>
                <w:highlight w:val="none"/>
              </w:rPr>
            </w:pPr>
          </w:p>
        </w:tc>
      </w:tr>
      <w:tr w14:paraId="2A4020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7DC391E2">
            <w:pPr>
              <w:pStyle w:val="289"/>
              <w:shd w:val="clear"/>
              <w:rPr>
                <w:rFonts w:hint="eastAsia" w:ascii="宋体" w:hAnsi="宋体" w:eastAsia="宋体" w:cs="宋体"/>
                <w:color w:val="auto"/>
                <w:sz w:val="24"/>
                <w:szCs w:val="24"/>
                <w:highlight w:val="none"/>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20F8837F">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7E51CFF2">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4AC38BA">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14E74D9C">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2A2896D">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62BDEBA3">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1769303C">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343A33DB">
            <w:pPr>
              <w:pStyle w:val="289"/>
              <w:shd w:val="clear"/>
              <w:rPr>
                <w:rFonts w:hint="eastAsia" w:ascii="宋体" w:hAnsi="宋体" w:eastAsia="宋体" w:cs="宋体"/>
                <w:color w:val="auto"/>
                <w:sz w:val="24"/>
                <w:szCs w:val="24"/>
                <w:highlight w:val="none"/>
              </w:rPr>
            </w:pPr>
          </w:p>
        </w:tc>
      </w:tr>
      <w:tr w14:paraId="47CEAD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2BE006E1">
            <w:pPr>
              <w:pStyle w:val="289"/>
              <w:shd w:val="clear"/>
              <w:rPr>
                <w:rFonts w:hint="eastAsia" w:ascii="宋体" w:hAnsi="宋体" w:eastAsia="宋体" w:cs="宋体"/>
                <w:color w:val="auto"/>
                <w:sz w:val="24"/>
                <w:szCs w:val="24"/>
                <w:highlight w:val="none"/>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51AAD4C0">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6A0E68BE">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75DDB8B9">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41EA24BB">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3664F0D">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7C929BFA">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4E11CFB6">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72DB635E">
            <w:pPr>
              <w:pStyle w:val="289"/>
              <w:shd w:val="clear"/>
              <w:rPr>
                <w:rFonts w:hint="eastAsia" w:ascii="宋体" w:hAnsi="宋体" w:eastAsia="宋体" w:cs="宋体"/>
                <w:color w:val="auto"/>
                <w:sz w:val="24"/>
                <w:szCs w:val="24"/>
                <w:highlight w:val="none"/>
              </w:rPr>
            </w:pPr>
          </w:p>
        </w:tc>
      </w:tr>
      <w:tr w14:paraId="770AB5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4" w:space="0"/>
              <w:right w:val="single" w:color="auto" w:sz="4" w:space="0"/>
            </w:tcBorders>
            <w:noWrap w:val="0"/>
            <w:vAlign w:val="center"/>
          </w:tcPr>
          <w:p w14:paraId="76FB4282">
            <w:pPr>
              <w:pStyle w:val="289"/>
              <w:shd w:val="clear"/>
              <w:rPr>
                <w:rFonts w:hint="eastAsia" w:ascii="宋体" w:hAnsi="宋体" w:eastAsia="宋体" w:cs="宋体"/>
                <w:color w:val="auto"/>
                <w:sz w:val="24"/>
                <w:szCs w:val="24"/>
                <w:highlight w:val="none"/>
              </w:rPr>
            </w:pPr>
          </w:p>
        </w:tc>
        <w:tc>
          <w:tcPr>
            <w:tcW w:w="1051" w:type="dxa"/>
            <w:tcBorders>
              <w:top w:val="single" w:color="auto" w:sz="4" w:space="0"/>
              <w:left w:val="single" w:color="auto" w:sz="4" w:space="0"/>
              <w:bottom w:val="single" w:color="auto" w:sz="4" w:space="0"/>
              <w:right w:val="single" w:color="auto" w:sz="4" w:space="0"/>
            </w:tcBorders>
            <w:noWrap w:val="0"/>
            <w:vAlign w:val="center"/>
          </w:tcPr>
          <w:p w14:paraId="05B24770">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4" w:space="0"/>
              <w:right w:val="single" w:color="auto" w:sz="4" w:space="0"/>
            </w:tcBorders>
            <w:noWrap w:val="0"/>
            <w:vAlign w:val="center"/>
          </w:tcPr>
          <w:p w14:paraId="405FD331">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4FF0A3C">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4" w:space="0"/>
              <w:right w:val="single" w:color="auto" w:sz="4" w:space="0"/>
            </w:tcBorders>
            <w:noWrap w:val="0"/>
            <w:vAlign w:val="center"/>
          </w:tcPr>
          <w:p w14:paraId="382D2A60">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DD761EA">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4" w:space="0"/>
              <w:right w:val="single" w:color="auto" w:sz="4" w:space="0"/>
            </w:tcBorders>
            <w:noWrap w:val="0"/>
            <w:vAlign w:val="center"/>
          </w:tcPr>
          <w:p w14:paraId="01C53482">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4" w:space="0"/>
              <w:right w:val="single" w:color="auto" w:sz="4" w:space="0"/>
            </w:tcBorders>
            <w:noWrap w:val="0"/>
            <w:vAlign w:val="center"/>
          </w:tcPr>
          <w:p w14:paraId="25850D19">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4" w:space="0"/>
              <w:right w:val="single" w:color="auto" w:sz="8" w:space="0"/>
            </w:tcBorders>
            <w:noWrap w:val="0"/>
            <w:vAlign w:val="center"/>
          </w:tcPr>
          <w:p w14:paraId="3A8D1EAD">
            <w:pPr>
              <w:pStyle w:val="289"/>
              <w:shd w:val="clear"/>
              <w:rPr>
                <w:rFonts w:hint="eastAsia" w:ascii="宋体" w:hAnsi="宋体" w:eastAsia="宋体" w:cs="宋体"/>
                <w:color w:val="auto"/>
                <w:sz w:val="24"/>
                <w:szCs w:val="24"/>
                <w:highlight w:val="none"/>
              </w:rPr>
            </w:pPr>
          </w:p>
        </w:tc>
      </w:tr>
      <w:tr w14:paraId="3F7A72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866" w:type="dxa"/>
            <w:tcBorders>
              <w:top w:val="single" w:color="auto" w:sz="4" w:space="0"/>
              <w:left w:val="single" w:color="auto" w:sz="8" w:space="0"/>
              <w:bottom w:val="single" w:color="auto" w:sz="8" w:space="0"/>
              <w:right w:val="single" w:color="auto" w:sz="4" w:space="0"/>
            </w:tcBorders>
            <w:noWrap w:val="0"/>
            <w:vAlign w:val="center"/>
          </w:tcPr>
          <w:p w14:paraId="7A353109">
            <w:pPr>
              <w:pStyle w:val="289"/>
              <w:shd w:val="clear"/>
              <w:rPr>
                <w:rFonts w:hint="eastAsia" w:ascii="宋体" w:hAnsi="宋体" w:eastAsia="宋体" w:cs="宋体"/>
                <w:color w:val="auto"/>
                <w:sz w:val="24"/>
                <w:szCs w:val="24"/>
                <w:highlight w:val="none"/>
              </w:rPr>
            </w:pPr>
          </w:p>
        </w:tc>
        <w:tc>
          <w:tcPr>
            <w:tcW w:w="1051" w:type="dxa"/>
            <w:tcBorders>
              <w:top w:val="single" w:color="auto" w:sz="4" w:space="0"/>
              <w:left w:val="single" w:color="auto" w:sz="4" w:space="0"/>
              <w:bottom w:val="single" w:color="auto" w:sz="8" w:space="0"/>
              <w:right w:val="single" w:color="auto" w:sz="4" w:space="0"/>
            </w:tcBorders>
            <w:noWrap w:val="0"/>
            <w:vAlign w:val="center"/>
          </w:tcPr>
          <w:p w14:paraId="25628AEF">
            <w:pPr>
              <w:pStyle w:val="289"/>
              <w:shd w:val="clear"/>
              <w:rPr>
                <w:rFonts w:hint="eastAsia" w:ascii="宋体" w:hAnsi="宋体" w:eastAsia="宋体" w:cs="宋体"/>
                <w:color w:val="auto"/>
                <w:sz w:val="24"/>
                <w:szCs w:val="24"/>
                <w:highlight w:val="none"/>
              </w:rPr>
            </w:pPr>
          </w:p>
        </w:tc>
        <w:tc>
          <w:tcPr>
            <w:tcW w:w="669" w:type="dxa"/>
            <w:tcBorders>
              <w:top w:val="single" w:color="auto" w:sz="4" w:space="0"/>
              <w:left w:val="single" w:color="auto" w:sz="4" w:space="0"/>
              <w:bottom w:val="single" w:color="auto" w:sz="8" w:space="0"/>
              <w:right w:val="single" w:color="auto" w:sz="4" w:space="0"/>
            </w:tcBorders>
            <w:noWrap w:val="0"/>
            <w:vAlign w:val="center"/>
          </w:tcPr>
          <w:p w14:paraId="1D2F4965">
            <w:pPr>
              <w:pStyle w:val="289"/>
              <w:shd w:val="clear"/>
              <w:rPr>
                <w:rFonts w:hint="eastAsia" w:ascii="宋体" w:hAnsi="宋体" w:eastAsia="宋体" w:cs="宋体"/>
                <w:color w:val="auto"/>
                <w:sz w:val="24"/>
                <w:szCs w:val="24"/>
                <w:highlight w:val="none"/>
              </w:rPr>
            </w:pPr>
          </w:p>
        </w:tc>
        <w:tc>
          <w:tcPr>
            <w:tcW w:w="855" w:type="dxa"/>
            <w:tcBorders>
              <w:top w:val="single" w:color="auto" w:sz="4" w:space="0"/>
              <w:left w:val="single" w:color="auto" w:sz="4" w:space="0"/>
              <w:bottom w:val="single" w:color="auto" w:sz="8" w:space="0"/>
              <w:right w:val="single" w:color="auto" w:sz="4" w:space="0"/>
            </w:tcBorders>
            <w:noWrap w:val="0"/>
            <w:vAlign w:val="center"/>
          </w:tcPr>
          <w:p w14:paraId="5750D707">
            <w:pPr>
              <w:pStyle w:val="289"/>
              <w:shd w:val="clear"/>
              <w:rPr>
                <w:rFonts w:hint="eastAsia" w:ascii="宋体" w:hAnsi="宋体" w:eastAsia="宋体" w:cs="宋体"/>
                <w:color w:val="auto"/>
                <w:sz w:val="24"/>
                <w:szCs w:val="24"/>
                <w:highlight w:val="none"/>
              </w:rPr>
            </w:pPr>
          </w:p>
        </w:tc>
        <w:tc>
          <w:tcPr>
            <w:tcW w:w="705" w:type="dxa"/>
            <w:tcBorders>
              <w:top w:val="single" w:color="auto" w:sz="4" w:space="0"/>
              <w:left w:val="single" w:color="auto" w:sz="4" w:space="0"/>
              <w:bottom w:val="single" w:color="auto" w:sz="8" w:space="0"/>
              <w:right w:val="single" w:color="auto" w:sz="4" w:space="0"/>
            </w:tcBorders>
            <w:noWrap w:val="0"/>
            <w:vAlign w:val="center"/>
          </w:tcPr>
          <w:p w14:paraId="1457CF3F">
            <w:pPr>
              <w:pStyle w:val="289"/>
              <w:shd w:val="clear"/>
              <w:rPr>
                <w:rFonts w:hint="eastAsia" w:ascii="宋体" w:hAnsi="宋体" w:eastAsia="宋体" w:cs="宋体"/>
                <w:color w:val="auto"/>
                <w:sz w:val="24"/>
                <w:szCs w:val="24"/>
                <w:highlight w:val="none"/>
              </w:rPr>
            </w:pPr>
          </w:p>
        </w:tc>
        <w:tc>
          <w:tcPr>
            <w:tcW w:w="1200" w:type="dxa"/>
            <w:tcBorders>
              <w:top w:val="single" w:color="auto" w:sz="4" w:space="0"/>
              <w:left w:val="single" w:color="auto" w:sz="4" w:space="0"/>
              <w:bottom w:val="single" w:color="auto" w:sz="8" w:space="0"/>
              <w:right w:val="single" w:color="auto" w:sz="4" w:space="0"/>
            </w:tcBorders>
            <w:noWrap w:val="0"/>
            <w:vAlign w:val="center"/>
          </w:tcPr>
          <w:p w14:paraId="756C3E50">
            <w:pPr>
              <w:pStyle w:val="289"/>
              <w:shd w:val="clear"/>
              <w:rPr>
                <w:rFonts w:hint="eastAsia" w:ascii="宋体" w:hAnsi="宋体" w:eastAsia="宋体" w:cs="宋体"/>
                <w:color w:val="auto"/>
                <w:sz w:val="24"/>
                <w:szCs w:val="24"/>
                <w:highlight w:val="none"/>
              </w:rPr>
            </w:pPr>
          </w:p>
        </w:tc>
        <w:tc>
          <w:tcPr>
            <w:tcW w:w="784" w:type="dxa"/>
            <w:tcBorders>
              <w:top w:val="single" w:color="auto" w:sz="4" w:space="0"/>
              <w:left w:val="single" w:color="auto" w:sz="4" w:space="0"/>
              <w:bottom w:val="single" w:color="auto" w:sz="8" w:space="0"/>
              <w:right w:val="single" w:color="auto" w:sz="4" w:space="0"/>
            </w:tcBorders>
            <w:noWrap w:val="0"/>
            <w:vAlign w:val="center"/>
          </w:tcPr>
          <w:p w14:paraId="3B191346">
            <w:pPr>
              <w:pStyle w:val="289"/>
              <w:shd w:val="clear"/>
              <w:rPr>
                <w:rFonts w:hint="eastAsia" w:ascii="宋体" w:hAnsi="宋体" w:eastAsia="宋体" w:cs="宋体"/>
                <w:color w:val="auto"/>
                <w:sz w:val="24"/>
                <w:szCs w:val="24"/>
                <w:highlight w:val="none"/>
              </w:rPr>
            </w:pPr>
          </w:p>
        </w:tc>
        <w:tc>
          <w:tcPr>
            <w:tcW w:w="870" w:type="dxa"/>
            <w:tcBorders>
              <w:top w:val="single" w:color="auto" w:sz="4" w:space="0"/>
              <w:left w:val="single" w:color="auto" w:sz="4" w:space="0"/>
              <w:bottom w:val="single" w:color="auto" w:sz="8" w:space="0"/>
              <w:right w:val="single" w:color="auto" w:sz="4" w:space="0"/>
            </w:tcBorders>
            <w:noWrap w:val="0"/>
            <w:vAlign w:val="center"/>
          </w:tcPr>
          <w:p w14:paraId="6B70567B">
            <w:pPr>
              <w:pStyle w:val="289"/>
              <w:shd w:val="clear"/>
              <w:rPr>
                <w:rFonts w:hint="eastAsia" w:ascii="宋体" w:hAnsi="宋体" w:eastAsia="宋体" w:cs="宋体"/>
                <w:color w:val="auto"/>
                <w:sz w:val="24"/>
                <w:szCs w:val="24"/>
                <w:highlight w:val="none"/>
              </w:rPr>
            </w:pPr>
          </w:p>
        </w:tc>
        <w:tc>
          <w:tcPr>
            <w:tcW w:w="1389" w:type="dxa"/>
            <w:tcBorders>
              <w:top w:val="single" w:color="auto" w:sz="4" w:space="0"/>
              <w:left w:val="single" w:color="auto" w:sz="4" w:space="0"/>
              <w:bottom w:val="single" w:color="auto" w:sz="8" w:space="0"/>
              <w:right w:val="single" w:color="auto" w:sz="8" w:space="0"/>
            </w:tcBorders>
            <w:noWrap w:val="0"/>
            <w:vAlign w:val="center"/>
          </w:tcPr>
          <w:p w14:paraId="3B2D6F6F">
            <w:pPr>
              <w:pStyle w:val="289"/>
              <w:shd w:val="clear"/>
              <w:rPr>
                <w:rFonts w:hint="eastAsia" w:ascii="宋体" w:hAnsi="宋体" w:eastAsia="宋体" w:cs="宋体"/>
                <w:color w:val="auto"/>
                <w:sz w:val="24"/>
                <w:szCs w:val="24"/>
                <w:highlight w:val="none"/>
              </w:rPr>
            </w:pPr>
          </w:p>
        </w:tc>
      </w:tr>
    </w:tbl>
    <w:p w14:paraId="43BEFF89">
      <w:pPr>
        <w:shd w:val="clear"/>
        <w:spacing w:line="400" w:lineRule="exact"/>
        <w:jc w:val="center"/>
        <w:rPr>
          <w:rFonts w:hint="eastAsia" w:ascii="宋体" w:hAnsi="宋体" w:eastAsia="宋体" w:cs="宋体"/>
          <w:color w:val="auto"/>
          <w:sz w:val="24"/>
          <w:highlight w:val="none"/>
        </w:rPr>
      </w:pPr>
    </w:p>
    <w:p w14:paraId="306DF718">
      <w:pPr>
        <w:shd w:val="clear"/>
        <w:spacing w:line="360" w:lineRule="auto"/>
        <w:ind w:firstLine="422" w:firstLineChars="200"/>
        <w:outlineLvl w:val="0"/>
        <w:rPr>
          <w:rFonts w:hint="eastAsia" w:ascii="宋体" w:hAnsi="宋体" w:eastAsia="宋体" w:cs="宋体"/>
          <w:color w:val="auto"/>
          <w:sz w:val="24"/>
          <w:highlight w:val="none"/>
        </w:rPr>
      </w:pPr>
      <w:r>
        <w:rPr>
          <w:rFonts w:hint="eastAsia" w:ascii="宋体" w:hAnsi="宋体" w:eastAsia="宋体" w:cs="宋体"/>
          <w:b/>
          <w:bCs/>
          <w:color w:val="auto"/>
          <w:szCs w:val="28"/>
          <w:highlight w:val="none"/>
        </w:rPr>
        <w:br w:type="page"/>
      </w:r>
    </w:p>
    <w:p w14:paraId="5BE78F89">
      <w:pPr>
        <w:shd w:val="clear"/>
        <w:spacing w:line="360" w:lineRule="auto"/>
        <w:ind w:firstLine="482" w:firstLineChars="200"/>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格式</w:t>
      </w: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：竞争性磋商文件要求提供的其他文件资料</w:t>
      </w:r>
    </w:p>
    <w:p w14:paraId="3CFBAAA6">
      <w:pPr>
        <w:shd w:val="clear"/>
        <w:spacing w:line="400" w:lineRule="exact"/>
        <w:jc w:val="center"/>
        <w:rPr>
          <w:rFonts w:hint="eastAsia" w:ascii="宋体" w:hAnsi="宋体" w:eastAsia="宋体" w:cs="宋体"/>
          <w:b/>
          <w:color w:val="auto"/>
          <w:sz w:val="24"/>
          <w:highlight w:val="none"/>
        </w:rPr>
      </w:pPr>
    </w:p>
    <w:p w14:paraId="479071CB">
      <w:pPr>
        <w:shd w:val="clear"/>
        <w:spacing w:line="400" w:lineRule="exact"/>
        <w:jc w:val="center"/>
        <w:rPr>
          <w:rFonts w:hint="eastAsia" w:ascii="宋体" w:hAnsi="宋体" w:eastAsia="宋体" w:cs="宋体"/>
          <w:b/>
          <w:color w:val="auto"/>
          <w:sz w:val="24"/>
          <w:highlight w:val="none"/>
        </w:rPr>
      </w:pPr>
    </w:p>
    <w:p w14:paraId="27E9FDC6">
      <w:pPr>
        <w:shd w:val="clear"/>
        <w:spacing w:line="400" w:lineRule="exact"/>
        <w:jc w:val="center"/>
        <w:rPr>
          <w:rFonts w:hint="eastAsia" w:ascii="宋体" w:hAnsi="宋体" w:eastAsia="宋体" w:cs="宋体"/>
          <w:b/>
          <w:color w:val="auto"/>
          <w:sz w:val="24"/>
          <w:highlight w:val="none"/>
        </w:rPr>
      </w:pPr>
    </w:p>
    <w:p w14:paraId="0FFA4E91">
      <w:pPr>
        <w:shd w:val="clear"/>
        <w:spacing w:line="400" w:lineRule="exact"/>
        <w:jc w:val="center"/>
        <w:rPr>
          <w:rFonts w:hint="eastAsia" w:ascii="宋体" w:hAnsi="宋体" w:eastAsia="宋体" w:cs="宋体"/>
          <w:b/>
          <w:color w:val="auto"/>
          <w:sz w:val="24"/>
          <w:highlight w:val="none"/>
        </w:rPr>
      </w:pPr>
    </w:p>
    <w:p w14:paraId="48ECAAE5">
      <w:pPr>
        <w:shd w:val="clear"/>
        <w:spacing w:line="400" w:lineRule="exact"/>
        <w:jc w:val="center"/>
        <w:rPr>
          <w:rFonts w:hint="eastAsia" w:ascii="宋体" w:hAnsi="宋体" w:eastAsia="宋体" w:cs="宋体"/>
          <w:b/>
          <w:color w:val="auto"/>
          <w:sz w:val="24"/>
          <w:highlight w:val="none"/>
        </w:rPr>
      </w:pPr>
    </w:p>
    <w:p w14:paraId="5EF135A1">
      <w:pPr>
        <w:shd w:val="clear"/>
        <w:spacing w:line="400" w:lineRule="exact"/>
        <w:jc w:val="center"/>
        <w:rPr>
          <w:rFonts w:hint="eastAsia" w:ascii="宋体" w:hAnsi="宋体" w:eastAsia="宋体" w:cs="宋体"/>
          <w:b/>
          <w:color w:val="auto"/>
          <w:sz w:val="24"/>
          <w:highlight w:val="none"/>
        </w:rPr>
      </w:pPr>
    </w:p>
    <w:p w14:paraId="32BF5EF3">
      <w:pPr>
        <w:shd w:val="clear"/>
        <w:spacing w:line="400" w:lineRule="exact"/>
        <w:jc w:val="center"/>
        <w:rPr>
          <w:rFonts w:hint="eastAsia" w:ascii="宋体" w:hAnsi="宋体" w:eastAsia="宋体" w:cs="宋体"/>
          <w:b/>
          <w:color w:val="auto"/>
          <w:sz w:val="24"/>
          <w:highlight w:val="none"/>
        </w:rPr>
      </w:pPr>
    </w:p>
    <w:p w14:paraId="4BA1DD13">
      <w:pPr>
        <w:shd w:val="clear"/>
        <w:spacing w:line="400" w:lineRule="exact"/>
        <w:jc w:val="center"/>
        <w:rPr>
          <w:rFonts w:hint="eastAsia" w:ascii="宋体" w:hAnsi="宋体" w:eastAsia="宋体" w:cs="宋体"/>
          <w:b/>
          <w:color w:val="auto"/>
          <w:sz w:val="24"/>
          <w:highlight w:val="none"/>
        </w:rPr>
      </w:pPr>
    </w:p>
    <w:p w14:paraId="79466B63">
      <w:pPr>
        <w:shd w:val="clear"/>
        <w:spacing w:line="400" w:lineRule="exact"/>
        <w:jc w:val="center"/>
        <w:rPr>
          <w:rFonts w:hint="eastAsia" w:ascii="宋体" w:hAnsi="宋体" w:eastAsia="宋体" w:cs="宋体"/>
          <w:b/>
          <w:color w:val="auto"/>
          <w:sz w:val="24"/>
          <w:highlight w:val="none"/>
        </w:rPr>
      </w:pPr>
    </w:p>
    <w:p w14:paraId="24718AA1">
      <w:pPr>
        <w:shd w:val="clear"/>
        <w:spacing w:line="400" w:lineRule="exact"/>
        <w:jc w:val="center"/>
        <w:rPr>
          <w:rFonts w:hint="eastAsia" w:ascii="宋体" w:hAnsi="宋体" w:eastAsia="宋体" w:cs="宋体"/>
          <w:b/>
          <w:color w:val="auto"/>
          <w:sz w:val="24"/>
          <w:highlight w:val="none"/>
        </w:rPr>
      </w:pPr>
    </w:p>
    <w:p w14:paraId="75726322">
      <w:pPr>
        <w:shd w:val="clear"/>
        <w:spacing w:line="400" w:lineRule="exact"/>
        <w:jc w:val="center"/>
        <w:rPr>
          <w:rFonts w:hint="eastAsia" w:ascii="宋体" w:hAnsi="宋体" w:eastAsia="宋体" w:cs="宋体"/>
          <w:b/>
          <w:color w:val="auto"/>
          <w:sz w:val="24"/>
          <w:highlight w:val="none"/>
        </w:rPr>
      </w:pPr>
    </w:p>
    <w:p w14:paraId="5A0E8A93">
      <w:pPr>
        <w:shd w:val="clear"/>
        <w:spacing w:line="400" w:lineRule="exact"/>
        <w:jc w:val="center"/>
        <w:rPr>
          <w:rFonts w:hint="eastAsia" w:ascii="宋体" w:hAnsi="宋体" w:eastAsia="宋体" w:cs="宋体"/>
          <w:b/>
          <w:color w:val="auto"/>
          <w:sz w:val="24"/>
          <w:highlight w:val="none"/>
        </w:rPr>
      </w:pPr>
    </w:p>
    <w:p w14:paraId="22C27E1E">
      <w:pPr>
        <w:shd w:val="clear"/>
        <w:spacing w:line="400" w:lineRule="exact"/>
        <w:jc w:val="center"/>
        <w:rPr>
          <w:rFonts w:hint="eastAsia" w:ascii="宋体" w:hAnsi="宋体" w:eastAsia="宋体" w:cs="宋体"/>
          <w:b/>
          <w:color w:val="auto"/>
          <w:sz w:val="24"/>
          <w:highlight w:val="none"/>
        </w:rPr>
      </w:pPr>
    </w:p>
    <w:p w14:paraId="04937B5F">
      <w:pPr>
        <w:shd w:val="clear"/>
        <w:spacing w:line="400" w:lineRule="exact"/>
        <w:jc w:val="center"/>
        <w:rPr>
          <w:rFonts w:hint="eastAsia" w:ascii="宋体" w:hAnsi="宋体" w:eastAsia="宋体" w:cs="宋体"/>
          <w:b/>
          <w:color w:val="auto"/>
          <w:sz w:val="24"/>
          <w:highlight w:val="none"/>
        </w:rPr>
      </w:pPr>
    </w:p>
    <w:p w14:paraId="4F30367F">
      <w:pPr>
        <w:shd w:val="clear"/>
        <w:spacing w:line="400" w:lineRule="exact"/>
        <w:jc w:val="center"/>
        <w:rPr>
          <w:rFonts w:hint="eastAsia" w:ascii="宋体" w:hAnsi="宋体" w:eastAsia="宋体" w:cs="宋体"/>
          <w:b/>
          <w:color w:val="auto"/>
          <w:sz w:val="24"/>
          <w:highlight w:val="none"/>
        </w:rPr>
      </w:pPr>
    </w:p>
    <w:p w14:paraId="7B3F3B68">
      <w:pPr>
        <w:shd w:val="clear"/>
        <w:spacing w:line="400" w:lineRule="exact"/>
        <w:jc w:val="center"/>
        <w:rPr>
          <w:rFonts w:hint="eastAsia" w:ascii="宋体" w:hAnsi="宋体" w:eastAsia="宋体" w:cs="宋体"/>
          <w:b/>
          <w:color w:val="auto"/>
          <w:sz w:val="24"/>
          <w:highlight w:val="none"/>
        </w:rPr>
      </w:pPr>
    </w:p>
    <w:p w14:paraId="43BE1DEA">
      <w:pPr>
        <w:shd w:val="clear"/>
        <w:spacing w:line="400" w:lineRule="exact"/>
        <w:jc w:val="center"/>
        <w:rPr>
          <w:rFonts w:hint="eastAsia" w:ascii="宋体" w:hAnsi="宋体" w:eastAsia="宋体" w:cs="宋体"/>
          <w:b/>
          <w:color w:val="auto"/>
          <w:sz w:val="24"/>
          <w:highlight w:val="none"/>
        </w:rPr>
      </w:pPr>
    </w:p>
    <w:p w14:paraId="539EAFC5">
      <w:pPr>
        <w:shd w:val="clear"/>
        <w:spacing w:line="400" w:lineRule="exact"/>
        <w:jc w:val="center"/>
        <w:rPr>
          <w:rFonts w:hint="eastAsia" w:ascii="宋体" w:hAnsi="宋体" w:eastAsia="宋体" w:cs="宋体"/>
          <w:b/>
          <w:color w:val="auto"/>
          <w:sz w:val="24"/>
          <w:highlight w:val="none"/>
        </w:rPr>
      </w:pPr>
    </w:p>
    <w:p w14:paraId="67E10D6B">
      <w:pPr>
        <w:shd w:val="clear"/>
        <w:spacing w:line="400" w:lineRule="exact"/>
        <w:jc w:val="center"/>
        <w:rPr>
          <w:rFonts w:hint="eastAsia" w:ascii="宋体" w:hAnsi="宋体" w:eastAsia="宋体" w:cs="宋体"/>
          <w:b/>
          <w:color w:val="auto"/>
          <w:sz w:val="24"/>
          <w:highlight w:val="none"/>
        </w:rPr>
      </w:pPr>
    </w:p>
    <w:p w14:paraId="6510E9DA">
      <w:pPr>
        <w:shd w:val="clear"/>
        <w:spacing w:line="400" w:lineRule="exact"/>
        <w:jc w:val="center"/>
        <w:rPr>
          <w:rFonts w:hint="eastAsia" w:ascii="宋体" w:hAnsi="宋体" w:eastAsia="宋体" w:cs="宋体"/>
          <w:b/>
          <w:color w:val="auto"/>
          <w:sz w:val="24"/>
          <w:highlight w:val="none"/>
        </w:rPr>
      </w:pPr>
    </w:p>
    <w:p w14:paraId="354379EC">
      <w:pPr>
        <w:shd w:val="clear"/>
        <w:spacing w:line="400" w:lineRule="exact"/>
        <w:jc w:val="center"/>
        <w:rPr>
          <w:rFonts w:hint="eastAsia" w:ascii="宋体" w:hAnsi="宋体" w:eastAsia="宋体" w:cs="宋体"/>
          <w:b/>
          <w:color w:val="auto"/>
          <w:sz w:val="24"/>
          <w:highlight w:val="none"/>
        </w:rPr>
      </w:pPr>
    </w:p>
    <w:p w14:paraId="182A4227">
      <w:pPr>
        <w:shd w:val="clear"/>
        <w:spacing w:line="400" w:lineRule="exact"/>
        <w:jc w:val="center"/>
        <w:rPr>
          <w:rFonts w:hint="eastAsia" w:ascii="宋体" w:hAnsi="宋体" w:eastAsia="宋体" w:cs="宋体"/>
          <w:b/>
          <w:color w:val="auto"/>
          <w:sz w:val="24"/>
          <w:highlight w:val="none"/>
        </w:rPr>
      </w:pPr>
    </w:p>
    <w:p w14:paraId="312514E2">
      <w:pPr>
        <w:shd w:val="clear"/>
        <w:spacing w:line="400" w:lineRule="exact"/>
        <w:jc w:val="center"/>
        <w:rPr>
          <w:rFonts w:hint="eastAsia" w:ascii="宋体" w:hAnsi="宋体" w:eastAsia="宋体" w:cs="宋体"/>
          <w:b/>
          <w:color w:val="auto"/>
          <w:sz w:val="24"/>
          <w:highlight w:val="none"/>
        </w:rPr>
      </w:pPr>
    </w:p>
    <w:p w14:paraId="30D0BD8A">
      <w:pPr>
        <w:shd w:val="clear"/>
        <w:spacing w:line="400" w:lineRule="exact"/>
        <w:jc w:val="center"/>
        <w:rPr>
          <w:rFonts w:hint="eastAsia" w:ascii="宋体" w:hAnsi="宋体" w:eastAsia="宋体" w:cs="宋体"/>
          <w:b/>
          <w:color w:val="auto"/>
          <w:sz w:val="24"/>
          <w:highlight w:val="none"/>
        </w:rPr>
      </w:pPr>
    </w:p>
    <w:p w14:paraId="7D1F0741">
      <w:pPr>
        <w:shd w:val="clear"/>
        <w:spacing w:line="400" w:lineRule="exact"/>
        <w:jc w:val="center"/>
        <w:rPr>
          <w:rFonts w:hint="eastAsia" w:ascii="宋体" w:hAnsi="宋体" w:eastAsia="宋体" w:cs="宋体"/>
          <w:b/>
          <w:color w:val="auto"/>
          <w:sz w:val="24"/>
          <w:highlight w:val="none"/>
        </w:rPr>
      </w:pPr>
    </w:p>
    <w:p w14:paraId="2FC245E8">
      <w:pPr>
        <w:shd w:val="clear"/>
        <w:spacing w:line="400" w:lineRule="exact"/>
        <w:jc w:val="center"/>
        <w:rPr>
          <w:rFonts w:hint="eastAsia" w:ascii="宋体" w:hAnsi="宋体" w:eastAsia="宋体" w:cs="宋体"/>
          <w:b/>
          <w:color w:val="auto"/>
          <w:sz w:val="24"/>
          <w:highlight w:val="none"/>
        </w:rPr>
      </w:pPr>
    </w:p>
    <w:p w14:paraId="69EAEA94">
      <w:pPr>
        <w:shd w:val="clear"/>
        <w:spacing w:line="400" w:lineRule="exact"/>
        <w:jc w:val="center"/>
        <w:rPr>
          <w:rFonts w:hint="eastAsia" w:ascii="宋体" w:hAnsi="宋体" w:eastAsia="宋体" w:cs="宋体"/>
          <w:b/>
          <w:color w:val="auto"/>
          <w:sz w:val="24"/>
          <w:highlight w:val="none"/>
        </w:rPr>
      </w:pPr>
    </w:p>
    <w:p w14:paraId="645D428C">
      <w:pPr>
        <w:shd w:val="clear"/>
        <w:spacing w:line="400" w:lineRule="exact"/>
        <w:jc w:val="center"/>
        <w:rPr>
          <w:rFonts w:hint="eastAsia" w:ascii="宋体" w:hAnsi="宋体" w:eastAsia="宋体" w:cs="宋体"/>
          <w:b/>
          <w:color w:val="auto"/>
          <w:sz w:val="24"/>
          <w:highlight w:val="none"/>
        </w:rPr>
      </w:pPr>
    </w:p>
    <w:p w14:paraId="42B23952">
      <w:pPr>
        <w:shd w:val="clear"/>
        <w:spacing w:line="400" w:lineRule="exact"/>
        <w:jc w:val="center"/>
        <w:rPr>
          <w:rFonts w:hint="eastAsia" w:ascii="宋体" w:hAnsi="宋体" w:eastAsia="宋体" w:cs="宋体"/>
          <w:b/>
          <w:color w:val="auto"/>
          <w:sz w:val="24"/>
          <w:highlight w:val="none"/>
        </w:rPr>
      </w:pPr>
    </w:p>
    <w:p w14:paraId="2DEE8784">
      <w:pPr>
        <w:pStyle w:val="23"/>
        <w:shd w:val="clear"/>
        <w:rPr>
          <w:rFonts w:hint="eastAsia" w:ascii="宋体" w:hAnsi="宋体" w:eastAsia="宋体" w:cs="宋体"/>
          <w:b/>
          <w:color w:val="auto"/>
          <w:sz w:val="24"/>
          <w:highlight w:val="none"/>
        </w:rPr>
      </w:pPr>
    </w:p>
    <w:p w14:paraId="0F536A30">
      <w:pPr>
        <w:pStyle w:val="32"/>
        <w:shd w:val="clear"/>
        <w:rPr>
          <w:rFonts w:hint="eastAsia" w:ascii="宋体" w:hAnsi="宋体" w:eastAsia="宋体" w:cs="宋体"/>
          <w:b/>
          <w:color w:val="auto"/>
          <w:highlight w:val="none"/>
        </w:rPr>
      </w:pPr>
    </w:p>
    <w:p w14:paraId="7245F739">
      <w:pPr>
        <w:shd w:val="clear"/>
        <w:rPr>
          <w:rFonts w:hint="eastAsia" w:ascii="宋体" w:hAnsi="宋体" w:eastAsia="宋体" w:cs="宋体"/>
          <w:b/>
          <w:color w:val="auto"/>
          <w:sz w:val="24"/>
          <w:highlight w:val="none"/>
        </w:rPr>
      </w:pPr>
    </w:p>
    <w:p w14:paraId="114B12D1">
      <w:pPr>
        <w:pStyle w:val="23"/>
        <w:shd w:val="clear"/>
        <w:rPr>
          <w:rFonts w:hint="eastAsia" w:ascii="宋体" w:hAnsi="宋体" w:eastAsia="宋体" w:cs="宋体"/>
          <w:color w:val="auto"/>
          <w:highlight w:val="none"/>
        </w:rPr>
      </w:pPr>
    </w:p>
    <w:p w14:paraId="0F73E9C9">
      <w:pPr>
        <w:shd w:val="clear"/>
        <w:spacing w:line="312"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rPr>
        <w:t>附件：</w:t>
      </w:r>
    </w:p>
    <w:p w14:paraId="1D75FB5D">
      <w:pPr>
        <w:widowControl/>
        <w:shd w:val="clear" w:color="auto"/>
        <w:spacing w:before="100" w:beforeAutospacing="1" w:after="100" w:afterAutospacing="1" w:line="435" w:lineRule="atLeast"/>
        <w:jc w:val="center"/>
        <w:rPr>
          <w:rFonts w:hint="eastAsia" w:ascii="宋体" w:hAnsi="宋体" w:eastAsia="宋体" w:cs="宋体"/>
          <w:color w:val="auto"/>
          <w:szCs w:val="21"/>
          <w:highlight w:val="none"/>
        </w:rPr>
      </w:pPr>
      <w:r>
        <w:rPr>
          <w:rFonts w:hint="eastAsia" w:ascii="宋体" w:hAnsi="宋体" w:eastAsia="宋体" w:cs="宋体"/>
          <w:b/>
          <w:color w:val="auto"/>
          <w:sz w:val="28"/>
          <w:szCs w:val="28"/>
          <w:highlight w:val="none"/>
        </w:rPr>
        <w:t>（一）</w:t>
      </w:r>
      <w:r>
        <w:rPr>
          <w:rStyle w:val="64"/>
          <w:rFonts w:hint="eastAsia" w:ascii="宋体" w:hAnsi="宋体" w:eastAsia="宋体" w:cs="宋体"/>
          <w:color w:val="auto"/>
          <w:kern w:val="0"/>
          <w:sz w:val="28"/>
          <w:szCs w:val="28"/>
          <w:highlight w:val="none"/>
          <w:shd w:val="clear" w:color="auto" w:fill="FFFFFF"/>
          <w:lang w:bidi="ar"/>
        </w:rPr>
        <w:t>中小企业声明函（货物）</w:t>
      </w:r>
    </w:p>
    <w:p w14:paraId="74E85C0B">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本公司（联合体）郑重声明，根据《政府采购促进中小企业发展管理办法》（财库﹝2020﹞46 号）的规定，本公司（联合体）参加</w:t>
      </w:r>
      <w:r>
        <w:rPr>
          <w:rFonts w:hint="eastAsia" w:ascii="宋体" w:hAnsi="宋体" w:eastAsia="宋体" w:cs="宋体"/>
          <w:color w:val="auto"/>
          <w:kern w:val="0"/>
          <w:sz w:val="21"/>
          <w:szCs w:val="21"/>
          <w:highlight w:val="none"/>
          <w:u w:val="single"/>
          <w:shd w:val="clear" w:color="auto" w:fill="FFFFFF"/>
          <w:lang w:bidi="ar"/>
        </w:rPr>
        <w:t>     （单位名称）</w:t>
      </w:r>
      <w:r>
        <w:rPr>
          <w:rFonts w:hint="eastAsia" w:ascii="宋体" w:hAnsi="宋体" w:eastAsia="宋体" w:cs="宋体"/>
          <w:color w:val="auto"/>
          <w:kern w:val="0"/>
          <w:sz w:val="21"/>
          <w:szCs w:val="21"/>
          <w:highlight w:val="none"/>
          <w:shd w:val="clear" w:color="auto" w:fill="FFFFFF"/>
          <w:lang w:bidi="ar"/>
        </w:rPr>
        <w:t>的</w:t>
      </w:r>
      <w:r>
        <w:rPr>
          <w:rFonts w:hint="eastAsia" w:ascii="宋体" w:hAnsi="宋体" w:eastAsia="宋体" w:cs="宋体"/>
          <w:color w:val="auto"/>
          <w:kern w:val="0"/>
          <w:sz w:val="21"/>
          <w:szCs w:val="21"/>
          <w:highlight w:val="none"/>
          <w:u w:val="single"/>
          <w:shd w:val="clear" w:color="auto" w:fill="FFFFFF"/>
          <w:lang w:bidi="ar"/>
        </w:rPr>
        <w:t>    （项目名称）</w:t>
      </w:r>
      <w:r>
        <w:rPr>
          <w:rFonts w:hint="eastAsia" w:ascii="宋体" w:hAnsi="宋体" w:eastAsia="宋体" w:cs="宋体"/>
          <w:color w:val="auto"/>
          <w:kern w:val="0"/>
          <w:sz w:val="21"/>
          <w:szCs w:val="21"/>
          <w:highlight w:val="none"/>
          <w:shd w:val="clear" w:color="auto" w:fill="FFFFFF"/>
          <w:lang w:bidi="ar"/>
        </w:rPr>
        <w:t>采购活动，提供的货物全部由符合政策要求的中小企业制造。相关企业（含联合体中的中小企业、签订分包意向协议的中小企业）的具体情况如下：</w:t>
      </w:r>
    </w:p>
    <w:p w14:paraId="75446853">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1.</w:t>
      </w:r>
      <w:r>
        <w:rPr>
          <w:rFonts w:hint="eastAsia" w:ascii="宋体" w:hAnsi="宋体" w:eastAsia="宋体" w:cs="宋体"/>
          <w:color w:val="auto"/>
          <w:kern w:val="0"/>
          <w:sz w:val="21"/>
          <w:szCs w:val="21"/>
          <w:highlight w:val="none"/>
          <w:u w:val="single"/>
          <w:shd w:val="clear" w:color="auto" w:fill="FFFFFF"/>
          <w:lang w:bidi="ar"/>
        </w:rPr>
        <w:t>     （标的名称）</w:t>
      </w:r>
      <w:r>
        <w:rPr>
          <w:rFonts w:hint="eastAsia" w:ascii="宋体" w:hAnsi="宋体" w:eastAsia="宋体" w:cs="宋体"/>
          <w:color w:val="auto"/>
          <w:kern w:val="0"/>
          <w:sz w:val="21"/>
          <w:szCs w:val="21"/>
          <w:highlight w:val="none"/>
          <w:shd w:val="clear" w:color="auto" w:fill="FFFFFF"/>
          <w:lang w:bidi="ar"/>
        </w:rPr>
        <w:t>，属于</w:t>
      </w:r>
      <w:r>
        <w:rPr>
          <w:rFonts w:hint="eastAsia" w:ascii="宋体" w:hAnsi="宋体" w:eastAsia="宋体" w:cs="宋体"/>
          <w:color w:val="auto"/>
          <w:kern w:val="0"/>
          <w:sz w:val="21"/>
          <w:szCs w:val="21"/>
          <w:highlight w:val="none"/>
          <w:u w:val="single"/>
          <w:shd w:val="clear" w:color="auto" w:fill="FFFFFF"/>
          <w:lang w:bidi="ar"/>
        </w:rPr>
        <w:t>     （采购文件中明确的所属行业）</w:t>
      </w:r>
      <w:r>
        <w:rPr>
          <w:rFonts w:hint="eastAsia" w:ascii="宋体" w:hAnsi="宋体" w:eastAsia="宋体" w:cs="宋体"/>
          <w:color w:val="auto"/>
          <w:kern w:val="0"/>
          <w:sz w:val="21"/>
          <w:szCs w:val="21"/>
          <w:highlight w:val="none"/>
          <w:shd w:val="clear" w:color="auto" w:fill="FFFFFF"/>
          <w:lang w:bidi="ar"/>
        </w:rPr>
        <w:t>行业；制造商为</w:t>
      </w:r>
      <w:r>
        <w:rPr>
          <w:rFonts w:hint="eastAsia" w:ascii="宋体" w:hAnsi="宋体" w:eastAsia="宋体" w:cs="宋体"/>
          <w:color w:val="auto"/>
          <w:kern w:val="0"/>
          <w:sz w:val="21"/>
          <w:szCs w:val="21"/>
          <w:highlight w:val="none"/>
          <w:u w:val="single"/>
          <w:shd w:val="clear" w:color="auto" w:fill="FFFFFF"/>
          <w:lang w:bidi="ar"/>
        </w:rPr>
        <w:t>       （企业名称）</w:t>
      </w:r>
      <w:r>
        <w:rPr>
          <w:rFonts w:hint="eastAsia" w:ascii="宋体" w:hAnsi="宋体" w:eastAsia="宋体" w:cs="宋体"/>
          <w:color w:val="auto"/>
          <w:kern w:val="0"/>
          <w:sz w:val="21"/>
          <w:szCs w:val="21"/>
          <w:highlight w:val="none"/>
          <w:shd w:val="clear" w:color="auto" w:fill="FFFFFF"/>
          <w:lang w:bidi="ar"/>
        </w:rPr>
        <w:t>，从业人员</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人，营业收入为</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万元，资产总额为</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万元</w:t>
      </w:r>
      <w:r>
        <w:rPr>
          <w:rFonts w:hint="eastAsia" w:ascii="宋体" w:hAnsi="宋体" w:eastAsia="宋体" w:cs="宋体"/>
          <w:color w:val="auto"/>
          <w:kern w:val="0"/>
          <w:sz w:val="21"/>
          <w:szCs w:val="21"/>
          <w:highlight w:val="none"/>
          <w:shd w:val="clear" w:color="auto" w:fill="FFFFFF"/>
          <w:vertAlign w:val="superscript"/>
          <w:lang w:bidi="ar"/>
        </w:rPr>
        <w:t>1</w:t>
      </w:r>
      <w:r>
        <w:rPr>
          <w:rFonts w:hint="eastAsia" w:ascii="宋体" w:hAnsi="宋体" w:eastAsia="宋体" w:cs="宋体"/>
          <w:color w:val="auto"/>
          <w:kern w:val="0"/>
          <w:sz w:val="21"/>
          <w:szCs w:val="21"/>
          <w:highlight w:val="none"/>
          <w:shd w:val="clear" w:color="auto" w:fill="FFFFFF"/>
          <w:lang w:bidi="ar"/>
        </w:rPr>
        <w:t>，属于</w:t>
      </w:r>
      <w:r>
        <w:rPr>
          <w:rFonts w:hint="eastAsia" w:ascii="宋体" w:hAnsi="宋体" w:eastAsia="宋体" w:cs="宋体"/>
          <w:color w:val="auto"/>
          <w:kern w:val="0"/>
          <w:sz w:val="21"/>
          <w:szCs w:val="21"/>
          <w:highlight w:val="none"/>
          <w:u w:val="single"/>
          <w:shd w:val="clear" w:color="auto" w:fill="FFFFFF"/>
          <w:lang w:bidi="ar"/>
        </w:rPr>
        <w:t>     （中型企业、小型企业、微型企业）</w:t>
      </w:r>
      <w:r>
        <w:rPr>
          <w:rFonts w:hint="eastAsia" w:ascii="宋体" w:hAnsi="宋体" w:eastAsia="宋体" w:cs="宋体"/>
          <w:color w:val="auto"/>
          <w:kern w:val="0"/>
          <w:sz w:val="21"/>
          <w:szCs w:val="21"/>
          <w:highlight w:val="none"/>
          <w:shd w:val="clear" w:color="auto" w:fill="FFFFFF"/>
          <w:lang w:bidi="ar"/>
        </w:rPr>
        <w:t>；</w:t>
      </w:r>
    </w:p>
    <w:p w14:paraId="58BDBBD5">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2.</w:t>
      </w:r>
      <w:r>
        <w:rPr>
          <w:rFonts w:hint="eastAsia" w:ascii="宋体" w:hAnsi="宋体" w:eastAsia="宋体" w:cs="宋体"/>
          <w:color w:val="auto"/>
          <w:kern w:val="0"/>
          <w:sz w:val="21"/>
          <w:szCs w:val="21"/>
          <w:highlight w:val="none"/>
          <w:u w:val="single"/>
          <w:shd w:val="clear" w:color="auto" w:fill="FFFFFF"/>
          <w:lang w:bidi="ar"/>
        </w:rPr>
        <w:t>     （标的名称）</w:t>
      </w:r>
      <w:r>
        <w:rPr>
          <w:rFonts w:hint="eastAsia" w:ascii="宋体" w:hAnsi="宋体" w:eastAsia="宋体" w:cs="宋体"/>
          <w:color w:val="auto"/>
          <w:kern w:val="0"/>
          <w:sz w:val="21"/>
          <w:szCs w:val="21"/>
          <w:highlight w:val="none"/>
          <w:shd w:val="clear" w:color="auto" w:fill="FFFFFF"/>
          <w:lang w:bidi="ar"/>
        </w:rPr>
        <w:t>，属于</w:t>
      </w:r>
      <w:r>
        <w:rPr>
          <w:rFonts w:hint="eastAsia" w:ascii="宋体" w:hAnsi="宋体" w:eastAsia="宋体" w:cs="宋体"/>
          <w:color w:val="auto"/>
          <w:kern w:val="0"/>
          <w:sz w:val="21"/>
          <w:szCs w:val="21"/>
          <w:highlight w:val="none"/>
          <w:u w:val="single"/>
          <w:shd w:val="clear" w:color="auto" w:fill="FFFFFF"/>
          <w:lang w:bidi="ar"/>
        </w:rPr>
        <w:t>     （采购文件中明确的所属行业）</w:t>
      </w:r>
      <w:r>
        <w:rPr>
          <w:rFonts w:hint="eastAsia" w:ascii="宋体" w:hAnsi="宋体" w:eastAsia="宋体" w:cs="宋体"/>
          <w:color w:val="auto"/>
          <w:kern w:val="0"/>
          <w:sz w:val="21"/>
          <w:szCs w:val="21"/>
          <w:highlight w:val="none"/>
          <w:shd w:val="clear" w:color="auto" w:fill="FFFFFF"/>
          <w:lang w:bidi="ar"/>
        </w:rPr>
        <w:t>行业；制造商为</w:t>
      </w:r>
      <w:r>
        <w:rPr>
          <w:rFonts w:hint="eastAsia" w:ascii="宋体" w:hAnsi="宋体" w:eastAsia="宋体" w:cs="宋体"/>
          <w:color w:val="auto"/>
          <w:kern w:val="0"/>
          <w:sz w:val="21"/>
          <w:szCs w:val="21"/>
          <w:highlight w:val="none"/>
          <w:u w:val="single"/>
          <w:shd w:val="clear" w:color="auto" w:fill="FFFFFF"/>
          <w:lang w:bidi="ar"/>
        </w:rPr>
        <w:t>       （企业名称）</w:t>
      </w:r>
      <w:r>
        <w:rPr>
          <w:rFonts w:hint="eastAsia" w:ascii="宋体" w:hAnsi="宋体" w:eastAsia="宋体" w:cs="宋体"/>
          <w:color w:val="auto"/>
          <w:kern w:val="0"/>
          <w:sz w:val="21"/>
          <w:szCs w:val="21"/>
          <w:highlight w:val="none"/>
          <w:shd w:val="clear" w:color="auto" w:fill="FFFFFF"/>
          <w:lang w:bidi="ar"/>
        </w:rPr>
        <w:t>，从业人员</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人，营业收入为</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万元，资产总额为</w:t>
      </w:r>
      <w:r>
        <w:rPr>
          <w:rFonts w:hint="eastAsia" w:ascii="宋体" w:hAnsi="宋体" w:eastAsia="宋体" w:cs="宋体"/>
          <w:color w:val="auto"/>
          <w:kern w:val="0"/>
          <w:sz w:val="21"/>
          <w:szCs w:val="21"/>
          <w:highlight w:val="none"/>
          <w:u w:val="single"/>
          <w:shd w:val="clear" w:color="auto" w:fill="FFFFFF"/>
          <w:lang w:bidi="ar"/>
        </w:rPr>
        <w:t>   </w:t>
      </w:r>
      <w:r>
        <w:rPr>
          <w:rFonts w:hint="eastAsia" w:ascii="宋体" w:hAnsi="宋体" w:eastAsia="宋体" w:cs="宋体"/>
          <w:color w:val="auto"/>
          <w:kern w:val="0"/>
          <w:sz w:val="21"/>
          <w:szCs w:val="21"/>
          <w:highlight w:val="none"/>
          <w:shd w:val="clear" w:color="auto" w:fill="FFFFFF"/>
          <w:lang w:bidi="ar"/>
        </w:rPr>
        <w:t>万元</w:t>
      </w:r>
      <w:r>
        <w:rPr>
          <w:rFonts w:hint="eastAsia" w:ascii="宋体" w:hAnsi="宋体" w:eastAsia="宋体" w:cs="宋体"/>
          <w:color w:val="auto"/>
          <w:kern w:val="0"/>
          <w:sz w:val="21"/>
          <w:szCs w:val="21"/>
          <w:highlight w:val="none"/>
          <w:shd w:val="clear" w:color="auto" w:fill="FFFFFF"/>
          <w:vertAlign w:val="superscript"/>
          <w:lang w:bidi="ar"/>
        </w:rPr>
        <w:t>1</w:t>
      </w:r>
      <w:r>
        <w:rPr>
          <w:rFonts w:hint="eastAsia" w:ascii="宋体" w:hAnsi="宋体" w:eastAsia="宋体" w:cs="宋体"/>
          <w:color w:val="auto"/>
          <w:kern w:val="0"/>
          <w:sz w:val="21"/>
          <w:szCs w:val="21"/>
          <w:highlight w:val="none"/>
          <w:shd w:val="clear" w:color="auto" w:fill="FFFFFF"/>
          <w:lang w:bidi="ar"/>
        </w:rPr>
        <w:t>，属于</w:t>
      </w:r>
      <w:r>
        <w:rPr>
          <w:rFonts w:hint="eastAsia" w:ascii="宋体" w:hAnsi="宋体" w:eastAsia="宋体" w:cs="宋体"/>
          <w:color w:val="auto"/>
          <w:kern w:val="0"/>
          <w:sz w:val="21"/>
          <w:szCs w:val="21"/>
          <w:highlight w:val="none"/>
          <w:u w:val="single"/>
          <w:shd w:val="clear" w:color="auto" w:fill="FFFFFF"/>
          <w:lang w:bidi="ar"/>
        </w:rPr>
        <w:t>     （中型企业、小型企业、微型企业）</w:t>
      </w:r>
      <w:r>
        <w:rPr>
          <w:rFonts w:hint="eastAsia" w:ascii="宋体" w:hAnsi="宋体" w:eastAsia="宋体" w:cs="宋体"/>
          <w:color w:val="auto"/>
          <w:kern w:val="0"/>
          <w:sz w:val="21"/>
          <w:szCs w:val="21"/>
          <w:highlight w:val="none"/>
          <w:shd w:val="clear" w:color="auto" w:fill="FFFFFF"/>
          <w:lang w:bidi="ar"/>
        </w:rPr>
        <w:t>；</w:t>
      </w:r>
    </w:p>
    <w:p w14:paraId="4D0FF194">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w:t>
      </w:r>
    </w:p>
    <w:p w14:paraId="00129666">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以上企业，不属于大企业的分支机构，不存在控股股东为大企业的情形，也不存在与大企业的负责人为同一人的情形。</w:t>
      </w:r>
    </w:p>
    <w:p w14:paraId="5E8263F1">
      <w:pPr>
        <w:widowControl/>
        <w:shd w:val="clear" w:color="auto"/>
        <w:spacing w:before="100" w:beforeAutospacing="1" w:after="100" w:afterAutospacing="1" w:line="435" w:lineRule="atLeast"/>
        <w:ind w:firstLine="4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本企业对上述声明内容的真实性负责。如有虚假，将依法承担相应责任。</w:t>
      </w:r>
    </w:p>
    <w:p w14:paraId="5856E493">
      <w:pPr>
        <w:widowControl/>
        <w:shd w:val="clear" w:color="auto"/>
        <w:spacing w:before="100" w:beforeAutospacing="1" w:after="100" w:afterAutospacing="1" w:line="435" w:lineRule="atLeast"/>
        <w:ind w:firstLine="52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 企业名称（盖章）：</w:t>
      </w:r>
    </w:p>
    <w:p w14:paraId="2377E2DD">
      <w:pPr>
        <w:widowControl/>
        <w:shd w:val="clear" w:color="auto"/>
        <w:spacing w:before="100" w:beforeAutospacing="1" w:after="100" w:afterAutospacing="1" w:line="435" w:lineRule="atLeast"/>
        <w:ind w:firstLine="528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shd w:val="clear" w:color="auto" w:fill="FFFFFF"/>
          <w:lang w:bidi="ar"/>
        </w:rPr>
        <w:t>日 期：</w:t>
      </w:r>
    </w:p>
    <w:p w14:paraId="6380B3AD">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591A1E8F">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12687F89">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0A4B4549">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19DA3F3C">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28C689FD">
      <w:pPr>
        <w:shd w:val="clear"/>
        <w:tabs>
          <w:tab w:val="left" w:pos="3157"/>
        </w:tabs>
        <w:ind w:firstLine="360" w:firstLineChars="200"/>
        <w:jc w:val="left"/>
        <w:rPr>
          <w:rFonts w:hint="eastAsia" w:ascii="宋体" w:hAnsi="宋体" w:eastAsia="宋体" w:cs="宋体"/>
          <w:color w:val="auto"/>
          <w:sz w:val="18"/>
          <w:szCs w:val="18"/>
          <w:highlight w:val="none"/>
          <w:vertAlign w:val="superscript"/>
        </w:rPr>
      </w:pPr>
    </w:p>
    <w:p w14:paraId="1A55136F">
      <w:pPr>
        <w:shd w:val="clear"/>
        <w:tabs>
          <w:tab w:val="left" w:pos="3157"/>
        </w:tabs>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vertAlign w:val="superscript"/>
        </w:rPr>
        <w:t>1</w:t>
      </w:r>
      <w:r>
        <w:rPr>
          <w:rFonts w:hint="eastAsia" w:ascii="宋体" w:hAnsi="宋体" w:eastAsia="宋体" w:cs="宋体"/>
          <w:color w:val="auto"/>
          <w:sz w:val="18"/>
          <w:szCs w:val="18"/>
          <w:highlight w:val="none"/>
        </w:rPr>
        <w:t>从业人员、营业收入、资产总额填报上一年度数据，无上一年度数据的新成立企业可不填报</w:t>
      </w:r>
    </w:p>
    <w:p w14:paraId="49CCEAA6">
      <w:pPr>
        <w:pStyle w:val="57"/>
        <w:shd w:val="clear"/>
        <w:ind w:firstLine="360" w:firstLineChars="200"/>
        <w:jc w:val="both"/>
        <w:rPr>
          <w:rFonts w:hint="eastAsia" w:ascii="宋体" w:hAnsi="宋体" w:eastAsia="宋体" w:cs="宋体"/>
          <w:b w:val="0"/>
          <w:bCs w:val="0"/>
          <w:color w:val="auto"/>
          <w:kern w:val="2"/>
          <w:sz w:val="18"/>
          <w:szCs w:val="18"/>
          <w:highlight w:val="none"/>
          <w:lang w:val="en-US" w:eastAsia="zh-CN" w:bidi="ar-SA"/>
        </w:rPr>
      </w:pPr>
    </w:p>
    <w:p w14:paraId="18EFAD38">
      <w:pPr>
        <w:shd w:val="clear"/>
        <w:spacing w:line="312" w:lineRule="auto"/>
        <w:ind w:firstLine="562" w:firstLineChars="200"/>
        <w:jc w:val="center"/>
        <w:rPr>
          <w:rFonts w:hint="eastAsia" w:ascii="宋体" w:hAnsi="宋体" w:eastAsia="宋体" w:cs="宋体"/>
          <w:b/>
          <w:color w:val="auto"/>
          <w:sz w:val="28"/>
          <w:szCs w:val="28"/>
          <w:highlight w:val="none"/>
        </w:rPr>
      </w:pPr>
    </w:p>
    <w:p w14:paraId="20C57686">
      <w:pPr>
        <w:shd w:val="clear"/>
        <w:spacing w:line="312" w:lineRule="auto"/>
        <w:ind w:firstLine="562" w:firstLineChars="200"/>
        <w:jc w:val="center"/>
        <w:rPr>
          <w:rFonts w:hint="eastAsia" w:ascii="宋体" w:hAnsi="宋体" w:eastAsia="宋体" w:cs="宋体"/>
          <w:b/>
          <w:color w:val="auto"/>
          <w:sz w:val="28"/>
          <w:szCs w:val="28"/>
          <w:highlight w:val="none"/>
        </w:rPr>
      </w:pPr>
    </w:p>
    <w:p w14:paraId="3673DE63">
      <w:pPr>
        <w:shd w:val="clear"/>
        <w:spacing w:line="312" w:lineRule="auto"/>
        <w:ind w:firstLine="562" w:firstLineChars="200"/>
        <w:jc w:val="center"/>
        <w:rPr>
          <w:rFonts w:hint="eastAsia" w:ascii="宋体" w:hAnsi="宋体" w:eastAsia="宋体" w:cs="宋体"/>
          <w:b/>
          <w:color w:val="auto"/>
          <w:sz w:val="28"/>
          <w:szCs w:val="28"/>
          <w:highlight w:val="none"/>
        </w:rPr>
      </w:pPr>
    </w:p>
    <w:p w14:paraId="34018988">
      <w:pPr>
        <w:shd w:val="clear"/>
        <w:spacing w:line="312"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（二）监狱企业证明文件</w:t>
      </w:r>
    </w:p>
    <w:p w14:paraId="5B330592">
      <w:pPr>
        <w:shd w:val="clear"/>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说明：若是监狱企业则需提供上述省级以上监狱管理局、戒毒管理局（含新疆生产建设兵团）出具的属于监狱企业的证明文件，若不是则不需要提供。</w:t>
      </w:r>
    </w:p>
    <w:p w14:paraId="51994BD4">
      <w:pPr>
        <w:numPr>
          <w:ilvl w:val="0"/>
          <w:numId w:val="28"/>
        </w:numPr>
        <w:shd w:val="clear"/>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rPr>
        <w:t>承诺书</w:t>
      </w:r>
    </w:p>
    <w:p w14:paraId="66F741FF">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20562BEF">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00527981">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03B782A8">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0103824E">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2198AFA9">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BB783B6">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417A32FC">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850B206">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2344944B">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6628E9BF">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7ABF4314">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553D39A3">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E68BAE2">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4F60DCC8">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ADFD48A">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0034D1C2">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4C2D79BA">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5C0BE4D3">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DDDAB67">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56D2FF70">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7C9078CA">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7162AF34">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3AF47113">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21D65614">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037D89F8">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76961E6B">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关于符合本国产品标准的声明函</w:t>
      </w:r>
    </w:p>
    <w:p w14:paraId="5241CCA7">
      <w:pPr>
        <w:widowControl w:val="0"/>
        <w:numPr>
          <w:ilvl w:val="0"/>
          <w:numId w:val="0"/>
        </w:numPr>
        <w:shd w:val="clear"/>
        <w:spacing w:line="520" w:lineRule="exact"/>
        <w:ind w:firstLine="480" w:firstLineChars="200"/>
        <w:jc w:val="left"/>
        <w:rPr>
          <w:rFonts w:hint="eastAsia" w:ascii="宋体" w:hAnsi="宋体" w:eastAsia="宋体" w:cs="宋体"/>
          <w:b w:val="0"/>
          <w:bCs/>
          <w:color w:val="auto"/>
          <w:sz w:val="24"/>
          <w:szCs w:val="24"/>
          <w:highlight w:val="none"/>
        </w:rPr>
      </w:pPr>
    </w:p>
    <w:p w14:paraId="6237C3E1">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本公司（单位）郑重声明，根据《国务院办公厅关于在政府采购中实施本国产品标准及相关政策的通知》（国办发〔2025〕34 号）的规定，本公司（单位）提供的以下产品属于本国产品。具体情况如下：</w:t>
      </w:r>
    </w:p>
    <w:p w14:paraId="463C32AB">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1.（产品名称 1）1，生产厂为（厂名）2，厂址为（生产厂址）。（产品名称 1）的中国境内生产的组件成本占比≥（规定比例）3。（产品名称 1）的（关键组件）4 在中国境内生产。（产品名称 1）的（关键工序）5 在中国境内完成。</w:t>
      </w:r>
    </w:p>
    <w:p w14:paraId="754B36B9">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2.（产品名称 2），生产厂为（厂名），厂址为（生产厂址）。（产品名称 2）的中国境内生产的组件成本占比≥（规定比例）。（产品名称 2）的（关键组件）在中国境内生产。（产品名称 2）的（关键工序）在中国境内完成。</w:t>
      </w:r>
    </w:p>
    <w:p w14:paraId="29D94BFC">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w:t>
      </w:r>
    </w:p>
    <w:p w14:paraId="12E4C2F5">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本公司（单位）对上述声明内容的真实性负责。如有虚假，愿承担相应法律责任。</w:t>
      </w:r>
    </w:p>
    <w:p w14:paraId="5C1AA767">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公司（单位）名称（盖章）：</w:t>
      </w:r>
    </w:p>
    <w:p w14:paraId="14ABA601">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日期： 年 月 日</w:t>
      </w:r>
    </w:p>
    <w:p w14:paraId="22B4823B">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________________</w:t>
      </w:r>
    </w:p>
    <w:p w14:paraId="4790982E">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1.产品如有型号，请在“产品名称”栏一并填写。</w:t>
      </w:r>
    </w:p>
    <w:p w14:paraId="3F42DF2E">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2.生产厂名与厂址应与生产厂营业执照载明的相关信息保持一致。</w:t>
      </w:r>
    </w:p>
    <w:p w14:paraId="00A76B57">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3.该产品的中国境内生产的组件成本占比相关要求实施前，“规定比例”栏可不填，下同。</w:t>
      </w:r>
    </w:p>
    <w:p w14:paraId="2FCA905D">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4.该产品的关键组件要求实施前，“关键组件”栏可不填，下同。</w:t>
      </w:r>
    </w:p>
    <w:p w14:paraId="2CF03516">
      <w:pPr>
        <w:widowControl w:val="0"/>
        <w:numPr>
          <w:ilvl w:val="0"/>
          <w:numId w:val="0"/>
        </w:numPr>
        <w:shd w:val="clear"/>
        <w:spacing w:line="520" w:lineRule="exact"/>
        <w:ind w:firstLine="720" w:firstLineChars="300"/>
        <w:jc w:val="left"/>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5.该产品的关键工序要求实施前，“关键工序”栏可不填，下同。</w:t>
      </w:r>
    </w:p>
    <w:p w14:paraId="08E729B0">
      <w:pPr>
        <w:widowControl w:val="0"/>
        <w:numPr>
          <w:ilvl w:val="0"/>
          <w:numId w:val="0"/>
        </w:numPr>
        <w:shd w:val="clear"/>
        <w:spacing w:line="520" w:lineRule="exact"/>
        <w:jc w:val="center"/>
        <w:rPr>
          <w:rFonts w:hint="eastAsia" w:ascii="宋体" w:hAnsi="宋体" w:eastAsia="宋体" w:cs="宋体"/>
          <w:b w:val="0"/>
          <w:bCs/>
          <w:color w:val="auto"/>
          <w:sz w:val="24"/>
          <w:szCs w:val="24"/>
          <w:highlight w:val="none"/>
        </w:rPr>
      </w:pPr>
    </w:p>
    <w:p w14:paraId="7C1105E0">
      <w:pPr>
        <w:widowControl w:val="0"/>
        <w:numPr>
          <w:ilvl w:val="0"/>
          <w:numId w:val="0"/>
        </w:numPr>
        <w:shd w:val="clear"/>
        <w:spacing w:line="520" w:lineRule="exact"/>
        <w:jc w:val="center"/>
        <w:rPr>
          <w:rFonts w:hint="eastAsia" w:ascii="宋体" w:hAnsi="宋体" w:eastAsia="宋体" w:cs="宋体"/>
          <w:b w:val="0"/>
          <w:bCs/>
          <w:color w:val="auto"/>
          <w:sz w:val="24"/>
          <w:szCs w:val="24"/>
          <w:highlight w:val="none"/>
        </w:rPr>
      </w:pPr>
    </w:p>
    <w:p w14:paraId="39FF839F">
      <w:pPr>
        <w:widowControl w:val="0"/>
        <w:numPr>
          <w:ilvl w:val="0"/>
          <w:numId w:val="0"/>
        </w:numPr>
        <w:shd w:val="clear"/>
        <w:spacing w:line="520" w:lineRule="exact"/>
        <w:jc w:val="center"/>
        <w:rPr>
          <w:rFonts w:hint="eastAsia" w:ascii="宋体" w:hAnsi="宋体" w:eastAsia="宋体" w:cs="宋体"/>
          <w:b w:val="0"/>
          <w:bCs/>
          <w:color w:val="auto"/>
          <w:sz w:val="24"/>
          <w:szCs w:val="24"/>
          <w:highlight w:val="none"/>
        </w:rPr>
      </w:pPr>
    </w:p>
    <w:p w14:paraId="2955D5DA">
      <w:pPr>
        <w:widowControl w:val="0"/>
        <w:numPr>
          <w:ilvl w:val="0"/>
          <w:numId w:val="0"/>
        </w:numPr>
        <w:shd w:val="clear"/>
        <w:spacing w:line="520" w:lineRule="exact"/>
        <w:jc w:val="center"/>
        <w:rPr>
          <w:rFonts w:hint="eastAsia" w:ascii="宋体" w:hAnsi="宋体" w:eastAsia="宋体" w:cs="宋体"/>
          <w:b w:val="0"/>
          <w:bCs/>
          <w:color w:val="auto"/>
          <w:sz w:val="24"/>
          <w:szCs w:val="24"/>
          <w:highlight w:val="none"/>
        </w:rPr>
      </w:pPr>
    </w:p>
    <w:p w14:paraId="444349A9">
      <w:pPr>
        <w:widowControl w:val="0"/>
        <w:numPr>
          <w:ilvl w:val="0"/>
          <w:numId w:val="0"/>
        </w:numPr>
        <w:shd w:val="clear"/>
        <w:spacing w:line="520" w:lineRule="exact"/>
        <w:jc w:val="center"/>
        <w:rPr>
          <w:rFonts w:hint="eastAsia" w:ascii="宋体" w:hAnsi="宋体" w:eastAsia="宋体" w:cs="宋体"/>
          <w:b w:val="0"/>
          <w:bCs/>
          <w:color w:val="auto"/>
          <w:sz w:val="24"/>
          <w:szCs w:val="24"/>
          <w:highlight w:val="none"/>
        </w:rPr>
      </w:pPr>
    </w:p>
    <w:p w14:paraId="7928E6AF">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p>
    <w:p w14:paraId="1A649F62">
      <w:pPr>
        <w:shd w:val="clear"/>
        <w:spacing w:line="360" w:lineRule="auto"/>
        <w:jc w:val="center"/>
        <w:outlineLvl w:val="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项目实施方案</w:t>
      </w:r>
    </w:p>
    <w:p w14:paraId="6BEBAA77">
      <w:pPr>
        <w:widowControl w:val="0"/>
        <w:numPr>
          <w:ilvl w:val="0"/>
          <w:numId w:val="0"/>
        </w:numPr>
        <w:shd w:val="clear"/>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（暗标部分）</w:t>
      </w:r>
    </w:p>
    <w:p w14:paraId="3DCF9CF9">
      <w:pPr>
        <w:pStyle w:val="59"/>
        <w:shd w:val="clear"/>
        <w:rPr>
          <w:rFonts w:hint="eastAsia" w:ascii="宋体" w:hAnsi="宋体" w:eastAsia="宋体" w:cs="宋体"/>
          <w:color w:val="auto"/>
          <w:sz w:val="28"/>
          <w:szCs w:val="28"/>
          <w:highlight w:val="none"/>
          <w:lang w:eastAsia="zh-CN"/>
        </w:rPr>
      </w:pPr>
    </w:p>
    <w:p w14:paraId="71E65C79">
      <w:pPr>
        <w:shd w:val="clear"/>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技术部分内容编制按照以下要求进行编制:投标文件技术标必须遵守的统一格式和规范。技术标文件（暗标）未按以下“盲评”要求制作的，为无效投标，除下述要求外，不得因暗标格式问题认定为无效投标：</w:t>
      </w:r>
    </w:p>
    <w:p w14:paraId="1D8169B7">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一、版面要求：A4纸张大小；</w:t>
      </w:r>
    </w:p>
    <w:p w14:paraId="433CCD92">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二、颜色要求：所有文字、图、表均为黑色；</w:t>
      </w:r>
    </w:p>
    <w:p w14:paraId="3F802BC6">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三、字体要求：标题及正文部分所用文字均采用“宋体”四号“常规”字；所有字体均不得出现加粗、加色、倾斜、下划线等标记；</w:t>
      </w:r>
    </w:p>
    <w:p w14:paraId="04393C1E">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排版要求：页边距要求上边距2.5厘米，其余均为2厘米；不得设置封面、目录；正文行间距为固定值30磅；文字内容（含正文标题、正文）统一设为左对齐，首行缩进2字符，段落前后不设置空行；不得设置页眉、页脚和页码；</w:t>
      </w:r>
    </w:p>
    <w:p w14:paraId="610B3EA0">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图、表要求：图内的字体、字号不作要求。表内文字均采用“宋体”四号“常规”字，均不得出现加粗、加色、倾斜、下划线等标记；表内文字设为上下居中、左对齐，特殊格式（首行缩进）为无。图、表整体对齐形式统一设为居中对齐，不得将表格以图片格式插入技术标（暗标）文件。</w:t>
      </w:r>
    </w:p>
    <w:p w14:paraId="35A97304">
      <w:pPr>
        <w:shd w:val="clear"/>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六、其它：除满足上述各项要求外，构成投标文件的“技术暗标”的正文中均不得出现供应商的名称和其它可识别供应商身份的字符、徽标、人员名称以及其他可能被辨别出供应商身份的任何标记。</w:t>
      </w:r>
    </w:p>
    <w:sectPr>
      <w:footerReference r:id="rId12" w:type="default"/>
      <w:pgSz w:w="11906" w:h="16838"/>
      <w:pgMar w:top="1134" w:right="1134" w:bottom="1134" w:left="1134"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6AFE8F4-DAD1-4699-988F-BFD428F3F96F}"/>
  </w:font>
  <w:font w:name="Arial">
    <w:panose1 w:val="020B0604020202020204"/>
    <w:charset w:val="01"/>
    <w:family w:val="swiss"/>
    <w:pitch w:val="default"/>
    <w:sig w:usb0="E0002EFF" w:usb1="C000785B" w:usb2="00000009" w:usb3="00000000" w:csb0="400001FF" w:csb1="FFFF0000"/>
    <w:embedRegular r:id="rId2" w:fontKey="{472603B6-F9C7-4738-899F-0578CA90EC55}"/>
  </w:font>
  <w:font w:name="黑体">
    <w:panose1 w:val="02010609060101010101"/>
    <w:charset w:val="86"/>
    <w:family w:val="auto"/>
    <w:pitch w:val="default"/>
    <w:sig w:usb0="800002BF" w:usb1="38CF7CFA" w:usb2="00000016" w:usb3="00000000" w:csb0="00040001" w:csb1="00000000"/>
    <w:embedRegular r:id="rId3" w:fontKey="{02B1B6CE-3F90-42F5-BD46-24053085E6A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AA598291-2EA0-4154-82DE-1006F07D7B67}"/>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5" w:fontKey="{1C513027-52FB-4C91-A077-66DBCD49201D}"/>
  </w:font>
  <w:font w:name="华文新魏">
    <w:altName w:val="宋体"/>
    <w:panose1 w:val="02010800040101010101"/>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monospace">
    <w:altName w:val="yyb"/>
    <w:panose1 w:val="00000000000000000000"/>
    <w:charset w:val="00"/>
    <w:family w:val="auto"/>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Cambria">
    <w:panose1 w:val="02040503050406030204"/>
    <w:charset w:val="00"/>
    <w:family w:val="roman"/>
    <w:pitch w:val="default"/>
    <w:sig w:usb0="E00006FF" w:usb1="420024FF" w:usb2="02000000" w:usb3="00000000" w:csb0="2000019F" w:csb1="00000000"/>
  </w:font>
  <w:font w:name="Helvetica">
    <w:altName w:val="Arial"/>
    <w:panose1 w:val="020B0604020202020204"/>
    <w:charset w:val="00"/>
    <w:family w:val="swiss"/>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仿宋体">
    <w:altName w:val="仿宋"/>
    <w:panose1 w:val="020B0604020202020204"/>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全真中明體">
    <w:altName w:val="yyb"/>
    <w:panose1 w:val="02070309020205020404"/>
    <w:charset w:val="00"/>
    <w:family w:val="modern"/>
    <w:pitch w:val="default"/>
    <w:sig w:usb0="00000000" w:usb1="00000000" w:usb2="00000000" w:usb3="00000000" w:csb0="00040001" w:csb1="00000000"/>
  </w:font>
  <w:font w:name="Microsoft Sans Serif">
    <w:panose1 w:val="020B0604020202020204"/>
    <w:charset w:val="00"/>
    <w:family w:val="swiss"/>
    <w:pitch w:val="default"/>
    <w:sig w:usb0="E5002EFF" w:usb1="C000605B" w:usb2="00000029" w:usb3="00000000" w:csb0="200101FF" w:csb1="20280000"/>
  </w:font>
  <w:font w:name="BatangChe">
    <w:altName w:val="Malgun Gothic"/>
    <w:panose1 w:val="0203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华文细黑">
    <w:altName w:val="微软雅黑"/>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sans-serif">
    <w:altName w:val="Segoe Print"/>
    <w:panose1 w:val="00000000000000000000"/>
    <w:charset w:val="00"/>
    <w:family w:val="auto"/>
    <w:pitch w:val="default"/>
    <w:sig w:usb0="00000000" w:usb1="00000000" w:usb2="00000000" w:usb3="00000000" w:csb0="00040001" w:csb1="00000000"/>
    <w:embedRegular r:id="rId6" w:fontKey="{A002AA86-8AA1-46E6-BF92-0735F8EC9ADF}"/>
  </w:font>
  <w:font w:name="华文中宋">
    <w:panose1 w:val="02010600040101010101"/>
    <w:charset w:val="86"/>
    <w:family w:val="auto"/>
    <w:pitch w:val="default"/>
    <w:sig w:usb0="00000287" w:usb1="080F0000" w:usb2="00000000" w:usb3="00000000" w:csb0="0004009F" w:csb1="DFD70000"/>
    <w:embedRegular r:id="rId7" w:fontKey="{01810078-4E4F-4326-8A94-65F5001A6B1D}"/>
  </w:font>
  <w:font w:name="WPSEMBED3">
    <w:panose1 w:val="02010609030101010101"/>
    <w:charset w:val="86"/>
    <w:family w:val="auto"/>
    <w:pitch w:val="default"/>
    <w:sig w:usb0="00000001" w:usb1="080E0000" w:usb2="00000000" w:usb3="00000000" w:csb0="00040000" w:csb1="00000000"/>
  </w:font>
  <w:font w:name="WPSEMBED4">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F7803">
    <w:pPr>
      <w:pStyle w:val="36"/>
      <w:framePr w:wrap="around" w:vAnchor="text" w:hAnchor="margin" w:xAlign="center" w:y="1"/>
      <w:rPr>
        <w:rStyle w:val="66"/>
      </w:rPr>
    </w:pPr>
    <w:r>
      <w:fldChar w:fldCharType="begin"/>
    </w:r>
    <w:r>
      <w:rPr>
        <w:rStyle w:val="66"/>
      </w:rPr>
      <w:instrText xml:space="preserve">PAGE  </w:instrText>
    </w:r>
    <w:r>
      <w:fldChar w:fldCharType="separate"/>
    </w:r>
    <w:r>
      <w:rPr>
        <w:rStyle w:val="66"/>
      </w:rPr>
      <w:t>2</w:t>
    </w:r>
    <w:r>
      <w:fldChar w:fldCharType="end"/>
    </w:r>
  </w:p>
  <w:p w14:paraId="6D24795A">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B721A">
    <w:pPr>
      <w:pStyle w:val="36"/>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82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420C97E">
                          <w:pPr>
                            <w:pStyle w:val="3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823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oaYJL0wAA&#10;AAUBAAAPAAAAAAAAAAEAIAAAACIAAABkcnMvZG93bnJldi54bWxQSwECFAAUAAAACACHTuJAV2qO&#10;Z+oBAADMAwAADgAAAAAAAAABACAAAAAiAQAAZHJzL2Uyb0RvYy54bWxQSwUGAAAAAAYABgBZAQAA&#10;fgUAAAAA&#10;">
              <v:fill on="f" focussize="0,0"/>
              <v:stroke on="f" weight="1.25pt"/>
              <v:imagedata o:title=""/>
              <o:lock v:ext="edit" aspectratio="f"/>
              <v:textbox inset="0mm,0mm,0mm,0mm" style="mso-fit-shape-to-text:t;">
                <w:txbxContent>
                  <w:p w14:paraId="1420C97E">
                    <w:pPr>
                      <w:pStyle w:val="3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0A3BC8">
    <w:pPr>
      <w:pStyle w:val="3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81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4207C42">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wrap="none" lIns="0" tIns="0" rIns="0" bIns="0" upright="0">
                      <a:spAutoFit/>
                    </wps:bodyPr>
                  </wps:wsp>
                </a:graphicData>
              </a:graphic>
            </wp:anchor>
          </w:drawing>
        </mc:Choice>
        <mc:Fallback>
          <w:pict>
            <v:shape id="文本框 819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DpFuGQ1AEAAKcDAAAOAAAAAAAAAAEAIAAA&#10;ACIBAABkcnMvZTJvRG9jLnhtbFBLBQYAAAAABgAGAFkBAABoBQAAAAA=&#10;">
              <v:fill on="f" focussize="0,0"/>
              <v:stroke on="f" weight="1.25pt"/>
              <v:imagedata o:title=""/>
              <o:lock v:ext="edit" aspectratio="f"/>
              <v:textbox inset="0mm,0mm,0mm,0mm" style="mso-fit-shape-to-text:t;">
                <w:txbxContent>
                  <w:p w14:paraId="54207C42">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C8530">
    <w:pPr>
      <w:pStyle w:val="36"/>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8D6D0CB">
                          <w:pPr>
                            <w:pStyle w:val="36"/>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08D6D0CB">
                    <w:pPr>
                      <w:pStyle w:val="3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09A86">
    <w:pPr>
      <w:pStyle w:val="36"/>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2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9D1651A">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822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DZKyxm&#10;6QEAAMwDAAAOAAAAAAAAAAEAIAAAACIBAABkcnMvZTJvRG9jLnhtbFBLBQYAAAAABgAGAFkBAAB9&#10;BQAAAAA=&#10;">
              <v:fill on="f" focussize="0,0"/>
              <v:stroke on="f" weight="1.25pt"/>
              <v:imagedata o:title=""/>
              <o:lock v:ext="edit" aspectratio="f"/>
              <v:textbox inset="0mm,0mm,0mm,0mm" style="mso-fit-shape-to-text:t;">
                <w:txbxContent>
                  <w:p w14:paraId="19D1651A">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0D366">
    <w:pPr>
      <w:pStyle w:val="36"/>
      <w:jc w:val="both"/>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82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AD2C918">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wps:txbx>
                    <wps:bodyPr vert="horz" wrap="none" lIns="0" tIns="0" rIns="0" bIns="0" anchor="t" anchorCtr="0" upright="0">
                      <a:spAutoFit/>
                    </wps:bodyPr>
                  </wps:wsp>
                </a:graphicData>
              </a:graphic>
            </wp:anchor>
          </w:drawing>
        </mc:Choice>
        <mc:Fallback>
          <w:pict>
            <v:shape id="文本框 823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oaYJL0wAA&#10;AAUBAAAPAAAAAAAAAAEAIAAAACIAAABkcnMvZG93bnJldi54bWxQSwECFAAUAAAACACHTuJArGzR&#10;2OoBAADMAwAADgAAAAAAAAABACAAAAAiAQAAZHJzL2Uyb0RvYy54bWxQSwUGAAAAAAYABgBZAQAA&#10;fgUAAAAA&#10;">
              <v:fill on="f" focussize="0,0"/>
              <v:stroke on="f" weight="1.25pt"/>
              <v:imagedata o:title=""/>
              <o:lock v:ext="edit" aspectratio="f"/>
              <v:textbox inset="0mm,0mm,0mm,0mm" style="mso-fit-shape-to-text:t;">
                <w:txbxContent>
                  <w:p w14:paraId="7AD2C918">
                    <w:pPr>
                      <w:pStyle w:val="36"/>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8</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4FA75">
    <w:pPr>
      <w:pStyle w:val="38"/>
      <w:tabs>
        <w:tab w:val="clear" w:pos="4153"/>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B69C0">
    <w:pPr>
      <w:pStyle w:val="38"/>
      <w:framePr w:wrap="around" w:vAnchor="text" w:hAnchor="margin" w:xAlign="right" w:y="1"/>
      <w:rPr>
        <w:rStyle w:val="66"/>
      </w:rPr>
    </w:pPr>
    <w:r>
      <w:fldChar w:fldCharType="begin"/>
    </w:r>
    <w:r>
      <w:rPr>
        <w:rStyle w:val="66"/>
      </w:rPr>
      <w:instrText xml:space="preserve">PAGE  </w:instrText>
    </w:r>
    <w:r>
      <w:fldChar w:fldCharType="separate"/>
    </w:r>
    <w:r>
      <w:rPr>
        <w:rStyle w:val="66"/>
      </w:rPr>
      <w:t>2</w:t>
    </w:r>
    <w:r>
      <w:fldChar w:fldCharType="end"/>
    </w:r>
  </w:p>
  <w:p w14:paraId="3377D0D1">
    <w:pPr>
      <w:pStyle w:val="38"/>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78492">
    <w:pPr>
      <w:pStyle w:val="38"/>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0957">
    <w:pPr>
      <w:pStyle w:val="3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FEFC674"/>
    <w:multiLevelType w:val="singleLevel"/>
    <w:tmpl w:val="FFEFC674"/>
    <w:lvl w:ilvl="0" w:tentative="0">
      <w:start w:val="1"/>
      <w:numFmt w:val="decimal"/>
      <w:suff w:val="nothing"/>
      <w:lvlText w:val="（%1）"/>
      <w:lvlJc w:val="left"/>
    </w:lvl>
  </w:abstractNum>
  <w:abstractNum w:abstractNumId="6">
    <w:nsid w:val="FFFFFF89"/>
    <w:multiLevelType w:val="singleLevel"/>
    <w:tmpl w:val="FFFFFF89"/>
    <w:lvl w:ilvl="0" w:tentative="0">
      <w:start w:val="1"/>
      <w:numFmt w:val="bullet"/>
      <w:pStyle w:val="113"/>
      <w:lvlText w:val=""/>
      <w:lvlJc w:val="left"/>
      <w:pPr>
        <w:tabs>
          <w:tab w:val="left" w:pos="360"/>
        </w:tabs>
        <w:ind w:left="360" w:hanging="360"/>
      </w:pPr>
      <w:rPr>
        <w:rFonts w:hint="default" w:ascii="Wingdings" w:hAnsi="Wingdings"/>
      </w:rPr>
    </w:lvl>
  </w:abstractNum>
  <w:abstractNum w:abstractNumId="7">
    <w:nsid w:val="00000000"/>
    <w:multiLevelType w:val="multilevel"/>
    <w:tmpl w:val="00000000"/>
    <w:lvl w:ilvl="0" w:tentative="0">
      <w:start w:val="1"/>
      <w:numFmt w:val="decimal"/>
      <w:pStyle w:val="261"/>
      <w:lvlText w:val="%1）"/>
      <w:lvlJc w:val="left"/>
      <w:pPr>
        <w:tabs>
          <w:tab w:val="left" w:pos="704"/>
        </w:tabs>
        <w:ind w:left="704" w:hanging="420"/>
      </w:pPr>
      <w:rPr>
        <w:rFonts w:hint="eastAsia"/>
      </w:rPr>
    </w:lvl>
    <w:lvl w:ilvl="1" w:tentative="0">
      <w:start w:val="1"/>
      <w:numFmt w:val="lowerLetter"/>
      <w:lvlText w:val="%2)"/>
      <w:lvlJc w:val="left"/>
      <w:pPr>
        <w:tabs>
          <w:tab w:val="left" w:pos="494"/>
        </w:tabs>
        <w:ind w:left="494" w:hanging="420"/>
      </w:pPr>
    </w:lvl>
    <w:lvl w:ilvl="2" w:tentative="0">
      <w:start w:val="1"/>
      <w:numFmt w:val="lowerRoman"/>
      <w:lvlText w:val="%3."/>
      <w:lvlJc w:val="right"/>
      <w:pPr>
        <w:tabs>
          <w:tab w:val="left" w:pos="914"/>
        </w:tabs>
        <w:ind w:left="914" w:hanging="420"/>
      </w:pPr>
    </w:lvl>
    <w:lvl w:ilvl="3" w:tentative="0">
      <w:start w:val="1"/>
      <w:numFmt w:val="decimal"/>
      <w:lvlText w:val="%4."/>
      <w:lvlJc w:val="left"/>
      <w:pPr>
        <w:tabs>
          <w:tab w:val="left" w:pos="1334"/>
        </w:tabs>
        <w:ind w:left="1334" w:hanging="420"/>
      </w:pPr>
    </w:lvl>
    <w:lvl w:ilvl="4" w:tentative="0">
      <w:start w:val="1"/>
      <w:numFmt w:val="lowerLetter"/>
      <w:lvlText w:val="%5)"/>
      <w:lvlJc w:val="left"/>
      <w:pPr>
        <w:tabs>
          <w:tab w:val="left" w:pos="1754"/>
        </w:tabs>
        <w:ind w:left="1754" w:hanging="420"/>
      </w:pPr>
    </w:lvl>
    <w:lvl w:ilvl="5" w:tentative="0">
      <w:start w:val="1"/>
      <w:numFmt w:val="lowerRoman"/>
      <w:lvlText w:val="%6."/>
      <w:lvlJc w:val="right"/>
      <w:pPr>
        <w:tabs>
          <w:tab w:val="left" w:pos="2174"/>
        </w:tabs>
        <w:ind w:left="2174" w:hanging="420"/>
      </w:pPr>
    </w:lvl>
    <w:lvl w:ilvl="6" w:tentative="0">
      <w:start w:val="1"/>
      <w:numFmt w:val="decimal"/>
      <w:lvlText w:val="%7."/>
      <w:lvlJc w:val="left"/>
      <w:pPr>
        <w:tabs>
          <w:tab w:val="left" w:pos="2594"/>
        </w:tabs>
        <w:ind w:left="2594" w:hanging="420"/>
      </w:pPr>
    </w:lvl>
    <w:lvl w:ilvl="7" w:tentative="0">
      <w:start w:val="1"/>
      <w:numFmt w:val="lowerLetter"/>
      <w:lvlText w:val="%8)"/>
      <w:lvlJc w:val="left"/>
      <w:pPr>
        <w:tabs>
          <w:tab w:val="left" w:pos="3014"/>
        </w:tabs>
        <w:ind w:left="3014" w:hanging="420"/>
      </w:pPr>
    </w:lvl>
    <w:lvl w:ilvl="8" w:tentative="0">
      <w:start w:val="1"/>
      <w:numFmt w:val="lowerRoman"/>
      <w:lvlText w:val="%9."/>
      <w:lvlJc w:val="right"/>
      <w:pPr>
        <w:tabs>
          <w:tab w:val="left" w:pos="3434"/>
        </w:tabs>
        <w:ind w:left="3434" w:hanging="420"/>
      </w:pPr>
    </w:lvl>
  </w:abstractNum>
  <w:abstractNum w:abstractNumId="8">
    <w:nsid w:val="00000006"/>
    <w:multiLevelType w:val="multilevel"/>
    <w:tmpl w:val="00000006"/>
    <w:lvl w:ilvl="0" w:tentative="0">
      <w:start w:val="1"/>
      <w:numFmt w:val="none"/>
      <w:pStyle w:val="2"/>
      <w:lvlText w:val=""/>
      <w:lvlJc w:val="left"/>
      <w:pPr>
        <w:tabs>
          <w:tab w:val="left" w:pos="432"/>
        </w:tabs>
        <w:ind w:left="432" w:hanging="432"/>
      </w:pPr>
      <w:rPr>
        <w:rFonts w:hint="eastAsia"/>
      </w:rPr>
    </w:lvl>
    <w:lvl w:ilvl="1" w:tentative="0">
      <w:start w:val="1"/>
      <w:numFmt w:val="none"/>
      <w:pStyle w:val="170"/>
      <w:lvlText w:val=" "/>
      <w:lvlJc w:val="left"/>
      <w:pPr>
        <w:tabs>
          <w:tab w:val="left" w:pos="576"/>
        </w:tabs>
        <w:ind w:left="576" w:hanging="576"/>
      </w:pPr>
      <w:rPr>
        <w:rFonts w:hint="eastAsia"/>
      </w:rPr>
    </w:lvl>
    <w:lvl w:ilvl="2" w:tentative="0">
      <w:start w:val="1"/>
      <w:numFmt w:val="none"/>
      <w:pStyle w:val="4"/>
      <w:lvlText w:val=""/>
      <w:lvlJc w:val="left"/>
      <w:pPr>
        <w:tabs>
          <w:tab w:val="left" w:pos="720"/>
        </w:tabs>
        <w:ind w:left="720" w:hanging="720"/>
      </w:pPr>
      <w:rPr>
        <w:rFonts w:hint="eastAsia"/>
      </w:rPr>
    </w:lvl>
    <w:lvl w:ilvl="3" w:tentative="0">
      <w:start w:val="1"/>
      <w:numFmt w:val="none"/>
      <w:pStyle w:val="257"/>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7"/>
      <w:lvlText w:val="           "/>
      <w:lvlJc w:val="left"/>
      <w:pPr>
        <w:tabs>
          <w:tab w:val="left" w:pos="1440"/>
        </w:tabs>
        <w:ind w:left="1152" w:hanging="1152"/>
      </w:pPr>
      <w:rPr>
        <w:rFonts w:hint="eastAsia"/>
      </w:rPr>
    </w:lvl>
    <w:lvl w:ilvl="6" w:tentative="0">
      <w:start w:val="1"/>
      <w:numFmt w:val="decimal"/>
      <w:pStyle w:val="8"/>
      <w:lvlText w:val="%1.%2.%3.%4.%5.%6.%7"/>
      <w:lvlJc w:val="left"/>
      <w:pPr>
        <w:tabs>
          <w:tab w:val="left" w:pos="2520"/>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9">
    <w:nsid w:val="0000000D"/>
    <w:multiLevelType w:val="multilevel"/>
    <w:tmpl w:val="0000000D"/>
    <w:lvl w:ilvl="0" w:tentative="0">
      <w:start w:val="3"/>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pStyle w:val="234"/>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0000000E"/>
    <w:multiLevelType w:val="multilevel"/>
    <w:tmpl w:val="0000000E"/>
    <w:lvl w:ilvl="0" w:tentative="0">
      <w:start w:val="1"/>
      <w:numFmt w:val="decimal"/>
      <w:pStyle w:val="13"/>
      <w:lvlText w:val="（%1）"/>
      <w:lvlJc w:val="left"/>
      <w:pPr>
        <w:tabs>
          <w:tab w:val="left" w:pos="987"/>
        </w:tabs>
        <w:ind w:left="987" w:hanging="420"/>
      </w:pPr>
      <w:rPr>
        <w:rFonts w:hint="eastAsia"/>
        <w:lang w:val="en-US"/>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0000000F"/>
    <w:multiLevelType w:val="multilevel"/>
    <w:tmpl w:val="0000000F"/>
    <w:lvl w:ilvl="0" w:tentative="0">
      <w:start w:val="1"/>
      <w:numFmt w:val="decimal"/>
      <w:pStyle w:val="210"/>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2">
    <w:nsid w:val="00000010"/>
    <w:multiLevelType w:val="multilevel"/>
    <w:tmpl w:val="00000010"/>
    <w:lvl w:ilvl="0" w:tentative="0">
      <w:start w:val="1"/>
      <w:numFmt w:val="decimal"/>
      <w:pStyle w:val="285"/>
      <w:lvlText w:val="%1）"/>
      <w:lvlJc w:val="left"/>
      <w:pPr>
        <w:tabs>
          <w:tab w:val="left" w:pos="1050"/>
        </w:tabs>
        <w:ind w:left="105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1"/>
    <w:multiLevelType w:val="multilevel"/>
    <w:tmpl w:val="00000011"/>
    <w:lvl w:ilvl="0" w:tentative="0">
      <w:start w:val="1"/>
      <w:numFmt w:val="decimal"/>
      <w:pStyle w:val="342"/>
      <w:lvlText w:val="%1）"/>
      <w:lvlJc w:val="left"/>
      <w:pPr>
        <w:tabs>
          <w:tab w:val="left" w:pos="1050"/>
        </w:tabs>
        <w:ind w:left="1050" w:hanging="420"/>
      </w:pPr>
      <w:rPr>
        <w:rFonts w:hint="eastAsia"/>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2"/>
    <w:multiLevelType w:val="multilevel"/>
    <w:tmpl w:val="00000012"/>
    <w:lvl w:ilvl="0" w:tentative="0">
      <w:start w:val="1"/>
      <w:numFmt w:val="decimal"/>
      <w:pStyle w:val="301"/>
      <w:lvlText w:val="%1）"/>
      <w:lvlJc w:val="left"/>
      <w:pPr>
        <w:tabs>
          <w:tab w:val="left" w:pos="1200"/>
        </w:tabs>
        <w:ind w:left="1200" w:hanging="360"/>
      </w:pPr>
      <w:rPr>
        <w:rFonts w:hint="default"/>
      </w:r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15">
    <w:nsid w:val="07319181"/>
    <w:multiLevelType w:val="singleLevel"/>
    <w:tmpl w:val="07319181"/>
    <w:lvl w:ilvl="0" w:tentative="0">
      <w:start w:val="1"/>
      <w:numFmt w:val="decimal"/>
      <w:suff w:val="space"/>
      <w:lvlText w:val="%1."/>
      <w:lvlJc w:val="left"/>
    </w:lvl>
  </w:abstractNum>
  <w:abstractNum w:abstractNumId="16">
    <w:nsid w:val="2C5917C3"/>
    <w:multiLevelType w:val="multilevel"/>
    <w:tmpl w:val="2C5917C3"/>
    <w:lvl w:ilvl="0" w:tentative="0">
      <w:start w:val="1"/>
      <w:numFmt w:val="none"/>
      <w:pStyle w:val="348"/>
      <w:suff w:val="nothing"/>
      <w:lvlText w:val="%1——"/>
      <w:lvlJc w:val="left"/>
      <w:pPr>
        <w:ind w:left="1248"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7">
    <w:nsid w:val="555EA3FA"/>
    <w:multiLevelType w:val="singleLevel"/>
    <w:tmpl w:val="555EA3FA"/>
    <w:lvl w:ilvl="0" w:tentative="0">
      <w:start w:val="1"/>
      <w:numFmt w:val="decimal"/>
      <w:suff w:val="nothing"/>
      <w:lvlText w:val="%1、"/>
      <w:lvlJc w:val="left"/>
    </w:lvl>
  </w:abstractNum>
  <w:abstractNum w:abstractNumId="18">
    <w:nsid w:val="555EA441"/>
    <w:multiLevelType w:val="singleLevel"/>
    <w:tmpl w:val="555EA441"/>
    <w:lvl w:ilvl="0" w:tentative="0">
      <w:start w:val="2"/>
      <w:numFmt w:val="decimal"/>
      <w:suff w:val="nothing"/>
      <w:lvlText w:val="%1."/>
      <w:lvlJc w:val="left"/>
    </w:lvl>
  </w:abstractNum>
  <w:abstractNum w:abstractNumId="19">
    <w:nsid w:val="555EBC7D"/>
    <w:multiLevelType w:val="singleLevel"/>
    <w:tmpl w:val="555EBC7D"/>
    <w:lvl w:ilvl="0" w:tentative="0">
      <w:start w:val="1"/>
      <w:numFmt w:val="decimal"/>
      <w:suff w:val="nothing"/>
      <w:lvlText w:val="%1."/>
      <w:lvlJc w:val="left"/>
    </w:lvl>
  </w:abstractNum>
  <w:abstractNum w:abstractNumId="20">
    <w:nsid w:val="555FE167"/>
    <w:multiLevelType w:val="singleLevel"/>
    <w:tmpl w:val="555FE167"/>
    <w:lvl w:ilvl="0" w:tentative="0">
      <w:start w:val="1"/>
      <w:numFmt w:val="decimal"/>
      <w:suff w:val="nothing"/>
      <w:lvlText w:val="%1."/>
      <w:lvlJc w:val="left"/>
    </w:lvl>
  </w:abstractNum>
  <w:abstractNum w:abstractNumId="21">
    <w:nsid w:val="555FE3C7"/>
    <w:multiLevelType w:val="singleLevel"/>
    <w:tmpl w:val="555FE3C7"/>
    <w:lvl w:ilvl="0" w:tentative="0">
      <w:start w:val="2"/>
      <w:numFmt w:val="decimal"/>
      <w:pStyle w:val="263"/>
      <w:suff w:val="nothing"/>
      <w:lvlText w:val="%1、"/>
      <w:lvlJc w:val="left"/>
    </w:lvl>
  </w:abstractNum>
  <w:abstractNum w:abstractNumId="22">
    <w:nsid w:val="555FE4F1"/>
    <w:multiLevelType w:val="singleLevel"/>
    <w:tmpl w:val="555FE4F1"/>
    <w:lvl w:ilvl="0" w:tentative="0">
      <w:start w:val="3"/>
      <w:numFmt w:val="decimal"/>
      <w:suff w:val="nothing"/>
      <w:lvlText w:val="%1."/>
      <w:lvlJc w:val="left"/>
    </w:lvl>
  </w:abstractNum>
  <w:abstractNum w:abstractNumId="23">
    <w:nsid w:val="555FEA6A"/>
    <w:multiLevelType w:val="singleLevel"/>
    <w:tmpl w:val="555FEA6A"/>
    <w:lvl w:ilvl="0" w:tentative="0">
      <w:start w:val="1"/>
      <w:numFmt w:val="decimal"/>
      <w:suff w:val="nothing"/>
      <w:lvlText w:val="（%1）"/>
      <w:lvlJc w:val="left"/>
    </w:lvl>
  </w:abstractNum>
  <w:abstractNum w:abstractNumId="24">
    <w:nsid w:val="555FEB6A"/>
    <w:multiLevelType w:val="singleLevel"/>
    <w:tmpl w:val="555FEB6A"/>
    <w:lvl w:ilvl="0" w:tentative="0">
      <w:start w:val="5"/>
      <w:numFmt w:val="decimal"/>
      <w:suff w:val="nothing"/>
      <w:lvlText w:val="%1."/>
      <w:lvlJc w:val="left"/>
    </w:lvl>
  </w:abstractNum>
  <w:abstractNum w:abstractNumId="25">
    <w:nsid w:val="59E98370"/>
    <w:multiLevelType w:val="singleLevel"/>
    <w:tmpl w:val="59E98370"/>
    <w:lvl w:ilvl="0" w:tentative="0">
      <w:start w:val="4"/>
      <w:numFmt w:val="chineseCounting"/>
      <w:suff w:val="nothing"/>
      <w:lvlText w:val="（%1）"/>
      <w:lvlJc w:val="left"/>
    </w:lvl>
  </w:abstractNum>
  <w:abstractNum w:abstractNumId="26">
    <w:nsid w:val="7A0F6431"/>
    <w:multiLevelType w:val="singleLevel"/>
    <w:tmpl w:val="7A0F6431"/>
    <w:lvl w:ilvl="0" w:tentative="0">
      <w:start w:val="1"/>
      <w:numFmt w:val="decimal"/>
      <w:suff w:val="space"/>
      <w:lvlText w:val="%1."/>
      <w:lvlJc w:val="left"/>
    </w:lvl>
  </w:abstractNum>
  <w:abstractNum w:abstractNumId="27">
    <w:nsid w:val="7CCD7E3C"/>
    <w:multiLevelType w:val="singleLevel"/>
    <w:tmpl w:val="7CCD7E3C"/>
    <w:lvl w:ilvl="0" w:tentative="0">
      <w:start w:val="3"/>
      <w:numFmt w:val="chineseCounting"/>
      <w:suff w:val="nothing"/>
      <w:lvlText w:val="（%1）"/>
      <w:lvlJc w:val="left"/>
      <w:rPr>
        <w:rFonts w:hint="eastAsia"/>
      </w:rPr>
    </w:lvl>
  </w:abstractNum>
  <w:num w:numId="1">
    <w:abstractNumId w:val="8"/>
  </w:num>
  <w:num w:numId="2">
    <w:abstractNumId w:val="10"/>
  </w:num>
  <w:num w:numId="3">
    <w:abstractNumId w:val="21"/>
  </w:num>
  <w:num w:numId="4">
    <w:abstractNumId w:val="6"/>
  </w:num>
  <w:num w:numId="5">
    <w:abstractNumId w:val="11"/>
    <w:lvlOverride w:ilvl="0">
      <w:startOverride w:val="1"/>
    </w:lvlOverride>
  </w:num>
  <w:num w:numId="6">
    <w:abstractNumId w:val="9"/>
  </w:num>
  <w:num w:numId="7">
    <w:abstractNumId w:val="7"/>
  </w:num>
  <w:num w:numId="8">
    <w:abstractNumId w:val="12"/>
  </w:num>
  <w:num w:numId="9">
    <w:abstractNumId w:val="14"/>
  </w:num>
  <w:num w:numId="10">
    <w:abstractNumId w:val="13"/>
  </w:num>
  <w:num w:numId="11">
    <w:abstractNumId w:val="16"/>
  </w:num>
  <w:num w:numId="12">
    <w:abstractNumId w:val="17"/>
  </w:num>
  <w:num w:numId="13">
    <w:abstractNumId w:val="18"/>
  </w:num>
  <w:num w:numId="14">
    <w:abstractNumId w:val="19"/>
  </w:num>
  <w:num w:numId="15">
    <w:abstractNumId w:val="20"/>
  </w:num>
  <w:num w:numId="16">
    <w:abstractNumId w:val="22"/>
  </w:num>
  <w:num w:numId="17">
    <w:abstractNumId w:val="23"/>
  </w:num>
  <w:num w:numId="18">
    <w:abstractNumId w:val="24"/>
  </w:num>
  <w:num w:numId="19">
    <w:abstractNumId w:val="25"/>
  </w:num>
  <w:num w:numId="20">
    <w:abstractNumId w:val="26"/>
  </w:num>
  <w:num w:numId="21">
    <w:abstractNumId w:val="1"/>
  </w:num>
  <w:num w:numId="22">
    <w:abstractNumId w:val="5"/>
  </w:num>
  <w:num w:numId="23">
    <w:abstractNumId w:val="3"/>
  </w:num>
  <w:num w:numId="24">
    <w:abstractNumId w:val="2"/>
  </w:num>
  <w:num w:numId="25">
    <w:abstractNumId w:val="0"/>
  </w:num>
  <w:num w:numId="26">
    <w:abstractNumId w:val="4"/>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1,3,4,5,6,7,8,9,10"/>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YmU5MzJjZmUzMWExZjM4YWMyZGJjYjAzOGNkYzMifQ=="/>
  </w:docVars>
  <w:rsids>
    <w:rsidRoot w:val="00172A27"/>
    <w:rsid w:val="00001676"/>
    <w:rsid w:val="00005D05"/>
    <w:rsid w:val="00014AD4"/>
    <w:rsid w:val="00024CF5"/>
    <w:rsid w:val="00026D7B"/>
    <w:rsid w:val="000376FD"/>
    <w:rsid w:val="00040CEF"/>
    <w:rsid w:val="00041016"/>
    <w:rsid w:val="00041F37"/>
    <w:rsid w:val="00042B92"/>
    <w:rsid w:val="000433B9"/>
    <w:rsid w:val="00044D36"/>
    <w:rsid w:val="000473C0"/>
    <w:rsid w:val="00047D73"/>
    <w:rsid w:val="000537A9"/>
    <w:rsid w:val="00053D76"/>
    <w:rsid w:val="0005467B"/>
    <w:rsid w:val="000576B9"/>
    <w:rsid w:val="00070D90"/>
    <w:rsid w:val="00071647"/>
    <w:rsid w:val="000721FD"/>
    <w:rsid w:val="0007256A"/>
    <w:rsid w:val="00072599"/>
    <w:rsid w:val="000762C7"/>
    <w:rsid w:val="00080FB7"/>
    <w:rsid w:val="0008235E"/>
    <w:rsid w:val="00083A9D"/>
    <w:rsid w:val="00086196"/>
    <w:rsid w:val="00087162"/>
    <w:rsid w:val="00094239"/>
    <w:rsid w:val="000A073F"/>
    <w:rsid w:val="000A1B7B"/>
    <w:rsid w:val="000A26F8"/>
    <w:rsid w:val="000A4C5D"/>
    <w:rsid w:val="000A5D6A"/>
    <w:rsid w:val="000A7582"/>
    <w:rsid w:val="000A7F0E"/>
    <w:rsid w:val="000B2DDB"/>
    <w:rsid w:val="000B3636"/>
    <w:rsid w:val="000B4210"/>
    <w:rsid w:val="000B602E"/>
    <w:rsid w:val="000B7DC0"/>
    <w:rsid w:val="000C0BDF"/>
    <w:rsid w:val="000C2748"/>
    <w:rsid w:val="000C6C3D"/>
    <w:rsid w:val="000D0346"/>
    <w:rsid w:val="000D251F"/>
    <w:rsid w:val="000D6C5E"/>
    <w:rsid w:val="000E16D0"/>
    <w:rsid w:val="000E239E"/>
    <w:rsid w:val="000E4CB8"/>
    <w:rsid w:val="000F1814"/>
    <w:rsid w:val="000F2962"/>
    <w:rsid w:val="000F2CC3"/>
    <w:rsid w:val="000F2FB4"/>
    <w:rsid w:val="00101104"/>
    <w:rsid w:val="00102366"/>
    <w:rsid w:val="00102749"/>
    <w:rsid w:val="00103A72"/>
    <w:rsid w:val="001145C3"/>
    <w:rsid w:val="00116EC2"/>
    <w:rsid w:val="0011734E"/>
    <w:rsid w:val="00117EEF"/>
    <w:rsid w:val="00121352"/>
    <w:rsid w:val="001238E8"/>
    <w:rsid w:val="00124AD9"/>
    <w:rsid w:val="00124C7C"/>
    <w:rsid w:val="00125E29"/>
    <w:rsid w:val="00126EC9"/>
    <w:rsid w:val="00126FB0"/>
    <w:rsid w:val="001307BD"/>
    <w:rsid w:val="00134C8A"/>
    <w:rsid w:val="00134D32"/>
    <w:rsid w:val="0014038B"/>
    <w:rsid w:val="001431D1"/>
    <w:rsid w:val="001450B1"/>
    <w:rsid w:val="00145B44"/>
    <w:rsid w:val="00145C39"/>
    <w:rsid w:val="001463BE"/>
    <w:rsid w:val="00151B7E"/>
    <w:rsid w:val="00151FE8"/>
    <w:rsid w:val="00153DC9"/>
    <w:rsid w:val="00154784"/>
    <w:rsid w:val="00162D46"/>
    <w:rsid w:val="00166A28"/>
    <w:rsid w:val="00166B93"/>
    <w:rsid w:val="00171C4B"/>
    <w:rsid w:val="00171DA0"/>
    <w:rsid w:val="00173C00"/>
    <w:rsid w:val="00174B9B"/>
    <w:rsid w:val="0017628A"/>
    <w:rsid w:val="001774CB"/>
    <w:rsid w:val="001812CE"/>
    <w:rsid w:val="00184C02"/>
    <w:rsid w:val="001870E7"/>
    <w:rsid w:val="00193BBF"/>
    <w:rsid w:val="001948D3"/>
    <w:rsid w:val="00197896"/>
    <w:rsid w:val="001A3DA9"/>
    <w:rsid w:val="001A78EB"/>
    <w:rsid w:val="001B1E96"/>
    <w:rsid w:val="001B26E8"/>
    <w:rsid w:val="001B7AF8"/>
    <w:rsid w:val="001C4B37"/>
    <w:rsid w:val="001C51AF"/>
    <w:rsid w:val="001D432C"/>
    <w:rsid w:val="001E266C"/>
    <w:rsid w:val="001E461B"/>
    <w:rsid w:val="001E7DB8"/>
    <w:rsid w:val="001F4776"/>
    <w:rsid w:val="001F6B15"/>
    <w:rsid w:val="00200985"/>
    <w:rsid w:val="00203561"/>
    <w:rsid w:val="00206741"/>
    <w:rsid w:val="0021026B"/>
    <w:rsid w:val="00210833"/>
    <w:rsid w:val="002118C9"/>
    <w:rsid w:val="00213718"/>
    <w:rsid w:val="002164C5"/>
    <w:rsid w:val="00221D49"/>
    <w:rsid w:val="00222EFF"/>
    <w:rsid w:val="00223D4A"/>
    <w:rsid w:val="00234355"/>
    <w:rsid w:val="00236020"/>
    <w:rsid w:val="002419E9"/>
    <w:rsid w:val="00245495"/>
    <w:rsid w:val="002509D2"/>
    <w:rsid w:val="00251653"/>
    <w:rsid w:val="00253FAF"/>
    <w:rsid w:val="002566BA"/>
    <w:rsid w:val="002603A9"/>
    <w:rsid w:val="00262519"/>
    <w:rsid w:val="0026303A"/>
    <w:rsid w:val="00263A8D"/>
    <w:rsid w:val="00266037"/>
    <w:rsid w:val="00273B1E"/>
    <w:rsid w:val="00281DE9"/>
    <w:rsid w:val="0028357D"/>
    <w:rsid w:val="00283C21"/>
    <w:rsid w:val="00291EBF"/>
    <w:rsid w:val="00291F85"/>
    <w:rsid w:val="002928DA"/>
    <w:rsid w:val="00292EB4"/>
    <w:rsid w:val="00294A7A"/>
    <w:rsid w:val="00295600"/>
    <w:rsid w:val="00295C72"/>
    <w:rsid w:val="002A353A"/>
    <w:rsid w:val="002A401E"/>
    <w:rsid w:val="002B212D"/>
    <w:rsid w:val="002B3075"/>
    <w:rsid w:val="002B4229"/>
    <w:rsid w:val="002B7CA6"/>
    <w:rsid w:val="002C246A"/>
    <w:rsid w:val="002C4461"/>
    <w:rsid w:val="002C4628"/>
    <w:rsid w:val="002C7315"/>
    <w:rsid w:val="002C7FB6"/>
    <w:rsid w:val="002D0EE1"/>
    <w:rsid w:val="002D243E"/>
    <w:rsid w:val="002D486E"/>
    <w:rsid w:val="002D6E46"/>
    <w:rsid w:val="002D7C26"/>
    <w:rsid w:val="002E31BC"/>
    <w:rsid w:val="002E37E3"/>
    <w:rsid w:val="002E4D07"/>
    <w:rsid w:val="002E60C4"/>
    <w:rsid w:val="002E714E"/>
    <w:rsid w:val="002E763B"/>
    <w:rsid w:val="002F0112"/>
    <w:rsid w:val="0030568F"/>
    <w:rsid w:val="00306DE3"/>
    <w:rsid w:val="00310DC2"/>
    <w:rsid w:val="00316D47"/>
    <w:rsid w:val="003170B4"/>
    <w:rsid w:val="00324EBB"/>
    <w:rsid w:val="00325207"/>
    <w:rsid w:val="0032545A"/>
    <w:rsid w:val="0032782F"/>
    <w:rsid w:val="003300C2"/>
    <w:rsid w:val="00331408"/>
    <w:rsid w:val="00332925"/>
    <w:rsid w:val="00332AEE"/>
    <w:rsid w:val="00333CB9"/>
    <w:rsid w:val="0034278F"/>
    <w:rsid w:val="00342CCA"/>
    <w:rsid w:val="0034505D"/>
    <w:rsid w:val="003453ED"/>
    <w:rsid w:val="00345D45"/>
    <w:rsid w:val="00346599"/>
    <w:rsid w:val="00360C45"/>
    <w:rsid w:val="003650DC"/>
    <w:rsid w:val="00370EC9"/>
    <w:rsid w:val="00371435"/>
    <w:rsid w:val="003719A7"/>
    <w:rsid w:val="00373910"/>
    <w:rsid w:val="003756D9"/>
    <w:rsid w:val="00380D79"/>
    <w:rsid w:val="00381986"/>
    <w:rsid w:val="00382F00"/>
    <w:rsid w:val="003841D5"/>
    <w:rsid w:val="003852DA"/>
    <w:rsid w:val="003863A4"/>
    <w:rsid w:val="003923AE"/>
    <w:rsid w:val="003A23CD"/>
    <w:rsid w:val="003A4268"/>
    <w:rsid w:val="003A7A30"/>
    <w:rsid w:val="003B3935"/>
    <w:rsid w:val="003C1938"/>
    <w:rsid w:val="003C2787"/>
    <w:rsid w:val="003D3397"/>
    <w:rsid w:val="003D4D85"/>
    <w:rsid w:val="003D6D00"/>
    <w:rsid w:val="003E12FD"/>
    <w:rsid w:val="003E2A63"/>
    <w:rsid w:val="003E4588"/>
    <w:rsid w:val="003E75AC"/>
    <w:rsid w:val="003F0270"/>
    <w:rsid w:val="003F175A"/>
    <w:rsid w:val="003F1882"/>
    <w:rsid w:val="003F1D60"/>
    <w:rsid w:val="003F6830"/>
    <w:rsid w:val="00401670"/>
    <w:rsid w:val="00407CDD"/>
    <w:rsid w:val="0042171A"/>
    <w:rsid w:val="00422B89"/>
    <w:rsid w:val="004272EF"/>
    <w:rsid w:val="0043459E"/>
    <w:rsid w:val="004402DB"/>
    <w:rsid w:val="00440744"/>
    <w:rsid w:val="004409AE"/>
    <w:rsid w:val="00440FB3"/>
    <w:rsid w:val="004473B7"/>
    <w:rsid w:val="00453C10"/>
    <w:rsid w:val="004563BB"/>
    <w:rsid w:val="00457090"/>
    <w:rsid w:val="00457EC6"/>
    <w:rsid w:val="004624E4"/>
    <w:rsid w:val="004628DF"/>
    <w:rsid w:val="00464922"/>
    <w:rsid w:val="00464CE3"/>
    <w:rsid w:val="00466AC5"/>
    <w:rsid w:val="00467219"/>
    <w:rsid w:val="00467312"/>
    <w:rsid w:val="0047240F"/>
    <w:rsid w:val="00474E19"/>
    <w:rsid w:val="00474EEF"/>
    <w:rsid w:val="004765EE"/>
    <w:rsid w:val="00482260"/>
    <w:rsid w:val="004845FE"/>
    <w:rsid w:val="00484D12"/>
    <w:rsid w:val="00487C3E"/>
    <w:rsid w:val="00487DC6"/>
    <w:rsid w:val="00494A02"/>
    <w:rsid w:val="004970D6"/>
    <w:rsid w:val="004A0A13"/>
    <w:rsid w:val="004A0FED"/>
    <w:rsid w:val="004B4FD2"/>
    <w:rsid w:val="004B7131"/>
    <w:rsid w:val="004C21EC"/>
    <w:rsid w:val="004C4C62"/>
    <w:rsid w:val="004C7B45"/>
    <w:rsid w:val="004D1260"/>
    <w:rsid w:val="004D2188"/>
    <w:rsid w:val="004D2B97"/>
    <w:rsid w:val="004D39E3"/>
    <w:rsid w:val="004E0BEB"/>
    <w:rsid w:val="004E4AE6"/>
    <w:rsid w:val="004F31A0"/>
    <w:rsid w:val="004F35C1"/>
    <w:rsid w:val="004F40E3"/>
    <w:rsid w:val="004F415D"/>
    <w:rsid w:val="004F4360"/>
    <w:rsid w:val="0050081F"/>
    <w:rsid w:val="0050278B"/>
    <w:rsid w:val="00503034"/>
    <w:rsid w:val="005036E1"/>
    <w:rsid w:val="00504A84"/>
    <w:rsid w:val="00504D19"/>
    <w:rsid w:val="00506BEC"/>
    <w:rsid w:val="00506DFF"/>
    <w:rsid w:val="00510807"/>
    <w:rsid w:val="005136B4"/>
    <w:rsid w:val="005159CA"/>
    <w:rsid w:val="00520F6E"/>
    <w:rsid w:val="00522019"/>
    <w:rsid w:val="00522E3D"/>
    <w:rsid w:val="00527C3E"/>
    <w:rsid w:val="00531854"/>
    <w:rsid w:val="00533570"/>
    <w:rsid w:val="00533736"/>
    <w:rsid w:val="00533A46"/>
    <w:rsid w:val="00533E1C"/>
    <w:rsid w:val="00536591"/>
    <w:rsid w:val="00536FD7"/>
    <w:rsid w:val="00555A30"/>
    <w:rsid w:val="00561638"/>
    <w:rsid w:val="00565684"/>
    <w:rsid w:val="00570258"/>
    <w:rsid w:val="00570A85"/>
    <w:rsid w:val="00570F77"/>
    <w:rsid w:val="00572190"/>
    <w:rsid w:val="005731A1"/>
    <w:rsid w:val="005734AE"/>
    <w:rsid w:val="00580ED4"/>
    <w:rsid w:val="00582E42"/>
    <w:rsid w:val="005836E5"/>
    <w:rsid w:val="00583DE1"/>
    <w:rsid w:val="00586539"/>
    <w:rsid w:val="005937D1"/>
    <w:rsid w:val="005A1108"/>
    <w:rsid w:val="005A4A36"/>
    <w:rsid w:val="005A4D8F"/>
    <w:rsid w:val="005A5B8F"/>
    <w:rsid w:val="005A69F3"/>
    <w:rsid w:val="005B1276"/>
    <w:rsid w:val="005C748A"/>
    <w:rsid w:val="005D082E"/>
    <w:rsid w:val="005D2110"/>
    <w:rsid w:val="005D3280"/>
    <w:rsid w:val="005D4D56"/>
    <w:rsid w:val="005D4E5E"/>
    <w:rsid w:val="005E0773"/>
    <w:rsid w:val="005E2698"/>
    <w:rsid w:val="005F0399"/>
    <w:rsid w:val="005F0BAC"/>
    <w:rsid w:val="005F5E73"/>
    <w:rsid w:val="005F6A65"/>
    <w:rsid w:val="006010C8"/>
    <w:rsid w:val="00604435"/>
    <w:rsid w:val="0060713E"/>
    <w:rsid w:val="006123DC"/>
    <w:rsid w:val="006201ED"/>
    <w:rsid w:val="00624DD7"/>
    <w:rsid w:val="00624F22"/>
    <w:rsid w:val="0063679D"/>
    <w:rsid w:val="00645004"/>
    <w:rsid w:val="00645AD1"/>
    <w:rsid w:val="00652853"/>
    <w:rsid w:val="00652D0C"/>
    <w:rsid w:val="00660513"/>
    <w:rsid w:val="00662A83"/>
    <w:rsid w:val="00667341"/>
    <w:rsid w:val="006706B4"/>
    <w:rsid w:val="00670C23"/>
    <w:rsid w:val="006731B8"/>
    <w:rsid w:val="00674650"/>
    <w:rsid w:val="00675F36"/>
    <w:rsid w:val="006769A7"/>
    <w:rsid w:val="00682A9D"/>
    <w:rsid w:val="00682F75"/>
    <w:rsid w:val="006840A3"/>
    <w:rsid w:val="00685F68"/>
    <w:rsid w:val="00687121"/>
    <w:rsid w:val="006954B3"/>
    <w:rsid w:val="006968D9"/>
    <w:rsid w:val="006972CA"/>
    <w:rsid w:val="006A2B47"/>
    <w:rsid w:val="006A65FA"/>
    <w:rsid w:val="006A67F4"/>
    <w:rsid w:val="006B1946"/>
    <w:rsid w:val="006B5578"/>
    <w:rsid w:val="006B593F"/>
    <w:rsid w:val="006B7E52"/>
    <w:rsid w:val="006B7EA4"/>
    <w:rsid w:val="006C3B26"/>
    <w:rsid w:val="006D0860"/>
    <w:rsid w:val="006D08E8"/>
    <w:rsid w:val="006D27B0"/>
    <w:rsid w:val="006D4491"/>
    <w:rsid w:val="006D5427"/>
    <w:rsid w:val="006E0487"/>
    <w:rsid w:val="006E3049"/>
    <w:rsid w:val="006E5467"/>
    <w:rsid w:val="006E54E8"/>
    <w:rsid w:val="006F476E"/>
    <w:rsid w:val="006F7BC6"/>
    <w:rsid w:val="00701177"/>
    <w:rsid w:val="007012AF"/>
    <w:rsid w:val="007024DF"/>
    <w:rsid w:val="00704F8F"/>
    <w:rsid w:val="007058BB"/>
    <w:rsid w:val="007073CE"/>
    <w:rsid w:val="0070763A"/>
    <w:rsid w:val="007140A5"/>
    <w:rsid w:val="007140BE"/>
    <w:rsid w:val="0071511C"/>
    <w:rsid w:val="00716AA5"/>
    <w:rsid w:val="00717839"/>
    <w:rsid w:val="00721A21"/>
    <w:rsid w:val="00724FE0"/>
    <w:rsid w:val="00725FB0"/>
    <w:rsid w:val="00730FDB"/>
    <w:rsid w:val="0073119B"/>
    <w:rsid w:val="00734CFE"/>
    <w:rsid w:val="00741A47"/>
    <w:rsid w:val="00744FCA"/>
    <w:rsid w:val="0074732C"/>
    <w:rsid w:val="00747784"/>
    <w:rsid w:val="007566BF"/>
    <w:rsid w:val="00757FB1"/>
    <w:rsid w:val="00761B98"/>
    <w:rsid w:val="00762A0A"/>
    <w:rsid w:val="0076423B"/>
    <w:rsid w:val="007642A1"/>
    <w:rsid w:val="00766790"/>
    <w:rsid w:val="00771BAF"/>
    <w:rsid w:val="00771F01"/>
    <w:rsid w:val="0078027C"/>
    <w:rsid w:val="007810C1"/>
    <w:rsid w:val="00785183"/>
    <w:rsid w:val="00793031"/>
    <w:rsid w:val="00796EA7"/>
    <w:rsid w:val="00797949"/>
    <w:rsid w:val="007A3AA8"/>
    <w:rsid w:val="007A46BC"/>
    <w:rsid w:val="007B1B72"/>
    <w:rsid w:val="007B1C3A"/>
    <w:rsid w:val="007B1C75"/>
    <w:rsid w:val="007B757E"/>
    <w:rsid w:val="007C0B62"/>
    <w:rsid w:val="007C449C"/>
    <w:rsid w:val="007D1235"/>
    <w:rsid w:val="007D720C"/>
    <w:rsid w:val="007D79A8"/>
    <w:rsid w:val="007E0EA2"/>
    <w:rsid w:val="007E29FD"/>
    <w:rsid w:val="007E4A27"/>
    <w:rsid w:val="007E6077"/>
    <w:rsid w:val="007E7EAE"/>
    <w:rsid w:val="007F4BCF"/>
    <w:rsid w:val="007F7416"/>
    <w:rsid w:val="00800B79"/>
    <w:rsid w:val="00806E18"/>
    <w:rsid w:val="0080789D"/>
    <w:rsid w:val="0081242D"/>
    <w:rsid w:val="00812DA0"/>
    <w:rsid w:val="00814BF0"/>
    <w:rsid w:val="008207C0"/>
    <w:rsid w:val="00824272"/>
    <w:rsid w:val="0082475A"/>
    <w:rsid w:val="00826866"/>
    <w:rsid w:val="00830905"/>
    <w:rsid w:val="008315AB"/>
    <w:rsid w:val="00832F19"/>
    <w:rsid w:val="00834228"/>
    <w:rsid w:val="00837860"/>
    <w:rsid w:val="0084609E"/>
    <w:rsid w:val="0085040D"/>
    <w:rsid w:val="0085276C"/>
    <w:rsid w:val="00853EEF"/>
    <w:rsid w:val="008550EB"/>
    <w:rsid w:val="008574AE"/>
    <w:rsid w:val="008606C9"/>
    <w:rsid w:val="00861E4A"/>
    <w:rsid w:val="0086659D"/>
    <w:rsid w:val="00873993"/>
    <w:rsid w:val="00876B3A"/>
    <w:rsid w:val="008773EC"/>
    <w:rsid w:val="00877C09"/>
    <w:rsid w:val="00882B85"/>
    <w:rsid w:val="008834E4"/>
    <w:rsid w:val="0089063C"/>
    <w:rsid w:val="0089449D"/>
    <w:rsid w:val="00894591"/>
    <w:rsid w:val="00897511"/>
    <w:rsid w:val="008A03DE"/>
    <w:rsid w:val="008A0715"/>
    <w:rsid w:val="008A2C23"/>
    <w:rsid w:val="008A2D70"/>
    <w:rsid w:val="008A446F"/>
    <w:rsid w:val="008A6F8F"/>
    <w:rsid w:val="008B3409"/>
    <w:rsid w:val="008B3BE2"/>
    <w:rsid w:val="008B5179"/>
    <w:rsid w:val="008C0655"/>
    <w:rsid w:val="008C06C0"/>
    <w:rsid w:val="008C3E4B"/>
    <w:rsid w:val="008C6768"/>
    <w:rsid w:val="008C69D5"/>
    <w:rsid w:val="008D38AA"/>
    <w:rsid w:val="008D52F7"/>
    <w:rsid w:val="008D655A"/>
    <w:rsid w:val="008D6BD4"/>
    <w:rsid w:val="008E0A96"/>
    <w:rsid w:val="008E3775"/>
    <w:rsid w:val="008E3A5C"/>
    <w:rsid w:val="008F2A5D"/>
    <w:rsid w:val="008F2E21"/>
    <w:rsid w:val="008F437A"/>
    <w:rsid w:val="008F4CEA"/>
    <w:rsid w:val="009007A0"/>
    <w:rsid w:val="0090770C"/>
    <w:rsid w:val="00907B9C"/>
    <w:rsid w:val="00907DAD"/>
    <w:rsid w:val="00912CD4"/>
    <w:rsid w:val="00917A6C"/>
    <w:rsid w:val="009213EC"/>
    <w:rsid w:val="009222FB"/>
    <w:rsid w:val="00922447"/>
    <w:rsid w:val="0092406C"/>
    <w:rsid w:val="00927080"/>
    <w:rsid w:val="00927D56"/>
    <w:rsid w:val="009300AA"/>
    <w:rsid w:val="00931F83"/>
    <w:rsid w:val="009368BF"/>
    <w:rsid w:val="009413BD"/>
    <w:rsid w:val="009438AF"/>
    <w:rsid w:val="00945700"/>
    <w:rsid w:val="00945B97"/>
    <w:rsid w:val="0094759D"/>
    <w:rsid w:val="00951426"/>
    <w:rsid w:val="009522F6"/>
    <w:rsid w:val="009539F3"/>
    <w:rsid w:val="009549AF"/>
    <w:rsid w:val="00960AC7"/>
    <w:rsid w:val="00961C05"/>
    <w:rsid w:val="00970372"/>
    <w:rsid w:val="00971EA4"/>
    <w:rsid w:val="009739FA"/>
    <w:rsid w:val="009815A4"/>
    <w:rsid w:val="00982407"/>
    <w:rsid w:val="00985BC5"/>
    <w:rsid w:val="009875B5"/>
    <w:rsid w:val="00991918"/>
    <w:rsid w:val="00991A18"/>
    <w:rsid w:val="009934D3"/>
    <w:rsid w:val="00993832"/>
    <w:rsid w:val="00993C58"/>
    <w:rsid w:val="00995486"/>
    <w:rsid w:val="00995FE4"/>
    <w:rsid w:val="009A2B54"/>
    <w:rsid w:val="009A5911"/>
    <w:rsid w:val="009A7030"/>
    <w:rsid w:val="009B1C2B"/>
    <w:rsid w:val="009B58B7"/>
    <w:rsid w:val="009C04D2"/>
    <w:rsid w:val="009C2665"/>
    <w:rsid w:val="009C6B08"/>
    <w:rsid w:val="009E40D7"/>
    <w:rsid w:val="009E63FB"/>
    <w:rsid w:val="009F0A0A"/>
    <w:rsid w:val="009F191C"/>
    <w:rsid w:val="009F5D4F"/>
    <w:rsid w:val="00A024D0"/>
    <w:rsid w:val="00A027F3"/>
    <w:rsid w:val="00A05C41"/>
    <w:rsid w:val="00A06164"/>
    <w:rsid w:val="00A070CD"/>
    <w:rsid w:val="00A076C4"/>
    <w:rsid w:val="00A12F32"/>
    <w:rsid w:val="00A12F56"/>
    <w:rsid w:val="00A12FC7"/>
    <w:rsid w:val="00A15237"/>
    <w:rsid w:val="00A16FF0"/>
    <w:rsid w:val="00A2052D"/>
    <w:rsid w:val="00A23659"/>
    <w:rsid w:val="00A256C0"/>
    <w:rsid w:val="00A31019"/>
    <w:rsid w:val="00A3114F"/>
    <w:rsid w:val="00A42B8E"/>
    <w:rsid w:val="00A46839"/>
    <w:rsid w:val="00A46D6F"/>
    <w:rsid w:val="00A4706B"/>
    <w:rsid w:val="00A532F4"/>
    <w:rsid w:val="00A533B9"/>
    <w:rsid w:val="00A626BF"/>
    <w:rsid w:val="00A637D7"/>
    <w:rsid w:val="00A711C1"/>
    <w:rsid w:val="00A733D8"/>
    <w:rsid w:val="00A76045"/>
    <w:rsid w:val="00A76C5B"/>
    <w:rsid w:val="00A828AA"/>
    <w:rsid w:val="00A95CF8"/>
    <w:rsid w:val="00AA1AF2"/>
    <w:rsid w:val="00AA2992"/>
    <w:rsid w:val="00AA48A4"/>
    <w:rsid w:val="00AB24D9"/>
    <w:rsid w:val="00AB2C37"/>
    <w:rsid w:val="00AB5FD6"/>
    <w:rsid w:val="00AB7063"/>
    <w:rsid w:val="00AC0FC2"/>
    <w:rsid w:val="00AC123C"/>
    <w:rsid w:val="00AD2AFA"/>
    <w:rsid w:val="00AD62B7"/>
    <w:rsid w:val="00AE08D5"/>
    <w:rsid w:val="00AE34CF"/>
    <w:rsid w:val="00AE39E5"/>
    <w:rsid w:val="00AF0544"/>
    <w:rsid w:val="00AF1E81"/>
    <w:rsid w:val="00AF48F8"/>
    <w:rsid w:val="00AF5E8C"/>
    <w:rsid w:val="00AF7960"/>
    <w:rsid w:val="00B00193"/>
    <w:rsid w:val="00B02053"/>
    <w:rsid w:val="00B03C03"/>
    <w:rsid w:val="00B06E95"/>
    <w:rsid w:val="00B070C6"/>
    <w:rsid w:val="00B10026"/>
    <w:rsid w:val="00B13E98"/>
    <w:rsid w:val="00B16BDC"/>
    <w:rsid w:val="00B2064A"/>
    <w:rsid w:val="00B30549"/>
    <w:rsid w:val="00B318A7"/>
    <w:rsid w:val="00B32B0F"/>
    <w:rsid w:val="00B333CD"/>
    <w:rsid w:val="00B34087"/>
    <w:rsid w:val="00B34D49"/>
    <w:rsid w:val="00B40822"/>
    <w:rsid w:val="00B50685"/>
    <w:rsid w:val="00B51789"/>
    <w:rsid w:val="00B53256"/>
    <w:rsid w:val="00B54DAA"/>
    <w:rsid w:val="00B55585"/>
    <w:rsid w:val="00B56647"/>
    <w:rsid w:val="00B60ADB"/>
    <w:rsid w:val="00B71036"/>
    <w:rsid w:val="00B759BD"/>
    <w:rsid w:val="00B77CC4"/>
    <w:rsid w:val="00B81753"/>
    <w:rsid w:val="00B826E4"/>
    <w:rsid w:val="00B8498C"/>
    <w:rsid w:val="00B84BB1"/>
    <w:rsid w:val="00B90F05"/>
    <w:rsid w:val="00B96254"/>
    <w:rsid w:val="00B9634D"/>
    <w:rsid w:val="00BA7415"/>
    <w:rsid w:val="00BB4AA9"/>
    <w:rsid w:val="00BB5995"/>
    <w:rsid w:val="00BB716D"/>
    <w:rsid w:val="00BC1382"/>
    <w:rsid w:val="00BC37CF"/>
    <w:rsid w:val="00BC7889"/>
    <w:rsid w:val="00BD11BD"/>
    <w:rsid w:val="00BD1AD9"/>
    <w:rsid w:val="00BD33F7"/>
    <w:rsid w:val="00BD4612"/>
    <w:rsid w:val="00BD579D"/>
    <w:rsid w:val="00BD5E06"/>
    <w:rsid w:val="00BE1826"/>
    <w:rsid w:val="00BE4F7B"/>
    <w:rsid w:val="00BF75CD"/>
    <w:rsid w:val="00C007DB"/>
    <w:rsid w:val="00C02C0F"/>
    <w:rsid w:val="00C0503B"/>
    <w:rsid w:val="00C054F9"/>
    <w:rsid w:val="00C06F9B"/>
    <w:rsid w:val="00C07AD6"/>
    <w:rsid w:val="00C10293"/>
    <w:rsid w:val="00C12A30"/>
    <w:rsid w:val="00C3028A"/>
    <w:rsid w:val="00C321F2"/>
    <w:rsid w:val="00C3600F"/>
    <w:rsid w:val="00C41E72"/>
    <w:rsid w:val="00C46C41"/>
    <w:rsid w:val="00C47D63"/>
    <w:rsid w:val="00C5107D"/>
    <w:rsid w:val="00C52FE5"/>
    <w:rsid w:val="00C54D22"/>
    <w:rsid w:val="00C57C95"/>
    <w:rsid w:val="00C64D3A"/>
    <w:rsid w:val="00C65014"/>
    <w:rsid w:val="00C65EF5"/>
    <w:rsid w:val="00C66DD3"/>
    <w:rsid w:val="00C70DE0"/>
    <w:rsid w:val="00C71927"/>
    <w:rsid w:val="00C729B9"/>
    <w:rsid w:val="00C75296"/>
    <w:rsid w:val="00C84C9F"/>
    <w:rsid w:val="00C87205"/>
    <w:rsid w:val="00C905A6"/>
    <w:rsid w:val="00C9382D"/>
    <w:rsid w:val="00C97772"/>
    <w:rsid w:val="00C9788A"/>
    <w:rsid w:val="00CA06A1"/>
    <w:rsid w:val="00CA12FD"/>
    <w:rsid w:val="00CA2C7E"/>
    <w:rsid w:val="00CA742F"/>
    <w:rsid w:val="00CB04D3"/>
    <w:rsid w:val="00CB3D37"/>
    <w:rsid w:val="00CB443A"/>
    <w:rsid w:val="00CB6B91"/>
    <w:rsid w:val="00CC111C"/>
    <w:rsid w:val="00CC2507"/>
    <w:rsid w:val="00CC2620"/>
    <w:rsid w:val="00CC4317"/>
    <w:rsid w:val="00CC4AD9"/>
    <w:rsid w:val="00CC55F0"/>
    <w:rsid w:val="00CC6CCB"/>
    <w:rsid w:val="00CC7ABD"/>
    <w:rsid w:val="00CD6643"/>
    <w:rsid w:val="00CE2B36"/>
    <w:rsid w:val="00CE398A"/>
    <w:rsid w:val="00CE4E09"/>
    <w:rsid w:val="00CE70AA"/>
    <w:rsid w:val="00CE7823"/>
    <w:rsid w:val="00CF0465"/>
    <w:rsid w:val="00CF2079"/>
    <w:rsid w:val="00CF2CFE"/>
    <w:rsid w:val="00CF3B0D"/>
    <w:rsid w:val="00CF73C0"/>
    <w:rsid w:val="00CF75E8"/>
    <w:rsid w:val="00D067E9"/>
    <w:rsid w:val="00D07220"/>
    <w:rsid w:val="00D1342A"/>
    <w:rsid w:val="00D22014"/>
    <w:rsid w:val="00D2347B"/>
    <w:rsid w:val="00D27884"/>
    <w:rsid w:val="00D30C3E"/>
    <w:rsid w:val="00D31494"/>
    <w:rsid w:val="00D32C6A"/>
    <w:rsid w:val="00D32F29"/>
    <w:rsid w:val="00D33E58"/>
    <w:rsid w:val="00D36789"/>
    <w:rsid w:val="00D40067"/>
    <w:rsid w:val="00D4059B"/>
    <w:rsid w:val="00D411E4"/>
    <w:rsid w:val="00D41DE1"/>
    <w:rsid w:val="00D43FEA"/>
    <w:rsid w:val="00D459EF"/>
    <w:rsid w:val="00D45F06"/>
    <w:rsid w:val="00D46B9E"/>
    <w:rsid w:val="00D47B63"/>
    <w:rsid w:val="00D51117"/>
    <w:rsid w:val="00D51D51"/>
    <w:rsid w:val="00D52D47"/>
    <w:rsid w:val="00D53CB4"/>
    <w:rsid w:val="00D54103"/>
    <w:rsid w:val="00D54129"/>
    <w:rsid w:val="00D55F24"/>
    <w:rsid w:val="00D57809"/>
    <w:rsid w:val="00D665A7"/>
    <w:rsid w:val="00D666B3"/>
    <w:rsid w:val="00D6678A"/>
    <w:rsid w:val="00D667A7"/>
    <w:rsid w:val="00D66A17"/>
    <w:rsid w:val="00D73E70"/>
    <w:rsid w:val="00D75C0B"/>
    <w:rsid w:val="00D76D5E"/>
    <w:rsid w:val="00D80007"/>
    <w:rsid w:val="00D81A4C"/>
    <w:rsid w:val="00D84CFA"/>
    <w:rsid w:val="00D84D2F"/>
    <w:rsid w:val="00D8722B"/>
    <w:rsid w:val="00D90420"/>
    <w:rsid w:val="00D91FA5"/>
    <w:rsid w:val="00D9302E"/>
    <w:rsid w:val="00D96A44"/>
    <w:rsid w:val="00D97D0B"/>
    <w:rsid w:val="00DA0537"/>
    <w:rsid w:val="00DA1859"/>
    <w:rsid w:val="00DA1B33"/>
    <w:rsid w:val="00DA212D"/>
    <w:rsid w:val="00DA3979"/>
    <w:rsid w:val="00DA5370"/>
    <w:rsid w:val="00DA6212"/>
    <w:rsid w:val="00DB2809"/>
    <w:rsid w:val="00DB2DDA"/>
    <w:rsid w:val="00DB5D2D"/>
    <w:rsid w:val="00DB73DD"/>
    <w:rsid w:val="00DC0D85"/>
    <w:rsid w:val="00DC14FA"/>
    <w:rsid w:val="00DC2245"/>
    <w:rsid w:val="00DC29A4"/>
    <w:rsid w:val="00DC2C58"/>
    <w:rsid w:val="00DC310A"/>
    <w:rsid w:val="00DC35E9"/>
    <w:rsid w:val="00DC5035"/>
    <w:rsid w:val="00DD5708"/>
    <w:rsid w:val="00DD6396"/>
    <w:rsid w:val="00DE0EA4"/>
    <w:rsid w:val="00DE13C4"/>
    <w:rsid w:val="00DE33D4"/>
    <w:rsid w:val="00DE408E"/>
    <w:rsid w:val="00DE5D01"/>
    <w:rsid w:val="00DE6D3D"/>
    <w:rsid w:val="00DE7626"/>
    <w:rsid w:val="00DF0238"/>
    <w:rsid w:val="00DF525C"/>
    <w:rsid w:val="00DF6A44"/>
    <w:rsid w:val="00DF7605"/>
    <w:rsid w:val="00E01481"/>
    <w:rsid w:val="00E02AB5"/>
    <w:rsid w:val="00E0721F"/>
    <w:rsid w:val="00E079EF"/>
    <w:rsid w:val="00E11053"/>
    <w:rsid w:val="00E12C66"/>
    <w:rsid w:val="00E13AAA"/>
    <w:rsid w:val="00E14B5F"/>
    <w:rsid w:val="00E14EA4"/>
    <w:rsid w:val="00E15FF4"/>
    <w:rsid w:val="00E2009F"/>
    <w:rsid w:val="00E2060C"/>
    <w:rsid w:val="00E215D2"/>
    <w:rsid w:val="00E21F50"/>
    <w:rsid w:val="00E2714F"/>
    <w:rsid w:val="00E30922"/>
    <w:rsid w:val="00E3423C"/>
    <w:rsid w:val="00E43CB6"/>
    <w:rsid w:val="00E46624"/>
    <w:rsid w:val="00E47AFC"/>
    <w:rsid w:val="00E5465A"/>
    <w:rsid w:val="00E565CD"/>
    <w:rsid w:val="00E572F2"/>
    <w:rsid w:val="00E61991"/>
    <w:rsid w:val="00E64310"/>
    <w:rsid w:val="00E657F9"/>
    <w:rsid w:val="00E7189A"/>
    <w:rsid w:val="00E73A3E"/>
    <w:rsid w:val="00E755C0"/>
    <w:rsid w:val="00E7606E"/>
    <w:rsid w:val="00E76868"/>
    <w:rsid w:val="00E80ECD"/>
    <w:rsid w:val="00E81FF4"/>
    <w:rsid w:val="00E83DFB"/>
    <w:rsid w:val="00E86F08"/>
    <w:rsid w:val="00E94C18"/>
    <w:rsid w:val="00E958D8"/>
    <w:rsid w:val="00EA0065"/>
    <w:rsid w:val="00EA0259"/>
    <w:rsid w:val="00EB0D46"/>
    <w:rsid w:val="00EB1814"/>
    <w:rsid w:val="00EB1DD7"/>
    <w:rsid w:val="00EB22A4"/>
    <w:rsid w:val="00EB48B5"/>
    <w:rsid w:val="00EB5524"/>
    <w:rsid w:val="00EB5C50"/>
    <w:rsid w:val="00EC068C"/>
    <w:rsid w:val="00EC0FF5"/>
    <w:rsid w:val="00EC1961"/>
    <w:rsid w:val="00EC1FB5"/>
    <w:rsid w:val="00EC441C"/>
    <w:rsid w:val="00EC59A3"/>
    <w:rsid w:val="00EC7067"/>
    <w:rsid w:val="00ED00A3"/>
    <w:rsid w:val="00ED1947"/>
    <w:rsid w:val="00ED43B7"/>
    <w:rsid w:val="00ED5305"/>
    <w:rsid w:val="00ED7BE2"/>
    <w:rsid w:val="00EE1145"/>
    <w:rsid w:val="00EE28D9"/>
    <w:rsid w:val="00EE6BA9"/>
    <w:rsid w:val="00EF23DF"/>
    <w:rsid w:val="00EF29B4"/>
    <w:rsid w:val="00EF3022"/>
    <w:rsid w:val="00EF548E"/>
    <w:rsid w:val="00F03870"/>
    <w:rsid w:val="00F03A05"/>
    <w:rsid w:val="00F03D35"/>
    <w:rsid w:val="00F075BE"/>
    <w:rsid w:val="00F100EE"/>
    <w:rsid w:val="00F116F2"/>
    <w:rsid w:val="00F11A45"/>
    <w:rsid w:val="00F12527"/>
    <w:rsid w:val="00F16B30"/>
    <w:rsid w:val="00F16CEE"/>
    <w:rsid w:val="00F20581"/>
    <w:rsid w:val="00F208E2"/>
    <w:rsid w:val="00F2096B"/>
    <w:rsid w:val="00F238EF"/>
    <w:rsid w:val="00F26D64"/>
    <w:rsid w:val="00F30FFC"/>
    <w:rsid w:val="00F40F6C"/>
    <w:rsid w:val="00F47DBA"/>
    <w:rsid w:val="00F51AAD"/>
    <w:rsid w:val="00F51E39"/>
    <w:rsid w:val="00F5484F"/>
    <w:rsid w:val="00F55686"/>
    <w:rsid w:val="00F56F23"/>
    <w:rsid w:val="00F62E3F"/>
    <w:rsid w:val="00F6370B"/>
    <w:rsid w:val="00F646C1"/>
    <w:rsid w:val="00F657D7"/>
    <w:rsid w:val="00F66FC4"/>
    <w:rsid w:val="00F67377"/>
    <w:rsid w:val="00F71042"/>
    <w:rsid w:val="00F71B4F"/>
    <w:rsid w:val="00F73B13"/>
    <w:rsid w:val="00F747D1"/>
    <w:rsid w:val="00F76054"/>
    <w:rsid w:val="00F76345"/>
    <w:rsid w:val="00F84053"/>
    <w:rsid w:val="00F91355"/>
    <w:rsid w:val="00F91FD8"/>
    <w:rsid w:val="00F92D61"/>
    <w:rsid w:val="00FA03EB"/>
    <w:rsid w:val="00FA6376"/>
    <w:rsid w:val="00FA6C69"/>
    <w:rsid w:val="00FB22E9"/>
    <w:rsid w:val="00FB3717"/>
    <w:rsid w:val="00FD32D0"/>
    <w:rsid w:val="00FD34D8"/>
    <w:rsid w:val="00FD4FF5"/>
    <w:rsid w:val="00FD6E10"/>
    <w:rsid w:val="00FE005F"/>
    <w:rsid w:val="00FE0725"/>
    <w:rsid w:val="00FE0DFC"/>
    <w:rsid w:val="00FE53FA"/>
    <w:rsid w:val="00FE6C6D"/>
    <w:rsid w:val="00FF1E85"/>
    <w:rsid w:val="00FF26FC"/>
    <w:rsid w:val="010E1AE4"/>
    <w:rsid w:val="011B01CC"/>
    <w:rsid w:val="01212C69"/>
    <w:rsid w:val="0192559D"/>
    <w:rsid w:val="01A337AB"/>
    <w:rsid w:val="01FE44AF"/>
    <w:rsid w:val="022444CD"/>
    <w:rsid w:val="026A4C84"/>
    <w:rsid w:val="026F7855"/>
    <w:rsid w:val="02787333"/>
    <w:rsid w:val="0280355E"/>
    <w:rsid w:val="02C47E90"/>
    <w:rsid w:val="02C55F8A"/>
    <w:rsid w:val="02EF55B4"/>
    <w:rsid w:val="02F23728"/>
    <w:rsid w:val="02F6204E"/>
    <w:rsid w:val="032A41AC"/>
    <w:rsid w:val="033C2BF5"/>
    <w:rsid w:val="037172BA"/>
    <w:rsid w:val="03FE0E17"/>
    <w:rsid w:val="041221DD"/>
    <w:rsid w:val="041E1970"/>
    <w:rsid w:val="04470C7F"/>
    <w:rsid w:val="047B67E3"/>
    <w:rsid w:val="053B2D20"/>
    <w:rsid w:val="05871886"/>
    <w:rsid w:val="05EA1BE3"/>
    <w:rsid w:val="060C68AF"/>
    <w:rsid w:val="062D45E2"/>
    <w:rsid w:val="064E28A1"/>
    <w:rsid w:val="065E1CB0"/>
    <w:rsid w:val="06652BD7"/>
    <w:rsid w:val="06B628E4"/>
    <w:rsid w:val="06C824AF"/>
    <w:rsid w:val="06D57047"/>
    <w:rsid w:val="072C1FA0"/>
    <w:rsid w:val="07400551"/>
    <w:rsid w:val="07665B6F"/>
    <w:rsid w:val="07D72A78"/>
    <w:rsid w:val="07F3448F"/>
    <w:rsid w:val="08032C3A"/>
    <w:rsid w:val="081E0ABF"/>
    <w:rsid w:val="08945649"/>
    <w:rsid w:val="08A57FF3"/>
    <w:rsid w:val="08AA7E65"/>
    <w:rsid w:val="08BC15D3"/>
    <w:rsid w:val="093752C0"/>
    <w:rsid w:val="098A5061"/>
    <w:rsid w:val="099664AD"/>
    <w:rsid w:val="09A601A0"/>
    <w:rsid w:val="09AC0CC3"/>
    <w:rsid w:val="09C11C63"/>
    <w:rsid w:val="09C46849"/>
    <w:rsid w:val="09D83A6D"/>
    <w:rsid w:val="09F743D3"/>
    <w:rsid w:val="0A481841"/>
    <w:rsid w:val="0A851C42"/>
    <w:rsid w:val="0AA071D0"/>
    <w:rsid w:val="0B1E751E"/>
    <w:rsid w:val="0B34634D"/>
    <w:rsid w:val="0B606EAF"/>
    <w:rsid w:val="0B6D3D21"/>
    <w:rsid w:val="0B785D7B"/>
    <w:rsid w:val="0BAC41B2"/>
    <w:rsid w:val="0BB35194"/>
    <w:rsid w:val="0BC16553"/>
    <w:rsid w:val="0BE34F7F"/>
    <w:rsid w:val="0C00272A"/>
    <w:rsid w:val="0C227547"/>
    <w:rsid w:val="0C3F2856"/>
    <w:rsid w:val="0C957792"/>
    <w:rsid w:val="0CBE0E9F"/>
    <w:rsid w:val="0CBF6CD4"/>
    <w:rsid w:val="0CC46135"/>
    <w:rsid w:val="0CD22A79"/>
    <w:rsid w:val="0CDD1149"/>
    <w:rsid w:val="0CE63121"/>
    <w:rsid w:val="0D040F2A"/>
    <w:rsid w:val="0D886AE1"/>
    <w:rsid w:val="0D951880"/>
    <w:rsid w:val="0DC24FC3"/>
    <w:rsid w:val="0DC3793C"/>
    <w:rsid w:val="0DCC7F4D"/>
    <w:rsid w:val="0DEB2E0D"/>
    <w:rsid w:val="0E4261B9"/>
    <w:rsid w:val="0E667FE3"/>
    <w:rsid w:val="0E806DBA"/>
    <w:rsid w:val="0E8B3C45"/>
    <w:rsid w:val="0EB45D35"/>
    <w:rsid w:val="0EB67C37"/>
    <w:rsid w:val="0ED65CAC"/>
    <w:rsid w:val="0F3665D1"/>
    <w:rsid w:val="0F5503C9"/>
    <w:rsid w:val="0F673C46"/>
    <w:rsid w:val="0FCC1F5E"/>
    <w:rsid w:val="0FCF7A15"/>
    <w:rsid w:val="0FEB581A"/>
    <w:rsid w:val="0FEF01D2"/>
    <w:rsid w:val="0FEF66F1"/>
    <w:rsid w:val="100D37BF"/>
    <w:rsid w:val="10E222BE"/>
    <w:rsid w:val="1103600F"/>
    <w:rsid w:val="11095B5C"/>
    <w:rsid w:val="112A22DF"/>
    <w:rsid w:val="118E65DD"/>
    <w:rsid w:val="11A452C5"/>
    <w:rsid w:val="11C33882"/>
    <w:rsid w:val="11C4715B"/>
    <w:rsid w:val="11E12A75"/>
    <w:rsid w:val="121221CA"/>
    <w:rsid w:val="126661AD"/>
    <w:rsid w:val="12E00FFC"/>
    <w:rsid w:val="12E1036D"/>
    <w:rsid w:val="12FB4471"/>
    <w:rsid w:val="13021ECC"/>
    <w:rsid w:val="13137FEE"/>
    <w:rsid w:val="133320E0"/>
    <w:rsid w:val="13425328"/>
    <w:rsid w:val="13586823"/>
    <w:rsid w:val="13611379"/>
    <w:rsid w:val="13D45C10"/>
    <w:rsid w:val="13F54527"/>
    <w:rsid w:val="14375D6E"/>
    <w:rsid w:val="143E2912"/>
    <w:rsid w:val="1462574B"/>
    <w:rsid w:val="14CF19AC"/>
    <w:rsid w:val="14FC5054"/>
    <w:rsid w:val="15224EBD"/>
    <w:rsid w:val="15895A0A"/>
    <w:rsid w:val="15956BCF"/>
    <w:rsid w:val="15DB356D"/>
    <w:rsid w:val="15E87297"/>
    <w:rsid w:val="16263115"/>
    <w:rsid w:val="16483BEC"/>
    <w:rsid w:val="165546BF"/>
    <w:rsid w:val="16697EFD"/>
    <w:rsid w:val="166E6968"/>
    <w:rsid w:val="168405CF"/>
    <w:rsid w:val="16D36D19"/>
    <w:rsid w:val="16FA2753"/>
    <w:rsid w:val="1714128E"/>
    <w:rsid w:val="174B4D72"/>
    <w:rsid w:val="177921C4"/>
    <w:rsid w:val="17DB00A6"/>
    <w:rsid w:val="17EB3856"/>
    <w:rsid w:val="180147EF"/>
    <w:rsid w:val="1807571C"/>
    <w:rsid w:val="183D6BFA"/>
    <w:rsid w:val="18772AB2"/>
    <w:rsid w:val="18B232E6"/>
    <w:rsid w:val="18EC14D7"/>
    <w:rsid w:val="192A5572"/>
    <w:rsid w:val="19461009"/>
    <w:rsid w:val="195030EA"/>
    <w:rsid w:val="19522FC8"/>
    <w:rsid w:val="1A1E6968"/>
    <w:rsid w:val="1A3C6635"/>
    <w:rsid w:val="1A3E2A84"/>
    <w:rsid w:val="1A6C3244"/>
    <w:rsid w:val="1A903709"/>
    <w:rsid w:val="1ACA15A3"/>
    <w:rsid w:val="1B1B13FF"/>
    <w:rsid w:val="1B3A0CDD"/>
    <w:rsid w:val="1B477C62"/>
    <w:rsid w:val="1B483846"/>
    <w:rsid w:val="1BE04E91"/>
    <w:rsid w:val="1BEC3128"/>
    <w:rsid w:val="1BF41E3F"/>
    <w:rsid w:val="1BFE0035"/>
    <w:rsid w:val="1C084A4A"/>
    <w:rsid w:val="1C366019"/>
    <w:rsid w:val="1C4D5DD4"/>
    <w:rsid w:val="1C796358"/>
    <w:rsid w:val="1CA725AE"/>
    <w:rsid w:val="1CD20A49"/>
    <w:rsid w:val="1CFD21C8"/>
    <w:rsid w:val="1CFE44BF"/>
    <w:rsid w:val="1D2A1A3C"/>
    <w:rsid w:val="1D433163"/>
    <w:rsid w:val="1D942FDD"/>
    <w:rsid w:val="1DE3090C"/>
    <w:rsid w:val="1DE5030D"/>
    <w:rsid w:val="1E224ABC"/>
    <w:rsid w:val="1E291CFE"/>
    <w:rsid w:val="1E3C221B"/>
    <w:rsid w:val="1E476195"/>
    <w:rsid w:val="1E71779F"/>
    <w:rsid w:val="1E796654"/>
    <w:rsid w:val="1F310D94"/>
    <w:rsid w:val="1F693737"/>
    <w:rsid w:val="1F823770"/>
    <w:rsid w:val="1F8A77B8"/>
    <w:rsid w:val="1FD40FEC"/>
    <w:rsid w:val="1FDD6128"/>
    <w:rsid w:val="20091A9A"/>
    <w:rsid w:val="20746DD9"/>
    <w:rsid w:val="209A5595"/>
    <w:rsid w:val="209B5318"/>
    <w:rsid w:val="209F1B77"/>
    <w:rsid w:val="20A5319B"/>
    <w:rsid w:val="20BB2F4E"/>
    <w:rsid w:val="20D65676"/>
    <w:rsid w:val="20FE3E75"/>
    <w:rsid w:val="210E3DD8"/>
    <w:rsid w:val="21280684"/>
    <w:rsid w:val="212B632B"/>
    <w:rsid w:val="216735CD"/>
    <w:rsid w:val="21844004"/>
    <w:rsid w:val="21B1132F"/>
    <w:rsid w:val="21B46321"/>
    <w:rsid w:val="21BD12F8"/>
    <w:rsid w:val="21D4251F"/>
    <w:rsid w:val="22053CAF"/>
    <w:rsid w:val="224237D7"/>
    <w:rsid w:val="22DA25A8"/>
    <w:rsid w:val="23223888"/>
    <w:rsid w:val="23243857"/>
    <w:rsid w:val="23256A9B"/>
    <w:rsid w:val="232D4266"/>
    <w:rsid w:val="23B75059"/>
    <w:rsid w:val="23E73117"/>
    <w:rsid w:val="2426536B"/>
    <w:rsid w:val="245242FF"/>
    <w:rsid w:val="246B2C68"/>
    <w:rsid w:val="2495733B"/>
    <w:rsid w:val="24AB2DD2"/>
    <w:rsid w:val="24D85195"/>
    <w:rsid w:val="251929A8"/>
    <w:rsid w:val="251A629B"/>
    <w:rsid w:val="25222439"/>
    <w:rsid w:val="25280024"/>
    <w:rsid w:val="25467691"/>
    <w:rsid w:val="25553965"/>
    <w:rsid w:val="25C2226D"/>
    <w:rsid w:val="25CC026B"/>
    <w:rsid w:val="25CD288B"/>
    <w:rsid w:val="26346237"/>
    <w:rsid w:val="26504D40"/>
    <w:rsid w:val="269A5CF8"/>
    <w:rsid w:val="26D53519"/>
    <w:rsid w:val="26FF318C"/>
    <w:rsid w:val="27786BE4"/>
    <w:rsid w:val="27EE534B"/>
    <w:rsid w:val="282704C8"/>
    <w:rsid w:val="28721701"/>
    <w:rsid w:val="28C32429"/>
    <w:rsid w:val="28EA5E9C"/>
    <w:rsid w:val="28FC4C07"/>
    <w:rsid w:val="292813A2"/>
    <w:rsid w:val="293F1A55"/>
    <w:rsid w:val="294333F7"/>
    <w:rsid w:val="29453D02"/>
    <w:rsid w:val="29516925"/>
    <w:rsid w:val="29596E35"/>
    <w:rsid w:val="298B58CC"/>
    <w:rsid w:val="299324E0"/>
    <w:rsid w:val="29B04D1C"/>
    <w:rsid w:val="29B62173"/>
    <w:rsid w:val="29D419BB"/>
    <w:rsid w:val="2A545A70"/>
    <w:rsid w:val="2A8576A0"/>
    <w:rsid w:val="2AA85522"/>
    <w:rsid w:val="2B12325F"/>
    <w:rsid w:val="2B4C3F94"/>
    <w:rsid w:val="2B707CB4"/>
    <w:rsid w:val="2B8B6804"/>
    <w:rsid w:val="2BB914C4"/>
    <w:rsid w:val="2BF52F44"/>
    <w:rsid w:val="2BF54E0E"/>
    <w:rsid w:val="2BFA0D29"/>
    <w:rsid w:val="2C15017A"/>
    <w:rsid w:val="2C6F12E0"/>
    <w:rsid w:val="2C82071A"/>
    <w:rsid w:val="2C82500D"/>
    <w:rsid w:val="2CDA18AF"/>
    <w:rsid w:val="2D14596B"/>
    <w:rsid w:val="2D3416EF"/>
    <w:rsid w:val="2D3510D6"/>
    <w:rsid w:val="2D744BB6"/>
    <w:rsid w:val="2D7F52CF"/>
    <w:rsid w:val="2DA75DBE"/>
    <w:rsid w:val="2DBE7101"/>
    <w:rsid w:val="2DCB2480"/>
    <w:rsid w:val="2E2F259C"/>
    <w:rsid w:val="2E33681F"/>
    <w:rsid w:val="2EB96121"/>
    <w:rsid w:val="2EF6262B"/>
    <w:rsid w:val="2F17698B"/>
    <w:rsid w:val="2F35189C"/>
    <w:rsid w:val="2F3C1E0D"/>
    <w:rsid w:val="2F965B6B"/>
    <w:rsid w:val="2FA8186D"/>
    <w:rsid w:val="2FEA55D8"/>
    <w:rsid w:val="2FFDF65E"/>
    <w:rsid w:val="302E3BFB"/>
    <w:rsid w:val="30452A67"/>
    <w:rsid w:val="30B21704"/>
    <w:rsid w:val="30B33C47"/>
    <w:rsid w:val="30D723CC"/>
    <w:rsid w:val="30DB0EB8"/>
    <w:rsid w:val="30ED172D"/>
    <w:rsid w:val="31111CE5"/>
    <w:rsid w:val="3141269E"/>
    <w:rsid w:val="31CC3212"/>
    <w:rsid w:val="31E11DC3"/>
    <w:rsid w:val="3253154F"/>
    <w:rsid w:val="32FD1E3E"/>
    <w:rsid w:val="33114C55"/>
    <w:rsid w:val="33150E3D"/>
    <w:rsid w:val="331E0D57"/>
    <w:rsid w:val="333F7FD5"/>
    <w:rsid w:val="33763E8D"/>
    <w:rsid w:val="33933FF3"/>
    <w:rsid w:val="33BE51CB"/>
    <w:rsid w:val="33CE4F06"/>
    <w:rsid w:val="33E737C4"/>
    <w:rsid w:val="345224E6"/>
    <w:rsid w:val="346E675C"/>
    <w:rsid w:val="347E631A"/>
    <w:rsid w:val="34B55747"/>
    <w:rsid w:val="34EA7A99"/>
    <w:rsid w:val="3503181D"/>
    <w:rsid w:val="351A3C20"/>
    <w:rsid w:val="361A3F66"/>
    <w:rsid w:val="36305F22"/>
    <w:rsid w:val="36453F62"/>
    <w:rsid w:val="3653746B"/>
    <w:rsid w:val="367B0D63"/>
    <w:rsid w:val="379850D7"/>
    <w:rsid w:val="37C7155B"/>
    <w:rsid w:val="38262F89"/>
    <w:rsid w:val="38344560"/>
    <w:rsid w:val="38604885"/>
    <w:rsid w:val="38647601"/>
    <w:rsid w:val="386B4FCF"/>
    <w:rsid w:val="388A76D6"/>
    <w:rsid w:val="389D1465"/>
    <w:rsid w:val="38EC7CF6"/>
    <w:rsid w:val="3906620C"/>
    <w:rsid w:val="395C4C40"/>
    <w:rsid w:val="395F55B6"/>
    <w:rsid w:val="39A64FC9"/>
    <w:rsid w:val="39AB4DDD"/>
    <w:rsid w:val="39CF1182"/>
    <w:rsid w:val="39DE6921"/>
    <w:rsid w:val="39E7C7E3"/>
    <w:rsid w:val="39F969CD"/>
    <w:rsid w:val="3A106DC2"/>
    <w:rsid w:val="3A1C0051"/>
    <w:rsid w:val="3A76383E"/>
    <w:rsid w:val="3AB67875"/>
    <w:rsid w:val="3AE0378C"/>
    <w:rsid w:val="3B337412"/>
    <w:rsid w:val="3B561269"/>
    <w:rsid w:val="3B786372"/>
    <w:rsid w:val="3B803745"/>
    <w:rsid w:val="3B9D3C14"/>
    <w:rsid w:val="3C1449FB"/>
    <w:rsid w:val="3C2B797D"/>
    <w:rsid w:val="3C57579B"/>
    <w:rsid w:val="3C6A7DBB"/>
    <w:rsid w:val="3C7D7C75"/>
    <w:rsid w:val="3C9C34C0"/>
    <w:rsid w:val="3CA361C7"/>
    <w:rsid w:val="3CBE75CF"/>
    <w:rsid w:val="3CDC5632"/>
    <w:rsid w:val="3D960B78"/>
    <w:rsid w:val="3D9F10E3"/>
    <w:rsid w:val="3E14762F"/>
    <w:rsid w:val="3E3E0A02"/>
    <w:rsid w:val="3E663270"/>
    <w:rsid w:val="3E8C3C28"/>
    <w:rsid w:val="3EBC7824"/>
    <w:rsid w:val="3EE53602"/>
    <w:rsid w:val="3EF50873"/>
    <w:rsid w:val="3F2E774C"/>
    <w:rsid w:val="3F314B5A"/>
    <w:rsid w:val="3F39122E"/>
    <w:rsid w:val="3F8E484F"/>
    <w:rsid w:val="3F98725F"/>
    <w:rsid w:val="3FBC7560"/>
    <w:rsid w:val="3FC80365"/>
    <w:rsid w:val="4007413A"/>
    <w:rsid w:val="400E0542"/>
    <w:rsid w:val="405713E0"/>
    <w:rsid w:val="40872064"/>
    <w:rsid w:val="40954526"/>
    <w:rsid w:val="40B254DB"/>
    <w:rsid w:val="410021C0"/>
    <w:rsid w:val="4121385A"/>
    <w:rsid w:val="4124457C"/>
    <w:rsid w:val="413A47D2"/>
    <w:rsid w:val="419E134A"/>
    <w:rsid w:val="41B33439"/>
    <w:rsid w:val="41D02137"/>
    <w:rsid w:val="41F854F3"/>
    <w:rsid w:val="42410887"/>
    <w:rsid w:val="425856F0"/>
    <w:rsid w:val="42683CC4"/>
    <w:rsid w:val="427A320B"/>
    <w:rsid w:val="42E9318F"/>
    <w:rsid w:val="42FE33FF"/>
    <w:rsid w:val="43171E14"/>
    <w:rsid w:val="43654215"/>
    <w:rsid w:val="43F72471"/>
    <w:rsid w:val="44082FA7"/>
    <w:rsid w:val="442D1FD5"/>
    <w:rsid w:val="44307631"/>
    <w:rsid w:val="443A04B0"/>
    <w:rsid w:val="446F58A2"/>
    <w:rsid w:val="44A665F1"/>
    <w:rsid w:val="451464C6"/>
    <w:rsid w:val="451C32BA"/>
    <w:rsid w:val="45796DB6"/>
    <w:rsid w:val="457C59D5"/>
    <w:rsid w:val="461F4ADA"/>
    <w:rsid w:val="467537CA"/>
    <w:rsid w:val="468C2D93"/>
    <w:rsid w:val="46B90063"/>
    <w:rsid w:val="46CE1ECE"/>
    <w:rsid w:val="46D1738B"/>
    <w:rsid w:val="46E62E72"/>
    <w:rsid w:val="47013F96"/>
    <w:rsid w:val="47576688"/>
    <w:rsid w:val="47AA594C"/>
    <w:rsid w:val="47C536AE"/>
    <w:rsid w:val="47E65671"/>
    <w:rsid w:val="47F17880"/>
    <w:rsid w:val="480242D7"/>
    <w:rsid w:val="48094F4C"/>
    <w:rsid w:val="48360656"/>
    <w:rsid w:val="483C48CB"/>
    <w:rsid w:val="483D087E"/>
    <w:rsid w:val="48545197"/>
    <w:rsid w:val="48A17B93"/>
    <w:rsid w:val="48A93BC1"/>
    <w:rsid w:val="48B538CB"/>
    <w:rsid w:val="48BC59A7"/>
    <w:rsid w:val="48C64D38"/>
    <w:rsid w:val="48D24F85"/>
    <w:rsid w:val="48F83CC2"/>
    <w:rsid w:val="48FA7DA5"/>
    <w:rsid w:val="490D72E2"/>
    <w:rsid w:val="492A4B05"/>
    <w:rsid w:val="493031DE"/>
    <w:rsid w:val="49497E2D"/>
    <w:rsid w:val="49FD3F1B"/>
    <w:rsid w:val="4A375469"/>
    <w:rsid w:val="4A552157"/>
    <w:rsid w:val="4B7D45F6"/>
    <w:rsid w:val="4BA54C27"/>
    <w:rsid w:val="4BAD77B9"/>
    <w:rsid w:val="4BB37E9F"/>
    <w:rsid w:val="4C0849EF"/>
    <w:rsid w:val="4CD330E3"/>
    <w:rsid w:val="4D1D4D9C"/>
    <w:rsid w:val="4D4B5181"/>
    <w:rsid w:val="4D553270"/>
    <w:rsid w:val="4DB2690D"/>
    <w:rsid w:val="4DE62D54"/>
    <w:rsid w:val="4E37202F"/>
    <w:rsid w:val="4E5B3D91"/>
    <w:rsid w:val="4E8F6B68"/>
    <w:rsid w:val="4E956B59"/>
    <w:rsid w:val="4EA6470B"/>
    <w:rsid w:val="4EBA6487"/>
    <w:rsid w:val="4ED4585D"/>
    <w:rsid w:val="4F184BF5"/>
    <w:rsid w:val="4F2C174B"/>
    <w:rsid w:val="4F465D07"/>
    <w:rsid w:val="4F686B13"/>
    <w:rsid w:val="4F6A4AE3"/>
    <w:rsid w:val="4F8946E8"/>
    <w:rsid w:val="4F9E09DF"/>
    <w:rsid w:val="4FCC1733"/>
    <w:rsid w:val="4FEA665F"/>
    <w:rsid w:val="4FFC373B"/>
    <w:rsid w:val="50073A64"/>
    <w:rsid w:val="502673ED"/>
    <w:rsid w:val="504C24BB"/>
    <w:rsid w:val="504C3A54"/>
    <w:rsid w:val="515C130B"/>
    <w:rsid w:val="51CF3D20"/>
    <w:rsid w:val="51E875CC"/>
    <w:rsid w:val="52544D7F"/>
    <w:rsid w:val="528F5286"/>
    <w:rsid w:val="52B00FCC"/>
    <w:rsid w:val="52E479D9"/>
    <w:rsid w:val="52EA1E59"/>
    <w:rsid w:val="533078CD"/>
    <w:rsid w:val="533C11F9"/>
    <w:rsid w:val="53411ADC"/>
    <w:rsid w:val="53435190"/>
    <w:rsid w:val="538A0FE1"/>
    <w:rsid w:val="538A1DDF"/>
    <w:rsid w:val="53CE52D8"/>
    <w:rsid w:val="53FA59B7"/>
    <w:rsid w:val="5416230E"/>
    <w:rsid w:val="547953AF"/>
    <w:rsid w:val="547A234E"/>
    <w:rsid w:val="54895D9A"/>
    <w:rsid w:val="54C6369A"/>
    <w:rsid w:val="54EB7FD0"/>
    <w:rsid w:val="556776CC"/>
    <w:rsid w:val="557D3EFB"/>
    <w:rsid w:val="559E76C2"/>
    <w:rsid w:val="55AD29E8"/>
    <w:rsid w:val="564A2B1A"/>
    <w:rsid w:val="568952F3"/>
    <w:rsid w:val="56A62D7F"/>
    <w:rsid w:val="56A83BF2"/>
    <w:rsid w:val="56D157EF"/>
    <w:rsid w:val="5769361F"/>
    <w:rsid w:val="577B4EFB"/>
    <w:rsid w:val="579B47B1"/>
    <w:rsid w:val="57B340A4"/>
    <w:rsid w:val="57CA33E0"/>
    <w:rsid w:val="57FD067B"/>
    <w:rsid w:val="58186677"/>
    <w:rsid w:val="58AC4AE1"/>
    <w:rsid w:val="58B602A6"/>
    <w:rsid w:val="58E066E0"/>
    <w:rsid w:val="58E857E6"/>
    <w:rsid w:val="598002BB"/>
    <w:rsid w:val="59804301"/>
    <w:rsid w:val="598C138D"/>
    <w:rsid w:val="59D319CE"/>
    <w:rsid w:val="5A014F01"/>
    <w:rsid w:val="5A147BD3"/>
    <w:rsid w:val="5A1F3FB5"/>
    <w:rsid w:val="5A1F417D"/>
    <w:rsid w:val="5A2C037C"/>
    <w:rsid w:val="5A650637"/>
    <w:rsid w:val="5A900D5F"/>
    <w:rsid w:val="5AB91F7A"/>
    <w:rsid w:val="5B2A3EF6"/>
    <w:rsid w:val="5B556103"/>
    <w:rsid w:val="5B8A2D10"/>
    <w:rsid w:val="5B97094F"/>
    <w:rsid w:val="5BE809AF"/>
    <w:rsid w:val="5BE84551"/>
    <w:rsid w:val="5BF36A8D"/>
    <w:rsid w:val="5C1E381B"/>
    <w:rsid w:val="5C3E1479"/>
    <w:rsid w:val="5C4D5475"/>
    <w:rsid w:val="5C506BE8"/>
    <w:rsid w:val="5D0B55BA"/>
    <w:rsid w:val="5D166A09"/>
    <w:rsid w:val="5D1A6F2E"/>
    <w:rsid w:val="5DC53A5F"/>
    <w:rsid w:val="5DD533B8"/>
    <w:rsid w:val="5E0E6961"/>
    <w:rsid w:val="5E1F03E4"/>
    <w:rsid w:val="5E7D301B"/>
    <w:rsid w:val="5E8D6A26"/>
    <w:rsid w:val="5E9B200D"/>
    <w:rsid w:val="5EAD5F3B"/>
    <w:rsid w:val="5EBF7F59"/>
    <w:rsid w:val="5EEB4428"/>
    <w:rsid w:val="5EEF4290"/>
    <w:rsid w:val="5EF58C2E"/>
    <w:rsid w:val="5F290047"/>
    <w:rsid w:val="5FAA42FF"/>
    <w:rsid w:val="5FBD5152"/>
    <w:rsid w:val="5FF23D44"/>
    <w:rsid w:val="601B58DA"/>
    <w:rsid w:val="60211A04"/>
    <w:rsid w:val="607B64D6"/>
    <w:rsid w:val="60F11A9E"/>
    <w:rsid w:val="61336843"/>
    <w:rsid w:val="61466AED"/>
    <w:rsid w:val="618112FC"/>
    <w:rsid w:val="61AF53F7"/>
    <w:rsid w:val="61D3020C"/>
    <w:rsid w:val="62265A4A"/>
    <w:rsid w:val="62A1228A"/>
    <w:rsid w:val="62A3124C"/>
    <w:rsid w:val="62B57844"/>
    <w:rsid w:val="62C722B0"/>
    <w:rsid w:val="62C767DB"/>
    <w:rsid w:val="62E23815"/>
    <w:rsid w:val="62E475DB"/>
    <w:rsid w:val="634467FD"/>
    <w:rsid w:val="63826613"/>
    <w:rsid w:val="639115DB"/>
    <w:rsid w:val="63DD0C22"/>
    <w:rsid w:val="64072D80"/>
    <w:rsid w:val="640A382D"/>
    <w:rsid w:val="64124FC4"/>
    <w:rsid w:val="641622BD"/>
    <w:rsid w:val="64445904"/>
    <w:rsid w:val="649B00C3"/>
    <w:rsid w:val="651155D6"/>
    <w:rsid w:val="653E522A"/>
    <w:rsid w:val="65492F3A"/>
    <w:rsid w:val="6564451E"/>
    <w:rsid w:val="657F1FAE"/>
    <w:rsid w:val="658051B9"/>
    <w:rsid w:val="65EC4952"/>
    <w:rsid w:val="662E0234"/>
    <w:rsid w:val="66574403"/>
    <w:rsid w:val="6687730C"/>
    <w:rsid w:val="669341C8"/>
    <w:rsid w:val="674353EC"/>
    <w:rsid w:val="67584625"/>
    <w:rsid w:val="67E1465E"/>
    <w:rsid w:val="67F91F73"/>
    <w:rsid w:val="67FC17F7"/>
    <w:rsid w:val="6817733D"/>
    <w:rsid w:val="68364600"/>
    <w:rsid w:val="68571C40"/>
    <w:rsid w:val="686179F4"/>
    <w:rsid w:val="687F32B3"/>
    <w:rsid w:val="68AA0DCF"/>
    <w:rsid w:val="68B62EA7"/>
    <w:rsid w:val="69051484"/>
    <w:rsid w:val="691E0A1A"/>
    <w:rsid w:val="69267FE4"/>
    <w:rsid w:val="6937294D"/>
    <w:rsid w:val="69BE35D5"/>
    <w:rsid w:val="69CD09F4"/>
    <w:rsid w:val="6A0B311C"/>
    <w:rsid w:val="6A33485D"/>
    <w:rsid w:val="6A966663"/>
    <w:rsid w:val="6B4864A0"/>
    <w:rsid w:val="6B6F6F15"/>
    <w:rsid w:val="6BA104AF"/>
    <w:rsid w:val="6BAF2EBC"/>
    <w:rsid w:val="6BDB798F"/>
    <w:rsid w:val="6BF24048"/>
    <w:rsid w:val="6C501AC7"/>
    <w:rsid w:val="6C9C1B4C"/>
    <w:rsid w:val="6D14411A"/>
    <w:rsid w:val="6D7B2E1B"/>
    <w:rsid w:val="6D7C5093"/>
    <w:rsid w:val="6D806684"/>
    <w:rsid w:val="6D8E34D5"/>
    <w:rsid w:val="6DB689F3"/>
    <w:rsid w:val="6DC742B3"/>
    <w:rsid w:val="6DDE6154"/>
    <w:rsid w:val="6DF02F16"/>
    <w:rsid w:val="6E0459D4"/>
    <w:rsid w:val="6E3616B1"/>
    <w:rsid w:val="6E490613"/>
    <w:rsid w:val="6E572DD6"/>
    <w:rsid w:val="6E58780C"/>
    <w:rsid w:val="6E5A7AD8"/>
    <w:rsid w:val="6E6673B0"/>
    <w:rsid w:val="6EA975CD"/>
    <w:rsid w:val="6ED75B51"/>
    <w:rsid w:val="6F120474"/>
    <w:rsid w:val="6F343BCA"/>
    <w:rsid w:val="6F911B3F"/>
    <w:rsid w:val="6F99373A"/>
    <w:rsid w:val="6FB658C3"/>
    <w:rsid w:val="6FD27E8B"/>
    <w:rsid w:val="700615B5"/>
    <w:rsid w:val="700738E8"/>
    <w:rsid w:val="70130108"/>
    <w:rsid w:val="70406043"/>
    <w:rsid w:val="70C50924"/>
    <w:rsid w:val="70DE1A81"/>
    <w:rsid w:val="70ED6645"/>
    <w:rsid w:val="712A5284"/>
    <w:rsid w:val="716B744F"/>
    <w:rsid w:val="72265FB5"/>
    <w:rsid w:val="72646574"/>
    <w:rsid w:val="72676016"/>
    <w:rsid w:val="728C2181"/>
    <w:rsid w:val="72AB5430"/>
    <w:rsid w:val="72AD2792"/>
    <w:rsid w:val="72EB1ADF"/>
    <w:rsid w:val="733D32B0"/>
    <w:rsid w:val="734F3A60"/>
    <w:rsid w:val="738F2C70"/>
    <w:rsid w:val="7419047F"/>
    <w:rsid w:val="74192C7D"/>
    <w:rsid w:val="741C22A7"/>
    <w:rsid w:val="74772FFE"/>
    <w:rsid w:val="74C8118D"/>
    <w:rsid w:val="74D43B09"/>
    <w:rsid w:val="74D96C80"/>
    <w:rsid w:val="75034995"/>
    <w:rsid w:val="750C5B34"/>
    <w:rsid w:val="75195011"/>
    <w:rsid w:val="753268A5"/>
    <w:rsid w:val="753C65CD"/>
    <w:rsid w:val="75497CA3"/>
    <w:rsid w:val="754A6DEF"/>
    <w:rsid w:val="759C0DD3"/>
    <w:rsid w:val="75B07D22"/>
    <w:rsid w:val="76001E7E"/>
    <w:rsid w:val="76065736"/>
    <w:rsid w:val="760C4A79"/>
    <w:rsid w:val="769E35AF"/>
    <w:rsid w:val="76A806B3"/>
    <w:rsid w:val="76BB072D"/>
    <w:rsid w:val="76BF15AD"/>
    <w:rsid w:val="76C12371"/>
    <w:rsid w:val="76D7773F"/>
    <w:rsid w:val="76ED46B9"/>
    <w:rsid w:val="7709436D"/>
    <w:rsid w:val="77157A9B"/>
    <w:rsid w:val="77242776"/>
    <w:rsid w:val="77691E44"/>
    <w:rsid w:val="77A0563A"/>
    <w:rsid w:val="7828341F"/>
    <w:rsid w:val="78321606"/>
    <w:rsid w:val="784E4BDC"/>
    <w:rsid w:val="7860754E"/>
    <w:rsid w:val="78651075"/>
    <w:rsid w:val="78662407"/>
    <w:rsid w:val="7878030A"/>
    <w:rsid w:val="78AB20E3"/>
    <w:rsid w:val="78CE5A86"/>
    <w:rsid w:val="791254EB"/>
    <w:rsid w:val="79865022"/>
    <w:rsid w:val="79911376"/>
    <w:rsid w:val="7A1B504B"/>
    <w:rsid w:val="7A6A25E2"/>
    <w:rsid w:val="7AB84298"/>
    <w:rsid w:val="7B127CC8"/>
    <w:rsid w:val="7B325DA0"/>
    <w:rsid w:val="7B5B5BE1"/>
    <w:rsid w:val="7BD059A3"/>
    <w:rsid w:val="7BD679DF"/>
    <w:rsid w:val="7BD95C48"/>
    <w:rsid w:val="7BF55A1F"/>
    <w:rsid w:val="7C172C73"/>
    <w:rsid w:val="7C211630"/>
    <w:rsid w:val="7C2729C3"/>
    <w:rsid w:val="7C3725A6"/>
    <w:rsid w:val="7C517942"/>
    <w:rsid w:val="7C684971"/>
    <w:rsid w:val="7C7D5638"/>
    <w:rsid w:val="7C84111E"/>
    <w:rsid w:val="7C9E30AE"/>
    <w:rsid w:val="7CF57CA8"/>
    <w:rsid w:val="7CFF7057"/>
    <w:rsid w:val="7D226848"/>
    <w:rsid w:val="7D230EFE"/>
    <w:rsid w:val="7D3548D6"/>
    <w:rsid w:val="7D6448C8"/>
    <w:rsid w:val="7D7C73EF"/>
    <w:rsid w:val="7D830F5F"/>
    <w:rsid w:val="7E0C4D48"/>
    <w:rsid w:val="7E3147B2"/>
    <w:rsid w:val="7E6062A4"/>
    <w:rsid w:val="7E6E2C0F"/>
    <w:rsid w:val="7E741328"/>
    <w:rsid w:val="7EA52F61"/>
    <w:rsid w:val="7EC93CC2"/>
    <w:rsid w:val="7EC943DB"/>
    <w:rsid w:val="7ED340EE"/>
    <w:rsid w:val="7EDF6295"/>
    <w:rsid w:val="7F3C0DC3"/>
    <w:rsid w:val="7FBE2A9B"/>
    <w:rsid w:val="7FD845BD"/>
    <w:rsid w:val="7FD92BF5"/>
    <w:rsid w:val="B1D748EC"/>
    <w:rsid w:val="BBEDC3AA"/>
    <w:rsid w:val="BF6E0D05"/>
    <w:rsid w:val="BFEC9AA4"/>
    <w:rsid w:val="D5EBD315"/>
    <w:rsid w:val="D73BCDDE"/>
    <w:rsid w:val="D7DB5C27"/>
    <w:rsid w:val="DFDF066A"/>
    <w:rsid w:val="EEF597DE"/>
    <w:rsid w:val="EFD96B28"/>
    <w:rsid w:val="F6BBD664"/>
    <w:rsid w:val="F72D0008"/>
    <w:rsid w:val="F74FE32C"/>
    <w:rsid w:val="FDCF3F20"/>
    <w:rsid w:val="FF9C3AAB"/>
    <w:rsid w:val="FFFE347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iPriority="9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2"/>
    <w:qFormat/>
    <w:uiPriority w:val="0"/>
    <w:pPr>
      <w:keepNext/>
      <w:widowControl/>
      <w:numPr>
        <w:ilvl w:val="0"/>
        <w:numId w:val="1"/>
      </w:numPr>
      <w:jc w:val="center"/>
      <w:outlineLvl w:val="0"/>
    </w:pPr>
    <w:rPr>
      <w:rFonts w:ascii="黑体" w:eastAsia="黑体"/>
      <w:kern w:val="0"/>
      <w:sz w:val="52"/>
      <w:szCs w:val="20"/>
    </w:rPr>
  </w:style>
  <w:style w:type="paragraph" w:styleId="3">
    <w:name w:val="heading 2"/>
    <w:basedOn w:val="1"/>
    <w:next w:val="1"/>
    <w:link w:val="83"/>
    <w:qFormat/>
    <w:uiPriority w:val="0"/>
    <w:pPr>
      <w:keepNext/>
      <w:keepLines/>
      <w:widowControl/>
      <w:spacing w:line="360" w:lineRule="auto"/>
      <w:jc w:val="center"/>
      <w:outlineLvl w:val="1"/>
    </w:pPr>
    <w:rPr>
      <w:rFonts w:ascii="宋体" w:hAnsi="宋体"/>
      <w:b/>
      <w:color w:val="000000"/>
      <w:kern w:val="0"/>
      <w:sz w:val="44"/>
      <w:szCs w:val="20"/>
    </w:rPr>
  </w:style>
  <w:style w:type="paragraph" w:styleId="4">
    <w:name w:val="heading 3"/>
    <w:basedOn w:val="1"/>
    <w:next w:val="1"/>
    <w:link w:val="84"/>
    <w:qFormat/>
    <w:uiPriority w:val="0"/>
    <w:pPr>
      <w:keepNext/>
      <w:keepLines/>
      <w:widowControl/>
      <w:numPr>
        <w:ilvl w:val="2"/>
        <w:numId w:val="1"/>
      </w:numPr>
      <w:spacing w:before="120" w:after="120" w:line="360" w:lineRule="auto"/>
      <w:jc w:val="center"/>
      <w:outlineLvl w:val="2"/>
    </w:pPr>
    <w:rPr>
      <w:b/>
      <w:sz w:val="32"/>
    </w:rPr>
  </w:style>
  <w:style w:type="paragraph" w:styleId="5">
    <w:name w:val="heading 4"/>
    <w:basedOn w:val="1"/>
    <w:next w:val="1"/>
    <w:link w:val="85"/>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1"/>
    <w:link w:val="86"/>
    <w:qFormat/>
    <w:uiPriority w:val="0"/>
    <w:pPr>
      <w:keepNext/>
      <w:keepLines/>
      <w:widowControl/>
      <w:spacing w:before="120" w:beforeLines="0" w:after="120" w:afterLines="0" w:line="360" w:lineRule="auto"/>
      <w:ind w:firstLine="499"/>
      <w:jc w:val="left"/>
      <w:outlineLvl w:val="4"/>
    </w:pPr>
    <w:rPr>
      <w:rFonts w:ascii="宋体" w:hAnsi="宋体"/>
      <w:b/>
      <w:kern w:val="0"/>
      <w:sz w:val="24"/>
      <w:szCs w:val="20"/>
    </w:rPr>
  </w:style>
  <w:style w:type="paragraph" w:styleId="7">
    <w:name w:val="heading 6"/>
    <w:basedOn w:val="1"/>
    <w:next w:val="1"/>
    <w:link w:val="87"/>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rPr>
  </w:style>
  <w:style w:type="paragraph" w:styleId="8">
    <w:name w:val="heading 7"/>
    <w:basedOn w:val="1"/>
    <w:next w:val="1"/>
    <w:link w:val="88"/>
    <w:qFormat/>
    <w:uiPriority w:val="0"/>
    <w:pPr>
      <w:keepNext/>
      <w:keepLines/>
      <w:widowControl/>
      <w:numPr>
        <w:ilvl w:val="6"/>
        <w:numId w:val="1"/>
      </w:numPr>
      <w:spacing w:before="240" w:after="64" w:line="320" w:lineRule="auto"/>
      <w:jc w:val="left"/>
      <w:outlineLvl w:val="6"/>
    </w:pPr>
    <w:rPr>
      <w:b/>
      <w:bCs/>
      <w:kern w:val="0"/>
      <w:sz w:val="24"/>
    </w:rPr>
  </w:style>
  <w:style w:type="paragraph" w:styleId="9">
    <w:name w:val="heading 8"/>
    <w:basedOn w:val="1"/>
    <w:next w:val="1"/>
    <w:link w:val="89"/>
    <w:qFormat/>
    <w:uiPriority w:val="0"/>
    <w:pPr>
      <w:keepNext/>
      <w:keepLines/>
      <w:widowControl/>
      <w:numPr>
        <w:ilvl w:val="7"/>
        <w:numId w:val="1"/>
      </w:numPr>
      <w:spacing w:before="240" w:after="64" w:line="320" w:lineRule="auto"/>
      <w:jc w:val="left"/>
      <w:outlineLvl w:val="7"/>
    </w:pPr>
    <w:rPr>
      <w:rFonts w:ascii="Arial" w:hAnsi="Arial" w:eastAsia="黑体"/>
      <w:kern w:val="0"/>
      <w:sz w:val="24"/>
    </w:rPr>
  </w:style>
  <w:style w:type="paragraph" w:styleId="10">
    <w:name w:val="heading 9"/>
    <w:basedOn w:val="1"/>
    <w:next w:val="1"/>
    <w:link w:val="90"/>
    <w:qFormat/>
    <w:uiPriority w:val="0"/>
    <w:pPr>
      <w:keepNext/>
      <w:keepLines/>
      <w:widowControl/>
      <w:numPr>
        <w:ilvl w:val="8"/>
        <w:numId w:val="1"/>
      </w:numPr>
      <w:spacing w:before="240" w:after="64" w:line="320" w:lineRule="auto"/>
      <w:jc w:val="left"/>
      <w:outlineLvl w:val="8"/>
    </w:pPr>
    <w:rPr>
      <w:rFonts w:ascii="Arial" w:hAnsi="Arial" w:eastAsia="黑体"/>
      <w:kern w:val="0"/>
      <w:szCs w:val="21"/>
    </w:rPr>
  </w:style>
  <w:style w:type="character" w:default="1" w:styleId="63">
    <w:name w:val="Default Paragraph Font"/>
    <w:qFormat/>
    <w:uiPriority w:val="0"/>
  </w:style>
  <w:style w:type="table" w:default="1" w:styleId="61">
    <w:name w:val="Normal Table"/>
    <w:semiHidden/>
    <w:qFormat/>
    <w:uiPriority w:val="0"/>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ind w:left="1260"/>
      <w:jc w:val="left"/>
    </w:pPr>
    <w:rPr>
      <w:sz w:val="18"/>
      <w:szCs w:val="18"/>
    </w:rPr>
  </w:style>
  <w:style w:type="paragraph" w:styleId="13">
    <w:name w:val="List Number 2"/>
    <w:basedOn w:val="1"/>
    <w:qFormat/>
    <w:uiPriority w:val="0"/>
    <w:pPr>
      <w:numPr>
        <w:ilvl w:val="0"/>
        <w:numId w:val="2"/>
      </w:numPr>
      <w:tabs>
        <w:tab w:val="left" w:pos="780"/>
      </w:tabs>
      <w:autoSpaceDE w:val="0"/>
      <w:autoSpaceDN w:val="0"/>
      <w:adjustRightInd w:val="0"/>
      <w:spacing w:line="360" w:lineRule="auto"/>
      <w:textAlignment w:val="baseline"/>
    </w:pPr>
    <w:rPr>
      <w:sz w:val="28"/>
      <w:szCs w:val="20"/>
    </w:rPr>
  </w:style>
  <w:style w:type="paragraph" w:styleId="14">
    <w:name w:val="index 8"/>
    <w:basedOn w:val="1"/>
    <w:next w:val="1"/>
    <w:qFormat/>
    <w:uiPriority w:val="0"/>
    <w:pPr>
      <w:autoSpaceDE w:val="0"/>
      <w:autoSpaceDN w:val="0"/>
      <w:spacing w:line="360" w:lineRule="auto"/>
      <w:ind w:left="1400" w:leftChars="1400"/>
    </w:pPr>
    <w:rPr>
      <w:sz w:val="24"/>
    </w:rPr>
  </w:style>
  <w:style w:type="paragraph" w:styleId="15">
    <w:name w:val="Normal Indent"/>
    <w:basedOn w:val="1"/>
    <w:qFormat/>
    <w:uiPriority w:val="0"/>
    <w:pPr>
      <w:widowControl/>
      <w:ind w:firstLine="420"/>
      <w:jc w:val="left"/>
    </w:pPr>
    <w:rPr>
      <w:kern w:val="0"/>
      <w:sz w:val="20"/>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index 5"/>
    <w:basedOn w:val="1"/>
    <w:next w:val="1"/>
    <w:qFormat/>
    <w:uiPriority w:val="0"/>
    <w:pPr>
      <w:autoSpaceDE w:val="0"/>
      <w:autoSpaceDN w:val="0"/>
      <w:spacing w:line="360" w:lineRule="auto"/>
      <w:ind w:left="800" w:leftChars="800"/>
    </w:pPr>
    <w:rPr>
      <w:sz w:val="24"/>
    </w:rPr>
  </w:style>
  <w:style w:type="paragraph" w:styleId="18">
    <w:name w:val="List Bullet"/>
    <w:basedOn w:val="1"/>
    <w:qFormat/>
    <w:uiPriority w:val="0"/>
    <w:pPr>
      <w:numPr>
        <w:ilvl w:val="0"/>
        <w:numId w:val="3"/>
      </w:numPr>
      <w:contextualSpacing/>
    </w:pPr>
  </w:style>
  <w:style w:type="paragraph" w:styleId="19">
    <w:name w:val="Document Map"/>
    <w:basedOn w:val="1"/>
    <w:link w:val="91"/>
    <w:qFormat/>
    <w:uiPriority w:val="0"/>
    <w:pPr>
      <w:widowControl/>
      <w:shd w:val="clear" w:color="auto" w:fill="000080"/>
      <w:jc w:val="left"/>
    </w:pPr>
    <w:rPr>
      <w:kern w:val="0"/>
      <w:sz w:val="20"/>
      <w:szCs w:val="20"/>
    </w:rPr>
  </w:style>
  <w:style w:type="paragraph" w:styleId="20">
    <w:name w:val="annotation text"/>
    <w:basedOn w:val="1"/>
    <w:link w:val="92"/>
    <w:qFormat/>
    <w:uiPriority w:val="0"/>
    <w:pPr>
      <w:adjustRightInd w:val="0"/>
      <w:spacing w:line="360" w:lineRule="atLeast"/>
      <w:jc w:val="left"/>
      <w:textAlignment w:val="baseline"/>
    </w:pPr>
    <w:rPr>
      <w:kern w:val="0"/>
      <w:sz w:val="24"/>
      <w:szCs w:val="20"/>
    </w:rPr>
  </w:style>
  <w:style w:type="paragraph" w:styleId="21">
    <w:name w:val="index 6"/>
    <w:basedOn w:val="1"/>
    <w:next w:val="1"/>
    <w:qFormat/>
    <w:uiPriority w:val="0"/>
    <w:pPr>
      <w:autoSpaceDE w:val="0"/>
      <w:autoSpaceDN w:val="0"/>
      <w:spacing w:line="360" w:lineRule="auto"/>
      <w:ind w:left="1000" w:leftChars="1000"/>
    </w:pPr>
    <w:rPr>
      <w:sz w:val="24"/>
    </w:rPr>
  </w:style>
  <w:style w:type="paragraph" w:styleId="22">
    <w:name w:val="Body Text 3"/>
    <w:basedOn w:val="1"/>
    <w:link w:val="93"/>
    <w:qFormat/>
    <w:uiPriority w:val="0"/>
    <w:pPr>
      <w:widowControl/>
      <w:spacing w:after="120"/>
      <w:jc w:val="center"/>
    </w:pPr>
    <w:rPr>
      <w:b/>
      <w:kern w:val="0"/>
      <w:sz w:val="16"/>
      <w:szCs w:val="16"/>
    </w:rPr>
  </w:style>
  <w:style w:type="paragraph" w:styleId="23">
    <w:name w:val="Body Text"/>
    <w:basedOn w:val="1"/>
    <w:link w:val="94"/>
    <w:qFormat/>
    <w:uiPriority w:val="0"/>
    <w:pPr>
      <w:spacing w:line="0" w:lineRule="atLeast"/>
    </w:pPr>
    <w:rPr>
      <w:sz w:val="30"/>
      <w:szCs w:val="20"/>
    </w:rPr>
  </w:style>
  <w:style w:type="paragraph" w:styleId="24">
    <w:name w:val="Body Text Indent"/>
    <w:basedOn w:val="1"/>
    <w:link w:val="95"/>
    <w:qFormat/>
    <w:uiPriority w:val="0"/>
    <w:pPr>
      <w:widowControl/>
      <w:overflowPunct w:val="0"/>
      <w:autoSpaceDE w:val="0"/>
      <w:autoSpaceDN w:val="0"/>
      <w:adjustRightInd w:val="0"/>
      <w:spacing w:line="360" w:lineRule="auto"/>
      <w:ind w:firstLine="540"/>
      <w:textAlignment w:val="baseline"/>
    </w:pPr>
    <w:rPr>
      <w:rFonts w:ascii="宋体" w:hAnsi="MS Sans Serif"/>
      <w:spacing w:val="12"/>
      <w:kern w:val="0"/>
      <w:sz w:val="24"/>
      <w:szCs w:val="20"/>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index 4"/>
    <w:basedOn w:val="1"/>
    <w:next w:val="1"/>
    <w:qFormat/>
    <w:uiPriority w:val="0"/>
    <w:pPr>
      <w:autoSpaceDE w:val="0"/>
      <w:autoSpaceDN w:val="0"/>
      <w:spacing w:line="360" w:lineRule="auto"/>
      <w:ind w:left="600" w:leftChars="600"/>
    </w:pPr>
    <w:rPr>
      <w:sz w:val="24"/>
    </w:rPr>
  </w:style>
  <w:style w:type="paragraph" w:styleId="27">
    <w:name w:val="toc 5"/>
    <w:basedOn w:val="1"/>
    <w:next w:val="1"/>
    <w:qFormat/>
    <w:uiPriority w:val="0"/>
    <w:pPr>
      <w:ind w:left="840"/>
      <w:jc w:val="left"/>
    </w:pPr>
    <w:rPr>
      <w:sz w:val="18"/>
      <w:szCs w:val="18"/>
    </w:rPr>
  </w:style>
  <w:style w:type="paragraph" w:styleId="28">
    <w:name w:val="toc 3"/>
    <w:basedOn w:val="1"/>
    <w:next w:val="1"/>
    <w:qFormat/>
    <w:uiPriority w:val="39"/>
    <w:pPr>
      <w:tabs>
        <w:tab w:val="right" w:leader="dot" w:pos="9345"/>
      </w:tabs>
      <w:spacing w:line="480" w:lineRule="auto"/>
    </w:pPr>
    <w:rPr>
      <w:i/>
      <w:iCs/>
      <w:sz w:val="20"/>
      <w:szCs w:val="20"/>
    </w:rPr>
  </w:style>
  <w:style w:type="paragraph" w:styleId="29">
    <w:name w:val="Plain Text"/>
    <w:basedOn w:val="1"/>
    <w:link w:val="96"/>
    <w:qFormat/>
    <w:uiPriority w:val="0"/>
    <w:rPr>
      <w:rFonts w:ascii="宋体" w:hAnsi="Courier New"/>
      <w:szCs w:val="20"/>
    </w:rPr>
  </w:style>
  <w:style w:type="paragraph" w:styleId="30">
    <w:name w:val="toc 8"/>
    <w:basedOn w:val="1"/>
    <w:next w:val="1"/>
    <w:qFormat/>
    <w:uiPriority w:val="0"/>
    <w:pPr>
      <w:ind w:left="1470"/>
      <w:jc w:val="left"/>
    </w:pPr>
    <w:rPr>
      <w:sz w:val="18"/>
      <w:szCs w:val="18"/>
    </w:rPr>
  </w:style>
  <w:style w:type="paragraph" w:styleId="31">
    <w:name w:val="index 3"/>
    <w:basedOn w:val="1"/>
    <w:next w:val="1"/>
    <w:qFormat/>
    <w:uiPriority w:val="0"/>
    <w:pPr>
      <w:autoSpaceDE w:val="0"/>
      <w:autoSpaceDN w:val="0"/>
      <w:spacing w:line="360" w:lineRule="auto"/>
      <w:ind w:left="400" w:leftChars="400"/>
    </w:pPr>
    <w:rPr>
      <w:sz w:val="24"/>
    </w:rPr>
  </w:style>
  <w:style w:type="paragraph" w:styleId="32">
    <w:name w:val="Date"/>
    <w:basedOn w:val="1"/>
    <w:next w:val="1"/>
    <w:link w:val="97"/>
    <w:qFormat/>
    <w:uiPriority w:val="99"/>
    <w:rPr>
      <w:sz w:val="24"/>
      <w:szCs w:val="20"/>
    </w:rPr>
  </w:style>
  <w:style w:type="paragraph" w:styleId="33">
    <w:name w:val="Body Text Indent 2"/>
    <w:basedOn w:val="1"/>
    <w:link w:val="98"/>
    <w:qFormat/>
    <w:uiPriority w:val="0"/>
    <w:pPr>
      <w:widowControl/>
      <w:overflowPunct w:val="0"/>
      <w:autoSpaceDE w:val="0"/>
      <w:autoSpaceDN w:val="0"/>
      <w:adjustRightInd w:val="0"/>
      <w:spacing w:line="360" w:lineRule="auto"/>
      <w:ind w:firstLine="555"/>
      <w:textAlignment w:val="baseline"/>
    </w:pPr>
    <w:rPr>
      <w:rFonts w:ascii="宋体" w:hAnsi="MS Sans Serif"/>
      <w:spacing w:val="12"/>
      <w:kern w:val="0"/>
      <w:sz w:val="24"/>
      <w:szCs w:val="20"/>
    </w:rPr>
  </w:style>
  <w:style w:type="paragraph" w:styleId="34">
    <w:name w:val="endnote text"/>
    <w:basedOn w:val="1"/>
    <w:qFormat/>
    <w:uiPriority w:val="0"/>
    <w:pPr>
      <w:widowControl/>
      <w:snapToGrid w:val="0"/>
      <w:jc w:val="left"/>
    </w:pPr>
    <w:rPr>
      <w:kern w:val="0"/>
      <w:sz w:val="20"/>
      <w:szCs w:val="20"/>
    </w:rPr>
  </w:style>
  <w:style w:type="paragraph" w:styleId="35">
    <w:name w:val="Balloon Text"/>
    <w:basedOn w:val="1"/>
    <w:link w:val="99"/>
    <w:qFormat/>
    <w:uiPriority w:val="0"/>
    <w:pPr>
      <w:widowControl/>
      <w:jc w:val="left"/>
    </w:pPr>
    <w:rPr>
      <w:kern w:val="0"/>
      <w:sz w:val="18"/>
      <w:szCs w:val="18"/>
    </w:rPr>
  </w:style>
  <w:style w:type="paragraph" w:styleId="36">
    <w:name w:val="footer"/>
    <w:basedOn w:val="1"/>
    <w:link w:val="100"/>
    <w:qFormat/>
    <w:uiPriority w:val="0"/>
    <w:pPr>
      <w:widowControl/>
      <w:tabs>
        <w:tab w:val="center" w:pos="4153"/>
        <w:tab w:val="right" w:pos="8306"/>
      </w:tabs>
      <w:snapToGrid w:val="0"/>
      <w:jc w:val="left"/>
    </w:pPr>
    <w:rPr>
      <w:kern w:val="0"/>
      <w:sz w:val="18"/>
      <w:szCs w:val="20"/>
    </w:rPr>
  </w:style>
  <w:style w:type="paragraph" w:styleId="37">
    <w:name w:val="envelope return"/>
    <w:basedOn w:val="1"/>
    <w:qFormat/>
    <w:uiPriority w:val="0"/>
    <w:pPr>
      <w:snapToGrid w:val="0"/>
    </w:pPr>
    <w:rPr>
      <w:rFonts w:ascii="等线 Light" w:hAnsi="等线 Light" w:eastAsia="等线 Light" w:cs="Times New Roman"/>
    </w:rPr>
  </w:style>
  <w:style w:type="paragraph" w:styleId="38">
    <w:name w:val="header"/>
    <w:basedOn w:val="1"/>
    <w:link w:val="101"/>
    <w:qFormat/>
    <w:uiPriority w:val="0"/>
    <w:pPr>
      <w:widowControl/>
      <w:pBdr>
        <w:bottom w:val="single" w:color="auto" w:sz="6" w:space="1"/>
      </w:pBdr>
      <w:tabs>
        <w:tab w:val="center" w:pos="4153"/>
        <w:tab w:val="right" w:pos="8306"/>
      </w:tabs>
      <w:snapToGrid w:val="0"/>
      <w:jc w:val="center"/>
    </w:pPr>
    <w:rPr>
      <w:kern w:val="0"/>
      <w:sz w:val="18"/>
      <w:szCs w:val="20"/>
    </w:rPr>
  </w:style>
  <w:style w:type="paragraph" w:styleId="39">
    <w:name w:val="toc 1"/>
    <w:basedOn w:val="1"/>
    <w:next w:val="1"/>
    <w:qFormat/>
    <w:uiPriority w:val="39"/>
    <w:pPr>
      <w:spacing w:before="120" w:beforeLines="0" w:after="120" w:afterLines="0"/>
      <w:jc w:val="left"/>
    </w:pPr>
    <w:rPr>
      <w:b/>
      <w:bCs/>
      <w:caps/>
      <w:sz w:val="20"/>
      <w:szCs w:val="20"/>
    </w:rPr>
  </w:style>
  <w:style w:type="paragraph" w:styleId="40">
    <w:name w:val="toc 4"/>
    <w:basedOn w:val="1"/>
    <w:next w:val="1"/>
    <w:qFormat/>
    <w:uiPriority w:val="0"/>
    <w:pPr>
      <w:ind w:left="630"/>
      <w:jc w:val="left"/>
    </w:pPr>
    <w:rPr>
      <w:sz w:val="18"/>
      <w:szCs w:val="18"/>
    </w:rPr>
  </w:style>
  <w:style w:type="paragraph" w:styleId="41">
    <w:name w:val="index heading"/>
    <w:basedOn w:val="1"/>
    <w:next w:val="42"/>
    <w:qFormat/>
    <w:uiPriority w:val="0"/>
    <w:pPr>
      <w:autoSpaceDE w:val="0"/>
      <w:autoSpaceDN w:val="0"/>
      <w:spacing w:line="360" w:lineRule="auto"/>
    </w:pPr>
    <w:rPr>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Subtitle"/>
    <w:basedOn w:val="1"/>
    <w:link w:val="102"/>
    <w:qFormat/>
    <w:uiPriority w:val="0"/>
    <w:pPr>
      <w:spacing w:before="240" w:after="60" w:line="312" w:lineRule="auto"/>
      <w:jc w:val="center"/>
      <w:outlineLvl w:val="1"/>
    </w:pPr>
    <w:rPr>
      <w:rFonts w:eastAsia="华文新魏"/>
      <w:b/>
      <w:bCs/>
      <w:kern w:val="28"/>
      <w:sz w:val="52"/>
      <w:szCs w:val="32"/>
    </w:rPr>
  </w:style>
  <w:style w:type="paragraph" w:styleId="44">
    <w:name w:val="List"/>
    <w:basedOn w:val="1"/>
    <w:qFormat/>
    <w:uiPriority w:val="0"/>
    <w:pPr>
      <w:ind w:left="200" w:hanging="200" w:hangingChars="200"/>
    </w:pPr>
    <w:rPr>
      <w:szCs w:val="22"/>
    </w:rPr>
  </w:style>
  <w:style w:type="paragraph" w:styleId="45">
    <w:name w:val="footnote text"/>
    <w:basedOn w:val="1"/>
    <w:link w:val="103"/>
    <w:qFormat/>
    <w:uiPriority w:val="0"/>
    <w:pPr>
      <w:adjustRightInd w:val="0"/>
      <w:spacing w:line="312" w:lineRule="atLeast"/>
      <w:jc w:val="left"/>
      <w:textAlignment w:val="baseline"/>
    </w:pPr>
    <w:rPr>
      <w:kern w:val="0"/>
      <w:sz w:val="18"/>
      <w:szCs w:val="20"/>
    </w:rPr>
  </w:style>
  <w:style w:type="paragraph" w:styleId="46">
    <w:name w:val="toc 6"/>
    <w:basedOn w:val="1"/>
    <w:next w:val="1"/>
    <w:qFormat/>
    <w:uiPriority w:val="0"/>
    <w:pPr>
      <w:ind w:left="1050"/>
      <w:jc w:val="left"/>
    </w:pPr>
    <w:rPr>
      <w:sz w:val="18"/>
      <w:szCs w:val="18"/>
    </w:rPr>
  </w:style>
  <w:style w:type="paragraph" w:styleId="47">
    <w:name w:val="Body Text Indent 3"/>
    <w:basedOn w:val="1"/>
    <w:link w:val="104"/>
    <w:qFormat/>
    <w:uiPriority w:val="0"/>
    <w:pPr>
      <w:widowControl/>
      <w:overflowPunct w:val="0"/>
      <w:autoSpaceDE w:val="0"/>
      <w:autoSpaceDN w:val="0"/>
      <w:adjustRightInd w:val="0"/>
      <w:spacing w:line="360" w:lineRule="auto"/>
      <w:ind w:firstLine="540"/>
      <w:textAlignment w:val="baseline"/>
    </w:pPr>
    <w:rPr>
      <w:rFonts w:ascii="宋体" w:hAnsi="MS Sans Serif"/>
      <w:color w:val="000000"/>
      <w:kern w:val="0"/>
      <w:sz w:val="24"/>
      <w:szCs w:val="20"/>
    </w:rPr>
  </w:style>
  <w:style w:type="paragraph" w:styleId="48">
    <w:name w:val="index 7"/>
    <w:basedOn w:val="1"/>
    <w:next w:val="1"/>
    <w:qFormat/>
    <w:uiPriority w:val="0"/>
    <w:pPr>
      <w:autoSpaceDE w:val="0"/>
      <w:autoSpaceDN w:val="0"/>
      <w:spacing w:line="360" w:lineRule="auto"/>
      <w:ind w:left="1200" w:leftChars="1200"/>
    </w:pPr>
    <w:rPr>
      <w:sz w:val="24"/>
    </w:rPr>
  </w:style>
  <w:style w:type="paragraph" w:styleId="49">
    <w:name w:val="index 9"/>
    <w:basedOn w:val="1"/>
    <w:next w:val="1"/>
    <w:qFormat/>
    <w:uiPriority w:val="0"/>
    <w:pPr>
      <w:autoSpaceDE w:val="0"/>
      <w:autoSpaceDN w:val="0"/>
      <w:spacing w:line="360" w:lineRule="auto"/>
      <w:ind w:left="1600" w:leftChars="1600"/>
    </w:pPr>
    <w:rPr>
      <w:sz w:val="24"/>
    </w:rPr>
  </w:style>
  <w:style w:type="paragraph" w:styleId="50">
    <w:name w:val="table of figures"/>
    <w:basedOn w:val="1"/>
    <w:next w:val="1"/>
    <w:qFormat/>
    <w:uiPriority w:val="0"/>
    <w:pPr>
      <w:ind w:leftChars="200" w:hanging="200" w:hangingChars="200"/>
    </w:pPr>
  </w:style>
  <w:style w:type="paragraph" w:styleId="51">
    <w:name w:val="toc 2"/>
    <w:basedOn w:val="1"/>
    <w:next w:val="1"/>
    <w:qFormat/>
    <w:uiPriority w:val="0"/>
    <w:pPr>
      <w:tabs>
        <w:tab w:val="right" w:leader="dot" w:pos="9345"/>
      </w:tabs>
      <w:ind w:left="210"/>
      <w:jc w:val="left"/>
    </w:pPr>
    <w:rPr>
      <w:b/>
      <w:smallCaps/>
      <w:sz w:val="32"/>
      <w:szCs w:val="32"/>
    </w:rPr>
  </w:style>
  <w:style w:type="paragraph" w:styleId="52">
    <w:name w:val="toc 9"/>
    <w:basedOn w:val="1"/>
    <w:next w:val="1"/>
    <w:qFormat/>
    <w:uiPriority w:val="0"/>
    <w:pPr>
      <w:ind w:left="1680"/>
      <w:jc w:val="left"/>
    </w:pPr>
    <w:rPr>
      <w:sz w:val="18"/>
      <w:szCs w:val="18"/>
    </w:rPr>
  </w:style>
  <w:style w:type="paragraph" w:styleId="53">
    <w:name w:val="Body Text 2"/>
    <w:basedOn w:val="1"/>
    <w:link w:val="105"/>
    <w:qFormat/>
    <w:uiPriority w:val="0"/>
    <w:pPr>
      <w:widowControl/>
      <w:spacing w:after="120" w:afterLines="0" w:line="480" w:lineRule="auto"/>
      <w:jc w:val="left"/>
    </w:pPr>
    <w:rPr>
      <w:kern w:val="0"/>
      <w:sz w:val="20"/>
      <w:szCs w:val="20"/>
    </w:rPr>
  </w:style>
  <w:style w:type="paragraph" w:styleId="54">
    <w:name w:val="HTML Preformatted"/>
    <w:basedOn w:val="1"/>
    <w:link w:val="10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color w:val="000000"/>
      <w:kern w:val="0"/>
      <w:sz w:val="20"/>
      <w:szCs w:val="20"/>
    </w:rPr>
  </w:style>
  <w:style w:type="paragraph" w:styleId="55">
    <w:name w:val="Normal (Web)"/>
    <w:basedOn w:val="1"/>
    <w:qFormat/>
    <w:uiPriority w:val="99"/>
    <w:pPr>
      <w:widowControl/>
      <w:spacing w:before="100" w:beforeAutospacing="1" w:after="100" w:afterAutospacing="1"/>
      <w:jc w:val="left"/>
    </w:pPr>
    <w:rPr>
      <w:rFonts w:hint="eastAsia" w:ascii="宋体" w:hAnsi="宋体"/>
      <w:kern w:val="0"/>
      <w:sz w:val="24"/>
    </w:rPr>
  </w:style>
  <w:style w:type="paragraph" w:styleId="56">
    <w:name w:val="index 2"/>
    <w:basedOn w:val="1"/>
    <w:next w:val="1"/>
    <w:qFormat/>
    <w:uiPriority w:val="0"/>
    <w:pPr>
      <w:autoSpaceDE w:val="0"/>
      <w:autoSpaceDN w:val="0"/>
      <w:spacing w:line="360" w:lineRule="auto"/>
      <w:ind w:left="200" w:leftChars="200"/>
    </w:pPr>
    <w:rPr>
      <w:sz w:val="24"/>
    </w:rPr>
  </w:style>
  <w:style w:type="paragraph" w:styleId="57">
    <w:name w:val="Title"/>
    <w:basedOn w:val="1"/>
    <w:next w:val="1"/>
    <w:link w:val="107"/>
    <w:qFormat/>
    <w:uiPriority w:val="99"/>
    <w:pPr>
      <w:widowControl/>
      <w:spacing w:before="240" w:beforeLines="0" w:after="60" w:afterLines="0"/>
      <w:jc w:val="center"/>
      <w:outlineLvl w:val="0"/>
    </w:pPr>
    <w:rPr>
      <w:rFonts w:ascii="Arial" w:hAnsi="Arial" w:cs="Arial"/>
      <w:b/>
      <w:bCs/>
      <w:kern w:val="0"/>
      <w:sz w:val="44"/>
      <w:szCs w:val="32"/>
    </w:rPr>
  </w:style>
  <w:style w:type="paragraph" w:styleId="58">
    <w:name w:val="annotation subject"/>
    <w:basedOn w:val="20"/>
    <w:next w:val="20"/>
    <w:link w:val="108"/>
    <w:qFormat/>
    <w:uiPriority w:val="0"/>
    <w:pPr>
      <w:adjustRightInd/>
      <w:spacing w:line="360" w:lineRule="auto"/>
      <w:textAlignment w:val="auto"/>
    </w:pPr>
    <w:rPr>
      <w:b/>
      <w:bCs/>
      <w:kern w:val="2"/>
    </w:rPr>
  </w:style>
  <w:style w:type="paragraph" w:styleId="59">
    <w:name w:val="Body Text First Indent"/>
    <w:basedOn w:val="23"/>
    <w:link w:val="109"/>
    <w:qFormat/>
    <w:uiPriority w:val="0"/>
    <w:pPr>
      <w:spacing w:line="312" w:lineRule="auto"/>
      <w:ind w:firstLine="420"/>
    </w:pPr>
    <w:rPr>
      <w:sz w:val="24"/>
    </w:rPr>
  </w:style>
  <w:style w:type="paragraph" w:styleId="60">
    <w:name w:val="Body Text First Indent 2"/>
    <w:basedOn w:val="24"/>
    <w:next w:val="1"/>
    <w:link w:val="110"/>
    <w:qFormat/>
    <w:uiPriority w:val="0"/>
    <w:pPr>
      <w:widowControl w:val="0"/>
      <w:overflowPunct/>
      <w:autoSpaceDE/>
      <w:autoSpaceDN/>
      <w:adjustRightInd/>
      <w:spacing w:after="120" w:line="240" w:lineRule="auto"/>
      <w:ind w:left="420" w:leftChars="200" w:firstLine="420" w:firstLineChars="200"/>
      <w:textAlignment w:val="auto"/>
    </w:pPr>
    <w:rPr>
      <w:rFonts w:ascii="Calibri" w:hAnsi="Calibri" w:eastAsia="仿宋_GB2312" w:cs="Calibri"/>
      <w:spacing w:val="0"/>
      <w:kern w:val="2"/>
      <w:sz w:val="21"/>
      <w:szCs w:val="24"/>
      <w:lang w:val="en-US" w:eastAsia="zh-CN"/>
    </w:rPr>
  </w:style>
  <w:style w:type="table" w:styleId="62">
    <w:name w:val="Table Grid"/>
    <w:basedOn w:val="6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4">
    <w:name w:val="Strong"/>
    <w:basedOn w:val="63"/>
    <w:qFormat/>
    <w:uiPriority w:val="0"/>
    <w:rPr>
      <w:b/>
      <w:bCs/>
    </w:rPr>
  </w:style>
  <w:style w:type="character" w:styleId="65">
    <w:name w:val="endnote reference"/>
    <w:qFormat/>
    <w:uiPriority w:val="0"/>
    <w:rPr>
      <w:vertAlign w:val="superscript"/>
    </w:rPr>
  </w:style>
  <w:style w:type="character" w:styleId="66">
    <w:name w:val="page number"/>
    <w:qFormat/>
    <w:uiPriority w:val="0"/>
  </w:style>
  <w:style w:type="character" w:styleId="67">
    <w:name w:val="FollowedHyperlink"/>
    <w:qFormat/>
    <w:uiPriority w:val="0"/>
    <w:rPr>
      <w:color w:val="800080"/>
      <w:u w:val="none"/>
    </w:rPr>
  </w:style>
  <w:style w:type="character" w:styleId="68">
    <w:name w:val="Emphasis"/>
    <w:qFormat/>
    <w:uiPriority w:val="0"/>
    <w:rPr>
      <w:i/>
      <w:iCs/>
    </w:rPr>
  </w:style>
  <w:style w:type="character" w:styleId="69">
    <w:name w:val="HTML Definition"/>
    <w:qFormat/>
    <w:uiPriority w:val="0"/>
  </w:style>
  <w:style w:type="character" w:styleId="70">
    <w:name w:val="HTML Typewriter"/>
    <w:qFormat/>
    <w:uiPriority w:val="0"/>
    <w:rPr>
      <w:rFonts w:hint="default" w:ascii="monospace" w:hAnsi="monospace" w:eastAsia="monospace" w:cs="monospace"/>
      <w:sz w:val="20"/>
    </w:rPr>
  </w:style>
  <w:style w:type="character" w:styleId="71">
    <w:name w:val="HTML Acronym"/>
    <w:basedOn w:val="63"/>
    <w:qFormat/>
    <w:uiPriority w:val="0"/>
  </w:style>
  <w:style w:type="character" w:styleId="72">
    <w:name w:val="HTML Variable"/>
    <w:qFormat/>
    <w:uiPriority w:val="0"/>
  </w:style>
  <w:style w:type="character" w:styleId="73">
    <w:name w:val="Hyperlink"/>
    <w:basedOn w:val="63"/>
    <w:qFormat/>
    <w:uiPriority w:val="99"/>
    <w:rPr>
      <w:color w:val="0000FF"/>
      <w:u w:val="none"/>
    </w:rPr>
  </w:style>
  <w:style w:type="character" w:styleId="74">
    <w:name w:val="HTML Code"/>
    <w:qFormat/>
    <w:uiPriority w:val="0"/>
    <w:rPr>
      <w:rFonts w:hint="default" w:ascii="monospace" w:hAnsi="monospace" w:eastAsia="monospace" w:cs="monospace"/>
      <w:sz w:val="20"/>
    </w:rPr>
  </w:style>
  <w:style w:type="character" w:styleId="75">
    <w:name w:val="annotation reference"/>
    <w:qFormat/>
    <w:uiPriority w:val="0"/>
    <w:rPr>
      <w:sz w:val="21"/>
      <w:szCs w:val="21"/>
    </w:rPr>
  </w:style>
  <w:style w:type="character" w:styleId="76">
    <w:name w:val="HTML Cite"/>
    <w:qFormat/>
    <w:uiPriority w:val="0"/>
  </w:style>
  <w:style w:type="character" w:styleId="77">
    <w:name w:val="footnote reference"/>
    <w:qFormat/>
    <w:uiPriority w:val="0"/>
    <w:rPr>
      <w:vertAlign w:val="superscript"/>
    </w:rPr>
  </w:style>
  <w:style w:type="character" w:styleId="78">
    <w:name w:val="HTML Keyboard"/>
    <w:qFormat/>
    <w:uiPriority w:val="0"/>
    <w:rPr>
      <w:rFonts w:hint="default" w:ascii="monospace" w:hAnsi="monospace" w:eastAsia="monospace" w:cs="monospace"/>
      <w:sz w:val="20"/>
    </w:rPr>
  </w:style>
  <w:style w:type="character" w:styleId="79">
    <w:name w:val="HTML Sample"/>
    <w:qFormat/>
    <w:uiPriority w:val="0"/>
    <w:rPr>
      <w:rFonts w:ascii="monospace" w:hAnsi="monospace" w:eastAsia="monospace" w:cs="monospace"/>
    </w:rPr>
  </w:style>
  <w:style w:type="paragraph" w:customStyle="1" w:styleId="80">
    <w:name w:val="目录 61"/>
    <w:next w:val="1"/>
    <w:qFormat/>
    <w:uiPriority w:val="0"/>
    <w:pPr>
      <w:wordWrap w:val="0"/>
      <w:ind w:left="2125"/>
      <w:jc w:val="both"/>
    </w:pPr>
    <w:rPr>
      <w:rFonts w:ascii="Times New Roman" w:hAnsi="Times New Roman" w:eastAsia="宋体" w:cs="Times New Roman"/>
      <w:sz w:val="21"/>
      <w:lang w:val="en-US" w:eastAsia="zh-CN" w:bidi="ar-SA"/>
    </w:rPr>
  </w:style>
  <w:style w:type="paragraph" w:customStyle="1" w:styleId="81">
    <w:name w:val="正文-公1"/>
    <w:next w:val="1"/>
    <w:qFormat/>
    <w:uiPriority w:val="99"/>
    <w:pPr>
      <w:widowControl w:val="0"/>
      <w:ind w:firstLine="200" w:firstLineChars="200"/>
    </w:pPr>
    <w:rPr>
      <w:rFonts w:ascii="Times New Roman" w:hAnsi="Times New Roman" w:eastAsia="仿宋_GB2312" w:cs="Times New Roman"/>
      <w:kern w:val="2"/>
      <w:sz w:val="21"/>
      <w:szCs w:val="22"/>
      <w:lang w:val="en-US" w:eastAsia="zh-CN" w:bidi="ar-SA"/>
    </w:rPr>
  </w:style>
  <w:style w:type="character" w:customStyle="1" w:styleId="82">
    <w:name w:val="标题 1 字符"/>
    <w:link w:val="2"/>
    <w:qFormat/>
    <w:uiPriority w:val="0"/>
    <w:rPr>
      <w:rFonts w:ascii="黑体" w:eastAsia="黑体"/>
      <w:sz w:val="52"/>
    </w:rPr>
  </w:style>
  <w:style w:type="character" w:customStyle="1" w:styleId="83">
    <w:name w:val="标题 2 字符"/>
    <w:link w:val="3"/>
    <w:qFormat/>
    <w:uiPriority w:val="0"/>
    <w:rPr>
      <w:rFonts w:ascii="宋体" w:hAnsi="宋体"/>
      <w:b/>
      <w:color w:val="000000"/>
      <w:sz w:val="44"/>
    </w:rPr>
  </w:style>
  <w:style w:type="character" w:customStyle="1" w:styleId="84">
    <w:name w:val="标题 3 字符"/>
    <w:link w:val="4"/>
    <w:qFormat/>
    <w:uiPriority w:val="0"/>
    <w:rPr>
      <w:b/>
      <w:kern w:val="2"/>
      <w:sz w:val="32"/>
      <w:szCs w:val="24"/>
    </w:rPr>
  </w:style>
  <w:style w:type="character" w:customStyle="1" w:styleId="85">
    <w:name w:val="标题 4 字符"/>
    <w:link w:val="5"/>
    <w:qFormat/>
    <w:uiPriority w:val="0"/>
    <w:rPr>
      <w:rFonts w:ascii="Arial" w:hAnsi="Arial" w:eastAsia="黑体"/>
      <w:sz w:val="28"/>
    </w:rPr>
  </w:style>
  <w:style w:type="character" w:customStyle="1" w:styleId="86">
    <w:name w:val="标题 5 字符"/>
    <w:link w:val="6"/>
    <w:qFormat/>
    <w:uiPriority w:val="0"/>
    <w:rPr>
      <w:rFonts w:ascii="宋体" w:hAnsi="宋体"/>
      <w:b/>
      <w:sz w:val="24"/>
    </w:rPr>
  </w:style>
  <w:style w:type="character" w:customStyle="1" w:styleId="87">
    <w:name w:val="标题 6 字符"/>
    <w:link w:val="7"/>
    <w:qFormat/>
    <w:locked/>
    <w:uiPriority w:val="0"/>
    <w:rPr>
      <w:rFonts w:ascii="Arial" w:hAnsi="Arial" w:eastAsia="黑体"/>
      <w:b/>
      <w:bCs/>
      <w:sz w:val="24"/>
      <w:szCs w:val="24"/>
    </w:rPr>
  </w:style>
  <w:style w:type="character" w:customStyle="1" w:styleId="88">
    <w:name w:val="标题 7 字符"/>
    <w:link w:val="8"/>
    <w:qFormat/>
    <w:locked/>
    <w:uiPriority w:val="0"/>
    <w:rPr>
      <w:b/>
      <w:bCs/>
      <w:sz w:val="24"/>
      <w:szCs w:val="24"/>
    </w:rPr>
  </w:style>
  <w:style w:type="character" w:customStyle="1" w:styleId="89">
    <w:name w:val="标题 8 字符"/>
    <w:link w:val="9"/>
    <w:qFormat/>
    <w:locked/>
    <w:uiPriority w:val="0"/>
    <w:rPr>
      <w:rFonts w:ascii="Arial" w:hAnsi="Arial" w:eastAsia="黑体"/>
      <w:sz w:val="24"/>
      <w:szCs w:val="24"/>
    </w:rPr>
  </w:style>
  <w:style w:type="character" w:customStyle="1" w:styleId="90">
    <w:name w:val="标题 9 字符"/>
    <w:link w:val="10"/>
    <w:qFormat/>
    <w:locked/>
    <w:uiPriority w:val="0"/>
    <w:rPr>
      <w:rFonts w:ascii="Arial" w:hAnsi="Arial" w:eastAsia="黑体"/>
      <w:sz w:val="21"/>
      <w:szCs w:val="21"/>
    </w:rPr>
  </w:style>
  <w:style w:type="character" w:customStyle="1" w:styleId="91">
    <w:name w:val="文档结构图 字符"/>
    <w:link w:val="19"/>
    <w:qFormat/>
    <w:uiPriority w:val="0"/>
    <w:rPr>
      <w:shd w:val="clear" w:color="auto" w:fill="000080"/>
    </w:rPr>
  </w:style>
  <w:style w:type="character" w:customStyle="1" w:styleId="92">
    <w:name w:val="批注文字 字符"/>
    <w:link w:val="20"/>
    <w:qFormat/>
    <w:uiPriority w:val="0"/>
    <w:rPr>
      <w:sz w:val="24"/>
    </w:rPr>
  </w:style>
  <w:style w:type="character" w:customStyle="1" w:styleId="93">
    <w:name w:val="正文文本 3 字符"/>
    <w:link w:val="22"/>
    <w:qFormat/>
    <w:uiPriority w:val="0"/>
    <w:rPr>
      <w:b/>
      <w:sz w:val="16"/>
      <w:szCs w:val="16"/>
    </w:rPr>
  </w:style>
  <w:style w:type="character" w:customStyle="1" w:styleId="94">
    <w:name w:val="正文文本 字符"/>
    <w:link w:val="23"/>
    <w:qFormat/>
    <w:uiPriority w:val="0"/>
    <w:rPr>
      <w:kern w:val="2"/>
      <w:sz w:val="30"/>
    </w:rPr>
  </w:style>
  <w:style w:type="character" w:customStyle="1" w:styleId="95">
    <w:name w:val="正文文本缩进 字符"/>
    <w:link w:val="24"/>
    <w:qFormat/>
    <w:uiPriority w:val="0"/>
    <w:rPr>
      <w:rFonts w:ascii="宋体" w:hAnsi="MS Sans Serif"/>
      <w:spacing w:val="12"/>
      <w:sz w:val="24"/>
    </w:rPr>
  </w:style>
  <w:style w:type="character" w:customStyle="1" w:styleId="96">
    <w:name w:val="纯文本 字符"/>
    <w:link w:val="29"/>
    <w:qFormat/>
    <w:uiPriority w:val="0"/>
    <w:rPr>
      <w:rFonts w:ascii="宋体" w:hAnsi="Courier New"/>
      <w:kern w:val="2"/>
      <w:sz w:val="21"/>
    </w:rPr>
  </w:style>
  <w:style w:type="character" w:customStyle="1" w:styleId="97">
    <w:name w:val="日期 字符"/>
    <w:link w:val="32"/>
    <w:qFormat/>
    <w:locked/>
    <w:uiPriority w:val="99"/>
    <w:rPr>
      <w:kern w:val="2"/>
      <w:sz w:val="24"/>
    </w:rPr>
  </w:style>
  <w:style w:type="character" w:customStyle="1" w:styleId="98">
    <w:name w:val="正文文本缩进 2 字符"/>
    <w:link w:val="33"/>
    <w:qFormat/>
    <w:locked/>
    <w:uiPriority w:val="0"/>
    <w:rPr>
      <w:rFonts w:ascii="宋体" w:hAnsi="MS Sans Serif"/>
      <w:spacing w:val="12"/>
      <w:sz w:val="24"/>
    </w:rPr>
  </w:style>
  <w:style w:type="character" w:customStyle="1" w:styleId="99">
    <w:name w:val="批注框文本 字符"/>
    <w:link w:val="35"/>
    <w:qFormat/>
    <w:uiPriority w:val="0"/>
    <w:rPr>
      <w:sz w:val="18"/>
      <w:szCs w:val="18"/>
    </w:rPr>
  </w:style>
  <w:style w:type="character" w:customStyle="1" w:styleId="100">
    <w:name w:val="页脚 字符"/>
    <w:link w:val="36"/>
    <w:qFormat/>
    <w:uiPriority w:val="0"/>
    <w:rPr>
      <w:rFonts w:eastAsia="宋体"/>
      <w:sz w:val="18"/>
      <w:lang w:val="en-US" w:eastAsia="zh-CN" w:bidi="ar-SA"/>
    </w:rPr>
  </w:style>
  <w:style w:type="character" w:customStyle="1" w:styleId="101">
    <w:name w:val="页眉 字符"/>
    <w:link w:val="38"/>
    <w:qFormat/>
    <w:uiPriority w:val="0"/>
    <w:rPr>
      <w:rFonts w:eastAsia="宋体"/>
      <w:sz w:val="18"/>
      <w:lang w:val="en-US" w:eastAsia="zh-CN" w:bidi="ar-SA"/>
    </w:rPr>
  </w:style>
  <w:style w:type="character" w:customStyle="1" w:styleId="102">
    <w:name w:val="副标题 字符"/>
    <w:link w:val="43"/>
    <w:qFormat/>
    <w:locked/>
    <w:uiPriority w:val="0"/>
    <w:rPr>
      <w:rFonts w:ascii="Calibri" w:hAnsi="Calibri" w:eastAsia="华文新魏" w:cs="Arial"/>
      <w:b/>
      <w:bCs/>
      <w:kern w:val="28"/>
      <w:sz w:val="52"/>
      <w:szCs w:val="32"/>
    </w:rPr>
  </w:style>
  <w:style w:type="character" w:customStyle="1" w:styleId="103">
    <w:name w:val="脚注文本 字符"/>
    <w:link w:val="45"/>
    <w:qFormat/>
    <w:locked/>
    <w:uiPriority w:val="0"/>
    <w:rPr>
      <w:sz w:val="18"/>
    </w:rPr>
  </w:style>
  <w:style w:type="character" w:customStyle="1" w:styleId="104">
    <w:name w:val="正文文本缩进 3 字符"/>
    <w:link w:val="47"/>
    <w:qFormat/>
    <w:locked/>
    <w:uiPriority w:val="0"/>
    <w:rPr>
      <w:rFonts w:ascii="宋体" w:hAnsi="MS Sans Serif"/>
      <w:color w:val="000000"/>
      <w:sz w:val="24"/>
    </w:rPr>
  </w:style>
  <w:style w:type="character" w:customStyle="1" w:styleId="105">
    <w:name w:val="正文文本 2 字符"/>
    <w:link w:val="53"/>
    <w:qFormat/>
    <w:locked/>
    <w:uiPriority w:val="0"/>
  </w:style>
  <w:style w:type="character" w:customStyle="1" w:styleId="106">
    <w:name w:val="HTML 预设格式 字符"/>
    <w:link w:val="54"/>
    <w:qFormat/>
    <w:locked/>
    <w:uiPriority w:val="0"/>
    <w:rPr>
      <w:rFonts w:ascii="Arial Unicode MS" w:hAnsi="Arial Unicode MS" w:cs="Arial Unicode MS"/>
      <w:color w:val="000000"/>
    </w:rPr>
  </w:style>
  <w:style w:type="character" w:customStyle="1" w:styleId="107">
    <w:name w:val="标题 字符"/>
    <w:link w:val="57"/>
    <w:qFormat/>
    <w:uiPriority w:val="99"/>
    <w:rPr>
      <w:rFonts w:ascii="Arial" w:hAnsi="Arial" w:eastAsia="宋体" w:cs="Arial"/>
      <w:b/>
      <w:bCs/>
      <w:sz w:val="44"/>
      <w:szCs w:val="32"/>
      <w:lang w:val="en-US" w:eastAsia="zh-CN" w:bidi="ar-SA"/>
    </w:rPr>
  </w:style>
  <w:style w:type="character" w:customStyle="1" w:styleId="108">
    <w:name w:val="批注主题 字符"/>
    <w:link w:val="58"/>
    <w:qFormat/>
    <w:uiPriority w:val="0"/>
    <w:rPr>
      <w:b/>
      <w:bCs/>
      <w:kern w:val="2"/>
      <w:sz w:val="24"/>
    </w:rPr>
  </w:style>
  <w:style w:type="character" w:customStyle="1" w:styleId="109">
    <w:name w:val="正文文本首行缩进 字符"/>
    <w:link w:val="59"/>
    <w:qFormat/>
    <w:uiPriority w:val="0"/>
    <w:rPr>
      <w:lang w:val="en-US" w:eastAsia="zh-CN" w:bidi="ar-SA"/>
    </w:rPr>
  </w:style>
  <w:style w:type="character" w:customStyle="1" w:styleId="110">
    <w:name w:val="正文文本首行缩进 2 字符"/>
    <w:link w:val="60"/>
    <w:qFormat/>
    <w:locked/>
    <w:uiPriority w:val="0"/>
    <w:rPr>
      <w:rFonts w:ascii="Calibri" w:hAnsi="Calibri" w:eastAsia="仿宋_GB2312" w:cs="Calibri"/>
      <w:kern w:val="2"/>
      <w:sz w:val="21"/>
      <w:szCs w:val="24"/>
      <w:lang w:val="en-US" w:eastAsia="zh-CN" w:bidi="ar-SA"/>
    </w:rPr>
  </w:style>
  <w:style w:type="character" w:customStyle="1" w:styleId="111">
    <w:name w:val="正文文本 Char"/>
    <w:qFormat/>
    <w:uiPriority w:val="0"/>
    <w:rPr>
      <w:rFonts w:eastAsia="宋体" w:cs="Times New Roman"/>
      <w:kern w:val="2"/>
      <w:sz w:val="24"/>
      <w:szCs w:val="24"/>
      <w:lang w:val="en-US" w:eastAsia="zh-CN" w:bidi="ar-SA"/>
    </w:rPr>
  </w:style>
  <w:style w:type="character" w:customStyle="1" w:styleId="112">
    <w:name w:val="正文仿宋小四 Char Char"/>
    <w:link w:val="113"/>
    <w:qFormat/>
    <w:locked/>
    <w:uiPriority w:val="0"/>
    <w:rPr>
      <w:rFonts w:eastAsia="仿宋_GB2312"/>
      <w:sz w:val="24"/>
      <w:szCs w:val="24"/>
    </w:rPr>
  </w:style>
  <w:style w:type="paragraph" w:customStyle="1" w:styleId="113">
    <w:name w:val="正文仿宋小四"/>
    <w:basedOn w:val="1"/>
    <w:link w:val="112"/>
    <w:qFormat/>
    <w:uiPriority w:val="0"/>
    <w:pPr>
      <w:numPr>
        <w:ilvl w:val="0"/>
        <w:numId w:val="4"/>
      </w:numPr>
      <w:tabs>
        <w:tab w:val="clear" w:pos="360"/>
      </w:tabs>
      <w:spacing w:line="360" w:lineRule="auto"/>
      <w:ind w:left="0" w:firstLine="480" w:firstLineChars="200"/>
    </w:pPr>
    <w:rPr>
      <w:rFonts w:eastAsia="仿宋_GB2312"/>
      <w:kern w:val="0"/>
      <w:sz w:val="24"/>
    </w:rPr>
  </w:style>
  <w:style w:type="character" w:customStyle="1" w:styleId="114">
    <w:name w:val=" Char Char"/>
    <w:qFormat/>
    <w:uiPriority w:val="0"/>
    <w:rPr>
      <w:rFonts w:ascii="Arial" w:hAnsi="Arial" w:eastAsia="黑体"/>
      <w:b/>
      <w:bCs/>
      <w:kern w:val="2"/>
      <w:sz w:val="32"/>
      <w:szCs w:val="32"/>
      <w:lang w:val="en-US" w:eastAsia="zh-CN" w:bidi="ar-SA"/>
    </w:rPr>
  </w:style>
  <w:style w:type="character" w:customStyle="1" w:styleId="115">
    <w:name w:val=" Char Char2"/>
    <w:qFormat/>
    <w:uiPriority w:val="0"/>
    <w:rPr>
      <w:rFonts w:eastAsia="宋体"/>
      <w:kern w:val="2"/>
      <w:sz w:val="21"/>
      <w:szCs w:val="24"/>
      <w:lang w:val="en-US" w:eastAsia="zh-CN" w:bidi="ar-SA"/>
    </w:rPr>
  </w:style>
  <w:style w:type="character" w:customStyle="1" w:styleId="116">
    <w:name w:val="标题5 Char Char"/>
    <w:link w:val="117"/>
    <w:qFormat/>
    <w:uiPriority w:val="0"/>
    <w:rPr>
      <w:rFonts w:ascii="Arial" w:hAnsi="Arial"/>
      <w:b/>
      <w:bCs/>
      <w:sz w:val="24"/>
      <w:szCs w:val="32"/>
    </w:rPr>
  </w:style>
  <w:style w:type="paragraph" w:customStyle="1" w:styleId="117">
    <w:name w:val="标题5"/>
    <w:basedOn w:val="4"/>
    <w:link w:val="116"/>
    <w:qFormat/>
    <w:uiPriority w:val="0"/>
    <w:pPr>
      <w:widowControl w:val="0"/>
      <w:numPr>
        <w:ilvl w:val="0"/>
        <w:numId w:val="0"/>
      </w:numPr>
      <w:tabs>
        <w:tab w:val="clear" w:pos="720"/>
      </w:tabs>
      <w:spacing w:before="260" w:after="260" w:line="413" w:lineRule="auto"/>
      <w:jc w:val="both"/>
    </w:pPr>
    <w:rPr>
      <w:rFonts w:ascii="Arial" w:hAnsi="Arial"/>
      <w:bCs/>
      <w:kern w:val="0"/>
      <w:sz w:val="24"/>
      <w:szCs w:val="32"/>
    </w:rPr>
  </w:style>
  <w:style w:type="character" w:customStyle="1" w:styleId="118">
    <w:name w:val="正文文本缩进 Char"/>
    <w:qFormat/>
    <w:locked/>
    <w:uiPriority w:val="0"/>
    <w:rPr>
      <w:rFonts w:eastAsia="宋体"/>
      <w:kern w:val="2"/>
      <w:sz w:val="21"/>
      <w:szCs w:val="24"/>
      <w:lang w:val="en-US" w:eastAsia="zh-CN" w:bidi="ar-SA"/>
    </w:rPr>
  </w:style>
  <w:style w:type="character" w:customStyle="1" w:styleId="119">
    <w:name w:val="批注框文本 Char1"/>
    <w:qFormat/>
    <w:uiPriority w:val="0"/>
    <w:rPr>
      <w:kern w:val="2"/>
      <w:sz w:val="18"/>
      <w:szCs w:val="18"/>
    </w:rPr>
  </w:style>
  <w:style w:type="character" w:customStyle="1" w:styleId="120">
    <w:name w:val="引用 字符"/>
    <w:link w:val="121"/>
    <w:qFormat/>
    <w:uiPriority w:val="0"/>
    <w:rPr>
      <w:i/>
      <w:iCs/>
      <w:color w:val="000000"/>
      <w:kern w:val="2"/>
      <w:sz w:val="21"/>
      <w:szCs w:val="22"/>
    </w:rPr>
  </w:style>
  <w:style w:type="paragraph" w:styleId="121">
    <w:name w:val="Quote"/>
    <w:basedOn w:val="1"/>
    <w:next w:val="1"/>
    <w:link w:val="120"/>
    <w:qFormat/>
    <w:uiPriority w:val="0"/>
    <w:rPr>
      <w:i/>
      <w:iCs/>
      <w:color w:val="000000"/>
      <w:szCs w:val="22"/>
    </w:rPr>
  </w:style>
  <w:style w:type="character" w:customStyle="1" w:styleId="122">
    <w:name w:val="_Style 119"/>
    <w:qFormat/>
    <w:uiPriority w:val="0"/>
    <w:rPr>
      <w:b/>
      <w:bCs/>
      <w:smallCaps/>
      <w:spacing w:val="5"/>
    </w:rPr>
  </w:style>
  <w:style w:type="character" w:customStyle="1" w:styleId="123">
    <w:name w:val="_Style 120"/>
    <w:qFormat/>
    <w:uiPriority w:val="0"/>
    <w:rPr>
      <w:i/>
      <w:iCs/>
      <w:color w:val="808080"/>
    </w:rPr>
  </w:style>
  <w:style w:type="character" w:customStyle="1" w:styleId="124">
    <w:name w:val="引用 Char1"/>
    <w:qFormat/>
    <w:uiPriority w:val="99"/>
    <w:rPr>
      <w:i/>
      <w:iCs/>
      <w:color w:val="000000"/>
      <w:kern w:val="2"/>
      <w:sz w:val="21"/>
      <w:szCs w:val="24"/>
    </w:rPr>
  </w:style>
  <w:style w:type="character" w:customStyle="1" w:styleId="125">
    <w:name w:val="HTML 预设格式 Char1"/>
    <w:qFormat/>
    <w:uiPriority w:val="0"/>
    <w:rPr>
      <w:rFonts w:ascii="Courier New" w:hAnsi="Courier New" w:cs="Courier New"/>
      <w:kern w:val="2"/>
    </w:rPr>
  </w:style>
  <w:style w:type="character" w:customStyle="1" w:styleId="126">
    <w:name w:val="_Style 123"/>
    <w:qFormat/>
    <w:uiPriority w:val="0"/>
    <w:rPr>
      <w:b/>
      <w:bCs/>
      <w:smallCaps/>
      <w:color w:val="C0504D"/>
      <w:spacing w:val="5"/>
      <w:u w:val="single"/>
    </w:rPr>
  </w:style>
  <w:style w:type="character" w:customStyle="1" w:styleId="127">
    <w:name w:val="标五 Char Char"/>
    <w:link w:val="128"/>
    <w:qFormat/>
    <w:locked/>
    <w:uiPriority w:val="0"/>
    <w:rPr>
      <w:rFonts w:ascii="宋体" w:eastAsia="Times New Roman"/>
      <w:kern w:val="2"/>
      <w:sz w:val="24"/>
      <w:szCs w:val="24"/>
      <w:lang w:val="en-US" w:eastAsia="zh-CN" w:bidi="ar-SA"/>
    </w:rPr>
  </w:style>
  <w:style w:type="paragraph" w:customStyle="1" w:styleId="128">
    <w:name w:val="标五"/>
    <w:next w:val="1"/>
    <w:link w:val="127"/>
    <w:qFormat/>
    <w:uiPriority w:val="0"/>
    <w:pPr>
      <w:tabs>
        <w:tab w:val="left" w:pos="421"/>
      </w:tabs>
      <w:spacing w:line="360" w:lineRule="auto"/>
      <w:ind w:left="421" w:hanging="420"/>
      <w:outlineLvl w:val="4"/>
    </w:pPr>
    <w:rPr>
      <w:rFonts w:ascii="宋体" w:hAnsi="Times New Roman" w:eastAsia="Times New Roman" w:cs="Times New Roman"/>
      <w:kern w:val="2"/>
      <w:sz w:val="24"/>
      <w:szCs w:val="24"/>
      <w:lang w:val="en-US" w:eastAsia="zh-CN" w:bidi="ar-SA"/>
    </w:rPr>
  </w:style>
  <w:style w:type="character" w:customStyle="1" w:styleId="129">
    <w:name w:val=" Char Char8"/>
    <w:qFormat/>
    <w:uiPriority w:val="0"/>
    <w:rPr>
      <w:rFonts w:ascii="Arial" w:hAnsi="Arial" w:eastAsia="黑体"/>
      <w:b/>
      <w:bCs/>
      <w:kern w:val="2"/>
      <w:sz w:val="32"/>
      <w:szCs w:val="32"/>
      <w:lang w:val="en-US" w:eastAsia="zh-CN" w:bidi="ar-SA"/>
    </w:rPr>
  </w:style>
  <w:style w:type="character" w:customStyle="1" w:styleId="130">
    <w:name w:val="textcontents"/>
    <w:qFormat/>
    <w:uiPriority w:val="0"/>
    <w:rPr>
      <w:rFonts w:cs="Times New Roman"/>
    </w:rPr>
  </w:style>
  <w:style w:type="character" w:customStyle="1" w:styleId="131">
    <w:name w:val="副标题 Char1"/>
    <w:qFormat/>
    <w:uiPriority w:val="0"/>
    <w:rPr>
      <w:rFonts w:ascii="Cambria" w:hAnsi="Cambria" w:cs="Times New Roman"/>
      <w:b/>
      <w:bCs/>
      <w:kern w:val="28"/>
      <w:sz w:val="32"/>
      <w:szCs w:val="32"/>
    </w:rPr>
  </w:style>
  <w:style w:type="character" w:customStyle="1" w:styleId="132">
    <w:name w:val="标四 Char Char"/>
    <w:link w:val="133"/>
    <w:qFormat/>
    <w:locked/>
    <w:uiPriority w:val="0"/>
    <w:rPr>
      <w:rFonts w:ascii="仿宋_GB2312" w:eastAsia="仿宋_GB2312"/>
      <w:kern w:val="2"/>
      <w:sz w:val="24"/>
      <w:szCs w:val="24"/>
      <w:lang w:val="en-US" w:eastAsia="zh-CN" w:bidi="ar-SA"/>
    </w:rPr>
  </w:style>
  <w:style w:type="paragraph" w:customStyle="1" w:styleId="133">
    <w:name w:val="标四"/>
    <w:next w:val="1"/>
    <w:link w:val="132"/>
    <w:qFormat/>
    <w:uiPriority w:val="0"/>
    <w:pPr>
      <w:tabs>
        <w:tab w:val="left" w:pos="420"/>
      </w:tabs>
      <w:spacing w:line="360" w:lineRule="auto"/>
      <w:ind w:firstLine="214" w:firstLineChars="89"/>
      <w:outlineLvl w:val="3"/>
    </w:pPr>
    <w:rPr>
      <w:rFonts w:ascii="仿宋_GB2312" w:hAnsi="Times New Roman" w:eastAsia="仿宋_GB2312" w:cs="Times New Roman"/>
      <w:kern w:val="2"/>
      <w:sz w:val="24"/>
      <w:szCs w:val="24"/>
      <w:lang w:val="en-US" w:eastAsia="zh-CN" w:bidi="ar-SA"/>
    </w:rPr>
  </w:style>
  <w:style w:type="character" w:customStyle="1" w:styleId="134">
    <w:name w:val="A正文 Char Char Char"/>
    <w:qFormat/>
    <w:uiPriority w:val="0"/>
    <w:rPr>
      <w:rFonts w:eastAsia="宋体"/>
      <w:kern w:val="2"/>
      <w:sz w:val="24"/>
      <w:szCs w:val="24"/>
      <w:lang w:val="en-US" w:eastAsia="zh-CN"/>
    </w:rPr>
  </w:style>
  <w:style w:type="character" w:customStyle="1" w:styleId="135">
    <w:name w:val="五号正文项目（标准） Char Char"/>
    <w:link w:val="136"/>
    <w:qFormat/>
    <w:locked/>
    <w:uiPriority w:val="0"/>
    <w:rPr>
      <w:rFonts w:ascii="仿宋_GB2312" w:hAnsi="宋体" w:eastAsia="仿宋_GB2312"/>
      <w:color w:val="000000"/>
      <w:sz w:val="24"/>
      <w:szCs w:val="24"/>
    </w:rPr>
  </w:style>
  <w:style w:type="paragraph" w:customStyle="1" w:styleId="136">
    <w:name w:val="五号正文项目（标准）"/>
    <w:basedOn w:val="1"/>
    <w:link w:val="135"/>
    <w:qFormat/>
    <w:uiPriority w:val="0"/>
    <w:pPr>
      <w:spacing w:line="400" w:lineRule="exact"/>
      <w:jc w:val="left"/>
    </w:pPr>
    <w:rPr>
      <w:rFonts w:ascii="仿宋_GB2312" w:hAnsi="宋体" w:eastAsia="仿宋_GB2312"/>
      <w:color w:val="000000"/>
      <w:kern w:val="0"/>
      <w:sz w:val="24"/>
    </w:rPr>
  </w:style>
  <w:style w:type="character" w:customStyle="1" w:styleId="137">
    <w:name w:val="批注主题 Char1"/>
    <w:qFormat/>
    <w:uiPriority w:val="0"/>
    <w:rPr>
      <w:b/>
      <w:bCs/>
      <w:kern w:val="2"/>
      <w:sz w:val="21"/>
      <w:szCs w:val="22"/>
    </w:rPr>
  </w:style>
  <w:style w:type="character" w:customStyle="1" w:styleId="138">
    <w:name w:val="批注文字 Char"/>
    <w:qFormat/>
    <w:uiPriority w:val="0"/>
    <w:rPr>
      <w:rFonts w:eastAsia="宋体"/>
      <w:kern w:val="2"/>
      <w:sz w:val="21"/>
      <w:szCs w:val="24"/>
      <w:lang w:val="en-US" w:eastAsia="zh-CN" w:bidi="ar-SA"/>
    </w:rPr>
  </w:style>
  <w:style w:type="character" w:customStyle="1" w:styleId="139">
    <w:name w:val="font161"/>
    <w:qFormat/>
    <w:uiPriority w:val="0"/>
    <w:rPr>
      <w:b/>
      <w:bCs/>
      <w:sz w:val="32"/>
      <w:szCs w:val="32"/>
    </w:rPr>
  </w:style>
  <w:style w:type="character" w:customStyle="1" w:styleId="140">
    <w:name w:val="日期 Char1"/>
    <w:qFormat/>
    <w:uiPriority w:val="0"/>
    <w:rPr>
      <w:kern w:val="2"/>
      <w:sz w:val="21"/>
      <w:szCs w:val="22"/>
    </w:rPr>
  </w:style>
  <w:style w:type="character" w:customStyle="1" w:styleId="141">
    <w:name w:val="明显引用 Char1"/>
    <w:qFormat/>
    <w:uiPriority w:val="99"/>
    <w:rPr>
      <w:b/>
      <w:bCs/>
      <w:i/>
      <w:iCs/>
      <w:color w:val="4F81BD"/>
      <w:kern w:val="2"/>
      <w:sz w:val="21"/>
      <w:szCs w:val="24"/>
    </w:rPr>
  </w:style>
  <w:style w:type="character" w:customStyle="1" w:styleId="142">
    <w:name w:val="标三 Char Char"/>
    <w:link w:val="143"/>
    <w:qFormat/>
    <w:locked/>
    <w:uiPriority w:val="0"/>
    <w:rPr>
      <w:rFonts w:ascii="宋体" w:eastAsia="Times New Roman"/>
      <w:kern w:val="2"/>
      <w:sz w:val="32"/>
      <w:szCs w:val="32"/>
      <w:lang w:val="en-US" w:eastAsia="zh-CN" w:bidi="ar-SA"/>
    </w:rPr>
  </w:style>
  <w:style w:type="paragraph" w:customStyle="1" w:styleId="143">
    <w:name w:val="标三"/>
    <w:next w:val="1"/>
    <w:link w:val="142"/>
    <w:qFormat/>
    <w:uiPriority w:val="0"/>
    <w:pPr>
      <w:ind w:left="1260" w:leftChars="600" w:firstLine="314" w:firstLineChars="98"/>
      <w:outlineLvl w:val="2"/>
    </w:pPr>
    <w:rPr>
      <w:rFonts w:ascii="宋体" w:hAnsi="Times New Roman" w:eastAsia="Times New Roman" w:cs="Times New Roman"/>
      <w:kern w:val="2"/>
      <w:sz w:val="32"/>
      <w:szCs w:val="32"/>
      <w:lang w:val="en-US" w:eastAsia="zh-CN" w:bidi="ar-SA"/>
    </w:rPr>
  </w:style>
  <w:style w:type="character" w:customStyle="1" w:styleId="144">
    <w:name w:val="Para head"/>
    <w:qFormat/>
    <w:uiPriority w:val="0"/>
    <w:rPr>
      <w:rFonts w:ascii="Arial" w:hAnsi="Arial" w:eastAsia="Times New Roman"/>
      <w:sz w:val="20"/>
    </w:rPr>
  </w:style>
  <w:style w:type="character" w:customStyle="1" w:styleId="145">
    <w:name w:val="正文首行缩进 2 Char1"/>
    <w:qFormat/>
    <w:uiPriority w:val="0"/>
  </w:style>
  <w:style w:type="character" w:customStyle="1" w:styleId="146">
    <w:name w:val="批注文字 Char Char"/>
    <w:qFormat/>
    <w:uiPriority w:val="0"/>
    <w:rPr>
      <w:rFonts w:ascii="宋体" w:hAnsi="Times New Roman" w:eastAsia="宋体" w:cs="Times New Roman"/>
      <w:sz w:val="28"/>
      <w:szCs w:val="20"/>
    </w:rPr>
  </w:style>
  <w:style w:type="character" w:customStyle="1" w:styleId="147">
    <w:name w:val="A正文 Char Char1"/>
    <w:link w:val="148"/>
    <w:qFormat/>
    <w:locked/>
    <w:uiPriority w:val="0"/>
    <w:rPr>
      <w:sz w:val="24"/>
      <w:szCs w:val="24"/>
    </w:rPr>
  </w:style>
  <w:style w:type="paragraph" w:customStyle="1" w:styleId="148">
    <w:name w:val="A正文 Char"/>
    <w:basedOn w:val="1"/>
    <w:link w:val="147"/>
    <w:qFormat/>
    <w:uiPriority w:val="0"/>
    <w:pPr>
      <w:spacing w:line="360" w:lineRule="auto"/>
      <w:ind w:left="840" w:leftChars="400" w:firstLine="480" w:firstLineChars="200"/>
    </w:pPr>
    <w:rPr>
      <w:kern w:val="0"/>
      <w:sz w:val="24"/>
    </w:rPr>
  </w:style>
  <w:style w:type="character" w:customStyle="1" w:styleId="149">
    <w:name w:val="apple-style-span"/>
    <w:qFormat/>
    <w:uiPriority w:val="0"/>
  </w:style>
  <w:style w:type="character" w:customStyle="1" w:styleId="150">
    <w:name w:val="批注主题 Char2"/>
    <w:qFormat/>
    <w:uiPriority w:val="0"/>
    <w:rPr>
      <w:kern w:val="2"/>
      <w:sz w:val="21"/>
      <w:szCs w:val="24"/>
    </w:rPr>
  </w:style>
  <w:style w:type="character" w:customStyle="1" w:styleId="151">
    <w:name w:val="样式 标题 2 + 小三 Char Char Char"/>
    <w:link w:val="152"/>
    <w:qFormat/>
    <w:locked/>
    <w:uiPriority w:val="0"/>
    <w:rPr>
      <w:rFonts w:ascii="Arial" w:hAnsi="Arial" w:eastAsia="黑体"/>
      <w:b/>
      <w:bCs/>
      <w:sz w:val="32"/>
      <w:szCs w:val="32"/>
    </w:rPr>
  </w:style>
  <w:style w:type="paragraph" w:customStyle="1" w:styleId="152">
    <w:name w:val="样式 标题 2 + 小三 Char"/>
    <w:basedOn w:val="3"/>
    <w:link w:val="151"/>
    <w:qFormat/>
    <w:uiPriority w:val="0"/>
    <w:pPr>
      <w:widowControl w:val="0"/>
      <w:spacing w:before="260" w:after="260" w:line="413" w:lineRule="auto"/>
    </w:pPr>
    <w:rPr>
      <w:rFonts w:ascii="Arial" w:hAnsi="Arial" w:eastAsia="黑体"/>
      <w:bCs/>
      <w:color w:val="auto"/>
      <w:sz w:val="32"/>
      <w:szCs w:val="32"/>
    </w:rPr>
  </w:style>
  <w:style w:type="character" w:customStyle="1" w:styleId="153">
    <w:name w:val="_Style 150"/>
    <w:qFormat/>
    <w:uiPriority w:val="0"/>
    <w:rPr>
      <w:smallCaps/>
      <w:color w:val="C0504D"/>
      <w:u w:val="single"/>
    </w:rPr>
  </w:style>
  <w:style w:type="character" w:customStyle="1" w:styleId="154">
    <w:name w:val="正文首行缩进 Char1"/>
    <w:qFormat/>
    <w:uiPriority w:val="0"/>
  </w:style>
  <w:style w:type="character" w:customStyle="1" w:styleId="155">
    <w:name w:val="正文内容首行缩进2字符 Char Char"/>
    <w:link w:val="156"/>
    <w:qFormat/>
    <w:locked/>
    <w:uiPriority w:val="0"/>
    <w:rPr>
      <w:rFonts w:ascii="Arial" w:hAnsi="Arial"/>
      <w:sz w:val="24"/>
      <w:szCs w:val="24"/>
      <w:shd w:val="solid" w:color="F6FBFE" w:fill="auto"/>
    </w:rPr>
  </w:style>
  <w:style w:type="paragraph" w:customStyle="1" w:styleId="156">
    <w:name w:val="正文内容首行缩进2字符"/>
    <w:basedOn w:val="1"/>
    <w:link w:val="155"/>
    <w:qFormat/>
    <w:uiPriority w:val="0"/>
    <w:pPr>
      <w:widowControl/>
      <w:pBdr>
        <w:top w:val="none" w:color="000000" w:sz="0" w:space="0"/>
        <w:left w:val="none" w:color="000000" w:sz="0" w:space="0"/>
        <w:bottom w:val="none" w:color="000000" w:sz="0" w:space="0"/>
        <w:right w:val="none" w:color="000000" w:sz="0" w:space="0"/>
      </w:pBdr>
      <w:shd w:val="solid" w:color="F6FBFE" w:fill="auto"/>
      <w:wordWrap w:val="0"/>
      <w:overflowPunct w:val="0"/>
      <w:autoSpaceDN w:val="0"/>
      <w:adjustRightInd w:val="0"/>
      <w:spacing w:before="225" w:line="460" w:lineRule="exact"/>
      <w:ind w:firstLine="480" w:firstLineChars="200"/>
      <w:textAlignment w:val="baseline"/>
    </w:pPr>
    <w:rPr>
      <w:rFonts w:ascii="Arial" w:hAnsi="Arial"/>
      <w:kern w:val="0"/>
      <w:sz w:val="24"/>
      <w:shd w:val="solid" w:color="F6FBFE" w:fill="auto"/>
    </w:rPr>
  </w:style>
  <w:style w:type="character" w:customStyle="1" w:styleId="157">
    <w:name w:val="_Style 154"/>
    <w:qFormat/>
    <w:uiPriority w:val="0"/>
    <w:rPr>
      <w:b/>
      <w:bCs/>
      <w:i/>
      <w:iCs/>
      <w:color w:val="4F81BD"/>
    </w:rPr>
  </w:style>
  <w:style w:type="character" w:customStyle="1" w:styleId="158">
    <w:name w:val=" Char Char7"/>
    <w:qFormat/>
    <w:uiPriority w:val="0"/>
    <w:rPr>
      <w:rFonts w:ascii="Arial" w:hAnsi="Arial" w:eastAsia="黑体"/>
      <w:b/>
      <w:bCs/>
      <w:kern w:val="2"/>
      <w:sz w:val="32"/>
      <w:szCs w:val="32"/>
      <w:lang w:val="en-US" w:eastAsia="zh-CN" w:bidi="ar-SA"/>
    </w:rPr>
  </w:style>
  <w:style w:type="character" w:customStyle="1" w:styleId="159">
    <w:name w:val="样式3 Char Char"/>
    <w:link w:val="160"/>
    <w:qFormat/>
    <w:locked/>
    <w:uiPriority w:val="0"/>
    <w:rPr>
      <w:rFonts w:eastAsia="Arial"/>
      <w:b/>
      <w:bCs/>
      <w:kern w:val="2"/>
      <w:sz w:val="32"/>
      <w:szCs w:val="32"/>
    </w:rPr>
  </w:style>
  <w:style w:type="paragraph" w:customStyle="1" w:styleId="160">
    <w:name w:val="样式3"/>
    <w:basedOn w:val="4"/>
    <w:link w:val="159"/>
    <w:qFormat/>
    <w:uiPriority w:val="0"/>
    <w:pPr>
      <w:widowControl w:val="0"/>
      <w:numPr>
        <w:ilvl w:val="0"/>
        <w:numId w:val="0"/>
      </w:numPr>
      <w:tabs>
        <w:tab w:val="clear" w:pos="720"/>
      </w:tabs>
      <w:spacing w:before="260" w:after="260" w:line="415" w:lineRule="auto"/>
      <w:jc w:val="both"/>
    </w:pPr>
    <w:rPr>
      <w:rFonts w:eastAsia="Arial"/>
      <w:bCs/>
      <w:szCs w:val="32"/>
    </w:rPr>
  </w:style>
  <w:style w:type="character" w:customStyle="1" w:styleId="161">
    <w:name w:val="明显引用 字符"/>
    <w:link w:val="162"/>
    <w:qFormat/>
    <w:uiPriority w:val="0"/>
    <w:rPr>
      <w:b/>
      <w:bCs/>
      <w:i/>
      <w:iCs/>
      <w:color w:val="4F81BD"/>
      <w:kern w:val="2"/>
      <w:sz w:val="21"/>
      <w:szCs w:val="22"/>
    </w:rPr>
  </w:style>
  <w:style w:type="paragraph" w:styleId="162">
    <w:name w:val="Intense Quote"/>
    <w:basedOn w:val="1"/>
    <w:next w:val="1"/>
    <w:link w:val="161"/>
    <w:qFormat/>
    <w:uiPriority w:val="0"/>
    <w:pPr>
      <w:pBdr>
        <w:bottom w:val="single" w:color="4F81BD" w:sz="4" w:space="4"/>
      </w:pBdr>
      <w:spacing w:before="200" w:after="280"/>
      <w:ind w:left="936" w:right="936"/>
    </w:pPr>
    <w:rPr>
      <w:b/>
      <w:bCs/>
      <w:i/>
      <w:iCs/>
      <w:color w:val="4F81BD"/>
      <w:szCs w:val="22"/>
    </w:rPr>
  </w:style>
  <w:style w:type="character" w:customStyle="1" w:styleId="163">
    <w:name w:val="Table Text Char Char"/>
    <w:link w:val="164"/>
    <w:qFormat/>
    <w:locked/>
    <w:uiPriority w:val="0"/>
    <w:rPr>
      <w:rFonts w:ascii="Arial" w:hAnsi="Arial" w:eastAsia="Times New Roman"/>
      <w:kern w:val="2"/>
      <w:sz w:val="18"/>
      <w:szCs w:val="18"/>
      <w:lang w:val="en-US" w:eastAsia="zh-CN" w:bidi="ar-SA"/>
    </w:rPr>
  </w:style>
  <w:style w:type="paragraph" w:customStyle="1" w:styleId="164">
    <w:name w:val="Table Text"/>
    <w:link w:val="163"/>
    <w:qFormat/>
    <w:uiPriority w:val="0"/>
    <w:pPr>
      <w:snapToGrid w:val="0"/>
      <w:spacing w:before="80" w:after="80"/>
    </w:pPr>
    <w:rPr>
      <w:rFonts w:ascii="Arial" w:hAnsi="Arial" w:eastAsia="Times New Roman" w:cs="Times New Roman"/>
      <w:kern w:val="2"/>
      <w:sz w:val="18"/>
      <w:szCs w:val="18"/>
      <w:lang w:val="en-US" w:eastAsia="zh-CN" w:bidi="ar-SA"/>
    </w:rPr>
  </w:style>
  <w:style w:type="character" w:customStyle="1" w:styleId="165">
    <w:name w:val="标题4 Char Char"/>
    <w:link w:val="166"/>
    <w:qFormat/>
    <w:uiPriority w:val="0"/>
    <w:rPr>
      <w:rFonts w:ascii="Arial" w:hAnsi="Arial"/>
      <w:b/>
      <w:bCs/>
      <w:sz w:val="24"/>
      <w:szCs w:val="32"/>
    </w:rPr>
  </w:style>
  <w:style w:type="paragraph" w:customStyle="1" w:styleId="166">
    <w:name w:val="标题4"/>
    <w:basedOn w:val="3"/>
    <w:next w:val="26"/>
    <w:link w:val="165"/>
    <w:qFormat/>
    <w:uiPriority w:val="0"/>
    <w:pPr>
      <w:widowControl w:val="0"/>
      <w:spacing w:before="260" w:after="260" w:line="413" w:lineRule="auto"/>
    </w:pPr>
    <w:rPr>
      <w:rFonts w:ascii="Arial" w:hAnsi="Arial"/>
      <w:bCs/>
      <w:color w:val="auto"/>
      <w:sz w:val="24"/>
      <w:szCs w:val="32"/>
    </w:rPr>
  </w:style>
  <w:style w:type="character" w:customStyle="1" w:styleId="167">
    <w:name w:val="tytytyty Char Char"/>
    <w:link w:val="168"/>
    <w:qFormat/>
    <w:locked/>
    <w:uiPriority w:val="0"/>
    <w:rPr>
      <w:lang w:val="en-US" w:eastAsia="zh-CN"/>
    </w:rPr>
  </w:style>
  <w:style w:type="paragraph" w:customStyle="1" w:styleId="168">
    <w:name w:val="tytytyty"/>
    <w:basedOn w:val="148"/>
    <w:link w:val="167"/>
    <w:qFormat/>
    <w:uiPriority w:val="0"/>
    <w:pPr>
      <w:ind w:left="359" w:leftChars="171"/>
    </w:pPr>
    <w:rPr>
      <w:kern w:val="2"/>
    </w:rPr>
  </w:style>
  <w:style w:type="character" w:customStyle="1" w:styleId="169">
    <w:name w:val="标二 Char Char"/>
    <w:link w:val="170"/>
    <w:qFormat/>
    <w:locked/>
    <w:uiPriority w:val="0"/>
    <w:rPr>
      <w:rFonts w:ascii="宋体" w:eastAsia="Times New Roman"/>
      <w:b/>
      <w:bCs/>
      <w:spacing w:val="20"/>
      <w:kern w:val="2"/>
      <w:sz w:val="24"/>
      <w:szCs w:val="24"/>
      <w:lang w:val="en-US" w:eastAsia="zh-CN" w:bidi="ar-SA"/>
    </w:rPr>
  </w:style>
  <w:style w:type="paragraph" w:customStyle="1" w:styleId="170">
    <w:name w:val="标二"/>
    <w:next w:val="1"/>
    <w:link w:val="169"/>
    <w:qFormat/>
    <w:uiPriority w:val="0"/>
    <w:pPr>
      <w:numPr>
        <w:ilvl w:val="1"/>
        <w:numId w:val="1"/>
      </w:numPr>
      <w:tabs>
        <w:tab w:val="left" w:pos="0"/>
      </w:tabs>
      <w:ind w:left="567" w:hanging="567"/>
      <w:outlineLvl w:val="1"/>
    </w:pPr>
    <w:rPr>
      <w:rFonts w:ascii="宋体" w:hAnsi="Times New Roman" w:eastAsia="Times New Roman" w:cs="Times New Roman"/>
      <w:b/>
      <w:bCs/>
      <w:spacing w:val="20"/>
      <w:kern w:val="2"/>
      <w:sz w:val="24"/>
      <w:szCs w:val="24"/>
      <w:lang w:val="en-US" w:eastAsia="zh-CN" w:bidi="ar-SA"/>
    </w:rPr>
  </w:style>
  <w:style w:type="character" w:customStyle="1" w:styleId="171">
    <w:name w:val="内容 Char Char"/>
    <w:link w:val="172"/>
    <w:qFormat/>
    <w:locked/>
    <w:uiPriority w:val="0"/>
    <w:rPr>
      <w:sz w:val="24"/>
      <w:szCs w:val="24"/>
    </w:rPr>
  </w:style>
  <w:style w:type="paragraph" w:customStyle="1" w:styleId="172">
    <w:name w:val="内容"/>
    <w:basedOn w:val="1"/>
    <w:link w:val="171"/>
    <w:qFormat/>
    <w:uiPriority w:val="0"/>
    <w:pPr>
      <w:spacing w:line="360" w:lineRule="auto"/>
      <w:ind w:firstLine="480" w:firstLineChars="200"/>
    </w:pPr>
    <w:rPr>
      <w:kern w:val="0"/>
      <w:sz w:val="24"/>
    </w:rPr>
  </w:style>
  <w:style w:type="character" w:customStyle="1" w:styleId="173">
    <w:name w:val="五号正文（标准） Char Char"/>
    <w:link w:val="174"/>
    <w:qFormat/>
    <w:locked/>
    <w:uiPriority w:val="0"/>
    <w:rPr>
      <w:rFonts w:ascii="宋体" w:hAnsi="宋体"/>
      <w:sz w:val="24"/>
      <w:szCs w:val="24"/>
    </w:rPr>
  </w:style>
  <w:style w:type="paragraph" w:customStyle="1" w:styleId="174">
    <w:name w:val="五号正文（标准）"/>
    <w:basedOn w:val="1"/>
    <w:link w:val="173"/>
    <w:qFormat/>
    <w:uiPriority w:val="0"/>
    <w:pPr>
      <w:spacing w:line="360" w:lineRule="auto"/>
      <w:ind w:firstLine="360" w:firstLineChars="150"/>
    </w:pPr>
    <w:rPr>
      <w:rFonts w:ascii="宋体" w:hAnsi="宋体"/>
      <w:kern w:val="0"/>
      <w:sz w:val="24"/>
    </w:rPr>
  </w:style>
  <w:style w:type="character" w:customStyle="1" w:styleId="175">
    <w:name w:val="4正文 Char"/>
    <w:link w:val="176"/>
    <w:qFormat/>
    <w:uiPriority w:val="0"/>
    <w:rPr>
      <w:rFonts w:hAnsi="宋体"/>
      <w:spacing w:val="30"/>
      <w:kern w:val="2"/>
      <w:sz w:val="24"/>
      <w:szCs w:val="24"/>
      <w:lang w:val="en-GB"/>
    </w:rPr>
  </w:style>
  <w:style w:type="paragraph" w:customStyle="1" w:styleId="176">
    <w:name w:val="4正文"/>
    <w:basedOn w:val="23"/>
    <w:link w:val="175"/>
    <w:qFormat/>
    <w:uiPriority w:val="0"/>
    <w:pPr>
      <w:numPr>
        <w:ilvl w:val="0"/>
        <w:numId w:val="1"/>
      </w:numPr>
      <w:tabs>
        <w:tab w:val="left" w:pos="1758"/>
      </w:tabs>
      <w:adjustRightInd w:val="0"/>
      <w:snapToGrid w:val="0"/>
      <w:spacing w:before="218" w:beforeLines="70" w:after="218" w:afterLines="70" w:line="360" w:lineRule="exact"/>
      <w:textAlignment w:val="baseline"/>
    </w:pPr>
    <w:rPr>
      <w:rFonts w:hAnsi="宋体"/>
      <w:spacing w:val="30"/>
      <w:sz w:val="24"/>
      <w:szCs w:val="24"/>
      <w:lang w:val="en-GB"/>
    </w:rPr>
  </w:style>
  <w:style w:type="character" w:customStyle="1" w:styleId="177">
    <w:name w:val="文档结构图 Char1"/>
    <w:qFormat/>
    <w:uiPriority w:val="0"/>
    <w:rPr>
      <w:rFonts w:ascii="宋体"/>
      <w:kern w:val="2"/>
      <w:sz w:val="18"/>
      <w:szCs w:val="18"/>
    </w:rPr>
  </w:style>
  <w:style w:type="paragraph" w:customStyle="1" w:styleId="178">
    <w:name w:val="New 文章正文"/>
    <w:basedOn w:val="1"/>
    <w:qFormat/>
    <w:uiPriority w:val="0"/>
    <w:pPr>
      <w:ind w:firstLine="480" w:firstLineChars="200"/>
    </w:pPr>
    <w:rPr>
      <w:rFonts w:cs="宋体"/>
      <w:szCs w:val="22"/>
    </w:rPr>
  </w:style>
  <w:style w:type="paragraph" w:customStyle="1" w:styleId="179">
    <w:name w:val="extrafine"/>
    <w:basedOn w:val="1"/>
    <w:qFormat/>
    <w:uiPriority w:val="0"/>
    <w:pPr>
      <w:widowControl/>
      <w:spacing w:before="100" w:beforeAutospacing="1" w:after="100" w:afterAutospacing="1"/>
      <w:jc w:val="left"/>
    </w:pPr>
    <w:rPr>
      <w:rFonts w:ascii="Arial" w:hAnsi="Arial" w:cs="Arial"/>
      <w:kern w:val="0"/>
      <w:sz w:val="2"/>
      <w:szCs w:val="2"/>
    </w:rPr>
  </w:style>
  <w:style w:type="paragraph" w:customStyle="1" w:styleId="180">
    <w:name w:val="subwhite"/>
    <w:basedOn w:val="1"/>
    <w:qFormat/>
    <w:uiPriority w:val="0"/>
    <w:pPr>
      <w:widowControl/>
      <w:spacing w:before="100" w:beforeAutospacing="1" w:after="100" w:afterAutospacing="1"/>
      <w:jc w:val="left"/>
    </w:pPr>
    <w:rPr>
      <w:rFonts w:ascii="Helvetica" w:hAnsi="Helvetica" w:cs="Helvetica"/>
      <w:b/>
      <w:bCs/>
      <w:color w:val="FFFFFF"/>
      <w:kern w:val="0"/>
      <w:sz w:val="26"/>
      <w:szCs w:val="26"/>
    </w:rPr>
  </w:style>
  <w:style w:type="paragraph" w:customStyle="1" w:styleId="181">
    <w:name w:val="xl43"/>
    <w:basedOn w:val="1"/>
    <w:qFormat/>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182">
    <w:name w:val="默认段落字体 Para Char"/>
    <w:basedOn w:val="1"/>
    <w:qFormat/>
    <w:uiPriority w:val="0"/>
    <w:pPr>
      <w:adjustRightInd w:val="0"/>
      <w:spacing w:line="360" w:lineRule="auto"/>
    </w:pPr>
    <w:rPr>
      <w:kern w:val="0"/>
      <w:sz w:val="24"/>
      <w:szCs w:val="20"/>
    </w:rPr>
  </w:style>
  <w:style w:type="paragraph" w:customStyle="1" w:styleId="183">
    <w:name w:val="正文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4">
    <w:name w:val="defaultblue"/>
    <w:basedOn w:val="1"/>
    <w:qFormat/>
    <w:uiPriority w:val="0"/>
    <w:pPr>
      <w:widowControl/>
      <w:spacing w:before="100" w:beforeAutospacing="1" w:after="100" w:afterAutospacing="1"/>
      <w:jc w:val="left"/>
    </w:pPr>
    <w:rPr>
      <w:rFonts w:ascii="Arial" w:hAnsi="Arial" w:cs="Arial"/>
      <w:b/>
      <w:bCs/>
      <w:color w:val="003366"/>
      <w:kern w:val="0"/>
      <w:sz w:val="20"/>
      <w:szCs w:val="20"/>
    </w:rPr>
  </w:style>
  <w:style w:type="paragraph" w:customStyle="1" w:styleId="185">
    <w:name w:val="small"/>
    <w:basedOn w:val="1"/>
    <w:qFormat/>
    <w:uiPriority w:val="0"/>
    <w:pPr>
      <w:widowControl/>
      <w:spacing w:before="100" w:beforeAutospacing="1" w:after="100" w:afterAutospacing="1"/>
      <w:jc w:val="left"/>
    </w:pPr>
    <w:rPr>
      <w:rFonts w:ascii="Arial" w:hAnsi="Arial" w:cs="Arial"/>
      <w:kern w:val="0"/>
      <w:sz w:val="16"/>
      <w:szCs w:val="16"/>
    </w:rPr>
  </w:style>
  <w:style w:type="paragraph" w:customStyle="1" w:styleId="186">
    <w:name w:val="标准文件_五级条标题"/>
    <w:basedOn w:val="187"/>
    <w:next w:val="1"/>
    <w:qFormat/>
    <w:uiPriority w:val="0"/>
    <w:pPr>
      <w:tabs>
        <w:tab w:val="left" w:pos="425"/>
      </w:tabs>
      <w:spacing w:before="0" w:after="0"/>
      <w:jc w:val="left"/>
      <w:outlineLvl w:val="6"/>
    </w:pPr>
    <w:rPr>
      <w:sz w:val="24"/>
      <w:szCs w:val="24"/>
    </w:rPr>
  </w:style>
  <w:style w:type="paragraph" w:customStyle="1" w:styleId="187">
    <w:name w:val="标准文件_章标题"/>
    <w:next w:val="1"/>
    <w:qFormat/>
    <w:uiPriority w:val="0"/>
    <w:pPr>
      <w:tabs>
        <w:tab w:val="left" w:pos="425"/>
      </w:tabs>
      <w:adjustRightInd w:val="0"/>
      <w:snapToGrid w:val="0"/>
      <w:spacing w:before="240" w:after="240" w:line="300" w:lineRule="auto"/>
      <w:ind w:left="425" w:hanging="425"/>
      <w:jc w:val="center"/>
      <w:outlineLvl w:val="1"/>
    </w:pPr>
    <w:rPr>
      <w:rFonts w:ascii="黑体" w:hAnsi="Times New Roman" w:eastAsia="黑体" w:cs="黑体"/>
      <w:spacing w:val="2"/>
      <w:sz w:val="44"/>
      <w:szCs w:val="44"/>
      <w:lang w:val="en-US" w:eastAsia="zh-CN" w:bidi="ar-SA"/>
    </w:rPr>
  </w:style>
  <w:style w:type="paragraph" w:customStyle="1" w:styleId="188">
    <w:name w:val="Char Char Char Char"/>
    <w:basedOn w:val="1"/>
    <w:qFormat/>
    <w:uiPriority w:val="0"/>
    <w:pPr>
      <w:widowControl/>
    </w:pPr>
    <w:rPr>
      <w:rFonts w:ascii="Tahoma" w:hAnsi="Tahoma" w:cs="Tahoma"/>
      <w:kern w:val="0"/>
      <w:sz w:val="24"/>
    </w:rPr>
  </w:style>
  <w:style w:type="paragraph" w:customStyle="1" w:styleId="189">
    <w:name w:val="大标题"/>
    <w:basedOn w:val="2"/>
    <w:qFormat/>
    <w:uiPriority w:val="0"/>
    <w:pPr>
      <w:keepNext w:val="0"/>
      <w:widowControl w:val="0"/>
      <w:numPr>
        <w:ilvl w:val="0"/>
        <w:numId w:val="0"/>
      </w:numPr>
      <w:tabs>
        <w:tab w:val="clear" w:pos="432"/>
      </w:tabs>
      <w:outlineLvl w:val="9"/>
    </w:pPr>
    <w:rPr>
      <w:rFonts w:ascii="Times New Roman" w:eastAsia="隶书"/>
      <w:b/>
      <w:bCs/>
      <w:kern w:val="2"/>
      <w:sz w:val="44"/>
      <w:szCs w:val="44"/>
    </w:rPr>
  </w:style>
  <w:style w:type="paragraph" w:customStyle="1" w:styleId="190">
    <w:name w:val="表格文字"/>
    <w:basedOn w:val="1"/>
    <w:qFormat/>
    <w:uiPriority w:val="0"/>
    <w:pPr>
      <w:adjustRightInd w:val="0"/>
      <w:spacing w:line="420" w:lineRule="atLeast"/>
      <w:jc w:val="left"/>
      <w:textAlignment w:val="baseline"/>
    </w:pPr>
    <w:rPr>
      <w:kern w:val="0"/>
      <w:szCs w:val="20"/>
    </w:rPr>
  </w:style>
  <w:style w:type="paragraph" w:customStyle="1" w:styleId="191">
    <w:name w:val="缩进"/>
    <w:basedOn w:val="1"/>
    <w:qFormat/>
    <w:uiPriority w:val="0"/>
    <w:pPr>
      <w:adjustRightInd w:val="0"/>
      <w:snapToGrid w:val="0"/>
      <w:spacing w:before="156" w:beforeLines="50" w:after="156" w:afterLines="50" w:line="360" w:lineRule="auto"/>
      <w:ind w:firstLine="480" w:firstLineChars="200"/>
    </w:pPr>
    <w:rPr>
      <w:rFonts w:ascii="Verdana" w:hAnsi="Verdana"/>
      <w:sz w:val="24"/>
      <w:szCs w:val="22"/>
    </w:rPr>
  </w:style>
  <w:style w:type="paragraph" w:customStyle="1" w:styleId="192">
    <w:name w:val=" Char Char Char1 Char Char Char Char Char Char Char"/>
    <w:basedOn w:val="1"/>
    <w:qFormat/>
    <w:uiPriority w:val="0"/>
    <w:rPr>
      <w:szCs w:val="22"/>
    </w:rPr>
  </w:style>
  <w:style w:type="paragraph" w:customStyle="1" w:styleId="193">
    <w:name w:val="font8"/>
    <w:basedOn w:val="1"/>
    <w:qFormat/>
    <w:uiPriority w:val="0"/>
    <w:pPr>
      <w:widowControl/>
      <w:spacing w:before="100" w:beforeLines="0" w:beforeAutospacing="1" w:after="100" w:afterLines="0" w:afterAutospacing="1"/>
      <w:jc w:val="left"/>
    </w:pPr>
    <w:rPr>
      <w:rFonts w:hint="eastAsia" w:ascii="宋体" w:hAnsi="宋体" w:cs="Arial Unicode MS"/>
      <w:kern w:val="0"/>
      <w:sz w:val="20"/>
      <w:szCs w:val="20"/>
    </w:rPr>
  </w:style>
  <w:style w:type="paragraph" w:customStyle="1" w:styleId="194">
    <w:name w:val="Table caption|1"/>
    <w:basedOn w:val="1"/>
    <w:qFormat/>
    <w:uiPriority w:val="0"/>
    <w:pPr>
      <w:widowControl w:val="0"/>
      <w:shd w:val="clear" w:color="auto" w:fill="auto"/>
    </w:pPr>
    <w:rPr>
      <w:rFonts w:ascii="宋体" w:hAnsi="宋体" w:eastAsia="宋体" w:cs="宋体"/>
      <w:sz w:val="30"/>
      <w:szCs w:val="30"/>
      <w:u w:val="none"/>
      <w:shd w:val="clear" w:color="auto" w:fill="auto"/>
      <w:lang w:val="zh-TW" w:eastAsia="zh-TW" w:bidi="zh-TW"/>
    </w:rPr>
  </w:style>
  <w:style w:type="paragraph" w:customStyle="1" w:styleId="195">
    <w:name w:val="line2"/>
    <w:basedOn w:val="196"/>
    <w:qFormat/>
    <w:uiPriority w:val="0"/>
    <w:pPr>
      <w:pBdr>
        <w:top w:val="thickThinSmallGap" w:color="auto" w:sz="18" w:space="1"/>
      </w:pBdr>
      <w:spacing w:before="156"/>
    </w:pPr>
  </w:style>
  <w:style w:type="paragraph" w:customStyle="1" w:styleId="196">
    <w:name w:val="line1"/>
    <w:basedOn w:val="57"/>
    <w:next w:val="195"/>
    <w:qFormat/>
    <w:uiPriority w:val="0"/>
    <w:pPr>
      <w:pBdr>
        <w:top w:val="single" w:color="auto" w:sz="36" w:space="1"/>
      </w:pBdr>
      <w:spacing w:after="0"/>
      <w:jc w:val="right"/>
      <w:outlineLvl w:val="9"/>
    </w:pPr>
    <w:rPr>
      <w:kern w:val="28"/>
      <w:sz w:val="40"/>
      <w:szCs w:val="40"/>
    </w:rPr>
  </w:style>
  <w:style w:type="paragraph" w:customStyle="1" w:styleId="19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98">
    <w:name w:val="font0"/>
    <w:basedOn w:val="1"/>
    <w:qFormat/>
    <w:uiPriority w:val="0"/>
    <w:pPr>
      <w:widowControl/>
      <w:spacing w:before="100" w:beforeLines="0" w:beforeAutospacing="1" w:after="100" w:afterLines="0" w:afterAutospacing="1"/>
      <w:jc w:val="left"/>
    </w:pPr>
    <w:rPr>
      <w:rFonts w:hint="eastAsia" w:ascii="宋体" w:hAnsi="宋体" w:cs="Arial Unicode MS"/>
      <w:kern w:val="0"/>
      <w:sz w:val="24"/>
    </w:rPr>
  </w:style>
  <w:style w:type="paragraph" w:customStyle="1" w:styleId="199">
    <w:name w:val="缺省文本"/>
    <w:basedOn w:val="1"/>
    <w:qFormat/>
    <w:uiPriority w:val="0"/>
    <w:pPr>
      <w:autoSpaceDE w:val="0"/>
      <w:autoSpaceDN w:val="0"/>
      <w:adjustRightInd w:val="0"/>
      <w:jc w:val="left"/>
    </w:pPr>
    <w:rPr>
      <w:kern w:val="0"/>
      <w:sz w:val="20"/>
      <w:szCs w:val="20"/>
    </w:rPr>
  </w:style>
  <w:style w:type="paragraph" w:customStyle="1" w:styleId="200">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目录"/>
    <w:basedOn w:val="1"/>
    <w:qFormat/>
    <w:uiPriority w:val="0"/>
    <w:pPr>
      <w:widowControl/>
      <w:jc w:val="center"/>
    </w:pPr>
    <w:rPr>
      <w:rFonts w:ascii="宋体"/>
      <w:b/>
      <w:kern w:val="0"/>
      <w:sz w:val="36"/>
      <w:szCs w:val="20"/>
    </w:rPr>
  </w:style>
  <w:style w:type="paragraph" w:customStyle="1" w:styleId="202">
    <w:name w:val="xl41"/>
    <w:basedOn w:val="1"/>
    <w:qFormat/>
    <w:uiPriority w:val="0"/>
    <w:pPr>
      <w:widowControl/>
      <w:pBdr>
        <w:top w:val="single" w:color="auto" w:sz="4" w:space="0"/>
        <w:left w:val="single" w:color="auto" w:sz="4" w:space="0"/>
        <w:bottom w:val="single" w:color="auto" w:sz="8" w:space="0"/>
        <w:right w:val="single" w:color="auto" w:sz="8" w:space="0"/>
      </w:pBdr>
      <w:spacing w:before="100" w:beforeLines="0" w:beforeAutospacing="1" w:after="100" w:afterLines="0" w:afterAutospacing="1"/>
      <w:jc w:val="center"/>
    </w:pPr>
    <w:rPr>
      <w:rFonts w:ascii="Arial Unicode MS" w:hAnsi="Arial Unicode MS" w:eastAsia="Arial Unicode MS" w:cs="Arial Unicode MS"/>
      <w:kern w:val="0"/>
      <w:sz w:val="24"/>
    </w:rPr>
  </w:style>
  <w:style w:type="paragraph" w:customStyle="1" w:styleId="203">
    <w:name w:val="bianhao1"/>
    <w:basedOn w:val="168"/>
    <w:qFormat/>
    <w:uiPriority w:val="0"/>
    <w:pPr>
      <w:tabs>
        <w:tab w:val="left" w:pos="0"/>
      </w:tabs>
      <w:ind w:left="1385" w:leftChars="0" w:hanging="425" w:firstLineChars="0"/>
    </w:pPr>
  </w:style>
  <w:style w:type="paragraph" w:customStyle="1" w:styleId="204">
    <w:name w:val="菲页2"/>
    <w:basedOn w:val="4"/>
    <w:qFormat/>
    <w:uiPriority w:val="0"/>
    <w:rPr>
      <w:rFonts w:ascii="黑体" w:hAnsi="宋体" w:eastAsia="黑体"/>
      <w:b w:val="0"/>
      <w:sz w:val="44"/>
    </w:rPr>
  </w:style>
  <w:style w:type="paragraph" w:customStyle="1" w:styleId="205">
    <w:name w:val=" Char1"/>
    <w:basedOn w:val="1"/>
    <w:qFormat/>
    <w:uiPriority w:val="0"/>
    <w:pPr>
      <w:widowControl/>
      <w:spacing w:after="160" w:line="240" w:lineRule="exact"/>
      <w:jc w:val="left"/>
    </w:pPr>
    <w:rPr>
      <w:szCs w:val="20"/>
    </w:rPr>
  </w:style>
  <w:style w:type="paragraph" w:customStyle="1" w:styleId="206">
    <w:name w:val="_Style 203"/>
    <w:basedOn w:val="2"/>
    <w:next w:val="1"/>
    <w:qFormat/>
    <w:uiPriority w:val="0"/>
    <w:pPr>
      <w:keepLines/>
      <w:widowControl w:val="0"/>
      <w:numPr>
        <w:ilvl w:val="0"/>
        <w:numId w:val="0"/>
      </w:numPr>
      <w:tabs>
        <w:tab w:val="clear" w:pos="432"/>
      </w:tabs>
      <w:spacing w:before="340" w:after="330" w:line="576" w:lineRule="auto"/>
      <w:jc w:val="both"/>
      <w:outlineLvl w:val="9"/>
    </w:pPr>
    <w:rPr>
      <w:rFonts w:ascii="Calibri" w:hAnsi="Calibri" w:eastAsia="宋体"/>
      <w:b/>
      <w:bCs/>
      <w:kern w:val="44"/>
      <w:sz w:val="44"/>
      <w:szCs w:val="44"/>
    </w:rPr>
  </w:style>
  <w:style w:type="paragraph" w:customStyle="1" w:styleId="207">
    <w:name w:val="标准文件_三级条标题"/>
    <w:basedOn w:val="187"/>
    <w:next w:val="1"/>
    <w:qFormat/>
    <w:uiPriority w:val="0"/>
    <w:pPr>
      <w:spacing w:before="0" w:after="0"/>
      <w:jc w:val="left"/>
      <w:outlineLvl w:val="4"/>
    </w:pPr>
    <w:rPr>
      <w:sz w:val="24"/>
      <w:szCs w:val="24"/>
    </w:rPr>
  </w:style>
  <w:style w:type="paragraph" w:customStyle="1" w:styleId="208">
    <w:name w:val=" Char Char 字元 字元 字元 Char Char Char Char"/>
    <w:basedOn w:val="1"/>
    <w:qFormat/>
    <w:uiPriority w:val="0"/>
    <w:pPr>
      <w:adjustRightInd w:val="0"/>
      <w:spacing w:line="360" w:lineRule="auto"/>
    </w:pPr>
    <w:rPr>
      <w:kern w:val="0"/>
      <w:sz w:val="24"/>
      <w:szCs w:val="20"/>
    </w:rPr>
  </w:style>
  <w:style w:type="paragraph" w:customStyle="1" w:styleId="209">
    <w:name w:val="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0">
    <w:name w:val="Style Left:  1.5 cm Hanging:  0.75 cm"/>
    <w:basedOn w:val="1"/>
    <w:qFormat/>
    <w:uiPriority w:val="0"/>
    <w:pPr>
      <w:numPr>
        <w:ilvl w:val="0"/>
        <w:numId w:val="5"/>
      </w:numPr>
      <w:tabs>
        <w:tab w:val="left" w:pos="992"/>
      </w:tabs>
      <w:spacing w:after="120"/>
      <w:ind w:left="1134"/>
    </w:pPr>
    <w:rPr>
      <w:rFonts w:ascii="Arial" w:hAnsi="Arial" w:cs="Arial"/>
      <w:szCs w:val="21"/>
    </w:rPr>
  </w:style>
  <w:style w:type="paragraph" w:customStyle="1" w:styleId="211">
    <w:name w:val="_Style 208"/>
    <w:qFormat/>
    <w:uiPriority w:val="0"/>
    <w:rPr>
      <w:rFonts w:ascii="Times New Roman" w:hAnsi="Times New Roman" w:eastAsia="宋体" w:cs="Times New Roman"/>
      <w:kern w:val="2"/>
      <w:sz w:val="21"/>
      <w:szCs w:val="24"/>
      <w:lang w:val="en-US" w:eastAsia="zh-CN" w:bidi="ar-SA"/>
    </w:rPr>
  </w:style>
  <w:style w:type="paragraph" w:customStyle="1" w:styleId="212">
    <w:name w:val="Char Char"/>
    <w:basedOn w:val="1"/>
    <w:qFormat/>
    <w:uiPriority w:val="0"/>
    <w:rPr>
      <w:rFonts w:ascii="仿宋_GB2312" w:eastAsia="仿宋_GB2312"/>
      <w:b/>
      <w:sz w:val="32"/>
      <w:szCs w:val="32"/>
    </w:rPr>
  </w:style>
  <w:style w:type="paragraph" w:customStyle="1" w:styleId="213">
    <w:name w:val="样式 标题 2 + Times New Roman 四号 非加粗 段前: 5 磅 段后: 0 磅 行距: 固定值 20..."/>
    <w:basedOn w:val="3"/>
    <w:qFormat/>
    <w:uiPriority w:val="0"/>
    <w:pPr>
      <w:widowControl w:val="0"/>
      <w:spacing w:before="100" w:line="400" w:lineRule="exact"/>
      <w:jc w:val="both"/>
    </w:pPr>
    <w:rPr>
      <w:rFonts w:ascii="Times New Roman" w:hAnsi="Times New Roman" w:eastAsia="黑体" w:cs="宋体"/>
      <w:b w:val="0"/>
      <w:color w:val="auto"/>
      <w:kern w:val="2"/>
      <w:sz w:val="28"/>
    </w:rPr>
  </w:style>
  <w:style w:type="paragraph" w:customStyle="1" w:styleId="214">
    <w:name w:val="bluesmall"/>
    <w:basedOn w:val="1"/>
    <w:qFormat/>
    <w:uiPriority w:val="0"/>
    <w:pPr>
      <w:widowControl/>
      <w:spacing w:before="100" w:beforeAutospacing="1" w:after="100" w:afterAutospacing="1"/>
      <w:jc w:val="left"/>
    </w:pPr>
    <w:rPr>
      <w:rFonts w:ascii="Arial" w:hAnsi="Arial" w:cs="Arial"/>
      <w:color w:val="003366"/>
      <w:kern w:val="0"/>
      <w:sz w:val="16"/>
      <w:szCs w:val="16"/>
    </w:rPr>
  </w:style>
  <w:style w:type="paragraph" w:customStyle="1" w:styleId="215">
    <w:name w:val="xl32"/>
    <w:basedOn w:val="1"/>
    <w:qFormat/>
    <w:uiPriority w:val="0"/>
    <w:pPr>
      <w:widowControl/>
      <w:spacing w:before="100" w:beforeLines="0" w:beforeAutospacing="1" w:after="100" w:afterLines="0" w:afterAutospacing="1"/>
      <w:jc w:val="center"/>
      <w:textAlignment w:val="center"/>
    </w:pPr>
    <w:rPr>
      <w:rFonts w:ascii="Arial Unicode MS" w:hAnsi="Arial Unicode MS" w:eastAsia="Arial Unicode MS" w:cs="Arial Unicode MS"/>
      <w:b/>
      <w:bCs/>
      <w:kern w:val="0"/>
      <w:sz w:val="40"/>
      <w:szCs w:val="40"/>
    </w:rPr>
  </w:style>
  <w:style w:type="paragraph" w:customStyle="1" w:styleId="216">
    <w:name w:val="font7"/>
    <w:basedOn w:val="1"/>
    <w:qFormat/>
    <w:uiPriority w:val="0"/>
    <w:pPr>
      <w:widowControl/>
      <w:spacing w:before="100" w:beforeLines="0" w:beforeAutospacing="1" w:after="100" w:afterLines="0" w:afterAutospacing="1"/>
      <w:jc w:val="left"/>
    </w:pPr>
    <w:rPr>
      <w:rFonts w:eastAsia="Arial Unicode MS"/>
      <w:kern w:val="0"/>
      <w:sz w:val="24"/>
    </w:rPr>
  </w:style>
  <w:style w:type="paragraph" w:customStyle="1" w:styleId="217">
    <w:name w:val="xl24"/>
    <w:basedOn w:val="1"/>
    <w:qFormat/>
    <w:uiPriority w:val="0"/>
    <w:pPr>
      <w:widowControl/>
      <w:spacing w:before="100" w:beforeLines="0" w:beforeAutospacing="1" w:after="100" w:afterLines="0" w:afterAutospacing="1"/>
      <w:jc w:val="center"/>
    </w:pPr>
    <w:rPr>
      <w:rFonts w:ascii="Arial Unicode MS" w:hAnsi="Arial Unicode MS" w:eastAsia="Arial Unicode MS" w:cs="Arial Unicode MS"/>
      <w:kern w:val="0"/>
      <w:sz w:val="44"/>
      <w:szCs w:val="44"/>
    </w:rPr>
  </w:style>
  <w:style w:type="paragraph" w:customStyle="1" w:styleId="218">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219">
    <w:name w:val="Pa6"/>
    <w:basedOn w:val="1"/>
    <w:next w:val="1"/>
    <w:qFormat/>
    <w:uiPriority w:val="0"/>
    <w:pPr>
      <w:autoSpaceDE w:val="0"/>
      <w:autoSpaceDN w:val="0"/>
      <w:adjustRightInd w:val="0"/>
      <w:spacing w:line="160" w:lineRule="atLeast"/>
      <w:jc w:val="left"/>
    </w:pPr>
    <w:rPr>
      <w:rFonts w:ascii="黑体" w:eastAsia="黑体"/>
      <w:kern w:val="0"/>
      <w:sz w:val="24"/>
    </w:rPr>
  </w:style>
  <w:style w:type="paragraph" w:customStyle="1" w:styleId="220">
    <w:name w:val="封面标注"/>
    <w:basedOn w:val="1"/>
    <w:next w:val="1"/>
    <w:qFormat/>
    <w:uiPriority w:val="0"/>
    <w:pPr>
      <w:spacing w:beforeLines="50"/>
      <w:ind w:firstLine="2600" w:firstLineChars="2600"/>
    </w:pPr>
    <w:rPr>
      <w:rFonts w:eastAsia="黑体"/>
      <w:b/>
      <w:bCs/>
      <w:szCs w:val="21"/>
    </w:rPr>
  </w:style>
  <w:style w:type="paragraph" w:customStyle="1" w:styleId="221">
    <w:name w:val="default"/>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222">
    <w:name w:val="正文 New New"/>
    <w:qFormat/>
    <w:uiPriority w:val="0"/>
    <w:pPr>
      <w:widowControl w:val="0"/>
      <w:jc w:val="both"/>
    </w:pPr>
    <w:rPr>
      <w:rFonts w:ascii="Times New Roman" w:hAnsi="Times New Roman" w:eastAsia="宋体" w:cs="Times New Roman"/>
      <w:lang w:val="en-US" w:eastAsia="zh-CN" w:bidi="ar-SA"/>
    </w:rPr>
  </w:style>
  <w:style w:type="paragraph" w:customStyle="1" w:styleId="223">
    <w:name w:val="正文2"/>
    <w:basedOn w:val="1"/>
    <w:qFormat/>
    <w:uiPriority w:val="0"/>
    <w:pPr>
      <w:keepLines/>
      <w:widowControl/>
      <w:adjustRightInd w:val="0"/>
      <w:snapToGrid w:val="0"/>
      <w:spacing w:before="218" w:beforeLines="70" w:after="218" w:afterLines="70" w:line="360" w:lineRule="exact"/>
      <w:ind w:left="1247"/>
      <w:textAlignment w:val="baseline"/>
    </w:pPr>
    <w:rPr>
      <w:rFonts w:cs="Arial"/>
      <w:snapToGrid w:val="0"/>
      <w:spacing w:val="30"/>
      <w:kern w:val="0"/>
      <w:sz w:val="24"/>
      <w:lang w:val="en-GB"/>
    </w:rPr>
  </w:style>
  <w:style w:type="paragraph" w:customStyle="1" w:styleId="224">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cs="Arial Unicode MS"/>
      <w:b/>
      <w:bCs/>
      <w:kern w:val="0"/>
      <w:sz w:val="24"/>
    </w:rPr>
  </w:style>
  <w:style w:type="paragraph" w:customStyle="1" w:styleId="225">
    <w:name w:val="段"/>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226">
    <w:name w:val="NW加重项"/>
    <w:next w:val="227"/>
    <w:qFormat/>
    <w:uiPriority w:val="0"/>
    <w:pPr>
      <w:keepNext/>
      <w:spacing w:before="240" w:after="120"/>
    </w:pPr>
    <w:rPr>
      <w:rFonts w:ascii="Times New Roman" w:hAnsi="Times New Roman" w:eastAsia="宋体" w:cs="Times New Roman"/>
      <w:b/>
      <w:bCs/>
      <w:sz w:val="24"/>
      <w:szCs w:val="24"/>
      <w:lang w:val="en-US" w:eastAsia="zh-CN" w:bidi="ar-SA"/>
    </w:rPr>
  </w:style>
  <w:style w:type="paragraph" w:customStyle="1" w:styleId="227">
    <w:name w:val="NW正文"/>
    <w:basedOn w:val="24"/>
    <w:qFormat/>
    <w:uiPriority w:val="0"/>
    <w:pPr>
      <w:widowControl w:val="0"/>
      <w:overflowPunct/>
      <w:autoSpaceDE/>
      <w:autoSpaceDN/>
      <w:adjustRightInd/>
      <w:spacing w:before="120" w:line="240" w:lineRule="auto"/>
      <w:ind w:left="420" w:firstLine="425"/>
      <w:textAlignment w:val="auto"/>
    </w:pPr>
    <w:rPr>
      <w:rFonts w:ascii="Arial" w:hAnsi="Arial" w:cs="Arial"/>
      <w:spacing w:val="0"/>
      <w:szCs w:val="24"/>
    </w:rPr>
  </w:style>
  <w:style w:type="paragraph" w:customStyle="1" w:styleId="228">
    <w:name w:val="正文段"/>
    <w:basedOn w:val="1"/>
    <w:qFormat/>
    <w:uiPriority w:val="0"/>
    <w:pPr>
      <w:snapToGrid w:val="0"/>
      <w:spacing w:after="240" w:line="240" w:lineRule="atLeast"/>
      <w:ind w:firstLine="425"/>
    </w:pPr>
    <w:rPr>
      <w:rFonts w:ascii="宋体"/>
      <w:sz w:val="24"/>
      <w:szCs w:val="20"/>
    </w:rPr>
  </w:style>
  <w:style w:type="paragraph" w:styleId="229">
    <w:name w:val="List Paragraph"/>
    <w:basedOn w:val="1"/>
    <w:qFormat/>
    <w:uiPriority w:val="0"/>
    <w:pPr>
      <w:ind w:firstLine="420" w:firstLineChars="200"/>
    </w:pPr>
    <w:rPr>
      <w:rFonts w:ascii="Calibri" w:hAnsi="Calibri"/>
      <w:szCs w:val="22"/>
    </w:rPr>
  </w:style>
  <w:style w:type="paragraph" w:customStyle="1" w:styleId="230">
    <w:name w:val="Char1"/>
    <w:basedOn w:val="1"/>
    <w:qFormat/>
    <w:uiPriority w:val="0"/>
    <w:pPr>
      <w:tabs>
        <w:tab w:val="left" w:pos="360"/>
      </w:tabs>
    </w:pPr>
    <w:rPr>
      <w:sz w:val="24"/>
    </w:rPr>
  </w:style>
  <w:style w:type="paragraph" w:customStyle="1" w:styleId="231">
    <w:name w:val="Section2"/>
    <w:basedOn w:val="1"/>
    <w:qFormat/>
    <w:uiPriority w:val="0"/>
    <w:pPr>
      <w:widowControl/>
      <w:tabs>
        <w:tab w:val="left" w:pos="720"/>
      </w:tabs>
      <w:spacing w:after="120"/>
      <w:ind w:left="360" w:hanging="360"/>
    </w:pPr>
    <w:rPr>
      <w:rFonts w:ascii="仿宋体" w:eastAsia="仿宋体" w:cs="仿宋体"/>
      <w:b/>
      <w:bCs/>
      <w:kern w:val="0"/>
      <w:sz w:val="26"/>
      <w:szCs w:val="26"/>
    </w:rPr>
  </w:style>
  <w:style w:type="paragraph" w:customStyle="1" w:styleId="232">
    <w:name w:val="我的正文"/>
    <w:basedOn w:val="1"/>
    <w:qFormat/>
    <w:uiPriority w:val="0"/>
    <w:pPr>
      <w:spacing w:line="360" w:lineRule="auto"/>
      <w:ind w:firstLine="200" w:firstLineChars="200"/>
    </w:pPr>
    <w:rPr>
      <w:szCs w:val="21"/>
      <w:lang w:val="zh-CN"/>
    </w:rPr>
  </w:style>
  <w:style w:type="paragraph" w:customStyle="1" w:styleId="233">
    <w:name w:val="列出段落1"/>
    <w:basedOn w:val="1"/>
    <w:qFormat/>
    <w:uiPriority w:val="99"/>
    <w:pPr>
      <w:ind w:firstLine="420" w:firstLineChars="200"/>
    </w:pPr>
    <w:rPr>
      <w:rFonts w:ascii="Calibri" w:hAnsi="Calibri" w:eastAsia="宋体" w:cs="Times New Roman"/>
      <w:szCs w:val="21"/>
    </w:rPr>
  </w:style>
  <w:style w:type="paragraph" w:customStyle="1" w:styleId="234">
    <w:name w:val="章标题"/>
    <w:basedOn w:val="1"/>
    <w:qFormat/>
    <w:uiPriority w:val="0"/>
    <w:pPr>
      <w:numPr>
        <w:ilvl w:val="2"/>
        <w:numId w:val="6"/>
      </w:numPr>
    </w:pPr>
    <w:rPr>
      <w:szCs w:val="22"/>
    </w:rPr>
  </w:style>
  <w:style w:type="paragraph" w:customStyle="1" w:styleId="235">
    <w:name w:val="LJT加重"/>
    <w:next w:val="1"/>
    <w:qFormat/>
    <w:uiPriority w:val="0"/>
    <w:pPr>
      <w:keepNext/>
      <w:spacing w:before="240" w:after="120"/>
    </w:pPr>
    <w:rPr>
      <w:rFonts w:ascii="Times New Roman" w:hAnsi="Times New Roman" w:eastAsia="宋体" w:cs="Times New Roman"/>
      <w:b/>
      <w:bCs/>
      <w:sz w:val="24"/>
      <w:szCs w:val="24"/>
      <w:lang w:val="en-US" w:eastAsia="zh-CN" w:bidi="ar-SA"/>
    </w:rPr>
  </w:style>
  <w:style w:type="paragraph" w:customStyle="1" w:styleId="236">
    <w:name w:val="Heading #1|1"/>
    <w:basedOn w:val="1"/>
    <w:qFormat/>
    <w:uiPriority w:val="0"/>
    <w:pPr>
      <w:widowControl w:val="0"/>
      <w:shd w:val="clear" w:color="auto" w:fill="auto"/>
      <w:spacing w:before="1880" w:after="820"/>
      <w:outlineLvl w:val="0"/>
    </w:pPr>
    <w:rPr>
      <w:rFonts w:ascii="宋体" w:hAnsi="宋体" w:eastAsia="宋体" w:cs="宋体"/>
      <w:sz w:val="104"/>
      <w:szCs w:val="104"/>
      <w:u w:val="none"/>
      <w:shd w:val="clear" w:color="auto" w:fill="auto"/>
      <w:lang w:val="zh-TW" w:eastAsia="zh-TW" w:bidi="zh-TW"/>
    </w:rPr>
  </w:style>
  <w:style w:type="paragraph" w:customStyle="1" w:styleId="237">
    <w:name w:val="subhead"/>
    <w:basedOn w:val="1"/>
    <w:qFormat/>
    <w:uiPriority w:val="0"/>
    <w:pPr>
      <w:widowControl/>
      <w:spacing w:before="100" w:beforeAutospacing="1" w:after="100" w:afterAutospacing="1"/>
      <w:jc w:val="left"/>
    </w:pPr>
    <w:rPr>
      <w:rFonts w:ascii="Helvetica" w:hAnsi="Helvetica" w:cs="Helvetica"/>
      <w:b/>
      <w:bCs/>
      <w:color w:val="003366"/>
      <w:kern w:val="0"/>
      <w:sz w:val="26"/>
      <w:szCs w:val="26"/>
    </w:rPr>
  </w:style>
  <w:style w:type="paragraph" w:customStyle="1" w:styleId="238">
    <w:name w:val=" Char Char Char Char"/>
    <w:basedOn w:val="1"/>
    <w:qFormat/>
    <w:uiPriority w:val="0"/>
  </w:style>
  <w:style w:type="paragraph" w:customStyle="1" w:styleId="239">
    <w:name w:val="whitesmall"/>
    <w:basedOn w:val="1"/>
    <w:qFormat/>
    <w:uiPriority w:val="0"/>
    <w:pPr>
      <w:widowControl/>
      <w:spacing w:before="100" w:beforeAutospacing="1" w:after="100" w:afterAutospacing="1"/>
      <w:jc w:val="left"/>
    </w:pPr>
    <w:rPr>
      <w:rFonts w:ascii="Arial" w:hAnsi="Arial" w:cs="Arial"/>
      <w:color w:val="FFFFFF"/>
      <w:kern w:val="0"/>
      <w:sz w:val="16"/>
      <w:szCs w:val="16"/>
    </w:rPr>
  </w:style>
  <w:style w:type="paragraph" w:customStyle="1" w:styleId="240">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241">
    <w:name w:val="Header or footer|1"/>
    <w:basedOn w:val="1"/>
    <w:qFormat/>
    <w:uiPriority w:val="0"/>
    <w:pPr>
      <w:widowControl w:val="0"/>
      <w:shd w:val="clear" w:color="auto" w:fill="auto"/>
    </w:pPr>
    <w:rPr>
      <w:sz w:val="28"/>
      <w:szCs w:val="28"/>
      <w:u w:val="none"/>
      <w:shd w:val="clear" w:color="auto" w:fill="auto"/>
      <w:lang w:val="zh-TW" w:eastAsia="zh-TW" w:bidi="zh-TW"/>
    </w:rPr>
  </w:style>
  <w:style w:type="paragraph" w:customStyle="1" w:styleId="242">
    <w:name w:val="样式 标题 4 + (西文) Times New Roman (中文) 宋体 (复杂脚本) Times New Roman..."/>
    <w:basedOn w:val="5"/>
    <w:qFormat/>
    <w:uiPriority w:val="0"/>
    <w:pPr>
      <w:keepLines w:val="0"/>
      <w:numPr>
        <w:ilvl w:val="3"/>
        <w:numId w:val="1"/>
      </w:numPr>
      <w:tabs>
        <w:tab w:val="left" w:pos="1224"/>
      </w:tabs>
      <w:spacing w:before="60" w:line="377" w:lineRule="auto"/>
      <w:jc w:val="left"/>
    </w:pPr>
    <w:rPr>
      <w:rFonts w:ascii="Times New Roman" w:hAnsi="Times New Roman" w:eastAsia="仿宋_GB2312"/>
      <w:b/>
      <w:bCs/>
      <w:kern w:val="2"/>
      <w:sz w:val="24"/>
      <w:szCs w:val="28"/>
      <w:u w:val="single"/>
    </w:rPr>
  </w:style>
  <w:style w:type="paragraph" w:customStyle="1" w:styleId="243">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Arial Unicode MS" w:hAnsi="Arial Unicode MS" w:eastAsia="Arial Unicode MS" w:cs="Arial Unicode MS"/>
      <w:kern w:val="0"/>
      <w:sz w:val="20"/>
      <w:szCs w:val="20"/>
    </w:rPr>
  </w:style>
  <w:style w:type="paragraph" w:customStyle="1" w:styleId="244">
    <w:name w:val="章节题目"/>
    <w:basedOn w:val="245"/>
    <w:next w:val="1"/>
    <w:unhideWhenUsed/>
    <w:qFormat/>
    <w:uiPriority w:val="0"/>
    <w:pPr>
      <w:spacing w:before="720" w:after="400" w:line="540" w:lineRule="atLeast"/>
      <w:ind w:right="2160"/>
    </w:pPr>
    <w:rPr>
      <w:rFonts w:hint="eastAsia" w:ascii="Times New Roman" w:hAnsi="Times New Roman"/>
      <w:spacing w:val="-40"/>
      <w:sz w:val="60"/>
    </w:rPr>
  </w:style>
  <w:style w:type="paragraph" w:customStyle="1" w:styleId="245">
    <w:name w:val="基准标题"/>
    <w:basedOn w:val="1"/>
    <w:next w:val="23"/>
    <w:unhideWhenUsed/>
    <w:qFormat/>
    <w:uiPriority w:val="0"/>
    <w:pPr>
      <w:keepNext/>
      <w:keepLines/>
      <w:spacing w:before="140" w:line="220" w:lineRule="atLeast"/>
    </w:pPr>
    <w:rPr>
      <w:rFonts w:hint="eastAsia" w:ascii="Arial" w:hAnsi="Arial"/>
      <w:spacing w:val="-4"/>
      <w:kern w:val="28"/>
      <w:sz w:val="22"/>
    </w:rPr>
  </w:style>
  <w:style w:type="paragraph" w:customStyle="1" w:styleId="246">
    <w:name w:val="defaultred"/>
    <w:basedOn w:val="1"/>
    <w:qFormat/>
    <w:uiPriority w:val="0"/>
    <w:pPr>
      <w:widowControl/>
      <w:spacing w:before="100" w:beforeAutospacing="1" w:after="100" w:afterAutospacing="1"/>
      <w:jc w:val="left"/>
    </w:pPr>
    <w:rPr>
      <w:rFonts w:ascii="Arial" w:hAnsi="Arial" w:cs="Arial"/>
      <w:b/>
      <w:bCs/>
      <w:color w:val="FF0000"/>
      <w:kern w:val="0"/>
      <w:sz w:val="20"/>
      <w:szCs w:val="20"/>
    </w:rPr>
  </w:style>
  <w:style w:type="paragraph" w:customStyle="1" w:styleId="247">
    <w:name w:val="shoppingcart"/>
    <w:basedOn w:val="1"/>
    <w:qFormat/>
    <w:uiPriority w:val="0"/>
    <w:pPr>
      <w:widowControl/>
      <w:spacing w:before="100" w:beforeAutospacing="1" w:after="100" w:afterAutospacing="1"/>
      <w:jc w:val="left"/>
    </w:pPr>
    <w:rPr>
      <w:rFonts w:ascii="Arial" w:hAnsi="Arial" w:cs="Arial"/>
      <w:b/>
      <w:bCs/>
      <w:kern w:val="0"/>
      <w:sz w:val="15"/>
      <w:szCs w:val="15"/>
    </w:rPr>
  </w:style>
  <w:style w:type="paragraph" w:customStyle="1" w:styleId="248">
    <w:name w:val="defaultwhite"/>
    <w:basedOn w:val="1"/>
    <w:qFormat/>
    <w:uiPriority w:val="0"/>
    <w:pPr>
      <w:widowControl/>
      <w:spacing w:before="100" w:beforeAutospacing="1" w:after="100" w:afterAutospacing="1"/>
      <w:jc w:val="left"/>
    </w:pPr>
    <w:rPr>
      <w:rFonts w:ascii="Arial" w:hAnsi="Arial" w:cs="Arial"/>
      <w:b/>
      <w:bCs/>
      <w:color w:val="FFFFFF"/>
      <w:kern w:val="0"/>
      <w:sz w:val="20"/>
      <w:szCs w:val="20"/>
    </w:rPr>
  </w:style>
  <w:style w:type="paragraph" w:customStyle="1" w:styleId="249">
    <w:name w:val="xl36"/>
    <w:basedOn w:val="1"/>
    <w:qFormat/>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250">
    <w:name w:val="Style 文章正文 + First line:  2 ch"/>
    <w:basedOn w:val="1"/>
    <w:qFormat/>
    <w:uiPriority w:val="0"/>
    <w:pPr>
      <w:ind w:firstLine="200" w:firstLineChars="200"/>
    </w:pPr>
    <w:rPr>
      <w:rFonts w:cs="宋体"/>
      <w:szCs w:val="20"/>
    </w:rPr>
  </w:style>
  <w:style w:type="paragraph" w:customStyle="1" w:styleId="251">
    <w:name w:val="redfine"/>
    <w:basedOn w:val="1"/>
    <w:qFormat/>
    <w:uiPriority w:val="0"/>
    <w:pPr>
      <w:widowControl/>
      <w:spacing w:before="100" w:beforeAutospacing="1" w:after="100" w:afterAutospacing="1"/>
      <w:jc w:val="left"/>
    </w:pPr>
    <w:rPr>
      <w:rFonts w:ascii="Arial" w:hAnsi="Arial" w:cs="Arial"/>
      <w:color w:val="FF0000"/>
      <w:kern w:val="0"/>
      <w:sz w:val="16"/>
      <w:szCs w:val="16"/>
    </w:rPr>
  </w:style>
  <w:style w:type="paragraph" w:customStyle="1" w:styleId="252">
    <w:name w:val="bianhao3"/>
    <w:basedOn w:val="253"/>
    <w:qFormat/>
    <w:uiPriority w:val="0"/>
    <w:pPr>
      <w:tabs>
        <w:tab w:val="left" w:pos="425"/>
      </w:tabs>
    </w:pPr>
  </w:style>
  <w:style w:type="paragraph" w:customStyle="1" w:styleId="253">
    <w:name w:val="bianhao2"/>
    <w:basedOn w:val="203"/>
    <w:qFormat/>
    <w:uiPriority w:val="0"/>
    <w:pPr>
      <w:tabs>
        <w:tab w:val="left" w:pos="425"/>
        <w:tab w:val="clear" w:pos="0"/>
      </w:tabs>
      <w:ind w:left="425"/>
    </w:pPr>
  </w:style>
  <w:style w:type="paragraph" w:customStyle="1" w:styleId="254">
    <w:name w:val="xl34"/>
    <w:basedOn w:val="1"/>
    <w:qFormat/>
    <w:uiPriority w:val="0"/>
    <w:pPr>
      <w:widowControl/>
      <w:spacing w:before="100" w:beforeLines="0" w:beforeAutospacing="1" w:after="100" w:afterLines="0" w:afterAutospacing="1"/>
      <w:jc w:val="center"/>
    </w:pPr>
    <w:rPr>
      <w:rFonts w:ascii="Arial Unicode MS" w:hAnsi="Arial Unicode MS" w:eastAsia="Arial Unicode MS" w:cs="Arial Unicode MS"/>
      <w:kern w:val="0"/>
      <w:sz w:val="36"/>
      <w:szCs w:val="36"/>
    </w:rPr>
  </w:style>
  <w:style w:type="paragraph" w:customStyle="1" w:styleId="255">
    <w:name w:val="P1"/>
    <w:qFormat/>
    <w:uiPriority w:val="0"/>
    <w:pPr>
      <w:widowControl w:val="0"/>
      <w:adjustRightInd w:val="0"/>
      <w:spacing w:after="240" w:line="240" w:lineRule="atLeast"/>
      <w:ind w:left="2304" w:hanging="576"/>
      <w:jc w:val="both"/>
      <w:textAlignment w:val="baseline"/>
    </w:pPr>
    <w:rPr>
      <w:rFonts w:ascii="Times New Roman" w:hAnsi="Times New Roman" w:eastAsia="全真中明體" w:cs="Times New Roman"/>
      <w:spacing w:val="20"/>
      <w:sz w:val="24"/>
      <w:szCs w:val="24"/>
      <w:lang w:val="en-GB" w:eastAsia="zh-TW" w:bidi="ar-SA"/>
    </w:rPr>
  </w:style>
  <w:style w:type="paragraph" w:customStyle="1" w:styleId="256">
    <w:name w:val="Heading #2|1"/>
    <w:basedOn w:val="1"/>
    <w:qFormat/>
    <w:uiPriority w:val="0"/>
    <w:pPr>
      <w:widowControl w:val="0"/>
      <w:shd w:val="clear" w:color="auto" w:fill="auto"/>
      <w:spacing w:after="480" w:line="456" w:lineRule="exact"/>
      <w:jc w:val="center"/>
      <w:outlineLvl w:val="1"/>
    </w:pPr>
    <w:rPr>
      <w:rFonts w:ascii="宋体" w:hAnsi="宋体" w:eastAsia="宋体" w:cs="宋体"/>
      <w:sz w:val="44"/>
      <w:szCs w:val="44"/>
      <w:u w:val="none"/>
      <w:shd w:val="clear" w:color="auto" w:fill="auto"/>
      <w:lang w:val="zh-TW" w:eastAsia="zh-TW" w:bidi="zh-TW"/>
    </w:rPr>
  </w:style>
  <w:style w:type="paragraph" w:customStyle="1" w:styleId="257">
    <w:name w:val="1.1.1.1B"/>
    <w:basedOn w:val="5"/>
    <w:qFormat/>
    <w:uiPriority w:val="0"/>
    <w:pPr>
      <w:keepLines w:val="0"/>
      <w:numPr>
        <w:ilvl w:val="3"/>
        <w:numId w:val="1"/>
      </w:numPr>
      <w:tabs>
        <w:tab w:val="left" w:pos="851"/>
        <w:tab w:val="clear" w:pos="864"/>
      </w:tabs>
      <w:spacing w:before="240" w:after="240" w:line="240" w:lineRule="auto"/>
      <w:ind w:left="851" w:hanging="851"/>
      <w:jc w:val="left"/>
    </w:pPr>
    <w:rPr>
      <w:rFonts w:ascii="Microsoft Sans Serif" w:hAnsi="Microsoft Sans Serif" w:eastAsia="仿宋_GB2312" w:cs="Microsoft Sans Serif"/>
      <w:sz w:val="24"/>
      <w:szCs w:val="28"/>
      <w:u w:val="single"/>
    </w:rPr>
  </w:style>
  <w:style w:type="paragraph" w:customStyle="1" w:styleId="258">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59">
    <w:name w:val="正文点列"/>
    <w:basedOn w:val="1"/>
    <w:qFormat/>
    <w:uiPriority w:val="0"/>
    <w:pPr>
      <w:keepLines/>
      <w:tabs>
        <w:tab w:val="left" w:pos="0"/>
      </w:tabs>
      <w:spacing w:after="120" w:line="360" w:lineRule="auto"/>
      <w:ind w:left="1385" w:hanging="425"/>
    </w:pPr>
    <w:rPr>
      <w:rFonts w:ascii="宋体" w:cs="宋体"/>
      <w:kern w:val="0"/>
      <w:sz w:val="24"/>
    </w:rPr>
  </w:style>
  <w:style w:type="paragraph" w:customStyle="1" w:styleId="260">
    <w:name w:val="样式 标题 1 + 黑体 三号 非加粗 居中 段前: 6 磅 段后: 6 磅 行距: 固定值 20 磅"/>
    <w:basedOn w:val="2"/>
    <w:qFormat/>
    <w:uiPriority w:val="0"/>
    <w:pPr>
      <w:keepLines/>
      <w:widowControl w:val="0"/>
      <w:numPr>
        <w:ilvl w:val="0"/>
        <w:numId w:val="0"/>
      </w:numPr>
      <w:spacing w:before="120" w:after="120" w:line="400" w:lineRule="exact"/>
    </w:pPr>
    <w:rPr>
      <w:rFonts w:hAnsi="黑体" w:cs="宋体"/>
      <w:kern w:val="44"/>
      <w:sz w:val="32"/>
    </w:rPr>
  </w:style>
  <w:style w:type="paragraph" w:customStyle="1" w:styleId="261">
    <w:name w:val="样式6"/>
    <w:basedOn w:val="1"/>
    <w:qFormat/>
    <w:uiPriority w:val="0"/>
    <w:pPr>
      <w:numPr>
        <w:ilvl w:val="0"/>
        <w:numId w:val="7"/>
      </w:numPr>
      <w:tabs>
        <w:tab w:val="left" w:pos="1050"/>
      </w:tabs>
      <w:spacing w:line="360" w:lineRule="auto"/>
    </w:pPr>
    <w:rPr>
      <w:sz w:val="24"/>
    </w:rPr>
  </w:style>
  <w:style w:type="paragraph" w:customStyle="1" w:styleId="262">
    <w:name w:val="xl44"/>
    <w:basedOn w:val="1"/>
    <w:qFormat/>
    <w:uiPriority w:val="0"/>
    <w:pPr>
      <w:widowControl/>
      <w:spacing w:before="100" w:beforeLines="0" w:beforeAutospacing="1" w:after="100" w:afterLines="0" w:afterAutospacing="1"/>
      <w:jc w:val="center"/>
    </w:pPr>
    <w:rPr>
      <w:rFonts w:ascii="Arial Unicode MS" w:hAnsi="Arial Unicode MS" w:eastAsia="Arial Unicode MS" w:cs="Arial Unicode MS"/>
      <w:kern w:val="0"/>
      <w:sz w:val="40"/>
      <w:szCs w:val="40"/>
    </w:rPr>
  </w:style>
  <w:style w:type="paragraph" w:customStyle="1" w:styleId="263">
    <w:name w:val="Char Char Char Char Char Char"/>
    <w:basedOn w:val="2"/>
    <w:qFormat/>
    <w:uiPriority w:val="0"/>
    <w:pPr>
      <w:widowControl w:val="0"/>
      <w:numPr>
        <w:ilvl w:val="0"/>
        <w:numId w:val="3"/>
      </w:numPr>
      <w:tabs>
        <w:tab w:val="left" w:pos="887"/>
        <w:tab w:val="clear" w:pos="432"/>
      </w:tabs>
      <w:snapToGrid w:val="0"/>
      <w:spacing w:line="360" w:lineRule="auto"/>
      <w:ind w:left="887" w:firstLine="200" w:firstLineChars="200"/>
    </w:pPr>
    <w:rPr>
      <w:rFonts w:hAnsi="BatangChe"/>
      <w:kern w:val="2"/>
      <w:sz w:val="32"/>
      <w:szCs w:val="32"/>
    </w:rPr>
  </w:style>
  <w:style w:type="paragraph" w:customStyle="1" w:styleId="264">
    <w:name w:val="1"/>
    <w:basedOn w:val="1"/>
    <w:next w:val="1"/>
    <w:qFormat/>
    <w:uiPriority w:val="0"/>
  </w:style>
  <w:style w:type="paragraph" w:styleId="265">
    <w:name w:val="No Spacing"/>
    <w:basedOn w:val="1"/>
    <w:qFormat/>
    <w:uiPriority w:val="0"/>
    <w:pPr>
      <w:widowControl w:val="0"/>
      <w:jc w:val="both"/>
    </w:pPr>
    <w:rPr>
      <w:kern w:val="2"/>
      <w:sz w:val="21"/>
      <w:szCs w:val="22"/>
      <w:lang w:val="en-US" w:eastAsia="zh-CN" w:bidi="ar-SA"/>
    </w:rPr>
  </w:style>
  <w:style w:type="paragraph" w:customStyle="1" w:styleId="266">
    <w:name w:val="xl39"/>
    <w:basedOn w:val="1"/>
    <w:qFormat/>
    <w:uiPriority w:val="0"/>
    <w:pPr>
      <w:widowControl/>
      <w:pBdr>
        <w:top w:val="single" w:color="auto" w:sz="8" w:space="0"/>
        <w:left w:val="single" w:color="auto" w:sz="4" w:space="0"/>
        <w:bottom w:val="single" w:color="auto" w:sz="4" w:space="0"/>
        <w:right w:val="single" w:color="auto" w:sz="8" w:space="0"/>
      </w:pBdr>
      <w:spacing w:before="100" w:beforeLines="0" w:beforeAutospacing="1" w:after="100" w:afterLines="0" w:afterAutospacing="1"/>
      <w:jc w:val="center"/>
    </w:pPr>
    <w:rPr>
      <w:rFonts w:ascii="Arial Unicode MS" w:hAnsi="Arial Unicode MS" w:eastAsia="Arial Unicode MS" w:cs="Arial Unicode MS"/>
      <w:kern w:val="0"/>
      <w:sz w:val="24"/>
    </w:rPr>
  </w:style>
  <w:style w:type="paragraph" w:customStyle="1" w:styleId="267">
    <w:name w:val="我的标题4"/>
    <w:basedOn w:val="232"/>
    <w:next w:val="232"/>
    <w:qFormat/>
    <w:uiPriority w:val="0"/>
    <w:pPr>
      <w:tabs>
        <w:tab w:val="left" w:pos="864"/>
        <w:tab w:val="left" w:pos="900"/>
      </w:tabs>
      <w:spacing w:before="100" w:beforeAutospacing="1" w:after="100" w:afterAutospacing="1"/>
      <w:ind w:left="900" w:hanging="900" w:firstLineChars="0"/>
      <w:jc w:val="left"/>
      <w:outlineLvl w:val="3"/>
    </w:pPr>
    <w:rPr>
      <w:rFonts w:eastAsia="黑体"/>
      <w:sz w:val="28"/>
      <w:szCs w:val="28"/>
    </w:rPr>
  </w:style>
  <w:style w:type="paragraph" w:customStyle="1" w:styleId="268">
    <w:name w:val="biaoti1"/>
    <w:basedOn w:val="2"/>
    <w:qFormat/>
    <w:uiPriority w:val="0"/>
    <w:pPr>
      <w:keepLines/>
      <w:widowControl w:val="0"/>
      <w:numPr>
        <w:ilvl w:val="0"/>
        <w:numId w:val="0"/>
      </w:numPr>
      <w:spacing w:before="340" w:after="330" w:line="360" w:lineRule="auto"/>
      <w:ind w:left="431" w:hanging="431"/>
      <w:jc w:val="both"/>
    </w:pPr>
    <w:rPr>
      <w:rFonts w:ascii="Times New Roman" w:eastAsia="宋体"/>
      <w:b/>
      <w:bCs/>
      <w:kern w:val="44"/>
      <w:sz w:val="44"/>
      <w:szCs w:val="44"/>
    </w:rPr>
  </w:style>
  <w:style w:type="paragraph" w:customStyle="1" w:styleId="269">
    <w:name w:val="p0"/>
    <w:basedOn w:val="1"/>
    <w:qFormat/>
    <w:uiPriority w:val="0"/>
    <w:pPr>
      <w:widowControl/>
      <w:jc w:val="center"/>
    </w:pPr>
    <w:rPr>
      <w:b/>
      <w:bCs/>
      <w:kern w:val="0"/>
      <w:sz w:val="44"/>
      <w:szCs w:val="44"/>
    </w:rPr>
  </w:style>
  <w:style w:type="paragraph" w:customStyle="1" w:styleId="270">
    <w:name w:val="xl38"/>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center"/>
    </w:pPr>
    <w:rPr>
      <w:rFonts w:ascii="Arial Unicode MS" w:hAnsi="Arial Unicode MS" w:eastAsia="Arial Unicode MS" w:cs="Arial Unicode MS"/>
      <w:kern w:val="0"/>
      <w:sz w:val="24"/>
    </w:rPr>
  </w:style>
  <w:style w:type="paragraph" w:customStyle="1" w:styleId="271">
    <w:name w:val="xl22"/>
    <w:basedOn w:val="1"/>
    <w:qFormat/>
    <w:uiPriority w:val="0"/>
    <w:pPr>
      <w:widowControl/>
      <w:spacing w:before="100" w:beforeLines="0" w:beforeAutospacing="1" w:after="100" w:afterLines="0" w:afterAutospacing="1"/>
      <w:jc w:val="center"/>
    </w:pPr>
    <w:rPr>
      <w:rFonts w:ascii="Arial Unicode MS" w:hAnsi="Arial Unicode MS" w:eastAsia="Arial Unicode MS" w:cs="Arial Unicode MS"/>
      <w:kern w:val="0"/>
      <w:sz w:val="32"/>
      <w:szCs w:val="32"/>
    </w:rPr>
  </w:style>
  <w:style w:type="paragraph" w:customStyle="1" w:styleId="272">
    <w:name w:val="正文文档"/>
    <w:basedOn w:val="1"/>
    <w:qFormat/>
    <w:uiPriority w:val="0"/>
    <w:pPr>
      <w:spacing w:line="360" w:lineRule="auto"/>
      <w:ind w:left="840" w:leftChars="400" w:right="210" w:rightChars="100"/>
    </w:pPr>
    <w:rPr>
      <w:rFonts w:ascii="宋体" w:hAnsi="宋体" w:cs="宋体"/>
      <w:sz w:val="24"/>
    </w:rPr>
  </w:style>
  <w:style w:type="paragraph" w:customStyle="1" w:styleId="273">
    <w:name w:val="fine"/>
    <w:basedOn w:val="1"/>
    <w:qFormat/>
    <w:uiPriority w:val="0"/>
    <w:pPr>
      <w:widowControl/>
      <w:spacing w:before="100" w:beforeAutospacing="1" w:after="100" w:afterAutospacing="1"/>
      <w:jc w:val="left"/>
    </w:pPr>
    <w:rPr>
      <w:rFonts w:ascii="Arial" w:hAnsi="Arial" w:cs="Arial"/>
      <w:kern w:val="0"/>
      <w:sz w:val="16"/>
      <w:szCs w:val="16"/>
    </w:rPr>
  </w:style>
  <w:style w:type="paragraph" w:customStyle="1" w:styleId="274">
    <w:name w:val="l18"/>
    <w:basedOn w:val="1"/>
    <w:qFormat/>
    <w:uiPriority w:val="0"/>
    <w:pPr>
      <w:widowControl/>
      <w:spacing w:before="30" w:after="100" w:afterAutospacing="1" w:line="270" w:lineRule="atLeast"/>
      <w:ind w:left="90"/>
      <w:jc w:val="left"/>
    </w:pPr>
    <w:rPr>
      <w:rFonts w:ascii="Arial Unicode MS" w:hAnsi="Arial Unicode MS" w:cs="Arial Unicode MS"/>
      <w:color w:val="000000"/>
      <w:kern w:val="0"/>
      <w:sz w:val="18"/>
      <w:szCs w:val="18"/>
    </w:rPr>
  </w:style>
  <w:style w:type="paragraph" w:customStyle="1" w:styleId="275">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276">
    <w:name w:val="Char2"/>
    <w:basedOn w:val="1"/>
    <w:qFormat/>
    <w:uiPriority w:val="0"/>
    <w:pPr>
      <w:tabs>
        <w:tab w:val="left" w:pos="360"/>
      </w:tabs>
    </w:pPr>
    <w:rPr>
      <w:sz w:val="24"/>
    </w:rPr>
  </w:style>
  <w:style w:type="paragraph" w:customStyle="1" w:styleId="277">
    <w:name w:val="white"/>
    <w:basedOn w:val="1"/>
    <w:qFormat/>
    <w:uiPriority w:val="0"/>
    <w:pPr>
      <w:widowControl/>
      <w:spacing w:before="100" w:beforeAutospacing="1" w:after="100" w:afterAutospacing="1"/>
      <w:jc w:val="left"/>
    </w:pPr>
    <w:rPr>
      <w:rFonts w:ascii="Arial" w:hAnsi="Arial" w:cs="Arial"/>
      <w:color w:val="FFFFFF"/>
      <w:kern w:val="0"/>
      <w:sz w:val="20"/>
      <w:szCs w:val="20"/>
    </w:rPr>
  </w:style>
  <w:style w:type="paragraph" w:customStyle="1" w:styleId="278">
    <w:name w:val="xl65"/>
    <w:basedOn w:val="1"/>
    <w:qFormat/>
    <w:uiPriority w:val="0"/>
    <w:pPr>
      <w:widowControl/>
      <w:spacing w:before="100" w:beforeAutospacing="1" w:after="100" w:afterAutospacing="1"/>
      <w:jc w:val="left"/>
    </w:pPr>
    <w:rPr>
      <w:rFonts w:ascii="Arial Unicode MS" w:hAnsi="Arial Unicode MS" w:eastAsia="Arial Unicode MS" w:cs="Arial Unicode MS"/>
      <w:kern w:val="0"/>
      <w:sz w:val="24"/>
      <w:lang w:eastAsia="en-US"/>
    </w:rPr>
  </w:style>
  <w:style w:type="paragraph" w:customStyle="1" w:styleId="279">
    <w:name w:val="xl31"/>
    <w:basedOn w:val="1"/>
    <w:qFormat/>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280">
    <w:name w:val="Revision1"/>
    <w:qFormat/>
    <w:uiPriority w:val="0"/>
    <w:rPr>
      <w:rFonts w:ascii="Times New Roman" w:hAnsi="Times New Roman" w:eastAsia="宋体" w:cs="Times New Roman"/>
      <w:kern w:val="2"/>
      <w:sz w:val="21"/>
      <w:szCs w:val="24"/>
      <w:lang w:val="en-US" w:eastAsia="zh-CN" w:bidi="ar-SA"/>
    </w:rPr>
  </w:style>
  <w:style w:type="paragraph" w:customStyle="1" w:styleId="281">
    <w:name w:val="样式 正文首行缩进 + 首行缩进:  2 字符"/>
    <w:basedOn w:val="282"/>
    <w:qFormat/>
    <w:uiPriority w:val="0"/>
    <w:pPr>
      <w:spacing w:after="0"/>
      <w:ind w:firstLine="480" w:firstLineChars="200"/>
    </w:pPr>
    <w:rPr>
      <w:rFonts w:ascii="Tahoma" w:hAnsi="Tahoma" w:cs="宋体"/>
      <w:szCs w:val="20"/>
    </w:rPr>
  </w:style>
  <w:style w:type="paragraph" w:customStyle="1" w:styleId="282">
    <w:name w:val="Body Text First Indent"/>
    <w:basedOn w:val="23"/>
    <w:qFormat/>
    <w:uiPriority w:val="0"/>
    <w:pPr>
      <w:spacing w:after="120" w:line="240" w:lineRule="auto"/>
      <w:ind w:firstLine="420" w:firstLineChars="100"/>
    </w:pPr>
    <w:rPr>
      <w:sz w:val="21"/>
      <w:szCs w:val="24"/>
    </w:rPr>
  </w:style>
  <w:style w:type="paragraph" w:customStyle="1" w:styleId="283">
    <w:name w:val="表格"/>
    <w:basedOn w:val="1"/>
    <w:qFormat/>
    <w:uiPriority w:val="0"/>
    <w:pPr>
      <w:jc w:val="center"/>
      <w:textAlignment w:val="center"/>
    </w:pPr>
    <w:rPr>
      <w:rFonts w:ascii="华文细黑" w:hAnsi="华文细黑"/>
      <w:kern w:val="0"/>
      <w:szCs w:val="20"/>
    </w:rPr>
  </w:style>
  <w:style w:type="paragraph" w:customStyle="1" w:styleId="284">
    <w:name w:val="样式1"/>
    <w:basedOn w:val="1"/>
    <w:qFormat/>
    <w:uiPriority w:val="0"/>
    <w:pPr>
      <w:spacing w:before="120" w:beforeLines="0" w:after="120" w:afterLines="0" w:line="300" w:lineRule="auto"/>
    </w:pPr>
    <w:rPr>
      <w:rFonts w:ascii="宋体" w:hAnsi="宋体"/>
      <w:b/>
      <w:sz w:val="24"/>
      <w:szCs w:val="20"/>
    </w:rPr>
  </w:style>
  <w:style w:type="paragraph" w:customStyle="1" w:styleId="285">
    <w:name w:val="列表文字"/>
    <w:basedOn w:val="1"/>
    <w:qFormat/>
    <w:uiPriority w:val="0"/>
    <w:pPr>
      <w:numPr>
        <w:ilvl w:val="0"/>
        <w:numId w:val="8"/>
      </w:numPr>
      <w:tabs>
        <w:tab w:val="left" w:pos="885"/>
      </w:tabs>
    </w:pPr>
  </w:style>
  <w:style w:type="paragraph" w:customStyle="1" w:styleId="286">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87">
    <w:name w:val="封面标题"/>
    <w:basedOn w:val="1"/>
    <w:qFormat/>
    <w:uiPriority w:val="0"/>
    <w:pPr>
      <w:spacing w:beforeLines="50"/>
      <w:jc w:val="center"/>
    </w:pPr>
    <w:rPr>
      <w:rFonts w:eastAsia="黑体"/>
      <w:szCs w:val="21"/>
    </w:rPr>
  </w:style>
  <w:style w:type="paragraph" w:customStyle="1" w:styleId="288">
    <w:name w:val="fieldnames"/>
    <w:basedOn w:val="1"/>
    <w:qFormat/>
    <w:uiPriority w:val="0"/>
    <w:pPr>
      <w:widowControl/>
      <w:spacing w:before="100" w:beforeAutospacing="1" w:after="100" w:afterAutospacing="1"/>
      <w:jc w:val="left"/>
    </w:pPr>
    <w:rPr>
      <w:rFonts w:ascii="Helvetica" w:hAnsi="Helvetica" w:cs="Helvetica"/>
      <w:b/>
      <w:bCs/>
      <w:kern w:val="0"/>
      <w:sz w:val="22"/>
      <w:szCs w:val="22"/>
    </w:rPr>
  </w:style>
  <w:style w:type="paragraph" w:customStyle="1" w:styleId="289">
    <w:name w:val="正文_16"/>
    <w:basedOn w:val="1"/>
    <w:qFormat/>
    <w:uiPriority w:val="0"/>
    <w:pPr>
      <w:widowControl/>
      <w:jc w:val="left"/>
    </w:pPr>
    <w:rPr>
      <w:kern w:val="0"/>
      <w:szCs w:val="21"/>
    </w:rPr>
  </w:style>
  <w:style w:type="paragraph" w:customStyle="1" w:styleId="290">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b/>
      <w:bCs/>
      <w:kern w:val="0"/>
      <w:sz w:val="20"/>
      <w:szCs w:val="20"/>
    </w:rPr>
  </w:style>
  <w:style w:type="paragraph" w:customStyle="1" w:styleId="291">
    <w:name w:val="font6"/>
    <w:basedOn w:val="1"/>
    <w:qFormat/>
    <w:uiPriority w:val="0"/>
    <w:pPr>
      <w:widowControl/>
      <w:spacing w:before="100" w:beforeLines="0" w:beforeAutospacing="1" w:after="100" w:afterLines="0" w:afterAutospacing="1"/>
      <w:jc w:val="left"/>
    </w:pPr>
    <w:rPr>
      <w:rFonts w:eastAsia="Arial Unicode MS"/>
      <w:kern w:val="0"/>
      <w:sz w:val="24"/>
    </w:rPr>
  </w:style>
  <w:style w:type="paragraph" w:customStyle="1" w:styleId="292">
    <w:name w:val="Char Char2 Char"/>
    <w:basedOn w:val="1"/>
    <w:qFormat/>
    <w:uiPriority w:val="0"/>
    <w:pPr>
      <w:keepNext/>
      <w:keepLines/>
      <w:pageBreakBefore/>
      <w:tabs>
        <w:tab w:val="left" w:pos="390"/>
      </w:tabs>
      <w:ind w:left="390" w:hanging="390"/>
    </w:pPr>
    <w:rPr>
      <w:rFonts w:ascii="Tahoma" w:hAnsi="Tahoma"/>
      <w:sz w:val="24"/>
      <w:szCs w:val="20"/>
    </w:rPr>
  </w:style>
  <w:style w:type="paragraph" w:customStyle="1" w:styleId="293">
    <w:name w:val="我的标题2"/>
    <w:basedOn w:val="232"/>
    <w:next w:val="232"/>
    <w:qFormat/>
    <w:uiPriority w:val="0"/>
    <w:pPr>
      <w:tabs>
        <w:tab w:val="left" w:pos="576"/>
        <w:tab w:val="left" w:pos="630"/>
      </w:tabs>
      <w:spacing w:before="100" w:beforeAutospacing="1" w:after="100" w:afterAutospacing="1"/>
      <w:ind w:left="576" w:hanging="576" w:firstLineChars="0"/>
      <w:jc w:val="left"/>
      <w:outlineLvl w:val="1"/>
    </w:pPr>
    <w:rPr>
      <w:rFonts w:eastAsia="黑体"/>
      <w:sz w:val="36"/>
      <w:szCs w:val="36"/>
      <w:lang w:val="en-US"/>
    </w:rPr>
  </w:style>
  <w:style w:type="paragraph" w:customStyle="1" w:styleId="294">
    <w:name w:val="font5"/>
    <w:basedOn w:val="1"/>
    <w:qFormat/>
    <w:uiPriority w:val="0"/>
    <w:pPr>
      <w:widowControl/>
      <w:spacing w:before="100" w:beforeLines="0" w:beforeAutospacing="1" w:after="100" w:afterLines="0" w:afterAutospacing="1"/>
      <w:jc w:val="left"/>
    </w:pPr>
    <w:rPr>
      <w:rFonts w:hint="eastAsia" w:ascii="宋体" w:hAnsi="宋体" w:cs="Arial Unicode MS"/>
      <w:kern w:val="0"/>
      <w:sz w:val="18"/>
      <w:szCs w:val="18"/>
    </w:rPr>
  </w:style>
  <w:style w:type="paragraph" w:customStyle="1" w:styleId="295">
    <w:name w:val="contentnoteheader"/>
    <w:basedOn w:val="1"/>
    <w:qFormat/>
    <w:uiPriority w:val="0"/>
    <w:pPr>
      <w:widowControl/>
      <w:spacing w:before="30" w:after="100" w:afterAutospacing="1"/>
      <w:ind w:left="90"/>
      <w:jc w:val="left"/>
    </w:pPr>
    <w:rPr>
      <w:rFonts w:ascii="Arial Unicode MS" w:hAnsi="Arial Unicode MS" w:cs="Arial Unicode MS"/>
      <w:b/>
      <w:bCs/>
      <w:color w:val="990000"/>
      <w:kern w:val="0"/>
      <w:sz w:val="18"/>
      <w:szCs w:val="18"/>
    </w:rPr>
  </w:style>
  <w:style w:type="paragraph" w:customStyle="1" w:styleId="296">
    <w:name w:val="1 Char Char Char Char"/>
    <w:basedOn w:val="1"/>
    <w:qFormat/>
    <w:uiPriority w:val="0"/>
    <w:rPr>
      <w:rFonts w:ascii="Tahoma" w:hAnsi="Tahoma"/>
      <w:sz w:val="24"/>
      <w:szCs w:val="20"/>
    </w:rPr>
  </w:style>
  <w:style w:type="paragraph" w:customStyle="1" w:styleId="297">
    <w:name w:val="Char Char Char"/>
    <w:basedOn w:val="1"/>
    <w:qFormat/>
    <w:uiPriority w:val="0"/>
    <w:pPr>
      <w:snapToGrid w:val="0"/>
    </w:pPr>
    <w:rPr>
      <w:rFonts w:ascii="Tahoma" w:hAnsi="Tahoma" w:eastAsia="仿宋_GB2312"/>
      <w:kern w:val="0"/>
      <w:sz w:val="24"/>
      <w:szCs w:val="20"/>
    </w:rPr>
  </w:style>
  <w:style w:type="paragraph" w:customStyle="1" w:styleId="298">
    <w:name w:val="样式 标题 3 + (中文) 黑体 小四 非加粗 段前: 7.8 磅 段后: 0 磅 行距: 固定值 20 磅"/>
    <w:basedOn w:val="4"/>
    <w:qFormat/>
    <w:uiPriority w:val="0"/>
    <w:pPr>
      <w:widowControl w:val="0"/>
      <w:numPr>
        <w:ilvl w:val="0"/>
        <w:numId w:val="0"/>
      </w:numPr>
      <w:tabs>
        <w:tab w:val="clear" w:pos="720"/>
      </w:tabs>
      <w:spacing w:before="0" w:after="0" w:line="400" w:lineRule="exact"/>
      <w:jc w:val="both"/>
    </w:pPr>
    <w:rPr>
      <w:rFonts w:eastAsia="黑体" w:cs="宋体"/>
      <w:b w:val="0"/>
      <w:sz w:val="24"/>
      <w:szCs w:val="20"/>
    </w:rPr>
  </w:style>
  <w:style w:type="paragraph" w:customStyle="1" w:styleId="299">
    <w:name w:val="xl40"/>
    <w:basedOn w:val="1"/>
    <w:qFormat/>
    <w:uiPriority w:val="0"/>
    <w:pPr>
      <w:widowControl/>
      <w:pBdr>
        <w:top w:val="single" w:color="auto" w:sz="4" w:space="0"/>
        <w:left w:val="single" w:color="auto" w:sz="4" w:space="0"/>
        <w:bottom w:val="single" w:color="auto" w:sz="4" w:space="0"/>
        <w:right w:val="single" w:color="auto" w:sz="8" w:space="0"/>
      </w:pBdr>
      <w:spacing w:before="100" w:beforeLines="0" w:beforeAutospacing="1" w:after="100" w:afterLines="0" w:afterAutospacing="1"/>
      <w:jc w:val="center"/>
    </w:pPr>
    <w:rPr>
      <w:rFonts w:ascii="Arial Unicode MS" w:hAnsi="Arial Unicode MS" w:eastAsia="Arial Unicode MS" w:cs="Arial Unicode MS"/>
      <w:kern w:val="0"/>
      <w:sz w:val="24"/>
    </w:rPr>
  </w:style>
  <w:style w:type="paragraph" w:customStyle="1" w:styleId="300">
    <w:name w:val="标准文件_四级条标题"/>
    <w:basedOn w:val="187"/>
    <w:next w:val="1"/>
    <w:qFormat/>
    <w:uiPriority w:val="0"/>
    <w:pPr>
      <w:spacing w:before="0" w:after="0"/>
      <w:jc w:val="left"/>
      <w:outlineLvl w:val="5"/>
    </w:pPr>
    <w:rPr>
      <w:sz w:val="24"/>
      <w:szCs w:val="24"/>
    </w:rPr>
  </w:style>
  <w:style w:type="paragraph" w:customStyle="1" w:styleId="301">
    <w:name w:val="项目1"/>
    <w:basedOn w:val="1"/>
    <w:qFormat/>
    <w:uiPriority w:val="0"/>
    <w:pPr>
      <w:numPr>
        <w:ilvl w:val="0"/>
        <w:numId w:val="9"/>
      </w:numPr>
      <w:tabs>
        <w:tab w:val="left" w:pos="840"/>
      </w:tabs>
      <w:spacing w:line="360" w:lineRule="auto"/>
    </w:pPr>
    <w:rPr>
      <w:szCs w:val="22"/>
    </w:rPr>
  </w:style>
  <w:style w:type="paragraph" w:customStyle="1" w:styleId="302">
    <w:name w:val="biaoti2"/>
    <w:basedOn w:val="3"/>
    <w:qFormat/>
    <w:uiPriority w:val="0"/>
    <w:pPr>
      <w:widowControl w:val="0"/>
      <w:tabs>
        <w:tab w:val="left" w:pos="3096"/>
      </w:tabs>
      <w:spacing w:before="260" w:after="260"/>
      <w:ind w:left="3096" w:hanging="576"/>
    </w:pPr>
    <w:rPr>
      <w:rFonts w:ascii="Arial" w:hAnsi="Arial" w:eastAsia="黑体" w:cs="Arial"/>
      <w:bCs/>
      <w:color w:val="auto"/>
      <w:kern w:val="2"/>
      <w:sz w:val="28"/>
      <w:szCs w:val="32"/>
    </w:rPr>
  </w:style>
  <w:style w:type="paragraph" w:customStyle="1" w:styleId="303">
    <w:name w:val="样式10"/>
    <w:basedOn w:val="1"/>
    <w:qFormat/>
    <w:uiPriority w:val="0"/>
    <w:pPr>
      <w:widowControl/>
      <w:spacing w:before="120" w:after="120" w:line="360" w:lineRule="auto"/>
    </w:pPr>
    <w:rPr>
      <w:rFonts w:ascii="仿宋_GB2312" w:eastAsia="仿宋_GB2312" w:cs="仿宋_GB2312"/>
      <w:spacing w:val="20"/>
      <w:kern w:val="0"/>
      <w:sz w:val="24"/>
    </w:rPr>
  </w:style>
  <w:style w:type="paragraph" w:customStyle="1" w:styleId="304">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305">
    <w:name w:val="defaultbold"/>
    <w:basedOn w:val="1"/>
    <w:qFormat/>
    <w:uiPriority w:val="0"/>
    <w:pPr>
      <w:widowControl/>
      <w:spacing w:before="100" w:beforeAutospacing="1" w:after="100" w:afterAutospacing="1"/>
      <w:jc w:val="left"/>
    </w:pPr>
    <w:rPr>
      <w:rFonts w:ascii="Arial" w:hAnsi="Arial" w:cs="Arial"/>
      <w:b/>
      <w:bCs/>
      <w:kern w:val="0"/>
      <w:sz w:val="20"/>
      <w:szCs w:val="20"/>
    </w:rPr>
  </w:style>
  <w:style w:type="paragraph" w:customStyle="1" w:styleId="306">
    <w:name w:val="Char"/>
    <w:basedOn w:val="1"/>
    <w:qFormat/>
    <w:uiPriority w:val="0"/>
    <w:pPr>
      <w:tabs>
        <w:tab w:val="left" w:pos="360"/>
      </w:tabs>
    </w:pPr>
    <w:rPr>
      <w:sz w:val="24"/>
    </w:rPr>
  </w:style>
  <w:style w:type="paragraph" w:customStyle="1" w:styleId="307">
    <w:name w:val="标准文件_一级条标题"/>
    <w:basedOn w:val="187"/>
    <w:next w:val="1"/>
    <w:qFormat/>
    <w:uiPriority w:val="0"/>
    <w:pPr>
      <w:spacing w:before="0" w:after="0"/>
      <w:jc w:val="left"/>
      <w:outlineLvl w:val="2"/>
    </w:pPr>
    <w:rPr>
      <w:rFonts w:hAnsi="宋体"/>
      <w:color w:val="000000"/>
      <w:sz w:val="24"/>
      <w:szCs w:val="24"/>
      <w:lang w:val="zh-CN"/>
    </w:rPr>
  </w:style>
  <w:style w:type="paragraph" w:customStyle="1" w:styleId="308">
    <w:name w:val="标准"/>
    <w:basedOn w:val="1"/>
    <w:qFormat/>
    <w:uiPriority w:val="0"/>
    <w:pPr>
      <w:overflowPunct w:val="0"/>
      <w:autoSpaceDE w:val="0"/>
      <w:autoSpaceDN w:val="0"/>
      <w:adjustRightInd w:val="0"/>
      <w:spacing w:line="240" w:lineRule="atLeast"/>
    </w:pPr>
    <w:rPr>
      <w:rFonts w:eastAsia="楷体_GB2312"/>
      <w:kern w:val="0"/>
      <w:sz w:val="24"/>
      <w:szCs w:val="22"/>
    </w:rPr>
  </w:style>
  <w:style w:type="paragraph" w:customStyle="1" w:styleId="309">
    <w:name w:val="List Paragraph1"/>
    <w:basedOn w:val="1"/>
    <w:qFormat/>
    <w:uiPriority w:val="0"/>
    <w:pPr>
      <w:autoSpaceDE w:val="0"/>
      <w:autoSpaceDN w:val="0"/>
      <w:spacing w:line="360" w:lineRule="auto"/>
      <w:ind w:left="720"/>
    </w:pPr>
    <w:rPr>
      <w:sz w:val="24"/>
    </w:rPr>
  </w:style>
  <w:style w:type="paragraph" w:customStyle="1" w:styleId="310">
    <w:name w:val="默认段落字体 Para Char Char Char Char Char Char Char"/>
    <w:basedOn w:val="1"/>
    <w:qFormat/>
    <w:uiPriority w:val="0"/>
    <w:pPr>
      <w:adjustRightInd w:val="0"/>
      <w:spacing w:line="360" w:lineRule="auto"/>
    </w:pPr>
    <w:rPr>
      <w:kern w:val="0"/>
      <w:sz w:val="24"/>
      <w:szCs w:val="20"/>
    </w:rPr>
  </w:style>
  <w:style w:type="paragraph" w:customStyle="1" w:styleId="31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eastAsia="Arial Unicode MS"/>
      <w:kern w:val="0"/>
      <w:sz w:val="24"/>
    </w:rPr>
  </w:style>
  <w:style w:type="paragraph" w:customStyle="1" w:styleId="312">
    <w:name w:val="标一"/>
    <w:next w:val="1"/>
    <w:qFormat/>
    <w:uiPriority w:val="0"/>
    <w:pPr>
      <w:pageBreakBefore/>
      <w:pBdr>
        <w:bottom w:val="single" w:color="auto" w:sz="4" w:space="6"/>
      </w:pBdr>
      <w:spacing w:afterLines="150" w:line="360" w:lineRule="auto"/>
      <w:ind w:left="794" w:hanging="794"/>
      <w:outlineLvl w:val="0"/>
    </w:pPr>
    <w:rPr>
      <w:rFonts w:ascii="宋体" w:hAnsi="宋体" w:eastAsia="宋体" w:cs="宋体"/>
      <w:b/>
      <w:bCs/>
      <w:kern w:val="44"/>
      <w:sz w:val="24"/>
      <w:szCs w:val="24"/>
      <w:lang w:val="en-US" w:eastAsia="zh-CN" w:bidi="ar-SA"/>
    </w:rPr>
  </w:style>
  <w:style w:type="paragraph" w:customStyle="1" w:styleId="313">
    <w:name w:val="mediumbold"/>
    <w:basedOn w:val="1"/>
    <w:qFormat/>
    <w:uiPriority w:val="0"/>
    <w:pPr>
      <w:widowControl/>
      <w:spacing w:before="100" w:beforeAutospacing="1" w:after="100" w:afterAutospacing="1"/>
      <w:jc w:val="left"/>
    </w:pPr>
    <w:rPr>
      <w:rFonts w:ascii="Arial" w:hAnsi="Arial" w:cs="Arial"/>
      <w:b/>
      <w:bCs/>
      <w:kern w:val="0"/>
      <w:sz w:val="18"/>
      <w:szCs w:val="18"/>
    </w:rPr>
  </w:style>
  <w:style w:type="paragraph" w:customStyle="1" w:styleId="314">
    <w:name w:val="Body text|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315">
    <w:name w:val="目录文字"/>
    <w:basedOn w:val="1"/>
    <w:qFormat/>
    <w:uiPriority w:val="0"/>
    <w:pPr>
      <w:widowControl/>
      <w:spacing w:line="480" w:lineRule="auto"/>
      <w:jc w:val="left"/>
    </w:pPr>
    <w:rPr>
      <w:rFonts w:ascii="宋体" w:hAnsi="宋体"/>
      <w:kern w:val="0"/>
      <w:sz w:val="24"/>
      <w:szCs w:val="20"/>
    </w:rPr>
  </w:style>
  <w:style w:type="paragraph" w:customStyle="1" w:styleId="316">
    <w:name w:val="Other|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317">
    <w:name w:val="bianhao4"/>
    <w:basedOn w:val="318"/>
    <w:qFormat/>
    <w:uiPriority w:val="0"/>
    <w:pPr>
      <w:tabs>
        <w:tab w:val="left" w:pos="425"/>
      </w:tabs>
      <w:ind w:left="1260"/>
    </w:pPr>
  </w:style>
  <w:style w:type="paragraph" w:customStyle="1" w:styleId="318">
    <w:name w:val="bianhao5"/>
    <w:basedOn w:val="168"/>
    <w:qFormat/>
    <w:uiPriority w:val="0"/>
    <w:pPr>
      <w:tabs>
        <w:tab w:val="left" w:pos="425"/>
      </w:tabs>
      <w:ind w:left="425" w:leftChars="0" w:hanging="425" w:firstLineChars="0"/>
    </w:pPr>
  </w:style>
  <w:style w:type="paragraph" w:customStyle="1" w:styleId="319">
    <w:name w:val="图样式"/>
    <w:basedOn w:val="1"/>
    <w:qFormat/>
    <w:uiPriority w:val="0"/>
    <w:pPr>
      <w:keepNext/>
      <w:widowControl/>
      <w:spacing w:before="80" w:after="80"/>
      <w:jc w:val="center"/>
    </w:pPr>
    <w:rPr>
      <w:szCs w:val="22"/>
    </w:rPr>
  </w:style>
  <w:style w:type="paragraph" w:customStyle="1" w:styleId="320">
    <w:name w:val="ulshort"/>
    <w:basedOn w:val="1"/>
    <w:qFormat/>
    <w:uiPriority w:val="0"/>
    <w:pPr>
      <w:widowControl/>
      <w:spacing w:before="75" w:after="100" w:afterAutospacing="1"/>
      <w:jc w:val="left"/>
    </w:pPr>
    <w:rPr>
      <w:rFonts w:ascii="Arial Unicode MS" w:hAnsi="Arial Unicode MS" w:cs="Arial Unicode MS"/>
      <w:kern w:val="0"/>
      <w:sz w:val="24"/>
    </w:rPr>
  </w:style>
  <w:style w:type="paragraph" w:customStyle="1" w:styleId="321">
    <w:name w:val="标准文件-表标题"/>
    <w:basedOn w:val="1"/>
    <w:next w:val="1"/>
    <w:qFormat/>
    <w:uiPriority w:val="0"/>
    <w:pPr>
      <w:widowControl/>
      <w:tabs>
        <w:tab w:val="left" w:pos="425"/>
      </w:tabs>
      <w:adjustRightInd w:val="0"/>
      <w:snapToGrid w:val="0"/>
      <w:spacing w:line="300" w:lineRule="auto"/>
      <w:ind w:left="425" w:hanging="425"/>
      <w:jc w:val="center"/>
    </w:pPr>
    <w:rPr>
      <w:rFonts w:ascii="黑体" w:eastAsia="黑体" w:cs="黑体"/>
      <w:color w:val="000000"/>
      <w:spacing w:val="2"/>
      <w:kern w:val="0"/>
      <w:sz w:val="24"/>
    </w:rPr>
  </w:style>
  <w:style w:type="paragraph" w:customStyle="1" w:styleId="322">
    <w:name w:val="默认段落字体 Char Char Char"/>
    <w:basedOn w:val="36"/>
    <w:qFormat/>
    <w:uiPriority w:val="0"/>
    <w:pPr>
      <w:widowControl w:val="0"/>
    </w:pPr>
    <w:rPr>
      <w:szCs w:val="18"/>
    </w:rPr>
  </w:style>
  <w:style w:type="paragraph" w:customStyle="1" w:styleId="323">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eastAsia="Arial Unicode MS"/>
      <w:kern w:val="0"/>
      <w:sz w:val="24"/>
    </w:rPr>
  </w:style>
  <w:style w:type="paragraph" w:customStyle="1" w:styleId="324">
    <w:name w:val="Normal (Web)"/>
    <w:basedOn w:val="1"/>
    <w:qFormat/>
    <w:uiPriority w:val="0"/>
    <w:rPr>
      <w:szCs w:val="22"/>
    </w:rPr>
  </w:style>
  <w:style w:type="paragraph" w:customStyle="1" w:styleId="325">
    <w:name w:val="标准文件-图标题"/>
    <w:basedOn w:val="1"/>
    <w:next w:val="1"/>
    <w:qFormat/>
    <w:uiPriority w:val="0"/>
    <w:pPr>
      <w:widowControl/>
      <w:tabs>
        <w:tab w:val="left" w:pos="425"/>
      </w:tabs>
      <w:adjustRightInd w:val="0"/>
      <w:snapToGrid w:val="0"/>
      <w:spacing w:line="300" w:lineRule="auto"/>
      <w:ind w:left="425" w:hanging="425"/>
      <w:jc w:val="center"/>
    </w:pPr>
    <w:rPr>
      <w:rFonts w:ascii="黑体" w:hAnsi="宋体" w:eastAsia="黑体" w:cs="黑体"/>
      <w:color w:val="000000"/>
      <w:spacing w:val="2"/>
      <w:kern w:val="0"/>
      <w:sz w:val="24"/>
    </w:rPr>
  </w:style>
  <w:style w:type="paragraph" w:customStyle="1" w:styleId="326">
    <w:name w:val="title1"/>
    <w:basedOn w:val="1"/>
    <w:qFormat/>
    <w:uiPriority w:val="0"/>
    <w:pPr>
      <w:widowControl/>
      <w:spacing w:before="100" w:beforeAutospacing="1" w:after="100" w:afterAutospacing="1"/>
      <w:jc w:val="left"/>
    </w:pPr>
    <w:rPr>
      <w:rFonts w:ascii="Arial Unicode MS" w:hAnsi="Arial Unicode MS" w:eastAsia="Arial Unicode MS"/>
      <w:kern w:val="0"/>
      <w:szCs w:val="21"/>
    </w:rPr>
  </w:style>
  <w:style w:type="paragraph" w:customStyle="1" w:styleId="327">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cs="Arial Unicode MS"/>
      <w:kern w:val="0"/>
      <w:sz w:val="20"/>
      <w:szCs w:val="20"/>
    </w:rPr>
  </w:style>
  <w:style w:type="paragraph" w:customStyle="1" w:styleId="328">
    <w:name w:val="样式4"/>
    <w:basedOn w:val="4"/>
    <w:qFormat/>
    <w:uiPriority w:val="0"/>
    <w:pPr>
      <w:widowControl w:val="0"/>
      <w:numPr>
        <w:ilvl w:val="0"/>
        <w:numId w:val="0"/>
      </w:numPr>
      <w:tabs>
        <w:tab w:val="clear" w:pos="720"/>
      </w:tabs>
      <w:spacing w:before="260" w:after="260" w:line="415" w:lineRule="auto"/>
      <w:jc w:val="both"/>
    </w:pPr>
    <w:rPr>
      <w:rFonts w:eastAsia="Arial"/>
      <w:bCs/>
      <w:szCs w:val="32"/>
    </w:rPr>
  </w:style>
  <w:style w:type="paragraph" w:customStyle="1" w:styleId="329">
    <w:name w:val="样式 居中"/>
    <w:basedOn w:val="1"/>
    <w:qFormat/>
    <w:uiPriority w:val="0"/>
    <w:pPr>
      <w:autoSpaceDE w:val="0"/>
      <w:autoSpaceDN w:val="0"/>
      <w:spacing w:line="353" w:lineRule="auto"/>
      <w:jc w:val="center"/>
    </w:pPr>
    <w:rPr>
      <w:sz w:val="24"/>
    </w:rPr>
  </w:style>
  <w:style w:type="paragraph" w:customStyle="1" w:styleId="330">
    <w:name w:val="bigred"/>
    <w:basedOn w:val="1"/>
    <w:qFormat/>
    <w:uiPriority w:val="0"/>
    <w:pPr>
      <w:widowControl/>
      <w:spacing w:before="100" w:beforeAutospacing="1" w:after="100" w:afterAutospacing="1"/>
      <w:jc w:val="left"/>
    </w:pPr>
    <w:rPr>
      <w:rFonts w:ascii="Helvetica" w:hAnsi="Helvetica" w:cs="Helvetica"/>
      <w:b/>
      <w:bCs/>
      <w:color w:val="FF0000"/>
      <w:kern w:val="0"/>
      <w:sz w:val="26"/>
      <w:szCs w:val="26"/>
    </w:rPr>
  </w:style>
  <w:style w:type="paragraph" w:customStyle="1" w:styleId="331">
    <w:name w:val="标准文件_二级条标题"/>
    <w:basedOn w:val="1"/>
    <w:next w:val="1"/>
    <w:qFormat/>
    <w:uiPriority w:val="0"/>
    <w:pPr>
      <w:widowControl/>
      <w:tabs>
        <w:tab w:val="left" w:pos="425"/>
      </w:tabs>
      <w:wordWrap w:val="0"/>
      <w:overflowPunct w:val="0"/>
      <w:autoSpaceDE w:val="0"/>
      <w:adjustRightInd w:val="0"/>
      <w:snapToGrid w:val="0"/>
      <w:spacing w:line="300" w:lineRule="auto"/>
      <w:ind w:left="425" w:hanging="425"/>
      <w:jc w:val="left"/>
      <w:textAlignment w:val="baseline"/>
      <w:outlineLvl w:val="3"/>
    </w:pPr>
    <w:rPr>
      <w:rFonts w:ascii="黑体" w:hAnsi="宋体" w:eastAsia="黑体" w:cs="黑体"/>
      <w:color w:val="000000"/>
      <w:spacing w:val="2"/>
      <w:kern w:val="0"/>
      <w:sz w:val="24"/>
      <w:lang w:val="zh-CN"/>
    </w:rPr>
  </w:style>
  <w:style w:type="paragraph" w:customStyle="1" w:styleId="332">
    <w:name w:val="focus"/>
    <w:basedOn w:val="1"/>
    <w:qFormat/>
    <w:uiPriority w:val="0"/>
    <w:pPr>
      <w:widowControl/>
      <w:shd w:val="clear" w:color="auto" w:fill="003366"/>
      <w:spacing w:before="100" w:beforeAutospacing="1" w:after="100" w:afterAutospacing="1"/>
      <w:jc w:val="left"/>
    </w:pPr>
    <w:rPr>
      <w:rFonts w:ascii="Arial" w:hAnsi="Arial" w:cs="Arial"/>
      <w:b/>
      <w:bCs/>
      <w:color w:val="FFFFFF"/>
      <w:kern w:val="0"/>
      <w:sz w:val="16"/>
      <w:szCs w:val="16"/>
    </w:rPr>
  </w:style>
  <w:style w:type="paragraph" w:customStyle="1" w:styleId="333">
    <w:name w:val="title"/>
    <w:basedOn w:val="1"/>
    <w:qFormat/>
    <w:uiPriority w:val="0"/>
    <w:pPr>
      <w:widowControl/>
      <w:spacing w:before="100" w:beforeAutospacing="1" w:after="100" w:afterAutospacing="1"/>
      <w:jc w:val="left"/>
    </w:pPr>
    <w:rPr>
      <w:rFonts w:ascii="Helvetica" w:hAnsi="Helvetica" w:cs="Helvetica"/>
      <w:b/>
      <w:bCs/>
      <w:kern w:val="0"/>
      <w:sz w:val="36"/>
      <w:szCs w:val="36"/>
    </w:rPr>
  </w:style>
  <w:style w:type="paragraph" w:customStyle="1" w:styleId="334">
    <w:name w:val="xl33"/>
    <w:basedOn w:val="1"/>
    <w:qFormat/>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335">
    <w:name w:val=" Char Char Char"/>
    <w:basedOn w:val="1"/>
    <w:qFormat/>
    <w:uiPriority w:val="0"/>
    <w:rPr>
      <w:szCs w:val="22"/>
    </w:rPr>
  </w:style>
  <w:style w:type="paragraph" w:customStyle="1" w:styleId="336">
    <w:name w:val="菲页1"/>
    <w:basedOn w:val="3"/>
    <w:qFormat/>
    <w:uiPriority w:val="0"/>
    <w:rPr>
      <w:rFonts w:ascii="黑体" w:hAnsi="宋体"/>
      <w:b w:val="0"/>
      <w:sz w:val="52"/>
    </w:rPr>
  </w:style>
  <w:style w:type="paragraph" w:customStyle="1" w:styleId="337">
    <w:name w:val="Style Left:  2.25 cm"/>
    <w:basedOn w:val="1"/>
    <w:qFormat/>
    <w:uiPriority w:val="0"/>
    <w:pPr>
      <w:spacing w:after="120"/>
      <w:ind w:left="992"/>
    </w:pPr>
    <w:rPr>
      <w:rFonts w:ascii="Arial" w:hAnsi="Arial" w:cs="Arial"/>
      <w:szCs w:val="21"/>
    </w:rPr>
  </w:style>
  <w:style w:type="paragraph" w:customStyle="1" w:styleId="338">
    <w:name w:val="样式2"/>
    <w:basedOn w:val="4"/>
    <w:qFormat/>
    <w:uiPriority w:val="0"/>
    <w:pPr>
      <w:widowControl w:val="0"/>
      <w:numPr>
        <w:ilvl w:val="0"/>
        <w:numId w:val="0"/>
      </w:numPr>
      <w:tabs>
        <w:tab w:val="clear" w:pos="720"/>
      </w:tabs>
      <w:spacing w:before="260" w:after="260" w:line="415" w:lineRule="auto"/>
      <w:jc w:val="both"/>
    </w:pPr>
    <w:rPr>
      <w:bCs/>
      <w:szCs w:val="32"/>
    </w:rPr>
  </w:style>
  <w:style w:type="paragraph" w:customStyle="1" w:styleId="33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340">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341">
    <w:name w:val="样式 underline + 无下划线"/>
    <w:basedOn w:val="1"/>
    <w:qFormat/>
    <w:uiPriority w:val="0"/>
    <w:pPr>
      <w:pBdr>
        <w:bottom w:val="single" w:color="auto" w:sz="4" w:space="1"/>
      </w:pBdr>
      <w:spacing w:line="288" w:lineRule="auto"/>
    </w:pPr>
    <w:rPr>
      <w:rFonts w:ascii="宋体" w:hAnsi="宋体" w:cs="宋体"/>
      <w:b/>
      <w:bCs/>
      <w:sz w:val="28"/>
      <w:szCs w:val="28"/>
    </w:rPr>
  </w:style>
  <w:style w:type="paragraph" w:customStyle="1" w:styleId="342">
    <w:name w:val="表标题"/>
    <w:basedOn w:val="1"/>
    <w:next w:val="1"/>
    <w:qFormat/>
    <w:uiPriority w:val="0"/>
    <w:pPr>
      <w:keepNext/>
      <w:numPr>
        <w:ilvl w:val="0"/>
        <w:numId w:val="10"/>
      </w:numPr>
      <w:tabs>
        <w:tab w:val="left" w:pos="567"/>
      </w:tabs>
      <w:adjustRightInd w:val="0"/>
      <w:snapToGrid w:val="0"/>
      <w:spacing w:before="312" w:beforeLines="100" w:after="156" w:afterLines="50"/>
    </w:pPr>
    <w:rPr>
      <w:rFonts w:ascii="Tahoma" w:hAnsi="Tahoma" w:eastAsia="黑体"/>
      <w:b/>
      <w:szCs w:val="22"/>
    </w:rPr>
  </w:style>
  <w:style w:type="paragraph" w:customStyle="1" w:styleId="343">
    <w:name w:val="正文1)"/>
    <w:basedOn w:val="1"/>
    <w:qFormat/>
    <w:uiPriority w:val="0"/>
    <w:pPr>
      <w:tabs>
        <w:tab w:val="left" w:pos="-120"/>
        <w:tab w:val="left" w:pos="0"/>
        <w:tab w:val="left" w:pos="120"/>
        <w:tab w:val="left" w:pos="425"/>
      </w:tabs>
      <w:spacing w:line="360" w:lineRule="auto"/>
      <w:ind w:left="425" w:hanging="425"/>
      <w:jc w:val="left"/>
    </w:pPr>
    <w:rPr>
      <w:rFonts w:ascii="宋体" w:hAnsi="Arial" w:cs="宋体"/>
      <w:smallCaps/>
      <w:spacing w:val="-20"/>
      <w:sz w:val="24"/>
    </w:rPr>
  </w:style>
  <w:style w:type="paragraph" w:customStyle="1" w:styleId="344">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Arial Unicode MS" w:cs="Arial Unicode MS"/>
      <w:kern w:val="0"/>
      <w:sz w:val="24"/>
    </w:rPr>
  </w:style>
  <w:style w:type="paragraph" w:customStyle="1" w:styleId="345">
    <w:name w:val="xl5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cs="Arial Unicode MS"/>
      <w:b/>
      <w:bCs/>
      <w:kern w:val="0"/>
      <w:sz w:val="20"/>
      <w:szCs w:val="20"/>
    </w:rPr>
  </w:style>
  <w:style w:type="paragraph" w:customStyle="1" w:styleId="346">
    <w:name w:val=" Char1 Char Char Char"/>
    <w:basedOn w:val="1"/>
    <w:qFormat/>
    <w:uiPriority w:val="0"/>
    <w:rPr>
      <w:rFonts w:ascii="Tahoma" w:hAnsi="Tahoma"/>
      <w:sz w:val="24"/>
      <w:szCs w:val="20"/>
    </w:rPr>
  </w:style>
  <w:style w:type="paragraph" w:customStyle="1" w:styleId="347">
    <w:name w:val="font10"/>
    <w:basedOn w:val="1"/>
    <w:qFormat/>
    <w:uiPriority w:val="0"/>
    <w:pPr>
      <w:widowControl/>
      <w:spacing w:before="100" w:beforeLines="0" w:beforeAutospacing="1" w:after="100" w:afterLines="0" w:afterAutospacing="1"/>
      <w:jc w:val="left"/>
    </w:pPr>
    <w:rPr>
      <w:rFonts w:eastAsia="Arial Unicode MS"/>
      <w:b/>
      <w:bCs/>
      <w:kern w:val="0"/>
      <w:sz w:val="24"/>
    </w:rPr>
  </w:style>
  <w:style w:type="paragraph" w:customStyle="1" w:styleId="348">
    <w:name w:val="列项——（一级）"/>
    <w:qFormat/>
    <w:uiPriority w:val="0"/>
    <w:pPr>
      <w:widowControl w:val="0"/>
      <w:numPr>
        <w:ilvl w:val="0"/>
        <w:numId w:val="11"/>
      </w:numPr>
      <w:jc w:val="both"/>
    </w:pPr>
    <w:rPr>
      <w:rFonts w:ascii="宋体" w:hAnsi="Times New Roman" w:eastAsia="宋体" w:cs="Times New Roman"/>
      <w:sz w:val="21"/>
      <w:szCs w:val="22"/>
      <w:lang w:val="en-US" w:eastAsia="zh-CN" w:bidi="ar-SA"/>
    </w:rPr>
  </w:style>
  <w:style w:type="paragraph" w:customStyle="1" w:styleId="349">
    <w:name w:val="样式 标题 2 + 宋体 四号 行距: 固定值 22 磅"/>
    <w:basedOn w:val="3"/>
    <w:qFormat/>
    <w:uiPriority w:val="0"/>
    <w:pPr>
      <w:widowControl w:val="0"/>
      <w:numPr>
        <w:ilvl w:val="1"/>
        <w:numId w:val="0"/>
      </w:numPr>
      <w:tabs>
        <w:tab w:val="left" w:pos="0"/>
      </w:tabs>
      <w:spacing w:before="120" w:after="120" w:line="440" w:lineRule="exact"/>
      <w:ind w:left="420" w:hanging="420"/>
    </w:pPr>
    <w:rPr>
      <w:rFonts w:eastAsia="黑体" w:cs="宋体"/>
      <w:color w:val="auto"/>
      <w:kern w:val="2"/>
      <w:sz w:val="28"/>
      <w:szCs w:val="32"/>
    </w:rPr>
  </w:style>
  <w:style w:type="paragraph" w:customStyle="1" w:styleId="350">
    <w:name w:val="我的标题3 Char"/>
    <w:basedOn w:val="232"/>
    <w:next w:val="232"/>
    <w:qFormat/>
    <w:uiPriority w:val="0"/>
    <w:pPr>
      <w:tabs>
        <w:tab w:val="left" w:pos="720"/>
        <w:tab w:val="left" w:pos="1506"/>
      </w:tabs>
      <w:spacing w:before="100" w:beforeAutospacing="1" w:after="100" w:afterAutospacing="1"/>
      <w:ind w:left="720" w:hanging="720" w:firstLineChars="0"/>
      <w:jc w:val="left"/>
      <w:outlineLvl w:val="2"/>
    </w:pPr>
    <w:rPr>
      <w:rFonts w:eastAsia="黑体"/>
      <w:sz w:val="32"/>
      <w:szCs w:val="32"/>
      <w:lang w:val="en-US"/>
    </w:rPr>
  </w:style>
  <w:style w:type="paragraph" w:customStyle="1" w:styleId="35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52">
    <w:name w:val="xl35"/>
    <w:basedOn w:val="1"/>
    <w:qFormat/>
    <w:uiPriority w:val="0"/>
    <w:pPr>
      <w:widowControl/>
      <w:pBdr>
        <w:top w:val="single" w:color="auto" w:sz="4" w:space="0"/>
      </w:pBdr>
      <w:spacing w:before="100" w:beforeLines="0" w:beforeAutospacing="1" w:after="100" w:afterLines="0" w:afterAutospacing="1"/>
      <w:jc w:val="center"/>
    </w:pPr>
    <w:rPr>
      <w:rFonts w:ascii="Arial Unicode MS" w:hAnsi="Arial Unicode MS" w:eastAsia="Arial Unicode MS" w:cs="Arial Unicode MS"/>
      <w:kern w:val="0"/>
      <w:sz w:val="36"/>
      <w:szCs w:val="36"/>
    </w:rPr>
  </w:style>
  <w:style w:type="paragraph" w:customStyle="1" w:styleId="353">
    <w:name w:val="签字"/>
    <w:basedOn w:val="1"/>
    <w:qFormat/>
    <w:uiPriority w:val="0"/>
    <w:pPr>
      <w:spacing w:beforeLines="50"/>
      <w:jc w:val="left"/>
    </w:pPr>
    <w:rPr>
      <w:rFonts w:ascii="宋体" w:hAnsi="宋体" w:cs="宋体"/>
      <w:sz w:val="32"/>
      <w:szCs w:val="32"/>
    </w:rPr>
  </w:style>
  <w:style w:type="paragraph" w:customStyle="1" w:styleId="354">
    <w:name w:val="全段标号"/>
    <w:basedOn w:val="1"/>
    <w:qFormat/>
    <w:uiPriority w:val="0"/>
    <w:pPr>
      <w:tabs>
        <w:tab w:val="left" w:pos="720"/>
      </w:tabs>
      <w:suppressAutoHyphens/>
      <w:topLinePunct/>
      <w:adjustRightInd w:val="0"/>
      <w:spacing w:line="360" w:lineRule="auto"/>
      <w:ind w:left="360" w:right="298" w:hanging="360"/>
    </w:pPr>
    <w:rPr>
      <w:rFonts w:ascii="宋体" w:cs="宋体"/>
      <w:kern w:val="0"/>
      <w:sz w:val="24"/>
    </w:rPr>
  </w:style>
  <w:style w:type="paragraph" w:customStyle="1" w:styleId="355">
    <w:name w:val="菲页(卷)"/>
    <w:basedOn w:val="2"/>
    <w:next w:val="340"/>
    <w:qFormat/>
    <w:uiPriority w:val="0"/>
    <w:pPr>
      <w:outlineLvl w:val="1"/>
    </w:pPr>
  </w:style>
  <w:style w:type="paragraph" w:customStyle="1" w:styleId="356">
    <w:name w:val="contentlabel"/>
    <w:basedOn w:val="1"/>
    <w:qFormat/>
    <w:uiPriority w:val="0"/>
    <w:pPr>
      <w:widowControl/>
      <w:spacing w:before="30" w:after="100" w:afterAutospacing="1"/>
      <w:ind w:left="90"/>
      <w:jc w:val="left"/>
    </w:pPr>
    <w:rPr>
      <w:rFonts w:ascii="Arial Unicode MS" w:hAnsi="Arial Unicode MS" w:cs="Arial Unicode MS"/>
      <w:color w:val="336666"/>
      <w:kern w:val="0"/>
      <w:sz w:val="18"/>
      <w:szCs w:val="18"/>
    </w:rPr>
  </w:style>
  <w:style w:type="paragraph" w:customStyle="1" w:styleId="357">
    <w:name w:val="_Style 5"/>
    <w:basedOn w:val="1"/>
    <w:qFormat/>
    <w:uiPriority w:val="0"/>
    <w:pPr>
      <w:spacing w:line="360" w:lineRule="auto"/>
      <w:ind w:firstLine="200" w:firstLineChars="200"/>
    </w:pPr>
  </w:style>
  <w:style w:type="paragraph" w:customStyle="1" w:styleId="358">
    <w:name w:val="我的顺序表"/>
    <w:basedOn w:val="1"/>
    <w:qFormat/>
    <w:uiPriority w:val="0"/>
    <w:pPr>
      <w:tabs>
        <w:tab w:val="left" w:pos="839"/>
      </w:tabs>
      <w:spacing w:line="360" w:lineRule="auto"/>
      <w:ind w:left="839" w:hanging="419"/>
    </w:pPr>
    <w:rPr>
      <w:szCs w:val="21"/>
    </w:rPr>
  </w:style>
  <w:style w:type="paragraph" w:customStyle="1" w:styleId="359">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eastAsia="Arial Unicode MS"/>
      <w:kern w:val="0"/>
      <w:sz w:val="24"/>
    </w:rPr>
  </w:style>
  <w:style w:type="paragraph" w:customStyle="1" w:styleId="360">
    <w:name w:val="listheader"/>
    <w:basedOn w:val="1"/>
    <w:qFormat/>
    <w:uiPriority w:val="0"/>
    <w:pPr>
      <w:widowControl/>
      <w:spacing w:before="100" w:beforeAutospacing="1" w:after="100" w:afterAutospacing="1"/>
      <w:jc w:val="left"/>
    </w:pPr>
    <w:rPr>
      <w:rFonts w:ascii="Arial" w:hAnsi="Arial" w:cs="Arial"/>
      <w:b/>
      <w:bCs/>
      <w:color w:val="FFFFFF"/>
      <w:kern w:val="0"/>
      <w:sz w:val="20"/>
      <w:szCs w:val="20"/>
    </w:rPr>
  </w:style>
  <w:style w:type="paragraph" w:customStyle="1" w:styleId="361">
    <w:name w:val="medium"/>
    <w:basedOn w:val="1"/>
    <w:qFormat/>
    <w:uiPriority w:val="0"/>
    <w:pPr>
      <w:widowControl/>
      <w:spacing w:before="100" w:beforeAutospacing="1" w:after="100" w:afterAutospacing="1"/>
      <w:jc w:val="left"/>
    </w:pPr>
    <w:rPr>
      <w:rFonts w:ascii="Arial" w:hAnsi="Arial" w:cs="Arial"/>
      <w:kern w:val="0"/>
      <w:sz w:val="18"/>
      <w:szCs w:val="18"/>
    </w:rPr>
  </w:style>
  <w:style w:type="paragraph" w:customStyle="1" w:styleId="362">
    <w:name w:val="标准正文"/>
    <w:basedOn w:val="24"/>
    <w:qFormat/>
    <w:uiPriority w:val="0"/>
    <w:pPr>
      <w:widowControl w:val="0"/>
      <w:overflowPunct/>
      <w:autoSpaceDE/>
      <w:autoSpaceDN/>
      <w:adjustRightInd/>
      <w:spacing w:before="60" w:after="60"/>
      <w:ind w:firstLine="482"/>
      <w:textAlignment w:val="auto"/>
    </w:pPr>
    <w:rPr>
      <w:rFonts w:ascii="Arial" w:hAnsi="Arial" w:eastAsia="仿宋_GB2312"/>
      <w:spacing w:val="0"/>
      <w:kern w:val="2"/>
    </w:rPr>
  </w:style>
  <w:style w:type="paragraph" w:customStyle="1" w:styleId="363">
    <w:name w:val="我的标题1"/>
    <w:basedOn w:val="232"/>
    <w:next w:val="232"/>
    <w:qFormat/>
    <w:uiPriority w:val="0"/>
    <w:pPr>
      <w:tabs>
        <w:tab w:val="left" w:pos="432"/>
      </w:tabs>
      <w:spacing w:before="100" w:beforeAutospacing="1" w:after="100" w:afterAutospacing="1" w:line="720" w:lineRule="auto"/>
      <w:ind w:left="432" w:hanging="432" w:firstLineChars="0"/>
      <w:outlineLvl w:val="0"/>
    </w:pPr>
    <w:rPr>
      <w:rFonts w:eastAsia="黑体"/>
      <w:sz w:val="44"/>
      <w:szCs w:val="44"/>
      <w:lang w:val="en-US"/>
    </w:rPr>
  </w:style>
  <w:style w:type="paragraph" w:customStyle="1" w:styleId="364">
    <w:name w:val="big"/>
    <w:basedOn w:val="1"/>
    <w:qFormat/>
    <w:uiPriority w:val="0"/>
    <w:pPr>
      <w:widowControl/>
      <w:spacing w:before="100" w:beforeAutospacing="1" w:after="100" w:afterAutospacing="1"/>
      <w:jc w:val="left"/>
    </w:pPr>
    <w:rPr>
      <w:rFonts w:ascii="Helvetica" w:hAnsi="Helvetica" w:cs="Helvetica"/>
      <w:b/>
      <w:bCs/>
      <w:color w:val="000000"/>
      <w:kern w:val="0"/>
      <w:sz w:val="26"/>
      <w:szCs w:val="26"/>
    </w:rPr>
  </w:style>
  <w:style w:type="paragraph" w:customStyle="1" w:styleId="365">
    <w:name w:val="reader-word-layer reader-word-s14-15"/>
    <w:basedOn w:val="1"/>
    <w:qFormat/>
    <w:uiPriority w:val="0"/>
    <w:pPr>
      <w:widowControl/>
      <w:spacing w:before="100" w:beforeAutospacing="1" w:after="100" w:afterAutospacing="1"/>
      <w:jc w:val="left"/>
    </w:pPr>
    <w:rPr>
      <w:rFonts w:ascii="宋体" w:hAnsi="宋体" w:cs="宋体"/>
      <w:kern w:val="0"/>
      <w:sz w:val="24"/>
    </w:rPr>
  </w:style>
  <w:style w:type="paragraph" w:customStyle="1" w:styleId="366">
    <w:name w:val="默认段落字体 Para Char Char Char Char"/>
    <w:basedOn w:val="1"/>
    <w:qFormat/>
    <w:uiPriority w:val="0"/>
  </w:style>
  <w:style w:type="paragraph" w:customStyle="1" w:styleId="367">
    <w:name w:val="Char Char Char Char Char Char Char"/>
    <w:basedOn w:val="1"/>
    <w:qFormat/>
    <w:uiPriority w:val="0"/>
    <w:pPr>
      <w:widowControl/>
      <w:autoSpaceDE w:val="0"/>
      <w:autoSpaceDN w:val="0"/>
      <w:snapToGrid w:val="0"/>
      <w:spacing w:after="160" w:line="360" w:lineRule="auto"/>
      <w:jc w:val="left"/>
    </w:pPr>
    <w:rPr>
      <w:rFonts w:ascii="宋体" w:hAnsi="宋体" w:cs="宋体"/>
      <w:b/>
      <w:bCs/>
      <w:color w:val="000000"/>
      <w:kern w:val="0"/>
      <w:sz w:val="24"/>
    </w:rPr>
  </w:style>
  <w:style w:type="paragraph" w:customStyle="1" w:styleId="36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369">
    <w:name w:val="xl37"/>
    <w:basedOn w:val="1"/>
    <w:qFormat/>
    <w:uiPriority w:val="0"/>
    <w:pPr>
      <w:widowControl/>
      <w:pBdr>
        <w:top w:val="single" w:color="auto" w:sz="4" w:space="0"/>
        <w:left w:val="single" w:color="auto" w:sz="4" w:space="0"/>
        <w:bottom w:val="single" w:color="auto" w:sz="8" w:space="0"/>
        <w:right w:val="single" w:color="auto" w:sz="4" w:space="0"/>
      </w:pBdr>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370">
    <w:name w:val="redsmall"/>
    <w:basedOn w:val="1"/>
    <w:qFormat/>
    <w:uiPriority w:val="0"/>
    <w:pPr>
      <w:widowControl/>
      <w:spacing w:before="100" w:beforeAutospacing="1" w:after="100" w:afterAutospacing="1"/>
      <w:jc w:val="left"/>
    </w:pPr>
    <w:rPr>
      <w:rFonts w:ascii="Arial" w:hAnsi="Arial" w:cs="Arial"/>
      <w:color w:val="FF0000"/>
      <w:kern w:val="0"/>
      <w:sz w:val="16"/>
      <w:szCs w:val="16"/>
    </w:rPr>
  </w:style>
  <w:style w:type="paragraph" w:customStyle="1" w:styleId="371">
    <w:name w:val="red"/>
    <w:basedOn w:val="1"/>
    <w:qFormat/>
    <w:uiPriority w:val="0"/>
    <w:pPr>
      <w:widowControl/>
      <w:spacing w:before="100" w:beforeAutospacing="1" w:after="100" w:afterAutospacing="1"/>
      <w:jc w:val="left"/>
    </w:pPr>
    <w:rPr>
      <w:rFonts w:ascii="Arial" w:hAnsi="Arial" w:cs="Arial"/>
      <w:color w:val="FF0000"/>
      <w:kern w:val="0"/>
      <w:sz w:val="20"/>
      <w:szCs w:val="20"/>
    </w:rPr>
  </w:style>
  <w:style w:type="paragraph" w:customStyle="1" w:styleId="372">
    <w:name w:val="Date1"/>
    <w:basedOn w:val="1"/>
    <w:next w:val="1"/>
    <w:qFormat/>
    <w:uiPriority w:val="0"/>
    <w:pPr>
      <w:adjustRightInd w:val="0"/>
      <w:snapToGrid w:val="0"/>
      <w:spacing w:beforeLines="50" w:line="312" w:lineRule="atLeast"/>
      <w:textAlignment w:val="baseline"/>
    </w:pPr>
    <w:rPr>
      <w:kern w:val="0"/>
      <w:sz w:val="24"/>
    </w:rPr>
  </w:style>
  <w:style w:type="paragraph" w:customStyle="1" w:styleId="373">
    <w:name w:val="List Paragraph2"/>
    <w:basedOn w:val="1"/>
    <w:qFormat/>
    <w:uiPriority w:val="0"/>
    <w:pPr>
      <w:ind w:firstLine="420" w:firstLineChars="200"/>
    </w:pPr>
    <w:rPr>
      <w:szCs w:val="22"/>
    </w:rPr>
  </w:style>
  <w:style w:type="paragraph" w:customStyle="1" w:styleId="374">
    <w:name w:val="xl30"/>
    <w:basedOn w:val="1"/>
    <w:qFormat/>
    <w:uiPriority w:val="0"/>
    <w:pPr>
      <w:widowControl/>
      <w:spacing w:before="100" w:beforeLines="0" w:beforeAutospacing="1" w:after="100" w:afterLines="0" w:afterAutospacing="1"/>
      <w:jc w:val="center"/>
    </w:pPr>
    <w:rPr>
      <w:rFonts w:ascii="Arial Unicode MS" w:hAnsi="Arial Unicode MS" w:eastAsia="Arial Unicode MS" w:cs="Arial Unicode MS"/>
      <w:b/>
      <w:bCs/>
      <w:kern w:val="0"/>
      <w:sz w:val="48"/>
      <w:szCs w:val="48"/>
    </w:rPr>
  </w:style>
  <w:style w:type="paragraph" w:customStyle="1" w:styleId="375">
    <w:name w:val="font9"/>
    <w:basedOn w:val="1"/>
    <w:qFormat/>
    <w:uiPriority w:val="0"/>
    <w:pPr>
      <w:widowControl/>
      <w:spacing w:before="100" w:beforeLines="0" w:beforeAutospacing="1" w:after="100" w:afterLines="0" w:afterAutospacing="1"/>
      <w:jc w:val="left"/>
    </w:pPr>
    <w:rPr>
      <w:rFonts w:hint="eastAsia" w:ascii="宋体" w:hAnsi="宋体" w:cs="Arial Unicode MS"/>
      <w:b/>
      <w:bCs/>
      <w:kern w:val="0"/>
      <w:sz w:val="24"/>
    </w:rPr>
  </w:style>
  <w:style w:type="paragraph" w:customStyle="1" w:styleId="376">
    <w:name w:val="xl4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cs="Arial Unicode MS"/>
      <w:b/>
      <w:bCs/>
      <w:kern w:val="0"/>
      <w:sz w:val="24"/>
    </w:rPr>
  </w:style>
  <w:style w:type="paragraph" w:customStyle="1" w:styleId="377">
    <w:name w:val="Default"/>
    <w:next w:val="1"/>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378">
    <w:name w:val="刊登"/>
    <w:basedOn w:val="1"/>
    <w:qFormat/>
    <w:uiPriority w:val="0"/>
    <w:pPr>
      <w:ind w:firstLine="588"/>
    </w:pPr>
    <w:rPr>
      <w:sz w:val="30"/>
    </w:rPr>
  </w:style>
  <w:style w:type="paragraph" w:customStyle="1" w:styleId="379">
    <w:name w:val="样式 标题 3 + 宋体 小四 行距: 固定值 22 磅"/>
    <w:basedOn w:val="4"/>
    <w:qFormat/>
    <w:uiPriority w:val="0"/>
    <w:pPr>
      <w:widowControl w:val="0"/>
      <w:numPr>
        <w:ilvl w:val="2"/>
        <w:numId w:val="0"/>
      </w:numPr>
      <w:tabs>
        <w:tab w:val="left" w:pos="1004"/>
      </w:tabs>
      <w:spacing w:line="440" w:lineRule="exact"/>
      <w:jc w:val="both"/>
    </w:pPr>
    <w:rPr>
      <w:rFonts w:ascii="宋体" w:hAnsi="宋体" w:cs="宋体"/>
      <w:sz w:val="24"/>
      <w:szCs w:val="32"/>
    </w:rPr>
  </w:style>
  <w:style w:type="paragraph" w:customStyle="1" w:styleId="380">
    <w:name w:val="xl25"/>
    <w:basedOn w:val="1"/>
    <w:qFormat/>
    <w:uiPriority w:val="0"/>
    <w:pPr>
      <w:widowControl/>
      <w:spacing w:before="100" w:beforeLines="0" w:beforeAutospacing="1" w:after="100" w:afterLines="0" w:afterAutospacing="1"/>
      <w:jc w:val="center"/>
      <w:textAlignment w:val="center"/>
    </w:pPr>
    <w:rPr>
      <w:rFonts w:ascii="Arial Unicode MS" w:hAnsi="Arial Unicode MS" w:eastAsia="Arial Unicode MS" w:cs="Arial Unicode MS"/>
      <w:kern w:val="0"/>
      <w:sz w:val="24"/>
    </w:rPr>
  </w:style>
  <w:style w:type="paragraph" w:customStyle="1" w:styleId="381">
    <w:name w:val="Appendix 2"/>
    <w:next w:val="1"/>
    <w:qFormat/>
    <w:uiPriority w:val="0"/>
    <w:pPr>
      <w:tabs>
        <w:tab w:val="left" w:pos="425"/>
      </w:tabs>
      <w:ind w:left="425" w:hanging="425"/>
    </w:pPr>
    <w:rPr>
      <w:rFonts w:ascii="Times New Roman" w:hAnsi="Times New Roman" w:eastAsia="宋体" w:cs="Times New Roman"/>
      <w:sz w:val="21"/>
      <w:szCs w:val="21"/>
      <w:lang w:val="en-US" w:eastAsia="zh-CN" w:bidi="ar-SA"/>
    </w:rPr>
  </w:style>
  <w:style w:type="paragraph" w:customStyle="1" w:styleId="382">
    <w:name w:val="List1"/>
    <w:basedOn w:val="1"/>
    <w:qFormat/>
    <w:uiPriority w:val="0"/>
    <w:pPr>
      <w:widowControl/>
      <w:tabs>
        <w:tab w:val="left" w:pos="630"/>
      </w:tabs>
      <w:spacing w:after="120"/>
      <w:ind w:left="630" w:hanging="270"/>
    </w:pPr>
    <w:rPr>
      <w:rFonts w:ascii="仿宋体" w:eastAsia="仿宋体" w:cs="仿宋体"/>
      <w:kern w:val="0"/>
      <w:sz w:val="26"/>
      <w:szCs w:val="26"/>
    </w:rPr>
  </w:style>
  <w:style w:type="table" w:customStyle="1" w:styleId="383">
    <w:name w:val="网格型1"/>
    <w:basedOn w:val="61"/>
    <w:qFormat/>
    <w:uiPriority w:val="3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384">
    <w:name w:val="qxdate"/>
    <w:qFormat/>
    <w:uiPriority w:val="0"/>
    <w:rPr>
      <w:color w:val="333333"/>
      <w:sz w:val="18"/>
      <w:szCs w:val="18"/>
    </w:rPr>
  </w:style>
  <w:style w:type="character" w:customStyle="1" w:styleId="385">
    <w:name w:val="cfdate"/>
    <w:qFormat/>
    <w:uiPriority w:val="0"/>
    <w:rPr>
      <w:color w:val="333333"/>
      <w:sz w:val="18"/>
      <w:szCs w:val="18"/>
    </w:rPr>
  </w:style>
  <w:style w:type="character" w:customStyle="1" w:styleId="386">
    <w:name w:val="gjfg"/>
    <w:qFormat/>
    <w:uiPriority w:val="0"/>
  </w:style>
  <w:style w:type="character" w:customStyle="1" w:styleId="387">
    <w:name w:val="displayarti"/>
    <w:qFormat/>
    <w:uiPriority w:val="0"/>
    <w:rPr>
      <w:color w:val="FFFFFF"/>
      <w:shd w:val="clear" w:color="auto" w:fill="A00000"/>
    </w:rPr>
  </w:style>
  <w:style w:type="character" w:customStyle="1" w:styleId="388">
    <w:name w:val="redfilenumber"/>
    <w:qFormat/>
    <w:uiPriority w:val="0"/>
    <w:rPr>
      <w:color w:val="BA2636"/>
      <w:sz w:val="18"/>
      <w:szCs w:val="18"/>
    </w:rPr>
  </w:style>
  <w:style w:type="character" w:customStyle="1" w:styleId="389">
    <w:name w:val="redfilefwwh"/>
    <w:qFormat/>
    <w:uiPriority w:val="0"/>
    <w:rPr>
      <w:color w:val="BA2636"/>
      <w:sz w:val="18"/>
      <w:szCs w:val="18"/>
    </w:rPr>
  </w:style>
  <w:style w:type="character" w:customStyle="1" w:styleId="390">
    <w:name w:val="next"/>
    <w:qFormat/>
    <w:uiPriority w:val="0"/>
    <w:rPr>
      <w:rFonts w:ascii="微软雅黑" w:hAnsi="微软雅黑" w:eastAsia="微软雅黑" w:cs="微软雅黑"/>
      <w:sz w:val="21"/>
      <w:szCs w:val="21"/>
    </w:rPr>
  </w:style>
  <w:style w:type="character" w:customStyle="1" w:styleId="391">
    <w:name w:val="next1"/>
    <w:qFormat/>
    <w:uiPriority w:val="0"/>
    <w:rPr>
      <w:color w:val="888888"/>
    </w:rPr>
  </w:style>
  <w:style w:type="character" w:customStyle="1" w:styleId="392">
    <w:name w:val="prev"/>
    <w:qFormat/>
    <w:uiPriority w:val="0"/>
    <w:rPr>
      <w:rFonts w:hint="eastAsia" w:ascii="微软雅黑" w:hAnsi="微软雅黑" w:eastAsia="微软雅黑" w:cs="微软雅黑"/>
      <w:sz w:val="21"/>
      <w:szCs w:val="21"/>
    </w:rPr>
  </w:style>
  <w:style w:type="character" w:customStyle="1" w:styleId="393">
    <w:name w:val="prev1"/>
    <w:qFormat/>
    <w:uiPriority w:val="0"/>
    <w:rPr>
      <w:color w:val="888888"/>
    </w:rPr>
  </w:style>
  <w:style w:type="paragraph" w:customStyle="1" w:styleId="394">
    <w:name w:val="_Style 3"/>
    <w:qFormat/>
    <w:uiPriority w:val="0"/>
    <w:pPr>
      <w:widowControl w:val="0"/>
      <w:jc w:val="both"/>
    </w:pPr>
    <w:rPr>
      <w:rFonts w:ascii="Calibri" w:hAnsi="Calibri" w:eastAsia="宋体" w:cs="Times New Roman"/>
      <w:kern w:val="2"/>
      <w:sz w:val="21"/>
      <w:szCs w:val="22"/>
      <w:lang w:val="en-US" w:eastAsia="zh-CN" w:bidi="ar-SA"/>
    </w:rPr>
  </w:style>
  <w:style w:type="character" w:customStyle="1" w:styleId="395">
    <w:name w:val="font112"/>
    <w:basedOn w:val="63"/>
    <w:qFormat/>
    <w:uiPriority w:val="0"/>
    <w:rPr>
      <w:rFonts w:hint="eastAsia" w:ascii="微软雅黑" w:hAnsi="微软雅黑" w:eastAsia="微软雅黑" w:cs="微软雅黑"/>
      <w:color w:val="000000"/>
      <w:sz w:val="24"/>
      <w:szCs w:val="24"/>
      <w:u w:val="none"/>
    </w:rPr>
  </w:style>
  <w:style w:type="character" w:customStyle="1" w:styleId="396">
    <w:name w:val="font171"/>
    <w:basedOn w:val="63"/>
    <w:qFormat/>
    <w:uiPriority w:val="0"/>
    <w:rPr>
      <w:rFonts w:ascii="Arial" w:hAnsi="Arial" w:cs="Arial"/>
      <w:color w:val="000000"/>
      <w:sz w:val="20"/>
      <w:szCs w:val="20"/>
      <w:u w:val="none"/>
    </w:rPr>
  </w:style>
  <w:style w:type="character" w:customStyle="1" w:styleId="397">
    <w:name w:val="font81"/>
    <w:basedOn w:val="63"/>
    <w:qFormat/>
    <w:uiPriority w:val="0"/>
    <w:rPr>
      <w:rFonts w:hint="eastAsia" w:ascii="微软雅黑" w:hAnsi="微软雅黑" w:eastAsia="微软雅黑" w:cs="微软雅黑"/>
      <w:color w:val="000000"/>
      <w:sz w:val="20"/>
      <w:szCs w:val="20"/>
      <w:u w:val="none"/>
    </w:rPr>
  </w:style>
  <w:style w:type="character" w:customStyle="1" w:styleId="398">
    <w:name w:val="font131"/>
    <w:basedOn w:val="63"/>
    <w:qFormat/>
    <w:uiPriority w:val="0"/>
    <w:rPr>
      <w:rFonts w:hint="eastAsia" w:ascii="微软雅黑" w:hAnsi="微软雅黑" w:eastAsia="微软雅黑" w:cs="微软雅黑"/>
      <w:color w:val="000000"/>
      <w:sz w:val="24"/>
      <w:szCs w:val="24"/>
      <w:u w:val="none"/>
    </w:rPr>
  </w:style>
  <w:style w:type="character" w:customStyle="1" w:styleId="399">
    <w:name w:val="font261"/>
    <w:basedOn w:val="63"/>
    <w:qFormat/>
    <w:uiPriority w:val="0"/>
    <w:rPr>
      <w:rFonts w:ascii="Arial" w:hAnsi="Arial" w:cs="Arial"/>
      <w:color w:val="000000"/>
      <w:sz w:val="24"/>
      <w:szCs w:val="24"/>
      <w:u w:val="none"/>
    </w:rPr>
  </w:style>
  <w:style w:type="paragraph" w:customStyle="1" w:styleId="400">
    <w:name w:val="正文_86"/>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401">
    <w:name w:val="*正文"/>
    <w:basedOn w:val="1"/>
    <w:qFormat/>
    <w:uiPriority w:val="0"/>
    <w:pPr>
      <w:widowControl/>
      <w:adjustRightInd w:val="0"/>
      <w:spacing w:line="360" w:lineRule="auto"/>
      <w:ind w:firstLine="560" w:firstLineChars="200"/>
      <w:jc w:val="left"/>
      <w:textAlignment w:val="baseline"/>
    </w:pPr>
    <w:rPr>
      <w:rFonts w:ascii="仿宋_GB2312" w:hAnsi="Times New Roman" w:eastAsia="仿宋_GB2312" w:cs="Times New Roman"/>
      <w:kern w:val="0"/>
      <w:sz w:val="28"/>
      <w:szCs w:val="28"/>
    </w:rPr>
  </w:style>
  <w:style w:type="paragraph" w:customStyle="1" w:styleId="402">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403">
    <w:name w:val="font11"/>
    <w:basedOn w:val="63"/>
    <w:qFormat/>
    <w:uiPriority w:val="0"/>
    <w:rPr>
      <w:rFonts w:hint="eastAsia" w:ascii="宋体" w:hAnsi="宋体" w:eastAsia="宋体" w:cs="宋体"/>
      <w:color w:val="000000"/>
      <w:sz w:val="22"/>
      <w:szCs w:val="22"/>
      <w:u w:val="none"/>
    </w:rPr>
  </w:style>
  <w:style w:type="character" w:customStyle="1" w:styleId="404">
    <w:name w:val="font21"/>
    <w:basedOn w:val="63"/>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MC SYSTEM</Company>
  <Pages>84</Pages>
  <Words>31011</Words>
  <Characters>32913</Characters>
  <Lines>216</Lines>
  <Paragraphs>61</Paragraphs>
  <TotalTime>1</TotalTime>
  <ScaleCrop>false</ScaleCrop>
  <LinksUpToDate>false</LinksUpToDate>
  <CharactersWithSpaces>35742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2017-05-23T18:44:00Z</dcterms:created>
  <dc:creator>MC SYSTEM</dc:creator>
  <cp:lastModifiedBy>Administrator</cp:lastModifiedBy>
  <cp:lastPrinted>2023-07-21T00:39:00Z</cp:lastPrinted>
  <dcterms:modified xsi:type="dcterms:W3CDTF">2026-08-25T08:36:58Z</dcterms:modified>
  <dc:title>一、什么是竞争性谈判</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AB12C5AB04D44FAA8A7D214D1D2F166D_13</vt:lpwstr>
  </property>
  <property fmtid="{D5CDD505-2E9C-101B-9397-08002B2CF9AE}" pid="4" name="KSOTemplateDocerSaveRecord">
    <vt:lpwstr>eyJoZGlkIjoiOWY2YjdlYjZjYTU1MTgwYjc1Yjg3ZTYwYTc4OWI1NGQiLCJ1c2VySWQiOiI0NzA2NzA0MTUifQ==</vt:lpwstr>
  </property>
</Properties>
</file>