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524C6">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b/>
          <w:sz w:val="36"/>
          <w:szCs w:val="36"/>
        </w:rPr>
      </w:pPr>
      <w:r>
        <w:rPr>
          <w:rFonts w:hint="default" w:ascii="Times New Roman" w:hAnsi="Times New Roman" w:cs="Times New Roman"/>
          <w:b/>
          <w:sz w:val="36"/>
          <w:szCs w:val="36"/>
        </w:rPr>
        <w:t>德宏州民族实验中学计算机教室（兼口语教室）建设项目采购更正公告</w:t>
      </w:r>
    </w:p>
    <w:p w14:paraId="0911E74A">
      <w:pPr>
        <w:keepNext w:val="0"/>
        <w:keepLines w:val="0"/>
        <w:pageBreakBefore w:val="0"/>
        <w:kinsoku/>
        <w:wordWrap/>
        <w:overflowPunct/>
        <w:topLinePunct w:val="0"/>
        <w:autoSpaceDE/>
        <w:autoSpaceDN/>
        <w:bidi w:val="0"/>
        <w:adjustRightInd/>
        <w:snapToGrid/>
        <w:spacing w:line="440" w:lineRule="exact"/>
        <w:textAlignment w:val="auto"/>
        <w:rPr>
          <w:rFonts w:hint="default" w:ascii="Times New Roman" w:hAnsi="Times New Roman" w:cs="Times New Roman"/>
        </w:rPr>
      </w:pPr>
    </w:p>
    <w:p w14:paraId="7BC818F6">
      <w:pPr>
        <w:keepNext w:val="0"/>
        <w:keepLines w:val="0"/>
        <w:pageBreakBefore w:val="0"/>
        <w:widowControl/>
        <w:tabs>
          <w:tab w:val="left" w:pos="360"/>
        </w:tabs>
        <w:kinsoku/>
        <w:wordWrap/>
        <w:overflowPunct/>
        <w:topLinePunct w:val="0"/>
        <w:autoSpaceDE/>
        <w:autoSpaceDN/>
        <w:bidi w:val="0"/>
        <w:adjustRightInd/>
        <w:snapToGrid/>
        <w:spacing w:line="440" w:lineRule="exact"/>
        <w:ind w:firstLine="562" w:firstLineChars="200"/>
        <w:jc w:val="left"/>
        <w:textAlignment w:val="auto"/>
        <w:rPr>
          <w:rFonts w:hint="default" w:ascii="Times New Roman" w:hAnsi="Times New Roman" w:cs="Times New Roman"/>
          <w:b/>
          <w:kern w:val="0"/>
          <w:sz w:val="28"/>
          <w:szCs w:val="28"/>
        </w:rPr>
      </w:pPr>
      <w:r>
        <w:rPr>
          <w:rFonts w:hint="default" w:ascii="Times New Roman" w:hAnsi="Times New Roman" w:cs="Times New Roman"/>
          <w:b/>
          <w:kern w:val="0"/>
          <w:sz w:val="28"/>
          <w:szCs w:val="28"/>
        </w:rPr>
        <w:t>一、项目基本情况</w:t>
      </w:r>
    </w:p>
    <w:p w14:paraId="019B4412">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（一）原公告的采购交易编号：</w:t>
      </w:r>
      <w:r>
        <w:rPr>
          <w:rFonts w:hint="eastAsia" w:ascii="宋体" w:hAnsi="宋体"/>
          <w:sz w:val="32"/>
          <w:szCs w:val="32"/>
          <w:highlight w:val="none"/>
        </w:rPr>
        <w:t>DHCG（公）202</w:t>
      </w:r>
      <w:r>
        <w:rPr>
          <w:rFonts w:hint="eastAsia" w:ascii="宋体" w:hAnsi="宋体"/>
          <w:sz w:val="32"/>
          <w:szCs w:val="32"/>
          <w:highlight w:val="none"/>
          <w:lang w:val="en-US" w:eastAsia="zh-CN"/>
        </w:rPr>
        <w:t>6</w:t>
      </w:r>
      <w:r>
        <w:rPr>
          <w:rFonts w:hint="eastAsia" w:ascii="宋体" w:hAnsi="宋体"/>
          <w:sz w:val="32"/>
          <w:szCs w:val="32"/>
          <w:highlight w:val="none"/>
        </w:rPr>
        <w:t>-0</w:t>
      </w:r>
      <w:r>
        <w:rPr>
          <w:rFonts w:hint="eastAsia" w:ascii="宋体" w:hAnsi="宋体"/>
          <w:sz w:val="32"/>
          <w:szCs w:val="32"/>
          <w:highlight w:val="none"/>
          <w:lang w:val="en-US" w:eastAsia="zh-CN"/>
        </w:rPr>
        <w:t>14</w:t>
      </w:r>
    </w:p>
    <w:p w14:paraId="38A156CC">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（二）原公告的采购项目名称：德宏州民族实验中学计算机教室（兼口语教室）建设项目采购</w:t>
      </w:r>
    </w:p>
    <w:p w14:paraId="1DD0A91B">
      <w:pPr>
        <w:pStyle w:val="18"/>
        <w:keepNext w:val="0"/>
        <w:keepLines w:val="0"/>
        <w:pageBreakBefore w:val="0"/>
        <w:numPr>
          <w:ilvl w:val="0"/>
          <w:numId w:val="1"/>
        </w:numPr>
        <w:kinsoku/>
        <w:wordWrap/>
        <w:overflowPunct/>
        <w:topLinePunct w:val="0"/>
        <w:autoSpaceDE/>
        <w:autoSpaceDN/>
        <w:bidi w:val="0"/>
        <w:adjustRightInd/>
        <w:snapToGrid/>
        <w:spacing w:line="440" w:lineRule="exact"/>
        <w:ind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首次公告日期：202</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年</w:t>
      </w:r>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月</w:t>
      </w:r>
      <w:r>
        <w:rPr>
          <w:rFonts w:hint="eastAsia" w:ascii="Times New Roman" w:hAnsi="Times New Roman" w:cs="Times New Roman"/>
          <w:sz w:val="28"/>
          <w:szCs w:val="28"/>
          <w:lang w:val="en-US" w:eastAsia="zh-CN"/>
        </w:rPr>
        <w:t>24</w:t>
      </w:r>
      <w:r>
        <w:rPr>
          <w:rFonts w:hint="default" w:ascii="Times New Roman" w:hAnsi="Times New Roman" w:cs="Times New Roman"/>
          <w:sz w:val="28"/>
          <w:szCs w:val="28"/>
        </w:rPr>
        <w:t>日</w:t>
      </w:r>
    </w:p>
    <w:p w14:paraId="405CF74C">
      <w:pPr>
        <w:keepNext w:val="0"/>
        <w:keepLines w:val="0"/>
        <w:pageBreakBefore w:val="0"/>
        <w:widowControl/>
        <w:tabs>
          <w:tab w:val="left" w:pos="360"/>
        </w:tabs>
        <w:kinsoku/>
        <w:wordWrap/>
        <w:overflowPunct/>
        <w:topLinePunct w:val="0"/>
        <w:autoSpaceDE/>
        <w:autoSpaceDN/>
        <w:bidi w:val="0"/>
        <w:adjustRightInd/>
        <w:snapToGrid/>
        <w:spacing w:line="440" w:lineRule="exact"/>
        <w:ind w:firstLine="562" w:firstLineChars="200"/>
        <w:jc w:val="left"/>
        <w:textAlignment w:val="auto"/>
        <w:rPr>
          <w:rFonts w:hint="default" w:ascii="Times New Roman" w:hAnsi="Times New Roman" w:cs="Times New Roman"/>
          <w:b/>
          <w:kern w:val="0"/>
          <w:sz w:val="28"/>
          <w:szCs w:val="28"/>
        </w:rPr>
      </w:pPr>
      <w:r>
        <w:rPr>
          <w:rFonts w:hint="default" w:ascii="Times New Roman" w:hAnsi="Times New Roman" w:cs="Times New Roman"/>
          <w:b/>
          <w:kern w:val="0"/>
          <w:sz w:val="28"/>
          <w:szCs w:val="28"/>
        </w:rPr>
        <w:t>二、更正信息</w:t>
      </w:r>
    </w:p>
    <w:p w14:paraId="6E4DAFE0">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default" w:ascii="Times New Roman" w:hAnsi="Times New Roman" w:cs="Times New Roman"/>
          <w:bCs/>
          <w:sz w:val="30"/>
          <w:szCs w:val="30"/>
        </w:rPr>
      </w:pPr>
      <w:r>
        <w:rPr>
          <w:rFonts w:hint="default" w:ascii="Times New Roman" w:hAnsi="Times New Roman" w:cs="Times New Roman"/>
          <w:bCs/>
          <w:sz w:val="30"/>
          <w:szCs w:val="30"/>
        </w:rPr>
        <w:t>（一）更正事项：招标文件。</w:t>
      </w:r>
    </w:p>
    <w:p w14:paraId="6403948A">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default" w:ascii="Times New Roman" w:hAnsi="Times New Roman" w:cs="Times New Roman"/>
          <w:bCs/>
          <w:sz w:val="30"/>
          <w:szCs w:val="30"/>
        </w:rPr>
      </w:pPr>
      <w:r>
        <w:rPr>
          <w:rFonts w:hint="default" w:ascii="Times New Roman" w:hAnsi="Times New Roman" w:cs="Times New Roman"/>
          <w:bCs/>
          <w:sz w:val="30"/>
          <w:szCs w:val="30"/>
        </w:rPr>
        <w:t>（二）更正内容：</w:t>
      </w:r>
    </w:p>
    <w:p w14:paraId="5248364F">
      <w:pPr>
        <w:spacing w:line="400" w:lineRule="exact"/>
        <w:ind w:firstLine="600" w:firstLineChars="200"/>
        <w:jc w:val="both"/>
        <w:rPr>
          <w:rFonts w:ascii="宋体" w:hAnsi="宋体"/>
          <w:b/>
          <w:color w:val="auto"/>
          <w:sz w:val="30"/>
          <w:szCs w:val="30"/>
          <w:highlight w:val="none"/>
        </w:rPr>
      </w:pPr>
      <w:r>
        <w:rPr>
          <w:rFonts w:hint="default" w:ascii="Times New Roman" w:hAnsi="Times New Roman" w:cs="Times New Roman"/>
          <w:bCs/>
          <w:sz w:val="30"/>
          <w:szCs w:val="30"/>
          <w:lang w:val="en-US" w:eastAsia="zh-CN"/>
        </w:rPr>
        <w:t>招标文件</w:t>
      </w:r>
      <w:r>
        <w:rPr>
          <w:rFonts w:hint="eastAsia" w:ascii="Times New Roman" w:hAnsi="Times New Roman" w:cs="Times New Roman"/>
          <w:bCs/>
          <w:sz w:val="30"/>
          <w:szCs w:val="30"/>
          <w:lang w:val="en-US" w:eastAsia="zh-CN"/>
        </w:rPr>
        <w:t>“</w:t>
      </w:r>
      <w:r>
        <w:rPr>
          <w:rFonts w:hint="eastAsia" w:ascii="宋体" w:hAnsi="宋体"/>
          <w:b/>
          <w:color w:val="auto"/>
          <w:sz w:val="30"/>
          <w:szCs w:val="30"/>
          <w:highlight w:val="none"/>
        </w:rPr>
        <w:t>第五章 评标办法</w:t>
      </w:r>
    </w:p>
    <w:p w14:paraId="7C5C51EF">
      <w:pPr>
        <w:widowControl/>
        <w:ind w:firstLine="482" w:firstLineChars="200"/>
        <w:jc w:val="left"/>
        <w:rPr>
          <w:rFonts w:ascii="宋体" w:hAnsi="宋体"/>
          <w:b/>
          <w:color w:val="auto"/>
          <w:sz w:val="24"/>
          <w:highlight w:val="none"/>
        </w:rPr>
      </w:pPr>
    </w:p>
    <w:p w14:paraId="62513E3B">
      <w:pPr>
        <w:spacing w:line="360" w:lineRule="auto"/>
        <w:ind w:firstLine="480"/>
        <w:jc w:val="left"/>
        <w:rPr>
          <w:rFonts w:ascii="宋体" w:hAnsi="宋体"/>
          <w:color w:val="auto"/>
          <w:sz w:val="24"/>
          <w:highlight w:val="none"/>
        </w:rPr>
      </w:pPr>
      <w:r>
        <w:rPr>
          <w:rFonts w:hint="eastAsia" w:ascii="宋体" w:hAnsi="宋体"/>
          <w:color w:val="auto"/>
          <w:sz w:val="24"/>
          <w:highlight w:val="none"/>
        </w:rPr>
        <w:t>（四）评标方法及评分标准：评标采取综合评分方法进行（百分制）。评分标准如下：</w:t>
      </w:r>
    </w:p>
    <w:tbl>
      <w:tblPr>
        <w:tblStyle w:val="11"/>
        <w:tblW w:w="9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50"/>
        <w:gridCol w:w="8247"/>
      </w:tblGrid>
      <w:tr w14:paraId="7FA6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19" w:type="dxa"/>
            <w:noWrap w:val="0"/>
            <w:vAlign w:val="center"/>
          </w:tcPr>
          <w:p w14:paraId="6BDD7E7D">
            <w:pPr>
              <w:spacing w:line="400" w:lineRule="exact"/>
              <w:jc w:val="left"/>
              <w:rPr>
                <w:rFonts w:ascii="宋体" w:hAnsi="宋体" w:eastAsia="宋体"/>
                <w:color w:val="auto"/>
                <w:sz w:val="24"/>
                <w:highlight w:val="none"/>
              </w:rPr>
            </w:pPr>
            <w:r>
              <w:rPr>
                <w:rFonts w:hint="eastAsia" w:ascii="宋体" w:hAnsi="宋体" w:eastAsia="宋体"/>
                <w:color w:val="auto"/>
                <w:sz w:val="24"/>
                <w:highlight w:val="none"/>
              </w:rPr>
              <w:t>项目</w:t>
            </w:r>
          </w:p>
        </w:tc>
        <w:tc>
          <w:tcPr>
            <w:tcW w:w="850" w:type="dxa"/>
            <w:noWrap w:val="0"/>
            <w:vAlign w:val="center"/>
          </w:tcPr>
          <w:p w14:paraId="60E8A7FE">
            <w:pPr>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分值（分）</w:t>
            </w:r>
          </w:p>
        </w:tc>
        <w:tc>
          <w:tcPr>
            <w:tcW w:w="8247" w:type="dxa"/>
            <w:noWrap w:val="0"/>
            <w:vAlign w:val="center"/>
          </w:tcPr>
          <w:p w14:paraId="17D95D61">
            <w:pPr>
              <w:spacing w:line="400" w:lineRule="exact"/>
              <w:ind w:firstLine="3360" w:firstLineChars="1400"/>
              <w:jc w:val="left"/>
              <w:rPr>
                <w:rFonts w:ascii="宋体" w:hAnsi="宋体" w:eastAsia="宋体"/>
                <w:color w:val="auto"/>
                <w:sz w:val="24"/>
                <w:highlight w:val="none"/>
              </w:rPr>
            </w:pPr>
            <w:r>
              <w:rPr>
                <w:rFonts w:hint="eastAsia" w:ascii="宋体" w:hAnsi="宋体" w:eastAsia="宋体"/>
                <w:color w:val="auto"/>
                <w:sz w:val="24"/>
                <w:highlight w:val="none"/>
              </w:rPr>
              <w:t>评分标准</w:t>
            </w:r>
          </w:p>
        </w:tc>
      </w:tr>
      <w:tr w14:paraId="6100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19" w:type="dxa"/>
            <w:noWrap w:val="0"/>
            <w:vAlign w:val="center"/>
          </w:tcPr>
          <w:p w14:paraId="3CC8C938">
            <w:pPr>
              <w:spacing w:line="400" w:lineRule="exact"/>
              <w:jc w:val="left"/>
              <w:rPr>
                <w:rFonts w:ascii="宋体" w:hAnsi="宋体" w:eastAsia="宋体"/>
                <w:color w:val="auto"/>
                <w:sz w:val="24"/>
                <w:highlight w:val="none"/>
              </w:rPr>
            </w:pPr>
            <w:r>
              <w:rPr>
                <w:rFonts w:hint="eastAsia" w:ascii="宋体" w:hAnsi="宋体" w:eastAsia="宋体"/>
                <w:color w:val="auto"/>
                <w:sz w:val="24"/>
                <w:highlight w:val="none"/>
              </w:rPr>
              <w:t>投标</w:t>
            </w:r>
            <w:r>
              <w:rPr>
                <w:rFonts w:ascii="宋体" w:hAnsi="宋体" w:eastAsia="宋体"/>
                <w:color w:val="auto"/>
                <w:sz w:val="24"/>
                <w:highlight w:val="none"/>
              </w:rPr>
              <w:t>报价得分</w:t>
            </w:r>
          </w:p>
        </w:tc>
        <w:tc>
          <w:tcPr>
            <w:tcW w:w="850" w:type="dxa"/>
            <w:noWrap w:val="0"/>
            <w:vAlign w:val="center"/>
          </w:tcPr>
          <w:p w14:paraId="4C86A626">
            <w:pPr>
              <w:spacing w:line="400" w:lineRule="exact"/>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rPr>
              <w:t>3</w:t>
            </w:r>
            <w:r>
              <w:rPr>
                <w:rFonts w:hint="eastAsia" w:ascii="宋体" w:hAnsi="宋体"/>
                <w:color w:val="auto"/>
                <w:sz w:val="24"/>
                <w:highlight w:val="none"/>
                <w:lang w:val="en-US" w:eastAsia="zh-CN"/>
              </w:rPr>
              <w:t>0</w:t>
            </w:r>
          </w:p>
        </w:tc>
        <w:tc>
          <w:tcPr>
            <w:tcW w:w="8247" w:type="dxa"/>
            <w:noWrap w:val="0"/>
            <w:vAlign w:val="center"/>
          </w:tcPr>
          <w:p w14:paraId="434A57D2">
            <w:pPr>
              <w:widowControl/>
              <w:spacing w:line="360" w:lineRule="exact"/>
              <w:rPr>
                <w:rFonts w:ascii="宋体" w:hAnsi="宋体" w:eastAsia="宋体"/>
                <w:color w:val="auto"/>
                <w:sz w:val="24"/>
                <w:highlight w:val="none"/>
              </w:rPr>
            </w:pPr>
            <w:r>
              <w:rPr>
                <w:rFonts w:hint="eastAsia" w:ascii="宋体" w:hAnsi="宋体" w:eastAsia="宋体"/>
                <w:color w:val="auto"/>
                <w:sz w:val="24"/>
                <w:highlight w:val="none"/>
              </w:rPr>
              <w:t>投标人报价按照单价计算，其中最低的报价为评标基准价，其报价得分为满分30分。其他供应商的报价得分统一按照下列公式计算（小数点后保留两位）：最后报价得分=（评标基准价÷投标报价）×3</w:t>
            </w:r>
            <w:r>
              <w:rPr>
                <w:rFonts w:hint="eastAsia" w:ascii="宋体" w:hAnsi="宋体"/>
                <w:color w:val="auto"/>
                <w:sz w:val="24"/>
                <w:highlight w:val="none"/>
                <w:lang w:val="en-US" w:eastAsia="zh-CN"/>
              </w:rPr>
              <w:t>0</w:t>
            </w:r>
            <w:r>
              <w:rPr>
                <w:rFonts w:hint="eastAsia" w:ascii="宋体" w:hAnsi="宋体" w:eastAsia="宋体"/>
                <w:color w:val="auto"/>
                <w:sz w:val="24"/>
                <w:highlight w:val="none"/>
              </w:rPr>
              <w:t>。</w:t>
            </w:r>
          </w:p>
          <w:p w14:paraId="0B3D1C61">
            <w:pPr>
              <w:widowControl/>
              <w:spacing w:line="360" w:lineRule="exact"/>
              <w:rPr>
                <w:rFonts w:ascii="宋体" w:hAnsi="宋体" w:eastAsia="宋体"/>
                <w:color w:val="auto"/>
                <w:sz w:val="24"/>
                <w:highlight w:val="none"/>
              </w:rPr>
            </w:pPr>
            <w:r>
              <w:rPr>
                <w:rFonts w:hint="eastAsia" w:ascii="宋体" w:hAnsi="宋体" w:eastAsia="宋体"/>
                <w:color w:val="auto"/>
                <w:sz w:val="24"/>
                <w:highlight w:val="none"/>
              </w:rPr>
              <w:t>2.计算结果不为整数时保留2位小数；</w:t>
            </w:r>
          </w:p>
          <w:p w14:paraId="54C8C470">
            <w:pPr>
              <w:widowControl/>
              <w:spacing w:line="360" w:lineRule="exact"/>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3.若供应商提供产品全部由小微型企业（残疾人福利性单位、监狱企业）制造或生产，请提供中小企业书面函（详见第六章投标文件格式），经评标委员会核实方可获得价格扣除，投标人仅能获得一种政策的价格扣除，不重复享受；</w:t>
            </w:r>
          </w:p>
          <w:p w14:paraId="328C96DF">
            <w:pPr>
              <w:widowControl/>
              <w:spacing w:line="360" w:lineRule="exact"/>
              <w:rPr>
                <w:rFonts w:ascii="宋体" w:hAnsi="宋体" w:eastAsia="宋体"/>
                <w:color w:val="auto"/>
                <w:sz w:val="24"/>
                <w:highlight w:val="none"/>
              </w:rPr>
            </w:pPr>
            <w:r>
              <w:rPr>
                <w:rFonts w:hint="eastAsia" w:ascii="宋体" w:hAnsi="宋体" w:eastAsia="宋体"/>
                <w:color w:val="auto"/>
                <w:sz w:val="24"/>
                <w:highlight w:val="none"/>
              </w:rPr>
              <w:t>4.本国产品支持政策，依据《国务院办公厅关于在政府采购中实施本国产品标准及相关政策的通知》（国办发〔2025〕34号）及《财政部关于贯彻落实&lt;国务院办公厅关于在政府采购中实施本国产品标准及相关政策的通知&gt;的意见》(财库〔2025〕30号)相关规定，若符合规定，提供关于符合本国产品标准的声明函、产品成本占比承诺函，（详见第六章投标文件格式），经评标委员会核实方可获得价格扣除；</w:t>
            </w:r>
          </w:p>
          <w:p w14:paraId="181EB0E5">
            <w:pPr>
              <w:widowControl/>
              <w:spacing w:line="360" w:lineRule="exact"/>
              <w:rPr>
                <w:rFonts w:ascii="宋体" w:hAnsi="宋体" w:eastAsia="宋体"/>
                <w:color w:val="auto"/>
                <w:sz w:val="24"/>
                <w:highlight w:val="none"/>
              </w:rPr>
            </w:pPr>
            <w:r>
              <w:rPr>
                <w:rFonts w:hint="eastAsia" w:ascii="宋体" w:hAnsi="宋体" w:eastAsia="宋体"/>
                <w:color w:val="auto"/>
                <w:sz w:val="24"/>
                <w:highlight w:val="none"/>
              </w:rPr>
              <w:t>5.残疾人福利性单位（监狱企业）产品、服务视同小型、微型企业服务，享受同等价格扣除；</w:t>
            </w:r>
          </w:p>
        </w:tc>
      </w:tr>
    </w:tbl>
    <w:p w14:paraId="089C3546">
      <w:pPr>
        <w:widowControl/>
        <w:ind w:firstLine="600" w:firstLineChars="200"/>
        <w:jc w:val="left"/>
        <w:rPr>
          <w:rFonts w:ascii="宋体" w:hAnsi="宋体"/>
          <w:b/>
          <w:color w:val="auto"/>
          <w:sz w:val="24"/>
          <w:highlight w:val="none"/>
        </w:rPr>
      </w:pPr>
      <w:r>
        <w:rPr>
          <w:rFonts w:hint="eastAsia" w:ascii="Times New Roman" w:hAnsi="Times New Roman" w:cs="Times New Roman"/>
          <w:bCs/>
          <w:sz w:val="30"/>
          <w:szCs w:val="30"/>
          <w:lang w:val="en-US" w:eastAsia="zh-CN"/>
        </w:rPr>
        <w:t>”</w:t>
      </w:r>
      <w:r>
        <w:rPr>
          <w:rFonts w:hint="default" w:ascii="Times New Roman" w:hAnsi="Times New Roman" w:cs="Times New Roman"/>
          <w:b/>
          <w:bCs/>
          <w:sz w:val="36"/>
          <w:szCs w:val="36"/>
          <w:lang w:eastAsia="zh-CN"/>
        </w:rPr>
        <w:t>更正为</w:t>
      </w:r>
      <w:r>
        <w:rPr>
          <w:rFonts w:hint="eastAsia" w:ascii="Times New Roman" w:hAnsi="Times New Roman" w:cs="Times New Roman"/>
          <w:sz w:val="28"/>
          <w:szCs w:val="28"/>
          <w:lang w:val="en-US" w:eastAsia="zh-CN"/>
        </w:rPr>
        <w:t>招标文件</w:t>
      </w:r>
      <w:r>
        <w:rPr>
          <w:rFonts w:hint="eastAsia" w:ascii="Times New Roman" w:hAnsi="Times New Roman" w:cs="Times New Roman"/>
          <w:bCs/>
          <w:sz w:val="30"/>
          <w:szCs w:val="30"/>
          <w:lang w:val="en-US" w:eastAsia="zh-CN"/>
        </w:rPr>
        <w:t>“</w:t>
      </w:r>
      <w:r>
        <w:rPr>
          <w:rFonts w:hint="eastAsia" w:ascii="宋体" w:hAnsi="宋体"/>
          <w:b/>
          <w:color w:val="auto"/>
          <w:sz w:val="30"/>
          <w:szCs w:val="30"/>
          <w:highlight w:val="none"/>
        </w:rPr>
        <w:t>第五章 评标办法</w:t>
      </w:r>
    </w:p>
    <w:p w14:paraId="50B2172F">
      <w:pPr>
        <w:spacing w:line="360" w:lineRule="auto"/>
        <w:ind w:firstLine="480"/>
        <w:jc w:val="left"/>
        <w:rPr>
          <w:rFonts w:ascii="宋体" w:hAnsi="宋体"/>
          <w:color w:val="auto"/>
          <w:sz w:val="24"/>
          <w:highlight w:val="none"/>
        </w:rPr>
      </w:pPr>
      <w:r>
        <w:rPr>
          <w:rFonts w:hint="eastAsia" w:ascii="宋体" w:hAnsi="宋体"/>
          <w:color w:val="auto"/>
          <w:sz w:val="24"/>
          <w:highlight w:val="none"/>
        </w:rPr>
        <w:t>（四）评标方法及评分标准：评标采取综合评分方法进行（百分制）。评分标准如下：</w:t>
      </w:r>
    </w:p>
    <w:tbl>
      <w:tblPr>
        <w:tblStyle w:val="11"/>
        <w:tblW w:w="9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50"/>
        <w:gridCol w:w="8247"/>
      </w:tblGrid>
      <w:tr w14:paraId="4404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9" w:type="dxa"/>
            <w:noWrap w:val="0"/>
            <w:vAlign w:val="center"/>
          </w:tcPr>
          <w:p w14:paraId="47208853">
            <w:pPr>
              <w:spacing w:line="400" w:lineRule="exact"/>
              <w:jc w:val="left"/>
              <w:rPr>
                <w:rFonts w:ascii="宋体" w:hAnsi="宋体" w:eastAsia="宋体"/>
                <w:color w:val="auto"/>
                <w:sz w:val="24"/>
                <w:highlight w:val="none"/>
              </w:rPr>
            </w:pPr>
            <w:r>
              <w:rPr>
                <w:rFonts w:hint="eastAsia" w:ascii="宋体" w:hAnsi="宋体" w:eastAsia="宋体"/>
                <w:color w:val="auto"/>
                <w:sz w:val="24"/>
                <w:highlight w:val="none"/>
              </w:rPr>
              <w:t>项目</w:t>
            </w:r>
          </w:p>
        </w:tc>
        <w:tc>
          <w:tcPr>
            <w:tcW w:w="850" w:type="dxa"/>
            <w:noWrap w:val="0"/>
            <w:vAlign w:val="center"/>
          </w:tcPr>
          <w:p w14:paraId="53D5CF33">
            <w:pPr>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分值（分）</w:t>
            </w:r>
          </w:p>
        </w:tc>
        <w:tc>
          <w:tcPr>
            <w:tcW w:w="8247" w:type="dxa"/>
            <w:noWrap w:val="0"/>
            <w:vAlign w:val="center"/>
          </w:tcPr>
          <w:p w14:paraId="16E10756">
            <w:pPr>
              <w:spacing w:line="400" w:lineRule="exact"/>
              <w:ind w:firstLine="3360" w:firstLineChars="1400"/>
              <w:jc w:val="left"/>
              <w:rPr>
                <w:rFonts w:ascii="宋体" w:hAnsi="宋体" w:eastAsia="宋体"/>
                <w:color w:val="auto"/>
                <w:sz w:val="24"/>
                <w:highlight w:val="none"/>
              </w:rPr>
            </w:pPr>
            <w:r>
              <w:rPr>
                <w:rFonts w:hint="eastAsia" w:ascii="宋体" w:hAnsi="宋体" w:eastAsia="宋体"/>
                <w:color w:val="auto"/>
                <w:sz w:val="24"/>
                <w:highlight w:val="none"/>
              </w:rPr>
              <w:t>评分标准</w:t>
            </w:r>
          </w:p>
        </w:tc>
      </w:tr>
      <w:tr w14:paraId="35D9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19" w:type="dxa"/>
            <w:noWrap w:val="0"/>
            <w:vAlign w:val="center"/>
          </w:tcPr>
          <w:p w14:paraId="6A58FC59">
            <w:pPr>
              <w:spacing w:line="400" w:lineRule="exact"/>
              <w:jc w:val="left"/>
              <w:rPr>
                <w:rFonts w:ascii="宋体" w:hAnsi="宋体" w:eastAsia="宋体"/>
                <w:color w:val="auto"/>
                <w:sz w:val="24"/>
                <w:highlight w:val="none"/>
              </w:rPr>
            </w:pPr>
            <w:r>
              <w:rPr>
                <w:rFonts w:hint="eastAsia" w:ascii="宋体" w:hAnsi="宋体" w:eastAsia="宋体"/>
                <w:color w:val="auto"/>
                <w:sz w:val="24"/>
                <w:highlight w:val="none"/>
              </w:rPr>
              <w:t>投标</w:t>
            </w:r>
            <w:r>
              <w:rPr>
                <w:rFonts w:ascii="宋体" w:hAnsi="宋体" w:eastAsia="宋体"/>
                <w:color w:val="auto"/>
                <w:sz w:val="24"/>
                <w:highlight w:val="none"/>
              </w:rPr>
              <w:t>报价得分</w:t>
            </w:r>
          </w:p>
        </w:tc>
        <w:tc>
          <w:tcPr>
            <w:tcW w:w="850" w:type="dxa"/>
            <w:noWrap w:val="0"/>
            <w:vAlign w:val="center"/>
          </w:tcPr>
          <w:p w14:paraId="282D5269">
            <w:pPr>
              <w:spacing w:line="400" w:lineRule="exact"/>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rPr>
              <w:t>3</w:t>
            </w:r>
            <w:r>
              <w:rPr>
                <w:rFonts w:hint="eastAsia" w:ascii="宋体" w:hAnsi="宋体"/>
                <w:color w:val="auto"/>
                <w:sz w:val="24"/>
                <w:highlight w:val="none"/>
                <w:lang w:val="en-US" w:eastAsia="zh-CN"/>
              </w:rPr>
              <w:t>0</w:t>
            </w:r>
          </w:p>
        </w:tc>
        <w:tc>
          <w:tcPr>
            <w:tcW w:w="8247" w:type="dxa"/>
            <w:noWrap w:val="0"/>
            <w:vAlign w:val="center"/>
          </w:tcPr>
          <w:p w14:paraId="7D2105BD">
            <w:pPr>
              <w:widowControl/>
              <w:spacing w:line="360" w:lineRule="exact"/>
              <w:ind w:firstLine="480" w:firstLineChars="200"/>
              <w:rPr>
                <w:rFonts w:ascii="宋体" w:hAnsi="宋体" w:eastAsia="宋体"/>
                <w:color w:val="auto"/>
                <w:sz w:val="24"/>
                <w:highlight w:val="none"/>
              </w:rPr>
            </w:pPr>
            <w:r>
              <w:rPr>
                <w:rFonts w:hint="eastAsia" w:ascii="宋体" w:hAnsi="宋体" w:eastAsia="宋体"/>
                <w:color w:val="auto"/>
                <w:sz w:val="24"/>
                <w:highlight w:val="none"/>
              </w:rPr>
              <w:t>投标人报价中最低的报价为评标基准价，其报价得分为满分30分。其他供应商的报价得分统一按照下列公式计算（小数点后保留两位）：最后报价得分=（评标基准价÷投标报价）×3</w:t>
            </w:r>
            <w:r>
              <w:rPr>
                <w:rFonts w:hint="eastAsia" w:ascii="宋体" w:hAnsi="宋体"/>
                <w:color w:val="auto"/>
                <w:sz w:val="24"/>
                <w:highlight w:val="none"/>
                <w:lang w:val="en-US" w:eastAsia="zh-CN"/>
              </w:rPr>
              <w:t>0</w:t>
            </w:r>
            <w:r>
              <w:rPr>
                <w:rFonts w:hint="eastAsia" w:ascii="宋体" w:hAnsi="宋体" w:eastAsia="宋体"/>
                <w:color w:val="auto"/>
                <w:sz w:val="24"/>
                <w:highlight w:val="none"/>
              </w:rPr>
              <w:t>。</w:t>
            </w:r>
          </w:p>
          <w:p w14:paraId="0C510944">
            <w:pPr>
              <w:widowControl/>
              <w:spacing w:line="360" w:lineRule="exact"/>
              <w:rPr>
                <w:rFonts w:ascii="宋体" w:hAnsi="宋体" w:eastAsia="宋体"/>
                <w:color w:val="auto"/>
                <w:sz w:val="24"/>
                <w:highlight w:val="none"/>
              </w:rPr>
            </w:pPr>
            <w:r>
              <w:rPr>
                <w:rFonts w:hint="eastAsia" w:ascii="宋体" w:hAnsi="宋体" w:eastAsia="宋体"/>
                <w:color w:val="auto"/>
                <w:sz w:val="24"/>
                <w:highlight w:val="none"/>
              </w:rPr>
              <w:t>2.计算结果不为整数时保留2位小数；</w:t>
            </w:r>
          </w:p>
          <w:p w14:paraId="5BDABB79">
            <w:pPr>
              <w:widowControl/>
              <w:spacing w:line="360" w:lineRule="exact"/>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3.若供应商提供产品全部由小微型企业（残疾人福利性单位、监狱企业）制造或生产，请提供中小企业书面函（详见第六章投标文件格式），经评标委员会核实方可获得价格扣除，投标人仅能获得一种政策的价格扣除，不重复享受；</w:t>
            </w:r>
          </w:p>
          <w:p w14:paraId="5F1D9FE9">
            <w:pPr>
              <w:widowControl/>
              <w:spacing w:line="360" w:lineRule="exact"/>
              <w:rPr>
                <w:rFonts w:ascii="宋体" w:hAnsi="宋体" w:eastAsia="宋体"/>
                <w:color w:val="auto"/>
                <w:sz w:val="24"/>
                <w:highlight w:val="none"/>
              </w:rPr>
            </w:pPr>
            <w:r>
              <w:rPr>
                <w:rFonts w:hint="eastAsia" w:ascii="宋体" w:hAnsi="宋体" w:eastAsia="宋体"/>
                <w:color w:val="auto"/>
                <w:sz w:val="24"/>
                <w:highlight w:val="none"/>
              </w:rPr>
              <w:t>4.本国产品支持政策，依据《国务院办公厅关于在政府采购中实施本国产品标准及相关政策的通知》（国办发〔2025〕34号）及《财政部关于贯彻落实&lt;国务院办公厅关于在政府采购中实施本国产品标准及相关政策的通知&gt;的意见》(财库〔2025〕30号)相关规定，若符合规定，提供关于符合本国产品标准的声明函、产品成本占比承诺函，（详见第六章投标文件格式），经评标委员会核实方可获得价格扣除；</w:t>
            </w:r>
          </w:p>
          <w:p w14:paraId="53D4F79D">
            <w:pPr>
              <w:widowControl/>
              <w:spacing w:line="360" w:lineRule="exact"/>
              <w:rPr>
                <w:rFonts w:hint="eastAsia" w:ascii="宋体" w:hAnsi="宋体" w:eastAsia="宋体"/>
                <w:color w:val="auto"/>
                <w:sz w:val="24"/>
                <w:highlight w:val="none"/>
                <w:lang w:eastAsia="zh-CN"/>
              </w:rPr>
            </w:pPr>
            <w:r>
              <w:rPr>
                <w:rFonts w:hint="eastAsia" w:ascii="宋体" w:hAnsi="宋体" w:eastAsia="宋体"/>
                <w:color w:val="auto"/>
                <w:sz w:val="24"/>
                <w:highlight w:val="none"/>
              </w:rPr>
              <w:t>5.残疾人福利性单位（监狱企业）产品、服务视同小型、微型企业服务，享受同等价格扣除</w:t>
            </w:r>
            <w:r>
              <w:rPr>
                <w:rFonts w:hint="eastAsia" w:ascii="宋体" w:hAnsi="宋体" w:eastAsia="宋体"/>
                <w:color w:val="auto"/>
                <w:sz w:val="24"/>
                <w:highlight w:val="none"/>
                <w:lang w:eastAsia="zh-CN"/>
              </w:rPr>
              <w:t>。</w:t>
            </w:r>
          </w:p>
        </w:tc>
      </w:tr>
    </w:tbl>
    <w:p w14:paraId="6E4C8305">
      <w:pPr>
        <w:ind w:firstLine="480"/>
        <w:rPr>
          <w:rFonts w:hint="default" w:ascii="Times New Roman" w:hAnsi="Times New Roman" w:cs="Times New Roman" w:eastAsiaTheme="minorEastAsia"/>
          <w:bCs/>
          <w:sz w:val="30"/>
          <w:szCs w:val="30"/>
          <w:lang w:val="en-US" w:eastAsia="zh-CN"/>
        </w:rPr>
      </w:pPr>
      <w:r>
        <w:rPr>
          <w:rFonts w:hint="eastAsia" w:ascii="Times New Roman" w:hAnsi="Times New Roman" w:cs="Times New Roman"/>
          <w:sz w:val="28"/>
          <w:szCs w:val="28"/>
          <w:lang w:val="en-US" w:eastAsia="zh-CN"/>
        </w:rPr>
        <w:t>”</w:t>
      </w:r>
      <w:r>
        <w:rPr>
          <w:rFonts w:hint="eastAsia" w:ascii="Times New Roman" w:hAnsi="Times New Roman" w:cs="Times New Roman"/>
          <w:sz w:val="28"/>
          <w:szCs w:val="28"/>
          <w:lang w:eastAsia="zh-CN"/>
        </w:rPr>
        <w:t>。</w:t>
      </w:r>
    </w:p>
    <w:p w14:paraId="01A804A1">
      <w:pPr>
        <w:keepNext w:val="0"/>
        <w:keepLines w:val="0"/>
        <w:pageBreakBefore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cs="Times New Roman"/>
          <w:b/>
          <w:sz w:val="28"/>
          <w:szCs w:val="28"/>
        </w:rPr>
      </w:pPr>
      <w:r>
        <w:rPr>
          <w:rFonts w:hint="default" w:ascii="Times New Roman" w:hAnsi="Times New Roman" w:cs="Times New Roman"/>
          <w:b/>
          <w:sz w:val="28"/>
          <w:szCs w:val="28"/>
        </w:rPr>
        <w:t>三、其他补充事宜</w:t>
      </w:r>
    </w:p>
    <w:p w14:paraId="1660539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（一）采购文件其它内容不变。</w:t>
      </w:r>
    </w:p>
    <w:p w14:paraId="3742B79A">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（二）本公告在云南省政府采购网（http：//www.yngp.com）上发布</w:t>
      </w:r>
    </w:p>
    <w:p w14:paraId="4498ACA7">
      <w:pPr>
        <w:keepNext w:val="0"/>
        <w:keepLines w:val="0"/>
        <w:pageBreakBefore w:val="0"/>
        <w:kinsoku/>
        <w:wordWrap/>
        <w:overflowPunct/>
        <w:topLinePunct w:val="0"/>
        <w:autoSpaceDE/>
        <w:autoSpaceDN/>
        <w:bidi w:val="0"/>
        <w:adjustRightInd/>
        <w:snapToGrid/>
        <w:spacing w:line="440" w:lineRule="exact"/>
        <w:ind w:firstLine="562" w:firstLineChars="200"/>
        <w:textAlignment w:val="auto"/>
        <w:rPr>
          <w:rFonts w:hint="default" w:ascii="Times New Roman" w:hAnsi="Times New Roman" w:cs="Times New Roman"/>
          <w:b/>
          <w:sz w:val="28"/>
          <w:szCs w:val="28"/>
        </w:rPr>
      </w:pPr>
      <w:r>
        <w:rPr>
          <w:rFonts w:hint="default" w:ascii="Times New Roman" w:hAnsi="Times New Roman" w:cs="Times New Roman"/>
          <w:b/>
          <w:sz w:val="28"/>
          <w:szCs w:val="28"/>
        </w:rPr>
        <w:t>四、凡对本次公告内容提出询问，请按以下方式联系</w:t>
      </w:r>
    </w:p>
    <w:p w14:paraId="5065EBD2">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（一）采购人信息</w:t>
      </w:r>
    </w:p>
    <w:p w14:paraId="0ADD291B">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1.名称：德宏</w:t>
      </w:r>
      <w:r>
        <w:rPr>
          <w:rFonts w:hint="default" w:ascii="Times New Roman" w:hAnsi="Times New Roman" w:cs="Times New Roman"/>
          <w:sz w:val="28"/>
          <w:szCs w:val="28"/>
          <w:lang w:val="en-US" w:eastAsia="zh-CN"/>
        </w:rPr>
        <w:t>州民族实验中学</w:t>
      </w:r>
    </w:p>
    <w:p w14:paraId="0D6A076B">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rPr>
        <w:t>2.统一社会信用代码：</w:t>
      </w:r>
      <w:r>
        <w:rPr>
          <w:rFonts w:hint="default" w:ascii="Times New Roman" w:hAnsi="Times New Roman" w:cs="Times New Roman"/>
          <w:sz w:val="28"/>
          <w:szCs w:val="28"/>
          <w:lang w:val="en-US" w:eastAsia="zh-CN"/>
        </w:rPr>
        <w:t>12533100MB18111710</w:t>
      </w:r>
    </w:p>
    <w:p w14:paraId="50C2D149">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rPr>
        <w:t>3.地址：</w:t>
      </w:r>
      <w:r>
        <w:rPr>
          <w:rFonts w:hint="default" w:ascii="Times New Roman" w:hAnsi="Times New Roman" w:cs="Times New Roman"/>
          <w:sz w:val="28"/>
          <w:szCs w:val="28"/>
          <w:lang w:val="en-US" w:eastAsia="zh-CN"/>
        </w:rPr>
        <w:t>德宏州芒市仙池路14号</w:t>
      </w:r>
    </w:p>
    <w:p w14:paraId="2EBD3B40">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4.联系方式：周</w:t>
      </w:r>
      <w:r>
        <w:rPr>
          <w:rFonts w:hint="eastAsia" w:ascii="Times New Roman" w:hAnsi="Times New Roman" w:cs="Times New Roman"/>
          <w:sz w:val="28"/>
          <w:szCs w:val="28"/>
          <w:lang w:val="en-US" w:eastAsia="zh-CN"/>
        </w:rPr>
        <w:t>老师</w:t>
      </w:r>
      <w:r>
        <w:rPr>
          <w:rFonts w:hint="default" w:ascii="Times New Roman" w:hAnsi="Times New Roman" w:cs="Times New Roman"/>
          <w:sz w:val="28"/>
          <w:szCs w:val="28"/>
          <w:lang w:val="en-US" w:eastAsia="zh-CN"/>
        </w:rPr>
        <w:t xml:space="preserve">  0692-3029090</w:t>
      </w:r>
    </w:p>
    <w:p w14:paraId="4B4BA043">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（二）采购代理机构</w:t>
      </w:r>
    </w:p>
    <w:p w14:paraId="7B8734FD">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1.名称：德宏州政府采购和出让中心</w:t>
      </w:r>
    </w:p>
    <w:p w14:paraId="78A7E1D1">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2.地址：云南省德宏州芒市文蚌街中缅友谊馆三楼</w:t>
      </w:r>
    </w:p>
    <w:p w14:paraId="53E8AD8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3.联系方式：</w:t>
      </w:r>
      <w:r>
        <w:rPr>
          <w:rFonts w:hint="eastAsia" w:ascii="Times New Roman" w:hAnsi="Times New Roman" w:cs="Times New Roman"/>
          <w:sz w:val="28"/>
          <w:szCs w:val="28"/>
          <w:lang w:val="en-US" w:eastAsia="zh-CN"/>
        </w:rPr>
        <w:t>徐列高</w:t>
      </w:r>
      <w:r>
        <w:rPr>
          <w:rFonts w:hint="default" w:ascii="Times New Roman" w:hAnsi="Times New Roman" w:cs="Times New Roman"/>
          <w:sz w:val="28"/>
          <w:szCs w:val="28"/>
        </w:rPr>
        <w:t xml:space="preserve"> 0692-2275632</w:t>
      </w:r>
    </w:p>
    <w:p w14:paraId="5DA478D8">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（三）采购监督电话</w:t>
      </w:r>
    </w:p>
    <w:p w14:paraId="7BFFF220">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1.行业监督联系电话：德宏州财政局0692-3990432</w:t>
      </w:r>
    </w:p>
    <w:p w14:paraId="020CDC52">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2.综合监督部门联系电话：德宏州公共资源交易管理局0692-2275625</w:t>
      </w:r>
    </w:p>
    <w:p w14:paraId="40166E4A">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3.纪检监察联系电话：0692-12388</w:t>
      </w:r>
    </w:p>
    <w:p w14:paraId="6AFF7C3D">
      <w:pPr>
        <w:keepNext w:val="0"/>
        <w:keepLines w:val="0"/>
        <w:pageBreakBefore w:val="0"/>
        <w:kinsoku/>
        <w:wordWrap/>
        <w:overflowPunct/>
        <w:topLinePunct w:val="0"/>
        <w:autoSpaceDE/>
        <w:autoSpaceDN/>
        <w:bidi w:val="0"/>
        <w:adjustRightInd/>
        <w:snapToGrid/>
        <w:spacing w:line="440" w:lineRule="exact"/>
        <w:ind w:firstLine="4340" w:firstLineChars="1550"/>
        <w:textAlignment w:val="auto"/>
        <w:rPr>
          <w:rFonts w:hint="default" w:ascii="Times New Roman" w:hAnsi="Times New Roman" w:cs="Times New Roman"/>
          <w:sz w:val="28"/>
          <w:szCs w:val="28"/>
        </w:rPr>
      </w:pPr>
    </w:p>
    <w:p w14:paraId="5A633A17">
      <w:pPr>
        <w:keepNext w:val="0"/>
        <w:keepLines w:val="0"/>
        <w:pageBreakBefore w:val="0"/>
        <w:kinsoku/>
        <w:wordWrap/>
        <w:overflowPunct/>
        <w:topLinePunct w:val="0"/>
        <w:autoSpaceDE/>
        <w:autoSpaceDN/>
        <w:bidi w:val="0"/>
        <w:adjustRightInd/>
        <w:snapToGrid/>
        <w:spacing w:line="440" w:lineRule="exact"/>
        <w:ind w:firstLine="4340" w:firstLineChars="1550"/>
        <w:textAlignment w:val="auto"/>
        <w:rPr>
          <w:rFonts w:hint="default" w:ascii="Times New Roman" w:hAnsi="Times New Roman" w:cs="Times New Roman"/>
          <w:sz w:val="28"/>
          <w:szCs w:val="28"/>
        </w:rPr>
      </w:pPr>
    </w:p>
    <w:p w14:paraId="14CDBA51">
      <w:pPr>
        <w:keepNext w:val="0"/>
        <w:keepLines w:val="0"/>
        <w:pageBreakBefore w:val="0"/>
        <w:kinsoku/>
        <w:wordWrap/>
        <w:overflowPunct/>
        <w:topLinePunct w:val="0"/>
        <w:autoSpaceDE/>
        <w:autoSpaceDN/>
        <w:bidi w:val="0"/>
        <w:adjustRightInd/>
        <w:snapToGrid/>
        <w:spacing w:line="440" w:lineRule="exact"/>
        <w:ind w:firstLine="4340" w:firstLineChars="1550"/>
        <w:textAlignment w:val="auto"/>
        <w:rPr>
          <w:rFonts w:hint="default" w:ascii="Times New Roman" w:hAnsi="Times New Roman" w:cs="Times New Roman"/>
          <w:sz w:val="28"/>
          <w:szCs w:val="28"/>
        </w:rPr>
      </w:pPr>
    </w:p>
    <w:p w14:paraId="7A00C684">
      <w:pPr>
        <w:keepNext w:val="0"/>
        <w:keepLines w:val="0"/>
        <w:pageBreakBefore w:val="0"/>
        <w:kinsoku/>
        <w:wordWrap/>
        <w:overflowPunct/>
        <w:topLinePunct w:val="0"/>
        <w:autoSpaceDE/>
        <w:autoSpaceDN/>
        <w:bidi w:val="0"/>
        <w:adjustRightInd/>
        <w:snapToGrid/>
        <w:spacing w:line="440" w:lineRule="exact"/>
        <w:ind w:firstLine="4340" w:firstLineChars="1550"/>
        <w:textAlignment w:val="auto"/>
        <w:rPr>
          <w:rFonts w:hint="default" w:ascii="Times New Roman" w:hAnsi="Times New Roman" w:cs="Times New Roman"/>
          <w:sz w:val="28"/>
          <w:szCs w:val="28"/>
        </w:rPr>
      </w:pPr>
      <w:r>
        <w:rPr>
          <w:rFonts w:hint="default" w:ascii="Times New Roman" w:hAnsi="Times New Roman" w:cs="Times New Roman"/>
          <w:sz w:val="28"/>
          <w:szCs w:val="28"/>
        </w:rPr>
        <w:t>德宏州政府采购和出让中心</w:t>
      </w:r>
    </w:p>
    <w:p w14:paraId="27DE0590">
      <w:pPr>
        <w:keepNext w:val="0"/>
        <w:keepLines w:val="0"/>
        <w:pageBreakBefore w:val="0"/>
        <w:kinsoku/>
        <w:wordWrap/>
        <w:overflowPunct/>
        <w:topLinePunct w:val="0"/>
        <w:autoSpaceDE/>
        <w:autoSpaceDN/>
        <w:bidi w:val="0"/>
        <w:adjustRightInd/>
        <w:snapToGrid/>
        <w:spacing w:line="440" w:lineRule="exact"/>
        <w:ind w:firstLine="5040" w:firstLineChars="1800"/>
        <w:textAlignment w:val="auto"/>
        <w:rPr>
          <w:rFonts w:hint="default" w:ascii="Times New Roman" w:hAnsi="Times New Roman" w:cs="Times New Roman"/>
        </w:rPr>
      </w:pPr>
      <w:r>
        <w:rPr>
          <w:rFonts w:hint="default" w:ascii="Times New Roman" w:hAnsi="Times New Roman" w:cs="Times New Roman"/>
          <w:sz w:val="28"/>
          <w:szCs w:val="28"/>
        </w:rPr>
        <w:t>202</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年</w:t>
      </w:r>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月</w:t>
      </w:r>
      <w:r>
        <w:rPr>
          <w:rFonts w:hint="eastAsia" w:ascii="Times New Roman" w:hAnsi="Times New Roman" w:cs="Times New Roman"/>
          <w:sz w:val="28"/>
          <w:szCs w:val="28"/>
          <w:lang w:val="en-US" w:eastAsia="zh-CN"/>
        </w:rPr>
        <w:t>25</w:t>
      </w:r>
      <w:bookmarkStart w:id="0" w:name="_GoBack"/>
      <w:bookmarkEnd w:id="0"/>
      <w:r>
        <w:rPr>
          <w:rFonts w:hint="default" w:ascii="Times New Roman" w:hAnsi="Times New Roman" w:cs="Times New Roman"/>
          <w:sz w:val="28"/>
          <w:szCs w:val="28"/>
          <w:lang w:val="en-US" w:eastAsia="zh-CN"/>
        </w:rPr>
        <w:t>日</w:t>
      </w:r>
    </w:p>
    <w:sectPr>
      <w:pgSz w:w="11906" w:h="16838"/>
      <w:pgMar w:top="1134" w:right="1134" w:bottom="1134" w:left="1134" w:header="0"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Century Gothic">
    <w:altName w:val="德宏傣文长圆混合体(Taile-CYHHT)"/>
    <w:panose1 w:val="020B0502020202020204"/>
    <w:charset w:val="00"/>
    <w:family w:val="swiss"/>
    <w:pitch w:val="default"/>
    <w:sig w:usb0="00000000" w:usb1="00000000" w:usb2="00000000" w:usb3="00000000" w:csb0="2000009F" w:csb1="DFD7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德宏傣文长圆混合体(Taile-CYHHT)">
    <w:panose1 w:val="02000500000000000000"/>
    <w:charset w:val="00"/>
    <w:family w:val="auto"/>
    <w:pitch w:val="default"/>
    <w:sig w:usb0="00000001" w:usb1="00000000" w:usb2="000004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B603E2"/>
    <w:multiLevelType w:val="multilevel"/>
    <w:tmpl w:val="3BB603E2"/>
    <w:lvl w:ilvl="0" w:tentative="0">
      <w:start w:val="3"/>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3Y2ZjNTc3YTI1MTQ1ZWUzYTc4MjZiZWI3MzA2NmQifQ=="/>
  </w:docVars>
  <w:rsids>
    <w:rsidRoot w:val="00F273C8"/>
    <w:rsid w:val="00061EA1"/>
    <w:rsid w:val="000C077D"/>
    <w:rsid w:val="001D4265"/>
    <w:rsid w:val="001E695A"/>
    <w:rsid w:val="001F5F7C"/>
    <w:rsid w:val="002041F3"/>
    <w:rsid w:val="002915E4"/>
    <w:rsid w:val="00293CD8"/>
    <w:rsid w:val="002D735A"/>
    <w:rsid w:val="002D7A1C"/>
    <w:rsid w:val="002E004D"/>
    <w:rsid w:val="00300F84"/>
    <w:rsid w:val="00316251"/>
    <w:rsid w:val="00384CF2"/>
    <w:rsid w:val="003C75ED"/>
    <w:rsid w:val="004240B7"/>
    <w:rsid w:val="00452E42"/>
    <w:rsid w:val="0046238B"/>
    <w:rsid w:val="0047360E"/>
    <w:rsid w:val="00542605"/>
    <w:rsid w:val="00570160"/>
    <w:rsid w:val="00585FCA"/>
    <w:rsid w:val="005C6869"/>
    <w:rsid w:val="00697111"/>
    <w:rsid w:val="00731EFB"/>
    <w:rsid w:val="0074067B"/>
    <w:rsid w:val="00866268"/>
    <w:rsid w:val="008965B7"/>
    <w:rsid w:val="008970AB"/>
    <w:rsid w:val="008C2BA9"/>
    <w:rsid w:val="008F5D59"/>
    <w:rsid w:val="00924E47"/>
    <w:rsid w:val="0094061F"/>
    <w:rsid w:val="0096693F"/>
    <w:rsid w:val="00996D75"/>
    <w:rsid w:val="00B1575A"/>
    <w:rsid w:val="00B76B8C"/>
    <w:rsid w:val="00BA0B71"/>
    <w:rsid w:val="00C01792"/>
    <w:rsid w:val="00C57713"/>
    <w:rsid w:val="00CC35A8"/>
    <w:rsid w:val="00D86BEE"/>
    <w:rsid w:val="00DB40B7"/>
    <w:rsid w:val="00E41385"/>
    <w:rsid w:val="00F02509"/>
    <w:rsid w:val="00F273C8"/>
    <w:rsid w:val="00F34B7D"/>
    <w:rsid w:val="00F62FCC"/>
    <w:rsid w:val="04CE3D21"/>
    <w:rsid w:val="06935F8F"/>
    <w:rsid w:val="084E1401"/>
    <w:rsid w:val="09490DC9"/>
    <w:rsid w:val="0D1129FD"/>
    <w:rsid w:val="116003F7"/>
    <w:rsid w:val="12B868B2"/>
    <w:rsid w:val="12F07E8E"/>
    <w:rsid w:val="1B770817"/>
    <w:rsid w:val="1B9B4505"/>
    <w:rsid w:val="1E37447A"/>
    <w:rsid w:val="1E602747"/>
    <w:rsid w:val="27C84BBE"/>
    <w:rsid w:val="30EB1633"/>
    <w:rsid w:val="31CE5713"/>
    <w:rsid w:val="39303F2E"/>
    <w:rsid w:val="3EE776AB"/>
    <w:rsid w:val="40463757"/>
    <w:rsid w:val="415A0FC6"/>
    <w:rsid w:val="42E00156"/>
    <w:rsid w:val="431979B9"/>
    <w:rsid w:val="4ABB0E3F"/>
    <w:rsid w:val="4DB543DD"/>
    <w:rsid w:val="52122B75"/>
    <w:rsid w:val="55DD4614"/>
    <w:rsid w:val="56BE0ACC"/>
    <w:rsid w:val="578C5625"/>
    <w:rsid w:val="62826C45"/>
    <w:rsid w:val="65931376"/>
    <w:rsid w:val="66FA57B8"/>
    <w:rsid w:val="686553E0"/>
    <w:rsid w:val="6F264C97"/>
    <w:rsid w:val="712944B7"/>
    <w:rsid w:val="74077F52"/>
    <w:rsid w:val="77085C50"/>
    <w:rsid w:val="78323679"/>
    <w:rsid w:val="794346EF"/>
    <w:rsid w:val="7E4C1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120" w:after="120"/>
      <w:jc w:val="center"/>
      <w:outlineLvl w:val="0"/>
    </w:pPr>
    <w:rPr>
      <w:rFonts w:ascii="Cambria Math" w:hAnsi="Cambria Math" w:eastAsia="Century Gothic" w:cs="Cambria Math"/>
      <w:b/>
      <w:spacing w:val="20"/>
      <w:kern w:val="44"/>
      <w:sz w:val="32"/>
      <w:szCs w:val="20"/>
    </w:rPr>
  </w:style>
  <w:style w:type="paragraph" w:styleId="3">
    <w:name w:val="heading 2"/>
    <w:basedOn w:val="1"/>
    <w:next w:val="1"/>
    <w:qFormat/>
    <w:uiPriority w:val="0"/>
    <w:pPr>
      <w:keepNext/>
      <w:keepLines/>
      <w:spacing w:line="400" w:lineRule="exact"/>
      <w:jc w:val="center"/>
      <w:outlineLvl w:val="1"/>
    </w:pPr>
    <w:rPr>
      <w:rFonts w:ascii="Symbol" w:hAnsi="Symbol" w:cs="Cambria Math"/>
      <w:b/>
      <w:kern w:val="0"/>
      <w:sz w:val="30"/>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List 3"/>
    <w:basedOn w:val="1"/>
    <w:semiHidden/>
    <w:unhideWhenUsed/>
    <w:qFormat/>
    <w:uiPriority w:val="99"/>
    <w:pPr>
      <w:ind w:left="100" w:leftChars="400" w:hanging="200" w:hangingChars="200"/>
    </w:pPr>
    <w:rPr>
      <w:szCs w:val="24"/>
    </w:rPr>
  </w:style>
  <w:style w:type="paragraph" w:styleId="5">
    <w:name w:val="Normal Indent"/>
    <w:basedOn w:val="1"/>
    <w:next w:val="1"/>
    <w:qFormat/>
    <w:uiPriority w:val="0"/>
    <w:pPr>
      <w:ind w:firstLine="420"/>
    </w:pPr>
    <w:rPr>
      <w:rFonts w:ascii="Cambria Math" w:hAnsi="Cambria Math" w:cs="Cambria Math"/>
      <w:szCs w:val="20"/>
    </w:rPr>
  </w:style>
  <w:style w:type="paragraph" w:styleId="6">
    <w:name w:val="annotation text"/>
    <w:basedOn w:val="1"/>
    <w:unhideWhenUsed/>
    <w:qFormat/>
    <w:uiPriority w:val="99"/>
    <w:pPr>
      <w:jc w:val="left"/>
    </w:pPr>
  </w:style>
  <w:style w:type="paragraph" w:styleId="7">
    <w:name w:val="Date"/>
    <w:basedOn w:val="1"/>
    <w:next w:val="1"/>
    <w:link w:val="17"/>
    <w:semiHidden/>
    <w:unhideWhenUsed/>
    <w:qFormat/>
    <w:uiPriority w:val="99"/>
    <w:pPr>
      <w:ind w:left="100" w:leftChars="2500"/>
    </w:p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Century Gothic" w:hAnsi="Century Gothic" w:eastAsia="楷体"/>
    </w:rPr>
  </w:style>
  <w:style w:type="table" w:styleId="12">
    <w:name w:val="Table Grid"/>
    <w:basedOn w:val="1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15">
    <w:name w:val="页眉 Char"/>
    <w:basedOn w:val="13"/>
    <w:link w:val="9"/>
    <w:qFormat/>
    <w:uiPriority w:val="99"/>
    <w:rPr>
      <w:sz w:val="18"/>
      <w:szCs w:val="18"/>
    </w:rPr>
  </w:style>
  <w:style w:type="character" w:customStyle="1" w:styleId="16">
    <w:name w:val="页脚 Char"/>
    <w:basedOn w:val="13"/>
    <w:link w:val="8"/>
    <w:qFormat/>
    <w:uiPriority w:val="99"/>
    <w:rPr>
      <w:sz w:val="18"/>
      <w:szCs w:val="18"/>
    </w:rPr>
  </w:style>
  <w:style w:type="character" w:customStyle="1" w:styleId="17">
    <w:name w:val="日期 Char"/>
    <w:basedOn w:val="13"/>
    <w:link w:val="7"/>
    <w:semiHidden/>
    <w:qFormat/>
    <w:uiPriority w:val="99"/>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dhzcrzx</Company>
  <Pages>3</Pages>
  <Words>12864</Words>
  <Characters>14992</Characters>
  <Lines>7</Lines>
  <Paragraphs>2</Paragraphs>
  <TotalTime>1</TotalTime>
  <ScaleCrop>false</ScaleCrop>
  <LinksUpToDate>false</LinksUpToDate>
  <CharactersWithSpaces>15944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2025-06-19T08:37:00Z</dcterms:created>
  <dc:creator>黄占海</dc:creator>
  <cp:lastModifiedBy>徐列高</cp:lastModifiedBy>
  <dcterms:modified xsi:type="dcterms:W3CDTF">2026-08-25T03:12:58Z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eyJoZGlkIjoiYjA2ZDAxYzQwZmM5YzcyMTVmYmQyYTVhODA2Y2JiYjUiLCJ1c2VySWQiOiIxNjQ5OTk4MDQyIn0=</vt:lpwstr>
  </property>
  <property fmtid="{D5CDD505-2E9C-101B-9397-08002B2CF9AE}" pid="3" name="KSOProductBuildVer">
    <vt:lpwstr>2052-12.1.0.18276</vt:lpwstr>
  </property>
  <property fmtid="{D5CDD505-2E9C-101B-9397-08002B2CF9AE}" pid="4" name="ICV">
    <vt:lpwstr>AFC440CFB4AC4A1EB20CFED2707E5E2D_13</vt:lpwstr>
  </property>
</Properties>
</file>