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AB181">
      <w:pPr>
        <w:jc w:val="center"/>
        <w:outlineLvl w:val="2"/>
        <w:rPr>
          <w:rFonts w:hint="default" w:ascii="仿宋" w:hAnsi="仿宋" w:eastAsia="仿宋"/>
          <w:b/>
          <w:color w:val="000000" w:themeColor="text1"/>
          <w:sz w:val="32"/>
          <w:szCs w:val="32"/>
          <w:highlight w:val="none"/>
          <w:lang w:val="en-US" w:eastAsia="zh-CN"/>
          <w14:textFill>
            <w14:solidFill>
              <w14:schemeClr w14:val="tx1"/>
            </w14:solidFill>
          </w14:textFill>
        </w:rPr>
      </w:pPr>
      <w:r>
        <w:rPr>
          <w:rFonts w:hint="eastAsia" w:ascii="仿宋" w:hAnsi="仿宋" w:eastAsia="仿宋"/>
          <w:b/>
          <w:color w:val="000000" w:themeColor="text1"/>
          <w:sz w:val="32"/>
          <w:szCs w:val="32"/>
          <w:highlight w:val="none"/>
          <w14:textFill>
            <w14:solidFill>
              <w14:schemeClr w14:val="tx1"/>
            </w14:solidFill>
          </w14:textFill>
        </w:rPr>
        <w:t>保修期后的易耗品及零配件</w:t>
      </w:r>
      <w:r>
        <w:rPr>
          <w:rFonts w:hint="eastAsia" w:ascii="仿宋" w:hAnsi="仿宋" w:eastAsia="仿宋"/>
          <w:b/>
          <w:color w:val="000000" w:themeColor="text1"/>
          <w:sz w:val="32"/>
          <w:szCs w:val="32"/>
          <w:highlight w:val="none"/>
          <w:lang w:val="en-US" w:eastAsia="zh-CN"/>
          <w14:textFill>
            <w14:solidFill>
              <w14:schemeClr w14:val="tx1"/>
            </w14:solidFill>
          </w14:textFill>
        </w:rPr>
        <w:t>报价清单</w:t>
      </w:r>
    </w:p>
    <w:p w14:paraId="5F740E16">
      <w:pPr>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项目名称：</w:t>
      </w:r>
    </w:p>
    <w:p w14:paraId="3EEB2454">
      <w:pPr>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采购编号：</w:t>
      </w:r>
    </w:p>
    <w:p w14:paraId="680F962A">
      <w:pPr>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包号：</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
        <w:gridCol w:w="698"/>
        <w:gridCol w:w="512"/>
        <w:gridCol w:w="664"/>
        <w:gridCol w:w="1020"/>
        <w:gridCol w:w="603"/>
        <w:gridCol w:w="1162"/>
        <w:gridCol w:w="867"/>
        <w:gridCol w:w="1342"/>
        <w:gridCol w:w="1068"/>
      </w:tblGrid>
      <w:tr w14:paraId="6F1B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61253423">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序号</w:t>
            </w:r>
          </w:p>
        </w:tc>
        <w:tc>
          <w:tcPr>
            <w:tcW w:w="314" w:type="pct"/>
            <w:vAlign w:val="center"/>
          </w:tcPr>
          <w:p w14:paraId="68F74A28">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标的名称</w:t>
            </w:r>
          </w:p>
        </w:tc>
        <w:tc>
          <w:tcPr>
            <w:tcW w:w="314" w:type="pct"/>
            <w:vAlign w:val="center"/>
          </w:tcPr>
          <w:p w14:paraId="30913623">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易耗品或零配件名称</w:t>
            </w:r>
          </w:p>
        </w:tc>
        <w:tc>
          <w:tcPr>
            <w:tcW w:w="403" w:type="pct"/>
            <w:vAlign w:val="center"/>
          </w:tcPr>
          <w:p w14:paraId="72923792">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制造商</w:t>
            </w:r>
          </w:p>
        </w:tc>
        <w:tc>
          <w:tcPr>
            <w:tcW w:w="612" w:type="pct"/>
            <w:vAlign w:val="center"/>
          </w:tcPr>
          <w:p w14:paraId="2631010B">
            <w:pPr>
              <w:widowControl/>
              <w:jc w:val="cente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型号/规</w:t>
            </w:r>
          </w:p>
          <w:p w14:paraId="3BD0FAF9">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格（如有）</w:t>
            </w:r>
          </w:p>
        </w:tc>
        <w:tc>
          <w:tcPr>
            <w:tcW w:w="367" w:type="pct"/>
            <w:vAlign w:val="center"/>
          </w:tcPr>
          <w:p w14:paraId="20E7FF23">
            <w:pPr>
              <w:widowControl/>
              <w:jc w:val="cente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单</w:t>
            </w:r>
          </w:p>
          <w:p w14:paraId="22B74FA7">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位</w:t>
            </w:r>
          </w:p>
        </w:tc>
        <w:tc>
          <w:tcPr>
            <w:tcW w:w="695" w:type="pct"/>
            <w:vAlign w:val="center"/>
          </w:tcPr>
          <w:p w14:paraId="3A8E424E">
            <w:pPr>
              <w:widowControl/>
              <w:jc w:val="cente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单价</w:t>
            </w:r>
          </w:p>
          <w:p w14:paraId="251780A3">
            <w:pPr>
              <w:widowControl/>
              <w:jc w:val="center"/>
              <w:rPr>
                <w:rFonts w:hint="eastAsia" w:ascii="仿宋" w:hAnsi="仿宋" w:eastAsia="仿宋" w:cs="仿宋"/>
                <w:b/>
                <w:bCs/>
                <w:color w:val="000000" w:themeColor="text1"/>
                <w:kern w:val="0"/>
                <w:sz w:val="24"/>
                <w:highlight w:val="none"/>
                <w:lang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（元）</w:t>
            </w:r>
          </w:p>
        </w:tc>
        <w:tc>
          <w:tcPr>
            <w:tcW w:w="522" w:type="pct"/>
            <w:vAlign w:val="center"/>
          </w:tcPr>
          <w:p w14:paraId="0F057A0A">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1年预估用量</w:t>
            </w:r>
          </w:p>
        </w:tc>
        <w:tc>
          <w:tcPr>
            <w:tcW w:w="801" w:type="pct"/>
            <w:vAlign w:val="center"/>
          </w:tcPr>
          <w:p w14:paraId="28B88B56">
            <w:pPr>
              <w:widowControl/>
              <w:jc w:val="cente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小计</w:t>
            </w:r>
          </w:p>
          <w:p w14:paraId="19135B89">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（元）</w:t>
            </w:r>
          </w:p>
        </w:tc>
        <w:tc>
          <w:tcPr>
            <w:tcW w:w="635" w:type="pct"/>
            <w:vAlign w:val="center"/>
          </w:tcPr>
          <w:p w14:paraId="17A090FA">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备注</w:t>
            </w:r>
          </w:p>
        </w:tc>
      </w:tr>
      <w:tr w14:paraId="30B5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6342039B">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1</w:t>
            </w:r>
          </w:p>
        </w:tc>
        <w:tc>
          <w:tcPr>
            <w:tcW w:w="314" w:type="pct"/>
            <w:vMerge w:val="restart"/>
            <w:vAlign w:val="center"/>
          </w:tcPr>
          <w:p w14:paraId="656B7DB0">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（采购标的1名称）</w:t>
            </w:r>
          </w:p>
        </w:tc>
        <w:tc>
          <w:tcPr>
            <w:tcW w:w="314" w:type="pct"/>
            <w:vAlign w:val="center"/>
          </w:tcPr>
          <w:p w14:paraId="7F23AE08">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0317D628">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26002BE7">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2DDCC7C9">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459F0F57">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522" w:type="pct"/>
            <w:vAlign w:val="center"/>
          </w:tcPr>
          <w:p w14:paraId="43B8A792">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44D0D4B3">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29010409">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tc>
      </w:tr>
      <w:tr w14:paraId="1F5E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4222698B">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2</w:t>
            </w:r>
          </w:p>
        </w:tc>
        <w:tc>
          <w:tcPr>
            <w:tcW w:w="314" w:type="pct"/>
            <w:vMerge w:val="continue"/>
            <w:vAlign w:val="center"/>
          </w:tcPr>
          <w:p w14:paraId="70CF0C47">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314" w:type="pct"/>
            <w:vAlign w:val="center"/>
          </w:tcPr>
          <w:p w14:paraId="61A2A2EA">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05E8CC48">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580BAB67">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100001EB">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5DAE62D8">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522" w:type="pct"/>
            <w:vAlign w:val="center"/>
          </w:tcPr>
          <w:p w14:paraId="5E9DF072">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02B1969B">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717F9C92">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tc>
      </w:tr>
      <w:tr w14:paraId="47FBA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7CA0993A">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3</w:t>
            </w:r>
          </w:p>
        </w:tc>
        <w:tc>
          <w:tcPr>
            <w:tcW w:w="314" w:type="pct"/>
            <w:vMerge w:val="continue"/>
            <w:vAlign w:val="center"/>
          </w:tcPr>
          <w:p w14:paraId="2E430347">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314" w:type="pct"/>
            <w:vAlign w:val="center"/>
          </w:tcPr>
          <w:p w14:paraId="6F63C2A9">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67F6375C">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53CCAC82">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33FD85BE">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1C36575F">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522" w:type="pct"/>
            <w:vAlign w:val="center"/>
          </w:tcPr>
          <w:p w14:paraId="60303789">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458FF676">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734171F3">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tc>
      </w:tr>
      <w:tr w14:paraId="5475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59FA9AFB">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4</w:t>
            </w:r>
          </w:p>
        </w:tc>
        <w:tc>
          <w:tcPr>
            <w:tcW w:w="314" w:type="pct"/>
            <w:vMerge w:val="restart"/>
            <w:vAlign w:val="center"/>
          </w:tcPr>
          <w:p w14:paraId="11836245">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（采购标的2名称）</w:t>
            </w:r>
          </w:p>
        </w:tc>
        <w:tc>
          <w:tcPr>
            <w:tcW w:w="314" w:type="pct"/>
            <w:vAlign w:val="center"/>
          </w:tcPr>
          <w:p w14:paraId="163A2707">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45AEFF61">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44829191">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45AA3A5A">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24052B15">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522" w:type="pct"/>
            <w:vAlign w:val="center"/>
          </w:tcPr>
          <w:p w14:paraId="2DC3D716">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69B576FB">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7EFE7A65">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tc>
      </w:tr>
      <w:tr w14:paraId="674EB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1CC5A64B">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5</w:t>
            </w:r>
          </w:p>
        </w:tc>
        <w:tc>
          <w:tcPr>
            <w:tcW w:w="314" w:type="pct"/>
            <w:vMerge w:val="continue"/>
            <w:vAlign w:val="center"/>
          </w:tcPr>
          <w:p w14:paraId="1788D07C">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314" w:type="pct"/>
            <w:vAlign w:val="center"/>
          </w:tcPr>
          <w:p w14:paraId="2D1A7F7B">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2440D36B">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69F4B890">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4399CA56">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74350B8A">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522" w:type="pct"/>
            <w:vAlign w:val="center"/>
          </w:tcPr>
          <w:p w14:paraId="2B22345A">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35D91317">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59C68EC1">
            <w:pPr>
              <w:pStyle w:val="2"/>
            </w:pPr>
          </w:p>
        </w:tc>
      </w:tr>
      <w:tr w14:paraId="0C6D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38FF70D5">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6</w:t>
            </w:r>
          </w:p>
        </w:tc>
        <w:tc>
          <w:tcPr>
            <w:tcW w:w="314" w:type="pct"/>
            <w:vMerge w:val="continue"/>
            <w:vAlign w:val="center"/>
          </w:tcPr>
          <w:p w14:paraId="33EEF851">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314" w:type="pct"/>
            <w:vAlign w:val="center"/>
          </w:tcPr>
          <w:p w14:paraId="633DE213">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696D4142">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44D69A96">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48184CC4">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59175AE3">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522" w:type="pct"/>
            <w:vAlign w:val="center"/>
          </w:tcPr>
          <w:p w14:paraId="7AC8051B">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07951A4A">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15E2D60F">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tc>
      </w:tr>
      <w:tr w14:paraId="62EB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4DF35B6C">
            <w:pPr>
              <w:widowControl/>
              <w:jc w:val="center"/>
              <w:rPr>
                <w:rFonts w:hint="eastAsia"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w:t>
            </w:r>
          </w:p>
        </w:tc>
        <w:tc>
          <w:tcPr>
            <w:tcW w:w="314" w:type="pct"/>
            <w:vAlign w:val="center"/>
          </w:tcPr>
          <w:p w14:paraId="6D8976A6">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314" w:type="pct"/>
            <w:vAlign w:val="center"/>
          </w:tcPr>
          <w:p w14:paraId="64D8A21E">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50DE4D20">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2E0B8ED0">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10DEC0E1">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22D5B396">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522" w:type="pct"/>
            <w:vAlign w:val="center"/>
          </w:tcPr>
          <w:p w14:paraId="2C897B24">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715A237F">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267F1C1D">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tc>
      </w:tr>
      <w:tr w14:paraId="5103B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53E8D47D">
            <w:pPr>
              <w:widowControl/>
              <w:jc w:val="center"/>
              <w:rPr>
                <w:rFonts w:hint="eastAsia" w:ascii="仿宋" w:hAnsi="仿宋" w:eastAsia="仿宋" w:cs="仿宋"/>
                <w:b/>
                <w:bCs/>
                <w:color w:val="000000" w:themeColor="text1"/>
                <w:kern w:val="0"/>
                <w:sz w:val="24"/>
                <w:highlight w:val="none"/>
                <w:lang w:bidi="ar"/>
                <w14:textFill>
                  <w14:solidFill>
                    <w14:schemeClr w14:val="tx1"/>
                  </w14:solidFill>
                </w14:textFill>
              </w:rPr>
            </w:pPr>
          </w:p>
        </w:tc>
        <w:tc>
          <w:tcPr>
            <w:tcW w:w="314" w:type="pct"/>
            <w:vAlign w:val="center"/>
          </w:tcPr>
          <w:p w14:paraId="7E4E6BDC">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314" w:type="pct"/>
            <w:vAlign w:val="center"/>
          </w:tcPr>
          <w:p w14:paraId="0271531F">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5100AF54">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0076DF9C">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15014D46">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33481D5D">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522" w:type="pct"/>
            <w:vAlign w:val="center"/>
          </w:tcPr>
          <w:p w14:paraId="2D9185D1">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62EF6F7D">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7C02BFBC">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tc>
      </w:tr>
      <w:tr w14:paraId="134C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0AA87D02">
            <w:pPr>
              <w:widowControl/>
              <w:jc w:val="center"/>
              <w:rPr>
                <w:rFonts w:hint="eastAsia" w:ascii="仿宋" w:hAnsi="仿宋" w:eastAsia="仿宋" w:cs="仿宋"/>
                <w:b/>
                <w:bCs/>
                <w:color w:val="000000" w:themeColor="text1"/>
                <w:kern w:val="0"/>
                <w:sz w:val="24"/>
                <w:highlight w:val="none"/>
                <w:lang w:bidi="ar"/>
                <w14:textFill>
                  <w14:solidFill>
                    <w14:schemeClr w14:val="tx1"/>
                  </w14:solidFill>
                </w14:textFill>
              </w:rPr>
            </w:pPr>
          </w:p>
        </w:tc>
        <w:tc>
          <w:tcPr>
            <w:tcW w:w="314" w:type="pct"/>
            <w:vAlign w:val="center"/>
          </w:tcPr>
          <w:p w14:paraId="57A29156">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314" w:type="pct"/>
            <w:vAlign w:val="center"/>
          </w:tcPr>
          <w:p w14:paraId="27A4D06F">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76E7C4C4">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39CDE719">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184D244B">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33649CC2">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522" w:type="pct"/>
            <w:vAlign w:val="center"/>
          </w:tcPr>
          <w:p w14:paraId="65AC30B9">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2623099A">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11F56A0F">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tc>
      </w:tr>
      <w:tr w14:paraId="241F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1844184F">
            <w:pPr>
              <w:widowControl/>
              <w:jc w:val="center"/>
              <w:rPr>
                <w:rFonts w:hint="eastAsia" w:ascii="仿宋" w:hAnsi="仿宋" w:eastAsia="仿宋" w:cs="仿宋"/>
                <w:b/>
                <w:bCs/>
                <w:color w:val="000000" w:themeColor="text1"/>
                <w:kern w:val="0"/>
                <w:sz w:val="24"/>
                <w:highlight w:val="none"/>
                <w:lang w:bidi="ar"/>
                <w14:textFill>
                  <w14:solidFill>
                    <w14:schemeClr w14:val="tx1"/>
                  </w14:solidFill>
                </w14:textFill>
              </w:rPr>
            </w:pPr>
          </w:p>
        </w:tc>
        <w:tc>
          <w:tcPr>
            <w:tcW w:w="314" w:type="pct"/>
            <w:vAlign w:val="center"/>
          </w:tcPr>
          <w:p w14:paraId="3EB44E12">
            <w:pPr>
              <w:widowControl/>
              <w:jc w:val="cente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314" w:type="pct"/>
            <w:vAlign w:val="center"/>
          </w:tcPr>
          <w:p w14:paraId="2C4007B2">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160B892D">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6D510F10">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0513FDB2">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678DA7DC">
            <w:pPr>
              <w:widowControl/>
              <w:jc w:val="center"/>
              <w:rPr>
                <w:rFonts w:hint="default" w:ascii="仿宋" w:hAnsi="仿宋" w:eastAsia="仿宋" w:cs="仿宋"/>
                <w:b/>
                <w:bCs/>
                <w:color w:val="000000" w:themeColor="text1"/>
                <w:kern w:val="0"/>
                <w:sz w:val="24"/>
                <w:highlight w:val="none"/>
                <w:lang w:val="en-US" w:eastAsia="zh-CN" w:bidi="ar"/>
                <w14:textFill>
                  <w14:solidFill>
                    <w14:schemeClr w14:val="tx1"/>
                  </w14:solidFill>
                </w14:textFill>
              </w:rPr>
            </w:pPr>
          </w:p>
        </w:tc>
        <w:tc>
          <w:tcPr>
            <w:tcW w:w="522" w:type="pct"/>
            <w:vAlign w:val="center"/>
          </w:tcPr>
          <w:p w14:paraId="64D4A10E">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5B77B40A">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510DA917">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tc>
      </w:tr>
      <w:tr w14:paraId="394D3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 w:type="pct"/>
            <w:vAlign w:val="center"/>
          </w:tcPr>
          <w:p w14:paraId="6718D240">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w:t>
            </w:r>
          </w:p>
        </w:tc>
        <w:tc>
          <w:tcPr>
            <w:tcW w:w="314" w:type="pct"/>
            <w:vAlign w:val="center"/>
          </w:tcPr>
          <w:p w14:paraId="48A84C16">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14" w:type="pct"/>
            <w:vAlign w:val="center"/>
          </w:tcPr>
          <w:p w14:paraId="1846E8C9">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403" w:type="pct"/>
            <w:vAlign w:val="center"/>
          </w:tcPr>
          <w:p w14:paraId="20E5CD25">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12" w:type="pct"/>
            <w:vAlign w:val="center"/>
          </w:tcPr>
          <w:p w14:paraId="4FF287AE">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367" w:type="pct"/>
            <w:vAlign w:val="center"/>
          </w:tcPr>
          <w:p w14:paraId="54320418">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95" w:type="pct"/>
            <w:vAlign w:val="center"/>
          </w:tcPr>
          <w:p w14:paraId="1B232A81">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522" w:type="pct"/>
            <w:vAlign w:val="center"/>
          </w:tcPr>
          <w:p w14:paraId="2750BE9F">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801" w:type="pct"/>
            <w:vAlign w:val="center"/>
          </w:tcPr>
          <w:p w14:paraId="3C2A3F3D">
            <w:pPr>
              <w:widowControl/>
              <w:jc w:val="center"/>
              <w:rPr>
                <w:rFonts w:ascii="仿宋" w:hAnsi="仿宋" w:eastAsia="仿宋" w:cs="仿宋"/>
                <w:b/>
                <w:bCs/>
                <w:color w:val="000000" w:themeColor="text1"/>
                <w:kern w:val="0"/>
                <w:sz w:val="24"/>
                <w:highlight w:val="none"/>
                <w:lang w:bidi="ar"/>
                <w14:textFill>
                  <w14:solidFill>
                    <w14:schemeClr w14:val="tx1"/>
                  </w14:solidFill>
                </w14:textFill>
              </w:rPr>
            </w:pPr>
          </w:p>
        </w:tc>
        <w:tc>
          <w:tcPr>
            <w:tcW w:w="635" w:type="pct"/>
            <w:vAlign w:val="center"/>
          </w:tcPr>
          <w:p w14:paraId="2BD651CA">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tc>
      </w:tr>
      <w:tr w14:paraId="684C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0"/>
            <w:vAlign w:val="center"/>
          </w:tcPr>
          <w:p w14:paraId="3E4F99A5">
            <w:pPr>
              <w:widowControl/>
              <w:jc w:val="left"/>
              <w:rPr>
                <w:rFonts w:hint="eastAsia"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合计：</w:t>
            </w:r>
            <w:r>
              <w:rPr>
                <w:rFonts w:hint="eastAsia" w:ascii="仿宋" w:hAnsi="仿宋" w:eastAsia="仿宋" w:cs="仿宋"/>
                <w:b/>
                <w:bCs/>
                <w:color w:val="000000" w:themeColor="text1"/>
                <w:kern w:val="0"/>
                <w:sz w:val="24"/>
                <w:highlight w:val="none"/>
                <w:u w:val="single"/>
                <w:lang w:bidi="ar"/>
                <w14:textFill>
                  <w14:solidFill>
                    <w14:schemeClr w14:val="tx1"/>
                  </w14:solidFill>
                </w14:textFill>
              </w:rPr>
              <w:t xml:space="preserve">        </w:t>
            </w:r>
            <w:r>
              <w:rPr>
                <w:rFonts w:hint="eastAsia" w:ascii="仿宋" w:hAnsi="仿宋" w:eastAsia="仿宋" w:cs="仿宋"/>
                <w:b/>
                <w:bCs/>
                <w:color w:val="000000" w:themeColor="text1"/>
                <w:kern w:val="0"/>
                <w:sz w:val="24"/>
                <w:highlight w:val="none"/>
                <w:lang w:bidi="ar"/>
                <w14:textFill>
                  <w14:solidFill>
                    <w14:schemeClr w14:val="tx1"/>
                  </w14:solidFill>
                </w14:textFill>
              </w:rPr>
              <w:t>元</w:t>
            </w:r>
          </w:p>
          <w:p w14:paraId="52A110E2">
            <w:pPr>
              <w:pStyle w:val="2"/>
              <w:rPr>
                <w:rFonts w:hint="eastAsia" w:eastAsia="仿宋"/>
                <w:lang w:val="en-US" w:eastAsia="zh-CN"/>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大写：</w:t>
            </w:r>
          </w:p>
        </w:tc>
      </w:tr>
    </w:tbl>
    <w:p w14:paraId="0A793516">
      <w:pPr>
        <w:widowControl/>
        <w:jc w:val="left"/>
        <w:rPr>
          <w:rFonts w:ascii="仿宋" w:hAnsi="仿宋" w:eastAsia="仿宋" w:cs="仿宋"/>
          <w:b/>
          <w:bCs/>
          <w:color w:val="000000" w:themeColor="text1"/>
          <w:kern w:val="0"/>
          <w:sz w:val="24"/>
          <w:highlight w:val="none"/>
          <w:lang w:bidi="ar"/>
          <w14:textFill>
            <w14:solidFill>
              <w14:schemeClr w14:val="tx1"/>
            </w14:solidFill>
          </w14:textFill>
        </w:rPr>
      </w:pPr>
    </w:p>
    <w:p w14:paraId="2D6D4EA2">
      <w:pPr>
        <w:widowControl/>
        <w:spacing w:line="360" w:lineRule="auto"/>
        <w:jc w:val="left"/>
        <w:rPr>
          <w:rFonts w:hint="eastAsia"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注：</w:t>
      </w:r>
    </w:p>
    <w:p w14:paraId="595B4416">
      <w:pPr>
        <w:widowControl/>
        <w:spacing w:line="360" w:lineRule="auto"/>
        <w:jc w:val="left"/>
        <w:rPr>
          <w:rFonts w:ascii="仿宋" w:hAnsi="仿宋" w:eastAsia="仿宋" w:cs="仿宋"/>
          <w:b/>
          <w:bCs/>
          <w:color w:val="000000" w:themeColor="text1"/>
          <w:kern w:val="0"/>
          <w:sz w:val="24"/>
          <w:highlight w:val="none"/>
          <w:lang w:bidi="ar"/>
          <w14:textFill>
            <w14:solidFill>
              <w14:schemeClr w14:val="tx1"/>
            </w14:solidFill>
          </w14:textFill>
        </w:rPr>
      </w:pPr>
      <w:r>
        <w:rPr>
          <w:rFonts w:hint="eastAsia" w:ascii="仿宋" w:hAnsi="仿宋" w:eastAsia="仿宋" w:cs="仿宋"/>
          <w:b/>
          <w:bCs/>
          <w:color w:val="000000" w:themeColor="text1"/>
          <w:kern w:val="0"/>
          <w:sz w:val="24"/>
          <w:highlight w:val="none"/>
          <w:lang w:bidi="ar"/>
          <w14:textFill>
            <w14:solidFill>
              <w14:schemeClr w14:val="tx1"/>
            </w14:solidFill>
          </w14:textFill>
        </w:rPr>
        <w:t>1、在保障设备正常运行的基础上，供应商需按照每</w:t>
      </w: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1台（套）</w:t>
      </w:r>
      <w:r>
        <w:rPr>
          <w:rFonts w:hint="eastAsia" w:ascii="仿宋" w:hAnsi="仿宋" w:eastAsia="仿宋" w:cs="仿宋"/>
          <w:b/>
          <w:bCs/>
          <w:color w:val="000000" w:themeColor="text1"/>
          <w:kern w:val="0"/>
          <w:sz w:val="24"/>
          <w:highlight w:val="none"/>
          <w:lang w:bidi="ar"/>
          <w14:textFill>
            <w14:solidFill>
              <w14:schemeClr w14:val="tx1"/>
            </w14:solidFill>
          </w14:textFill>
        </w:rPr>
        <w:t>采购标</w:t>
      </w: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的</w:t>
      </w:r>
      <w:r>
        <w:rPr>
          <w:rFonts w:hint="eastAsia" w:ascii="仿宋" w:hAnsi="仿宋" w:eastAsia="仿宋" w:cs="仿宋"/>
          <w:b/>
          <w:bCs/>
          <w:color w:val="000000" w:themeColor="text1"/>
          <w:kern w:val="0"/>
          <w:sz w:val="24"/>
          <w:highlight w:val="none"/>
          <w:lang w:bidi="ar"/>
          <w14:textFill>
            <w14:solidFill>
              <w14:schemeClr w14:val="tx1"/>
            </w14:solidFill>
          </w14:textFill>
        </w:rPr>
        <w:t>一年</w:t>
      </w: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5000人次的标准计算年度合计金额</w:t>
      </w:r>
      <w:r>
        <w:rPr>
          <w:rFonts w:hint="eastAsia" w:ascii="仿宋" w:hAnsi="仿宋" w:eastAsia="仿宋" w:cs="仿宋"/>
          <w:b/>
          <w:bCs/>
          <w:color w:val="000000" w:themeColor="text1"/>
          <w:kern w:val="0"/>
          <w:sz w:val="24"/>
          <w:highlight w:val="none"/>
          <w:lang w:bidi="ar"/>
          <w14:textFill>
            <w14:solidFill>
              <w14:schemeClr w14:val="tx1"/>
            </w14:solidFill>
          </w14:textFill>
        </w:rPr>
        <w:t>，提供设备所涉及的所有</w:t>
      </w: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设备维修</w:t>
      </w:r>
      <w:r>
        <w:rPr>
          <w:rFonts w:hint="eastAsia" w:ascii="仿宋" w:hAnsi="仿宋" w:eastAsia="仿宋" w:cs="仿宋"/>
          <w:b/>
          <w:bCs/>
          <w:color w:val="000000" w:themeColor="text1"/>
          <w:kern w:val="0"/>
          <w:sz w:val="24"/>
          <w:highlight w:val="none"/>
          <w:lang w:bidi="ar"/>
          <w14:textFill>
            <w14:solidFill>
              <w14:schemeClr w14:val="tx1"/>
            </w14:solidFill>
          </w14:textFill>
        </w:rPr>
        <w:t>易耗品及零配件的清单及</w:t>
      </w: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报价</w:t>
      </w:r>
      <w:r>
        <w:rPr>
          <w:rFonts w:hint="eastAsia" w:ascii="仿宋" w:hAnsi="仿宋" w:eastAsia="仿宋" w:cs="仿宋"/>
          <w:b/>
          <w:bCs/>
          <w:color w:val="000000" w:themeColor="text1"/>
          <w:kern w:val="0"/>
          <w:sz w:val="24"/>
          <w:highlight w:val="none"/>
          <w:lang w:bidi="ar"/>
          <w14:textFill>
            <w14:solidFill>
              <w14:schemeClr w14:val="tx1"/>
            </w14:solidFill>
          </w14:textFill>
        </w:rPr>
        <w:t>，</w:t>
      </w: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如设备使用期间产生的设备维修易耗品及零配件超出投标人所报数量，</w:t>
      </w:r>
      <w:r>
        <w:rPr>
          <w:rFonts w:hint="eastAsia" w:ascii="仿宋" w:hAnsi="仿宋" w:eastAsia="仿宋" w:cs="仿宋"/>
          <w:b/>
          <w:bCs/>
          <w:color w:val="000000" w:themeColor="text1"/>
          <w:kern w:val="0"/>
          <w:sz w:val="24"/>
          <w:highlight w:val="none"/>
          <w:lang w:bidi="ar"/>
          <w14:textFill>
            <w14:solidFill>
              <w14:schemeClr w14:val="tx1"/>
            </w14:solidFill>
          </w14:textFill>
        </w:rPr>
        <w:t>超出</w:t>
      </w: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部分</w:t>
      </w:r>
      <w:r>
        <w:rPr>
          <w:rFonts w:hint="eastAsia" w:ascii="仿宋" w:hAnsi="仿宋" w:eastAsia="仿宋" w:cs="仿宋"/>
          <w:b/>
          <w:bCs/>
          <w:color w:val="000000" w:themeColor="text1"/>
          <w:kern w:val="0"/>
          <w:sz w:val="24"/>
          <w:highlight w:val="none"/>
          <w:lang w:bidi="ar"/>
          <w14:textFill>
            <w14:solidFill>
              <w14:schemeClr w14:val="tx1"/>
            </w14:solidFill>
          </w14:textFill>
        </w:rPr>
        <w:t>由</w:t>
      </w: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投标人</w:t>
      </w:r>
      <w:r>
        <w:rPr>
          <w:rFonts w:hint="eastAsia" w:ascii="仿宋" w:hAnsi="仿宋" w:eastAsia="仿宋" w:cs="仿宋"/>
          <w:b/>
          <w:bCs/>
          <w:color w:val="000000" w:themeColor="text1"/>
          <w:kern w:val="0"/>
          <w:sz w:val="24"/>
          <w:highlight w:val="none"/>
          <w:lang w:bidi="ar"/>
          <w14:textFill>
            <w14:solidFill>
              <w14:schemeClr w14:val="tx1"/>
            </w14:solidFill>
          </w14:textFill>
        </w:rPr>
        <w:t>自行承担。</w:t>
      </w:r>
    </w:p>
    <w:p w14:paraId="2EC27AA0">
      <w:pPr>
        <w:widowControl/>
        <w:spacing w:line="360" w:lineRule="auto"/>
        <w:jc w:val="left"/>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2、若投标人未提供消耗品及零配件清单，或清单中存在未列明价格、标注价格为0元的情况，均视为相关物料及服务费用已全部纳入投标总价。中标后采购人在标的使用过程中所涉及的一切易耗品更换、零配件维护及其他可能产生的费用，均包含在本项目总报价范围内，中标人不得以任何理由另行收取费用。</w:t>
      </w:r>
    </w:p>
    <w:p w14:paraId="20EB39EE">
      <w:pPr>
        <w:widowControl/>
        <w:spacing w:line="360" w:lineRule="auto"/>
        <w:jc w:val="left"/>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3.本项目标的投标报价应包含保修期内收费易耗品更换、零配件维护及其他可能产生的所有费用；保修期结束后，中标人应继续提供易耗品及零配件参照本次《</w:t>
      </w:r>
      <w:r>
        <w:rPr>
          <w:rFonts w:hint="eastAsia" w:ascii="仿宋" w:hAnsi="仿宋" w:eastAsia="仿宋" w:cs="仿宋"/>
          <w:b/>
          <w:bCs/>
          <w:color w:val="000000" w:themeColor="text1"/>
          <w:kern w:val="0"/>
          <w:sz w:val="24"/>
          <w:szCs w:val="24"/>
          <w:highlight w:val="none"/>
          <w:lang w:bidi="ar"/>
          <w14:textFill>
            <w14:solidFill>
              <w14:schemeClr w14:val="tx1"/>
            </w14:solidFill>
          </w14:textFill>
        </w:rPr>
        <w:t>保修期后的易耗品及零配件</w:t>
      </w:r>
      <w:r>
        <w:rPr>
          <w:rFonts w:hint="eastAsia" w:ascii="仿宋" w:hAnsi="仿宋" w:eastAsia="仿宋" w:cs="仿宋"/>
          <w:b/>
          <w:bCs/>
          <w:color w:val="000000" w:themeColor="text1"/>
          <w:kern w:val="0"/>
          <w:sz w:val="24"/>
          <w:szCs w:val="24"/>
          <w:highlight w:val="none"/>
          <w:lang w:val="en-US" w:eastAsia="zh-CN" w:bidi="ar"/>
          <w14:textFill>
            <w14:solidFill>
              <w14:schemeClr w14:val="tx1"/>
            </w14:solidFill>
          </w14:textFill>
        </w:rPr>
        <w:t>报价清单》执行，原则上不高于本次报价</w:t>
      </w: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，直至采购人不再使用相应标的。</w:t>
      </w:r>
      <w:bookmarkStart w:id="0" w:name="_GoBack"/>
      <w:bookmarkEnd w:id="0"/>
    </w:p>
    <w:p w14:paraId="3187CA6D">
      <w:pPr>
        <w:pStyle w:val="2"/>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4.投标人可根据实际情况增减本表格的行数。</w:t>
      </w:r>
    </w:p>
    <w:p w14:paraId="629CC118">
      <w:pP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p>
    <w:p w14:paraId="6A6E0555">
      <w:pPr>
        <w:pStyle w:val="2"/>
        <w:rPr>
          <w:rFonts w:hint="eastAsia"/>
          <w:lang w:val="en-US" w:eastAsia="zh-CN"/>
        </w:rPr>
      </w:pPr>
    </w:p>
    <w:p w14:paraId="7803747F">
      <w:pP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bidi="ar"/>
          <w14:textFill>
            <w14:solidFill>
              <w14:schemeClr w14:val="tx1"/>
            </w14:solidFill>
          </w14:textFill>
        </w:rPr>
        <w:t>投标人名称：XXXX（加盖电子签章）</w:t>
      </w:r>
    </w:p>
    <w:p w14:paraId="0A62DC95">
      <w:pPr>
        <w:pStyle w:val="2"/>
      </w:pPr>
      <w:r>
        <w:rPr>
          <w:rFonts w:hint="eastAsia" w:ascii="仿宋" w:hAnsi="仿宋" w:eastAsia="仿宋" w:cs="仿宋"/>
          <w:b/>
          <w:bCs/>
          <w:color w:val="000000" w:themeColor="text1"/>
          <w:kern w:val="0"/>
          <w:sz w:val="24"/>
          <w:szCs w:val="24"/>
          <w:highlight w:val="none"/>
          <w:lang w:val="en-US" w:eastAsia="zh-CN" w:bidi="ar"/>
          <w14:textFill>
            <w14:solidFill>
              <w14:schemeClr w14:val="tx1"/>
            </w14:solidFill>
          </w14:textFill>
        </w:rPr>
        <w:t>开标日期：202X年X月X日</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3CFF5">
    <w:pPr>
      <w:pStyle w:val="5"/>
      <w:framePr w:wrap="around" w:vAnchor="text" w:hAnchor="margin" w:xAlign="center" w:y="1"/>
      <w:jc w:val="center"/>
      <w:rPr>
        <w:rStyle w:val="8"/>
      </w:rPr>
    </w:pPr>
    <w:r>
      <w:fldChar w:fldCharType="begin"/>
    </w:r>
    <w:r>
      <w:rPr>
        <w:rStyle w:val="8"/>
      </w:rPr>
      <w:instrText xml:space="preserve">PAGE  </w:instrText>
    </w:r>
    <w:r>
      <w:fldChar w:fldCharType="separate"/>
    </w:r>
    <w:r>
      <w:rPr>
        <w:rStyle w:val="8"/>
      </w:rPr>
      <w:t>71</w:t>
    </w:r>
    <w:r>
      <w:fldChar w:fldCharType="end"/>
    </w:r>
  </w:p>
  <w:p w14:paraId="7F3A809E">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376C73"/>
    <w:rsid w:val="03376C73"/>
    <w:rsid w:val="05D44C82"/>
    <w:rsid w:val="06157643"/>
    <w:rsid w:val="069D073D"/>
    <w:rsid w:val="07274F55"/>
    <w:rsid w:val="07876A30"/>
    <w:rsid w:val="07BC2556"/>
    <w:rsid w:val="07E05C8E"/>
    <w:rsid w:val="082B15C2"/>
    <w:rsid w:val="0E601C2A"/>
    <w:rsid w:val="15563C3E"/>
    <w:rsid w:val="254228CB"/>
    <w:rsid w:val="25683E1F"/>
    <w:rsid w:val="2A2D53A4"/>
    <w:rsid w:val="37822755"/>
    <w:rsid w:val="3A350C2F"/>
    <w:rsid w:val="3F0142EA"/>
    <w:rsid w:val="41A651E1"/>
    <w:rsid w:val="4C55425E"/>
    <w:rsid w:val="54231CF4"/>
    <w:rsid w:val="567C6706"/>
    <w:rsid w:val="56E076CF"/>
    <w:rsid w:val="5BF923B3"/>
    <w:rsid w:val="5E0B7CEF"/>
    <w:rsid w:val="6D0742AF"/>
    <w:rsid w:val="7A74131E"/>
    <w:rsid w:val="7C666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napToGrid w:val="0"/>
      <w:spacing w:line="440" w:lineRule="exact"/>
    </w:pPr>
    <w:rPr>
      <w:rFonts w:ascii="Times New Roman" w:eastAsia="Times New Roman"/>
      <w:sz w:val="20"/>
    </w:rPr>
  </w:style>
  <w:style w:type="paragraph" w:styleId="3">
    <w:name w:val="annotation text"/>
    <w:basedOn w:val="1"/>
    <w:semiHidden/>
    <w:unhideWhenUsed/>
    <w:qFormat/>
    <w:uiPriority w:val="99"/>
    <w:pPr>
      <w:jc w:val="left"/>
    </w:pPr>
  </w:style>
  <w:style w:type="paragraph" w:styleId="4">
    <w:name w:val="Body Text Indent 2"/>
    <w:basedOn w:val="1"/>
    <w:qFormat/>
    <w:uiPriority w:val="0"/>
    <w:pPr>
      <w:spacing w:after="120" w:line="480" w:lineRule="auto"/>
      <w:ind w:left="420" w:leftChars="200"/>
    </w:pPr>
  </w:style>
  <w:style w:type="paragraph" w:styleId="5">
    <w:name w:val="footer"/>
    <w:basedOn w:val="1"/>
    <w:qFormat/>
    <w:uiPriority w:val="99"/>
    <w:pPr>
      <w:tabs>
        <w:tab w:val="center" w:pos="4153"/>
        <w:tab w:val="right" w:pos="8306"/>
      </w:tabs>
      <w:snapToGrid w:val="0"/>
      <w:jc w:val="left"/>
    </w:pPr>
    <w:rPr>
      <w:sz w:val="18"/>
      <w:szCs w:val="20"/>
    </w:rPr>
  </w:style>
  <w:style w:type="character" w:styleId="8">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537</Words>
  <Characters>552</Characters>
  <Lines>0</Lines>
  <Paragraphs>0</Paragraphs>
  <TotalTime>0</TotalTime>
  <ScaleCrop>false</ScaleCrop>
  <LinksUpToDate>false</LinksUpToDate>
  <CharactersWithSpaces>560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2025-04-15T08:27:00Z</dcterms:created>
  <dc:creator>中航技-何跃</dc:creator>
  <cp:lastModifiedBy>111</cp:lastModifiedBy>
  <dcterms:modified xsi:type="dcterms:W3CDTF">2026-07-07T05:19:41Z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63A200B6C647461C9A55BDA1FAFC1209_13</vt:lpwstr>
  </property>
  <property fmtid="{D5CDD505-2E9C-101B-9397-08002B2CF9AE}" pid="4" name="KSOTemplateDocerSaveRecord">
    <vt:lpwstr>eyJoZGlkIjoiM2E5Y2MyMTUwMTc2ODIzNzYwNjI4OTRmZjU3Y2Y5YzYiLCJ1c2VySWQiOiI1MjY0NTczOTYifQ==</vt:lpwstr>
  </property>
</Properties>
</file>