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05F4B">
      <w:pPr>
        <w:widowControl/>
        <w:kinsoku w:val="0"/>
        <w:autoSpaceDE w:val="0"/>
        <w:autoSpaceDN w:val="0"/>
        <w:adjustRightInd w:val="0"/>
        <w:snapToGrid w:val="0"/>
        <w:spacing w:before="83" w:line="360" w:lineRule="auto"/>
        <w:jc w:val="center"/>
        <w:textAlignment w:val="baseline"/>
        <w:rPr>
          <w:rFonts w:hint="eastAsia" w:ascii="仿宋" w:hAnsi="仿宋" w:eastAsia="仿宋" w:cs="仿宋"/>
          <w:b/>
          <w:bCs/>
          <w:snapToGrid w:val="0"/>
          <w:color w:val="000000"/>
          <w:spacing w:val="-26"/>
          <w:kern w:val="0"/>
          <w:szCs w:val="21"/>
          <w:lang w:eastAsia="zh-CN"/>
        </w:rPr>
      </w:pPr>
      <w:bookmarkStart w:id="1" w:name="_GoBack"/>
      <w:bookmarkEnd w:id="1"/>
      <w:r>
        <w:rPr>
          <w:rFonts w:hint="eastAsia" w:ascii="仿宋" w:hAnsi="仿宋" w:eastAsia="仿宋" w:cs="仿宋"/>
          <w:b/>
          <w:bCs/>
          <w:snapToGrid w:val="0"/>
          <w:color w:val="000000"/>
          <w:spacing w:val="-26"/>
          <w:kern w:val="0"/>
          <w:szCs w:val="21"/>
          <w:lang w:eastAsia="zh-CN"/>
        </w:rPr>
        <w:t>｛采购项目名称｝-｛采购包名称｝（第{X}包）</w:t>
      </w:r>
    </w:p>
    <w:p w14:paraId="20E49B49">
      <w:pPr>
        <w:widowControl/>
        <w:kinsoku w:val="0"/>
        <w:autoSpaceDE w:val="0"/>
        <w:autoSpaceDN w:val="0"/>
        <w:adjustRightInd w:val="0"/>
        <w:snapToGrid w:val="0"/>
        <w:spacing w:before="83" w:line="360" w:lineRule="auto"/>
        <w:ind w:left="2858" w:firstLine="318" w:firstLineChars="200"/>
        <w:jc w:val="both"/>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b/>
          <w:bCs/>
          <w:snapToGrid w:val="0"/>
          <w:color w:val="000000"/>
          <w:spacing w:val="-26"/>
          <w:kern w:val="0"/>
          <w:szCs w:val="21"/>
          <w:lang w:eastAsia="zh-CN"/>
        </w:rPr>
        <w:t>政府采购合同</w:t>
      </w:r>
    </w:p>
    <w:p w14:paraId="7D260D9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37E4646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4FEC715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3CC54A6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77C55BC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permStart w:id="0" w:edGrp="everyone"/>
      <w:permEnd w:id="0"/>
    </w:p>
    <w:p w14:paraId="695E47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60D9417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09B29BA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240AFCF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p>
    <w:p w14:paraId="54973D4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49170424">
      <w:pPr>
        <w:widowControl/>
        <w:kinsoku w:val="0"/>
        <w:autoSpaceDE w:val="0"/>
        <w:autoSpaceDN w:val="0"/>
        <w:adjustRightInd w:val="0"/>
        <w:snapToGrid w:val="0"/>
        <w:spacing w:before="91" w:line="360" w:lineRule="auto"/>
        <w:ind w:left="585" w:firstLine="424" w:firstLineChars="200"/>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合同编号</w:t>
      </w:r>
      <w:r>
        <w:rPr>
          <w:rFonts w:hint="eastAsia" w:ascii="仿宋" w:hAnsi="仿宋" w:eastAsia="仿宋" w:cs="仿宋"/>
          <w:snapToGrid w:val="0"/>
          <w:color w:val="000000"/>
          <w:spacing w:val="-9"/>
          <w:kern w:val="0"/>
          <w:szCs w:val="21"/>
          <w:lang w:eastAsia="zh-CN"/>
        </w:rPr>
        <w:t>：</w:t>
      </w:r>
      <w:r>
        <w:rPr>
          <w:rFonts w:hint="eastAsia" w:ascii="仿宋" w:hAnsi="仿宋" w:eastAsia="仿宋" w:cs="仿宋"/>
          <w:snapToGrid w:val="0"/>
          <w:color w:val="000000"/>
          <w:spacing w:val="1"/>
          <w:kern w:val="0"/>
          <w:szCs w:val="21"/>
          <w:lang w:eastAsia="zh-CN"/>
        </w:rPr>
        <w:t>｛（系统生成，不可编辑）XX｝</w:t>
      </w:r>
    </w:p>
    <w:p w14:paraId="1306C521">
      <w:pPr>
        <w:widowControl/>
        <w:kinsoku w:val="0"/>
        <w:autoSpaceDE w:val="0"/>
        <w:autoSpaceDN w:val="0"/>
        <w:adjustRightInd w:val="0"/>
        <w:snapToGrid w:val="0"/>
        <w:spacing w:before="91" w:line="360" w:lineRule="auto"/>
        <w:ind w:left="585" w:firstLine="424" w:firstLineChars="200"/>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采购人（甲方）：｛（继承信息，不可编辑）采购单位名称｝</w:t>
      </w:r>
    </w:p>
    <w:p w14:paraId="05C5339F">
      <w:pPr>
        <w:widowControl/>
        <w:kinsoku w:val="0"/>
        <w:autoSpaceDE w:val="0"/>
        <w:autoSpaceDN w:val="0"/>
        <w:adjustRightInd w:val="0"/>
        <w:snapToGrid w:val="0"/>
        <w:spacing w:before="91" w:line="360" w:lineRule="auto"/>
        <w:ind w:left="585" w:firstLine="424" w:firstLineChars="200"/>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供应商（乙方）：｛（继承信息，不可编辑）供应商名称｝</w:t>
      </w:r>
    </w:p>
    <w:p w14:paraId="795A09D0">
      <w:pPr>
        <w:widowControl/>
        <w:kinsoku w:val="0"/>
        <w:autoSpaceDE w:val="0"/>
        <w:autoSpaceDN w:val="0"/>
        <w:adjustRightInd w:val="0"/>
        <w:snapToGrid w:val="0"/>
        <w:spacing w:before="91" w:line="360" w:lineRule="auto"/>
        <w:ind w:left="585" w:firstLine="424" w:firstLineChars="200"/>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 xml:space="preserve">签订地点：     {（自行编辑）XX}                </w:t>
      </w:r>
    </w:p>
    <w:p w14:paraId="0E377377">
      <w:pPr>
        <w:widowControl/>
        <w:kinsoku w:val="0"/>
        <w:autoSpaceDE w:val="0"/>
        <w:autoSpaceDN w:val="0"/>
        <w:adjustRightInd w:val="0"/>
        <w:snapToGrid w:val="0"/>
        <w:spacing w:before="91" w:line="360" w:lineRule="auto"/>
        <w:ind w:left="585" w:firstLine="424" w:firstLineChars="200"/>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签订时间： {取值供应商签章时间，不可编辑}</w:t>
      </w:r>
    </w:p>
    <w:p w14:paraId="00555C4C">
      <w:pPr>
        <w:widowControl/>
        <w:kinsoku w:val="0"/>
        <w:autoSpaceDE w:val="0"/>
        <w:autoSpaceDN w:val="0"/>
        <w:adjustRightInd w:val="0"/>
        <w:snapToGrid w:val="0"/>
        <w:spacing w:before="91" w:line="360" w:lineRule="auto"/>
        <w:ind w:left="585" w:firstLine="424" w:firstLineChars="200"/>
        <w:jc w:val="left"/>
        <w:textAlignment w:val="baseline"/>
        <w:rPr>
          <w:rFonts w:hint="eastAsia" w:ascii="仿宋" w:hAnsi="仿宋" w:eastAsia="仿宋" w:cs="仿宋"/>
          <w:snapToGrid w:val="0"/>
          <w:color w:val="000000"/>
          <w:spacing w:val="1"/>
          <w:kern w:val="0"/>
          <w:szCs w:val="21"/>
          <w:lang w:eastAsia="zh-CN"/>
        </w:rPr>
      </w:pPr>
    </w:p>
    <w:p w14:paraId="65C28EB2">
      <w:pPr>
        <w:spacing w:before="91" w:line="360" w:lineRule="auto"/>
        <w:ind w:left="585" w:firstLine="424" w:firstLineChars="200"/>
        <w:rPr>
          <w:rFonts w:hint="eastAsia" w:ascii="仿宋" w:hAnsi="仿宋" w:eastAsia="仿宋" w:cs="仿宋"/>
          <w:spacing w:val="1"/>
          <w:lang w:eastAsia="zh-CN"/>
        </w:rPr>
        <w:sectPr>
          <w:headerReference r:id="rId3" w:type="default"/>
          <w:footerReference r:id="rId4" w:type="default"/>
          <w:pgSz w:w="11906" w:h="16839"/>
          <w:pgMar w:top="400" w:right="1081" w:bottom="1610" w:left="1365" w:header="0" w:footer="1246" w:gutter="0"/>
          <w:cols w:space="720" w:num="1"/>
        </w:sectPr>
      </w:pPr>
    </w:p>
    <w:p w14:paraId="73E9409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中华人民共和国民法典》《中华人民共和国政府采购法》等法律法规，以及本采购项目的采购文件、乙方的《投标（响应）文件》及《中标（成交）通知书》，甲乙双方同意签订本合同，共同遵守如下条款：</w:t>
      </w:r>
    </w:p>
    <w:p w14:paraId="5660E296">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b/>
          <w:bCs/>
          <w:snapToGrid w:val="0"/>
          <w:color w:val="000000"/>
          <w:kern w:val="0"/>
          <w:szCs w:val="21"/>
          <w:lang w:eastAsia="zh-CN"/>
        </w:rPr>
        <w:t>一、项目信息</w:t>
      </w:r>
    </w:p>
    <w:p w14:paraId="5DE171A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1.1.采购项目名称：｛（继承信息，不可编辑）XX｝</w:t>
      </w:r>
    </w:p>
    <w:p w14:paraId="2CD0FED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1.2.采购项目编号：｛（继承信息，不可编辑）XX｝</w:t>
      </w:r>
    </w:p>
    <w:p w14:paraId="68CE21C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1.3.采购计划编号：｛（继承信息，不可编辑）XX｝</w:t>
      </w:r>
    </w:p>
    <w:p w14:paraId="46F3942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1.4.政府采购组织形式：｛（继承信息，不可编辑）XX｝</w:t>
      </w:r>
    </w:p>
    <w:p w14:paraId="0988995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1.5.政府采购方式：｛（继承信息，不可编辑）XX｝</w:t>
      </w:r>
    </w:p>
    <w:p w14:paraId="586F059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1.6.落实政府采购政策情况：</w:t>
      </w:r>
    </w:p>
    <w:p w14:paraId="3635E55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1.6.1.中标（成交）采购标的制造商是否为中小企业：｛（预设内容，可选择）是/否｝</w:t>
      </w:r>
    </w:p>
    <w:p w14:paraId="4CAC2DF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1.6.2.本合同是否为专门面向中小企业的采购合同（中小企业预留合同）：｛（继承信息，不可编辑）是/否｝</w:t>
      </w:r>
    </w:p>
    <w:p w14:paraId="046D5EF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1.6.3.若本项目不专门面向中小企业采购，是否给予小微企业评审优惠：｛（继承信息，不可编辑）是/否｝</w:t>
      </w:r>
    </w:p>
    <w:p w14:paraId="72E1D11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1.6.4.中标（成交）采购标的制造商是否为残疾人福利性单位：｛（预设内容，可选择）是/否｝</w:t>
      </w:r>
    </w:p>
    <w:p w14:paraId="5C1F86F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1.6.5.中标（成交）采购标的制造商是否为监狱企业：｛（预设内容，可选择）是/否｝</w:t>
      </w:r>
    </w:p>
    <w:p w14:paraId="4089BEA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1.7.中标（成交）供应商是否为外商投资企业：｛（预设内容，可选择）是/否｝</w:t>
      </w:r>
    </w:p>
    <w:p w14:paraId="7F649982">
      <w:pPr>
        <w:widowControl/>
        <w:kinsoku w:val="0"/>
        <w:autoSpaceDE w:val="0"/>
        <w:autoSpaceDN w:val="0"/>
        <w:adjustRightInd w:val="0"/>
        <w:snapToGrid w:val="0"/>
        <w:spacing w:line="360" w:lineRule="auto"/>
        <w:ind w:firstLine="412"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
          <w:kern w:val="0"/>
          <w:szCs w:val="21"/>
          <w:lang w:eastAsia="zh-CN"/>
        </w:rPr>
        <w:t>（外商投资企业选择【是】才显示并可选择）</w:t>
      </w:r>
    </w:p>
    <w:p w14:paraId="516205F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本项目外商投资企业类型为｛（预设内容，可选择）全部由外国投资者投资/部分由外国投资者投资｝。</w:t>
      </w:r>
    </w:p>
    <w:p w14:paraId="388AAFD0">
      <w:pPr>
        <w:spacing w:line="360" w:lineRule="auto"/>
        <w:ind w:firstLine="420" w:firstLineChars="200"/>
        <w:rPr>
          <w:rFonts w:hint="eastAsia" w:ascii="仿宋" w:hAnsi="仿宋" w:eastAsia="仿宋" w:cs="仿宋"/>
        </w:rPr>
        <w:sectPr>
          <w:footerReference r:id="rId5" w:type="default"/>
          <w:pgSz w:w="11906" w:h="16839"/>
          <w:pgMar w:top="400" w:right="661" w:bottom="1610" w:left="945" w:header="0" w:footer="1246" w:gutter="0"/>
          <w:cols w:space="720" w:num="1"/>
        </w:sectPr>
      </w:pPr>
      <w:r>
        <w:rPr>
          <w:rFonts w:hint="eastAsia" w:ascii="仿宋" w:hAnsi="仿宋" w:eastAsia="仿宋" w:cs="仿宋"/>
          <w:snapToGrid w:val="0"/>
          <w:color w:val="000000"/>
          <w:kern w:val="0"/>
          <w:szCs w:val="21"/>
          <w:lang w:eastAsia="en-US"/>
        </w:rPr>
        <w:t>1.8.项目内容：</w:t>
      </w:r>
    </w:p>
    <w:tbl>
      <w:tblPr>
        <w:tblStyle w:val="4"/>
        <w:tblW w:w="49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6"/>
        <w:gridCol w:w="1275"/>
        <w:gridCol w:w="1477"/>
        <w:gridCol w:w="1202"/>
        <w:gridCol w:w="1289"/>
        <w:gridCol w:w="1187"/>
        <w:gridCol w:w="1510"/>
        <w:gridCol w:w="1522"/>
      </w:tblGrid>
      <w:tr w14:paraId="4DB93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320" w:type="pct"/>
          </w:tcPr>
          <w:p w14:paraId="3B87A06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630" w:type="pct"/>
          </w:tcPr>
          <w:p w14:paraId="5D220B40">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730" w:type="pct"/>
          </w:tcPr>
          <w:p w14:paraId="7E16830B">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单价</w:t>
            </w:r>
          </w:p>
        </w:tc>
        <w:tc>
          <w:tcPr>
            <w:tcW w:w="594" w:type="pct"/>
          </w:tcPr>
          <w:p w14:paraId="40AE334F">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数量</w:t>
            </w:r>
          </w:p>
        </w:tc>
        <w:tc>
          <w:tcPr>
            <w:tcW w:w="637" w:type="pct"/>
          </w:tcPr>
          <w:p w14:paraId="75F33058">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金额</w:t>
            </w:r>
          </w:p>
        </w:tc>
        <w:tc>
          <w:tcPr>
            <w:tcW w:w="586" w:type="pct"/>
          </w:tcPr>
          <w:p w14:paraId="0D928739">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计量单位</w:t>
            </w:r>
          </w:p>
        </w:tc>
        <w:tc>
          <w:tcPr>
            <w:tcW w:w="746" w:type="pct"/>
          </w:tcPr>
          <w:p w14:paraId="495A54DF">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752" w:type="pct"/>
          </w:tcPr>
          <w:p w14:paraId="2976CD93">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规格型号</w:t>
            </w:r>
          </w:p>
        </w:tc>
      </w:tr>
      <w:tr w14:paraId="5C158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320" w:type="pct"/>
          </w:tcPr>
          <w:p w14:paraId="565B412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0"/>
                <w:kern w:val="0"/>
                <w:szCs w:val="21"/>
                <w:lang w:eastAsia="zh-CN"/>
              </w:rPr>
              <w:t>1</w:t>
            </w:r>
          </w:p>
        </w:tc>
        <w:tc>
          <w:tcPr>
            <w:tcW w:w="630" w:type="pct"/>
          </w:tcPr>
          <w:p w14:paraId="05DF34A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0"/>
                <w:kern w:val="0"/>
                <w:szCs w:val="21"/>
                <w:lang w:eastAsia="zh-CN"/>
              </w:rPr>
              <w:t>{（继承信息，不可编辑）XX}</w:t>
            </w:r>
          </w:p>
        </w:tc>
        <w:tc>
          <w:tcPr>
            <w:tcW w:w="730" w:type="pct"/>
          </w:tcPr>
          <w:p w14:paraId="5EF2FEEB">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0"/>
                <w:kern w:val="0"/>
                <w:szCs w:val="21"/>
                <w:lang w:eastAsia="zh-CN"/>
              </w:rPr>
              <w:t>{（继承信</w:t>
            </w:r>
            <w:r>
              <w:rPr>
                <w:rFonts w:hint="eastAsia" w:ascii="仿宋" w:hAnsi="仿宋" w:eastAsia="仿宋" w:cs="仿宋"/>
                <w:snapToGrid w:val="0"/>
                <w:color w:val="000000"/>
                <w:spacing w:val="7"/>
                <w:kern w:val="0"/>
                <w:szCs w:val="21"/>
                <w:lang w:eastAsia="zh-CN"/>
              </w:rPr>
              <w:t>息，可编</w:t>
            </w:r>
            <w:r>
              <w:rPr>
                <w:rFonts w:hint="eastAsia" w:ascii="仿宋" w:hAnsi="仿宋" w:eastAsia="仿宋" w:cs="仿宋"/>
                <w:snapToGrid w:val="0"/>
                <w:color w:val="000000"/>
                <w:spacing w:val="9"/>
                <w:kern w:val="0"/>
                <w:szCs w:val="21"/>
                <w:lang w:eastAsia="zh-CN"/>
              </w:rPr>
              <w:t>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c>
          <w:tcPr>
            <w:tcW w:w="594" w:type="pct"/>
          </w:tcPr>
          <w:p w14:paraId="2B2A75EF">
            <w:pPr>
              <w:widowControl/>
              <w:kinsoku w:val="0"/>
              <w:autoSpaceDE w:val="0"/>
              <w:autoSpaceDN w:val="0"/>
              <w:adjustRightInd w:val="0"/>
              <w:snapToGrid w:val="0"/>
              <w:spacing w:before="149" w:line="228"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19"/>
                <w:kern w:val="0"/>
                <w:szCs w:val="21"/>
                <w:lang w:eastAsia="zh-CN"/>
              </w:rPr>
              <w:t>{（继承信</w:t>
            </w:r>
            <w:r>
              <w:rPr>
                <w:rFonts w:hint="eastAsia" w:ascii="仿宋" w:hAnsi="仿宋" w:eastAsia="仿宋" w:cs="仿宋"/>
                <w:snapToGrid w:val="0"/>
                <w:color w:val="000000"/>
                <w:spacing w:val="7"/>
                <w:kern w:val="0"/>
                <w:szCs w:val="21"/>
                <w:lang w:eastAsia="zh-CN"/>
              </w:rPr>
              <w:t>息，可编</w:t>
            </w:r>
            <w:r>
              <w:rPr>
                <w:rFonts w:hint="eastAsia" w:ascii="仿宋" w:hAnsi="仿宋" w:eastAsia="仿宋" w:cs="仿宋"/>
                <w:snapToGrid w:val="0"/>
                <w:color w:val="000000"/>
                <w:spacing w:val="9"/>
                <w:kern w:val="0"/>
                <w:szCs w:val="21"/>
                <w:lang w:eastAsia="zh-CN"/>
              </w:rPr>
              <w:t>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c>
          <w:tcPr>
            <w:tcW w:w="637" w:type="pct"/>
          </w:tcPr>
          <w:p w14:paraId="16FB0F45">
            <w:pPr>
              <w:widowControl/>
              <w:kinsoku w:val="0"/>
              <w:autoSpaceDE w:val="0"/>
              <w:autoSpaceDN w:val="0"/>
              <w:adjustRightInd w:val="0"/>
              <w:snapToGrid w:val="0"/>
              <w:spacing w:before="149" w:line="228"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0"/>
                <w:kern w:val="0"/>
                <w:szCs w:val="21"/>
                <w:lang w:eastAsia="zh-CN"/>
              </w:rPr>
              <w:t>{（继承信</w:t>
            </w:r>
            <w:r>
              <w:rPr>
                <w:rFonts w:hint="eastAsia" w:ascii="仿宋" w:hAnsi="仿宋" w:eastAsia="仿宋" w:cs="仿宋"/>
                <w:snapToGrid w:val="0"/>
                <w:color w:val="000000"/>
                <w:spacing w:val="7"/>
                <w:kern w:val="0"/>
                <w:szCs w:val="21"/>
                <w:lang w:eastAsia="zh-CN"/>
              </w:rPr>
              <w:t>息，可编</w:t>
            </w:r>
            <w:r>
              <w:rPr>
                <w:rFonts w:hint="eastAsia" w:ascii="仿宋" w:hAnsi="仿宋" w:eastAsia="仿宋" w:cs="仿宋"/>
                <w:snapToGrid w:val="0"/>
                <w:color w:val="000000"/>
                <w:spacing w:val="9"/>
                <w:kern w:val="0"/>
                <w:szCs w:val="21"/>
                <w:lang w:eastAsia="zh-CN"/>
              </w:rPr>
              <w:t>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c>
          <w:tcPr>
            <w:tcW w:w="586" w:type="pct"/>
          </w:tcPr>
          <w:p w14:paraId="38857B72">
            <w:pPr>
              <w:widowControl/>
              <w:kinsoku w:val="0"/>
              <w:autoSpaceDE w:val="0"/>
              <w:autoSpaceDN w:val="0"/>
              <w:adjustRightInd w:val="0"/>
              <w:snapToGrid w:val="0"/>
              <w:spacing w:before="149" w:line="228"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0"/>
                <w:kern w:val="0"/>
                <w:szCs w:val="21"/>
                <w:lang w:eastAsia="zh-CN"/>
              </w:rPr>
              <w:t>{（继承信</w:t>
            </w:r>
            <w:r>
              <w:rPr>
                <w:rFonts w:hint="eastAsia" w:ascii="仿宋" w:hAnsi="仿宋" w:eastAsia="仿宋" w:cs="仿宋"/>
                <w:snapToGrid w:val="0"/>
                <w:color w:val="000000"/>
                <w:spacing w:val="7"/>
                <w:kern w:val="0"/>
                <w:szCs w:val="21"/>
                <w:lang w:eastAsia="zh-CN"/>
              </w:rPr>
              <w:t>息，可编</w:t>
            </w:r>
            <w:r>
              <w:rPr>
                <w:rFonts w:hint="eastAsia" w:ascii="仿宋" w:hAnsi="仿宋" w:eastAsia="仿宋" w:cs="仿宋"/>
                <w:snapToGrid w:val="0"/>
                <w:color w:val="000000"/>
                <w:spacing w:val="9"/>
                <w:kern w:val="0"/>
                <w:szCs w:val="21"/>
                <w:lang w:eastAsia="zh-CN"/>
              </w:rPr>
              <w:t>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c>
          <w:tcPr>
            <w:tcW w:w="746" w:type="pct"/>
          </w:tcPr>
          <w:p w14:paraId="73DD92C9">
            <w:pPr>
              <w:widowControl/>
              <w:kinsoku w:val="0"/>
              <w:autoSpaceDE w:val="0"/>
              <w:autoSpaceDN w:val="0"/>
              <w:adjustRightInd w:val="0"/>
              <w:snapToGrid w:val="0"/>
              <w:spacing w:before="149" w:line="228"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20"/>
                <w:kern w:val="0"/>
                <w:szCs w:val="21"/>
                <w:lang w:eastAsia="zh-CN"/>
              </w:rPr>
              <w:t>{（继承信</w:t>
            </w:r>
            <w:r>
              <w:rPr>
                <w:rFonts w:hint="eastAsia" w:ascii="仿宋" w:hAnsi="仿宋" w:eastAsia="仿宋" w:cs="仿宋"/>
                <w:snapToGrid w:val="0"/>
                <w:color w:val="000000"/>
                <w:spacing w:val="7"/>
                <w:kern w:val="0"/>
                <w:szCs w:val="21"/>
                <w:lang w:eastAsia="zh-CN"/>
              </w:rPr>
              <w:t>息，可编</w:t>
            </w:r>
            <w:r>
              <w:rPr>
                <w:rFonts w:hint="eastAsia" w:ascii="仿宋" w:hAnsi="仿宋" w:eastAsia="仿宋" w:cs="仿宋"/>
                <w:snapToGrid w:val="0"/>
                <w:color w:val="000000"/>
                <w:spacing w:val="9"/>
                <w:kern w:val="0"/>
                <w:szCs w:val="21"/>
                <w:lang w:eastAsia="zh-CN"/>
              </w:rPr>
              <w:t>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c>
          <w:tcPr>
            <w:tcW w:w="752" w:type="pct"/>
          </w:tcPr>
          <w:p w14:paraId="16552913">
            <w:pPr>
              <w:widowControl/>
              <w:kinsoku w:val="0"/>
              <w:autoSpaceDE w:val="0"/>
              <w:autoSpaceDN w:val="0"/>
              <w:adjustRightInd w:val="0"/>
              <w:snapToGrid w:val="0"/>
              <w:spacing w:before="149" w:line="228"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19"/>
                <w:kern w:val="0"/>
                <w:szCs w:val="21"/>
                <w:lang w:eastAsia="zh-CN"/>
              </w:rPr>
              <w:t>{（继承信</w:t>
            </w:r>
            <w:r>
              <w:rPr>
                <w:rFonts w:hint="eastAsia" w:ascii="仿宋" w:hAnsi="仿宋" w:eastAsia="仿宋" w:cs="仿宋"/>
                <w:snapToGrid w:val="0"/>
                <w:color w:val="000000"/>
                <w:spacing w:val="7"/>
                <w:kern w:val="0"/>
                <w:szCs w:val="21"/>
                <w:lang w:eastAsia="zh-CN"/>
              </w:rPr>
              <w:t>息，可编</w:t>
            </w:r>
            <w:r>
              <w:rPr>
                <w:rFonts w:hint="eastAsia" w:ascii="仿宋" w:hAnsi="仿宋" w:eastAsia="仿宋" w:cs="仿宋"/>
                <w:snapToGrid w:val="0"/>
                <w:color w:val="000000"/>
                <w:spacing w:val="9"/>
                <w:kern w:val="0"/>
                <w:szCs w:val="21"/>
                <w:lang w:eastAsia="zh-CN"/>
              </w:rPr>
              <w:t>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r>
    </w:tbl>
    <w:p w14:paraId="401E0BB8">
      <w:pPr>
        <w:spacing w:before="171" w:line="219" w:lineRule="auto"/>
        <w:jc w:val="both"/>
        <w:rPr>
          <w:rFonts w:hint="eastAsia" w:ascii="仿宋" w:hAnsi="仿宋" w:eastAsia="仿宋" w:cs="仿宋"/>
          <w:lang w:eastAsia="zh-CN"/>
        </w:rPr>
        <w:sectPr>
          <w:type w:val="continuous"/>
          <w:pgSz w:w="11906" w:h="16839"/>
          <w:pgMar w:top="400" w:right="661" w:bottom="1610" w:left="945" w:header="0" w:footer="1246" w:gutter="0"/>
          <w:cols w:space="720" w:num="1"/>
        </w:sectPr>
      </w:pPr>
      <w:r>
        <w:rPr>
          <w:rFonts w:hint="eastAsia" w:ascii="仿宋" w:hAnsi="仿宋" w:eastAsia="仿宋" w:cs="仿宋"/>
          <w:snapToGrid w:val="0"/>
          <w:color w:val="000000"/>
          <w:spacing w:val="-4"/>
          <w:kern w:val="0"/>
          <w:szCs w:val="21"/>
          <w:lang w:eastAsia="zh-CN"/>
        </w:rPr>
        <w:t>（涉及信息类产品选择【是】才可编辑并展示，选择【否】整个模块不展示）</w:t>
      </w:r>
    </w:p>
    <w:p w14:paraId="5BB45B3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涉及信息类产品：</w:t>
      </w:r>
    </w:p>
    <w:tbl>
      <w:tblPr>
        <w:tblStyle w:val="4"/>
        <w:tblW w:w="100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2141"/>
        <w:gridCol w:w="2427"/>
        <w:gridCol w:w="2155"/>
        <w:gridCol w:w="2589"/>
      </w:tblGrid>
      <w:tr w14:paraId="58059A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733" w:type="dxa"/>
          </w:tcPr>
          <w:p w14:paraId="311B86B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2141" w:type="dxa"/>
          </w:tcPr>
          <w:p w14:paraId="080B4C56">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2427" w:type="dxa"/>
          </w:tcPr>
          <w:p w14:paraId="347C2169">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关键部件</w:t>
            </w:r>
          </w:p>
        </w:tc>
        <w:tc>
          <w:tcPr>
            <w:tcW w:w="2155" w:type="dxa"/>
          </w:tcPr>
          <w:p w14:paraId="191A8C64">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2589" w:type="dxa"/>
          </w:tcPr>
          <w:p w14:paraId="2A88AA9A">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型号</w:t>
            </w:r>
          </w:p>
        </w:tc>
      </w:tr>
      <w:tr w14:paraId="6172D6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733" w:type="dxa"/>
          </w:tcPr>
          <w:p w14:paraId="69FF68AD">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spacing w:val="-20"/>
                <w:kern w:val="0"/>
                <w:szCs w:val="21"/>
                <w:lang w:eastAsia="zh-CN"/>
              </w:rPr>
              <w:t>1</w:t>
            </w:r>
          </w:p>
        </w:tc>
        <w:tc>
          <w:tcPr>
            <w:tcW w:w="2141" w:type="dxa"/>
          </w:tcPr>
          <w:p w14:paraId="065FA9F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2427" w:type="dxa"/>
          </w:tcPr>
          <w:p w14:paraId="1F08188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2155" w:type="dxa"/>
          </w:tcPr>
          <w:p w14:paraId="14A2154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2589" w:type="dxa"/>
          </w:tcPr>
          <w:p w14:paraId="29168ED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r>
    </w:tbl>
    <w:p w14:paraId="0DA36FE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（注：关键部件是指财政部会同有关部门发布的政府采购需求标准规定的需要通过国家有关部门指定的测评机构开展的安全可靠测评的软硬件，如CPU芯片、操作系统、数据库等。）</w:t>
      </w:r>
    </w:p>
    <w:p w14:paraId="52082FA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（属于新能源汽车选择【是】才可编辑并展示，选择【否】整个模块不展示）</w:t>
      </w:r>
    </w:p>
    <w:p w14:paraId="1F1911D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涉及采购新能源汽车：</w:t>
      </w:r>
    </w:p>
    <w:tbl>
      <w:tblPr>
        <w:tblStyle w:val="4"/>
        <w:tblW w:w="101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3078"/>
        <w:gridCol w:w="3090"/>
        <w:gridCol w:w="3077"/>
      </w:tblGrid>
      <w:tr w14:paraId="086CB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 w:hRule="atLeast"/>
        </w:trPr>
        <w:tc>
          <w:tcPr>
            <w:tcW w:w="856" w:type="dxa"/>
          </w:tcPr>
          <w:p w14:paraId="1FCEBF8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3078" w:type="dxa"/>
          </w:tcPr>
          <w:p w14:paraId="59963DA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采购品目名称</w:t>
            </w:r>
          </w:p>
        </w:tc>
        <w:tc>
          <w:tcPr>
            <w:tcW w:w="3090" w:type="dxa"/>
          </w:tcPr>
          <w:p w14:paraId="73C86F4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数量</w:t>
            </w:r>
          </w:p>
        </w:tc>
        <w:tc>
          <w:tcPr>
            <w:tcW w:w="3077" w:type="dxa"/>
          </w:tcPr>
          <w:p w14:paraId="6B61224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金额</w:t>
            </w:r>
          </w:p>
        </w:tc>
      </w:tr>
      <w:tr w14:paraId="5B131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56" w:type="dxa"/>
          </w:tcPr>
          <w:p w14:paraId="4D7A6E92">
            <w:pPr>
              <w:widowControl/>
              <w:kinsoku w:val="0"/>
              <w:autoSpaceDE w:val="0"/>
              <w:autoSpaceDN w:val="0"/>
              <w:adjustRightInd w:val="0"/>
              <w:snapToGrid w:val="0"/>
              <w:spacing w:line="360" w:lineRule="auto"/>
              <w:ind w:firstLine="34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spacing w:val="-20"/>
                <w:kern w:val="0"/>
                <w:szCs w:val="21"/>
                <w:lang w:eastAsia="zh-CN"/>
              </w:rPr>
              <w:t>1</w:t>
            </w:r>
          </w:p>
        </w:tc>
        <w:tc>
          <w:tcPr>
            <w:tcW w:w="3078" w:type="dxa"/>
          </w:tcPr>
          <w:p w14:paraId="6CF0B6CC">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3090" w:type="dxa"/>
          </w:tcPr>
          <w:p w14:paraId="69A18F31">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3077" w:type="dxa"/>
          </w:tcPr>
          <w:p w14:paraId="75FF37F8">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r>
    </w:tbl>
    <w:p w14:paraId="06881D6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（涉及合同分包选择【是】展示以下内容并可编辑，选择【否】不展示）</w:t>
      </w:r>
    </w:p>
    <w:p w14:paraId="2EDDE71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合同分包：</w:t>
      </w:r>
    </w:p>
    <w:tbl>
      <w:tblPr>
        <w:tblStyle w:val="4"/>
        <w:tblW w:w="101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1636"/>
        <w:gridCol w:w="1773"/>
        <w:gridCol w:w="2563"/>
        <w:gridCol w:w="3491"/>
      </w:tblGrid>
      <w:tr w14:paraId="6D4B1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733" w:type="dxa"/>
            <w:tcBorders>
              <w:bottom w:val="single" w:color="auto" w:sz="4" w:space="0"/>
            </w:tcBorders>
          </w:tcPr>
          <w:p w14:paraId="11F841C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1636" w:type="dxa"/>
            <w:tcBorders>
              <w:bottom w:val="single" w:color="auto" w:sz="4" w:space="0"/>
            </w:tcBorders>
          </w:tcPr>
          <w:p w14:paraId="7C00BEB1">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分包方式</w:t>
            </w:r>
          </w:p>
        </w:tc>
        <w:tc>
          <w:tcPr>
            <w:tcW w:w="1773" w:type="dxa"/>
            <w:tcBorders>
              <w:bottom w:val="single" w:color="auto" w:sz="4" w:space="0"/>
            </w:tcBorders>
          </w:tcPr>
          <w:p w14:paraId="43A0841C">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分包主要内容</w:t>
            </w:r>
          </w:p>
        </w:tc>
        <w:tc>
          <w:tcPr>
            <w:tcW w:w="2563" w:type="dxa"/>
            <w:tcBorders>
              <w:bottom w:val="single" w:color="auto" w:sz="4" w:space="0"/>
            </w:tcBorders>
          </w:tcPr>
          <w:p w14:paraId="7FF9111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分包供应商/制造商名称</w:t>
            </w:r>
          </w:p>
        </w:tc>
        <w:tc>
          <w:tcPr>
            <w:tcW w:w="3491" w:type="dxa"/>
            <w:tcBorders>
              <w:bottom w:val="single" w:color="auto" w:sz="4" w:space="0"/>
            </w:tcBorders>
          </w:tcPr>
          <w:p w14:paraId="1111A74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分包供应商/制造商类型</w:t>
            </w:r>
          </w:p>
        </w:tc>
      </w:tr>
      <w:tr w14:paraId="3B2C9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733" w:type="dxa"/>
            <w:tcBorders>
              <w:top w:val="single" w:color="auto" w:sz="4" w:space="0"/>
              <w:left w:val="single" w:color="auto" w:sz="4" w:space="0"/>
              <w:bottom w:val="single" w:color="auto" w:sz="4" w:space="0"/>
              <w:right w:val="single" w:color="auto" w:sz="4" w:space="0"/>
            </w:tcBorders>
          </w:tcPr>
          <w:p w14:paraId="7482C1A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w:t>
            </w:r>
          </w:p>
        </w:tc>
        <w:tc>
          <w:tcPr>
            <w:tcW w:w="1636" w:type="dxa"/>
            <w:tcBorders>
              <w:top w:val="single" w:color="auto" w:sz="4" w:space="0"/>
              <w:left w:val="single" w:color="auto" w:sz="4" w:space="0"/>
              <w:bottom w:val="single" w:color="auto" w:sz="4" w:space="0"/>
              <w:right w:val="single" w:color="auto" w:sz="4" w:space="0"/>
            </w:tcBorders>
          </w:tcPr>
          <w:p w14:paraId="574B2A3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{（继承信息，不可编辑）XX}</w:t>
            </w:r>
          </w:p>
        </w:tc>
        <w:tc>
          <w:tcPr>
            <w:tcW w:w="1773" w:type="dxa"/>
            <w:tcBorders>
              <w:top w:val="single" w:color="auto" w:sz="4" w:space="0"/>
              <w:left w:val="single" w:color="auto" w:sz="4" w:space="0"/>
              <w:bottom w:val="single" w:color="auto" w:sz="4" w:space="0"/>
              <w:right w:val="single" w:color="auto" w:sz="4" w:space="0"/>
            </w:tcBorders>
          </w:tcPr>
          <w:p w14:paraId="799F22A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{（继承信息，不可编辑）XX}</w:t>
            </w:r>
          </w:p>
        </w:tc>
        <w:tc>
          <w:tcPr>
            <w:tcW w:w="2563" w:type="dxa"/>
            <w:tcBorders>
              <w:top w:val="single" w:color="auto" w:sz="4" w:space="0"/>
              <w:left w:val="single" w:color="auto" w:sz="4" w:space="0"/>
              <w:bottom w:val="single" w:color="auto" w:sz="4" w:space="0"/>
              <w:right w:val="single" w:color="auto" w:sz="4" w:space="0"/>
            </w:tcBorders>
          </w:tcPr>
          <w:p w14:paraId="6901FE2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｛XX｝</w:t>
            </w:r>
          </w:p>
          <w:p w14:paraId="0C7FAD62">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（注：如供应商和制造商不同，请分别填写）</w:t>
            </w:r>
          </w:p>
        </w:tc>
        <w:tc>
          <w:tcPr>
            <w:tcW w:w="3491" w:type="dxa"/>
            <w:tcBorders>
              <w:top w:val="single" w:color="auto" w:sz="4" w:space="0"/>
              <w:left w:val="single" w:color="auto" w:sz="4" w:space="0"/>
              <w:bottom w:val="single" w:color="auto" w:sz="4" w:space="0"/>
              <w:right w:val="single" w:color="auto" w:sz="4" w:space="0"/>
            </w:tcBorders>
          </w:tcPr>
          <w:p w14:paraId="192B373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｛（预设内容，可选择）大型企业/中型企业/小微型企业/残疾人福利性单位/监狱企业/其他｝</w:t>
            </w:r>
          </w:p>
          <w:p w14:paraId="29F1C558">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（注：如果供应商和制造商不同，只填写制造商类型）</w:t>
            </w:r>
          </w:p>
        </w:tc>
      </w:tr>
      <w:tr w14:paraId="5C4A1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733" w:type="dxa"/>
            <w:tcBorders>
              <w:top w:val="single" w:color="auto" w:sz="4" w:space="0"/>
              <w:left w:val="single" w:color="auto" w:sz="4" w:space="0"/>
              <w:bottom w:val="single" w:color="auto" w:sz="4" w:space="0"/>
              <w:right w:val="single" w:color="auto" w:sz="4" w:space="0"/>
            </w:tcBorders>
          </w:tcPr>
          <w:p w14:paraId="3910AAD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zh-CN"/>
              </w:rPr>
              <w:t>2</w:t>
            </w:r>
          </w:p>
        </w:tc>
        <w:tc>
          <w:tcPr>
            <w:tcW w:w="1636" w:type="dxa"/>
            <w:tcBorders>
              <w:top w:val="single" w:color="auto" w:sz="4" w:space="0"/>
              <w:left w:val="single" w:color="auto" w:sz="4" w:space="0"/>
              <w:bottom w:val="single" w:color="auto" w:sz="4" w:space="0"/>
              <w:right w:val="single" w:color="auto" w:sz="4" w:space="0"/>
            </w:tcBorders>
          </w:tcPr>
          <w:p w14:paraId="4F75B80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zh-CN"/>
              </w:rPr>
              <w:t>...</w:t>
            </w:r>
          </w:p>
        </w:tc>
        <w:tc>
          <w:tcPr>
            <w:tcW w:w="1773" w:type="dxa"/>
            <w:tcBorders>
              <w:top w:val="single" w:color="auto" w:sz="4" w:space="0"/>
              <w:left w:val="single" w:color="auto" w:sz="4" w:space="0"/>
              <w:bottom w:val="single" w:color="auto" w:sz="4" w:space="0"/>
              <w:right w:val="single" w:color="auto" w:sz="4" w:space="0"/>
            </w:tcBorders>
          </w:tcPr>
          <w:p w14:paraId="7222469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c>
          <w:tcPr>
            <w:tcW w:w="2563" w:type="dxa"/>
            <w:tcBorders>
              <w:top w:val="single" w:color="auto" w:sz="4" w:space="0"/>
              <w:left w:val="single" w:color="auto" w:sz="4" w:space="0"/>
              <w:bottom w:val="single" w:color="auto" w:sz="4" w:space="0"/>
              <w:right w:val="single" w:color="auto" w:sz="4" w:space="0"/>
            </w:tcBorders>
          </w:tcPr>
          <w:p w14:paraId="27FB5C2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zh-CN"/>
              </w:rPr>
              <w:t>...</w:t>
            </w:r>
          </w:p>
        </w:tc>
        <w:tc>
          <w:tcPr>
            <w:tcW w:w="3491" w:type="dxa"/>
            <w:tcBorders>
              <w:top w:val="single" w:color="auto" w:sz="4" w:space="0"/>
              <w:left w:val="single" w:color="auto" w:sz="4" w:space="0"/>
              <w:bottom w:val="single" w:color="auto" w:sz="4" w:space="0"/>
              <w:right w:val="single" w:color="auto" w:sz="4" w:space="0"/>
            </w:tcBorders>
          </w:tcPr>
          <w:p w14:paraId="710B5F0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zh-CN"/>
              </w:rPr>
              <w:t>...</w:t>
            </w:r>
          </w:p>
        </w:tc>
      </w:tr>
    </w:tbl>
    <w:p w14:paraId="20F39FB1">
      <w:pPr>
        <w:widowControl/>
        <w:kinsoku w:val="0"/>
        <w:autoSpaceDE w:val="0"/>
        <w:autoSpaceDN w:val="0"/>
        <w:adjustRightInd w:val="0"/>
        <w:snapToGrid w:val="0"/>
        <w:spacing w:before="172" w:line="221" w:lineRule="auto"/>
        <w:jc w:val="both"/>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（涉及采购进口产品选择【是】展示以下内容并可编辑，选择【否】</w:t>
      </w:r>
      <w:r>
        <w:rPr>
          <w:rFonts w:hint="eastAsia" w:ascii="仿宋" w:hAnsi="仿宋" w:eastAsia="仿宋" w:cs="仿宋"/>
          <w:snapToGrid w:val="0"/>
          <w:color w:val="000000"/>
          <w:spacing w:val="-9"/>
          <w:kern w:val="0"/>
          <w:szCs w:val="21"/>
          <w:lang w:eastAsia="zh-CN"/>
        </w:rPr>
        <w:t>不展示）</w:t>
      </w:r>
    </w:p>
    <w:p w14:paraId="3D42116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涉及采购进口产品：</w:t>
      </w:r>
    </w:p>
    <w:tbl>
      <w:tblPr>
        <w:tblStyle w:val="4"/>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0"/>
        <w:gridCol w:w="1495"/>
        <w:gridCol w:w="1246"/>
        <w:gridCol w:w="1234"/>
        <w:gridCol w:w="1316"/>
        <w:gridCol w:w="1316"/>
        <w:gridCol w:w="1317"/>
        <w:gridCol w:w="1458"/>
      </w:tblGrid>
      <w:tr w14:paraId="0EA2E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610" w:type="dxa"/>
            <w:tcBorders>
              <w:bottom w:val="nil"/>
            </w:tcBorders>
          </w:tcPr>
          <w:p w14:paraId="2AA1AC6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1495" w:type="dxa"/>
            <w:tcBorders>
              <w:bottom w:val="nil"/>
            </w:tcBorders>
          </w:tcPr>
          <w:p w14:paraId="175FB00E">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采购品目名称</w:t>
            </w:r>
          </w:p>
        </w:tc>
        <w:tc>
          <w:tcPr>
            <w:tcW w:w="1246" w:type="dxa"/>
            <w:tcBorders>
              <w:bottom w:val="nil"/>
            </w:tcBorders>
          </w:tcPr>
          <w:p w14:paraId="4CF1CB3F">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1234" w:type="dxa"/>
            <w:tcBorders>
              <w:bottom w:val="nil"/>
            </w:tcBorders>
          </w:tcPr>
          <w:p w14:paraId="730F18A2">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产品名称</w:t>
            </w:r>
          </w:p>
        </w:tc>
        <w:tc>
          <w:tcPr>
            <w:tcW w:w="1316" w:type="dxa"/>
            <w:tcBorders>
              <w:bottom w:val="nil"/>
            </w:tcBorders>
          </w:tcPr>
          <w:p w14:paraId="2530FC82">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1316" w:type="dxa"/>
            <w:tcBorders>
              <w:bottom w:val="nil"/>
            </w:tcBorders>
          </w:tcPr>
          <w:p w14:paraId="6353D23A">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规格型号</w:t>
            </w:r>
          </w:p>
        </w:tc>
        <w:tc>
          <w:tcPr>
            <w:tcW w:w="1317" w:type="dxa"/>
            <w:tcBorders>
              <w:bottom w:val="nil"/>
            </w:tcBorders>
          </w:tcPr>
          <w:p w14:paraId="21B4F475">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金额</w:t>
            </w:r>
          </w:p>
        </w:tc>
        <w:tc>
          <w:tcPr>
            <w:tcW w:w="1458" w:type="dxa"/>
            <w:tcBorders>
              <w:bottom w:val="nil"/>
            </w:tcBorders>
          </w:tcPr>
          <w:p w14:paraId="3612E9DF">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国别</w:t>
            </w:r>
          </w:p>
        </w:tc>
      </w:tr>
      <w:tr w14:paraId="157E5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0" w:type="dxa"/>
          </w:tcPr>
          <w:p w14:paraId="19965185">
            <w:pPr>
              <w:widowControl/>
              <w:kinsoku w:val="0"/>
              <w:autoSpaceDE w:val="0"/>
              <w:autoSpaceDN w:val="0"/>
              <w:adjustRightInd w:val="0"/>
              <w:snapToGrid w:val="0"/>
              <w:spacing w:line="360" w:lineRule="auto"/>
              <w:ind w:firstLine="210" w:firstLineChars="100"/>
              <w:jc w:val="both"/>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w:t>
            </w:r>
          </w:p>
        </w:tc>
        <w:tc>
          <w:tcPr>
            <w:tcW w:w="1495" w:type="dxa"/>
          </w:tcPr>
          <w:p w14:paraId="36C20E4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{（继承信息，不可编辑）XX}</w:t>
            </w:r>
          </w:p>
        </w:tc>
        <w:tc>
          <w:tcPr>
            <w:tcW w:w="1246" w:type="dxa"/>
          </w:tcPr>
          <w:p w14:paraId="4DAA3453">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{（继承信息，不可编辑）XX}</w:t>
            </w:r>
          </w:p>
        </w:tc>
        <w:tc>
          <w:tcPr>
            <w:tcW w:w="1234" w:type="dxa"/>
          </w:tcPr>
          <w:p w14:paraId="15A6240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{（继承信息，可编辑）XX}</w:t>
            </w:r>
          </w:p>
        </w:tc>
        <w:tc>
          <w:tcPr>
            <w:tcW w:w="1316" w:type="dxa"/>
          </w:tcPr>
          <w:p w14:paraId="21C0EC2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1316" w:type="dxa"/>
          </w:tcPr>
          <w:p w14:paraId="01302BD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1317" w:type="dxa"/>
          </w:tcPr>
          <w:p w14:paraId="300EE698">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1458" w:type="dxa"/>
          </w:tcPr>
          <w:p w14:paraId="46B128FD">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r>
    </w:tbl>
    <w:p w14:paraId="2B534DB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（涉及强制采购节能产品选择【是】才可编辑并展示，选择【否】整个模块不展示）</w:t>
      </w:r>
    </w:p>
    <w:p w14:paraId="35D86C9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涉及强制采购节能产品：</w:t>
      </w:r>
    </w:p>
    <w:tbl>
      <w:tblPr>
        <w:tblStyle w:val="4"/>
        <w:tblW w:w="9837"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8"/>
        <w:gridCol w:w="1712"/>
        <w:gridCol w:w="1737"/>
        <w:gridCol w:w="1818"/>
        <w:gridCol w:w="1818"/>
        <w:gridCol w:w="1824"/>
      </w:tblGrid>
      <w:tr w14:paraId="08668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928" w:type="dxa"/>
          </w:tcPr>
          <w:p w14:paraId="4ACBEA20">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1712" w:type="dxa"/>
          </w:tcPr>
          <w:p w14:paraId="0BE1A9B7">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采购品目名称</w:t>
            </w:r>
          </w:p>
        </w:tc>
        <w:tc>
          <w:tcPr>
            <w:tcW w:w="1737" w:type="dxa"/>
          </w:tcPr>
          <w:p w14:paraId="6B388E0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1818" w:type="dxa"/>
          </w:tcPr>
          <w:p w14:paraId="73AD4D0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产品名称</w:t>
            </w:r>
          </w:p>
        </w:tc>
        <w:tc>
          <w:tcPr>
            <w:tcW w:w="1818" w:type="dxa"/>
          </w:tcPr>
          <w:p w14:paraId="5A70DF15">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1824" w:type="dxa"/>
          </w:tcPr>
          <w:p w14:paraId="372B04DE">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规格型号</w:t>
            </w:r>
          </w:p>
        </w:tc>
      </w:tr>
      <w:tr w14:paraId="59814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928" w:type="dxa"/>
          </w:tcPr>
          <w:p w14:paraId="5FC1519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zh-CN"/>
              </w:rPr>
              <w:t>1</w:t>
            </w:r>
          </w:p>
        </w:tc>
        <w:tc>
          <w:tcPr>
            <w:tcW w:w="1712" w:type="dxa"/>
          </w:tcPr>
          <w:p w14:paraId="16640E6F">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{（继承信息，不可编辑）XX}</w:t>
            </w:r>
          </w:p>
        </w:tc>
        <w:tc>
          <w:tcPr>
            <w:tcW w:w="1737" w:type="dxa"/>
          </w:tcPr>
          <w:p w14:paraId="178A867A">
            <w:pPr>
              <w:widowControl/>
              <w:tabs>
                <w:tab w:val="left" w:pos="448"/>
              </w:tabs>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{（继承信息，不可编辑）XX}</w:t>
            </w:r>
          </w:p>
        </w:tc>
        <w:tc>
          <w:tcPr>
            <w:tcW w:w="1818" w:type="dxa"/>
          </w:tcPr>
          <w:p w14:paraId="3855BB1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{（继承信息，可编辑）XX}</w:t>
            </w:r>
          </w:p>
        </w:tc>
        <w:tc>
          <w:tcPr>
            <w:tcW w:w="1818" w:type="dxa"/>
          </w:tcPr>
          <w:p w14:paraId="4BF7CAE8">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c>
          <w:tcPr>
            <w:tcW w:w="1824" w:type="dxa"/>
          </w:tcPr>
          <w:p w14:paraId="7C3006C9">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{（根据响应情况编辑）XX}</w:t>
            </w:r>
          </w:p>
        </w:tc>
      </w:tr>
    </w:tbl>
    <w:p w14:paraId="5037588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（涉及优先采购节能产品选择【是】才可编辑并展示，选择【否】整个模块不展示）</w:t>
      </w:r>
    </w:p>
    <w:p w14:paraId="764D361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涉及优先采购节能产品：</w:t>
      </w:r>
    </w:p>
    <w:tbl>
      <w:tblPr>
        <w:tblStyle w:val="4"/>
        <w:tblW w:w="9737"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2021"/>
        <w:gridCol w:w="1783"/>
        <w:gridCol w:w="1763"/>
        <w:gridCol w:w="1713"/>
        <w:gridCol w:w="1716"/>
      </w:tblGrid>
      <w:tr w14:paraId="1975D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741" w:type="dxa"/>
          </w:tcPr>
          <w:p w14:paraId="0B222ABE">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2021" w:type="dxa"/>
          </w:tcPr>
          <w:p w14:paraId="38CE68A8">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采购品目名称</w:t>
            </w:r>
          </w:p>
        </w:tc>
        <w:tc>
          <w:tcPr>
            <w:tcW w:w="1783" w:type="dxa"/>
          </w:tcPr>
          <w:p w14:paraId="6191C042">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1763" w:type="dxa"/>
          </w:tcPr>
          <w:p w14:paraId="2F898BE7">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产品名称</w:t>
            </w:r>
          </w:p>
        </w:tc>
        <w:tc>
          <w:tcPr>
            <w:tcW w:w="1713" w:type="dxa"/>
          </w:tcPr>
          <w:p w14:paraId="4AC8F449">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1716" w:type="dxa"/>
          </w:tcPr>
          <w:p w14:paraId="1A50666B">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规格型号</w:t>
            </w:r>
          </w:p>
        </w:tc>
      </w:tr>
      <w:tr w14:paraId="4342A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1" w:type="dxa"/>
          </w:tcPr>
          <w:p w14:paraId="59F146B2">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en-US"/>
              </w:rPr>
            </w:pPr>
            <w:r>
              <w:rPr>
                <w:rFonts w:hint="eastAsia" w:ascii="仿宋" w:hAnsi="仿宋" w:eastAsia="仿宋" w:cs="仿宋"/>
                <w:snapToGrid w:val="0"/>
                <w:color w:val="000000"/>
                <w:spacing w:val="1"/>
                <w:kern w:val="0"/>
                <w:szCs w:val="21"/>
                <w:lang w:eastAsia="zh-CN"/>
              </w:rPr>
              <w:t>1</w:t>
            </w:r>
          </w:p>
        </w:tc>
        <w:tc>
          <w:tcPr>
            <w:tcW w:w="2021" w:type="dxa"/>
          </w:tcPr>
          <w:p w14:paraId="18320DE8">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{（继承信息，不可编辑）XX}</w:t>
            </w:r>
          </w:p>
        </w:tc>
        <w:tc>
          <w:tcPr>
            <w:tcW w:w="1783" w:type="dxa"/>
          </w:tcPr>
          <w:p w14:paraId="534C3EB1">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{（继承信息 ， 不可编辑）XX}</w:t>
            </w:r>
          </w:p>
        </w:tc>
        <w:tc>
          <w:tcPr>
            <w:tcW w:w="1763" w:type="dxa"/>
          </w:tcPr>
          <w:p w14:paraId="2F0DFC18">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{（继承信息，可编辑）XX}</w:t>
            </w:r>
          </w:p>
        </w:tc>
        <w:tc>
          <w:tcPr>
            <w:tcW w:w="1713" w:type="dxa"/>
          </w:tcPr>
          <w:p w14:paraId="468CFEDB">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c>
          <w:tcPr>
            <w:tcW w:w="1716" w:type="dxa"/>
          </w:tcPr>
          <w:p w14:paraId="2A1A051B">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r>
    </w:tbl>
    <w:p w14:paraId="6EDC2D3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（涉及优先采购环境标志产品选择【是】才可编辑并展示，选择【否】整个模块不展示）</w:t>
      </w:r>
    </w:p>
    <w:p w14:paraId="0FBF07E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涉及优先采购环境标志产品：</w:t>
      </w:r>
    </w:p>
    <w:tbl>
      <w:tblPr>
        <w:tblStyle w:val="4"/>
        <w:tblW w:w="96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813"/>
        <w:gridCol w:w="1647"/>
        <w:gridCol w:w="1781"/>
        <w:gridCol w:w="1781"/>
        <w:gridCol w:w="1787"/>
      </w:tblGrid>
      <w:tr w14:paraId="40D33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827" w:type="dxa"/>
          </w:tcPr>
          <w:p w14:paraId="2E9FAF18">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1813" w:type="dxa"/>
          </w:tcPr>
          <w:p w14:paraId="3F0CF4B3">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采购品目名称</w:t>
            </w:r>
          </w:p>
        </w:tc>
        <w:tc>
          <w:tcPr>
            <w:tcW w:w="1647" w:type="dxa"/>
          </w:tcPr>
          <w:p w14:paraId="6F144DB8">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1781" w:type="dxa"/>
          </w:tcPr>
          <w:p w14:paraId="78F66BC0">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产品名称</w:t>
            </w:r>
          </w:p>
        </w:tc>
        <w:tc>
          <w:tcPr>
            <w:tcW w:w="1781" w:type="dxa"/>
          </w:tcPr>
          <w:p w14:paraId="209091C6">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1787" w:type="dxa"/>
          </w:tcPr>
          <w:p w14:paraId="6535177E">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规格型号</w:t>
            </w:r>
          </w:p>
        </w:tc>
      </w:tr>
      <w:tr w14:paraId="4B5A6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827" w:type="dxa"/>
          </w:tcPr>
          <w:p w14:paraId="00F14A5A">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1</w:t>
            </w:r>
          </w:p>
        </w:tc>
        <w:tc>
          <w:tcPr>
            <w:tcW w:w="1813" w:type="dxa"/>
          </w:tcPr>
          <w:p w14:paraId="43BE17A4">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{（继承信息，不可编辑）XX}</w:t>
            </w:r>
          </w:p>
        </w:tc>
        <w:tc>
          <w:tcPr>
            <w:tcW w:w="1647" w:type="dxa"/>
          </w:tcPr>
          <w:p w14:paraId="6E9DCA37">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{（继承信息，不可编辑）XX}</w:t>
            </w:r>
          </w:p>
        </w:tc>
        <w:tc>
          <w:tcPr>
            <w:tcW w:w="1781" w:type="dxa"/>
          </w:tcPr>
          <w:p w14:paraId="36638AE7">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{（继承信息，可编辑）XX}</w:t>
            </w:r>
          </w:p>
        </w:tc>
        <w:tc>
          <w:tcPr>
            <w:tcW w:w="1781" w:type="dxa"/>
          </w:tcPr>
          <w:p w14:paraId="23D4A18D">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w:t>
            </w:r>
          </w:p>
          <w:p w14:paraId="2F466BB3">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况编辑）XX}</w:t>
            </w:r>
          </w:p>
        </w:tc>
        <w:tc>
          <w:tcPr>
            <w:tcW w:w="1787" w:type="dxa"/>
          </w:tcPr>
          <w:p w14:paraId="3B9E84D3">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r>
    </w:tbl>
    <w:p w14:paraId="655A627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（涉及绿色产品时选择【是】才可编辑并展示，选择【否】整个模块不展示）</w:t>
      </w:r>
    </w:p>
    <w:p w14:paraId="577FF3E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涉及绿色产品：</w:t>
      </w:r>
    </w:p>
    <w:tbl>
      <w:tblPr>
        <w:tblStyle w:val="4"/>
        <w:tblW w:w="96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3"/>
        <w:gridCol w:w="1808"/>
        <w:gridCol w:w="1654"/>
        <w:gridCol w:w="1789"/>
        <w:gridCol w:w="1789"/>
        <w:gridCol w:w="1794"/>
      </w:tblGrid>
      <w:tr w14:paraId="2863B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843" w:type="dxa"/>
          </w:tcPr>
          <w:p w14:paraId="62BBBC41">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序号</w:t>
            </w:r>
          </w:p>
        </w:tc>
        <w:tc>
          <w:tcPr>
            <w:tcW w:w="1808" w:type="dxa"/>
          </w:tcPr>
          <w:p w14:paraId="5731E852">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采购品目名称</w:t>
            </w:r>
          </w:p>
        </w:tc>
        <w:tc>
          <w:tcPr>
            <w:tcW w:w="1654" w:type="dxa"/>
          </w:tcPr>
          <w:p w14:paraId="30AA8268">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标的名称</w:t>
            </w:r>
          </w:p>
        </w:tc>
        <w:tc>
          <w:tcPr>
            <w:tcW w:w="1789" w:type="dxa"/>
          </w:tcPr>
          <w:p w14:paraId="1859A9D9">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产品名称</w:t>
            </w:r>
          </w:p>
        </w:tc>
        <w:tc>
          <w:tcPr>
            <w:tcW w:w="1789" w:type="dxa"/>
          </w:tcPr>
          <w:p w14:paraId="42D5AA0C">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品牌</w:t>
            </w:r>
          </w:p>
        </w:tc>
        <w:tc>
          <w:tcPr>
            <w:tcW w:w="1794" w:type="dxa"/>
          </w:tcPr>
          <w:p w14:paraId="19E95B63">
            <w:pPr>
              <w:widowControl/>
              <w:kinsoku w:val="0"/>
              <w:autoSpaceDE w:val="0"/>
              <w:autoSpaceDN w:val="0"/>
              <w:adjustRightInd w:val="0"/>
              <w:snapToGrid w:val="0"/>
              <w:spacing w:line="360" w:lineRule="auto"/>
              <w:jc w:val="center"/>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规格型号</w:t>
            </w:r>
          </w:p>
        </w:tc>
      </w:tr>
      <w:tr w14:paraId="7293E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843" w:type="dxa"/>
          </w:tcPr>
          <w:p w14:paraId="1409489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w:t>
            </w:r>
          </w:p>
        </w:tc>
        <w:tc>
          <w:tcPr>
            <w:tcW w:w="1808" w:type="dxa"/>
          </w:tcPr>
          <w:p w14:paraId="433389EC">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c>
          <w:tcPr>
            <w:tcW w:w="1654" w:type="dxa"/>
          </w:tcPr>
          <w:p w14:paraId="2B3F093D">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c>
          <w:tcPr>
            <w:tcW w:w="1789" w:type="dxa"/>
          </w:tcPr>
          <w:p w14:paraId="2C522F38">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c>
          <w:tcPr>
            <w:tcW w:w="1789" w:type="dxa"/>
          </w:tcPr>
          <w:p w14:paraId="67EA4AD0">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{（根据响应情况编辑）XX}</w:t>
            </w:r>
          </w:p>
        </w:tc>
        <w:tc>
          <w:tcPr>
            <w:tcW w:w="1794" w:type="dxa"/>
          </w:tcPr>
          <w:p w14:paraId="2244F4BE">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{（根据响应情</w:t>
            </w:r>
          </w:p>
          <w:p w14:paraId="4A6DD512">
            <w:pPr>
              <w:widowControl/>
              <w:kinsoku w:val="0"/>
              <w:autoSpaceDE w:val="0"/>
              <w:autoSpaceDN w:val="0"/>
              <w:adjustRightInd w:val="0"/>
              <w:snapToGrid w:val="0"/>
              <w:spacing w:before="149" w:line="228" w:lineRule="auto"/>
              <w:ind w:left="64"/>
              <w:jc w:val="left"/>
              <w:textAlignment w:val="baseline"/>
              <w:rPr>
                <w:rFonts w:hint="eastAsia" w:ascii="仿宋" w:hAnsi="仿宋" w:eastAsia="仿宋" w:cs="仿宋"/>
                <w:snapToGrid w:val="0"/>
                <w:color w:val="000000"/>
                <w:spacing w:val="1"/>
                <w:kern w:val="0"/>
                <w:szCs w:val="21"/>
                <w:lang w:eastAsia="zh-CN"/>
              </w:rPr>
            </w:pPr>
            <w:r>
              <w:rPr>
                <w:rFonts w:hint="eastAsia" w:ascii="仿宋" w:hAnsi="仿宋" w:eastAsia="仿宋" w:cs="仿宋"/>
                <w:snapToGrid w:val="0"/>
                <w:color w:val="000000"/>
                <w:spacing w:val="1"/>
                <w:kern w:val="0"/>
                <w:szCs w:val="21"/>
                <w:lang w:eastAsia="zh-CN"/>
              </w:rPr>
              <w:t>况编辑）XX}</w:t>
            </w:r>
          </w:p>
        </w:tc>
      </w:tr>
    </w:tbl>
    <w:p w14:paraId="2F42FCB5">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en-US"/>
        </w:rPr>
      </w:pPr>
      <w:r>
        <w:rPr>
          <w:rFonts w:hint="eastAsia" w:ascii="仿宋" w:hAnsi="仿宋" w:eastAsia="仿宋" w:cs="仿宋"/>
          <w:b/>
          <w:bCs/>
          <w:snapToGrid w:val="0"/>
          <w:color w:val="000000"/>
          <w:kern w:val="0"/>
          <w:szCs w:val="21"/>
          <w:lang w:eastAsia="en-US"/>
        </w:rPr>
        <w:t>二、货物要求</w:t>
      </w:r>
    </w:p>
    <w:p w14:paraId="37E56A9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2.1.质量要求</w:t>
      </w:r>
    </w:p>
    <w:tbl>
      <w:tblPr>
        <w:tblStyle w:val="4"/>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69"/>
        <w:gridCol w:w="3420"/>
        <w:gridCol w:w="1800"/>
        <w:gridCol w:w="1800"/>
      </w:tblGrid>
      <w:tr w14:paraId="2EBC96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2669" w:type="dxa"/>
          </w:tcPr>
          <w:p w14:paraId="77381872">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货物/注册（备案）证名称</w:t>
            </w:r>
          </w:p>
        </w:tc>
        <w:tc>
          <w:tcPr>
            <w:tcW w:w="3420" w:type="dxa"/>
          </w:tcPr>
          <w:p w14:paraId="3E0EC09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注册（备案）证号</w:t>
            </w:r>
          </w:p>
        </w:tc>
        <w:tc>
          <w:tcPr>
            <w:tcW w:w="1800" w:type="dxa"/>
          </w:tcPr>
          <w:p w14:paraId="56FECEA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生产地</w:t>
            </w:r>
          </w:p>
        </w:tc>
        <w:tc>
          <w:tcPr>
            <w:tcW w:w="1800" w:type="dxa"/>
          </w:tcPr>
          <w:p w14:paraId="084A8AD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制造商</w:t>
            </w:r>
          </w:p>
        </w:tc>
      </w:tr>
      <w:tr w14:paraId="4CB0E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2669" w:type="dxa"/>
          </w:tcPr>
          <w:p w14:paraId="13DEACB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c>
          <w:tcPr>
            <w:tcW w:w="3420" w:type="dxa"/>
          </w:tcPr>
          <w:p w14:paraId="6093B5E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c>
          <w:tcPr>
            <w:tcW w:w="1800" w:type="dxa"/>
          </w:tcPr>
          <w:p w14:paraId="1DB724B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c>
          <w:tcPr>
            <w:tcW w:w="1800" w:type="dxa"/>
          </w:tcPr>
          <w:p w14:paraId="160804E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bl>
    <w:p w14:paraId="38B075E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2.1.1.质量符合或优于中国法律法规规定和（或）行业的标准，同时通过NMPA（如适用），符合采购文件质量要求、技术指标与出厂标准，保证是原产地生产的原装全新产品（含零部件、配件等），表面无划伤、无碰撞痕迹，且权属清楚，货物质量出现问题，乙方应负责三包（包修、包换、包退），费用由乙方负担，否则甲方有权拒绝收货，并要求乙方赔偿损失。具体技术参数详见采购文件、投标（响应）文件、合同附件、产品技术说明等。（合同附件应包含：配置清单、装箱清单、零配件易耗品价格清单）</w:t>
      </w:r>
    </w:p>
    <w:p w14:paraId="64A7E80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2.1.2.乙方所提供的货物应符合国家有关安全、环保、卫生的规定。</w:t>
      </w:r>
    </w:p>
    <w:p w14:paraId="187DF8F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必须保证该套货物配置齐全，达到该套货物的所有技术参数及功能，如配置清单没列举完整的，乙方也应无条件提供，对此，乙方应当基于自己的行业经验充分合理预判，费用已包含在合同价款之中。若短缺配置市场采购价高于原合同单价的，差价由乙方承担；短缺导致采购周期超过30日的，按合同第八条承担违约责任，如因短缺或其它因素造成该套货物不能按时完全正常使用，乙方负责赔偿由此给甲方造成的所有损失。</w:t>
      </w:r>
    </w:p>
    <w:p w14:paraId="33C5D99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2.2.包装方式及运输方式</w:t>
      </w:r>
    </w:p>
    <w:p w14:paraId="4838CA2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bookmarkStart w:id="0" w:name="_Hlk131519305"/>
      <w:r>
        <w:rPr>
          <w:rFonts w:hint="eastAsia" w:ascii="仿宋" w:hAnsi="仿宋" w:eastAsia="仿宋" w:cs="仿宋"/>
          <w:snapToGrid w:val="0"/>
          <w:color w:val="000000"/>
          <w:kern w:val="0"/>
          <w:szCs w:val="21"/>
          <w:lang w:eastAsia="zh-CN"/>
        </w:rPr>
        <w:t>乙方提供产品及相关快递服务的具体包装要求和履约验收相关条款应符合财政部办公厅生态环境部办公厅国家邮政局办公室关于印发《商品包装政府采购需求标准（试行）》、《快递包装政府采购需求标准（试行）》的通知（财办库〔2020〕123号）的规定。</w:t>
      </w:r>
      <w:bookmarkEnd w:id="0"/>
    </w:p>
    <w:p w14:paraId="45B0D7C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2.3.质量保修范围和保修期</w:t>
      </w:r>
    </w:p>
    <w:p w14:paraId="2C53707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2.3.1.保修期</w:t>
      </w:r>
    </w:p>
    <w:p w14:paraId="180E90C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 xml:space="preserve">质保期限：自验收报告双方签字之日起全套货物质保期为 </w:t>
      </w:r>
      <w:r>
        <w:rPr>
          <w:rFonts w:hint="eastAsia" w:ascii="仿宋" w:hAnsi="仿宋" w:eastAsia="仿宋" w:cs="仿宋"/>
          <w:snapToGrid w:val="0"/>
          <w:color w:val="000000"/>
          <w:kern w:val="0"/>
          <w:szCs w:val="21"/>
          <w:u w:val="single"/>
          <w:lang w:eastAsia="zh-CN"/>
        </w:rPr>
        <w:t xml:space="preserve">     </w:t>
      </w:r>
      <w:r>
        <w:rPr>
          <w:rFonts w:hint="eastAsia" w:ascii="仿宋" w:hAnsi="仿宋" w:eastAsia="仿宋" w:cs="仿宋"/>
          <w:snapToGrid w:val="0"/>
          <w:color w:val="000000"/>
          <w:kern w:val="0"/>
          <w:szCs w:val="21"/>
          <w:lang w:eastAsia="zh-CN"/>
        </w:rPr>
        <w:t>年。</w:t>
      </w:r>
    </w:p>
    <w:p w14:paraId="01D3D17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质保期内，乙方工程师每年不少于  4  次巡回保养服务。</w:t>
      </w:r>
    </w:p>
    <w:p w14:paraId="3617B98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2.3.2.质量保修范围</w:t>
      </w:r>
    </w:p>
    <w:p w14:paraId="4734DD6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2.3.2.1.硬件在质保期内，如果出现三次以上因质量引起的故障，乙方负责更换同类新硬件。乙方应按生产厂家的质保规定和投标（响应）文件说明服务承诺做好质保等服务，质保期内维修、零部件、易损件及工时费等已含在总价内。软件如发生三次（含三次）以上缺陷问题，影响仪器、设备的正常运转，乙方必须更换性能更好、稳定性更高的软件。终身开放所有网络接口并永久提供安装密码、使用密码和维修密码给甲方。甲方任何时候开放软件及端口，乙方协助无缝连接，上述所有费用均包含在乙方报价内，甲方不再额外支付。</w:t>
      </w:r>
    </w:p>
    <w:p w14:paraId="521E070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2.3.2.2.质保期后，乙方终身上门服务。</w:t>
      </w:r>
    </w:p>
    <w:p w14:paraId="6500EFE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2.3.2.3.维修时间和时限：乙方接到甲方通知后2小时内，作出反应，如4小时内无法电话解决问题，8小时内乙方工程师到达甲方现场进行维修与更换零部件，维修期间，根据甲方需求，乙方应向甲方提供替用设备。解决时间：不更换零部件自甲方通知之时起24小时内解决；更换非大型部件48小时内解决；更换大型部件10日内解决。以上所有时间均含节假日。</w:t>
      </w:r>
    </w:p>
    <w:p w14:paraId="700193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2.3.2.4.易耗品与零配件供应及价格：乙方终身提供设备的易耗品与零配件，其易耗品与零配件价格以乙方投标响应为准。</w:t>
      </w:r>
    </w:p>
    <w:p w14:paraId="07918E2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2.3.2.5.开机率：在质保期内，年开机率≥95％，开机天数每少一天，质保期增加10天。</w:t>
      </w:r>
    </w:p>
    <w:p w14:paraId="7607292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2.3.2.6.质保期后如甲方购买维保服务的，年维保费用（全保）不超过设备总价的5%，维保的内容和要求与质保期一致。乙方拒绝按前述约定与甲方签订维保合同的，甲方有权委托第三方进行维保，甲方支付给第三方的维保费超过前述约定价格的部分由乙方承担，造成甲方其他损失的，乙方还应当赔偿。如第三方无法提供维保服务，乙方又拒绝按前述约定与甲方签订维保合同的，甲方有权解除本合同，不支付剩余款项（如有），乙方应当向甲方支付本合同金额20%的违约金，并返还合同金额50%的款项，造成甲方其他损失的，乙方还应当赔偿。</w:t>
      </w:r>
    </w:p>
    <w:p w14:paraId="0BC1FBA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2.3.2.7.乙方应当在货物（仪器设备）的正常使用年限内保证零配件、专用耗材的供应，乙方违反本条约定的，甲方有权解除合同，不支付剩余款项(如有)。并视违约情况，甲方有权要求乙方向甲方支付本合同金额20%的违约金，并返还合同金额20-50 %的款项，造成甲方其他损失的【包括但不限于购买、安装替代货物与本合同货物的价差、重新招标（比选）的费用、更换货物导致的甲方的运营损失及第三方的损失等】，乙方还应当赔偿。</w:t>
      </w:r>
    </w:p>
    <w:p w14:paraId="2BE125A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2.4.其他要求；</w:t>
      </w:r>
    </w:p>
    <w:p w14:paraId="776DDFD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保修期后的易耗品及零配件供应</w:t>
      </w:r>
    </w:p>
    <w:p w14:paraId="4D311E1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收费易耗品及零配件按照年用量为5000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保修期结束后，中标人应继续提供易耗品及零配件，直至采购人不再使用相应标的。（如适用）</w:t>
      </w:r>
    </w:p>
    <w:p w14:paraId="705C09E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【注：保修期后的易耗品及零配件报价清单格式参见附件－《保修期后的易耗品及零配件报价清单》】</w:t>
      </w:r>
    </w:p>
    <w:p w14:paraId="15F3FF6B">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三、合同价款、支付方式和付款进度安排</w:t>
      </w:r>
    </w:p>
    <w:p w14:paraId="4C9A56F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3.1.合同价款</w:t>
      </w:r>
    </w:p>
    <w:p w14:paraId="5806B97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（报价模式为总价时显示）</w:t>
      </w:r>
    </w:p>
    <w:p w14:paraId="1506CB0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本合同总金额为｛（继承信息，不可编辑）XXX｝元（大写：｛（自动生成，不可编辑）XX｝元。</w:t>
      </w:r>
    </w:p>
    <w:p w14:paraId="40A689A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（报价模式为单价/百分比/组合报价时显示）</w:t>
      </w:r>
    </w:p>
    <w:p w14:paraId="4FFABC0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本合同总金额为｛（继承信息，不可编辑）XXX｝元（大写：｛（自动生成，不可编辑）XX｝元。</w:t>
      </w:r>
    </w:p>
    <w:p w14:paraId="610C50E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{（报价模式为单价时显示以下预设内容，可编辑）</w:t>
      </w:r>
    </w:p>
    <w:p w14:paraId="308796A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本合同为单价结算方式，具体结算以实际发生的服务量及合同约定的单价据实结算，但不得超过本合同总金额。}</w:t>
      </w:r>
    </w:p>
    <w:p w14:paraId="5CAACF5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{（报价模式为百分比时显示以下预设内容，可编辑）</w:t>
      </w:r>
    </w:p>
    <w:p w14:paraId="1FE04A0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本合同按合同履行过程中实际发生时的价格乘以乙方所报百分</w:t>
      </w:r>
    </w:p>
    <w:p w14:paraId="7A8545E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比据实结算，但不得超过本合同总金额。}</w:t>
      </w:r>
    </w:p>
    <w:p w14:paraId="65D6F0A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其他情况说明：本合同金额为包干价，含采购文件及合同约定的全部义务成本，不因汇率、税收政策、原材料价格等任何因素调整，包括：但不限于货物设计、材料、制造、包装、运输、装卸、保险、关税、增值税、仓储、商检、卫检、报关、输机、清关手续费、安装、调试、培训、质检、质保费用、技术支持、其它伴随服务等。</w:t>
      </w:r>
    </w:p>
    <w:p w14:paraId="01DB12C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3.2.支付方式：</w:t>
      </w:r>
    </w:p>
    <w:p w14:paraId="4C6B590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货款的结算：甲乙双方确认按以下第</w:t>
      </w:r>
      <w:r>
        <w:rPr>
          <w:rFonts w:hint="eastAsia" w:ascii="仿宋" w:hAnsi="仿宋" w:eastAsia="仿宋" w:cs="仿宋"/>
          <w:snapToGrid w:val="0"/>
          <w:color w:val="000000"/>
          <w:kern w:val="0"/>
          <w:szCs w:val="21"/>
          <w:u w:val="single"/>
          <w:lang w:eastAsia="zh-CN"/>
        </w:rPr>
        <w:t xml:space="preserve">   </w:t>
      </w:r>
      <w:r>
        <w:rPr>
          <w:rFonts w:hint="eastAsia" w:ascii="仿宋" w:hAnsi="仿宋" w:eastAsia="仿宋" w:cs="仿宋"/>
          <w:snapToGrid w:val="0"/>
          <w:color w:val="000000"/>
          <w:kern w:val="0"/>
          <w:szCs w:val="21"/>
          <w:lang w:eastAsia="zh-CN"/>
        </w:rPr>
        <w:t>项约定结算货款，如乙方存在未决违约行为或索赔，甲方有权暂停支付尾款直至争议解决。甲方付款以银行转账方式转账至乙方公司账户内，甲方每次付款前乙方应开具相应金额的正式合规的财务票据，否则甲方付款期限相应顺延。</w:t>
      </w:r>
    </w:p>
    <w:p w14:paraId="4D42E5A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（1）货到验收合格后，甲方应在收到乙方提交的付款申请、发票（发票金额为到货货物的总金额）之日起60日内向乙方支付到货货物金额的100%（金额     元；人民币大写金额：       ），若有其他扣款、赔偿金、违约金等需要乙方承担的费用，甲方有权直接予以扣除后支付。收取履约保证金，①收取方式为：合同签订生效后7个工作日内，收取合同金额的10%作为履约保证金。②交款方式为：银行转账，支票、汇票、本票，保函。③履约保证金退还时间：自设备验收合格之日起满1年甲方接到乙方退还申请后30个工作日内一次性无息退还全部履约保证金。</w:t>
      </w:r>
    </w:p>
    <w:p w14:paraId="1A719B3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（2）货物运到甲方指定地点后，甲方应在收到乙方提交的付款申请、发票（发票金额为到货货物的总金额）之日起60日内支付到货货物金额的60%（金额     元；人民币大写金额：     ）；安装验收合格后，甲方应在收到乙方提交的付款申请之日起60日内支付到货货物金额的40%（金额     元；人民币大写金额：     ）收取履约保证金，①收取方式为：合同签订生效后7个工作日内，收取合同金额的10%作为履约保证金。②交款方式为：银行转账，支票、汇票、本票，保函。③履约保证金退还时间：自设备验收合格之日起满1年甲方接到乙方退还申请后30个工作日内一次性无息退还全部履约保证金。</w:t>
      </w:r>
    </w:p>
    <w:p w14:paraId="135CCC3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3.3.付款进度安排</w:t>
      </w:r>
    </w:p>
    <w:tbl>
      <w:tblPr>
        <w:tblStyle w:val="4"/>
        <w:tblW w:w="9916"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815"/>
        <w:gridCol w:w="2028"/>
        <w:gridCol w:w="1736"/>
        <w:gridCol w:w="1751"/>
        <w:gridCol w:w="1790"/>
        <w:gridCol w:w="1796"/>
      </w:tblGrid>
      <w:tr w14:paraId="351857B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521" w:hRule="atLeast"/>
        </w:trPr>
        <w:tc>
          <w:tcPr>
            <w:tcW w:w="815" w:type="dxa"/>
          </w:tcPr>
          <w:p w14:paraId="6A1288F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期次</w:t>
            </w:r>
          </w:p>
        </w:tc>
        <w:tc>
          <w:tcPr>
            <w:tcW w:w="2028" w:type="dxa"/>
          </w:tcPr>
          <w:p w14:paraId="641DF7D2">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支付金额（元）</w:t>
            </w:r>
          </w:p>
        </w:tc>
        <w:tc>
          <w:tcPr>
            <w:tcW w:w="1736" w:type="dxa"/>
          </w:tcPr>
          <w:p w14:paraId="6CB9300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计划支付日期</w:t>
            </w:r>
          </w:p>
        </w:tc>
        <w:tc>
          <w:tcPr>
            <w:tcW w:w="1751" w:type="dxa"/>
          </w:tcPr>
          <w:p w14:paraId="17750066">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收款人</w:t>
            </w:r>
          </w:p>
        </w:tc>
        <w:tc>
          <w:tcPr>
            <w:tcW w:w="1790" w:type="dxa"/>
          </w:tcPr>
          <w:p w14:paraId="7E9CF9D4">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支付说明</w:t>
            </w:r>
          </w:p>
        </w:tc>
        <w:tc>
          <w:tcPr>
            <w:tcW w:w="1796" w:type="dxa"/>
          </w:tcPr>
          <w:p w14:paraId="672943BB">
            <w:pPr>
              <w:widowControl/>
              <w:kinsoku w:val="0"/>
              <w:autoSpaceDE w:val="0"/>
              <w:autoSpaceDN w:val="0"/>
              <w:adjustRightInd w:val="0"/>
              <w:snapToGrid w:val="0"/>
              <w:spacing w:line="360" w:lineRule="auto"/>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是否预付款</w:t>
            </w:r>
          </w:p>
        </w:tc>
      </w:tr>
      <w:tr w14:paraId="17DF8447">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11" w:hRule="atLeast"/>
        </w:trPr>
        <w:tc>
          <w:tcPr>
            <w:tcW w:w="815" w:type="dxa"/>
          </w:tcPr>
          <w:p w14:paraId="01EAE2B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p w14:paraId="2B07BC3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1</w:t>
            </w:r>
          </w:p>
        </w:tc>
        <w:tc>
          <w:tcPr>
            <w:tcW w:w="2028" w:type="dxa"/>
          </w:tcPr>
          <w:p w14:paraId="62CCD6AF">
            <w:pPr>
              <w:widowControl/>
              <w:kinsoku w:val="0"/>
              <w:autoSpaceDE w:val="0"/>
              <w:autoSpaceDN w:val="0"/>
              <w:adjustRightInd w:val="0"/>
              <w:snapToGrid w:val="0"/>
              <w:spacing w:before="80" w:line="300" w:lineRule="auto"/>
              <w:ind w:left="28" w:right="5" w:firstLine="1"/>
              <w:jc w:val="left"/>
              <w:textAlignment w:val="baseline"/>
              <w:rPr>
                <w:rFonts w:hint="eastAsia" w:ascii="仿宋" w:hAnsi="仿宋" w:eastAsia="仿宋" w:cs="仿宋"/>
                <w:snapToGrid w:val="0"/>
                <w:color w:val="000000"/>
                <w:spacing w:val="-10"/>
                <w:kern w:val="0"/>
                <w:szCs w:val="21"/>
                <w:lang w:eastAsia="zh-CN"/>
              </w:rPr>
            </w:pPr>
            <w:r>
              <w:rPr>
                <w:rFonts w:hint="eastAsia" w:ascii="仿宋" w:hAnsi="仿宋" w:eastAsia="仿宋" w:cs="仿宋"/>
                <w:snapToGrid w:val="0"/>
                <w:color w:val="000000"/>
                <w:spacing w:val="-10"/>
                <w:kern w:val="0"/>
                <w:szCs w:val="21"/>
                <w:lang w:eastAsia="zh-CN"/>
              </w:rPr>
              <w:t>｛（采购人自行编辑）XX｝</w:t>
            </w:r>
          </w:p>
        </w:tc>
        <w:tc>
          <w:tcPr>
            <w:tcW w:w="1736" w:type="dxa"/>
          </w:tcPr>
          <w:p w14:paraId="6754F1B5">
            <w:pPr>
              <w:widowControl/>
              <w:kinsoku w:val="0"/>
              <w:autoSpaceDE w:val="0"/>
              <w:autoSpaceDN w:val="0"/>
              <w:adjustRightInd w:val="0"/>
              <w:snapToGrid w:val="0"/>
              <w:spacing w:before="80" w:line="300" w:lineRule="auto"/>
              <w:ind w:left="28" w:right="5" w:firstLine="1"/>
              <w:jc w:val="left"/>
              <w:textAlignment w:val="baseline"/>
              <w:rPr>
                <w:rFonts w:hint="eastAsia" w:ascii="仿宋" w:hAnsi="仿宋" w:eastAsia="仿宋" w:cs="仿宋"/>
                <w:snapToGrid w:val="0"/>
                <w:color w:val="000000"/>
                <w:spacing w:val="-10"/>
                <w:kern w:val="0"/>
                <w:szCs w:val="21"/>
                <w:lang w:eastAsia="zh-CN"/>
              </w:rPr>
            </w:pPr>
            <w:r>
              <w:rPr>
                <w:rFonts w:hint="eastAsia" w:ascii="仿宋" w:hAnsi="仿宋" w:eastAsia="仿宋" w:cs="仿宋"/>
                <w:snapToGrid w:val="0"/>
                <w:color w:val="000000"/>
                <w:spacing w:val="-10"/>
                <w:kern w:val="0"/>
                <w:szCs w:val="21"/>
                <w:lang w:eastAsia="zh-CN"/>
              </w:rPr>
              <w:t>｛（采购人选择支付日期）X X｝</w:t>
            </w:r>
          </w:p>
        </w:tc>
        <w:tc>
          <w:tcPr>
            <w:tcW w:w="1751" w:type="dxa"/>
          </w:tcPr>
          <w:p w14:paraId="40C98971">
            <w:pPr>
              <w:widowControl/>
              <w:kinsoku w:val="0"/>
              <w:autoSpaceDE w:val="0"/>
              <w:autoSpaceDN w:val="0"/>
              <w:adjustRightInd w:val="0"/>
              <w:snapToGrid w:val="0"/>
              <w:spacing w:before="80" w:line="300" w:lineRule="auto"/>
              <w:ind w:left="28" w:right="5" w:firstLine="1"/>
              <w:jc w:val="left"/>
              <w:textAlignment w:val="baseline"/>
              <w:rPr>
                <w:rFonts w:hint="eastAsia" w:ascii="仿宋" w:hAnsi="仿宋" w:eastAsia="仿宋" w:cs="仿宋"/>
                <w:snapToGrid w:val="0"/>
                <w:color w:val="000000"/>
                <w:spacing w:val="-10"/>
                <w:kern w:val="0"/>
                <w:szCs w:val="21"/>
                <w:lang w:eastAsia="zh-CN"/>
              </w:rPr>
            </w:pPr>
            <w:r>
              <w:rPr>
                <w:rFonts w:hint="eastAsia" w:ascii="仿宋" w:hAnsi="仿宋" w:eastAsia="仿宋" w:cs="仿宋"/>
                <w:snapToGrid w:val="0"/>
                <w:color w:val="000000"/>
                <w:spacing w:val="-10"/>
                <w:kern w:val="0"/>
                <w:szCs w:val="21"/>
                <w:lang w:eastAsia="zh-CN"/>
              </w:rPr>
              <w:t>｛（采购人选择供应商名称）XX｝</w:t>
            </w:r>
          </w:p>
        </w:tc>
        <w:tc>
          <w:tcPr>
            <w:tcW w:w="1790" w:type="dxa"/>
          </w:tcPr>
          <w:p w14:paraId="0EAA81FB">
            <w:pPr>
              <w:widowControl/>
              <w:kinsoku w:val="0"/>
              <w:autoSpaceDE w:val="0"/>
              <w:autoSpaceDN w:val="0"/>
              <w:adjustRightInd w:val="0"/>
              <w:snapToGrid w:val="0"/>
              <w:spacing w:before="80" w:line="300" w:lineRule="auto"/>
              <w:ind w:left="28" w:right="5" w:firstLine="1"/>
              <w:jc w:val="left"/>
              <w:textAlignment w:val="baseline"/>
              <w:rPr>
                <w:rFonts w:hint="eastAsia" w:ascii="仿宋" w:hAnsi="仿宋" w:eastAsia="仿宋" w:cs="仿宋"/>
                <w:snapToGrid w:val="0"/>
                <w:color w:val="000000"/>
                <w:spacing w:val="-10"/>
                <w:kern w:val="0"/>
                <w:szCs w:val="21"/>
                <w:lang w:eastAsia="zh-CN"/>
              </w:rPr>
            </w:pPr>
            <w:r>
              <w:rPr>
                <w:rFonts w:hint="eastAsia" w:ascii="仿宋" w:hAnsi="仿宋" w:eastAsia="仿宋" w:cs="仿宋"/>
                <w:snapToGrid w:val="0"/>
                <w:color w:val="000000"/>
                <w:spacing w:val="-10"/>
                <w:kern w:val="0"/>
                <w:szCs w:val="21"/>
                <w:lang w:eastAsia="zh-CN"/>
              </w:rPr>
              <w:t>｛（继承信息，可编辑）XX｝</w:t>
            </w:r>
          </w:p>
        </w:tc>
        <w:tc>
          <w:tcPr>
            <w:tcW w:w="1796" w:type="dxa"/>
          </w:tcPr>
          <w:p w14:paraId="3E492A10">
            <w:pPr>
              <w:widowControl/>
              <w:kinsoku w:val="0"/>
              <w:autoSpaceDE w:val="0"/>
              <w:autoSpaceDN w:val="0"/>
              <w:adjustRightInd w:val="0"/>
              <w:snapToGrid w:val="0"/>
              <w:spacing w:before="80" w:line="300" w:lineRule="auto"/>
              <w:ind w:left="27" w:right="67" w:firstLine="31"/>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spacing w:val="-4"/>
                <w:kern w:val="0"/>
                <w:szCs w:val="21"/>
                <w:lang w:eastAsia="zh-CN"/>
              </w:rPr>
              <w:t>{（继承信息，</w:t>
            </w:r>
            <w:r>
              <w:rPr>
                <w:rFonts w:hint="eastAsia" w:ascii="仿宋" w:hAnsi="仿宋" w:eastAsia="仿宋" w:cs="仿宋"/>
                <w:snapToGrid w:val="0"/>
                <w:color w:val="000000"/>
                <w:spacing w:val="9"/>
                <w:kern w:val="0"/>
                <w:szCs w:val="21"/>
                <w:lang w:eastAsia="zh-CN"/>
              </w:rPr>
              <w:t>可编辑）</w:t>
            </w:r>
            <w:r>
              <w:rPr>
                <w:rFonts w:hint="eastAsia" w:ascii="仿宋" w:hAnsi="仿宋" w:eastAsia="仿宋" w:cs="仿宋"/>
                <w:snapToGrid w:val="0"/>
                <w:color w:val="000000"/>
                <w:kern w:val="0"/>
                <w:szCs w:val="21"/>
                <w:lang w:eastAsia="zh-CN"/>
              </w:rPr>
              <w:t>XX</w:t>
            </w:r>
            <w:r>
              <w:rPr>
                <w:rFonts w:hint="eastAsia" w:ascii="仿宋" w:hAnsi="仿宋" w:eastAsia="仿宋" w:cs="仿宋"/>
                <w:snapToGrid w:val="0"/>
                <w:color w:val="000000"/>
                <w:spacing w:val="9"/>
                <w:kern w:val="0"/>
                <w:szCs w:val="21"/>
                <w:lang w:eastAsia="zh-CN"/>
              </w:rPr>
              <w:t>}</w:t>
            </w:r>
          </w:p>
        </w:tc>
      </w:tr>
    </w:tbl>
    <w:p w14:paraId="74E250CF">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b/>
          <w:bCs/>
          <w:snapToGrid w:val="0"/>
          <w:color w:val="000000"/>
          <w:kern w:val="0"/>
          <w:szCs w:val="21"/>
          <w:lang w:eastAsia="zh-CN"/>
        </w:rPr>
        <w:t>四、合同履行</w:t>
      </w:r>
    </w:p>
    <w:p w14:paraId="29431E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4.1.交货时间：｛（继承信息，可编辑）乙方按甲方实际需求进行交货，每批次货物需在收到甲方通知之日起30日内交货安装，单次交货数量需按甲方要求执行。｝ 履约时间：{XXXX</w:t>
      </w:r>
    </w:p>
    <w:p w14:paraId="0EE932F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年 XX 月 XX 日}-{XXXX 年 XX 月 XX 日｝ (采购人选择)</w:t>
      </w:r>
    </w:p>
    <w:p w14:paraId="2354CAF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4.2.交货地点：｛（继承信息，可编辑）XX｝</w:t>
      </w:r>
    </w:p>
    <w:p w14:paraId="06FAC65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 xml:space="preserve">4.3.分期履行要求： </w:t>
      </w:r>
    </w:p>
    <w:p w14:paraId="5D97A6F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1DECFD6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4.4.风险处置措施和替代方案：</w:t>
      </w:r>
    </w:p>
    <w:p w14:paraId="27C2A16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方有权根据合同履行中的新情况(包括但不限于政策法律变化、经营方针调整、原有合同无法或难以履行等)解除本合同，但应当提前通知乙方，本合同自通知送达卖方后15日届满之日终止。通知送达之日前已经履行的，双方按照本合同约定结算，通知送达之日尚未履行的不再履行。乙方不得以此追究甲方违约责任。</w:t>
      </w:r>
    </w:p>
    <w:p w14:paraId="70B5BFDB">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五、验收、交付标准和方法</w:t>
      </w:r>
    </w:p>
    <w:p w14:paraId="078E288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5.1.安装调试、培训及验收</w:t>
      </w:r>
    </w:p>
    <w:p w14:paraId="73B6639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5.1.1.安装、调试</w:t>
      </w:r>
    </w:p>
    <w:p w14:paraId="371784C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5.1.1.1.乙方接到甲方通知后30 日内，乙方向甲方提供全面的机房建筑设计、供水供电、专用地线技术要求等设计图纸及安装条件的技术要求（如适用），并派专人现场进行技术服务和指导，配合完成设备安装所应当具备的全部条件。</w:t>
      </w:r>
    </w:p>
    <w:p w14:paraId="1C4E8A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5.1.1.2.开箱后，双方如无异议，乙方派有经验的工程技术人员开始负责安装和调试；如有异议，待问题解决后，乙方当日派人负责安装调试。如甲方的异议成立，则乙方的安装调试期限不顺延。</w:t>
      </w:r>
    </w:p>
    <w:p w14:paraId="0C24757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5.1.1.3.安装、调试期限为货到 30日内。乙方应在规定的安装调试期内完成该项工作。如因乙方责任而造成延期，所有因延期而产生的费用由乙方承担。</w:t>
      </w:r>
    </w:p>
    <w:p w14:paraId="6DBC3B9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5.1.1.4.安装调试过程中，乙方不得损坏甲方墙体等结构，若对甲方墙体等结构造成损坏，乙方需负责修复，所有修复费用由乙方承担，同时按照乙方不能履约处理，造成甲方损失的应当予以全额赔偿。同时所有进场费用（包括但不限于吊车装运费用等）由乙方承担。嵌入设备与原基建装修单位产生的安装相关费用由供应商自行承担。</w:t>
      </w:r>
    </w:p>
    <w:p w14:paraId="6945E68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5.1.1.5.乙方所派安装、调试及维修、维保人员名单必须与投标（响应）文件拟派人员名单（如有）一致，如需更换需事先书面征得甲方同意，且更换后人员的资质等级、工作经验等不得低于投标（响应）文件拟派人员。</w:t>
      </w:r>
    </w:p>
    <w:p w14:paraId="39A942A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5.1.2.培训</w:t>
      </w:r>
    </w:p>
    <w:p w14:paraId="2D6FAFD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5.1.2.1.乙方提供完整的培训计划和方案。</w:t>
      </w:r>
    </w:p>
    <w:p w14:paraId="30B92EB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5.1.2.2.操作培训：在设备安装调试完毕后，由乙方应用专家进行现场操作使用的培训和指导。出席对象为甲方对该设备的操作技术人员、医师、物理师及相关人员等。培训目的是让操作技术人员完全掌握该设备的操作流程和方法，甲方受培训人员签字后视为培训合格。上述培训为货物的标准配套服务，培训所需全部费用均由乙方支付。</w:t>
      </w:r>
    </w:p>
    <w:p w14:paraId="4B41B5A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5.1.2.3.维修培训：安装调试时，由乙方工程师对甲方维修工程师进行现场培训，培训的目的是让甲方维修工程师掌握常见故障的判断与常规处理方法以及日常的维护保养方法，甲方维修工程师签字后视为培训合格。上述培训为该货物的标准配套服务，培训所需全部费用均由乙方支付。</w:t>
      </w:r>
    </w:p>
    <w:p w14:paraId="32E3016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5.1.3.验收</w:t>
      </w:r>
    </w:p>
    <w:p w14:paraId="49BA245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乙方交付的货物应当符合下列约定：</w:t>
      </w:r>
    </w:p>
    <w:p w14:paraId="0511C9F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5.1.3.1.验收依据：招标文件、投标文件、承诺约定、合同及附件。</w:t>
      </w:r>
    </w:p>
    <w:p w14:paraId="167EF6A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5.1.3.2.货物配置齐全，乙方保证完全按时提供货物的硬件、软件和技术资料等。质量符合中国法律法规规定的标准，NMPA（如适用），是原产地生产的原装全新产品；技术参数和性能指标达到招投标（响应）文件、合同附件、产品技术说明等。验收时向甲方提供保证其产品质量的相关手续。如双方对质量和参数性能有异议，由买、卖双方认可的国家相关部门专家验收，出具检测验收报告为准，甲方也可委托中国有资格的单位对上述仪器的质量、技术参数、精度等进行检测校准，发生的所有费用由乙方承担。甲乙双方如对质量要求和技术指标的约定标准有相互抵触或异议的事项，由甲方在招标与投标（响应）文件中按质量要求和技术指标比较优胜的原则确定该项的约定标准进行验收。如货物经乙方一次维修或更换仍不能达到合同约定的质量标准，甲方有权退货，并视作乙方不能交付货物而须支付违约赔偿金给甲方，甲方还可依法追究乙方的违约责任。</w:t>
      </w:r>
    </w:p>
    <w:p w14:paraId="1FCA502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技术资料齐全（中文版本或中外文对照），乙方应当在甲方验收时将所提供货物的装箱清单、配件、随机工具、用户使用手册、原厂保修卡等资料交付给甲方。进口设备需提供商检证明及按照现行法律规定需要提供的其他证明。乙方不能完整交付本款规定的资料的，必须负责补齐，否则视为未按合同约定交货。如包装有损坏、产品有质量缺陷、配置短缺、规格型号不符、数量不符、资料不全等或不符合上述标准的，由乙方在7日内给予更换、补齐，并承担由此产生的全部费用，且交货时间不顺延。若更换后仍不符合要求，甲方有权退货并要求乙方承担合同总额30%的惩罚性违约金。</w:t>
      </w:r>
    </w:p>
    <w:p w14:paraId="2F717A9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5.1.4.验收方式</w:t>
      </w:r>
    </w:p>
    <w:p w14:paraId="2F7933A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5.1.4.1.由甲方编写验收资料[含配置验收、主要性能和质量验收、质量检测（涉及到需要计量检测的设备提供检测合格报告）及防护验收（如适用）、培训验收等]，自乙方书面提出验收申请之日起30日内组织相关部门与乙方共同验收，达到所有标准后，甲乙双方签字认可后开始计算质保期。</w:t>
      </w:r>
    </w:p>
    <w:p w14:paraId="57BF28A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5.1.4.2.验收时如发现所交付的货物有短缺、次品、损坏或其它不符合标准及本合同规定之情形者，甲方应做出详尽的现场记录（验收报告）或由甲乙双方签署备忘录，此现场记录或备忘录可用作补充、缺失和更换损坏部件的有效证据，乙方应按照甲方要求整改，及时修理、重整或更换，由此产生的时间延误与有关费用由乙方承担，验收期限相应顺延，但交货时间不顺延。</w:t>
      </w:r>
    </w:p>
    <w:p w14:paraId="5B87046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5.1.5.若乙方出现下列情形之一，即为验收不合格：</w:t>
      </w:r>
    </w:p>
    <w:p w14:paraId="65C0C1A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（1）逾期30日未予整改；</w:t>
      </w:r>
    </w:p>
    <w:p w14:paraId="2ED2F70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（2）整改后仍不符合招标（采购）文件、投标（响应）文件、承诺函、合同及其附件、补充协议或备忘录（如有）所定标准；</w:t>
      </w:r>
    </w:p>
    <w:p w14:paraId="6E5B473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（3）无正当理由拒不申请验收、拒不参与验收、拒不配合验收；</w:t>
      </w:r>
    </w:p>
    <w:p w14:paraId="3EC8F9D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（4）拒绝签署记载验收情况的文件；</w:t>
      </w:r>
    </w:p>
    <w:p w14:paraId="3F26026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出现上述情况的，甲方有权单方解除本合同，乙方应当按照甲方要求期限退还已支付费用，剩余价款不再支付，且乙方须自收到解除通知之日起10日内拆除、运离全部设备，将安装场地恢复原状，并承担上述费用。逾期未履行的，甲方可自行处置设备及场地（含破坏性拆除），由此产生的全部费用均由乙方承担，自合同解除通知送达乙方之日起甲方不承担对乙方设备任何保管责任或其他法律责任。</w:t>
      </w:r>
    </w:p>
    <w:p w14:paraId="3037EE7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5.2.是否以采购活动中供应商提供的样品作为参考： {（继承信息，不可编辑）是/否}</w:t>
      </w:r>
    </w:p>
    <w:p w14:paraId="6CC3D6B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5.3.进口货物保险（如适用）</w:t>
      </w:r>
    </w:p>
    <w:p w14:paraId="30103C7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乙方应提供一式三联保险凭证，按合同金额的110%承保，且在保险凭证注明可在中国索赔。该保险含陆运、空运、海运全程保险和战争险等。</w:t>
      </w:r>
    </w:p>
    <w:p w14:paraId="79ED485F">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六、甲方的权利和义务</w:t>
      </w:r>
    </w:p>
    <w:p w14:paraId="1EFE50D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6.1.甲方有权依据双方签订的合同对乙方提供的货物进行验收。</w:t>
      </w:r>
    </w:p>
    <w:p w14:paraId="1D70D49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6.2.根据本合同规定，满足约定支付条件的，甲方按约定付款。</w:t>
      </w:r>
    </w:p>
    <w:p w14:paraId="0C97DE4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6.3.本合同约定的甲方其他权利。</w:t>
      </w:r>
    </w:p>
    <w:p w14:paraId="3936F939">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b/>
          <w:bCs/>
          <w:snapToGrid w:val="0"/>
          <w:color w:val="000000"/>
          <w:kern w:val="0"/>
          <w:szCs w:val="21"/>
          <w:lang w:eastAsia="zh-CN"/>
        </w:rPr>
        <w:t>七、乙方的权利和义务</w:t>
      </w:r>
    </w:p>
    <w:p w14:paraId="0D03D8B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7.1.乙方承诺遵守《中华人民共和国劳动合同法》有关规定和《中华人民共和国妇女权益保障法》中关于“劳动和社会保障权益 ”的有关要求。</w:t>
      </w:r>
    </w:p>
    <w:p w14:paraId="679E02F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7.2.乙方有权根据本合同约定向甲方收取合同价款。</w:t>
      </w:r>
    </w:p>
    <w:p w14:paraId="33E42B0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352691A">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八、违约责任</w:t>
      </w:r>
    </w:p>
    <w:p w14:paraId="1B96FCF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8.1.甲方违约责任</w:t>
      </w:r>
    </w:p>
    <w:p w14:paraId="0A724BA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甲方无正当理由拒收货物的应赔偿乙方损失，但赔偿金不超过拒收货物价款的10%。甲方拒收的产品，由乙方自行处置，甲方不承担保管、搬离以及货物丢失、损毁、灭失等的责任和由此产生的费用或损失。</w:t>
      </w:r>
    </w:p>
    <w:p w14:paraId="5DCCC53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甲方逾期支付货款的，除应及时付足货款外，应向乙方偿付欠款总额万分之二/天的违约金，有正当理由除外。</w:t>
      </w:r>
    </w:p>
    <w:p w14:paraId="13B6CBB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8.2.乙方违约责任</w:t>
      </w:r>
    </w:p>
    <w:p w14:paraId="66B2D5B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8.2.1.乙方交付的货物质量不符合规定的，须在合同规定的交货时间内更换合格的货物给甲方，且不顺延交货期限，乙方逾期交货的，则按8.2.2.规定由乙方偿付违约金给甲方。</w:t>
      </w:r>
    </w:p>
    <w:p w14:paraId="75BCE4C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8.2.2.乙方如不能按时交货，必须承担本合同约定的违约责任及由此给甲方造成的所有损失，同时甲方有权解除合同并追究乙方违约责任。交货是指乙方将货物运送至甲方指定地点，甲方按照本合同配置清单及装箱清单等进行核对无误后，视为交货完成。经甲方核对，乙方未能按本合同配置清单及装箱清单等交付的，甲方有权拒收全部货物，甲方拒收的，即为乙方未交货。拒收的货物由乙方负责处置，甲方不承担保管等责任。乙方不能交付/调试安装货物或逾期交付/调试安装货物而违约的，除应及时交足货物外，应向甲方偿付货款总额的万分之二/天的违约金及赔偿由此给甲方造成的全部损失；逾期交货/调试安装超过30天，甲方有权解除合同，乙方则应按合同总价的20%的款额向甲方偿付赔偿金，并须全额退还甲方已经支付给乙方的货款及同期银行贷款利息。</w:t>
      </w:r>
    </w:p>
    <w:p w14:paraId="6AA2963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8.2.3.乙方货物经甲方送交具有法定资格条件的质量技术监督机构检测后，如检测结果认定货物质量不符合本合同规定标准的，则视为乙方没有按时交货而违约，乙方须在30天内无条件更换合格的货物，且交货时间不顺延。如逾期不能更换合格的货物，甲方有权解除本合同，乙方应另付合同总价的20%的违约金给甲方，并须全额退还甲方已经付给乙方的货款及同期银行贷款利息。</w:t>
      </w:r>
    </w:p>
    <w:p w14:paraId="7A68AA3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8.2.4.乙方保证本合同项目的权利无瑕疵，包括货物或服务的所有权及知识产权等权利无瑕疵。如任何第三方经法院裁决有权对上述项目主张权利或国家机关依法对货物进行没收、查封、责令停止侵权行为等的，乙方除应向甲方返还已收款项及同期银行贷款利息外，还应另按合同总价的20%向甲方支付违约金并赔偿因此给甲方造成的一切直接及间接损失。甲方向第三方承担赔偿责任后，有权向乙方追偿。</w:t>
      </w:r>
    </w:p>
    <w:p w14:paraId="1C58019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8.2.5.乙方未按照本协议约定及时履行其质保义务的，甲方有权委托其他有资质的机构进行维修，由此产生的一切费用由乙方承担，甲方有权从剩余货款中直接扣除；若甲方已完成货款支付的，乙方应当按照甲方期限要求向甲方另行支付第三方维修费用。若因此给甲方造成了损失的，乙方还应全额赔偿。</w:t>
      </w:r>
    </w:p>
    <w:p w14:paraId="7740C0A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8.2.6.合同生效后乙方未经甲方同意拒绝交付货物，或除法定可以解除合同的情形外单方面解除合同的，乙方应向甲方支付合同总价的20%的违约金。</w:t>
      </w:r>
    </w:p>
    <w:p w14:paraId="0A2BFAF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8.2.7.乙方违反本合同其他约定，经甲方通知后在30天内不改正或整改后仍不符合合同约定的，甲方有权解除合同、不支付乙方任何款项并追究乙方的违约责任，乙方应当退还甲方已支付的款项（如有），未支付的款项甲方不再支付。</w:t>
      </w:r>
    </w:p>
    <w:p w14:paraId="5446F0F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8.2.8.因乙方的原因（包括但不限于乙方拒绝交付货物、货物验收不合格等）致合同解除的，乙方应当退还甲方已支付的款项（如有），未支付的款项甲方不再支付，乙方还应当按合同金额的20%向甲方支付违约金。</w:t>
      </w:r>
    </w:p>
    <w:p w14:paraId="40968EB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8.2.9.乙方违约除按上述约定承担违约责任外，还应另行赔偿由此给甲方造成的全部损失（包括但不限于重新采购/购买的费用、重新采购/购买货物（含维保）的差价、因货物未能到位期间给甲方造成的运营损失及其他损失、甲方因乙方违约向第三方承担的违约金及赔偿金、诉讼费、保全费、律师费、鉴定费、差旅费等）。</w:t>
      </w:r>
    </w:p>
    <w:p w14:paraId="6AEDE6A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8.2.10.乙方根据本合同约定应承担违约金和赔偿金，乙方拒绝支付的，甲方有权从应付款中扣除相应金额，乙方对此无异议。</w:t>
      </w:r>
    </w:p>
    <w:p w14:paraId="43B6B59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8.2.11.合同解除的，货物由乙方自行处置并承担相关费用，甲方不负责保管、拆除、送返等。</w:t>
      </w:r>
    </w:p>
    <w:p w14:paraId="5362282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8.3.其他违约责任</w:t>
      </w:r>
    </w:p>
    <w:p w14:paraId="77ABD52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除本协议另有约定外，一方擅自解除本协议的，应当赔偿守约方损失，并支付违约金，违约金按照合同价格的10%计算。</w:t>
      </w:r>
    </w:p>
    <w:p w14:paraId="161E4491">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九、争议解决方法</w:t>
      </w:r>
    </w:p>
    <w:p w14:paraId="2239361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9.1.争议的解决</w:t>
      </w:r>
    </w:p>
    <w:p w14:paraId="07DCA17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9.1.1.招标文件、投标文件、承诺约定、本合同的附件、补充协议、会议纪要等是构成本合同不可分割的部分，与本合同具有同等法律效力，如以上各文件相互有冲突或有内容不一致的地方，或上述文件中表述出现歧义致甲乙双方的理解不同的，应以有利于甲方解释为准。</w:t>
      </w:r>
    </w:p>
    <w:p w14:paraId="362A2F6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9.1.2.招标文件、投标文件、承诺约定、本合同的附件及本合同等如有中、英文两种版本应以中文版本为准且应做有利于甲方解释。</w:t>
      </w:r>
    </w:p>
    <w:p w14:paraId="0B69B44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9.1.3.未尽事宜，双方另行协商解决，并签订补充协议。</w:t>
      </w:r>
    </w:p>
    <w:p w14:paraId="7136A9B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9.2.法律管辖及诉讼</w:t>
      </w:r>
    </w:p>
    <w:p w14:paraId="5918BC3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甲乙双方之合同受中华人民共和国法律之管辖并依其进行解释。如有争议，在双方友好交涉无法解决时，根据中国法律在中国境内（甲方所在地）进行起诉。</w:t>
      </w:r>
    </w:p>
    <w:p w14:paraId="24F9B72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9.3.如甲乙双方有争议的事项不影响合同其他部分的履行，在争议解决期间，合同其他部分应当继续履行。</w:t>
      </w:r>
    </w:p>
    <w:p w14:paraId="1AF3B127">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b/>
          <w:bCs/>
          <w:snapToGrid w:val="0"/>
          <w:color w:val="000000"/>
          <w:kern w:val="0"/>
          <w:szCs w:val="21"/>
          <w:lang w:eastAsia="zh-CN"/>
        </w:rPr>
        <w:t>十、组成合同的文件</w:t>
      </w:r>
    </w:p>
    <w:p w14:paraId="11DFED2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本合同与下列文件一起构成合同文件，如下述文件之间有任何抵触、矛盾或歧义，应按以下顺序解释：</w:t>
      </w:r>
    </w:p>
    <w:p w14:paraId="569AA02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（1）政府采购合同及其变更、补充协议</w:t>
      </w:r>
    </w:p>
    <w:p w14:paraId="04FFCD7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（2）中标（成交）通知书</w:t>
      </w:r>
    </w:p>
    <w:p w14:paraId="647A366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（3）投标（响应）文件</w:t>
      </w:r>
    </w:p>
    <w:p w14:paraId="3F8513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（4）采购文件</w:t>
      </w:r>
    </w:p>
    <w:p w14:paraId="6F4A4E1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（5）有关技术文件，图纸</w:t>
      </w:r>
    </w:p>
    <w:p w14:paraId="10A3EAA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（6）国家法律、行政法规和规章制度规定或合同约定的作为合同组成部分的其他文件</w:t>
      </w:r>
    </w:p>
    <w:p w14:paraId="7B6EF2F1">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十一、其他条款</w:t>
      </w:r>
    </w:p>
    <w:p w14:paraId="6A6B10A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11.1.履约保证金</w:t>
      </w:r>
    </w:p>
    <w:p w14:paraId="286B598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｛（继承信息，为【否】时不可编辑）</w:t>
      </w:r>
    </w:p>
    <w:p w14:paraId="3957192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是否收取履约保证金：否｝</w:t>
      </w:r>
    </w:p>
    <w:p w14:paraId="5D6C464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｛（继承信息，为【是】时部分可编辑）</w:t>
      </w:r>
    </w:p>
    <w:p w14:paraId="1DD1079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是否收取履约保证金：是</w:t>
      </w:r>
    </w:p>
    <w:p w14:paraId="771CA74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履约保证金金额（元）：{（以中标（成交）金额按预设比例计算，保留两位小数四舍五入，可编辑）XX}</w:t>
      </w:r>
    </w:p>
    <w:p w14:paraId="214A724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履约保证金收取比例：{（继承信息，不可编辑）XX}%</w:t>
      </w:r>
    </w:p>
    <w:p w14:paraId="400F418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履约保证金收取方式：{单选，银行转账、支票(汇票/本票)、保函(保险)、纸质保函(保险)}</w:t>
      </w:r>
    </w:p>
    <w:p w14:paraId="2452685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收款单位：{（继承信息，不可编辑）XX}</w:t>
      </w:r>
    </w:p>
    <w:p w14:paraId="087961D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开户行：{（继承信息，不可编辑）XX}</w:t>
      </w:r>
    </w:p>
    <w:p w14:paraId="33AC451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银行账号：{（继承信息，不可编辑）XX}</w:t>
      </w:r>
    </w:p>
    <w:p w14:paraId="72E322B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退还方式：{（继承信息，不可编辑）XX}</w:t>
      </w:r>
    </w:p>
    <w:p w14:paraId="0EB8FDB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退还时间：{（继承信息，不可编辑）XX}</w:t>
      </w:r>
    </w:p>
    <w:p w14:paraId="69EA009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不予退还情形：{（继承信息，不可编辑）XX}</w:t>
      </w:r>
    </w:p>
    <w:p w14:paraId="51247F2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不予退还的，将按照有关规定上缴国库。逾期退还履约保证金的，将依法承担法律责任，并赔偿供应商损失。｝</w:t>
      </w:r>
    </w:p>
    <w:p w14:paraId="002F227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{（预设内容，可编辑）</w:t>
      </w:r>
    </w:p>
    <w:p w14:paraId="2B4AB9A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如果乙方未能按合同约定全面履行义务，甲方有权从履约保证金中取得补偿或赔偿，且不影响甲方要求乙方承担合同约定的超过履约保证金的违约责任的权利。</w:t>
      </w:r>
    </w:p>
    <w:p w14:paraId="6CC1F86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甲方逾期退还履约保证金的，乙方可要求甲方支付违约金，违约金支付比例：XX。}</w:t>
      </w:r>
    </w:p>
    <w:p w14:paraId="6862F4A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11.2.不可抗力事件处理</w:t>
      </w:r>
    </w:p>
    <w:p w14:paraId="3751CE31">
      <w:pPr>
        <w:tabs>
          <w:tab w:val="left" w:pos="0"/>
        </w:tabs>
        <w:kinsoku w:val="0"/>
        <w:autoSpaceDE w:val="0"/>
        <w:autoSpaceDN w:val="0"/>
        <w:adjustRightInd w:val="0"/>
        <w:snapToGrid w:val="0"/>
        <w:ind w:firstLine="630"/>
        <w:textAlignment w:val="baseline"/>
        <w:rPr>
          <w:rFonts w:hint="eastAsia" w:ascii="仿宋" w:hAnsi="仿宋" w:eastAsia="仿宋" w:cs="仿宋"/>
          <w:snapToGrid w:val="0"/>
          <w:color w:val="000000"/>
          <w:sz w:val="21"/>
          <w:szCs w:val="21"/>
          <w:lang w:val="en-US" w:eastAsia="zh-CN" w:bidi="ar-SA"/>
        </w:rPr>
      </w:pPr>
      <w:r>
        <w:rPr>
          <w:rFonts w:hint="eastAsia" w:ascii="仿宋" w:hAnsi="仿宋" w:eastAsia="仿宋" w:cs="仿宋"/>
          <w:snapToGrid w:val="0"/>
          <w:color w:val="000000"/>
          <w:sz w:val="21"/>
          <w:szCs w:val="21"/>
          <w:lang w:val="en-US" w:eastAsia="zh-CN" w:bidi="ar-SA"/>
        </w:rPr>
        <w:t>11.2.1.任何一方对由于不可抗力造成的部分或全部不能履行合同不承担违约责任。但迟延履行后发生不可抗力的，不能免除责任。</w:t>
      </w:r>
    </w:p>
    <w:p w14:paraId="586007DD">
      <w:pPr>
        <w:tabs>
          <w:tab w:val="left" w:pos="0"/>
        </w:tabs>
        <w:kinsoku w:val="0"/>
        <w:autoSpaceDE w:val="0"/>
        <w:autoSpaceDN w:val="0"/>
        <w:adjustRightInd w:val="0"/>
        <w:snapToGrid w:val="0"/>
        <w:ind w:firstLine="630"/>
        <w:textAlignment w:val="baseline"/>
        <w:rPr>
          <w:rFonts w:hint="eastAsia" w:ascii="仿宋" w:hAnsi="仿宋" w:eastAsia="仿宋" w:cs="仿宋"/>
          <w:snapToGrid w:val="0"/>
          <w:color w:val="000000"/>
          <w:sz w:val="21"/>
          <w:szCs w:val="21"/>
          <w:lang w:val="en-US" w:eastAsia="zh-CN" w:bidi="ar-SA"/>
        </w:rPr>
      </w:pPr>
      <w:r>
        <w:rPr>
          <w:rFonts w:hint="eastAsia" w:ascii="仿宋" w:hAnsi="仿宋" w:eastAsia="仿宋" w:cs="仿宋"/>
          <w:snapToGrid w:val="0"/>
          <w:color w:val="000000"/>
          <w:sz w:val="21"/>
          <w:szCs w:val="21"/>
          <w:lang w:val="en-US" w:eastAsia="zh-CN" w:bidi="ar-SA"/>
        </w:rPr>
        <w:t>11.2.2.因不可抗力事件受到影响无法履行合同的一方应在 7 个工作日内通知对方，当不可抗力事件消除后，受到影响的一方应尽快书面通知另一方。</w:t>
      </w:r>
    </w:p>
    <w:p w14:paraId="771A8FDC">
      <w:pPr>
        <w:tabs>
          <w:tab w:val="left" w:pos="0"/>
        </w:tabs>
        <w:kinsoku w:val="0"/>
        <w:autoSpaceDE w:val="0"/>
        <w:autoSpaceDN w:val="0"/>
        <w:adjustRightInd w:val="0"/>
        <w:snapToGrid w:val="0"/>
        <w:ind w:firstLine="630"/>
        <w:textAlignment w:val="baseline"/>
        <w:rPr>
          <w:rFonts w:hint="eastAsia" w:ascii="仿宋" w:hAnsi="仿宋" w:eastAsia="仿宋" w:cs="仿宋"/>
          <w:snapToGrid w:val="0"/>
          <w:color w:val="000000"/>
          <w:sz w:val="21"/>
          <w:szCs w:val="21"/>
          <w:lang w:val="en-US" w:eastAsia="zh-CN" w:bidi="ar-SA"/>
        </w:rPr>
      </w:pPr>
      <w:r>
        <w:rPr>
          <w:rFonts w:hint="eastAsia" w:ascii="仿宋" w:hAnsi="仿宋" w:eastAsia="仿宋" w:cs="仿宋"/>
          <w:snapToGrid w:val="0"/>
          <w:color w:val="000000"/>
          <w:sz w:val="21"/>
          <w:szCs w:val="21"/>
          <w:lang w:val="en-US" w:eastAsia="zh-CN" w:bidi="ar-SA"/>
        </w:rPr>
        <w:t>11.2.3.由于不可抗力事件而影响合同履行的，但不影响合同目的实现的，可延迟履行合同期限，延迟时间相当于事故所影响的时间。</w:t>
      </w:r>
    </w:p>
    <w:p w14:paraId="510DDE50">
      <w:pPr>
        <w:tabs>
          <w:tab w:val="left" w:pos="0"/>
        </w:tabs>
        <w:kinsoku w:val="0"/>
        <w:autoSpaceDE w:val="0"/>
        <w:autoSpaceDN w:val="0"/>
        <w:adjustRightInd w:val="0"/>
        <w:snapToGrid w:val="0"/>
        <w:ind w:firstLine="630"/>
        <w:textAlignment w:val="baseline"/>
        <w:rPr>
          <w:rFonts w:hint="eastAsia" w:ascii="仿宋" w:hAnsi="仿宋" w:eastAsia="仿宋" w:cs="仿宋"/>
          <w:snapToGrid w:val="0"/>
          <w:color w:val="000000"/>
          <w:sz w:val="21"/>
          <w:szCs w:val="21"/>
          <w:lang w:val="en-US" w:eastAsia="zh-CN" w:bidi="ar-SA"/>
        </w:rPr>
      </w:pPr>
      <w:r>
        <w:rPr>
          <w:rFonts w:hint="eastAsia" w:ascii="仿宋" w:hAnsi="仿宋" w:eastAsia="仿宋" w:cs="仿宋"/>
          <w:snapToGrid w:val="0"/>
          <w:color w:val="000000"/>
          <w:sz w:val="21"/>
          <w:szCs w:val="21"/>
          <w:lang w:val="en-US" w:eastAsia="zh-CN" w:bidi="ar-SA"/>
        </w:rPr>
        <w:t>11.3.权利瑕疵担保</w:t>
      </w:r>
    </w:p>
    <w:p w14:paraId="1C16726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乙方保证对其出售的货物享有合法的权利。乙方保证在交付的货物上不存在抵押权等担保物权。如甲方使用上述货物构成对第三人侵权的，则由乙方承担全部责任。甲方承担责任后有权向乙方追偿。</w:t>
      </w:r>
    </w:p>
    <w:p w14:paraId="24300DB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11.4.知识产权保护</w:t>
      </w:r>
    </w:p>
    <w:p w14:paraId="628A408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若因此给甲方造成了损失，乙方还应全额赔偿。甲方享有本项目实施过程中产生的知识成果及知识产权。乙方如欲在项目实施过程中采用自有知识成果，需在合同中声明，并提供相关知识产权证明文件。使用该知识成果后，乙方需提供开发接口和开发手册等技术文档，乙方保证永久提供源代码级技术访问权限，并承诺提供无限期技术支持，甲方享有永久使用权和后续开发权。如采用乙方所不拥有的知识产权，则该产品或服务的知识产权人的授权文书应作为本合同的组成部分，且在合同价中必须包括合法获取该知识产权的相关费用。</w:t>
      </w:r>
    </w:p>
    <w:p w14:paraId="6CDB47B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11.5.保密义务</w:t>
      </w:r>
    </w:p>
    <w:p w14:paraId="335B70A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乙双方对采购和合同履行过程中所获悉的国家秘密、工作秘密、商业秘密或者其他未经合法渠道公开的信息，均有保密义务且不受合同有效期所限，直至该信息成为公开信息。泄露、不正当地使用国家秘密、工作秘密、商业秘密或者其他应当保密的信息，应当承担相应责任。</w:t>
      </w:r>
    </w:p>
    <w:p w14:paraId="55FCA40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11.6.售后服务</w:t>
      </w:r>
    </w:p>
    <w:p w14:paraId="582DB50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详见本合同第二条2.3约定。乙方提供的售后服务的费用已包含在合同价款中，甲方不再另行支付。</w:t>
      </w:r>
    </w:p>
    <w:p w14:paraId="6C878E0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11.7.合同变更、中止与终止</w:t>
      </w:r>
    </w:p>
    <w:p w14:paraId="275FDE3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23DC7E4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11.7.1.合同的变更</w:t>
      </w:r>
    </w:p>
    <w:p w14:paraId="5CE560A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政府采购合同履行中，在不改变合同其他条款的前提下，甲方可以在合同价款 10%的范围内追加与合同标的相同的货物，并就此与乙方协商一致后签订补充协议。11.7.2.合同的中止</w:t>
      </w:r>
    </w:p>
    <w:p w14:paraId="66B8DD7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11.7.2.1.合同签订后，因询问、质疑可能影响成交结果的，甲方应当中止履行合同，因供应商就采购文件、采购过程或结果提起投诉的，甲方认为有必要的，可以中止合同的履行。</w:t>
      </w:r>
    </w:p>
    <w:p w14:paraId="5D1554C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6615C3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11.7.2.3.乙方分立、合并或者变更住所的，应当及时以书面形式告知甲方。乙方没有及时告知甲方，致使合同履行发生困难的，甲方可以中止合同履行并要求乙方承担由此给甲方造成的损失。</w:t>
      </w:r>
    </w:p>
    <w:p w14:paraId="301C47C2">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11.7.2.4.甲方不得以行政区划调整、政府换届、机构或者职能调整以及相关责任人更替为由中止合同。</w:t>
      </w:r>
    </w:p>
    <w:p w14:paraId="47F9AEC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11.7.3.合同的终止</w:t>
      </w:r>
    </w:p>
    <w:p w14:paraId="50B2BED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11.7.3.1.合同因有效期限届满而终止；</w:t>
      </w:r>
    </w:p>
    <w:p w14:paraId="745020E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11.7.3.2.任一方未按合同约定履行，构成根本性违约的，另一方有权解除合同，并追究违约方的违约责任。</w:t>
      </w:r>
    </w:p>
    <w:p w14:paraId="410C611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11.7.3.3.甲方依据本合同约定解除情形解除合同。</w:t>
      </w:r>
    </w:p>
    <w:p w14:paraId="12F4A6E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11.7.4.涉及国家利益、社会公共利益的情形</w:t>
      </w:r>
    </w:p>
    <w:p w14:paraId="4EB41B6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政府采购合同继续履行将损害国家利益和社会公共利益的，双方当事人应当变更、中止或者终止合同。有过错的一方应当承担赔偿责任，双方都有过错的，各自承担相应的责任。</w:t>
      </w:r>
    </w:p>
    <w:p w14:paraId="6E8C0154">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11.8.合同分包</w:t>
      </w:r>
    </w:p>
    <w:p w14:paraId="0C1BD53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乙方不得将合同转包给其他供应商。涉及合同分包的，乙方应根据采购文件和投标（响应）文件规定进行合同分包。</w:t>
      </w:r>
    </w:p>
    <w:p w14:paraId="22CFC02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乙方执行政府采购政策向中小企业依法分包的，乙方应当按采购文件和投标（响应）文件签订分包意向协议，分包意向协议属于本合同组成部分。</w:t>
      </w:r>
    </w:p>
    <w:p w14:paraId="170B66D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11.9.法律适用</w:t>
      </w:r>
    </w:p>
    <w:p w14:paraId="2B753BA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本合同的订立、生效、解释、履行及与本合同有关的争议解决，均适用中国法律、行政法规。</w:t>
      </w:r>
    </w:p>
    <w:p w14:paraId="4B7EE8B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本合同条款与法律、行政法规的强制性规定不一致的，双方当事人应按照法律、行政法规的强制性规定修改本合同的相关条款。</w:t>
      </w:r>
    </w:p>
    <w:p w14:paraId="5EB3576D">
      <w:pPr>
        <w:widowControl/>
        <w:kinsoku w:val="0"/>
        <w:autoSpaceDE w:val="0"/>
        <w:autoSpaceDN w:val="0"/>
        <w:adjustRightInd w:val="0"/>
        <w:snapToGrid w:val="0"/>
        <w:spacing w:line="360" w:lineRule="auto"/>
        <w:ind w:firstLine="422" w:firstLineChars="200"/>
        <w:jc w:val="left"/>
        <w:textAlignment w:val="baseline"/>
        <w:rPr>
          <w:rFonts w:hint="eastAsia" w:ascii="仿宋" w:hAnsi="仿宋" w:eastAsia="仿宋" w:cs="仿宋"/>
          <w:b/>
          <w:bCs/>
          <w:snapToGrid w:val="0"/>
          <w:color w:val="000000"/>
          <w:kern w:val="0"/>
          <w:szCs w:val="21"/>
          <w:lang w:eastAsia="zh-CN"/>
        </w:rPr>
      </w:pPr>
      <w:r>
        <w:rPr>
          <w:rFonts w:hint="eastAsia" w:ascii="仿宋" w:hAnsi="仿宋" w:eastAsia="仿宋" w:cs="仿宋"/>
          <w:b/>
          <w:bCs/>
          <w:snapToGrid w:val="0"/>
          <w:color w:val="000000"/>
          <w:kern w:val="0"/>
          <w:szCs w:val="21"/>
          <w:lang w:eastAsia="zh-CN"/>
        </w:rPr>
        <w:t>十二、合同生效及其他</w:t>
      </w:r>
    </w:p>
    <w:p w14:paraId="212DD65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12.1.合同经双方法定代表人（或主要负责人）或授权委托代理人签字或加盖公章后生效。</w:t>
      </w:r>
    </w:p>
    <w:p w14:paraId="768507CB">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12.2.甲、乙双方确认，本合同载明的当事人联系方式和联系信息适用于双方往来联系、送达合同、发票，以及与本合同相关之公函、律师函等书面文件送达及争议解决、仲裁、诉讼时法律文书送达地址。人民法院和/或仲裁机构的诉讼文书（含裁判文书）向任何合同任何一方当事人的上述地址送达的，视为有效送达。甲乙双方联系人或履行合同的人如用电子邮件、短信、微信、QQ等即时通讯工具发送上述文件的，发出方系统显示发送成功之日应被视为对方收到日期。</w:t>
      </w:r>
    </w:p>
    <w:p w14:paraId="6888F36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因以下情形导致法律文书未能被当事人接收的，依然产生送达的法律后果，自交邮后第7日视为送达：</w:t>
      </w:r>
    </w:p>
    <w:p w14:paraId="68EF800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（一）当事人提供或者确认的送达地址不准确的；</w:t>
      </w:r>
    </w:p>
    <w:p w14:paraId="470F67C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（二）送达地址变更后3日内未书面告知对方和人民法院的；</w:t>
      </w:r>
    </w:p>
    <w:p w14:paraId="350E2CD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（三）当事人或有权签收人拒绝签收的。</w:t>
      </w:r>
    </w:p>
    <w:p w14:paraId="7BDA25BD">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12.3.政府采购合同履行中，甲方需追加与合同标的相同的货物的，在不改变合同其他条款的前提下签订的补充合同，报政府采购监督管理部门备案，方可作为主合同不可分割的一部分。</w:t>
      </w:r>
    </w:p>
    <w:p w14:paraId="7AE6BF5D">
      <w:pPr>
        <w:widowControl w:val="0"/>
        <w:kinsoku/>
        <w:autoSpaceDE/>
        <w:autoSpaceDN/>
        <w:adjustRightInd/>
        <w:snapToGrid/>
        <w:spacing w:line="500" w:lineRule="exact"/>
        <w:ind w:firstLine="420" w:firstLineChars="200"/>
        <w:jc w:val="left"/>
        <w:textAlignment w:val="auto"/>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zh-CN"/>
        </w:rPr>
        <w:t>12.4.本合同一式 六份， 自双方签章之日起生效。甲方持有 四份，乙方持有 两 份（其中采购代理机构一份（若涉及），由乙方交由采购代理机构）。</w:t>
      </w:r>
      <w:r>
        <w:rPr>
          <w:rFonts w:hint="eastAsia" w:ascii="仿宋" w:hAnsi="仿宋" w:eastAsia="仿宋" w:cs="仿宋"/>
          <w:snapToGrid w:val="0"/>
          <w:color w:val="000000"/>
          <w:kern w:val="0"/>
          <w:szCs w:val="21"/>
          <w:lang w:eastAsia="en-US"/>
        </w:rPr>
        <w:t>经甲乙双方签字盖章后正式生效。</w:t>
      </w:r>
    </w:p>
    <w:p w14:paraId="01484ECC">
      <w:pPr>
        <w:tabs>
          <w:tab w:val="left" w:pos="0"/>
        </w:tabs>
        <w:kinsoku w:val="0"/>
        <w:autoSpaceDE w:val="0"/>
        <w:autoSpaceDN w:val="0"/>
        <w:adjustRightInd w:val="0"/>
        <w:snapToGrid w:val="0"/>
        <w:ind w:firstLine="630"/>
        <w:textAlignment w:val="baseline"/>
        <w:rPr>
          <w:rFonts w:hint="eastAsia" w:ascii="仿宋" w:hAnsi="仿宋" w:eastAsia="仿宋" w:cs="仿宋"/>
          <w:snapToGrid w:val="0"/>
          <w:color w:val="000000"/>
          <w:sz w:val="21"/>
          <w:szCs w:val="21"/>
          <w:lang w:val="en-US" w:eastAsia="en-US" w:bidi="ar-SA"/>
        </w:rPr>
      </w:pPr>
    </w:p>
    <w:tbl>
      <w:tblPr>
        <w:tblStyle w:val="4"/>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79413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tcPr>
          <w:p w14:paraId="4E038CE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甲方</w:t>
            </w:r>
          </w:p>
        </w:tc>
      </w:tr>
      <w:tr w14:paraId="6795D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55886C8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单位名称</w:t>
            </w:r>
          </w:p>
        </w:tc>
        <w:tc>
          <w:tcPr>
            <w:tcW w:w="4393" w:type="dxa"/>
          </w:tcPr>
          <w:p w14:paraId="6DB8DA2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（盖章）</w:t>
            </w:r>
          </w:p>
        </w:tc>
      </w:tr>
      <w:tr w14:paraId="652B5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79C6B02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法定代表人或其授权委托代理人（签章）</w:t>
            </w:r>
          </w:p>
        </w:tc>
        <w:tc>
          <w:tcPr>
            <w:tcW w:w="4393" w:type="dxa"/>
          </w:tcPr>
          <w:p w14:paraId="56611339">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tc>
      </w:tr>
      <w:tr w14:paraId="1D972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4A6DFAF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住  所</w:t>
            </w:r>
          </w:p>
        </w:tc>
        <w:tc>
          <w:tcPr>
            <w:tcW w:w="4393" w:type="dxa"/>
          </w:tcPr>
          <w:p w14:paraId="78422BC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r w14:paraId="148B3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4BFDFF3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开户银行</w:t>
            </w:r>
          </w:p>
        </w:tc>
        <w:tc>
          <w:tcPr>
            <w:tcW w:w="4393" w:type="dxa"/>
          </w:tcPr>
          <w:p w14:paraId="6A3529A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r w14:paraId="4B079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997" w:type="dxa"/>
          </w:tcPr>
          <w:p w14:paraId="3CA40A0C">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银行账号</w:t>
            </w:r>
          </w:p>
        </w:tc>
        <w:tc>
          <w:tcPr>
            <w:tcW w:w="4393" w:type="dxa"/>
          </w:tcPr>
          <w:p w14:paraId="7C224D9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bl>
    <w:p w14:paraId="7CE7AC31">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p w14:paraId="5EC5CAE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bl>
      <w:tblPr>
        <w:tblStyle w:val="4"/>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5F297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tcPr>
          <w:p w14:paraId="65072BD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乙方</w:t>
            </w:r>
          </w:p>
        </w:tc>
      </w:tr>
      <w:tr w14:paraId="10CC0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53F912D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单位名称</w:t>
            </w:r>
          </w:p>
        </w:tc>
        <w:tc>
          <w:tcPr>
            <w:tcW w:w="4393" w:type="dxa"/>
          </w:tcPr>
          <w:p w14:paraId="15559F46">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（盖章）</w:t>
            </w:r>
          </w:p>
        </w:tc>
      </w:tr>
      <w:tr w14:paraId="58E5A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7DE83F7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法定代表人或其授权委托代理人（签章）</w:t>
            </w:r>
          </w:p>
        </w:tc>
        <w:tc>
          <w:tcPr>
            <w:tcW w:w="4393" w:type="dxa"/>
          </w:tcPr>
          <w:p w14:paraId="51D7A51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tc>
      </w:tr>
      <w:tr w14:paraId="3F39CD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7E3B771A">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住  所</w:t>
            </w:r>
          </w:p>
        </w:tc>
        <w:tc>
          <w:tcPr>
            <w:tcW w:w="4393" w:type="dxa"/>
          </w:tcPr>
          <w:p w14:paraId="4A55235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r w14:paraId="79A15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tcPr>
          <w:p w14:paraId="2789812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开户银行</w:t>
            </w:r>
          </w:p>
        </w:tc>
        <w:tc>
          <w:tcPr>
            <w:tcW w:w="4393" w:type="dxa"/>
          </w:tcPr>
          <w:p w14:paraId="612C4008">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r w14:paraId="2A4B0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97" w:type="dxa"/>
          </w:tcPr>
          <w:p w14:paraId="3DFB56B0">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银行账号</w:t>
            </w:r>
          </w:p>
        </w:tc>
        <w:tc>
          <w:tcPr>
            <w:tcW w:w="4393" w:type="dxa"/>
          </w:tcPr>
          <w:p w14:paraId="6E3960FF">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p>
        </w:tc>
      </w:tr>
      <w:tr w14:paraId="3E5D3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997" w:type="dxa"/>
          </w:tcPr>
          <w:p w14:paraId="1B3CC483">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w:t>
            </w:r>
          </w:p>
        </w:tc>
        <w:tc>
          <w:tcPr>
            <w:tcW w:w="4393" w:type="dxa"/>
          </w:tcPr>
          <w:p w14:paraId="054B8C97">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en-US"/>
              </w:rPr>
            </w:pPr>
            <w:r>
              <w:rPr>
                <w:rFonts w:hint="eastAsia" w:ascii="仿宋" w:hAnsi="仿宋" w:eastAsia="仿宋" w:cs="仿宋"/>
                <w:snapToGrid w:val="0"/>
                <w:color w:val="000000"/>
                <w:kern w:val="0"/>
                <w:szCs w:val="21"/>
                <w:lang w:eastAsia="en-US"/>
              </w:rPr>
              <w:t>...</w:t>
            </w:r>
          </w:p>
        </w:tc>
      </w:tr>
    </w:tbl>
    <w:p w14:paraId="19F12916">
      <w:pPr>
        <w:widowControl/>
        <w:kinsoku w:val="0"/>
        <w:autoSpaceDE w:val="0"/>
        <w:autoSpaceDN w:val="0"/>
        <w:adjustRightInd w:val="0"/>
        <w:snapToGrid w:val="0"/>
        <w:spacing w:line="360" w:lineRule="auto"/>
        <w:ind w:firstLine="480" w:firstLineChars="200"/>
        <w:jc w:val="left"/>
        <w:textAlignment w:val="baseline"/>
        <w:rPr>
          <w:rFonts w:ascii="Arial" w:hAnsi="Arial" w:eastAsia="Arial" w:cs="Arial"/>
          <w:b/>
          <w:bCs/>
          <w:snapToGrid w:val="0"/>
          <w:color w:val="000000"/>
          <w:kern w:val="0"/>
          <w:sz w:val="24"/>
          <w:szCs w:val="24"/>
          <w:lang w:eastAsia="en-US"/>
        </w:rPr>
      </w:pPr>
    </w:p>
    <w:p w14:paraId="53C1EA76">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514C96EB">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02469E5A">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6A35822A">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21CF6A31">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2D29979E">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2FAA5C9F">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35AFF988">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3B04B1F8">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3E2C4F96">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44F5F4D3">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2ABE197F">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59E4E49E">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3D23662D">
      <w:pPr>
        <w:tabs>
          <w:tab w:val="left" w:pos="0"/>
        </w:tabs>
        <w:kinsoku w:val="0"/>
        <w:autoSpaceDE w:val="0"/>
        <w:autoSpaceDN w:val="0"/>
        <w:adjustRightInd w:val="0"/>
        <w:snapToGrid w:val="0"/>
        <w:ind w:firstLine="630"/>
        <w:textAlignment w:val="baseline"/>
        <w:rPr>
          <w:rFonts w:ascii="Arial" w:hAnsi="Times New Roman" w:eastAsia="Arial" w:cs="Arial"/>
          <w:b/>
          <w:bCs/>
          <w:snapToGrid w:val="0"/>
          <w:color w:val="000000"/>
          <w:sz w:val="28"/>
          <w:szCs w:val="28"/>
          <w:lang w:val="en-US" w:eastAsia="en-US" w:bidi="ar-SA"/>
        </w:rPr>
      </w:pPr>
    </w:p>
    <w:p w14:paraId="1213B1F4">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189E9CCF">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17F26966">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49C22A5F">
      <w:pPr>
        <w:widowControl/>
        <w:kinsoku w:val="0"/>
        <w:autoSpaceDE w:val="0"/>
        <w:autoSpaceDN w:val="0"/>
        <w:adjustRightInd w:val="0"/>
        <w:snapToGrid w:val="0"/>
        <w:spacing w:line="360" w:lineRule="auto"/>
        <w:ind w:firstLine="560" w:firstLineChars="200"/>
        <w:jc w:val="left"/>
        <w:textAlignment w:val="baseline"/>
        <w:rPr>
          <w:rFonts w:ascii="Arial" w:hAnsi="Arial" w:eastAsia="Arial" w:cs="Arial"/>
          <w:b/>
          <w:bCs/>
          <w:snapToGrid w:val="0"/>
          <w:color w:val="000000"/>
          <w:kern w:val="0"/>
          <w:sz w:val="28"/>
          <w:szCs w:val="28"/>
          <w:lang w:eastAsia="en-US"/>
        </w:rPr>
      </w:pPr>
    </w:p>
    <w:p w14:paraId="38E060D2">
      <w:pPr>
        <w:widowControl/>
        <w:kinsoku w:val="0"/>
        <w:autoSpaceDE w:val="0"/>
        <w:autoSpaceDN w:val="0"/>
        <w:adjustRightInd w:val="0"/>
        <w:snapToGrid w:val="0"/>
        <w:spacing w:line="360" w:lineRule="auto"/>
        <w:jc w:val="left"/>
        <w:textAlignment w:val="baseline"/>
        <w:rPr>
          <w:rFonts w:hint="eastAsia" w:ascii="仿宋" w:hAnsi="仿宋" w:eastAsia="仿宋" w:cs="Arial"/>
          <w:b/>
          <w:bCs/>
          <w:snapToGrid w:val="0"/>
          <w:color w:val="000000"/>
          <w:kern w:val="0"/>
          <w:szCs w:val="21"/>
          <w:lang w:eastAsia="zh-CN"/>
        </w:rPr>
      </w:pPr>
      <w:r>
        <w:rPr>
          <w:rFonts w:hint="eastAsia" w:ascii="仿宋" w:hAnsi="仿宋" w:eastAsia="仿宋" w:cs="Arial"/>
          <w:b/>
          <w:bCs/>
          <w:snapToGrid w:val="0"/>
          <w:color w:val="000000"/>
          <w:kern w:val="0"/>
          <w:szCs w:val="21"/>
          <w:lang w:eastAsia="en-US"/>
        </w:rPr>
        <w:t xml:space="preserve">附件一  </w:t>
      </w:r>
      <w:r>
        <w:rPr>
          <w:rFonts w:hint="eastAsia" w:ascii="仿宋" w:hAnsi="仿宋" w:eastAsia="仿宋" w:cs="Arial"/>
          <w:b/>
          <w:bCs/>
          <w:snapToGrid w:val="0"/>
          <w:color w:val="000000"/>
          <w:kern w:val="0"/>
          <w:szCs w:val="21"/>
          <w:lang w:eastAsia="zh-CN"/>
        </w:rPr>
        <w:t xml:space="preserve"> </w:t>
      </w:r>
    </w:p>
    <w:p w14:paraId="12EF17C2">
      <w:pPr>
        <w:widowControl/>
        <w:kinsoku w:val="0"/>
        <w:autoSpaceDE w:val="0"/>
        <w:autoSpaceDN w:val="0"/>
        <w:adjustRightInd w:val="0"/>
        <w:snapToGrid w:val="0"/>
        <w:spacing w:line="360" w:lineRule="auto"/>
        <w:jc w:val="center"/>
        <w:textAlignment w:val="baseline"/>
        <w:rPr>
          <w:rFonts w:hint="eastAsia" w:ascii="仿宋" w:hAnsi="仿宋" w:eastAsia="仿宋" w:cs="仿宋"/>
          <w:bCs/>
          <w:snapToGrid w:val="0"/>
          <w:color w:val="000000"/>
          <w:kern w:val="0"/>
          <w:szCs w:val="21"/>
          <w:lang w:eastAsia="en-US"/>
        </w:rPr>
      </w:pPr>
    </w:p>
    <w:p w14:paraId="796F1B2E">
      <w:pPr>
        <w:widowControl/>
        <w:kinsoku w:val="0"/>
        <w:autoSpaceDE w:val="0"/>
        <w:autoSpaceDN w:val="0"/>
        <w:adjustRightInd w:val="0"/>
        <w:snapToGrid w:val="0"/>
        <w:spacing w:line="360" w:lineRule="auto"/>
        <w:jc w:val="center"/>
        <w:textAlignment w:val="baseline"/>
        <w:rPr>
          <w:rFonts w:hint="eastAsia" w:ascii="仿宋" w:hAnsi="仿宋" w:eastAsia="仿宋" w:cs="仿宋"/>
          <w:bCs/>
          <w:snapToGrid w:val="0"/>
          <w:color w:val="000000"/>
          <w:kern w:val="0"/>
          <w:szCs w:val="21"/>
          <w:lang w:eastAsia="zh-CN"/>
        </w:rPr>
      </w:pPr>
      <w:r>
        <w:rPr>
          <w:rFonts w:hint="eastAsia" w:ascii="仿宋" w:hAnsi="仿宋" w:eastAsia="仿宋" w:cs="仿宋"/>
          <w:bCs/>
          <w:snapToGrid w:val="0"/>
          <w:color w:val="000000"/>
          <w:kern w:val="0"/>
          <w:szCs w:val="21"/>
          <w:lang w:eastAsia="zh-CN"/>
        </w:rPr>
        <w:t>四川省肿瘤医院廉洁购销协议</w:t>
      </w:r>
    </w:p>
    <w:p w14:paraId="3672AC45">
      <w:pPr>
        <w:tabs>
          <w:tab w:val="left" w:pos="0"/>
        </w:tabs>
        <w:kinsoku w:val="0"/>
        <w:autoSpaceDE w:val="0"/>
        <w:autoSpaceDN w:val="0"/>
        <w:adjustRightInd w:val="0"/>
        <w:snapToGrid w:val="0"/>
        <w:ind w:firstLine="630"/>
        <w:textAlignment w:val="baseline"/>
        <w:rPr>
          <w:rFonts w:ascii="Arial" w:hAnsi="Times New Roman" w:eastAsia="Arial" w:cs="Arial"/>
          <w:snapToGrid w:val="0"/>
          <w:color w:val="000000"/>
          <w:sz w:val="21"/>
          <w:szCs w:val="21"/>
          <w:lang w:val="en-US" w:eastAsia="zh-CN" w:bidi="ar-SA"/>
        </w:rPr>
      </w:pPr>
    </w:p>
    <w:p w14:paraId="6847B6F2">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甲方：四川省肿瘤医院</w:t>
      </w:r>
    </w:p>
    <w:p w14:paraId="224240A0">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乙方：</w:t>
      </w:r>
    </w:p>
    <w:p w14:paraId="62B60461">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为进一步加强医疗卫生行风建设，规范医疗卫生机构购销行为，有效防范商业贿赂行为，营造公平交易、诚实守信的购销环境，经甲、乙双方协商，同意签订本合同，并共同遵守：</w:t>
      </w:r>
    </w:p>
    <w:p w14:paraId="7BD2D74C">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一、甲乙双方按照《中华人民共和国民法典》及购销合同约定的购销药品、医药设备、医用耗材等。</w:t>
      </w:r>
    </w:p>
    <w:p w14:paraId="629A8B8C">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二、甲方应当严格执行医药产品购销合同验收、入库制度，对采购医药产品及发票进行查验，不得违反有关规定合同外采购、违价采购或从非规定渠道采购。</w:t>
      </w:r>
    </w:p>
    <w:p w14:paraId="5DE86D53">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医院纪检监察部门反映情况。</w:t>
      </w:r>
    </w:p>
    <w:p w14:paraId="38B6DF78">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四、严禁甲方工作人员利用任何途径和方式，为乙方统计医师个人及临床科室有关医药产品用量信息，或为乙方统计提供便利。</w:t>
      </w:r>
    </w:p>
    <w:p w14:paraId="5AA7E206">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五、乙方公司如有甲方干部及配偶、子女及配偶在其公司从事设备、耗材等经营活动的人员必需如实向甲方纪检部门进行报备。人员信息如有变更，需及时向甲方纪检部门重新报备。</w:t>
      </w:r>
    </w:p>
    <w:p w14:paraId="7596DB70">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六、乙方不得以回扣、宴请等方式影响甲方工作人员采购或使用医药产品的选择权，不得在学术活动中提供旅游、超标准支付食费宿用。</w:t>
      </w:r>
    </w:p>
    <w:p w14:paraId="376D6108">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七、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14:paraId="7A3047CB">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r>
        <w:rPr>
          <w:rFonts w:hint="eastAsia" w:ascii="仿宋" w:hAnsi="仿宋" w:eastAsia="仿宋" w:cs="仿宋"/>
          <w:snapToGrid w:val="0"/>
          <w:color w:val="000000"/>
          <w:kern w:val="0"/>
          <w:szCs w:val="21"/>
          <w:lang w:eastAsia="zh-CN"/>
        </w:rPr>
        <w:t>八、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293F396C">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798AB5AE">
      <w:pPr>
        <w:widowControl/>
        <w:numPr>
          <w:ilvl w:val="12"/>
          <w:numId w:val="0"/>
        </w:numPr>
        <w:kinsoku w:val="0"/>
        <w:autoSpaceDE w:val="0"/>
        <w:autoSpaceDN w:val="0"/>
        <w:adjustRightInd w:val="0"/>
        <w:snapToGrid w:val="0"/>
        <w:spacing w:line="360" w:lineRule="auto"/>
        <w:ind w:firstLine="420" w:firstLineChars="200"/>
        <w:jc w:val="left"/>
        <w:textAlignment w:val="baseline"/>
        <w:rPr>
          <w:rFonts w:hint="eastAsia" w:ascii="仿宋" w:hAnsi="仿宋" w:eastAsia="仿宋" w:cs="仿宋"/>
          <w:snapToGrid w:val="0"/>
          <w:color w:val="000000"/>
          <w:kern w:val="0"/>
          <w:szCs w:val="21"/>
          <w:lang w:eastAsia="zh-CN"/>
        </w:rPr>
      </w:pPr>
    </w:p>
    <w:p w14:paraId="5968BF0F">
      <w:pPr>
        <w:widowControl/>
        <w:kinsoku w:val="0"/>
        <w:autoSpaceDE w:val="0"/>
        <w:autoSpaceDN w:val="0"/>
        <w:adjustRightInd w:val="0"/>
        <w:snapToGrid w:val="0"/>
        <w:spacing w:line="360" w:lineRule="auto"/>
        <w:jc w:val="left"/>
        <w:textAlignment w:val="baseline"/>
        <w:rPr>
          <w:rFonts w:hint="eastAsia" w:ascii="仿宋" w:hAnsi="仿宋" w:eastAsia="仿宋" w:cs="Arial"/>
          <w:snapToGrid w:val="0"/>
          <w:color w:val="000000"/>
          <w:kern w:val="0"/>
          <w:szCs w:val="21"/>
          <w:lang w:eastAsia="zh-CN"/>
        </w:rPr>
      </w:pPr>
      <w:r>
        <w:rPr>
          <w:rFonts w:hint="eastAsia" w:ascii="仿宋" w:hAnsi="仿宋" w:eastAsia="仿宋" w:cs="Arial"/>
          <w:snapToGrid w:val="0"/>
          <w:color w:val="000000"/>
          <w:kern w:val="0"/>
          <w:szCs w:val="21"/>
          <w:lang w:eastAsia="zh-CN"/>
        </w:rPr>
        <w:t xml:space="preserve">甲方（盖章）：四川省肿瘤医院     </w:t>
      </w:r>
      <w:r>
        <w:rPr>
          <w:rFonts w:ascii="仿宋" w:hAnsi="仿宋" w:eastAsia="仿宋" w:cs="Arial"/>
          <w:snapToGrid w:val="0"/>
          <w:color w:val="000000"/>
          <w:kern w:val="0"/>
          <w:szCs w:val="21"/>
          <w:lang w:eastAsia="zh-CN"/>
        </w:rPr>
        <w:t xml:space="preserve">          </w:t>
      </w:r>
      <w:r>
        <w:rPr>
          <w:rFonts w:hint="eastAsia" w:ascii="仿宋" w:hAnsi="仿宋" w:eastAsia="仿宋" w:cs="Arial"/>
          <w:snapToGrid w:val="0"/>
          <w:color w:val="000000"/>
          <w:kern w:val="0"/>
          <w:szCs w:val="21"/>
          <w:lang w:eastAsia="zh-CN"/>
        </w:rPr>
        <w:t>乙方（盖章）：</w:t>
      </w:r>
    </w:p>
    <w:p w14:paraId="22767D31">
      <w:pPr>
        <w:tabs>
          <w:tab w:val="left" w:pos="0"/>
        </w:tabs>
        <w:kinsoku w:val="0"/>
        <w:autoSpaceDE w:val="0"/>
        <w:autoSpaceDN w:val="0"/>
        <w:adjustRightInd w:val="0"/>
        <w:snapToGrid w:val="0"/>
        <w:ind w:firstLine="630"/>
        <w:textAlignment w:val="baseline"/>
        <w:rPr>
          <w:rFonts w:ascii="Arial" w:hAnsi="Times New Roman" w:eastAsia="Arial" w:cs="Arial"/>
          <w:snapToGrid w:val="0"/>
          <w:color w:val="000000"/>
          <w:sz w:val="21"/>
          <w:szCs w:val="21"/>
          <w:lang w:val="en-US" w:eastAsia="zh-CN" w:bidi="ar-SA"/>
        </w:rPr>
      </w:pPr>
    </w:p>
    <w:p w14:paraId="36AD7301">
      <w:pPr>
        <w:widowControl/>
        <w:kinsoku w:val="0"/>
        <w:autoSpaceDE w:val="0"/>
        <w:autoSpaceDN w:val="0"/>
        <w:adjustRightInd w:val="0"/>
        <w:snapToGrid w:val="0"/>
        <w:spacing w:line="360" w:lineRule="auto"/>
        <w:jc w:val="left"/>
        <w:textAlignment w:val="baseline"/>
        <w:rPr>
          <w:rFonts w:hint="eastAsia" w:ascii="仿宋" w:hAnsi="仿宋" w:eastAsia="仿宋" w:cs="Arial"/>
          <w:snapToGrid w:val="0"/>
          <w:color w:val="000000"/>
          <w:kern w:val="0"/>
          <w:szCs w:val="21"/>
          <w:lang w:eastAsia="zh-CN"/>
        </w:rPr>
      </w:pPr>
      <w:r>
        <w:rPr>
          <w:rFonts w:hint="eastAsia" w:ascii="仿宋" w:hAnsi="仿宋" w:eastAsia="仿宋" w:cs="Arial"/>
          <w:snapToGrid w:val="0"/>
          <w:color w:val="000000"/>
          <w:kern w:val="0"/>
          <w:szCs w:val="21"/>
          <w:lang w:eastAsia="zh-CN"/>
        </w:rPr>
        <w:t xml:space="preserve">甲方法定代表人/授权代表： </w:t>
      </w:r>
      <w:r>
        <w:rPr>
          <w:rFonts w:ascii="仿宋" w:hAnsi="仿宋" w:eastAsia="仿宋" w:cs="Arial"/>
          <w:snapToGrid w:val="0"/>
          <w:color w:val="000000"/>
          <w:kern w:val="0"/>
          <w:szCs w:val="21"/>
          <w:lang w:eastAsia="zh-CN"/>
        </w:rPr>
        <w:t xml:space="preserve">  </w:t>
      </w:r>
      <w:r>
        <w:rPr>
          <w:rFonts w:hint="eastAsia" w:ascii="仿宋" w:hAnsi="仿宋" w:eastAsia="仿宋" w:cs="Arial"/>
          <w:snapToGrid w:val="0"/>
          <w:color w:val="000000"/>
          <w:kern w:val="0"/>
          <w:szCs w:val="21"/>
          <w:lang w:eastAsia="zh-CN"/>
        </w:rPr>
        <w:t xml:space="preserve">               法定代表人/授权代表：                   </w:t>
      </w:r>
    </w:p>
    <w:p w14:paraId="3721BBAA">
      <w:pPr>
        <w:widowControl/>
        <w:kinsoku w:val="0"/>
        <w:autoSpaceDE w:val="0"/>
        <w:autoSpaceDN w:val="0"/>
        <w:adjustRightInd w:val="0"/>
        <w:snapToGrid w:val="0"/>
        <w:spacing w:line="360" w:lineRule="auto"/>
        <w:jc w:val="left"/>
        <w:textAlignment w:val="baseline"/>
        <w:rPr>
          <w:rFonts w:hint="eastAsia" w:ascii="仿宋" w:hAnsi="仿宋" w:eastAsia="仿宋" w:cs="Arial"/>
          <w:snapToGrid w:val="0"/>
          <w:color w:val="000000"/>
          <w:kern w:val="0"/>
          <w:szCs w:val="21"/>
          <w:lang w:eastAsia="zh-CN"/>
        </w:rPr>
      </w:pPr>
      <w:r>
        <w:rPr>
          <w:rFonts w:hint="eastAsia" w:ascii="仿宋" w:hAnsi="仿宋" w:eastAsia="仿宋" w:cs="Arial"/>
          <w:snapToGrid w:val="0"/>
          <w:color w:val="000000"/>
          <w:kern w:val="0"/>
          <w:szCs w:val="21"/>
          <w:lang w:eastAsia="zh-CN"/>
        </w:rPr>
        <w:t>年   月   日                               年   月   日</w:t>
      </w:r>
    </w:p>
    <w:p w14:paraId="24293B7B">
      <w:pPr>
        <w:widowControl/>
        <w:kinsoku w:val="0"/>
        <w:autoSpaceDE w:val="0"/>
        <w:autoSpaceDN w:val="0"/>
        <w:adjustRightInd w:val="0"/>
        <w:snapToGrid w:val="0"/>
        <w:jc w:val="left"/>
        <w:textAlignment w:val="baseline"/>
        <w:rPr>
          <w:rFonts w:hint="eastAsia" w:ascii="仿宋" w:hAnsi="仿宋" w:eastAsia="仿宋" w:cs="Arial"/>
          <w:snapToGrid w:val="0"/>
          <w:color w:val="000000"/>
          <w:kern w:val="0"/>
          <w:szCs w:val="21"/>
          <w:lang w:eastAsia="zh-CN"/>
        </w:rPr>
      </w:pPr>
      <w:r>
        <w:rPr>
          <w:rFonts w:hint="eastAsia" w:ascii="仿宋" w:hAnsi="仿宋" w:eastAsia="仿宋" w:cs="Arial"/>
          <w:snapToGrid w:val="0"/>
          <w:color w:val="000000"/>
          <w:kern w:val="0"/>
          <w:szCs w:val="21"/>
          <w:lang w:eastAsia="zh-CN"/>
        </w:rPr>
        <w:br w:type="page"/>
      </w:r>
    </w:p>
    <w:p w14:paraId="5CDBA58A">
      <w:pPr>
        <w:widowControl/>
        <w:kinsoku w:val="0"/>
        <w:autoSpaceDE w:val="0"/>
        <w:autoSpaceDN w:val="0"/>
        <w:adjustRightInd w:val="0"/>
        <w:snapToGrid w:val="0"/>
        <w:spacing w:line="360" w:lineRule="auto"/>
        <w:jc w:val="left"/>
        <w:textAlignment w:val="baseline"/>
        <w:rPr>
          <w:rFonts w:hint="eastAsia" w:ascii="仿宋" w:hAnsi="仿宋" w:eastAsia="仿宋" w:cs="Arial"/>
          <w:b/>
          <w:bCs/>
          <w:snapToGrid w:val="0"/>
          <w:color w:val="000000"/>
          <w:kern w:val="0"/>
          <w:szCs w:val="21"/>
          <w:lang w:eastAsia="zh-CN"/>
        </w:rPr>
      </w:pPr>
      <w:r>
        <w:rPr>
          <w:rFonts w:hint="eastAsia" w:ascii="仿宋" w:hAnsi="仿宋" w:eastAsia="仿宋" w:cs="Arial"/>
          <w:b/>
          <w:bCs/>
          <w:snapToGrid w:val="0"/>
          <w:color w:val="000000"/>
          <w:kern w:val="0"/>
          <w:szCs w:val="21"/>
          <w:lang w:eastAsia="zh-CN"/>
        </w:rPr>
        <w:t>附件二  配置清单</w:t>
      </w:r>
    </w:p>
    <w:p w14:paraId="716A8063">
      <w:pPr>
        <w:tabs>
          <w:tab w:val="left" w:pos="0"/>
        </w:tabs>
        <w:kinsoku w:val="0"/>
        <w:autoSpaceDE w:val="0"/>
        <w:autoSpaceDN w:val="0"/>
        <w:adjustRightInd w:val="0"/>
        <w:snapToGrid w:val="0"/>
        <w:ind w:firstLine="630"/>
        <w:textAlignment w:val="baseline"/>
        <w:rPr>
          <w:rFonts w:ascii="Arial" w:hAnsi="Times New Roman" w:eastAsia="Arial" w:cs="Arial"/>
          <w:snapToGrid w:val="0"/>
          <w:color w:val="000000"/>
          <w:sz w:val="21"/>
          <w:szCs w:val="21"/>
          <w:lang w:val="en-US" w:eastAsia="zh-CN" w:bidi="ar-SA"/>
        </w:rPr>
      </w:pPr>
    </w:p>
    <w:p w14:paraId="1DCC4D54">
      <w:pPr>
        <w:widowControl/>
        <w:kinsoku w:val="0"/>
        <w:autoSpaceDE w:val="0"/>
        <w:autoSpaceDN w:val="0"/>
        <w:adjustRightInd w:val="0"/>
        <w:snapToGrid w:val="0"/>
        <w:spacing w:line="360" w:lineRule="auto"/>
        <w:jc w:val="left"/>
        <w:textAlignment w:val="baseline"/>
        <w:rPr>
          <w:rFonts w:hint="eastAsia" w:ascii="仿宋" w:hAnsi="仿宋" w:eastAsia="仿宋" w:cs="Arial"/>
          <w:b/>
          <w:bCs/>
          <w:snapToGrid w:val="0"/>
          <w:color w:val="000000"/>
          <w:kern w:val="0"/>
          <w:szCs w:val="21"/>
          <w:lang w:eastAsia="zh-CN"/>
        </w:rPr>
      </w:pPr>
      <w:r>
        <w:rPr>
          <w:rFonts w:hint="eastAsia" w:ascii="仿宋" w:hAnsi="仿宋" w:eastAsia="仿宋" w:cs="Arial"/>
          <w:b/>
          <w:bCs/>
          <w:snapToGrid w:val="0"/>
          <w:color w:val="000000"/>
          <w:kern w:val="0"/>
          <w:szCs w:val="21"/>
          <w:lang w:eastAsia="zh-CN"/>
        </w:rPr>
        <w:t>附件三  零配件、易耗品价格清单（清单中必须包含后期涉及到的所有零配件、易耗品，机器报废前零配件、易耗品不高于此价格）</w:t>
      </w:r>
    </w:p>
    <w:p w14:paraId="41BF50A1">
      <w:pPr>
        <w:tabs>
          <w:tab w:val="left" w:pos="0"/>
        </w:tabs>
        <w:kinsoku w:val="0"/>
        <w:autoSpaceDE w:val="0"/>
        <w:autoSpaceDN w:val="0"/>
        <w:adjustRightInd w:val="0"/>
        <w:snapToGrid w:val="0"/>
        <w:ind w:firstLine="630"/>
        <w:textAlignment w:val="baseline"/>
        <w:rPr>
          <w:rFonts w:ascii="Arial" w:hAnsi="Times New Roman" w:eastAsia="Arial" w:cs="Arial"/>
          <w:snapToGrid w:val="0"/>
          <w:color w:val="000000"/>
          <w:sz w:val="21"/>
          <w:szCs w:val="21"/>
          <w:lang w:val="en-US" w:eastAsia="zh-CN" w:bidi="ar-SA"/>
        </w:rPr>
      </w:pPr>
    </w:p>
    <w:p w14:paraId="63850468">
      <w:pPr>
        <w:widowControl/>
        <w:kinsoku w:val="0"/>
        <w:autoSpaceDE w:val="0"/>
        <w:autoSpaceDN w:val="0"/>
        <w:adjustRightInd w:val="0"/>
        <w:snapToGrid w:val="0"/>
        <w:jc w:val="left"/>
        <w:textAlignment w:val="baseline"/>
        <w:rPr>
          <w:rFonts w:ascii="Arial" w:hAnsi="Arial" w:eastAsia="Arial" w:cs="Arial"/>
          <w:snapToGrid w:val="0"/>
          <w:color w:val="000000"/>
          <w:kern w:val="0"/>
          <w:szCs w:val="21"/>
          <w:lang w:eastAsia="en-US"/>
        </w:rPr>
      </w:pPr>
      <w:r>
        <w:rPr>
          <w:rFonts w:hint="eastAsia" w:ascii="仿宋" w:hAnsi="仿宋" w:eastAsia="仿宋" w:cs="Arial"/>
          <w:b/>
          <w:bCs/>
          <w:snapToGrid w:val="0"/>
          <w:color w:val="000000"/>
          <w:kern w:val="0"/>
          <w:szCs w:val="21"/>
          <w:lang w:eastAsia="en-US"/>
        </w:rPr>
        <w:t>附件</w:t>
      </w:r>
      <w:r>
        <w:rPr>
          <w:rFonts w:hint="eastAsia" w:ascii="仿宋" w:hAnsi="仿宋" w:eastAsia="仿宋" w:cs="Arial"/>
          <w:b/>
          <w:bCs/>
          <w:snapToGrid w:val="0"/>
          <w:color w:val="000000"/>
          <w:kern w:val="0"/>
          <w:szCs w:val="21"/>
          <w:lang w:eastAsia="zh-CN"/>
        </w:rPr>
        <w:t>四</w:t>
      </w:r>
      <w:r>
        <w:rPr>
          <w:rFonts w:hint="eastAsia" w:ascii="仿宋" w:hAnsi="仿宋" w:eastAsia="仿宋" w:cs="Arial"/>
          <w:b/>
          <w:bCs/>
          <w:snapToGrid w:val="0"/>
          <w:color w:val="000000"/>
          <w:kern w:val="0"/>
          <w:szCs w:val="21"/>
          <w:lang w:eastAsia="en-US"/>
        </w:rPr>
        <w:t xml:space="preserve">  装箱清单</w:t>
      </w:r>
    </w:p>
    <w:p w14:paraId="2410A587"/>
    <w:sectPr>
      <w:headerReference r:id="rId6" w:type="default"/>
      <w:footerReference r:id="rId7" w:type="default"/>
      <w:pgSz w:w="11900" w:h="16840"/>
      <w:pgMar w:top="1440" w:right="1083" w:bottom="1440" w:left="1083" w:header="850" w:footer="992" w:gutter="0"/>
      <w:cols w:equalWidth="0" w:num="1">
        <w:col w:w="119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216DA">
    <w:pPr>
      <w:widowControl/>
      <w:kinsoku w:val="0"/>
      <w:autoSpaceDE w:val="0"/>
      <w:autoSpaceDN w:val="0"/>
      <w:adjustRightInd w:val="0"/>
      <w:snapToGrid w:val="0"/>
      <w:spacing w:line="233" w:lineRule="auto"/>
      <w:ind w:left="7628"/>
      <w:jc w:val="left"/>
      <w:textAlignment w:val="baseline"/>
      <w:rPr>
        <w:rFonts w:hint="eastAsia" w:ascii="宋体" w:hAnsi="宋体" w:eastAsia="宋体" w:cs="宋体"/>
        <w:snapToGrid w:val="0"/>
        <w:color w:val="000000"/>
        <w:kern w:val="0"/>
        <w:sz w:val="28"/>
        <w:szCs w:val="28"/>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3342E">
    <w:pPr>
      <w:widowControl/>
      <w:kinsoku w:val="0"/>
      <w:autoSpaceDE w:val="0"/>
      <w:autoSpaceDN w:val="0"/>
      <w:adjustRightInd w:val="0"/>
      <w:snapToGrid w:val="0"/>
      <w:spacing w:line="233" w:lineRule="auto"/>
      <w:ind w:left="22"/>
      <w:jc w:val="left"/>
      <w:textAlignment w:val="baseline"/>
      <w:rPr>
        <w:rFonts w:hint="eastAsia" w:ascii="宋体" w:hAnsi="宋体" w:eastAsia="宋体" w:cs="宋体"/>
        <w:snapToGrid w:val="0"/>
        <w:color w:val="000000"/>
        <w:kern w:val="0"/>
        <w:sz w:val="28"/>
        <w:szCs w:val="28"/>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22AA4">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r>
      <w:rPr>
        <w:rFonts w:ascii="Arial" w:hAnsi="Arial" w:eastAsia="Arial" w:cs="Arial"/>
        <w:snapToGrid w:val="0"/>
        <w:color w:val="000000"/>
        <w:kern w:val="0"/>
        <w:sz w:val="2"/>
        <w:szCs w:val="21"/>
        <w:lang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BA6715">
                          <w:pPr>
                            <w:tabs>
                              <w:tab w:val="center" w:pos="4153"/>
                              <w:tab w:val="right" w:pos="8306"/>
                            </w:tabs>
                            <w:kinsoku w:val="0"/>
                            <w:autoSpaceDE w:val="0"/>
                            <w:autoSpaceDN w:val="0"/>
                            <w:adjustRightInd w:val="0"/>
                            <w:snapToGrid w:val="0"/>
                            <w:textAlignment w:val="baseline"/>
                            <w:rPr>
                              <w:rFonts w:ascii="Arial" w:hAnsi="Arial" w:eastAsia="Arial" w:cs="Arial"/>
                              <w:snapToGrid w:val="0"/>
                              <w:color w:val="000000"/>
                              <w:sz w:val="18"/>
                              <w:szCs w:val="21"/>
                              <w:lang w:val="en-US" w:eastAsia="en-US" w:bidi="ar-SA"/>
                            </w:rPr>
                          </w:pPr>
                          <w:r>
                            <w:rPr>
                              <w:rFonts w:ascii="Arial" w:hAnsi="Arial" w:eastAsia="Arial" w:cs="Arial"/>
                              <w:snapToGrid w:val="0"/>
                              <w:color w:val="000000"/>
                              <w:sz w:val="18"/>
                              <w:szCs w:val="21"/>
                              <w:lang w:val="en-US" w:eastAsia="en-US" w:bidi="ar-SA"/>
                            </w:rPr>
                            <w:fldChar w:fldCharType="begin"/>
                          </w:r>
                          <w:r>
                            <w:rPr>
                              <w:rFonts w:ascii="Arial" w:hAnsi="Arial" w:eastAsia="Arial" w:cs="Arial"/>
                              <w:snapToGrid w:val="0"/>
                              <w:color w:val="000000"/>
                              <w:sz w:val="18"/>
                              <w:szCs w:val="21"/>
                              <w:lang w:val="en-US" w:eastAsia="en-US" w:bidi="ar-SA"/>
                            </w:rPr>
                            <w:instrText xml:space="preserve"> PAGE  \* MERGEFORMAT </w:instrText>
                          </w:r>
                          <w:r>
                            <w:rPr>
                              <w:rFonts w:ascii="Arial" w:hAnsi="Arial" w:eastAsia="Arial" w:cs="Arial"/>
                              <w:snapToGrid w:val="0"/>
                              <w:color w:val="000000"/>
                              <w:sz w:val="18"/>
                              <w:szCs w:val="21"/>
                              <w:lang w:val="en-US" w:eastAsia="en-US" w:bidi="ar-SA"/>
                            </w:rPr>
                            <w:fldChar w:fldCharType="separate"/>
                          </w:r>
                          <w:r>
                            <w:rPr>
                              <w:rFonts w:ascii="Arial" w:hAnsi="Arial" w:eastAsia="Arial" w:cs="Arial"/>
                              <w:snapToGrid w:val="0"/>
                              <w:color w:val="000000"/>
                              <w:sz w:val="18"/>
                              <w:szCs w:val="21"/>
                              <w:lang w:val="en-US" w:eastAsia="en-US" w:bidi="ar-SA"/>
                            </w:rPr>
                            <w:t>1</w:t>
                          </w:r>
                          <w:r>
                            <w:rPr>
                              <w:rFonts w:ascii="Arial" w:hAnsi="Arial" w:eastAsia="Arial" w:cs="Arial"/>
                              <w:snapToGrid w:val="0"/>
                              <w:color w:val="000000"/>
                              <w:sz w:val="18"/>
                              <w:szCs w:val="21"/>
                              <w:lang w:val="en-US" w:eastAsia="en-US"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dt8kwjICAABnBAAADgAAAAAAAAABACAAAAAfAQAAZHJzL2Uyb0RvYy54bWxQSwUG&#10;AAAAAAYABgBZAQAAwwUAAAAA&#10;">
              <v:fill on="f" focussize="0,0"/>
              <v:stroke on="f" weight="0.5pt"/>
              <v:imagedata o:title=""/>
              <o:lock v:ext="edit" aspectratio="f"/>
              <v:textbox inset="0mm,0mm,0mm,0mm" style="mso-fit-shape-to-text:t;">
                <w:txbxContent>
                  <w:p w14:paraId="48BA6715">
                    <w:pPr>
                      <w:tabs>
                        <w:tab w:val="center" w:pos="4153"/>
                        <w:tab w:val="right" w:pos="8306"/>
                      </w:tabs>
                      <w:kinsoku w:val="0"/>
                      <w:autoSpaceDE w:val="0"/>
                      <w:autoSpaceDN w:val="0"/>
                      <w:adjustRightInd w:val="0"/>
                      <w:snapToGrid w:val="0"/>
                      <w:textAlignment w:val="baseline"/>
                      <w:rPr>
                        <w:rFonts w:ascii="Arial" w:hAnsi="Arial" w:eastAsia="Arial" w:cs="Arial"/>
                        <w:snapToGrid w:val="0"/>
                        <w:color w:val="000000"/>
                        <w:sz w:val="18"/>
                        <w:szCs w:val="21"/>
                        <w:lang w:val="en-US" w:eastAsia="en-US" w:bidi="ar-SA"/>
                      </w:rPr>
                    </w:pPr>
                    <w:r>
                      <w:rPr>
                        <w:rFonts w:ascii="Arial" w:hAnsi="Arial" w:eastAsia="Arial" w:cs="Arial"/>
                        <w:snapToGrid w:val="0"/>
                        <w:color w:val="000000"/>
                        <w:sz w:val="18"/>
                        <w:szCs w:val="21"/>
                        <w:lang w:val="en-US" w:eastAsia="en-US" w:bidi="ar-SA"/>
                      </w:rPr>
                      <w:fldChar w:fldCharType="begin"/>
                    </w:r>
                    <w:r>
                      <w:rPr>
                        <w:rFonts w:ascii="Arial" w:hAnsi="Arial" w:eastAsia="Arial" w:cs="Arial"/>
                        <w:snapToGrid w:val="0"/>
                        <w:color w:val="000000"/>
                        <w:sz w:val="18"/>
                        <w:szCs w:val="21"/>
                        <w:lang w:val="en-US" w:eastAsia="en-US" w:bidi="ar-SA"/>
                      </w:rPr>
                      <w:instrText xml:space="preserve"> PAGE  \* MERGEFORMAT </w:instrText>
                    </w:r>
                    <w:r>
                      <w:rPr>
                        <w:rFonts w:ascii="Arial" w:hAnsi="Arial" w:eastAsia="Arial" w:cs="Arial"/>
                        <w:snapToGrid w:val="0"/>
                        <w:color w:val="000000"/>
                        <w:sz w:val="18"/>
                        <w:szCs w:val="21"/>
                        <w:lang w:val="en-US" w:eastAsia="en-US" w:bidi="ar-SA"/>
                      </w:rPr>
                      <w:fldChar w:fldCharType="separate"/>
                    </w:r>
                    <w:r>
                      <w:rPr>
                        <w:rFonts w:ascii="Arial" w:hAnsi="Arial" w:eastAsia="Arial" w:cs="Arial"/>
                        <w:snapToGrid w:val="0"/>
                        <w:color w:val="000000"/>
                        <w:sz w:val="18"/>
                        <w:szCs w:val="21"/>
                        <w:lang w:val="en-US" w:eastAsia="en-US" w:bidi="ar-SA"/>
                      </w:rPr>
                      <w:t>1</w:t>
                    </w:r>
                    <w:r>
                      <w:rPr>
                        <w:rFonts w:ascii="Arial" w:hAnsi="Arial" w:eastAsia="Arial" w:cs="Arial"/>
                        <w:snapToGrid w:val="0"/>
                        <w:color w:val="000000"/>
                        <w:sz w:val="18"/>
                        <w:szCs w:val="21"/>
                        <w:lang w:val="en-US" w:eastAsia="en-US"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080B6">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8DEB1">
    <w:pPr>
      <w:pBdr>
        <w:top w:val="none" w:color="auto" w:sz="0" w:space="1"/>
        <w:left w:val="none" w:color="auto" w:sz="0" w:space="4"/>
        <w:bottom w:val="none" w:color="auto" w:sz="0" w:space="1"/>
        <w:right w:val="none" w:color="auto" w:sz="0" w:space="4"/>
      </w:pBdr>
      <w:tabs>
        <w:tab w:val="center" w:pos="4153"/>
        <w:tab w:val="right" w:pos="8306"/>
      </w:tabs>
      <w:kinsoku w:val="0"/>
      <w:autoSpaceDE w:val="0"/>
      <w:autoSpaceDN w:val="0"/>
      <w:adjustRightInd w:val="0"/>
      <w:snapToGrid w:val="0"/>
      <w:jc w:val="both"/>
      <w:textAlignment w:val="baseline"/>
      <w:rPr>
        <w:rFonts w:ascii="Arial" w:hAnsi="Arial" w:eastAsia="Arial" w:cs="Arial"/>
        <w:snapToGrid w:val="0"/>
        <w:color w:val="000000"/>
        <w:sz w:val="18"/>
        <w:szCs w:val="21"/>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304996"/>
    <w:rsid w:val="12304996"/>
    <w:rsid w:val="4DF03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2026-07-07T05:48:00Z</dcterms:created>
  <dc:creator>111</dc:creator>
  <cp:lastModifiedBy>111</cp:lastModifiedBy>
  <dcterms:modified xsi:type="dcterms:W3CDTF">2026-07-07T05:50:38Z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225ED378FCB84CF5894FCA4C5E36E172_13</vt:lpwstr>
  </property>
  <property fmtid="{D5CDD505-2E9C-101B-9397-08002B2CF9AE}" pid="4" name="KSOTemplateDocerSaveRecord">
    <vt:lpwstr>eyJoZGlkIjoiM2E5Y2MyMTUwMTc2ODIzNzYwNjI4OTRmZjU3Y2Y5YzYiLCJ1c2VySWQiOiI1MjY0NTczOTYifQ==</vt:lpwstr>
  </property>
</Properties>
</file>