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A85AA">
      <w:pPr>
        <w:pStyle w:val="4"/>
        <w:rPr>
          <w:rFonts w:hint="eastAsia" w:ascii="仿宋_GB2312" w:hAnsi="仿宋_GB2312" w:eastAsia="仿宋_GB2312" w:cs="仿宋_GB2312"/>
          <w:color w:val="auto"/>
          <w:highlight w:val="none"/>
        </w:rPr>
      </w:pPr>
    </w:p>
    <w:p w14:paraId="55DC5913">
      <w:pPr>
        <w:jc w:val="center"/>
        <w:rPr>
          <w:rFonts w:hint="eastAsia" w:ascii="仿宋_GB2312" w:hAnsi="仿宋_GB2312" w:eastAsia="仿宋_GB2312" w:cs="仿宋_GB2312"/>
          <w:color w:val="auto"/>
          <w:sz w:val="32"/>
          <w:szCs w:val="32"/>
          <w:highlight w:val="none"/>
        </w:rPr>
      </w:pPr>
    </w:p>
    <w:p w14:paraId="202C247F">
      <w:pPr>
        <w:tabs>
          <w:tab w:val="left" w:pos="5985"/>
        </w:tabs>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36"/>
          <w:szCs w:val="36"/>
          <w:highlight w:val="none"/>
          <w:lang w:eastAsia="zh-CN"/>
          <w14:textFill>
            <w14:solidFill>
              <w14:schemeClr w14:val="tx1"/>
            </w14:solidFill>
          </w14:textFill>
        </w:rPr>
        <w:t>浙江国际海运职业技术学院办公电脑采购项目</w:t>
      </w:r>
    </w:p>
    <w:p w14:paraId="78112B18">
      <w:pPr>
        <w:jc w:val="center"/>
        <w:rPr>
          <w:rFonts w:hint="default" w:ascii="仿宋_GB2312" w:hAnsi="仿宋_GB2312" w:eastAsia="仿宋_GB2312" w:cs="仿宋_GB2312"/>
          <w:b/>
          <w:color w:val="FF0000"/>
          <w:sz w:val="36"/>
          <w:szCs w:val="36"/>
          <w:highlight w:val="none"/>
          <w:lang w:val="en-US" w:eastAsia="zh-CN"/>
        </w:rPr>
      </w:pPr>
    </w:p>
    <w:p w14:paraId="0D123DD5">
      <w:pPr>
        <w:tabs>
          <w:tab w:val="left" w:pos="5985"/>
        </w:tabs>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ab/>
      </w:r>
    </w:p>
    <w:p w14:paraId="47C021F4">
      <w:pPr>
        <w:pStyle w:val="2"/>
        <w:rPr>
          <w:rFonts w:hint="eastAsia"/>
        </w:rPr>
      </w:pPr>
    </w:p>
    <w:p w14:paraId="7A080417">
      <w:pPr>
        <w:pStyle w:val="2"/>
        <w:jc w:val="center"/>
        <w:rPr>
          <w:rFonts w:hint="eastAsia" w:ascii="仿宋_GB2312" w:hAnsi="仿宋_GB2312" w:eastAsia="仿宋_GB2312" w:cs="仿宋_GB2312"/>
          <w:color w:val="auto"/>
          <w:highlight w:val="none"/>
        </w:rPr>
      </w:pPr>
    </w:p>
    <w:p w14:paraId="63120A17">
      <w:pPr>
        <w:jc w:val="center"/>
        <w:rPr>
          <w:rFonts w:hint="eastAsia" w:ascii="仿宋_GB2312" w:hAnsi="仿宋_GB2312" w:eastAsia="仿宋_GB2312" w:cs="仿宋_GB2312"/>
          <w:color w:val="auto"/>
          <w:sz w:val="24"/>
          <w:szCs w:val="24"/>
          <w:highlight w:val="none"/>
        </w:rPr>
      </w:pPr>
    </w:p>
    <w:p w14:paraId="6E3548CC">
      <w:pPr>
        <w:jc w:val="center"/>
        <w:rPr>
          <w:rFonts w:hint="eastAsia" w:ascii="仿宋_GB2312" w:hAnsi="仿宋_GB2312" w:eastAsia="仿宋_GB2312" w:cs="仿宋_GB2312"/>
          <w:color w:val="auto"/>
          <w:sz w:val="24"/>
          <w:szCs w:val="24"/>
          <w:highlight w:val="none"/>
        </w:rPr>
      </w:pPr>
    </w:p>
    <w:p w14:paraId="7FD05FED">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公开招标文件</w:t>
      </w:r>
    </w:p>
    <w:p w14:paraId="1EEEBA1D">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（电子招投标）</w:t>
      </w:r>
    </w:p>
    <w:p w14:paraId="6CA87A4A">
      <w:pPr>
        <w:spacing w:line="600" w:lineRule="exact"/>
        <w:jc w:val="center"/>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编号:</w:t>
      </w:r>
      <w:r>
        <w:rPr>
          <w:rFonts w:hint="eastAsia" w:ascii="仿宋_GB2312" w:hAnsi="仿宋_GB2312" w:eastAsia="仿宋_GB2312" w:cs="仿宋_GB2312"/>
          <w:color w:val="auto"/>
          <w:sz w:val="30"/>
          <w:szCs w:val="30"/>
          <w:highlight w:val="none"/>
          <w:lang w:eastAsia="zh-CN"/>
        </w:rPr>
        <w:t>ZSZFCG2026-ZB-0</w:t>
      </w:r>
      <w:r>
        <w:rPr>
          <w:rFonts w:hint="eastAsia" w:ascii="仿宋_GB2312" w:hAnsi="仿宋_GB2312" w:eastAsia="仿宋_GB2312" w:cs="仿宋_GB2312"/>
          <w:color w:val="auto"/>
          <w:sz w:val="30"/>
          <w:szCs w:val="30"/>
          <w:highlight w:val="none"/>
          <w:lang w:val="en-US" w:eastAsia="zh-CN"/>
        </w:rPr>
        <w:t>45</w:t>
      </w:r>
    </w:p>
    <w:p w14:paraId="5A526703">
      <w:pPr>
        <w:spacing w:line="600" w:lineRule="exact"/>
        <w:jc w:val="center"/>
        <w:rPr>
          <w:rFonts w:hint="eastAsia" w:ascii="仿宋_GB2312" w:hAnsi="仿宋_GB2312" w:eastAsia="仿宋_GB2312" w:cs="仿宋_GB2312"/>
          <w:color w:val="auto"/>
          <w:sz w:val="30"/>
          <w:szCs w:val="30"/>
          <w:highlight w:val="none"/>
        </w:rPr>
      </w:pPr>
    </w:p>
    <w:p w14:paraId="104EBF23">
      <w:pPr>
        <w:spacing w:line="600" w:lineRule="exact"/>
        <w:jc w:val="center"/>
        <w:rPr>
          <w:rFonts w:hint="eastAsia" w:ascii="仿宋_GB2312" w:hAnsi="仿宋_GB2312" w:eastAsia="仿宋_GB2312" w:cs="仿宋_GB2312"/>
          <w:color w:val="auto"/>
          <w:sz w:val="30"/>
          <w:szCs w:val="30"/>
          <w:highlight w:val="none"/>
        </w:rPr>
      </w:pPr>
    </w:p>
    <w:p w14:paraId="0D394D95">
      <w:pPr>
        <w:spacing w:line="600" w:lineRule="exact"/>
        <w:jc w:val="center"/>
        <w:rPr>
          <w:rFonts w:hint="eastAsia" w:ascii="仿宋_GB2312" w:hAnsi="仿宋_GB2312" w:eastAsia="仿宋_GB2312" w:cs="仿宋_GB2312"/>
          <w:color w:val="auto"/>
          <w:sz w:val="30"/>
          <w:szCs w:val="30"/>
          <w:highlight w:val="none"/>
        </w:rPr>
      </w:pPr>
    </w:p>
    <w:p w14:paraId="7A3009D3">
      <w:pPr>
        <w:spacing w:line="600" w:lineRule="exact"/>
        <w:jc w:val="center"/>
        <w:rPr>
          <w:rFonts w:hint="eastAsia" w:ascii="仿宋_GB2312" w:hAnsi="仿宋_GB2312" w:eastAsia="仿宋_GB2312" w:cs="仿宋_GB2312"/>
          <w:color w:val="auto"/>
          <w:sz w:val="30"/>
          <w:szCs w:val="30"/>
          <w:highlight w:val="none"/>
        </w:rPr>
      </w:pPr>
    </w:p>
    <w:p w14:paraId="79E23193">
      <w:pPr>
        <w:pStyle w:val="2"/>
        <w:rPr>
          <w:rFonts w:hint="eastAsia"/>
        </w:rPr>
      </w:pPr>
    </w:p>
    <w:p w14:paraId="5B0DAE1D">
      <w:pPr>
        <w:pStyle w:val="2"/>
        <w:rPr>
          <w:rFonts w:hint="eastAsia" w:ascii="仿宋_GB2312" w:hAnsi="仿宋_GB2312" w:eastAsia="仿宋_GB2312" w:cs="仿宋_GB2312"/>
          <w:color w:val="auto"/>
          <w:sz w:val="30"/>
          <w:szCs w:val="30"/>
          <w:highlight w:val="none"/>
        </w:rPr>
      </w:pPr>
    </w:p>
    <w:p w14:paraId="6DF9D020">
      <w:pPr>
        <w:rPr>
          <w:rFonts w:hint="eastAsia"/>
        </w:rPr>
      </w:pPr>
    </w:p>
    <w:p w14:paraId="2CCC11E8">
      <w:pPr>
        <w:adjustRightInd w:val="0"/>
        <w:snapToGrid w:val="0"/>
        <w:spacing w:line="600" w:lineRule="exact"/>
        <w:jc w:val="center"/>
        <w:rPr>
          <w:rFonts w:hint="eastAsia" w:ascii="仿宋_GB2312" w:hAnsi="仿宋_GB2312" w:eastAsia="仿宋_GB2312" w:cs="仿宋_GB2312"/>
          <w:color w:val="auto"/>
          <w:sz w:val="30"/>
          <w:szCs w:val="30"/>
          <w:highlight w:val="none"/>
          <w:shd w:val="clear" w:color="auto" w:fill="FFFFFF"/>
          <w:lang w:eastAsia="zh-CN"/>
        </w:rPr>
      </w:pPr>
      <w:r>
        <w:rPr>
          <w:rFonts w:hint="eastAsia" w:ascii="仿宋_GB2312" w:hAnsi="仿宋_GB2312" w:eastAsia="仿宋_GB2312" w:cs="仿宋_GB2312"/>
          <w:color w:val="auto"/>
          <w:sz w:val="30"/>
          <w:szCs w:val="30"/>
          <w:highlight w:val="none"/>
          <w:shd w:val="clear" w:color="auto" w:fill="FFFFFF"/>
          <w:lang w:eastAsia="zh-CN"/>
        </w:rPr>
        <w:t>浙江国际海运职业技术学院</w:t>
      </w:r>
    </w:p>
    <w:p w14:paraId="73ED9935">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舟山市公共资源交易中心</w:t>
      </w:r>
    </w:p>
    <w:p w14:paraId="5044E24E">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7</w:t>
      </w:r>
      <w:r>
        <w:rPr>
          <w:rFonts w:hint="eastAsia" w:ascii="仿宋_GB2312" w:hAnsi="仿宋_GB2312" w:eastAsia="仿宋_GB2312" w:cs="仿宋_GB2312"/>
          <w:color w:val="auto"/>
          <w:sz w:val="30"/>
          <w:szCs w:val="30"/>
          <w:highlight w:val="none"/>
        </w:rPr>
        <w:t>月</w:t>
      </w:r>
    </w:p>
    <w:p w14:paraId="610C506B">
      <w:pPr>
        <w:adjustRightInd w:val="0"/>
        <w:snapToGrid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br w:type="page"/>
      </w:r>
      <w:bookmarkStart w:id="0" w:name="_Hlt67893495"/>
      <w:bookmarkEnd w:id="0"/>
    </w:p>
    <w:p w14:paraId="75655FF8">
      <w:pPr>
        <w:rPr>
          <w:rFonts w:hint="eastAsia" w:ascii="仿宋_GB2312" w:hAnsi="仿宋_GB2312" w:eastAsia="仿宋_GB2312" w:cs="仿宋_GB2312"/>
          <w:color w:val="auto"/>
          <w:sz w:val="24"/>
          <w:szCs w:val="24"/>
          <w:highlight w:val="none"/>
        </w:rPr>
      </w:pPr>
    </w:p>
    <w:p w14:paraId="3D8941A6">
      <w:pPr>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51685C03">
      <w:pPr>
        <w:rPr>
          <w:rFonts w:hint="eastAsia" w:ascii="仿宋_GB2312" w:hAnsi="仿宋_GB2312" w:eastAsia="仿宋_GB2312" w:cs="仿宋_GB2312"/>
          <w:color w:val="auto"/>
          <w:sz w:val="28"/>
          <w:szCs w:val="28"/>
          <w:highlight w:val="none"/>
        </w:rPr>
      </w:pPr>
    </w:p>
    <w:p w14:paraId="78C47055">
      <w:pPr>
        <w:spacing w:line="360" w:lineRule="auto"/>
        <w:rPr>
          <w:rFonts w:hint="eastAsia" w:ascii="仿宋_GB2312" w:hAnsi="仿宋_GB2312" w:eastAsia="仿宋_GB2312" w:cs="仿宋_GB2312"/>
          <w:color w:val="auto"/>
          <w:sz w:val="28"/>
          <w:szCs w:val="28"/>
          <w:highlight w:val="none"/>
        </w:rPr>
      </w:pPr>
    </w:p>
    <w:p w14:paraId="6FC3308B">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第一部分  招标公告</w:t>
      </w:r>
    </w:p>
    <w:p w14:paraId="5360698B">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第二部分  投标人须知</w:t>
      </w:r>
    </w:p>
    <w:p w14:paraId="0BCEDDD9">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第三部分  采购需求</w:t>
      </w:r>
    </w:p>
    <w:p w14:paraId="1FDB34C6">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第四部分  评标办法</w:t>
      </w:r>
    </w:p>
    <w:p w14:paraId="29E75C45">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第五部分  拟签订的合同文本</w:t>
      </w:r>
    </w:p>
    <w:p w14:paraId="04F1C5BF">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第六部分  应提交的有关格式范例</w:t>
      </w:r>
    </w:p>
    <w:p w14:paraId="340C22C2">
      <w:pPr>
        <w:rPr>
          <w:rFonts w:hint="eastAsia" w:ascii="仿宋_GB2312" w:hAnsi="仿宋_GB2312" w:eastAsia="仿宋_GB2312" w:cs="仿宋_GB2312"/>
          <w:color w:val="auto"/>
          <w:sz w:val="24"/>
          <w:szCs w:val="24"/>
          <w:highlight w:val="none"/>
        </w:rPr>
      </w:pPr>
      <w:bookmarkStart w:id="1" w:name="_Hlt91233176"/>
      <w:bookmarkEnd w:id="1"/>
      <w:bookmarkStart w:id="2" w:name="_Toc91899869"/>
    </w:p>
    <w:p w14:paraId="53B23B6B">
      <w:pPr>
        <w:rPr>
          <w:rFonts w:hint="eastAsia" w:ascii="仿宋_GB2312" w:hAnsi="仿宋_GB2312" w:eastAsia="仿宋_GB2312" w:cs="仿宋_GB2312"/>
          <w:color w:val="auto"/>
          <w:sz w:val="24"/>
          <w:szCs w:val="24"/>
          <w:highlight w:val="none"/>
        </w:rPr>
      </w:pPr>
    </w:p>
    <w:p w14:paraId="20D3BD02">
      <w:pPr>
        <w:rPr>
          <w:rFonts w:hint="eastAsia" w:ascii="仿宋_GB2312" w:hAnsi="仿宋_GB2312" w:eastAsia="仿宋_GB2312" w:cs="仿宋_GB2312"/>
          <w:color w:val="auto"/>
          <w:sz w:val="24"/>
          <w:szCs w:val="24"/>
          <w:highlight w:val="none"/>
        </w:rPr>
      </w:pPr>
    </w:p>
    <w:p w14:paraId="403973B1">
      <w:pPr>
        <w:rPr>
          <w:rFonts w:hint="eastAsia" w:ascii="仿宋_GB2312" w:hAnsi="仿宋_GB2312" w:eastAsia="仿宋_GB2312" w:cs="仿宋_GB2312"/>
          <w:color w:val="auto"/>
          <w:sz w:val="24"/>
          <w:szCs w:val="24"/>
          <w:highlight w:val="none"/>
        </w:rPr>
      </w:pPr>
    </w:p>
    <w:p w14:paraId="0B0BE0B7">
      <w:pPr>
        <w:rPr>
          <w:rFonts w:hint="eastAsia" w:ascii="仿宋_GB2312" w:hAnsi="仿宋_GB2312" w:eastAsia="仿宋_GB2312" w:cs="仿宋_GB2312"/>
          <w:color w:val="auto"/>
          <w:sz w:val="24"/>
          <w:szCs w:val="24"/>
          <w:highlight w:val="none"/>
        </w:rPr>
      </w:pPr>
    </w:p>
    <w:p w14:paraId="7F89B330">
      <w:pPr>
        <w:rPr>
          <w:rFonts w:hint="eastAsia" w:ascii="仿宋_GB2312" w:hAnsi="仿宋_GB2312" w:eastAsia="仿宋_GB2312" w:cs="仿宋_GB2312"/>
          <w:color w:val="auto"/>
          <w:sz w:val="24"/>
          <w:szCs w:val="24"/>
          <w:highlight w:val="none"/>
        </w:rPr>
      </w:pPr>
    </w:p>
    <w:p w14:paraId="615751F1">
      <w:pPr>
        <w:rPr>
          <w:rFonts w:hint="eastAsia" w:ascii="仿宋_GB2312" w:hAnsi="仿宋_GB2312" w:eastAsia="仿宋_GB2312" w:cs="仿宋_GB2312"/>
          <w:color w:val="auto"/>
          <w:sz w:val="24"/>
          <w:szCs w:val="24"/>
          <w:highlight w:val="none"/>
        </w:rPr>
      </w:pPr>
    </w:p>
    <w:p w14:paraId="0804D5A0">
      <w:pPr>
        <w:rPr>
          <w:rFonts w:hint="eastAsia" w:ascii="仿宋_GB2312" w:hAnsi="仿宋_GB2312" w:eastAsia="仿宋_GB2312" w:cs="仿宋_GB2312"/>
          <w:color w:val="auto"/>
          <w:sz w:val="24"/>
          <w:szCs w:val="24"/>
          <w:highlight w:val="none"/>
        </w:rPr>
      </w:pPr>
    </w:p>
    <w:p w14:paraId="6D1A43B2">
      <w:pPr>
        <w:rPr>
          <w:rFonts w:hint="eastAsia" w:ascii="仿宋_GB2312" w:hAnsi="仿宋_GB2312" w:eastAsia="仿宋_GB2312" w:cs="仿宋_GB2312"/>
          <w:color w:val="auto"/>
          <w:sz w:val="24"/>
          <w:szCs w:val="24"/>
          <w:highlight w:val="none"/>
        </w:rPr>
      </w:pPr>
    </w:p>
    <w:p w14:paraId="42B08938">
      <w:pPr>
        <w:rPr>
          <w:rFonts w:hint="eastAsia" w:ascii="仿宋_GB2312" w:hAnsi="仿宋_GB2312" w:eastAsia="仿宋_GB2312" w:cs="仿宋_GB2312"/>
          <w:color w:val="auto"/>
          <w:sz w:val="24"/>
          <w:szCs w:val="24"/>
          <w:highlight w:val="none"/>
        </w:rPr>
      </w:pPr>
    </w:p>
    <w:p w14:paraId="684737AD">
      <w:pPr>
        <w:rPr>
          <w:rFonts w:hint="eastAsia" w:ascii="仿宋_GB2312" w:hAnsi="仿宋_GB2312" w:eastAsia="仿宋_GB2312" w:cs="仿宋_GB2312"/>
          <w:color w:val="auto"/>
          <w:sz w:val="24"/>
          <w:szCs w:val="24"/>
          <w:highlight w:val="none"/>
        </w:rPr>
      </w:pPr>
    </w:p>
    <w:p w14:paraId="79395AD9">
      <w:pPr>
        <w:rPr>
          <w:rFonts w:hint="eastAsia" w:ascii="仿宋_GB2312" w:hAnsi="仿宋_GB2312" w:eastAsia="仿宋_GB2312" w:cs="仿宋_GB2312"/>
          <w:color w:val="auto"/>
          <w:sz w:val="24"/>
          <w:szCs w:val="24"/>
          <w:highlight w:val="none"/>
        </w:rPr>
      </w:pPr>
    </w:p>
    <w:p w14:paraId="7182BA6D">
      <w:pPr>
        <w:rPr>
          <w:rFonts w:hint="eastAsia" w:ascii="仿宋_GB2312" w:hAnsi="仿宋_GB2312" w:eastAsia="仿宋_GB2312" w:cs="仿宋_GB2312"/>
          <w:color w:val="auto"/>
          <w:sz w:val="24"/>
          <w:szCs w:val="24"/>
          <w:highlight w:val="none"/>
        </w:rPr>
      </w:pPr>
    </w:p>
    <w:p w14:paraId="7D039DFE">
      <w:pPr>
        <w:rPr>
          <w:rFonts w:hint="eastAsia" w:ascii="仿宋_GB2312" w:hAnsi="仿宋_GB2312" w:eastAsia="仿宋_GB2312" w:cs="仿宋_GB2312"/>
          <w:color w:val="auto"/>
          <w:sz w:val="24"/>
          <w:szCs w:val="24"/>
          <w:highlight w:val="none"/>
        </w:rPr>
      </w:pPr>
    </w:p>
    <w:p w14:paraId="7FE9D312">
      <w:pPr>
        <w:ind w:firstLine="3360" w:firstLineChars="1400"/>
        <w:outlineLvl w:val="0"/>
        <w:rPr>
          <w:rFonts w:hint="eastAsia" w:ascii="仿宋_GB2312" w:hAnsi="仿宋_GB2312" w:eastAsia="仿宋_GB2312" w:cs="仿宋_GB2312"/>
          <w:b/>
          <w:color w:val="auto"/>
          <w:sz w:val="28"/>
          <w:szCs w:val="28"/>
          <w:highlight w:val="none"/>
        </w:rPr>
      </w:pPr>
      <w:bookmarkStart w:id="3" w:name="第一部分"/>
      <w:r>
        <w:rPr>
          <w:rFonts w:hint="eastAsia" w:ascii="仿宋_GB2312" w:hAnsi="仿宋_GB2312" w:eastAsia="仿宋_GB2312" w:cs="仿宋_GB2312"/>
          <w:color w:val="auto"/>
          <w:sz w:val="24"/>
          <w:szCs w:val="24"/>
          <w:highlight w:val="none"/>
        </w:rPr>
        <w:br w:type="page"/>
      </w:r>
      <w:bookmarkEnd w:id="2"/>
      <w:bookmarkEnd w:id="3"/>
      <w:bookmarkStart w:id="4" w:name="_Hlt74728647"/>
      <w:bookmarkEnd w:id="4"/>
      <w:bookmarkStart w:id="5" w:name="_Hlt74707423"/>
      <w:bookmarkEnd w:id="5"/>
      <w:bookmarkStart w:id="6" w:name="_Hlt74649545"/>
      <w:bookmarkEnd w:id="6"/>
      <w:bookmarkStart w:id="7" w:name="_Hlt74729822"/>
      <w:bookmarkEnd w:id="7"/>
      <w:bookmarkStart w:id="8" w:name="第二部分"/>
      <w:bookmarkStart w:id="9" w:name="_Toc91899870"/>
      <w:bookmarkStart w:id="10" w:name="_Toc91899871"/>
      <w:r>
        <w:rPr>
          <w:rFonts w:hint="eastAsia" w:ascii="仿宋_GB2312" w:hAnsi="仿宋_GB2312" w:eastAsia="仿宋_GB2312" w:cs="仿宋_GB2312"/>
          <w:color w:val="auto"/>
          <w:sz w:val="32"/>
          <w:szCs w:val="32"/>
          <w:highlight w:val="none"/>
        </w:rPr>
        <w:t>第一部分</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招标公告</w:t>
      </w:r>
    </w:p>
    <w:p w14:paraId="49414DAA">
      <w:pPr>
        <w:spacing w:line="420" w:lineRule="exact"/>
        <w:ind w:firstLine="482" w:firstLineChars="200"/>
        <w:contextualSpacing/>
        <w:rPr>
          <w:rFonts w:hint="eastAsia" w:ascii="仿宋_GB2312" w:hAnsi="仿宋_GB2312" w:eastAsia="仿宋_GB2312" w:cs="仿宋_GB2312"/>
          <w:b/>
          <w:color w:val="auto"/>
          <w:sz w:val="24"/>
          <w:szCs w:val="24"/>
          <w:highlight w:val="none"/>
        </w:rPr>
      </w:pPr>
    </w:p>
    <w:p w14:paraId="4786178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浙江国际海运职业技术学院办公电脑采购项目</w:t>
      </w:r>
      <w:r>
        <w:rPr>
          <w:rFonts w:hint="eastAsia" w:ascii="仿宋_GB2312" w:hAnsi="仿宋_GB2312" w:eastAsia="仿宋_GB2312" w:cs="仿宋_GB2312"/>
          <w:color w:val="auto"/>
          <w:sz w:val="24"/>
          <w:szCs w:val="24"/>
          <w:highlight w:val="none"/>
        </w:rPr>
        <w:t>的潜在投标人应在政采云平台</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"https://www.zcygov.cn/）获取（下载）招标文件，并于2024年8月9日9点%2015分00秒" </w:instrText>
      </w:r>
      <w:r>
        <w:rPr>
          <w:rFonts w:hint="eastAsia" w:ascii="仿宋_GB2312" w:hAnsi="仿宋_GB2312" w:eastAsia="仿宋_GB2312" w:cs="仿宋_GB2312"/>
          <w:b w:val="0"/>
          <w:bCs w:val="0"/>
          <w:color w:val="auto"/>
          <w:highlight w:val="none"/>
        </w:rPr>
        <w:fldChar w:fldCharType="separate"/>
      </w:r>
      <w:r>
        <w:rPr>
          <w:rStyle w:val="32"/>
          <w:rFonts w:hint="eastAsia" w:ascii="仿宋_GB2312" w:hAnsi="仿宋_GB2312" w:eastAsia="仿宋_GB2312" w:cs="仿宋_GB2312"/>
          <w:b w:val="0"/>
          <w:bCs w:val="0"/>
          <w:color w:val="auto"/>
          <w:sz w:val="24"/>
          <w:szCs w:val="24"/>
          <w:highlight w:val="none"/>
        </w:rPr>
        <w:t>https://www.zcygov.cn/）获取（下载）招标文件，并于202</w:t>
      </w:r>
      <w:r>
        <w:rPr>
          <w:rStyle w:val="32"/>
          <w:rFonts w:hint="eastAsia" w:ascii="仿宋_GB2312" w:hAnsi="仿宋_GB2312" w:eastAsia="仿宋_GB2312" w:cs="仿宋_GB2312"/>
          <w:b w:val="0"/>
          <w:bCs w:val="0"/>
          <w:color w:val="auto"/>
          <w:sz w:val="24"/>
          <w:szCs w:val="24"/>
          <w:highlight w:val="none"/>
          <w:lang w:val="en-US" w:eastAsia="zh-CN"/>
        </w:rPr>
        <w:t>6</w:t>
      </w:r>
      <w:r>
        <w:rPr>
          <w:rStyle w:val="32"/>
          <w:rFonts w:hint="eastAsia" w:ascii="仿宋_GB2312" w:hAnsi="仿宋_GB2312" w:eastAsia="仿宋_GB2312" w:cs="仿宋_GB2312"/>
          <w:b w:val="0"/>
          <w:bCs w:val="0"/>
          <w:color w:val="auto"/>
          <w:sz w:val="24"/>
          <w:szCs w:val="24"/>
          <w:highlight w:val="none"/>
        </w:rPr>
        <w:t>年</w:t>
      </w:r>
      <w:r>
        <w:rPr>
          <w:rStyle w:val="32"/>
          <w:rFonts w:hint="eastAsia" w:ascii="仿宋_GB2312" w:hAnsi="仿宋_GB2312" w:eastAsia="仿宋_GB2312" w:cs="仿宋_GB2312"/>
          <w:b w:val="0"/>
          <w:bCs w:val="0"/>
          <w:color w:val="auto"/>
          <w:sz w:val="24"/>
          <w:szCs w:val="24"/>
          <w:highlight w:val="none"/>
          <w:lang w:val="en-US" w:eastAsia="zh-CN"/>
        </w:rPr>
        <w:t>7</w:t>
      </w:r>
      <w:r>
        <w:rPr>
          <w:rStyle w:val="32"/>
          <w:rFonts w:hint="eastAsia" w:ascii="仿宋_GB2312" w:hAnsi="仿宋_GB2312" w:eastAsia="仿宋_GB2312" w:cs="仿宋_GB2312"/>
          <w:b w:val="0"/>
          <w:bCs w:val="0"/>
          <w:color w:val="auto"/>
          <w:sz w:val="24"/>
          <w:szCs w:val="24"/>
          <w:highlight w:val="none"/>
        </w:rPr>
        <w:t>月</w:t>
      </w:r>
      <w:r>
        <w:rPr>
          <w:rStyle w:val="32"/>
          <w:rFonts w:hint="eastAsia" w:ascii="仿宋_GB2312" w:hAnsi="仿宋_GB2312" w:eastAsia="仿宋_GB2312" w:cs="仿宋_GB2312"/>
          <w:b w:val="0"/>
          <w:bCs w:val="0"/>
          <w:color w:val="auto"/>
          <w:sz w:val="24"/>
          <w:szCs w:val="24"/>
          <w:highlight w:val="none"/>
          <w:lang w:val="en-US" w:eastAsia="zh-CN"/>
        </w:rPr>
        <w:t>31</w:t>
      </w:r>
      <w:r>
        <w:rPr>
          <w:rStyle w:val="32"/>
          <w:rFonts w:hint="eastAsia" w:ascii="仿宋_GB2312" w:hAnsi="仿宋_GB2312" w:eastAsia="仿宋_GB2312" w:cs="仿宋_GB2312"/>
          <w:b w:val="0"/>
          <w:bCs w:val="0"/>
          <w:color w:val="auto"/>
          <w:sz w:val="24"/>
          <w:szCs w:val="24"/>
          <w:highlight w:val="none"/>
        </w:rPr>
        <w:t>日9点 15分00秒</w:t>
      </w:r>
      <w:r>
        <w:rPr>
          <w:rStyle w:val="32"/>
          <w:rFonts w:hint="eastAsia" w:ascii="仿宋_GB2312" w:hAnsi="仿宋_GB2312" w:eastAsia="仿宋_GB2312" w:cs="仿宋_GB2312"/>
          <w:b w:val="0"/>
          <w:bCs w:val="0"/>
          <w:color w:val="auto"/>
          <w:sz w:val="24"/>
          <w:szCs w:val="24"/>
          <w:highlight w:val="none"/>
        </w:rPr>
        <w:fldChar w:fldCharType="end"/>
      </w:r>
      <w:r>
        <w:rPr>
          <w:rFonts w:hint="eastAsia" w:ascii="仿宋_GB2312" w:hAnsi="仿宋_GB2312" w:eastAsia="仿宋_GB2312" w:cs="仿宋_GB2312"/>
          <w:color w:val="auto"/>
          <w:sz w:val="24"/>
          <w:szCs w:val="24"/>
          <w:highlight w:val="none"/>
        </w:rPr>
        <w:t>（北京时间）前递交（上传）投标文件。</w:t>
      </w:r>
    </w:p>
    <w:p w14:paraId="2846568A">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一、项目基本情况</w:t>
      </w:r>
    </w:p>
    <w:p w14:paraId="6D870FD6">
      <w:pPr>
        <w:spacing w:line="420" w:lineRule="exact"/>
        <w:ind w:firstLine="480" w:firstLineChars="200"/>
        <w:contextualSpacing/>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ZSZFCG2026-ZB-0</w:t>
      </w:r>
      <w:r>
        <w:rPr>
          <w:rFonts w:hint="eastAsia" w:ascii="仿宋_GB2312" w:hAnsi="仿宋_GB2312" w:eastAsia="仿宋_GB2312" w:cs="仿宋_GB2312"/>
          <w:color w:val="auto"/>
          <w:sz w:val="24"/>
          <w:szCs w:val="24"/>
          <w:highlight w:val="none"/>
          <w:lang w:val="en-US" w:eastAsia="zh-CN"/>
        </w:rPr>
        <w:t>45</w:t>
      </w:r>
    </w:p>
    <w:p w14:paraId="6F2056AB">
      <w:pPr>
        <w:spacing w:line="420" w:lineRule="exact"/>
        <w:ind w:firstLine="480" w:firstLineChars="200"/>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浙江国际海运职业技术学院办公电脑采购项目</w:t>
      </w:r>
    </w:p>
    <w:p w14:paraId="3944203E">
      <w:pPr>
        <w:spacing w:line="420" w:lineRule="exact"/>
        <w:ind w:firstLine="480" w:firstLineChars="200"/>
        <w:contextualSpacing/>
        <w:rPr>
          <w:rFonts w:hint="eastAsia" w:ascii="仿宋_GB2312" w:hAnsi="仿宋_GB2312" w:eastAsia="仿宋_GB2312" w:cs="仿宋_GB2312"/>
          <w:bCs/>
          <w:color w:val="auto"/>
          <w:sz w:val="24"/>
          <w:szCs w:val="24"/>
          <w:highlight w:val="none"/>
          <w:lang w:eastAsia="zh-CN"/>
        </w:rPr>
      </w:pPr>
      <w:r>
        <w:rPr>
          <w:rFonts w:hint="eastAsia" w:ascii="仿宋_GB2312" w:hAnsi="仿宋_GB2312" w:eastAsia="仿宋_GB2312" w:cs="仿宋_GB2312"/>
          <w:bCs/>
          <w:color w:val="auto"/>
          <w:sz w:val="24"/>
          <w:szCs w:val="24"/>
          <w:highlight w:val="none"/>
          <w:lang w:eastAsia="zh-CN"/>
        </w:rPr>
        <w:t>预算金额（元）:</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500800</w:t>
      </w:r>
    </w:p>
    <w:p w14:paraId="40B28A04">
      <w:pPr>
        <w:spacing w:line="420" w:lineRule="exact"/>
        <w:ind w:firstLine="480" w:firstLineChars="200"/>
        <w:contextualSpacing/>
        <w:rPr>
          <w:rFonts w:hint="default" w:ascii="仿宋_GB2312" w:hAnsi="仿宋_GB2312" w:eastAsia="宋体" w:cs="仿宋_GB2312"/>
          <w:bCs/>
          <w:color w:val="auto"/>
          <w:sz w:val="24"/>
          <w:szCs w:val="24"/>
          <w:highlight w:val="yellow"/>
          <w:lang w:val="en-US" w:eastAsia="zh-CN"/>
        </w:rPr>
      </w:pPr>
      <w:r>
        <w:rPr>
          <w:rFonts w:hint="eastAsia" w:ascii="仿宋_GB2312" w:hAnsi="仿宋_GB2312" w:eastAsia="仿宋_GB2312" w:cs="仿宋_GB2312"/>
          <w:bCs/>
          <w:color w:val="auto"/>
          <w:sz w:val="24"/>
          <w:szCs w:val="24"/>
          <w:highlight w:val="none"/>
          <w:lang w:eastAsia="zh-CN"/>
        </w:rPr>
        <w:t>最高限价（元）:</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500800</w:t>
      </w:r>
    </w:p>
    <w:p w14:paraId="69DD81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采购需求：详见招标文件第三部分采购需求</w:t>
      </w:r>
    </w:p>
    <w:p w14:paraId="562C1B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合同履约期限：详见采购文件</w:t>
      </w:r>
    </w:p>
    <w:p w14:paraId="3240C75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本项目接受联合体投标：</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否</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是</w:t>
      </w:r>
    </w:p>
    <w:p w14:paraId="15E0F83D">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二、申请人的资格要求：</w:t>
      </w:r>
    </w:p>
    <w:p w14:paraId="1971A31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满足《中华人民共和国政府采购法》第二十二条规定；未被“信用中国”（www.creditchina.gov.cn)、中国政府采购网（www.ccgp.gov.cn）列入失信被执行人、重大税收违法失信主体、政府采购严重违法失信行为记录名单；</w:t>
      </w:r>
    </w:p>
    <w:p w14:paraId="7D03AE52">
      <w:pPr>
        <w:spacing w:line="420" w:lineRule="exact"/>
        <w:ind w:firstLine="552"/>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2.落实政府采购政策需满足的资格要求：</w:t>
      </w:r>
    </w:p>
    <w:p w14:paraId="7E616C91">
      <w:pPr>
        <w:spacing w:line="42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auto"/>
          <w:sz w:val="24"/>
          <w:szCs w:val="24"/>
          <w:highlight w:val="none"/>
        </w:rPr>
        <w:t>无</w:t>
      </w:r>
    </w:p>
    <w:p w14:paraId="065B45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☐专门面向中小企业</w:t>
      </w:r>
    </w:p>
    <w:p w14:paraId="4F185972">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☐货物全部由符合政策要求的中小企业制造，提供中小企业声明函；</w:t>
      </w:r>
    </w:p>
    <w:p w14:paraId="0BF666C5">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☐货物全部由符合政策要求的小微企业制造，提供中小企业声明函；</w:t>
      </w:r>
    </w:p>
    <w:p w14:paraId="6B1EFBEF">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☐服务全部由符合政策要求的中小企业承接，提供中小企业声明函；</w:t>
      </w:r>
    </w:p>
    <w:p w14:paraId="4E9739FB">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☐服务全部由符合政策要求的小微企业承接，提供中小企业声明函；</w:t>
      </w:r>
    </w:p>
    <w:p w14:paraId="5381173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☐要求以联合体形式参加，提供联合协议和中小企业声明函，联合协议中中小企业合同金额应当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%;如果供应商本身提供所有标的均由中小企业制造，视同符合了资格条件，无需再与其他中小企业组成联合体参加政府采购活动，无需提供联合协议；</w:t>
      </w:r>
    </w:p>
    <w:p w14:paraId="0ECF01D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☐要求合同分包，提供分包意向协议和中小企业声明函，分包意向协议中中小企业合同份额应当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w:t>
      </w:r>
      <w:r>
        <w:rPr>
          <w:rFonts w:hint="eastAsia" w:ascii="仿宋_GB2312" w:hAnsi="仿宋_GB2312" w:eastAsia="仿宋_GB2312" w:cs="仿宋_GB2312"/>
          <w:color w:val="auto"/>
          <w:sz w:val="24"/>
          <w:szCs w:val="24"/>
          <w:highlight w:val="none"/>
          <w:lang w:eastAsia="zh-CN"/>
        </w:rPr>
        <w:t>小</w:t>
      </w:r>
      <w:r>
        <w:rPr>
          <w:rFonts w:hint="eastAsia" w:ascii="仿宋_GB2312" w:hAnsi="仿宋_GB2312" w:eastAsia="仿宋_GB2312" w:cs="仿宋_GB2312"/>
          <w:color w:val="auto"/>
          <w:sz w:val="24"/>
          <w:szCs w:val="24"/>
          <w:highlight w:val="none"/>
        </w:rPr>
        <w:t>企业制造、承建或承接，视同符合了资格条件，无需再向中小微企业分包，无需提供分包意向协议；</w:t>
      </w:r>
    </w:p>
    <w:p w14:paraId="687D73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3.本项目的特定资格要求：无</w:t>
      </w:r>
    </w:p>
    <w:p w14:paraId="39AD44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5EC8FA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三、获取招标文件</w:t>
      </w:r>
    </w:p>
    <w:p w14:paraId="2EA70F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时间：/至202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rPr>
        <w:t>日，每天上午00:00至12:00 ，下午12:00至23:59（北京时间，线上获取法定节假日均可，线下获取文件法定节假日除外的工作时间）</w:t>
      </w:r>
    </w:p>
    <w:p w14:paraId="1AFF4B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地点（网址）：政采云平台（https://www.zcygov.cn/）</w:t>
      </w:r>
    </w:p>
    <w:p w14:paraId="2574123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方式：供应商登录政采云平台https://www.zcygov.cn/在线申请获取采购文件（进入“项目采购”应用，在获取采购文件菜单中选择项目，申请获取采购文件）。</w:t>
      </w:r>
    </w:p>
    <w:p w14:paraId="323666E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售价（元）：0 </w:t>
      </w:r>
      <w:r>
        <w:rPr>
          <w:rFonts w:hint="eastAsia" w:ascii="仿宋_GB2312" w:hAnsi="仿宋_GB2312" w:eastAsia="仿宋_GB2312" w:cs="仿宋_GB2312"/>
          <w:color w:val="auto"/>
          <w:sz w:val="24"/>
          <w:szCs w:val="24"/>
          <w:highlight w:val="none"/>
        </w:rPr>
        <w:tab/>
      </w:r>
    </w:p>
    <w:p w14:paraId="75E685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四、提交投标文件截止时间、开标时间和地点</w:t>
      </w:r>
    </w:p>
    <w:p w14:paraId="7F6DD6F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提交投标文件截止时间：202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rPr>
        <w:t>日9点15分 （北京时间）</w:t>
      </w:r>
    </w:p>
    <w:p w14:paraId="61BDD15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投标地点（网址）：政采云平台（https://www.zcygov.cn/） </w:t>
      </w:r>
    </w:p>
    <w:p w14:paraId="0A1FDBE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rPr>
        <w:t xml:space="preserve">日9点15分 </w:t>
      </w:r>
    </w:p>
    <w:p w14:paraId="7B0BF0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开标地点（网址）：政采云平台（https://www.zcygov.cn/）</w:t>
      </w:r>
    </w:p>
    <w:p w14:paraId="214A1AF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五、公告期限</w:t>
      </w:r>
    </w:p>
    <w:p w14:paraId="3F4845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自本公告发布之日起5个工作日。</w:t>
      </w:r>
    </w:p>
    <w:p w14:paraId="71548EF5">
      <w:pPr>
        <w:spacing w:line="420" w:lineRule="exact"/>
        <w:ind w:firstLine="482"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六、其他补充事宜</w:t>
      </w:r>
    </w:p>
    <w:p w14:paraId="1071FFF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099CC57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504083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426948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47A35555">
      <w:pPr>
        <w:spacing w:line="420" w:lineRule="exact"/>
        <w:ind w:firstLine="602" w:firstLineChars="25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七、对本次采购提出询问、质疑、投诉，请按以下方式联系</w:t>
      </w:r>
    </w:p>
    <w:p w14:paraId="13508FED">
      <w:pPr>
        <w:spacing w:line="360" w:lineRule="auto"/>
        <w:ind w:left="479" w:leftChars="228"/>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1.采购人信息</w:t>
      </w:r>
    </w:p>
    <w:p w14:paraId="6C908B2B">
      <w:pPr>
        <w:spacing w:line="360" w:lineRule="auto"/>
        <w:ind w:left="479" w:leftChars="228"/>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浙江国际海运职业技术学院</w:t>
      </w:r>
    </w:p>
    <w:p w14:paraId="55695C50">
      <w:pPr>
        <w:spacing w:line="360" w:lineRule="auto"/>
        <w:ind w:left="479" w:leftChars="228"/>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地址:浙江省舟山市临城新区海天大道268号</w:t>
      </w:r>
    </w:p>
    <w:p w14:paraId="763BCEE5">
      <w:pPr>
        <w:spacing w:line="360" w:lineRule="auto"/>
        <w:ind w:left="479" w:leftChars="228"/>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传真:</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0580-2095003</w:t>
      </w:r>
    </w:p>
    <w:p w14:paraId="7EB5F39F">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项目联系人（询问）: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王艺桦</w:t>
      </w:r>
    </w:p>
    <w:p w14:paraId="3AC455F3">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0580-2095006</w:t>
      </w:r>
    </w:p>
    <w:p w14:paraId="79D58DB2">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邱玲玲</w:t>
      </w:r>
    </w:p>
    <w:p w14:paraId="6924D715">
      <w:pPr>
        <w:spacing w:line="360" w:lineRule="auto"/>
        <w:ind w:firstLine="48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质疑联系方式：</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0580-2095005</w:t>
      </w:r>
    </w:p>
    <w:p w14:paraId="5610971C">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2.采购代理机构信息</w:t>
      </w:r>
    </w:p>
    <w:p w14:paraId="5F48203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名称：舟山市公共资源交易中心</w:t>
      </w:r>
    </w:p>
    <w:p w14:paraId="4109509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地址：舟山市新城翁山路555号四楼（大宗商品交易中心同幢西边）</w:t>
      </w:r>
    </w:p>
    <w:p w14:paraId="71A5D5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传真：/             </w:t>
      </w:r>
    </w:p>
    <w:p w14:paraId="493115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eastAsia="zh-CN"/>
        </w:rPr>
        <w:t>陈女士</w:t>
      </w:r>
    </w:p>
    <w:p w14:paraId="1720CCE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0580-2280969</w:t>
      </w:r>
    </w:p>
    <w:p w14:paraId="52BBC1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质疑联系人：丁先生</w:t>
      </w:r>
    </w:p>
    <w:p w14:paraId="0817FDF1">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质疑联系方式：0580-2280948　</w:t>
      </w:r>
    </w:p>
    <w:p w14:paraId="2267A8FE">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同级政府采购监督管理部门</w:t>
      </w:r>
    </w:p>
    <w:p w14:paraId="6547661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名称：舟山市财政局政府采购监管处</w:t>
      </w:r>
    </w:p>
    <w:p w14:paraId="6657497B">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地址：舟山市定海区新城海天大道681号</w:t>
      </w:r>
    </w:p>
    <w:p w14:paraId="327AE10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传真：0580-2282591</w:t>
      </w:r>
    </w:p>
    <w:p w14:paraId="6BF3C4AC">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联系人：王女士</w:t>
      </w:r>
    </w:p>
    <w:p w14:paraId="2D6838F6">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监督投诉电话：0580-2282591</w:t>
      </w:r>
    </w:p>
    <w:p w14:paraId="2D083EA3">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若对项目采购电子交易系统操作有疑问，可登录政采云（https://www.zcygov.cn/），点击右侧咨询小采，获取采小蜜智能服务管家帮助，或拨打政采云服务热线95763获取热线服务帮助。</w:t>
      </w:r>
    </w:p>
    <w:p w14:paraId="2B5EDF1B">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CA问题联系电话（人工）：汇信CA 400-888-4636；天谷CA 400-087-8198。</w:t>
      </w:r>
    </w:p>
    <w:p w14:paraId="6B39FBEF">
      <w:pPr>
        <w:spacing w:line="540" w:lineRule="exact"/>
        <w:contextualSpacing/>
        <w:rPr>
          <w:rFonts w:hint="eastAsia" w:ascii="仿宋_GB2312" w:hAnsi="仿宋_GB2312" w:eastAsia="仿宋_GB2312" w:cs="仿宋_GB2312"/>
          <w:color w:val="auto"/>
          <w:sz w:val="28"/>
          <w:szCs w:val="28"/>
          <w:highlight w:val="none"/>
        </w:rPr>
      </w:pPr>
    </w:p>
    <w:p w14:paraId="3B7C9BDE">
      <w:pPr>
        <w:ind w:firstLine="2380" w:firstLineChars="850"/>
        <w:outlineLvl w:val="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32"/>
          <w:szCs w:val="32"/>
          <w:highlight w:val="none"/>
        </w:rPr>
        <w:t>第二部分</w:t>
      </w:r>
      <w:bookmarkEnd w:id="8"/>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投标人须知</w:t>
      </w:r>
      <w:bookmarkEnd w:id="9"/>
    </w:p>
    <w:p w14:paraId="05F3593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7735A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14:paraId="570074C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D84850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28F148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本项目的特别规定</w:t>
            </w:r>
          </w:p>
        </w:tc>
      </w:tr>
      <w:tr w14:paraId="1925F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3AB0D80">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99870F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E83A1EB">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有关本项目实施所需的所有费用（含税费）均计入报价。</w:t>
            </w:r>
            <w:r>
              <w:rPr>
                <w:rFonts w:hint="eastAsia" w:ascii="仿宋_GB2312" w:hAnsi="仿宋_GB2312" w:eastAsia="仿宋_GB2312" w:cs="仿宋_GB2312"/>
                <w:b/>
                <w:color w:val="auto"/>
                <w:sz w:val="24"/>
                <w:szCs w:val="24"/>
                <w:highlight w:val="none"/>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auto"/>
                <w:sz w:val="24"/>
                <w:szCs w:val="24"/>
                <w:highlight w:val="none"/>
              </w:rPr>
              <w:t>投标文件中价格全部采用人民币报价。招标文件未列明，而投标人认为必需的费用也需列入报价。</w:t>
            </w:r>
            <w:r>
              <w:rPr>
                <w:rFonts w:hint="eastAsia" w:ascii="仿宋_GB2312" w:hAnsi="仿宋_GB2312" w:eastAsia="仿宋_GB2312" w:cs="仿宋_GB2312"/>
                <w:b/>
                <w:color w:val="auto"/>
                <w:sz w:val="24"/>
                <w:szCs w:val="24"/>
                <w:highlight w:val="none"/>
              </w:rPr>
              <w:t>提醒：验收时检测费用由采购人承担，不包含在投标总价中。</w:t>
            </w:r>
          </w:p>
          <w:p w14:paraId="6A252758">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color w:val="auto"/>
                <w:lang w:eastAsia="zh-CN"/>
              </w:rPr>
              <w:t>（</w:t>
            </w:r>
            <w:r>
              <w:rPr>
                <w:rFonts w:hint="eastAsia" w:ascii="仿宋_GB2312" w:hAnsi="仿宋_GB2312" w:eastAsia="仿宋_GB2312" w:cs="仿宋_GB2312"/>
                <w:color w:val="auto"/>
                <w:kern w:val="2"/>
                <w:sz w:val="24"/>
                <w:szCs w:val="24"/>
                <w:highlight w:val="none"/>
                <w:lang w:val="en-US" w:eastAsia="zh-CN" w:bidi="ar-SA"/>
              </w:rPr>
              <w:t>2）政府采购评审中出现下列情形之一的，评审委员会应当启动异常低价投标（响应）审查程序：</w:t>
            </w:r>
          </w:p>
          <w:p w14:paraId="0F3AF1E0">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1.投标（响应）报价低于全部通过符合性审查供应商投标（响应）报价平均值 50 %的，即投标（响应）报价&lt;全部通过符合性审查供应商投标（响应）报价平均值× 50 %；</w:t>
            </w:r>
          </w:p>
          <w:p w14:paraId="082FE6F0">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2.投标（响应）报价低于通过符合性审查的次低报价供应商投标（响应）报价 50 %的，即投标（响应）报价&lt;通过符合性审查的次低报价供应商投标（响应）报价× 50 %；</w:t>
            </w:r>
          </w:p>
          <w:p w14:paraId="16122BEF">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3.投标（响应）报价低于采购项目最高限价 45 %的，即投标（响应）报价&lt;采购项目最高限价× 45 %；</w:t>
            </w:r>
          </w:p>
          <w:p w14:paraId="5313F84B">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4.评审委员会基于专业判断，认为供应商报价过低，有可能影响产品质量或者不能诚信履约的其他情形。</w:t>
            </w:r>
          </w:p>
          <w:p w14:paraId="1BC2BAA4">
            <w:pPr>
              <w:pStyle w:val="25"/>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43153B51">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（3）投标报价出现下列情形的，投标无效：</w:t>
            </w:r>
          </w:p>
          <w:p w14:paraId="7DF1A644">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1.投标文件出现不是唯一的、有选择性投标报价的；</w:t>
            </w:r>
          </w:p>
          <w:p w14:paraId="10C9B51A">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2.投标报价超过招标文件中规定的预算金额或者最高限价的;</w:t>
            </w:r>
          </w:p>
          <w:p w14:paraId="0810DC15">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3.报价明显低于其他通过符合性审查投标人的报价，有可能影响产品质量或者不能诚信履约的，未能按要求提供书面说明或者提交相关证明材料证明其报价合理性的;</w:t>
            </w:r>
          </w:p>
          <w:p w14:paraId="2A5C8482">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4.启动异常低价审查后，投标人不能在合理的时间内提供书面说明、证明材料，或者提供的书面说明、证明材料不能证明其报价合理性的。</w:t>
            </w:r>
          </w:p>
          <w:p w14:paraId="02A337DB">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5.投标人对根据修正原则修正后的报价不确认的。</w:t>
            </w:r>
          </w:p>
        </w:tc>
      </w:tr>
      <w:tr w14:paraId="68E848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CC90E5C">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753205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666D4C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A同意将非主、非关键性的</w:t>
            </w:r>
            <w:r>
              <w:rPr>
                <w:rFonts w:hint="eastAsia" w:ascii="仿宋_GB2312" w:hAnsi="仿宋_GB2312" w:eastAsia="仿宋_GB2312" w:cs="仿宋_GB2312"/>
                <w:color w:val="auto"/>
                <w:sz w:val="24"/>
                <w:szCs w:val="24"/>
                <w:highlight w:val="none"/>
                <w:u w:val="single"/>
                <w:lang w:val="en-US" w:eastAsia="zh-CN"/>
              </w:rPr>
              <w:t xml:space="preserve"> 调试  </w:t>
            </w:r>
            <w:r>
              <w:rPr>
                <w:rFonts w:hint="eastAsia" w:ascii="仿宋_GB2312" w:hAnsi="仿宋_GB2312" w:eastAsia="仿宋_GB2312" w:cs="仿宋_GB2312"/>
                <w:color w:val="auto"/>
                <w:sz w:val="24"/>
                <w:szCs w:val="24"/>
                <w:highlight w:val="none"/>
                <w:u w:val="none"/>
              </w:rPr>
              <w:t>分</w:t>
            </w:r>
            <w:r>
              <w:rPr>
                <w:rFonts w:hint="eastAsia" w:ascii="仿宋_GB2312" w:hAnsi="仿宋_GB2312" w:eastAsia="仿宋_GB2312" w:cs="仿宋_GB2312"/>
                <w:color w:val="auto"/>
                <w:sz w:val="24"/>
                <w:szCs w:val="24"/>
                <w:highlight w:val="none"/>
              </w:rPr>
              <w:t>包。</w:t>
            </w:r>
          </w:p>
          <w:p w14:paraId="505B4B3C">
            <w:pPr>
              <w:spacing w:line="400" w:lineRule="exact"/>
              <w:contextualSpacing/>
              <w:rPr>
                <w:rFonts w:hint="eastAsia" w:ascii="仿宋_GB2312" w:hAnsi="仿宋_GB2312" w:eastAsia="仿宋_GB2312" w:cs="仿宋_GB2312"/>
                <w:color w:val="FF0000"/>
                <w:sz w:val="24"/>
                <w:highlight w:val="none"/>
              </w:rPr>
            </w:pPr>
            <w:r>
              <w:rPr>
                <w:rFonts w:hint="eastAsia" w:ascii="仿宋_GB2312" w:eastAsia="仿宋_GB2312"/>
                <w:color w:val="auto"/>
                <w:sz w:val="24"/>
              </w:rPr>
              <w:t>本项目上述允许分包的合同份额所占合同总金额小于30%。</w:t>
            </w:r>
          </w:p>
          <w:p w14:paraId="5D15AF32">
            <w:pPr>
              <w:spacing w:line="400" w:lineRule="exact"/>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B不同意分包。</w:t>
            </w:r>
          </w:p>
          <w:p w14:paraId="6B91E52A">
            <w:pPr>
              <w:pStyle w:val="2"/>
              <w:ind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注：不得限制大中型企业向小微企业合理分包。</w:t>
            </w:r>
          </w:p>
        </w:tc>
      </w:tr>
      <w:tr w14:paraId="79801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14:paraId="561940BD">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43" w:type="dxa"/>
            <w:vMerge w:val="restart"/>
            <w:tcBorders>
              <w:top w:val="single" w:color="000000" w:sz="8" w:space="0"/>
              <w:left w:val="single" w:color="auto" w:sz="4" w:space="0"/>
              <w:right w:val="single" w:color="000000" w:sz="8" w:space="0"/>
            </w:tcBorders>
            <w:noWrap w:val="0"/>
            <w:vAlign w:val="center"/>
          </w:tcPr>
          <w:p w14:paraId="0C0256E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14:paraId="07AC3DE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（1）资格证明文件：见招标文件第二部分11.1。</w:t>
            </w:r>
          </w:p>
          <w:p w14:paraId="206EE04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投标人未提供有效的资格证明文件的，视为投标人不具备招标文件中规定的资格要求，投标无效。</w:t>
            </w:r>
          </w:p>
        </w:tc>
      </w:tr>
      <w:tr w14:paraId="6CAC6A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14:paraId="4CEB19BD">
            <w:pPr>
              <w:spacing w:line="540" w:lineRule="exact"/>
              <w:contextualSpacing/>
              <w:rPr>
                <w:rFonts w:hint="eastAsia" w:ascii="仿宋_GB2312" w:hAnsi="仿宋_GB2312" w:eastAsia="仿宋_GB2312" w:cs="仿宋_GB2312"/>
                <w:color w:val="auto"/>
                <w:sz w:val="24"/>
                <w:szCs w:val="24"/>
                <w:highlight w:val="none"/>
              </w:rPr>
            </w:pPr>
          </w:p>
        </w:tc>
        <w:tc>
          <w:tcPr>
            <w:tcW w:w="1843" w:type="dxa"/>
            <w:vMerge w:val="continue"/>
            <w:tcBorders>
              <w:left w:val="single" w:color="auto" w:sz="4" w:space="0"/>
              <w:bottom w:val="single" w:color="000000" w:sz="8" w:space="0"/>
              <w:right w:val="single" w:color="000000" w:sz="8" w:space="0"/>
            </w:tcBorders>
            <w:noWrap w:val="0"/>
            <w:vAlign w:val="center"/>
          </w:tcPr>
          <w:p w14:paraId="426189B8">
            <w:pPr>
              <w:spacing w:line="400" w:lineRule="exact"/>
              <w:contextualSpacing/>
              <w:rPr>
                <w:rFonts w:hint="eastAsia" w:ascii="仿宋_GB2312" w:hAnsi="仿宋_GB2312" w:eastAsia="仿宋_GB2312" w:cs="仿宋_GB2312"/>
                <w:color w:val="auto"/>
                <w:sz w:val="24"/>
                <w:szCs w:val="24"/>
                <w:highlight w:val="none"/>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14:paraId="2863182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（2）资信证明文件：根据招标文件第四部分评标标准提供。</w:t>
            </w:r>
          </w:p>
        </w:tc>
      </w:tr>
      <w:tr w14:paraId="77CE0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D230BA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40A343A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开标前答疑会或现场</w:t>
            </w:r>
            <w:r>
              <w:rPr>
                <w:rFonts w:hint="eastAsia" w:ascii="仿宋_GB2312" w:hAnsi="仿宋_GB2312" w:eastAsia="仿宋_GB2312" w:cs="仿宋_GB2312"/>
                <w:color w:val="auto"/>
                <w:sz w:val="24"/>
                <w:szCs w:val="24"/>
                <w:highlight w:val="none"/>
                <w:lang w:eastAsia="zh-CN"/>
              </w:rPr>
              <w:t>勘</w:t>
            </w:r>
            <w:r>
              <w:rPr>
                <w:rFonts w:hint="eastAsia" w:ascii="仿宋_GB2312" w:hAnsi="仿宋_GB2312" w:eastAsia="仿宋_GB2312" w:cs="仿宋_GB2312"/>
                <w:color w:val="auto"/>
                <w:sz w:val="24"/>
                <w:szCs w:val="24"/>
                <w:highlight w:val="none"/>
              </w:rPr>
              <w:t>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E40A54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574A373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r>
              <w:rPr>
                <w:rFonts w:hint="eastAsia" w:ascii="仿宋_GB2312" w:hAnsi="仿宋_GB2312" w:eastAsia="仿宋_GB2312" w:cs="仿宋_GB2312"/>
                <w:color w:val="auto"/>
                <w:sz w:val="24"/>
                <w:szCs w:val="24"/>
                <w:highlight w:val="none"/>
                <w:lang w:eastAsia="zh-CN"/>
              </w:rPr>
              <w:t>现场勘察</w:t>
            </w:r>
            <w:r>
              <w:rPr>
                <w:rFonts w:hint="eastAsia" w:ascii="仿宋_GB2312" w:hAnsi="仿宋_GB2312" w:eastAsia="仿宋_GB2312" w:cs="仿宋_GB2312"/>
                <w:color w:val="auto"/>
                <w:sz w:val="24"/>
                <w:szCs w:val="24"/>
                <w:highlight w:val="none"/>
              </w:rPr>
              <w:t>，时间 ,地点</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联系</w:t>
            </w:r>
            <w:r>
              <w:rPr>
                <w:rFonts w:hint="eastAsia" w:ascii="仿宋_GB2312" w:hAnsi="仿宋_GB2312" w:eastAsia="仿宋_GB2312" w:cs="仿宋_GB2312"/>
                <w:color w:val="auto"/>
                <w:sz w:val="24"/>
                <w:szCs w:val="24"/>
                <w:highlight w:val="none"/>
                <w:lang w:eastAsia="zh-CN"/>
              </w:rPr>
              <w:t>人</w:t>
            </w:r>
            <w:r>
              <w:rPr>
                <w:rFonts w:hint="eastAsia" w:ascii="仿宋_GB2312" w:hAnsi="仿宋_GB2312" w:eastAsia="仿宋_GB2312" w:cs="仿宋_GB2312"/>
                <w:color w:val="auto"/>
                <w:sz w:val="24"/>
                <w:szCs w:val="24"/>
                <w:highlight w:val="none"/>
              </w:rPr>
              <w:t>，联系方式：</w:t>
            </w:r>
          </w:p>
        </w:tc>
      </w:tr>
      <w:tr w14:paraId="51E2D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6AA37A2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19B8D5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422B2EB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A不要求提供。</w:t>
            </w:r>
          </w:p>
          <w:p w14:paraId="247C3DE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☐B要求提供，</w:t>
            </w:r>
          </w:p>
          <w:p w14:paraId="6987DCB8">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kern w:val="0"/>
                <w:sz w:val="24"/>
                <w:highlight w:val="none"/>
              </w:rPr>
              <w:t>；</w:t>
            </w:r>
          </w:p>
          <w:p w14:paraId="66068722">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kern w:val="0"/>
                <w:sz w:val="24"/>
                <w:highlight w:val="none"/>
              </w:rPr>
              <w:t>；</w:t>
            </w:r>
          </w:p>
          <w:p w14:paraId="284F3D17">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14:paraId="60EA255F">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w:t>
            </w:r>
          </w:p>
          <w:p w14:paraId="38704FE8">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kern w:val="0"/>
                <w:sz w:val="24"/>
                <w:highlight w:val="none"/>
              </w:rPr>
              <w:t>；地点：；联系人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14:paraId="57A58728">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2EBC341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tc>
      </w:tr>
      <w:tr w14:paraId="512EC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1110BF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334A738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E87929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4F9125B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p>
          <w:p w14:paraId="4A906E62">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（1）在评标时安排每个投标人进行方案讲解演示。每个投标人时间不超过</w:t>
            </w:r>
            <w:r>
              <w:rPr>
                <w:rFonts w:hint="eastAsia" w:ascii="仿宋_GB2312" w:hAnsi="仿宋_GB2312" w:eastAsia="仿宋_GB2312" w:cs="仿宋_GB2312"/>
                <w:color w:val="auto"/>
                <w:sz w:val="24"/>
                <w:szCs w:val="24"/>
                <w:highlight w:val="none"/>
                <w:u w:val="single"/>
              </w:rPr>
              <w:t>20（编制时可根据项目情况进行调整）</w:t>
            </w:r>
            <w:r>
              <w:rPr>
                <w:rFonts w:hint="eastAsia" w:ascii="仿宋_GB2312" w:hAnsi="仿宋_GB2312" w:eastAsia="仿宋_GB2312" w:cs="仿宋_GB2312"/>
                <w:color w:val="auto"/>
                <w:sz w:val="24"/>
                <w:szCs w:val="24"/>
                <w:highlight w:val="none"/>
              </w:rPr>
              <w:t>分钟，讲解次序以投标文件解密时间先后次序为准，讲解演示人员不超过</w:t>
            </w:r>
            <w:r>
              <w:rPr>
                <w:rFonts w:hint="eastAsia" w:ascii="仿宋_GB2312" w:hAnsi="仿宋_GB2312" w:eastAsia="仿宋_GB2312" w:cs="仿宋_GB2312"/>
                <w:color w:val="auto"/>
                <w:sz w:val="24"/>
                <w:szCs w:val="24"/>
                <w:highlight w:val="none"/>
                <w:u w:val="single"/>
              </w:rPr>
              <w:t>3（编制时可根据项目情况进行调整）</w:t>
            </w:r>
            <w:r>
              <w:rPr>
                <w:rFonts w:hint="eastAsia" w:ascii="仿宋_GB2312" w:hAnsi="仿宋_GB2312" w:eastAsia="仿宋_GB2312" w:cs="仿宋_GB2312"/>
                <w:color w:val="auto"/>
                <w:sz w:val="24"/>
                <w:szCs w:val="24"/>
                <w:highlight w:val="none"/>
              </w:rPr>
              <w:t>人。讲解演示结束后按要求解答评标委员会提问。</w:t>
            </w:r>
          </w:p>
          <w:p w14:paraId="4E2E5DB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（2）方案讲解演示可选择以下其中一种方式：</w:t>
            </w:r>
          </w:p>
          <w:p w14:paraId="03024F6E">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政采云平台在线讲解演示。政采云平台在线讲解需投标人根据政采云平台操作要求做好准备工作，提前完善软硬件配置环境。</w:t>
            </w:r>
          </w:p>
          <w:p w14:paraId="7A05544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☐交易中心现场讲解演示。现场讲解地点为，讲解演示所用电脑等设备由投标人自备。现场讲解演示人员进场时提供讲解人员名单（加盖公章）及身份证明，否则不得讲解演示。</w:t>
            </w:r>
          </w:p>
          <w:p w14:paraId="0943302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31376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D62B55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7B3E326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1E1C929F">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本项目不允许采购进口产品。</w:t>
            </w:r>
          </w:p>
          <w:p w14:paraId="4041278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577E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4A75FEA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AB4B53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5E7FCE35">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8F1664">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default" w:ascii="仿宋_GB2312" w:hAnsi="仿宋_GB2312" w:eastAsia="仿宋_GB2312" w:cs="仿宋_GB2312"/>
                <w:color w:val="auto"/>
                <w:szCs w:val="24"/>
                <w:highlight w:val="none"/>
                <w:lang w:val="en-US"/>
              </w:rPr>
            </w:pPr>
            <w:r>
              <w:rPr>
                <w:rFonts w:hint="eastAsia" w:ascii="仿宋" w:hAnsi="仿宋" w:eastAsia="仿宋" w:cs="仿宋"/>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14:paraId="564A7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124776D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7809B9D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35A64C">
            <w:pPr>
              <w:pStyle w:val="2"/>
              <w:ind w:left="0" w:leftChars="0" w:firstLine="0" w:firstLineChars="0"/>
              <w:rPr>
                <w:rFonts w:hint="default" w:ascii="仿宋_GB2312" w:hAnsi="仿宋_GB2312" w:eastAsia="仿宋_GB2312" w:cs="仿宋_GB2312"/>
                <w:color w:val="auto"/>
                <w:kern w:val="2"/>
                <w:sz w:val="24"/>
                <w:szCs w:val="24"/>
                <w:highlight w:val="none"/>
                <w:u w:val="single"/>
                <w:lang w:val="en-US" w:eastAsia="zh-CN" w:bidi="ar-SA"/>
              </w:rPr>
            </w:pPr>
            <w:r>
              <w:rPr>
                <w:rFonts w:hint="eastAsia" w:ascii="仿宋_GB2312" w:hAnsi="仿宋_GB2312" w:eastAsia="仿宋_GB2312" w:cs="仿宋_GB2312"/>
                <w:color w:val="auto"/>
                <w:szCs w:val="24"/>
                <w:highlight w:val="none"/>
              </w:rPr>
              <w:t>货物类，单一产品或核心产品为：</w:t>
            </w:r>
            <w:r>
              <w:rPr>
                <w:rFonts w:hint="eastAsia" w:ascii="仿宋_GB2312" w:hAnsi="仿宋_GB2312" w:eastAsia="仿宋_GB2312" w:cs="仿宋_GB2312"/>
                <w:color w:val="000000"/>
                <w:sz w:val="24"/>
                <w:szCs w:val="24"/>
                <w:highlight w:val="none"/>
                <w:u w:val="single"/>
                <w:lang w:eastAsia="zh-CN"/>
              </w:rPr>
              <w:t>办公</w:t>
            </w:r>
            <w:r>
              <w:rPr>
                <w:rFonts w:hint="eastAsia" w:ascii="仿宋_GB2312" w:hAnsi="仿宋_GB2312" w:eastAsia="仿宋_GB2312" w:cs="仿宋_GB2312"/>
                <w:color w:val="000000"/>
                <w:sz w:val="24"/>
                <w:szCs w:val="24"/>
                <w:highlight w:val="none"/>
                <w:u w:val="single"/>
              </w:rPr>
              <w:t>台式电脑</w:t>
            </w:r>
            <w:r>
              <w:rPr>
                <w:rFonts w:hint="eastAsia" w:ascii="仿宋_GB2312" w:hAnsi="仿宋_GB2312" w:eastAsia="仿宋_GB2312" w:cs="仿宋_GB2312"/>
                <w:color w:val="auto"/>
                <w:szCs w:val="24"/>
                <w:highlight w:val="none"/>
                <w:u w:val="single"/>
                <w:lang w:val="en-US" w:eastAsia="zh-CN"/>
              </w:rPr>
              <w:t xml:space="preserve"> </w:t>
            </w:r>
          </w:p>
        </w:tc>
      </w:tr>
      <w:tr w14:paraId="22B56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5C2309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2944DC">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A836E22">
            <w:pPr>
              <w:snapToGrid w:val="0"/>
              <w:spacing w:line="360" w:lineRule="auto"/>
              <w:rPr>
                <w:rFonts w:hint="eastAsia" w:ascii="仿宋_GB2312" w:hAnsi="仿宋_GB2312" w:eastAsia="仿宋_GB2312" w:cs="仿宋_GB2312"/>
                <w:color w:val="auto"/>
                <w:kern w:val="2"/>
                <w:sz w:val="24"/>
                <w:szCs w:val="22"/>
                <w:highlight w:val="none"/>
                <w:lang w:val="en-US" w:eastAsia="zh-CN" w:bidi="ar-SA"/>
              </w:rPr>
            </w:pPr>
            <w:r>
              <w:rPr>
                <w:rFonts w:hint="eastAsia" w:ascii="仿宋_GB2312" w:hAnsi="仿宋_GB2312" w:eastAsia="仿宋_GB2312" w:cs="仿宋_GB2312"/>
                <w:color w:val="auto"/>
                <w:sz w:val="24"/>
                <w:highlight w:val="none"/>
              </w:rPr>
              <w:t>采购标的：</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，所属行业：</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w:t>
            </w:r>
          </w:p>
        </w:tc>
      </w:tr>
      <w:tr w14:paraId="0FAF6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14:paraId="0E9B5837">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14:paraId="3EC4D74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6B0C918">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依据国家确定的认证机构出具的、处于有效期之内的节能产品认证证书，对获得证书的产品实施政府优先采购或强制采购；其中，</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auto"/>
                <w:sz w:val="24"/>
                <w:szCs w:val="24"/>
                <w:highlight w:val="none"/>
                <w:u w:val="single"/>
                <w:lang w:val="en-US" w:eastAsia="zh-CN"/>
              </w:rPr>
              <w:t xml:space="preserve">   /    </w:t>
            </w:r>
            <w:r>
              <w:rPr>
                <w:rFonts w:hint="eastAsia" w:ascii="仿宋_GB2312" w:hAnsi="仿宋_GB2312" w:eastAsia="仿宋_GB2312" w:cs="仿宋_GB2312"/>
                <w:color w:val="auto"/>
                <w:sz w:val="24"/>
                <w:szCs w:val="24"/>
                <w:highlight w:val="none"/>
              </w:rPr>
              <w:t>实施政府优先采购，详见评分标准；</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FF0000"/>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lang w:eastAsia="zh-CN"/>
              </w:rPr>
              <w:t>办公</w:t>
            </w:r>
            <w:r>
              <w:rPr>
                <w:rFonts w:hint="eastAsia" w:ascii="仿宋_GB2312" w:hAnsi="仿宋_GB2312" w:eastAsia="仿宋_GB2312" w:cs="仿宋_GB2312"/>
                <w:color w:val="auto"/>
                <w:sz w:val="24"/>
                <w:szCs w:val="24"/>
                <w:highlight w:val="none"/>
                <w:u w:val="single"/>
              </w:rPr>
              <w:t>台式电脑</w:t>
            </w:r>
            <w:r>
              <w:rPr>
                <w:rFonts w:hint="eastAsia" w:ascii="仿宋_GB2312" w:hAnsi="仿宋_GB2312" w:eastAsia="仿宋_GB2312" w:cs="仿宋_GB2312"/>
                <w:color w:val="auto"/>
                <w:sz w:val="24"/>
                <w:szCs w:val="24"/>
                <w:highlight w:val="none"/>
                <w:u w:val="single"/>
                <w:lang w:eastAsia="zh-CN"/>
              </w:rPr>
              <w:t>、办公台式电脑显示器</w:t>
            </w:r>
            <w:r>
              <w:rPr>
                <w:rFonts w:hint="eastAsia" w:ascii="仿宋_GB2312" w:hAnsi="仿宋_GB2312" w:eastAsia="仿宋_GB2312" w:cs="仿宋_GB2312"/>
                <w:color w:val="auto"/>
                <w:sz w:val="24"/>
                <w:szCs w:val="24"/>
                <w:highlight w:val="none"/>
              </w:rPr>
              <w:t>实施政府强制采购，投标人就相应的投标产品未提供国家确定的认证机构出具的、处于有效期之内的节能产品认证证书的，投标无效。</w:t>
            </w:r>
          </w:p>
          <w:p w14:paraId="37E054DA">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依据国家确定的认证机构出具的、处于有效期之内的环境标志产品认证证书，对获得证书的</w:t>
            </w:r>
            <w:r>
              <w:rPr>
                <w:rFonts w:hint="eastAsia" w:ascii="仿宋_GB2312" w:hAnsi="仿宋_GB2312" w:eastAsia="仿宋_GB2312" w:cs="仿宋_GB2312"/>
                <w:color w:val="auto"/>
                <w:sz w:val="24"/>
                <w:szCs w:val="24"/>
                <w:highlight w:val="none"/>
                <w:u w:val="single"/>
                <w:lang w:eastAsia="zh-CN"/>
              </w:rPr>
              <w:t>办公</w:t>
            </w:r>
            <w:r>
              <w:rPr>
                <w:rFonts w:hint="eastAsia" w:ascii="仿宋_GB2312" w:hAnsi="仿宋_GB2312" w:eastAsia="仿宋_GB2312" w:cs="仿宋_GB2312"/>
                <w:color w:val="auto"/>
                <w:sz w:val="24"/>
                <w:szCs w:val="24"/>
                <w:highlight w:val="none"/>
                <w:u w:val="single"/>
              </w:rPr>
              <w:t>台式电脑</w:t>
            </w:r>
            <w:r>
              <w:rPr>
                <w:rFonts w:hint="eastAsia" w:ascii="仿宋_GB2312" w:hAnsi="仿宋_GB2312" w:eastAsia="仿宋_GB2312" w:cs="仿宋_GB2312"/>
                <w:color w:val="auto"/>
                <w:sz w:val="24"/>
                <w:szCs w:val="24"/>
                <w:highlight w:val="none"/>
                <w:u w:val="single"/>
                <w:lang w:eastAsia="zh-CN"/>
              </w:rPr>
              <w:t>、办公台式电脑显示器</w:t>
            </w:r>
            <w:r>
              <w:rPr>
                <w:rFonts w:hint="eastAsia" w:ascii="仿宋_GB2312" w:hAnsi="仿宋_GB2312" w:eastAsia="仿宋_GB2312" w:cs="仿宋_GB2312"/>
                <w:color w:val="auto"/>
                <w:sz w:val="24"/>
                <w:szCs w:val="24"/>
                <w:highlight w:val="none"/>
              </w:rPr>
              <w:t>实施政府优先采购，详见评分标准。</w:t>
            </w:r>
          </w:p>
          <w:p w14:paraId="6B95CEF9">
            <w:pPr>
              <w:spacing w:line="400" w:lineRule="exact"/>
              <w:ind w:firstLine="480" w:firstLineChars="200"/>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w:t>
            </w:r>
          </w:p>
        </w:tc>
      </w:tr>
      <w:tr w14:paraId="206D8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E59437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445622">
            <w:pPr>
              <w:spacing w:line="400" w:lineRule="exact"/>
              <w:contextualSpacing/>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201027F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36B3F7F7">
            <w:pPr>
              <w:pStyle w:val="12"/>
              <w:spacing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（2）供应商中标后也可在“政采云”平台申请政采贷：操作路径：登录政采云平台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5FF19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6467FE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0384A2E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07D70098">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备份投标文件的送达地点和签收人员详见招标文件第二部分15.3；15.4。采购人、采购代理机构不强制或变相强制投标人提交备份投标文件。</w:t>
            </w:r>
          </w:p>
        </w:tc>
      </w:tr>
      <w:tr w14:paraId="466677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39CE591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1481FCE">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07704EF2">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 xml:space="preserve">是否需要履约保证金: </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否</w:t>
            </w:r>
          </w:p>
        </w:tc>
      </w:tr>
      <w:tr w14:paraId="58AC0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4B3A68AB">
            <w:pPr>
              <w:spacing w:line="400" w:lineRule="exact"/>
              <w:contextualSpacing/>
              <w:jc w:val="center"/>
              <w:rPr>
                <w:rFonts w:hint="default" w:ascii="仿宋_GB2312" w:hAnsi="仿宋_GB2312" w:eastAsia="仿宋_GB2312" w:cs="仿宋_GB2312"/>
                <w:color w:val="auto"/>
                <w:sz w:val="24"/>
                <w:szCs w:val="24"/>
                <w:highlight w:val="none"/>
                <w:lang w:val="en-US" w:eastAsia="zh-CN"/>
              </w:rPr>
            </w:pPr>
            <w:bookmarkStart w:id="11" w:name="_Toc164416483"/>
            <w:bookmarkStart w:id="12" w:name="第三部分"/>
            <w:r>
              <w:rPr>
                <w:rFonts w:hint="eastAsia" w:ascii="仿宋_GB2312" w:hAnsi="仿宋_GB2312" w:eastAsia="仿宋_GB2312" w:cs="仿宋_GB2312"/>
                <w:color w:val="auto"/>
                <w:sz w:val="24"/>
                <w:szCs w:val="24"/>
                <w:highlight w:val="none"/>
                <w:lang w:val="en-US" w:eastAsia="zh-CN"/>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6B6B4302">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36DF098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联合体投标的，联合体各方分别提供与联合体协议中规定的分工内容相应的业绩证明材料，业绩数量以提供材料较少的一方为准。</w:t>
            </w:r>
          </w:p>
          <w:p w14:paraId="642E7805">
            <w:pPr>
              <w:spacing w:line="400" w:lineRule="exac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bCs/>
                <w:color w:val="auto"/>
                <w:sz w:val="24"/>
                <w:szCs w:val="24"/>
                <w:highlight w:val="none"/>
              </w:rPr>
              <w:t>联合体投标的，联合体各方均需按招标文件第四部分评标办法提供资信证明文件，否则视为不符合相关要求。</w:t>
            </w:r>
          </w:p>
          <w:p w14:paraId="0340EC3A">
            <w:pPr>
              <w:pStyle w:val="12"/>
              <w:spacing w:line="400" w:lineRule="exact"/>
              <w:rPr>
                <w:rFonts w:hint="eastAsia" w:ascii="Calibri" w:hAnsi="Calibri" w:eastAsia="宋体" w:cs="宋体"/>
                <w:color w:val="auto"/>
                <w:kern w:val="2"/>
                <w:sz w:val="21"/>
                <w:szCs w:val="22"/>
                <w:highlight w:val="none"/>
                <w:lang w:val="en-US" w:eastAsia="zh-CN" w:bidi="ar-SA"/>
              </w:rPr>
            </w:pP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sz w:val="24"/>
                <w:szCs w:val="24"/>
                <w:highlight w:val="none"/>
              </w:rPr>
              <w:t>联合体投标的，联合体中有一方或者联合体成员根据分工按招标文件第四部分评标办法提供资信证明文件的，视为符合了相关要求。</w:t>
            </w:r>
          </w:p>
        </w:tc>
      </w:tr>
      <w:bookmarkEnd w:id="10"/>
    </w:tbl>
    <w:p w14:paraId="3271343D">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一、总则</w:t>
      </w:r>
    </w:p>
    <w:p w14:paraId="55D4E97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1.适用范围</w:t>
      </w:r>
    </w:p>
    <w:p w14:paraId="7454491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本招标文件适用于该项目的招标、投标、开标、资格审查及信用信息查询、评标、定标、合同、验收等行为（法律、法规另有规定的，从其规定）。</w:t>
      </w:r>
    </w:p>
    <w:p w14:paraId="4C1C11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2.定义</w:t>
      </w:r>
    </w:p>
    <w:p w14:paraId="283EE24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 “采购人”系指招标公告中载明的本项目的采购人。</w:t>
      </w:r>
    </w:p>
    <w:p w14:paraId="11AC8D5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“采购代理机构”系指招标公告中载明的本项目的采购代理机构。</w:t>
      </w:r>
    </w:p>
    <w:p w14:paraId="5C3ABA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 “投标人”系指是指响应招标、参加投标竞争的法人、其他组织或者自然人。</w:t>
      </w:r>
    </w:p>
    <w:p w14:paraId="6498B17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“负责人”系指法人企业的法定负责人，或其他组织为法律、行政法规规定代表单位行使职权的主要负责人，或自然人本人。</w:t>
      </w:r>
    </w:p>
    <w:p w14:paraId="2F5BDD2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931B60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2.6“电子交易平台”是指本项目政府采购活动所依托的政府采购云平台（https://www.zcygov.cn/）。</w:t>
      </w:r>
    </w:p>
    <w:p w14:paraId="792B3D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“▲”系指实质性要求条款，“</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 w:val="24"/>
          <w:szCs w:val="24"/>
          <w:highlight w:val="none"/>
        </w:rPr>
        <w:t>”系产品采购项目中单一产品或核心产品，“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”系指适用本项目的要求，“☐”系指不适用本项目的要求。</w:t>
      </w:r>
    </w:p>
    <w:p w14:paraId="141E31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 采购项目需要落实的政府采购政策</w:t>
      </w:r>
    </w:p>
    <w:p w14:paraId="168739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2B8B2E7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支持绿色发展。</w:t>
      </w:r>
    </w:p>
    <w:p w14:paraId="37909B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0BCC92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3.2.2 修缮、装修类项目采购建材的，采购人应将绿色建筑和绿色建材性能、指标等作为实质性条件纳入招标文件和合同。</w:t>
      </w:r>
    </w:p>
    <w:p w14:paraId="42172BC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D202E90">
      <w:pPr>
        <w:pStyle w:val="12"/>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6C6823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3.3支持中小企业发展</w:t>
      </w:r>
    </w:p>
    <w:p w14:paraId="76EB2C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189E3E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符合中小企业划分标准的个体工商户，在政府采购活动中视同中小企业。</w:t>
      </w:r>
    </w:p>
    <w:p w14:paraId="00659E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3.3.2在政府采购活动中，投标人提供的货物、工程或者服务符合下列情形的，享受中小企业扶持政策：</w:t>
      </w:r>
    </w:p>
    <w:p w14:paraId="1D55C62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3.3.2.1在货物采购项目中，货物由中小企业制造，即货物由中小企业生产且使用该中小企业商号或者注册商标；</w:t>
      </w:r>
    </w:p>
    <w:p w14:paraId="4EC626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3.3.2.2在工程采购项目中，工程由中小企业承建，即工程施工单位为中小企业；</w:t>
      </w:r>
    </w:p>
    <w:p w14:paraId="3B8E613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3.3.2.3在服务采购项目中，服务由中小企业承接，即提供服务的人员为中小企业依照《中华人民共和国劳动合同法》订立劳动合同的从业人员。</w:t>
      </w:r>
    </w:p>
    <w:p w14:paraId="1EB59C4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在货物采购项目中，投标人提供的货物既有中小企业制造货物，也有大型企业制造货物的，不享受中小企业扶持政策。</w:t>
      </w:r>
    </w:p>
    <w:p w14:paraId="4540F4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14:paraId="608BFE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auto"/>
          <w:sz w:val="24"/>
          <w:szCs w:val="24"/>
          <w:highlight w:val="none"/>
          <w:u w:val="single"/>
        </w:rPr>
        <w:t>10%</w:t>
      </w:r>
      <w:r>
        <w:rPr>
          <w:rFonts w:hint="eastAsia" w:ascii="仿宋_GB2312" w:hAnsi="仿宋_GB2312" w:eastAsia="仿宋_GB2312" w:cs="仿宋_GB2312"/>
          <w:color w:val="auto"/>
          <w:sz w:val="24"/>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auto"/>
          <w:sz w:val="24"/>
          <w:szCs w:val="24"/>
          <w:highlight w:val="none"/>
          <w:u w:val="single"/>
        </w:rPr>
        <w:t>4%</w:t>
      </w:r>
      <w:r>
        <w:rPr>
          <w:rFonts w:hint="eastAsia" w:ascii="仿宋_GB2312" w:hAnsi="仿宋_GB2312" w:eastAsia="仿宋_GB2312" w:cs="仿宋_GB2312"/>
          <w:color w:val="auto"/>
          <w:sz w:val="24"/>
          <w:szCs w:val="24"/>
          <w:highlight w:val="none"/>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57501C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3.3.4符合《关于促进残疾人就业政府采购政策的通知》（财库〔2017〕141号）规定的条件并提供《残疾人福利性单位声明函》（附件1）的残疾人福利性单位视同小型、微型企业；</w:t>
      </w:r>
    </w:p>
    <w:p w14:paraId="444676A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0F6BB6D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4AB8E76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3.3.7中小企业享受扶持政策获得政府采购合同的，小微企业不得将合同分包给大中型企业，中型企业不得将合同分包给大型企业。</w:t>
      </w:r>
    </w:p>
    <w:p w14:paraId="6C1DE5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3.4支持创新发展</w:t>
      </w:r>
    </w:p>
    <w:p w14:paraId="79BB17C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 采购人优先采购被认定为首台套产品和“制造精品”的自主创新产品。</w:t>
      </w:r>
    </w:p>
    <w:p w14:paraId="73686E0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6FF27E8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3.5平等对待内外资企业和符合条件的破产重整企业</w:t>
      </w:r>
    </w:p>
    <w:p w14:paraId="28410CF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平等对待内外资企业和符合条件的破产重整企业，切实保障企业公平竞争，平等维护企业的合法利益。</w:t>
      </w:r>
    </w:p>
    <w:p w14:paraId="7DC507F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53B8C846">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3.7 支持本国产品</w:t>
      </w:r>
    </w:p>
    <w:p w14:paraId="6799E119">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3.7.1 本项目既有本国产品又有非本国产品参与竞争的，对本国产品的报价给予20%的价格扣除，用扣除后的价格参与评审。</w:t>
      </w:r>
    </w:p>
    <w:p w14:paraId="7FC55E5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9444F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 询问、质疑、投诉</w:t>
      </w:r>
    </w:p>
    <w:p w14:paraId="72076A7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660605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4.2供应商询问</w:t>
      </w:r>
    </w:p>
    <w:p w14:paraId="0D84600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104368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4.3供应商质疑</w:t>
      </w:r>
    </w:p>
    <w:p w14:paraId="51F707B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4.3.1提出质疑的供应商应当是参与所质疑项目采购活动的供应商。潜在供应商已依法获取其可质疑的招标文件的，可以对该文件提出质疑。</w:t>
      </w:r>
    </w:p>
    <w:p w14:paraId="4E2225B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4A3CD5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1F9503F2">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7774A122">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4.3.2.3对采购结果提出质疑的，质疑期限自采购结果公告期限届满之日起计算。对采购结果提出质疑的，采购代理机构负责答复。</w:t>
      </w:r>
    </w:p>
    <w:p w14:paraId="151B18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4.3.3供应商提出质疑应当提交质疑函和必要的证明材料。质疑函应当包括下列内容：</w:t>
      </w:r>
    </w:p>
    <w:p w14:paraId="128668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4.3.3.1供应商的姓名或者名称、地址、邮编、联系人及联系电话；</w:t>
      </w:r>
    </w:p>
    <w:p w14:paraId="41EF647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4.3.3.2质疑项目的名称、编号；</w:t>
      </w:r>
    </w:p>
    <w:p w14:paraId="13BCB0C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4.3.3.3具体、明确的质疑事项和与质疑事项相关的请求；</w:t>
      </w:r>
    </w:p>
    <w:p w14:paraId="50F7EB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4.3.3.4事实依据；</w:t>
      </w:r>
    </w:p>
    <w:p w14:paraId="7881E6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4.3.3.5必要的法律依据；</w:t>
      </w:r>
    </w:p>
    <w:p w14:paraId="637318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4.3.3.6提出质疑的日期。</w:t>
      </w:r>
    </w:p>
    <w:p w14:paraId="1DB5D94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供应商线下提交质疑函的，质疑函需一式三份。供应商为自然人的，应当由本人签字；供应商为法人或者其他组织的，应当由法定代表人、主要负责人，或者其授权代表签字或者盖章，并加盖公章。</w:t>
      </w:r>
    </w:p>
    <w:p w14:paraId="32466D1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质疑函范本及制作说明详见附件2。</w:t>
      </w:r>
    </w:p>
    <w:p w14:paraId="59B0CBD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47E42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4.3.5询问或者质疑事项可能影响采购结果的，采购人应当暂停签订合同，已经签订合同的，应当中止履行合同。</w:t>
      </w:r>
    </w:p>
    <w:p w14:paraId="57C1DD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4.4供应商投诉</w:t>
      </w:r>
    </w:p>
    <w:p w14:paraId="016D3B4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3C5D5F2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4.4.2供应商投诉的事项不得超出已质疑事项的范围，基于质疑答复内容提出的投诉事项除外。</w:t>
      </w:r>
    </w:p>
    <w:p w14:paraId="5D2710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4.4.3供应商投诉应当有明确的请求和必要的证明材料。</w:t>
      </w:r>
    </w:p>
    <w:p w14:paraId="2F48D4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4.4.5 以联合体形式参加政府采购活动的，其投诉应当由组成联合体的所有供应商共同提出。</w:t>
      </w:r>
    </w:p>
    <w:p w14:paraId="2B8F989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投诉书范本及制作说明详见附件3。</w:t>
      </w:r>
    </w:p>
    <w:p w14:paraId="51FA532C">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二、招标文件的构成、澄清、修改</w:t>
      </w:r>
    </w:p>
    <w:p w14:paraId="2EAE6F2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5．招标文件的构成</w:t>
      </w:r>
    </w:p>
    <w:p w14:paraId="208C97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 招标文件包括下列文件及附件：</w:t>
      </w:r>
    </w:p>
    <w:p w14:paraId="6767D6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5.1.1招标公告；</w:t>
      </w:r>
    </w:p>
    <w:p w14:paraId="358366B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5.1.2投标人须知；</w:t>
      </w:r>
    </w:p>
    <w:p w14:paraId="161033E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5.1.3采购需求；</w:t>
      </w:r>
    </w:p>
    <w:p w14:paraId="54E16F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5.1.4评标办法；</w:t>
      </w:r>
    </w:p>
    <w:p w14:paraId="1D3155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5.1.5拟签订的合同文本；</w:t>
      </w:r>
    </w:p>
    <w:p w14:paraId="2D71496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5.1.6应提交的有关格式范例。</w:t>
      </w:r>
    </w:p>
    <w:p w14:paraId="1707FB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5.2与本项目有关的澄清或者修改的内容为招标文件的组成部分。</w:t>
      </w:r>
    </w:p>
    <w:p w14:paraId="3C228B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 招标文件的澄清、修改</w:t>
      </w:r>
    </w:p>
    <w:p w14:paraId="603F74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6.1已获取招标文件的潜在投标人，若有问题需要澄清，应于投标截止时间前，以书面形式向采购代理机构提出。</w:t>
      </w:r>
    </w:p>
    <w:p w14:paraId="5AAA0D7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3AA09DDB">
      <w:pPr>
        <w:spacing w:line="42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三、投标</w:t>
      </w:r>
    </w:p>
    <w:p w14:paraId="6805390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 招标文件的获取</w:t>
      </w:r>
    </w:p>
    <w:p w14:paraId="24886F9B">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详见招标公告中获取招标文件的时间期限、地点、方式及招标文件售价。</w:t>
      </w:r>
    </w:p>
    <w:p w14:paraId="1BE1467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8.开标前答疑会或现场考察</w:t>
      </w:r>
    </w:p>
    <w:p w14:paraId="018575F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采购人组织潜在投标人现场考察或者召开开标前答疑会的，潜在投标人按第二部分投标人须知前附表的规定参加现场考察或者开标前答疑会。</w:t>
      </w:r>
    </w:p>
    <w:p w14:paraId="1BE180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9.投标保证金</w:t>
      </w:r>
    </w:p>
    <w:p w14:paraId="649623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本项目不需缴纳投标保证金。</w:t>
      </w:r>
    </w:p>
    <w:p w14:paraId="0D521E0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 投标文件的语言</w:t>
      </w:r>
    </w:p>
    <w:p w14:paraId="4B9A03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投标文件及投标人与采购有关的来往通知、函件和文件均应使用中文。</w:t>
      </w:r>
    </w:p>
    <w:p w14:paraId="089717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3B59CE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4FB028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11.1资格文件：</w:t>
      </w:r>
    </w:p>
    <w:p w14:paraId="3999E3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11.1.1符合参加政府采购活动应当具备的一般条件的承诺函；</w:t>
      </w:r>
    </w:p>
    <w:p w14:paraId="00D8038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11.1.2联合协议（如果有）；</w:t>
      </w:r>
    </w:p>
    <w:p w14:paraId="21647686">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11.1.3落实政府采购政策需满足的资格要求（如果有）;</w:t>
      </w:r>
    </w:p>
    <w:p w14:paraId="46067F1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11.1.4本项目的特定资格要求（如果有）。</w:t>
      </w:r>
    </w:p>
    <w:p w14:paraId="10219D4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  商务技术文件：</w:t>
      </w:r>
    </w:p>
    <w:p w14:paraId="1310DC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11.2.1投标函； </w:t>
      </w:r>
    </w:p>
    <w:p w14:paraId="121E8E7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11.2.2联合协议（如果有）；</w:t>
      </w:r>
    </w:p>
    <w:p w14:paraId="266569B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11.2.3分包意向协议（如果有）；</w:t>
      </w:r>
    </w:p>
    <w:p w14:paraId="6CC2B1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11.2.4符合性审查资料；</w:t>
      </w:r>
    </w:p>
    <w:p w14:paraId="35B21ED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11.2.5拟投入的项目班子格式；</w:t>
      </w:r>
    </w:p>
    <w:p w14:paraId="2839ED6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11.2.6评标标准相应的商务技术资料；</w:t>
      </w:r>
    </w:p>
    <w:p w14:paraId="46067C43">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11.2.7投标标的清单（如果有）；</w:t>
      </w:r>
    </w:p>
    <w:p w14:paraId="5CFCF3E7">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11.2.8商务技术偏离表；</w:t>
      </w:r>
    </w:p>
    <w:p w14:paraId="1E77F275">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11.2.9政府采购供应商廉洁自律承诺书。</w:t>
      </w:r>
    </w:p>
    <w:p w14:paraId="546AECF6">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11.3报价文件： </w:t>
      </w:r>
    </w:p>
    <w:p w14:paraId="033415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11.3.1开标一览表（报价表）；</w:t>
      </w:r>
    </w:p>
    <w:p w14:paraId="588255E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11.3.2中小企业声明函；</w:t>
      </w:r>
    </w:p>
    <w:p w14:paraId="271DBC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11.3.3 关于符合</w:t>
      </w:r>
      <w:bookmarkStart w:id="509" w:name="_GoBack"/>
      <w:r>
        <w:rPr>
          <w:rFonts w:hint="eastAsia" w:ascii="仿宋_GB2312" w:hAnsi="仿宋_GB2312" w:eastAsia="仿宋_GB2312" w:cs="仿宋_GB2312"/>
          <w:color w:val="auto"/>
          <w:sz w:val="24"/>
          <w:szCs w:val="24"/>
          <w:highlight w:val="none"/>
        </w:rPr>
        <w:t>本国产品</w:t>
      </w:r>
      <w:bookmarkEnd w:id="509"/>
      <w:r>
        <w:rPr>
          <w:rFonts w:hint="eastAsia" w:ascii="仿宋_GB2312" w:hAnsi="仿宋_GB2312" w:eastAsia="仿宋_GB2312" w:cs="仿宋_GB2312"/>
          <w:color w:val="auto"/>
          <w:sz w:val="24"/>
          <w:szCs w:val="24"/>
          <w:highlight w:val="none"/>
        </w:rPr>
        <w:t>标准的声明函（如果有）；</w:t>
      </w:r>
    </w:p>
    <w:p w14:paraId="615163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2B5ACAA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12.投标文件的编制</w:t>
      </w:r>
    </w:p>
    <w:p w14:paraId="0BA3000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478622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12.2投标人进行电子投标应安装客户端软件—“政采云电子交易客户端”，并按照招标文件和电子交易平台的要求编制并加密投标文件。投标人未按规定加密的投标文件，电子交易平台将拒收并提示。</w:t>
      </w:r>
    </w:p>
    <w:p w14:paraId="493196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12.3使用“政采云电子交易客户端”需要提前申领CA数字证书，申领流程请自行前往“浙江政府采购网-下载专区-电子交易客户端-CA驱动和申领流程”进行查阅。</w:t>
      </w:r>
    </w:p>
    <w:p w14:paraId="58E614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13.投标文件的签署、盖章</w:t>
      </w:r>
    </w:p>
    <w:p w14:paraId="66DB8A1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13.1投标文件按照招标文件第六部分格式要求进行签署、盖章。▲</w:t>
      </w:r>
      <w:r>
        <w:rPr>
          <w:rFonts w:hint="eastAsia" w:ascii="仿宋_GB2312" w:hAnsi="仿宋_GB2312" w:eastAsia="仿宋_GB2312" w:cs="仿宋_GB2312"/>
          <w:b/>
          <w:color w:val="auto"/>
          <w:sz w:val="24"/>
          <w:szCs w:val="24"/>
          <w:highlight w:val="none"/>
        </w:rPr>
        <w:t>投标人的投标文件未按照招标文件要求签署、盖章的，其投标无效</w:t>
      </w:r>
      <w:r>
        <w:rPr>
          <w:rFonts w:hint="eastAsia" w:ascii="仿宋_GB2312" w:hAnsi="仿宋_GB2312" w:eastAsia="仿宋_GB2312" w:cs="仿宋_GB2312"/>
          <w:color w:val="auto"/>
          <w:sz w:val="24"/>
          <w:szCs w:val="24"/>
          <w:highlight w:val="none"/>
        </w:rPr>
        <w:t>。</w:t>
      </w:r>
    </w:p>
    <w:p w14:paraId="39A7503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13.2为确保网上操作合法、有效和安全，投标人应当在投标截止时间前完成在“政府采购云平台”的身份认证，确保在电子投标过程中能够对相关数据电文进行加密和使用电子签名。</w:t>
      </w:r>
    </w:p>
    <w:p w14:paraId="5D3AD25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13.3招标文件对投标文件签署、盖章的要求适用于电子签名。</w:t>
      </w:r>
    </w:p>
    <w:p w14:paraId="02B4F1D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14.投标文件的提交、补充、修改、撤回</w:t>
      </w:r>
    </w:p>
    <w:p w14:paraId="55ABF2C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3C8197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4B3DA34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16864E1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15.备份投标文件</w:t>
      </w:r>
    </w:p>
    <w:p w14:paraId="2FAEEE9E">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253D8B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21786CD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118908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492440A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15.5投标人仅提交备份投标文件，没有在电子交易平台传输递交投标文件的，投标无效。</w:t>
      </w:r>
    </w:p>
    <w:p w14:paraId="373DC7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16.投标文件的无效处理</w:t>
      </w:r>
    </w:p>
    <w:p w14:paraId="13B9B13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有招标文件第四部分4.2项规定的情形之一的，投标无效。</w:t>
      </w:r>
    </w:p>
    <w:p w14:paraId="236BB19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17.投标有效期</w:t>
      </w:r>
    </w:p>
    <w:p w14:paraId="681232D7">
      <w:pPr>
        <w:spacing w:line="420" w:lineRule="exact"/>
        <w:ind w:firstLine="480"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17.1投标有效期为从提交投标文件的截止之日起90天。▲</w:t>
      </w:r>
      <w:r>
        <w:rPr>
          <w:rFonts w:hint="eastAsia" w:ascii="仿宋_GB2312" w:hAnsi="仿宋_GB2312" w:eastAsia="仿宋_GB2312" w:cs="仿宋_GB2312"/>
          <w:b/>
          <w:color w:val="auto"/>
          <w:sz w:val="24"/>
          <w:szCs w:val="24"/>
          <w:highlight w:val="none"/>
        </w:rPr>
        <w:t>投标人的投标文件中承诺的投标有效期少于招标文件中载明的投标有效期的，投标无效。</w:t>
      </w:r>
    </w:p>
    <w:p w14:paraId="4A920D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17.2投标文件合格投递后，自投标截止日期起，在投标有效期内有效。</w:t>
      </w:r>
    </w:p>
    <w:p w14:paraId="3DA4124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59B715B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四、开标、资格审查与信用信息查询</w:t>
      </w:r>
    </w:p>
    <w:p w14:paraId="41554A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18.开标</w:t>
      </w:r>
    </w:p>
    <w:p w14:paraId="04C09C8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18.1采购代理机构按照招标文件规定的时间通过电子交易平台组织开标，所有投标人均应当准时在线参加。</w:t>
      </w:r>
    </w:p>
    <w:p w14:paraId="15921DF2">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45E38BD8">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18.3</w:t>
      </w:r>
      <w:r>
        <w:rPr>
          <w:rFonts w:hint="eastAsia" w:ascii="仿宋_GB2312" w:hAnsi="仿宋_GB2312" w:eastAsia="仿宋_GB2312" w:cs="仿宋_GB2312"/>
          <w:b/>
          <w:color w:val="auto"/>
          <w:sz w:val="24"/>
          <w:szCs w:val="24"/>
          <w:highlight w:val="none"/>
        </w:rPr>
        <w:t>投标文件未按时解密，投标人提供了备份投标文件的，以备份投标文件作为依据，否则视为投标文件撤回。投标文件已按时解密的，备份投标文件自动失效。</w:t>
      </w:r>
    </w:p>
    <w:p w14:paraId="3D08668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19.资格审查</w:t>
      </w:r>
    </w:p>
    <w:p w14:paraId="47196A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19.1开标后，采购人将依法对投标人的资格进行审查。</w:t>
      </w:r>
    </w:p>
    <w:p w14:paraId="1500FE3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19.2采购人依据法律法规和招标文件的规定，对投标人的基本资格条件、特定资格条件进行审查。</w:t>
      </w:r>
    </w:p>
    <w:p w14:paraId="3BA03EC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19.3投标人未按照招标文件要求提供与基本资格条件、特定资格条件相应的有效资格证明材料的，视为投标人不具备招标文件中规定的资格要求，其投标无效。</w:t>
      </w:r>
    </w:p>
    <w:p w14:paraId="4043F5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19.4对未通过资格审查的投标人，采购人或采购代理机构告知其未通过的原因。</w:t>
      </w:r>
    </w:p>
    <w:p w14:paraId="7EEF5F0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19.5合格投标人不足3家的，不再评标。</w:t>
      </w:r>
    </w:p>
    <w:p w14:paraId="454FEC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20.信用信息查询</w:t>
      </w:r>
    </w:p>
    <w:p w14:paraId="6C16D1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20.1信用信息查询渠道及截止时间：采购代理机构将通过“信用中国”网站(www.creditchina.gov.cn)、中国政府采购网(www.ccgp.gov.cn)渠道查询投标人投标截止时间当天的信用记录。</w:t>
      </w:r>
    </w:p>
    <w:p w14:paraId="01F621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20.2信用信息查询记录和证据留存的具体方式：现场查询的投标人的信用记录、查询结果经确认后将与采购文件一起存档。</w:t>
      </w:r>
    </w:p>
    <w:p w14:paraId="61E4B3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190A5F9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762B1E8">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五、评标</w:t>
      </w:r>
    </w:p>
    <w:p w14:paraId="1D84EB80">
      <w:pPr>
        <w:spacing w:line="420" w:lineRule="exact"/>
        <w:ind w:firstLine="480" w:firstLineChars="200"/>
        <w:contextualSpacing/>
        <w:rPr>
          <w:rFonts w:hint="eastAsia" w:ascii="仿宋_GB2312" w:hAnsi="仿宋_GB2312" w:eastAsia="仿宋_GB2312" w:cs="仿宋_GB2312"/>
          <w:color w:val="auto"/>
          <w:sz w:val="24"/>
          <w:szCs w:val="24"/>
          <w:highlight w:val="none"/>
        </w:rPr>
      </w:pPr>
      <w:bookmarkStart w:id="13" w:name="_Toc91899903"/>
      <w:r>
        <w:rPr>
          <w:rFonts w:hint="eastAsia" w:ascii="仿宋_GB2312" w:hAnsi="仿宋_GB2312" w:eastAsia="仿宋_GB2312" w:cs="仿宋_GB2312"/>
          <w:color w:val="auto"/>
          <w:sz w:val="24"/>
          <w:szCs w:val="24"/>
          <w:highlight w:val="none"/>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1F3D972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六、定标</w:t>
      </w:r>
    </w:p>
    <w:p w14:paraId="2DA36E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22.确定中标供应商</w:t>
      </w:r>
    </w:p>
    <w:p w14:paraId="6D46C53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717FB13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23.中标通知与中标结果公告</w:t>
      </w:r>
    </w:p>
    <w:p w14:paraId="40BEF3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23.1自中标人确定之日起2个工作日内，采购代理机构通过电子交易平台向中标人发出中标通知书，同时编制发布采购结果公告。采购代理机构也可以以纸质形式进行中标通知。</w:t>
      </w:r>
    </w:p>
    <w:p w14:paraId="44FE1F2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3413A94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23.3公告期限为1个工作日。</w:t>
      </w:r>
    </w:p>
    <w:p w14:paraId="0B408C2D">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七、合同授予</w:t>
      </w:r>
    </w:p>
    <w:p w14:paraId="0487031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合同主要条款详见第五部分拟签订的合同文本。</w:t>
      </w:r>
    </w:p>
    <w:p w14:paraId="31B267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 合同的签订</w:t>
      </w:r>
    </w:p>
    <w:p w14:paraId="51ACB551">
      <w:pPr>
        <w:spacing w:line="420" w:lineRule="exact"/>
        <w:ind w:firstLine="480" w:firstLineChars="200"/>
        <w:contextualSpacing/>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0A9DF0A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25.2中标人按规定的日期、时间、地点，由法定代表人或其授权代表与采购人代表签订合同。如中标人为联合体的，由联合体成员各方法定代表人或其授权代表与采购人代表签订合同。</w:t>
      </w:r>
    </w:p>
    <w:p w14:paraId="156547E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25.3中标供应商拒绝与采购人签订合同的，采购人可以按照评审报告推荐的中标或者成交候选人名单排序，确定下一候选人为中标供应商，也可以重新开展政府采购活动。</w:t>
      </w:r>
    </w:p>
    <w:p w14:paraId="6ED1CED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25.4中标供应商放弃中标资格导致重新采购的，应当承担支付专家评审费等费用在内的赔偿责任。</w:t>
      </w:r>
    </w:p>
    <w:p w14:paraId="5E9BE8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25.5采购合同由采购人与中标供应商根据招标文件、投标文件等内容通过政府采购电子交易平台在线签订，自动备案。</w:t>
      </w:r>
    </w:p>
    <w:p w14:paraId="4C5EB7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 履约保证金</w:t>
      </w:r>
    </w:p>
    <w:p w14:paraId="34A59D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6056CC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79CD2C3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预付款</w:t>
      </w:r>
    </w:p>
    <w:p w14:paraId="47C5CB9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41BBB1C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八、电子交易活动的中止</w:t>
      </w:r>
    </w:p>
    <w:p w14:paraId="06F29A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 电子交易活动的中止。采购过程中出现以下情形，导致电子交易平台无法正常运行，或者无法保证电子交易的公平、公正和安全时，采购代理机构可中止电子交易活动：</w:t>
      </w:r>
    </w:p>
    <w:p w14:paraId="5E2D1C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28.1电子交易平台发生故障而无法登录访问的；</w:t>
      </w:r>
    </w:p>
    <w:p w14:paraId="67651D3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28.2电子交易平台应用或数据库出现错误，不能进行正常操作的；</w:t>
      </w:r>
    </w:p>
    <w:p w14:paraId="1A900E6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28.3电子交易平台发现严重安全漏洞，有潜在泄密危险的；</w:t>
      </w:r>
    </w:p>
    <w:p w14:paraId="7FD8BE4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28.4病毒发作导致不能进行正常操作的；</w:t>
      </w:r>
    </w:p>
    <w:p w14:paraId="18965B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28.5其他无法保证电子交易的公平、公正和安全的情况。</w:t>
      </w:r>
    </w:p>
    <w:p w14:paraId="17A1DAA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29.出现以上情形，不影响采购公平、公正性的，采购组织机构可以待上述情形消除后继续组织电子交易活动，也可以决定某些环节以纸质形式进行；影响或可能影响采购公平、公正性的，应当重新采购。</w:t>
      </w:r>
    </w:p>
    <w:p w14:paraId="67CF1C4D">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九、验收</w:t>
      </w:r>
    </w:p>
    <w:p w14:paraId="6843D9A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30.验收</w:t>
      </w:r>
    </w:p>
    <w:p w14:paraId="6294D9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155986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30.2采购人可以邀请参加本项目的其他投标人或者第三方机构参与验收。参与验收的投标人或者第三方机构的意见作为验收书的参考资料一并存档。</w:t>
      </w:r>
    </w:p>
    <w:p w14:paraId="72089F9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6AE92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541F320B">
      <w:pPr>
        <w:spacing w:line="540" w:lineRule="exact"/>
        <w:contextualSpacing/>
        <w:rPr>
          <w:rFonts w:hint="eastAsia" w:ascii="仿宋_GB2312" w:hAnsi="仿宋_GB2312" w:eastAsia="仿宋_GB2312" w:cs="仿宋_GB2312"/>
          <w:color w:val="auto"/>
          <w:sz w:val="24"/>
          <w:szCs w:val="24"/>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74714665"/>
      <w:bookmarkEnd w:id="14"/>
      <w:bookmarkStart w:id="15" w:name="_Hlt74729768"/>
      <w:bookmarkEnd w:id="15"/>
      <w:bookmarkStart w:id="16" w:name="_Hlt68072990"/>
      <w:bookmarkEnd w:id="16"/>
      <w:bookmarkStart w:id="17" w:name="_Hlt68072998"/>
      <w:bookmarkEnd w:id="17"/>
      <w:bookmarkStart w:id="18" w:name="_Hlt68403820"/>
      <w:bookmarkEnd w:id="18"/>
      <w:bookmarkStart w:id="19" w:name="_Hlt75236101"/>
      <w:bookmarkEnd w:id="19"/>
      <w:bookmarkStart w:id="20" w:name="_Hlt74707468"/>
      <w:bookmarkEnd w:id="20"/>
      <w:bookmarkStart w:id="21" w:name="_Hlt75236290"/>
      <w:bookmarkEnd w:id="21"/>
      <w:bookmarkStart w:id="22" w:name="_Hlt75236011"/>
      <w:bookmarkEnd w:id="22"/>
      <w:bookmarkStart w:id="23" w:name="_Hlt74730295"/>
      <w:bookmarkEnd w:id="23"/>
      <w:bookmarkStart w:id="24" w:name="_Hlt68073093"/>
      <w:bookmarkEnd w:id="24"/>
      <w:bookmarkStart w:id="25" w:name="_Hlt68057669"/>
      <w:bookmarkEnd w:id="25"/>
    </w:p>
    <w:bookmarkEnd w:id="11"/>
    <w:bookmarkEnd w:id="12"/>
    <w:p w14:paraId="175D5741">
      <w:p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6" w:name="第四部分"/>
      <w:r>
        <w:rPr>
          <w:rFonts w:hint="eastAsia" w:ascii="仿宋_GB2312" w:hAnsi="仿宋_GB2312" w:eastAsia="仿宋_GB2312" w:cs="仿宋_GB2312"/>
          <w:b/>
          <w:color w:val="000000" w:themeColor="text1"/>
          <w:sz w:val="32"/>
          <w:szCs w:val="32"/>
          <w:highlight w:val="none"/>
          <w14:textFill>
            <w14:solidFill>
              <w14:schemeClr w14:val="tx1"/>
            </w14:solidFill>
          </w14:textFill>
        </w:rPr>
        <w:t>第三部分</w:t>
      </w: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采购需求</w:t>
      </w:r>
    </w:p>
    <w:p w14:paraId="00BDE54C">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一、采购设备清单及控制价</w:t>
      </w:r>
    </w:p>
    <w:tbl>
      <w:tblPr>
        <w:tblStyle w:val="27"/>
        <w:tblW w:w="86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4"/>
        <w:gridCol w:w="2268"/>
        <w:gridCol w:w="988"/>
        <w:gridCol w:w="1695"/>
        <w:gridCol w:w="2925"/>
      </w:tblGrid>
      <w:tr w14:paraId="2AEE1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14:paraId="3777694B">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序号</w:t>
            </w:r>
          </w:p>
        </w:tc>
        <w:tc>
          <w:tcPr>
            <w:tcW w:w="2268" w:type="dxa"/>
            <w:tcBorders>
              <w:top w:val="single" w:color="000000" w:sz="4" w:space="0"/>
              <w:left w:val="single" w:color="000000" w:sz="4" w:space="0"/>
              <w:bottom w:val="single" w:color="000000" w:sz="4" w:space="0"/>
              <w:right w:val="single" w:color="000000" w:sz="4" w:space="0"/>
            </w:tcBorders>
            <w:vAlign w:val="center"/>
          </w:tcPr>
          <w:p w14:paraId="16E8672F">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标的名称</w:t>
            </w:r>
          </w:p>
        </w:tc>
        <w:tc>
          <w:tcPr>
            <w:tcW w:w="988" w:type="dxa"/>
            <w:tcBorders>
              <w:top w:val="single" w:color="000000" w:sz="4" w:space="0"/>
              <w:left w:val="single" w:color="000000" w:sz="4" w:space="0"/>
              <w:bottom w:val="single" w:color="000000" w:sz="4" w:space="0"/>
              <w:right w:val="single" w:color="000000" w:sz="4" w:space="0"/>
            </w:tcBorders>
            <w:vAlign w:val="center"/>
          </w:tcPr>
          <w:p w14:paraId="6EF1E807">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数量单位</w:t>
            </w:r>
          </w:p>
        </w:tc>
        <w:tc>
          <w:tcPr>
            <w:tcW w:w="1695" w:type="dxa"/>
            <w:tcBorders>
              <w:top w:val="single" w:color="000000" w:sz="4" w:space="0"/>
              <w:left w:val="single" w:color="000000" w:sz="4" w:space="0"/>
              <w:bottom w:val="single" w:color="000000" w:sz="4" w:space="0"/>
              <w:right w:val="single" w:color="000000" w:sz="4" w:space="0"/>
            </w:tcBorders>
            <w:vAlign w:val="center"/>
          </w:tcPr>
          <w:p w14:paraId="3853F82D">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质保</w:t>
            </w:r>
          </w:p>
        </w:tc>
        <w:tc>
          <w:tcPr>
            <w:tcW w:w="2925" w:type="dxa"/>
            <w:tcBorders>
              <w:top w:val="single" w:color="000000" w:sz="4" w:space="0"/>
              <w:left w:val="single" w:color="000000" w:sz="4" w:space="0"/>
              <w:bottom w:val="single" w:color="000000" w:sz="4" w:space="0"/>
              <w:right w:val="single" w:color="auto" w:sz="4" w:space="0"/>
            </w:tcBorders>
            <w:vAlign w:val="center"/>
          </w:tcPr>
          <w:p w14:paraId="18BF2D41">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所属行业</w:t>
            </w:r>
          </w:p>
        </w:tc>
      </w:tr>
      <w:tr w14:paraId="76EA8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794" w:type="dxa"/>
            <w:tcBorders>
              <w:top w:val="single" w:color="000000" w:sz="4" w:space="0"/>
              <w:left w:val="single" w:color="000000" w:sz="4" w:space="0"/>
              <w:right w:val="single" w:color="000000" w:sz="4" w:space="0"/>
            </w:tcBorders>
            <w:vAlign w:val="center"/>
          </w:tcPr>
          <w:p w14:paraId="4EAE7D00">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w:t>
            </w:r>
          </w:p>
        </w:tc>
        <w:tc>
          <w:tcPr>
            <w:tcW w:w="2268" w:type="dxa"/>
            <w:tcBorders>
              <w:top w:val="single" w:color="000000" w:sz="4" w:space="0"/>
              <w:left w:val="single" w:color="000000" w:sz="4" w:space="0"/>
              <w:right w:val="single" w:color="000000" w:sz="4" w:space="0"/>
            </w:tcBorders>
            <w:vAlign w:val="center"/>
          </w:tcPr>
          <w:p w14:paraId="0804E9F2">
            <w:pPr>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auto"/>
                <w:sz w:val="24"/>
                <w:szCs w:val="24"/>
                <w:highlight w:val="none"/>
                <w:lang w:eastAsia="zh-CN"/>
              </w:rPr>
              <w:t>办公</w:t>
            </w:r>
            <w:r>
              <w:rPr>
                <w:rFonts w:hint="eastAsia" w:ascii="仿宋_GB2312" w:hAnsi="仿宋_GB2312" w:eastAsia="仿宋_GB2312" w:cs="仿宋_GB2312"/>
                <w:color w:val="auto"/>
                <w:sz w:val="24"/>
                <w:szCs w:val="24"/>
                <w:highlight w:val="none"/>
              </w:rPr>
              <w:t>台式电脑</w:t>
            </w:r>
          </w:p>
        </w:tc>
        <w:tc>
          <w:tcPr>
            <w:tcW w:w="988" w:type="dxa"/>
            <w:tcBorders>
              <w:top w:val="single" w:color="000000" w:sz="4" w:space="0"/>
              <w:left w:val="single" w:color="000000" w:sz="4" w:space="0"/>
              <w:bottom w:val="single" w:color="000000" w:sz="4" w:space="0"/>
              <w:right w:val="single" w:color="000000" w:sz="4" w:space="0"/>
            </w:tcBorders>
            <w:vAlign w:val="center"/>
          </w:tcPr>
          <w:p w14:paraId="01D233DB">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tcBorders>
              <w:top w:val="single" w:color="auto" w:sz="4" w:space="0"/>
              <w:left w:val="single" w:color="000000" w:sz="4" w:space="0"/>
              <w:right w:val="single" w:color="000000" w:sz="4" w:space="0"/>
            </w:tcBorders>
            <w:vAlign w:val="center"/>
          </w:tcPr>
          <w:p w14:paraId="787DA3FA">
            <w:pP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三年免费硬件质保</w:t>
            </w:r>
          </w:p>
        </w:tc>
        <w:tc>
          <w:tcPr>
            <w:tcW w:w="2925" w:type="dxa"/>
            <w:tcBorders>
              <w:top w:val="single" w:color="auto" w:sz="4" w:space="0"/>
              <w:left w:val="single" w:color="000000" w:sz="4" w:space="0"/>
              <w:right w:val="single" w:color="auto" w:sz="4" w:space="0"/>
            </w:tcBorders>
            <w:vAlign w:val="center"/>
          </w:tcPr>
          <w:p w14:paraId="54E97D3B">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工业</w:t>
            </w:r>
          </w:p>
        </w:tc>
      </w:tr>
      <w:tr w14:paraId="4B0EB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794" w:type="dxa"/>
            <w:tcBorders>
              <w:left w:val="single" w:color="000000" w:sz="4" w:space="0"/>
              <w:bottom w:val="single" w:color="000000" w:sz="4" w:space="0"/>
              <w:right w:val="single" w:color="000000" w:sz="4" w:space="0"/>
            </w:tcBorders>
            <w:vAlign w:val="center"/>
          </w:tcPr>
          <w:p w14:paraId="18D23DE7">
            <w:pPr>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2</w:t>
            </w:r>
          </w:p>
        </w:tc>
        <w:tc>
          <w:tcPr>
            <w:tcW w:w="2268" w:type="dxa"/>
            <w:tcBorders>
              <w:left w:val="single" w:color="000000" w:sz="4" w:space="0"/>
              <w:bottom w:val="single" w:color="000000" w:sz="4" w:space="0"/>
              <w:right w:val="single" w:color="000000" w:sz="4" w:space="0"/>
            </w:tcBorders>
            <w:vAlign w:val="center"/>
          </w:tcPr>
          <w:p w14:paraId="36DC4E8E">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流式软件</w:t>
            </w:r>
          </w:p>
        </w:tc>
        <w:tc>
          <w:tcPr>
            <w:tcW w:w="988" w:type="dxa"/>
            <w:tcBorders>
              <w:top w:val="single" w:color="000000" w:sz="4" w:space="0"/>
              <w:left w:val="single" w:color="000000" w:sz="4" w:space="0"/>
              <w:bottom w:val="single" w:color="000000" w:sz="4" w:space="0"/>
              <w:right w:val="single" w:color="000000" w:sz="4" w:space="0"/>
            </w:tcBorders>
            <w:vAlign w:val="center"/>
          </w:tcPr>
          <w:p w14:paraId="54A3D353">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vMerge w:val="restart"/>
            <w:tcBorders>
              <w:top w:val="single" w:color="auto" w:sz="4" w:space="0"/>
              <w:left w:val="single" w:color="000000" w:sz="4" w:space="0"/>
              <w:right w:val="single" w:color="000000" w:sz="4" w:space="0"/>
            </w:tcBorders>
            <w:vAlign w:val="center"/>
          </w:tcPr>
          <w:p w14:paraId="08CAA18E">
            <w:pP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软件免费三年升级服务</w:t>
            </w:r>
          </w:p>
        </w:tc>
        <w:tc>
          <w:tcPr>
            <w:tcW w:w="2925" w:type="dxa"/>
            <w:tcBorders>
              <w:top w:val="single" w:color="auto" w:sz="4" w:space="0"/>
              <w:left w:val="single" w:color="000000" w:sz="4" w:space="0"/>
              <w:right w:val="single" w:color="auto" w:sz="4" w:space="0"/>
            </w:tcBorders>
            <w:vAlign w:val="center"/>
          </w:tcPr>
          <w:p w14:paraId="5C150F7F">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软件和信息技术服务业</w:t>
            </w:r>
          </w:p>
        </w:tc>
      </w:tr>
      <w:tr w14:paraId="2A4BD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794" w:type="dxa"/>
            <w:tcBorders>
              <w:left w:val="single" w:color="000000" w:sz="4" w:space="0"/>
              <w:bottom w:val="single" w:color="000000" w:sz="4" w:space="0"/>
              <w:right w:val="single" w:color="000000" w:sz="4" w:space="0"/>
            </w:tcBorders>
            <w:vAlign w:val="center"/>
          </w:tcPr>
          <w:p w14:paraId="20437820">
            <w:pPr>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3</w:t>
            </w:r>
          </w:p>
        </w:tc>
        <w:tc>
          <w:tcPr>
            <w:tcW w:w="2268" w:type="dxa"/>
            <w:tcBorders>
              <w:left w:val="single" w:color="000000" w:sz="4" w:space="0"/>
              <w:bottom w:val="single" w:color="000000" w:sz="4" w:space="0"/>
              <w:right w:val="single" w:color="000000" w:sz="4" w:space="0"/>
            </w:tcBorders>
            <w:vAlign w:val="center"/>
          </w:tcPr>
          <w:p w14:paraId="1DC84901">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版式软件</w:t>
            </w:r>
          </w:p>
        </w:tc>
        <w:tc>
          <w:tcPr>
            <w:tcW w:w="988" w:type="dxa"/>
            <w:tcBorders>
              <w:top w:val="single" w:color="000000" w:sz="4" w:space="0"/>
              <w:left w:val="single" w:color="000000" w:sz="4" w:space="0"/>
              <w:bottom w:val="single" w:color="000000" w:sz="4" w:space="0"/>
              <w:right w:val="single" w:color="000000" w:sz="4" w:space="0"/>
            </w:tcBorders>
            <w:vAlign w:val="center"/>
          </w:tcPr>
          <w:p w14:paraId="6CE661BD">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vMerge w:val="continue"/>
            <w:tcBorders>
              <w:left w:val="single" w:color="000000" w:sz="4" w:space="0"/>
              <w:right w:val="single" w:color="000000" w:sz="4" w:space="0"/>
            </w:tcBorders>
            <w:vAlign w:val="center"/>
          </w:tcPr>
          <w:p w14:paraId="54233442">
            <w:pPr>
              <w:rPr>
                <w:rFonts w:hint="eastAsia" w:ascii="仿宋_GB2312" w:hAnsi="仿宋_GB2312" w:eastAsia="仿宋_GB2312" w:cs="仿宋_GB2312"/>
                <w:color w:val="000000"/>
                <w:sz w:val="24"/>
                <w:szCs w:val="24"/>
                <w:highlight w:val="none"/>
              </w:rPr>
            </w:pPr>
          </w:p>
        </w:tc>
        <w:tc>
          <w:tcPr>
            <w:tcW w:w="2925" w:type="dxa"/>
            <w:tcBorders>
              <w:top w:val="single" w:color="auto" w:sz="4" w:space="0"/>
              <w:left w:val="single" w:color="000000" w:sz="4" w:space="0"/>
              <w:right w:val="single" w:color="auto" w:sz="4" w:space="0"/>
            </w:tcBorders>
            <w:vAlign w:val="center"/>
          </w:tcPr>
          <w:p w14:paraId="0E127900">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软件和信息技术服务业</w:t>
            </w:r>
          </w:p>
        </w:tc>
      </w:tr>
      <w:tr w14:paraId="1381C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794" w:type="dxa"/>
            <w:tcBorders>
              <w:left w:val="single" w:color="000000" w:sz="4" w:space="0"/>
              <w:bottom w:val="single" w:color="000000" w:sz="4" w:space="0"/>
              <w:right w:val="single" w:color="000000" w:sz="4" w:space="0"/>
            </w:tcBorders>
            <w:vAlign w:val="center"/>
          </w:tcPr>
          <w:p w14:paraId="01ABAF22">
            <w:pPr>
              <w:jc w:val="center"/>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4</w:t>
            </w:r>
          </w:p>
        </w:tc>
        <w:tc>
          <w:tcPr>
            <w:tcW w:w="2268" w:type="dxa"/>
            <w:tcBorders>
              <w:left w:val="single" w:color="000000" w:sz="4" w:space="0"/>
              <w:bottom w:val="single" w:color="000000" w:sz="4" w:space="0"/>
              <w:right w:val="single" w:color="000000" w:sz="4" w:space="0"/>
            </w:tcBorders>
            <w:vAlign w:val="center"/>
          </w:tcPr>
          <w:p w14:paraId="2CFB9990">
            <w:pPr>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杀毒软件</w:t>
            </w:r>
          </w:p>
        </w:tc>
        <w:tc>
          <w:tcPr>
            <w:tcW w:w="988" w:type="dxa"/>
            <w:tcBorders>
              <w:top w:val="single" w:color="000000" w:sz="4" w:space="0"/>
              <w:left w:val="single" w:color="000000" w:sz="4" w:space="0"/>
              <w:bottom w:val="single" w:color="000000" w:sz="4" w:space="0"/>
              <w:right w:val="single" w:color="000000" w:sz="4" w:space="0"/>
            </w:tcBorders>
            <w:vAlign w:val="center"/>
          </w:tcPr>
          <w:p w14:paraId="5AC639FF">
            <w:pPr>
              <w:jc w:val="righ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80</w:t>
            </w:r>
            <w:r>
              <w:rPr>
                <w:rFonts w:hint="eastAsia" w:ascii="仿宋_GB2312" w:hAnsi="仿宋_GB2312" w:eastAsia="仿宋_GB2312" w:cs="仿宋_GB2312"/>
                <w:color w:val="000000"/>
                <w:sz w:val="24"/>
                <w:szCs w:val="24"/>
                <w:highlight w:val="none"/>
              </w:rPr>
              <w:t>套</w:t>
            </w:r>
          </w:p>
        </w:tc>
        <w:tc>
          <w:tcPr>
            <w:tcW w:w="1695" w:type="dxa"/>
            <w:vMerge w:val="continue"/>
            <w:tcBorders>
              <w:left w:val="single" w:color="000000" w:sz="4" w:space="0"/>
              <w:right w:val="single" w:color="000000" w:sz="4" w:space="0"/>
            </w:tcBorders>
            <w:vAlign w:val="center"/>
          </w:tcPr>
          <w:p w14:paraId="69C43AA8">
            <w:pPr>
              <w:rPr>
                <w:rFonts w:hint="eastAsia" w:ascii="仿宋_GB2312" w:hAnsi="仿宋_GB2312" w:eastAsia="仿宋_GB2312" w:cs="仿宋_GB2312"/>
                <w:color w:val="000000"/>
                <w:sz w:val="24"/>
                <w:szCs w:val="24"/>
                <w:highlight w:val="none"/>
              </w:rPr>
            </w:pPr>
          </w:p>
        </w:tc>
        <w:tc>
          <w:tcPr>
            <w:tcW w:w="2925" w:type="dxa"/>
            <w:tcBorders>
              <w:top w:val="single" w:color="auto" w:sz="4" w:space="0"/>
              <w:left w:val="single" w:color="000000" w:sz="4" w:space="0"/>
              <w:right w:val="single" w:color="auto" w:sz="4" w:space="0"/>
            </w:tcBorders>
            <w:vAlign w:val="center"/>
          </w:tcPr>
          <w:p w14:paraId="6E767561">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软件和信息技术服务业</w:t>
            </w:r>
          </w:p>
        </w:tc>
      </w:tr>
    </w:tbl>
    <w:p w14:paraId="2927D6AC">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45921D56">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二、技术需求</w:t>
      </w:r>
    </w:p>
    <w:p w14:paraId="0ECE3468">
      <w:pPr>
        <w:pStyle w:val="22"/>
        <w:spacing w:beforeAutospacing="0" w:afterAutospacing="0" w:line="276" w:lineRule="auto"/>
        <w:jc w:val="both"/>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备注：标有“▲”的技术参数为实质性响应要求，投标人要特别加以注意，必须对此响应并完全满足这些要求，否则将按无效投标处理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标记有“★”的</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为</w:t>
      </w: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本项目核心产品</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标有“△”的技术参数为重要技术要求，负偏离导致扣分。</w:t>
      </w:r>
    </w:p>
    <w:p w14:paraId="475A88C3">
      <w:pPr>
        <w:pStyle w:val="22"/>
        <w:spacing w:beforeAutospacing="0" w:afterAutospacing="0" w:line="276" w:lineRule="auto"/>
        <w:jc w:val="both"/>
        <w:rPr>
          <w:rFonts w:hint="eastAsia" w:ascii="仿宋_GB2312" w:hAnsi="仿宋_GB2312" w:eastAsia="仿宋_GB2312" w:cs="仿宋_GB2312"/>
          <w:color w:val="000000" w:themeColor="text1"/>
          <w:szCs w:val="24"/>
          <w:highlight w:val="none"/>
          <w14:textFill>
            <w14:solidFill>
              <w14:schemeClr w14:val="tx1"/>
            </w14:solidFill>
          </w14:textFill>
        </w:rPr>
      </w:pPr>
    </w:p>
    <w:p w14:paraId="4619AF2F">
      <w:pPr>
        <w:pStyle w:val="22"/>
        <w:spacing w:beforeAutospacing="0" w:afterAutospacing="0" w:line="276" w:lineRule="auto"/>
        <w:jc w:val="both"/>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w:t>
      </w:r>
      <w:r>
        <w:rPr>
          <w:rFonts w:hint="eastAsia" w:ascii="仿宋_GB2312" w:hAnsi="仿宋_GB2312" w:eastAsia="仿宋_GB2312" w:cs="仿宋_GB2312"/>
          <w:bCs w:val="0"/>
          <w:color w:val="auto"/>
          <w:sz w:val="24"/>
          <w:szCs w:val="24"/>
          <w:highlight w:val="none"/>
          <w:lang w:eastAsia="zh-CN"/>
        </w:rPr>
        <w:t>办公台式电脑</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b/>
          <w:bCs/>
          <w:color w:val="auto"/>
          <w:szCs w:val="24"/>
          <w:highlight w:val="none"/>
          <w:lang w:eastAsia="zh-CN"/>
        </w:rPr>
        <w:t>本次采购的办公台式电脑的显示器为液晶显示器</w:t>
      </w:r>
      <w:r>
        <w:rPr>
          <w:rFonts w:hint="eastAsia" w:ascii="仿宋_GB2312" w:hAnsi="仿宋_GB2312" w:eastAsia="仿宋_GB2312" w:cs="仿宋_GB2312"/>
          <w:color w:val="auto"/>
          <w:szCs w:val="24"/>
          <w:highlight w:val="none"/>
          <w:lang w:eastAsia="zh-CN"/>
        </w:rPr>
        <w:t>）</w:t>
      </w:r>
    </w:p>
    <w:tbl>
      <w:tblPr>
        <w:tblStyle w:val="2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81"/>
        <w:gridCol w:w="863"/>
        <w:gridCol w:w="1986"/>
        <w:gridCol w:w="3986"/>
      </w:tblGrid>
      <w:tr w14:paraId="34247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F7FC2">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序号</w:t>
            </w:r>
          </w:p>
        </w:tc>
        <w:tc>
          <w:tcPr>
            <w:tcW w:w="636"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A33A66">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指标分类</w:t>
            </w:r>
          </w:p>
        </w:tc>
        <w:tc>
          <w:tcPr>
            <w:tcW w:w="50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E5624E">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一级指标</w:t>
            </w:r>
          </w:p>
        </w:tc>
        <w:tc>
          <w:tcPr>
            <w:tcW w:w="116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341DD">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二级指标</w:t>
            </w:r>
          </w:p>
        </w:tc>
        <w:tc>
          <w:tcPr>
            <w:tcW w:w="2346" w:type="pct"/>
            <w:tcBorders>
              <w:top w:val="single" w:color="000000" w:sz="4" w:space="0"/>
              <w:left w:val="nil"/>
              <w:bottom w:val="nil"/>
              <w:right w:val="single" w:color="000000" w:sz="4" w:space="0"/>
            </w:tcBorders>
            <w:shd w:val="clear" w:color="auto" w:fill="FFFFFF" w:themeFill="background1"/>
            <w:vAlign w:val="center"/>
          </w:tcPr>
          <w:p w14:paraId="42B855CC">
            <w:pPr>
              <w:keepNext w:val="0"/>
              <w:keepLines w:val="0"/>
              <w:widowControl/>
              <w:suppressLineNumbers w:val="0"/>
              <w:jc w:val="left"/>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bidi="ar"/>
              </w:rPr>
              <w:t>招标参数</w:t>
            </w:r>
          </w:p>
        </w:tc>
      </w:tr>
      <w:tr w14:paraId="7730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8559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C2A8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B72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02A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▲CPU信息</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931464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ARM架构处理器，8核，主频≥2.1GHz，CPU符合安全可靠测评II级，末级缓存容量≥8MB ；CPU支持的最高内存速率≥6400MT/s。</w:t>
            </w:r>
          </w:p>
        </w:tc>
      </w:tr>
      <w:tr w14:paraId="4772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3D0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90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91AD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3B5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▲内存配置容量</w:t>
            </w:r>
          </w:p>
        </w:tc>
        <w:tc>
          <w:tcPr>
            <w:tcW w:w="2346" w:type="pct"/>
            <w:tcBorders>
              <w:top w:val="nil"/>
              <w:left w:val="nil"/>
              <w:bottom w:val="single" w:color="000000" w:sz="4" w:space="0"/>
              <w:right w:val="single" w:color="000000" w:sz="4" w:space="0"/>
            </w:tcBorders>
            <w:shd w:val="clear" w:color="auto" w:fill="auto"/>
            <w:vAlign w:val="center"/>
          </w:tcPr>
          <w:p w14:paraId="0F68C7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14:paraId="5E6CA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930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DC7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DB60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5C97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86C4C5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DDR5/LPDDR5/LPDDR5x及以上内 存类型</w:t>
            </w:r>
          </w:p>
        </w:tc>
      </w:tr>
      <w:tr w14:paraId="388AA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F72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408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96CB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AF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▲内存条配置数量(板载内存不涉及)</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3D4C0B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≥1（板载内存不涉及）</w:t>
            </w:r>
          </w:p>
        </w:tc>
      </w:tr>
      <w:tr w14:paraId="15124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3FE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7C86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92376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FC7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▲主板集成模块</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9C2DE4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14:paraId="17F5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371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964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7648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BB87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▲主板支持的CPU和内存情况</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E9982C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供应商给出主板支持的 CPU 和内存型号和数量</w:t>
            </w:r>
          </w:p>
        </w:tc>
      </w:tr>
      <w:tr w14:paraId="53A7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4FA3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25A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8635">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DD2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▲主板其他内置接口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C76ED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供应商给出相关SATA、M.2、USB接口数量及占用状态</w:t>
            </w:r>
          </w:p>
        </w:tc>
      </w:tr>
      <w:tr w14:paraId="3C843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D23D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805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554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143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▲单内存插槽最大可支持容量(板载内存不涉及)</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90DEF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≥8GB（板载内存不涉及）</w:t>
            </w:r>
          </w:p>
        </w:tc>
      </w:tr>
      <w:tr w14:paraId="3E8BF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53D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8D1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2ACE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05D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▲内存插槽满配时提供的最高内存总容量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F3E35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14:paraId="2072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F12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6B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984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F1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▲固态盘数量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10159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14:paraId="1CDD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8A78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F6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6EC1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85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45EEC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≥512GB</w:t>
            </w:r>
          </w:p>
        </w:tc>
      </w:tr>
      <w:tr w14:paraId="35A81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287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6A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4150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57C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▲固态存储形态</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C0016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采用插卡或板载等形态，可选用符合</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M.2 或 2.5寸 SATA 或 mSATA 等标准的 插卡形态</w:t>
            </w:r>
          </w:p>
        </w:tc>
      </w:tr>
      <w:tr w14:paraId="0943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9FA0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6488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04A4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A4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▲存储设备其他参数要求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0F938D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a)固态盘应符合 SJ/T 11654 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b)机械硬盘准备时间应不大于 30s；侧 面固定螺丝孔数量可为 4 孔或 6 孔； 工作状态环境温度应满足 5℃~55℃；其它参数应符合 GB/T 12628 相关规定</w:t>
            </w:r>
          </w:p>
        </w:tc>
      </w:tr>
      <w:tr w14:paraId="563B9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E336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67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41DA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406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2288B2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独立显卡或集成显卡</w:t>
            </w:r>
          </w:p>
        </w:tc>
      </w:tr>
      <w:tr w14:paraId="757E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0AE4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DA61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BD99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3BB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C58769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若配置独立显卡，显存类型应为 DDR3/DDR4/GDDR5/GDDR6/LPDDR4(集成显卡不涉及)</w:t>
            </w:r>
          </w:p>
        </w:tc>
      </w:tr>
      <w:tr w14:paraId="7B6A1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E2FE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326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EC8D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D8B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▲独立显卡显存位宽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62843E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若配置独立显卡，显存位宽≥16位</w:t>
            </w:r>
          </w:p>
        </w:tc>
      </w:tr>
      <w:tr w14:paraId="55CF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6EE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E7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676D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9E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3F885A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若配置独立显卡，显存容量≥1GB</w:t>
            </w:r>
          </w:p>
        </w:tc>
      </w:tr>
      <w:tr w14:paraId="4057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BED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57AD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BF57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299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独立显卡接口协议</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751F6C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PCIe 协议版本大于等于 2.0 或 HT</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（HyperTransport）协议版本大于等于 3.0 的独立显卡接口协议(集成显卡不涉及)</w:t>
            </w:r>
          </w:p>
        </w:tc>
      </w:tr>
      <w:tr w14:paraId="27E1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994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B2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8A8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905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▲显示屏屏占比</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FC831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r>
      <w:tr w14:paraId="73E6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667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94F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FB18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F6E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▲显示屏分辨率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220D90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14:paraId="21C4B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B2C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ACC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CA39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83B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显示屏像素密度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1C30B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≥90像素/英寸</w:t>
            </w:r>
          </w:p>
        </w:tc>
      </w:tr>
      <w:tr w14:paraId="2BB2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6D3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9F7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0E61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B0E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显示屏可视角度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7C38F4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水平≥170°</w:t>
            </w:r>
          </w:p>
        </w:tc>
      </w:tr>
      <w:tr w14:paraId="1D57C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0C5F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987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795C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CE41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▲显示屏尺寸</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D888C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 英寸</w:t>
            </w:r>
          </w:p>
        </w:tc>
      </w:tr>
      <w:tr w14:paraId="412CA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28A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3C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F6EC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86A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▲显示屏屏幕比例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9C6BB0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16:9/3:2/21:9/16:10 等</w:t>
            </w:r>
          </w:p>
        </w:tc>
      </w:tr>
      <w:tr w14:paraId="5771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64D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AFE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B66F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100F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▲显示器外观颜色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80656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14:paraId="14742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1B20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5E3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86E5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E57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▲显示屏防蓝光</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D8C21F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支持防蓝光模式，蓝光加权辐射亮度 比应≤0.0012W/(·cd·sr)（瓦每坎 特拉每球面度）</w:t>
            </w:r>
          </w:p>
        </w:tc>
      </w:tr>
      <w:tr w14:paraId="5423F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DBA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C9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9D6B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7BD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▲显示屏低频闪</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80A47D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显示屏应支持低频闪≤-35dB</w:t>
            </w:r>
          </w:p>
        </w:tc>
      </w:tr>
      <w:tr w14:paraId="3B31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C791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EC39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AB42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83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▲显示屏防炫目</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B3FD58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显示屏镜面反射率≤10%</w:t>
            </w:r>
          </w:p>
        </w:tc>
      </w:tr>
      <w:tr w14:paraId="01A7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E7C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36A2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806D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D6A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26270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14:paraId="6C45E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3F3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633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3D68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B837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8678EA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14:paraId="7FD5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7EB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C5C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FC68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5028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▲键盘按键数目</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56BE9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 键/86 键/101 键/104 键等</w:t>
            </w:r>
          </w:p>
        </w:tc>
      </w:tr>
      <w:tr w14:paraId="478F5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C973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D3FF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C0B8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0BA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▲键盘连接方式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C1530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14:paraId="53ED6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B0B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834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557F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744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▲键盘键程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99DFDB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2.3mm~4.0mm</w:t>
            </w:r>
          </w:p>
        </w:tc>
      </w:tr>
      <w:tr w14:paraId="39D4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184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91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2F65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D46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▲键盘按键压力</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F5CCE6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按键压力应在0.54N±0.14N</w:t>
            </w:r>
          </w:p>
        </w:tc>
      </w:tr>
      <w:tr w14:paraId="0867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1C2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FCF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4AB3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80B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▲有线键盘连接线</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3B5D4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14:paraId="7AB7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608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861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CE7D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9BA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34809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14:paraId="5A204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4BB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258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AD4A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85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键盘其他要求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65A6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键盘外观结构、连接方式、主要功能、安全、电磁兼容性、可靠性应符合GB/T14081的相关规定</w:t>
            </w:r>
          </w:p>
        </w:tc>
      </w:tr>
      <w:tr w14:paraId="725D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BAC0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1D12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6873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E3A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▲鼠标连接方式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42E2ED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14:paraId="7F3F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89D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CB3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405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BA9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▲有线鼠标连接线</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C3A6DD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14:paraId="2EB1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ECFF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5D0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19A3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DE5E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▲鼠标DPI分辨率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B73641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800~1600</w:t>
            </w:r>
          </w:p>
        </w:tc>
      </w:tr>
      <w:tr w14:paraId="2603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274C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5C4F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439C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18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7A936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黑色/银色/白色等商务色系</w:t>
            </w:r>
          </w:p>
        </w:tc>
      </w:tr>
      <w:tr w14:paraId="7DEA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3C6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73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01F4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5AD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▲鼠标其他要求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B5179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其它参数应符合GB/T26245的相关规定</w:t>
            </w:r>
          </w:p>
        </w:tc>
      </w:tr>
      <w:tr w14:paraId="70CC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51F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40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D0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EE9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453481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14:paraId="61A33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EC95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695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2B99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2F3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▲USB接口数量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EABAEE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机箱前面板应提供不少于3个USB 接 口（含2个USB3.0及以上接口）</w:t>
            </w:r>
          </w:p>
        </w:tc>
      </w:tr>
      <w:tr w14:paraId="5B3E8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2C5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90D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87F9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D7FE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3CBCA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14:paraId="36B1A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0DB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73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91FA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4385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E625DF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14:paraId="779A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3FA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F6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BB2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整机基础规格</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3526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▲整机外观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E3558E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a)产品表面不应有凹痕、划伤、裂缝、变形和污染等。表面涂层均匀，不应起泡、龟裂、脱落和磨损，金属零部件无锈蚀及其它机械损伤；</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b)产品表面说明功能的文字、符号、标志，应清晰、端正、牢固</w:t>
            </w:r>
          </w:p>
        </w:tc>
      </w:tr>
      <w:tr w14:paraId="034A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BC9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77E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01A5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26A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▲状态指示灯</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77E9A2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在产品显著位置提供状态指示功能，如运行状态，并由供应商提供详细参数</w:t>
            </w:r>
          </w:p>
        </w:tc>
      </w:tr>
      <w:tr w14:paraId="7A675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8"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5E3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26F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A06B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CD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▲整机结构</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02D209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a)机箱应符合GB/T4208、GB/T26246的相关规定；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b)产品内部结构应符合通用部件的安装需求；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c)所有输入输出接口应符合相关国家或行业标准；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d)产品零部件应紧固无松动，可插拔部件应可靠连接，开关、按钮和其它控制部件应灵活可靠，布局应方便使用；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e)所有I/O连接器及需插接线缆的部位应预留采购人操作空间，方便插拔解锁与插拔线缆；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f)可插拔板卡插槽部位应预留安装、拆卸或更换板卡空间；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g)拆装可能接触到的金属剪口或金属尖角部位应做防划伤处理，以保证安全；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h)整机内部走线应规整，固线结构和位置要合理可靠并做防割线处理，需便于理线和插拔操作，走线应不影响系统各主要部件组装和拆卸；</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i)如需通过孔走线，过线孔应做防割线处理；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j)各插头位置和插拔方向应合理，应做到插拔无障碍设计，具备防呆设计，有效避免误操作；</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k)各主要部件拆装无障碍，使用常规工具拆装，无特殊拆装工具需求；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l)各主要部件拆装步骤要少，各自拆装需避免相互干扰；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m)对于整机或零部件外表面为高亮面的，应粘贴保护膜，保护膜需粘贴牢固，运输、组装等过程不易脱落，撕下无残留；</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n)其它要求应符合GB/T9813.1的相关规定</w:t>
            </w:r>
          </w:p>
        </w:tc>
      </w:tr>
      <w:tr w14:paraId="1E295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730F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113D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2D02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E4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▲机箱防护要求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DF12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机箱应符合GB/T4208中IP20防护要求</w:t>
            </w:r>
          </w:p>
        </w:tc>
      </w:tr>
      <w:tr w14:paraId="5D89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737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F7C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AE77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64DD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▲整机噪音</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600E3A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产品工作在空闲状态下，产品的声功率级应不超过4.5Bel</w:t>
            </w:r>
          </w:p>
        </w:tc>
      </w:tr>
      <w:tr w14:paraId="7A62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D669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14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4487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CC45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▲整机散热</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023248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在环境温度25℃及处理器满载情况下，产品表面温度应符合如下要求：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a)出风口在机箱后面板情况下，出风口温度不高于55℃；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b)可触及面温度不高于45℃；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c)显示器表面温度：显示屏不高于38℃，显示屏上下灯带位置温度(如涉及)不高于40℃，出风口温度不高于45℃</w:t>
            </w:r>
          </w:p>
        </w:tc>
      </w:tr>
      <w:tr w14:paraId="7633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6AC8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F5A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4D8C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39AA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▲整机能效限定值</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594BE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产品能效限定值应达到GB28380-2012标准中能效等级2级及以上</w:t>
            </w:r>
          </w:p>
        </w:tc>
      </w:tr>
      <w:tr w14:paraId="0225B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C5B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EB2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07E6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4E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▲机身材质</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A47E6E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塑料/金属等</w:t>
            </w:r>
          </w:p>
        </w:tc>
      </w:tr>
      <w:tr w14:paraId="75D8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3C79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4819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4283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370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▲机身颜色</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98D60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灰色/黑色等商务色系</w:t>
            </w:r>
          </w:p>
        </w:tc>
      </w:tr>
      <w:tr w14:paraId="65DB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05B5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0AE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750F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BF5B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▲机箱尺寸容量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71F9B4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机箱体积应不大于9L</w:t>
            </w:r>
          </w:p>
        </w:tc>
      </w:tr>
      <w:tr w14:paraId="22CD4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B6C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D214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0AF2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F269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▲CPU物理核数</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49ACF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r>
      <w:tr w14:paraId="227F7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911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275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3037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7DE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▲CPU主频</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53027F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≥2.4GHz</w:t>
            </w:r>
          </w:p>
        </w:tc>
      </w:tr>
      <w:tr w14:paraId="4F83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FDC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324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7FB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BA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▲CPU末级缓存容量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AC5DE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≥8MB</w:t>
            </w:r>
          </w:p>
        </w:tc>
      </w:tr>
      <w:tr w14:paraId="715C7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1E9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839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7C8E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5268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▲CPU支持的内存最高速率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7CDD4D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14:paraId="2C38D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1C12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2CD1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F73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84D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▲内存读写速率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F5C55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14:paraId="62CA0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493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DFB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8A3C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49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▲显示分辨率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94D78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14:paraId="207A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B2F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DC43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FE7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9B99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▲显卡显示芯片核心频率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10D9B5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≥300MHz</w:t>
            </w:r>
          </w:p>
        </w:tc>
      </w:tr>
      <w:tr w14:paraId="70F5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2149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4EB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F200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6C6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▲显存等效频率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A9DE27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14:paraId="730D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A29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DD2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4819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8CF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▲显卡可支持多屏同时显示数量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4056F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显卡应支持 2 块屏幕同时显示，分辨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率应不低于 1920×1080</w:t>
            </w:r>
          </w:p>
        </w:tc>
      </w:tr>
      <w:tr w14:paraId="03521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1A92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79D4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E64F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662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▲显示屏刷新率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40603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≥100Hz</w:t>
            </w:r>
          </w:p>
        </w:tc>
      </w:tr>
      <w:tr w14:paraId="799C3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D60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DB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9B59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465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▲显示屏位深</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5DF284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 位</w:t>
            </w:r>
          </w:p>
        </w:tc>
      </w:tr>
      <w:tr w14:paraId="31156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245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773F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83B8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69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▲显示屏色域</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686A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 sRGB</w:t>
            </w:r>
          </w:p>
        </w:tc>
      </w:tr>
      <w:tr w14:paraId="0C4A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3CF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7FC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ABDF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239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▲显示屏色准</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281DC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△E ≤ 4</w:t>
            </w:r>
          </w:p>
        </w:tc>
      </w:tr>
      <w:tr w14:paraId="226F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885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D30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7C07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5A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▲显示屏响应时间</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29F914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≤8ms</w:t>
            </w:r>
          </w:p>
        </w:tc>
      </w:tr>
      <w:tr w14:paraId="245C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E6DF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EE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3207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292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D8F46D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≥250 尼特</w:t>
            </w:r>
          </w:p>
        </w:tc>
      </w:tr>
      <w:tr w14:paraId="3651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B8D9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B32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F96D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6C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▲显示屏亮度一致性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D02DD8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r>
      <w:tr w14:paraId="6629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370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A7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6CE8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923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▲显示屏对比度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5B3B15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≥500：1</w:t>
            </w:r>
          </w:p>
        </w:tc>
      </w:tr>
      <w:tr w14:paraId="1EE0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436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1BB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3664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658A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▲显示屏其他参数</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4B0B7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 SJ/T 11292 的相关规定（灰度等级≥32 级）</w:t>
            </w:r>
          </w:p>
        </w:tc>
      </w:tr>
      <w:tr w14:paraId="3A46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C15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EED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CEBA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网络设备性能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210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▲有线网卡速率</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0E171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最高速率应不低于1000Mbps，应支持10Mbps、100Mbps、1000Mbps 速率自适应</w:t>
            </w:r>
          </w:p>
        </w:tc>
      </w:tr>
      <w:tr w14:paraId="17C93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F7A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5B2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D5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203A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▲内存扩展接口(板载内存不涉及)</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188D98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 个</w:t>
            </w:r>
          </w:p>
        </w:tc>
      </w:tr>
      <w:tr w14:paraId="7DCE9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F9C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D9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CD04">
            <w:pPr>
              <w:jc w:val="both"/>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405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▲主板USB瞬间过流保护</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EA9B55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支持有瞬间过流保护功能</w:t>
            </w:r>
          </w:p>
        </w:tc>
      </w:tr>
      <w:tr w14:paraId="25A5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78FE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03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37FC8">
            <w:pPr>
              <w:jc w:val="both"/>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10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▲主板防静电保护</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E207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支持防静电保护功能</w:t>
            </w:r>
          </w:p>
        </w:tc>
      </w:tr>
      <w:tr w14:paraId="7810A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C9C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E7E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FE915">
            <w:pPr>
              <w:jc w:val="both"/>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09B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▲I/O接口功能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ADEFA2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 显示器、音频设备等内外部设备能力</w:t>
            </w:r>
          </w:p>
        </w:tc>
      </w:tr>
      <w:tr w14:paraId="496E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A365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E08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0CD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2DC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▲显卡外接显示接口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9F745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显卡至少支持 VGA、HDMI、DVI、DP、 Type-C 中 1 种显示接口，并与显示器 接口相匹配</w:t>
            </w:r>
          </w:p>
        </w:tc>
      </w:tr>
      <w:tr w14:paraId="25BE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A2815">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FA7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5C56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87F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32F5F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显示器应与显卡外接显示接口匹配</w:t>
            </w:r>
          </w:p>
        </w:tc>
      </w:tr>
      <w:tr w14:paraId="53CD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0DA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9B8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AF05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BDB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▲显示器支架</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4C265F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显示器应提供显示器支架</w:t>
            </w:r>
          </w:p>
        </w:tc>
      </w:tr>
      <w:tr w14:paraId="6D0DD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FDBA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E85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F6FD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586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▲显示器参数调节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2E98F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a)提供 OSD 选单按钮用于调节色彩、 模式等； b)支持色温、亮度、对比度调节</w:t>
            </w:r>
          </w:p>
        </w:tc>
      </w:tr>
      <w:tr w14:paraId="30BE2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67441">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C801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6B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194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BE3BE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通过 SATA 固态存储/PCIe 固态存储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/UFS 固态存储/SATA 硬磁盘等存储部 件提供存储功能</w:t>
            </w:r>
          </w:p>
        </w:tc>
      </w:tr>
      <w:tr w14:paraId="3E3B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1D7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5C17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7ADA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4AE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51A679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a)支持网络连接、网络开启/关闭功能；b)支持访问网络和数据交换功能</w:t>
            </w:r>
          </w:p>
        </w:tc>
      </w:tr>
      <w:tr w14:paraId="42469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C519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F3F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DF53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C54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▲数据传输</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9B27D9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支持数据传输能力，并提供数据流量和异常日志记录功能</w:t>
            </w:r>
          </w:p>
        </w:tc>
      </w:tr>
      <w:tr w14:paraId="3B67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CB2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0E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505C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CA9F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▲有线网卡接口类型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E9232B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RJ45 接口</w:t>
            </w:r>
          </w:p>
        </w:tc>
      </w:tr>
      <w:tr w14:paraId="090CA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35E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FF41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BEE3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53EA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▲网络设备拆装</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A48C6C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网络设备支持物理拆装，包括无线网 卡和蓝牙模块等</w:t>
            </w:r>
          </w:p>
        </w:tc>
      </w:tr>
      <w:tr w14:paraId="4F59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690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865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5367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7C4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2EE22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3.5mm 孔径 3 段式或 4 段式接口</w:t>
            </w:r>
          </w:p>
        </w:tc>
      </w:tr>
      <w:tr w14:paraId="51D7C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D9C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DD1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2308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BB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▲视频接口类型</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19607E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至少支持 VGA、HDMI、DVI、DP、Type-C 中 1 种显示接口</w:t>
            </w:r>
          </w:p>
        </w:tc>
      </w:tr>
      <w:tr w14:paraId="4F7BF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F52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0038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183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51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▲HDMI、DP、Type-C显示接口要求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FA34DE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若提供 HDMI或DP或Type-C 作为显示接口，应支持音频和视频同步输出</w:t>
            </w:r>
          </w:p>
        </w:tc>
      </w:tr>
      <w:tr w14:paraId="7F6F6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09C4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78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8B7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72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▲电源线适配能力</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6DEE0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电源适配器电线组件应符合GB/T15934的要求，可拆线的插头和连接器可以不做要求</w:t>
            </w:r>
          </w:p>
        </w:tc>
      </w:tr>
      <w:tr w14:paraId="5DCEC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F244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1B9D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DB55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操作系统及软件功能</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5A8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▲中文信息处理要求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ADE0C6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符合GB18030的相关规定</w:t>
            </w:r>
          </w:p>
        </w:tc>
      </w:tr>
      <w:tr w14:paraId="347B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F04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A2D2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270F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66B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▲操作系统备份及还原功能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C9FF02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支持操作系统备份及还原功能</w:t>
            </w:r>
          </w:p>
        </w:tc>
      </w:tr>
      <w:tr w14:paraId="7C8E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342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EE8A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F8475">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0547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▲固件备份还原能力</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703B6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支持备份及还原固件的功能</w:t>
            </w:r>
          </w:p>
        </w:tc>
      </w:tr>
      <w:tr w14:paraId="65F2F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EE91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642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CA98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CDE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▲操作系统及驱动升级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4399E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支持通过网络、闪存盘等方式对操作系统、驱动进行升级</w:t>
            </w:r>
          </w:p>
        </w:tc>
      </w:tr>
      <w:tr w14:paraId="69F5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911A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944A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0DEA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410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▲固件升级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1DCA68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支持通过网络、闪存盘等方式对固件进行升级</w:t>
            </w:r>
          </w:p>
        </w:tc>
      </w:tr>
      <w:tr w14:paraId="566EA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A1B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843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C7978">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65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▲BIOS支持关闭通讯接口</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31D55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支持BIOS关闭以太网及USB接口</w:t>
            </w:r>
          </w:p>
        </w:tc>
      </w:tr>
      <w:tr w14:paraId="2146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D3F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74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822C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C51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▲固件查看信息</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E915ED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支持查看固件版本、内存信息、主板信息、处理器信息和系统时间信息等功能</w:t>
            </w:r>
          </w:p>
        </w:tc>
      </w:tr>
      <w:tr w14:paraId="739F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7F75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8A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E325F">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7B3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▲固件设置启动顺序</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E65292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支持设置启动顺序功能，并按照设置的启动顺序启动</w:t>
            </w:r>
          </w:p>
        </w:tc>
      </w:tr>
      <w:tr w14:paraId="2E53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90C3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F69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C9D6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BEA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▲固件设置口令</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061CFB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支持设置口令、修改口令、验证口令功能</w:t>
            </w:r>
          </w:p>
        </w:tc>
      </w:tr>
      <w:tr w14:paraId="238DE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2A434">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70C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95DD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845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▲固件设置网络引导</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B1CB79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支持网络引导启动和关闭功能</w:t>
            </w:r>
          </w:p>
        </w:tc>
      </w:tr>
      <w:tr w14:paraId="5BCD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9BC4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075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C40D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存储设备可靠性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3CC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924FE2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TBW≥80TB(条件：240GB硬盘容量)+G14G149:G179</w:t>
            </w:r>
          </w:p>
        </w:tc>
      </w:tr>
      <w:tr w14:paraId="61A9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6681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D30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38EE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907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▲机械硬盘寿命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6A8FFA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通电时间≥5万小时</w:t>
            </w:r>
          </w:p>
        </w:tc>
      </w:tr>
      <w:tr w14:paraId="5BBC9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9EA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4D5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5D66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显示设备可靠性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AB1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▲显示屏屏幕失效点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3610D3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符合GB/T9813.2的要求</w:t>
            </w:r>
          </w:p>
        </w:tc>
      </w:tr>
      <w:tr w14:paraId="06BB1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629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B511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71EF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外设可靠性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0FE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369C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≥1000万次</w:t>
            </w:r>
          </w:p>
        </w:tc>
      </w:tr>
      <w:tr w14:paraId="2727E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BD6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9A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4A0B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12E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▲鼠标按键寿命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4FBBC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≥500万次</w:t>
            </w:r>
          </w:p>
        </w:tc>
      </w:tr>
      <w:tr w14:paraId="6C39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43A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F4B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BF2E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B31C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▲键盘鼠标线材寿命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F747C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键盘鼠标所用线材经±60°弯折不低于3000次，功能、外观完好</w:t>
            </w:r>
          </w:p>
        </w:tc>
      </w:tr>
      <w:tr w14:paraId="0E67C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437E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09B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251E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F6F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▲风扇寿命</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2E05F2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≥4万小时</w:t>
            </w:r>
          </w:p>
        </w:tc>
      </w:tr>
      <w:tr w14:paraId="3951A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4351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83C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78B7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整机可靠性要求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200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▲电磁兼容性要求的抗扰度</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C33F34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符合GB/T9254.2的规定</w:t>
            </w:r>
          </w:p>
        </w:tc>
      </w:tr>
      <w:tr w14:paraId="5D1F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340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83B1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48A7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9FFB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▲环境条件要求的气候环境适应性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718970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68DCF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E64E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D72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E0A7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7AD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▲环境条件要求的振动适应性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7FAEAD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4B29D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317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85E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724F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C7B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▲环境条件要求的冲击适应性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9A62AD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54C05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544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E19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5D21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C4E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▲环境条件要求的碰撞适应性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ACB5AF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3B79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5ED6">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CEB2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69620">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39A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▲环境条件要求的运输包装件跌落适应性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E11E5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14:paraId="61F38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13B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B3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8396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F1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▲MTBF测试</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FE8A28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MTBF(m1)≥3万小时</w:t>
            </w:r>
          </w:p>
        </w:tc>
      </w:tr>
      <w:tr w14:paraId="64A5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022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EC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46B5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30E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▲常用软件兼容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847BD8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14:paraId="53D9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9C2F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A06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5022">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A9F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▲数据库兼容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BA3D55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兼容3个及以上厂商的数据库产品</w:t>
            </w:r>
          </w:p>
        </w:tc>
      </w:tr>
      <w:tr w14:paraId="28F7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13E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D2E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8D55B">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CD46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▲中间件兼容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5A1F8C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兼容3个及以上厂商中间件产品</w:t>
            </w:r>
          </w:p>
        </w:tc>
      </w:tr>
      <w:tr w14:paraId="6E962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2C4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4C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2519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86FA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▲平台软件兼容</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E7E23E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兼容3个及以上厂商云计算及大数据平台</w:t>
            </w:r>
          </w:p>
        </w:tc>
      </w:tr>
      <w:tr w14:paraId="0862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78E3F">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ED4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E6D8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757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▲标志、包装、运输和贮存</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3845B3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符合GB/T9813.1和商品包装政府采购需求标准的相关规定</w:t>
            </w:r>
          </w:p>
        </w:tc>
      </w:tr>
      <w:tr w14:paraId="5F14E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A13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7F42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4E6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65B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▲配置检查工具</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C0A65A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供应商提供自检测试工具</w:t>
            </w:r>
          </w:p>
        </w:tc>
      </w:tr>
      <w:tr w14:paraId="6F3B1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D6ECD">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2B7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86A6E">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4F7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▲服务响应</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3FF1B4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a)供应商提供电话、电子邮件、远程连接等多种形式服务；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b)供应商提供同城4h、异地12h技术响应服务，2个工作日解决问题，对于未能解决的问题和故障应提供可行的升级方案，并提供周转设备或更换设备；</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c)建立全国技术服务体系和服务团体，符合专业服务体系标准要求，提供原厂中文服务；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d)服务周期内提供产品的维修、换件和升级服务</w:t>
            </w:r>
          </w:p>
        </w:tc>
      </w:tr>
      <w:tr w14:paraId="4157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2826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17A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3682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560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▲服务周期</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CF1889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a)设备停产后应继续提供质量保障服务(含备品备件)，服务终止时间与最后一批设备交付时间间隔不低于6年；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b)产品停止服务时间应提前1年告知；</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c)应明确产品发布日期</w:t>
            </w:r>
          </w:p>
        </w:tc>
      </w:tr>
      <w:tr w14:paraId="7E4F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0780">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3E50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A492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831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▲预装操作系统</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12ED0A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预装符合桌面操作系统政府采购需求标准的正版操作系统</w:t>
            </w:r>
          </w:p>
        </w:tc>
      </w:tr>
      <w:tr w14:paraId="75E7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C720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91A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070D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D0B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▲培训服务</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5C4526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供应商提供培训材料、产品手册、培训视频等培训相关内容</w:t>
            </w:r>
          </w:p>
        </w:tc>
      </w:tr>
      <w:tr w14:paraId="622D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B1A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742A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5E487">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349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▲典型问题解决手册</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4BE0853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供应商提供典型问题解决说明文档或视频</w:t>
            </w:r>
          </w:p>
        </w:tc>
      </w:tr>
      <w:tr w14:paraId="3638A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50437">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C33A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D8B24">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753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▲厂家升级软件与扩容服务</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DFE3A4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供应商提供上门升级部件/软件与扩容的增值服务</w:t>
            </w:r>
          </w:p>
        </w:tc>
      </w:tr>
      <w:tr w14:paraId="6DC6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A03E">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53C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5D54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047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▲整机质量服务要求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4E4B1F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免费服务周期(含换件和维修)应不小于3年</w:t>
            </w:r>
          </w:p>
        </w:tc>
      </w:tr>
      <w:tr w14:paraId="0452B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C665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7D4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39DE3">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7C2D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▲合格证书要求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407A1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供应商提供产品合格证</w:t>
            </w:r>
          </w:p>
        </w:tc>
      </w:tr>
      <w:tr w14:paraId="1AB2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1B3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2D3F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A24DD">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167B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▲开箱组装/使用指导要求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C6DED3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供应商提供开箱组装/使用指导</w:t>
            </w:r>
          </w:p>
        </w:tc>
      </w:tr>
      <w:tr w14:paraId="6052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3F9E3">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132</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B64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717A">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DA14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▲驱动下载服务要求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78F599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供应商提供驱动光盘或下载方式</w:t>
            </w:r>
          </w:p>
        </w:tc>
      </w:tr>
      <w:tr w14:paraId="4715B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5940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133</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8BB1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44DD9">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465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▲兼容适配软件下载服务要求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94E02C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供应商提供兼容适配软件下载渠道(光盘、网站)</w:t>
            </w:r>
          </w:p>
        </w:tc>
      </w:tr>
      <w:tr w14:paraId="6DEA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797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134</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33B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872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供应链合规性</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0707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▲产品部件保障</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0897C75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供应商保障产品主要部件，提供6年的备件服务能力(自购买之日起)，或提供可兼容原设备的升级换代产品</w:t>
            </w:r>
          </w:p>
        </w:tc>
      </w:tr>
      <w:tr w14:paraId="76016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055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135</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2782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CB41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供应链质量</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D7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▲抗干扰性</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3C5EE6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14:paraId="00077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3659">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136</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2D895">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BBE6">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51E9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▲供应能力证明</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390C11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供应商提供供应链稳定承诺书，确保产品的部件在产品服务周期内稳定供货</w:t>
            </w:r>
          </w:p>
        </w:tc>
      </w:tr>
      <w:tr w14:paraId="0C8F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F8DB">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137</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32E3C">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DB5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E48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▲关键部件安全要求3</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587C0FB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CPU和操作系统等关键部件应当符合安全可靠测评要求</w:t>
            </w:r>
          </w:p>
        </w:tc>
      </w:tr>
      <w:tr w14:paraId="6AE1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A3B8">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138</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C55E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41F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整机安全性要求</w:t>
            </w: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8BA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▲密码算法实现</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DF7F3B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CPU芯片应符合GM/T0008的相关规定，或芯片密码模块应符合GB/T37092或GM/T0028的相关规定</w:t>
            </w:r>
          </w:p>
        </w:tc>
      </w:tr>
      <w:tr w14:paraId="0B4E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B881A">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139</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F9D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1B475">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1FC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▲信息安全基本要求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2A84346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a)产品应符合GB/T39276的5.2的规定；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b)生产厂商应建立漏洞跟踪表，保证产品版本涉及到的漏洞(如驱动程序等)可查看；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c)产品不得包含已知的恶意代码或漏洞，不存在未声明的指令、功能、接口</w:t>
            </w:r>
          </w:p>
        </w:tc>
      </w:tr>
      <w:tr w14:paraId="5AAA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7F62">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140</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1D1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E221">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657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▲固件安全启动</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7DB8F1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支持固件安全启动功能，固件启动过程中只有通过启动校验才能正常启动</w:t>
            </w:r>
          </w:p>
        </w:tc>
      </w:tr>
      <w:tr w14:paraId="3350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064C">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141</w:t>
            </w:r>
          </w:p>
        </w:tc>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E7F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CB2DC">
            <w:pPr>
              <w:jc w:val="left"/>
              <w:rPr>
                <w:rFonts w:hint="eastAsia" w:ascii="仿宋_GB2312" w:hAnsi="仿宋_GB2312" w:eastAsia="仿宋_GB2312" w:cs="仿宋_GB2312"/>
                <w:i w:val="0"/>
                <w:iCs w:val="0"/>
                <w:color w:val="000000"/>
                <w:sz w:val="24"/>
                <w:szCs w:val="24"/>
                <w:highlight w:val="none"/>
                <w:u w:val="none"/>
              </w:rPr>
            </w:pPr>
          </w:p>
        </w:tc>
        <w:tc>
          <w:tcPr>
            <w:tcW w:w="1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CB5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▲限用物质的限量要求</w:t>
            </w:r>
          </w:p>
        </w:tc>
        <w:tc>
          <w:tcPr>
            <w:tcW w:w="2346" w:type="pct"/>
            <w:tcBorders>
              <w:top w:val="single" w:color="000000" w:sz="4" w:space="0"/>
              <w:left w:val="nil"/>
              <w:bottom w:val="single" w:color="000000" w:sz="4" w:space="0"/>
              <w:right w:val="single" w:color="000000" w:sz="4" w:space="0"/>
            </w:tcBorders>
            <w:shd w:val="clear" w:color="auto" w:fill="auto"/>
            <w:vAlign w:val="center"/>
          </w:tcPr>
          <w:p w14:paraId="6CCEB55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符合GB/T26572中规定</w:t>
            </w:r>
          </w:p>
        </w:tc>
      </w:tr>
    </w:tbl>
    <w:p w14:paraId="06F5653A">
      <w:pPr>
        <w:pStyle w:val="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2.2、流式软件</w:t>
      </w:r>
    </w:p>
    <w:tbl>
      <w:tblPr>
        <w:tblStyle w:val="27"/>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22"/>
        <w:gridCol w:w="7615"/>
      </w:tblGrid>
      <w:tr w14:paraId="5A67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79457A86">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822" w:type="dxa"/>
            <w:vAlign w:val="center"/>
          </w:tcPr>
          <w:p w14:paraId="16DFF7A7">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项目名称</w:t>
            </w:r>
          </w:p>
        </w:tc>
        <w:tc>
          <w:tcPr>
            <w:tcW w:w="7615" w:type="dxa"/>
            <w:vAlign w:val="center"/>
          </w:tcPr>
          <w:p w14:paraId="4E450FFC">
            <w:pP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rPr>
              <w:t>技术需求详细参数要求</w:t>
            </w:r>
          </w:p>
        </w:tc>
      </w:tr>
      <w:tr w14:paraId="462C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4EB3A137">
            <w:pPr>
              <w:widowControl/>
              <w:jc w:val="center"/>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lang w:val="en-US" w:eastAsia="zh-CN"/>
              </w:rPr>
              <w:t>1</w:t>
            </w:r>
          </w:p>
        </w:tc>
        <w:tc>
          <w:tcPr>
            <w:tcW w:w="822" w:type="dxa"/>
            <w:vAlign w:val="center"/>
          </w:tcPr>
          <w:p w14:paraId="1C484E23">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流式软件</w:t>
            </w:r>
          </w:p>
        </w:tc>
        <w:tc>
          <w:tcPr>
            <w:tcW w:w="7615" w:type="dxa"/>
            <w:vAlign w:val="center"/>
          </w:tcPr>
          <w:p w14:paraId="420EC600">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1. 投标产品支持运行在国产环境上（操作系统包括但不限于：UOS、银河麒麟V10、中标麒麟、银河麒麟、中科方德、深度等；CPU包括但不限于：龙芯、飞腾、鲲鹏、兆芯、申威等），主要功能组件包含：文字处理、表格计算、幻灯片。</w:t>
            </w:r>
          </w:p>
          <w:p w14:paraId="68C28417">
            <w:pPr>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▲2.所投产品文件格式需包括</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doc.</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docx.</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dot.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wps.</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xls.</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xlsx.</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xlt.</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et.ppt.pptx.pps.dps等文件格式。（需提供有效证明文件或者截图）</w:t>
            </w:r>
          </w:p>
          <w:p w14:paraId="67C1C67D">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▲3. 文字处理模块支持标准文档编辑处理功能，支持插入表格、图片、公式、符号、附件等功能；支持页面页边距、纸张方向、背景、水印等功能；支持引用目录、脚注等功能；支持审阅修订、文档加密等功能，满足教职工日常办公编辑文档需求。</w:t>
            </w:r>
          </w:p>
          <w:p w14:paraId="3C753CC0">
            <w:pP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▲4. 表格计算模块支持表格的快速合并选择，支持用户一键选择合并居中、合并单元格、合并相同单元格、合并内容、取消合并单元格、拆分并填充内容。（需提供有效证明文件或者截图）</w:t>
            </w:r>
          </w:p>
          <w:p w14:paraId="2A842806">
            <w:pP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5. 幻灯片模块支持将演示文件及相关媒体文件直接打包成文件夹/压缩文件，方便用户携带及使用，避免文档流转时媒体文件无法播放。</w:t>
            </w:r>
          </w:p>
        </w:tc>
      </w:tr>
    </w:tbl>
    <w:p w14:paraId="369DB523">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77B9ED38">
      <w:pPr>
        <w:pStyle w:val="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2.3、版式软件</w:t>
      </w:r>
    </w:p>
    <w:tbl>
      <w:tblPr>
        <w:tblStyle w:val="27"/>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73"/>
        <w:gridCol w:w="7701"/>
      </w:tblGrid>
      <w:tr w14:paraId="6CD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2B1FBA6D">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773" w:type="dxa"/>
            <w:vAlign w:val="center"/>
          </w:tcPr>
          <w:p w14:paraId="6B4DCAF9">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项目名称</w:t>
            </w:r>
          </w:p>
        </w:tc>
        <w:tc>
          <w:tcPr>
            <w:tcW w:w="7701" w:type="dxa"/>
            <w:vAlign w:val="center"/>
          </w:tcPr>
          <w:p w14:paraId="403DED95">
            <w:pP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rPr>
              <w:t>技术需求详细参数要求</w:t>
            </w:r>
          </w:p>
        </w:tc>
      </w:tr>
      <w:tr w14:paraId="5EF7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79A716CC">
            <w:pPr>
              <w:widowControl/>
              <w:jc w:val="center"/>
              <w:rPr>
                <w:rFonts w:hint="eastAsia" w:ascii="仿宋_GB2312" w:hAnsi="仿宋_GB2312" w:eastAsia="仿宋_GB2312" w:cs="仿宋_GB2312"/>
                <w:color w:val="000000"/>
                <w:kern w:val="0"/>
                <w:sz w:val="24"/>
                <w:szCs w:val="24"/>
                <w:highlight w:val="none"/>
                <w:lang w:eastAsia="zh-CN"/>
              </w:rPr>
            </w:pPr>
            <w:r>
              <w:rPr>
                <w:rFonts w:hint="eastAsia" w:ascii="仿宋_GB2312" w:hAnsi="仿宋_GB2312" w:eastAsia="仿宋_GB2312" w:cs="仿宋_GB2312"/>
                <w:color w:val="000000"/>
                <w:kern w:val="0"/>
                <w:sz w:val="24"/>
                <w:szCs w:val="24"/>
                <w:highlight w:val="none"/>
                <w:lang w:val="en-US" w:eastAsia="zh-CN"/>
              </w:rPr>
              <w:t>1</w:t>
            </w:r>
          </w:p>
        </w:tc>
        <w:tc>
          <w:tcPr>
            <w:tcW w:w="773" w:type="dxa"/>
            <w:vAlign w:val="center"/>
          </w:tcPr>
          <w:p w14:paraId="62C43522">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版式软件</w:t>
            </w:r>
          </w:p>
        </w:tc>
        <w:tc>
          <w:tcPr>
            <w:tcW w:w="7701" w:type="dxa"/>
            <w:vAlign w:val="center"/>
          </w:tcPr>
          <w:p w14:paraId="6C9423A5">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1、文件操作：提供OFD/PDF版式文档打开、保存、另存功能，可将打开文档导出为图片、PDF或TXT格式文档，导出为图片时自动分页保存。</w:t>
            </w:r>
          </w:p>
          <w:p w14:paraId="14772D16">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2、多文档支持：可打开SFD、SEP、GW、GD、PS、S2/S72/S92、CEB、流式、图片等格式文档直接阅览。</w:t>
            </w:r>
          </w:p>
          <w:p w14:paraId="4BB3DE70">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△3、阅读操作：支持翻页、跳转、缩放功能，支持缩略图、大纲、语义、书签、签章、注释、附件的导览功能，支持两个文档同屏比对功能。需提供功能截图证明。</w:t>
            </w:r>
          </w:p>
          <w:p w14:paraId="57A2AEA2">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△4、文档打印：支持打印预览功能，支持打印复印件功能，支持装订成册打印功能，可设置打印属性。需提供功能截图证明。</w:t>
            </w:r>
          </w:p>
          <w:p w14:paraId="284BD6B0">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△5、内容操作：支持选择与复制功能，可将复制内容的字体、段落格式、行间距等属性带入办公软件文档中。提供具备CMA认证的检测机构出具的检测报告。</w:t>
            </w:r>
          </w:p>
          <w:p w14:paraId="41ADD92F">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6、电子签章：支持签章、骑缝章、署名章、预盖章、日期章、文字定位盖章、批量盖章等盖章功能，可脱离第三方签章库直接验证签章。支持自动加盖国密时间戳。</w:t>
            </w:r>
          </w:p>
          <w:p w14:paraId="2DE6828E">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△7、注释功能：提供箭头、直线、圆形等图形注释功能，提供高亮、下划线、删除线、波浪线等文本注释功能。提供注释导入导出功能。提供文本框注释功能。需提供中国软件测评中心提供的测试报告。</w:t>
            </w:r>
          </w:p>
          <w:p w14:paraId="1D07DB03">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8、文档水印：提供图文水印功能，可设置水印的字体、字号、角度等属性；提供动态水印功能，可将当前用户、时间等信息作为水印内容叠加到文档中。</w:t>
            </w:r>
          </w:p>
          <w:p w14:paraId="11F5EE51">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9、版式修订：提供版式修订功能，包括删除、插入、替换、移动、修改、增加间距、缩小间距、前移、后移、切换字体等。</w:t>
            </w:r>
          </w:p>
          <w:p w14:paraId="01A08FB8">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10、手写签批：支持手写签批，实现铅笔、签字笔（粗、细）、软笔签批用笔选择，支持压感笔锋功能，支持跨页签批，提供橡皮檫功能。</w:t>
            </w:r>
          </w:p>
          <w:p w14:paraId="3747343D">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△11、页面处理：支持拆分OFD；提供插入、删除、替换、提取、交换、移动、裁切等页面处理功能。需提供中国软件测评中心提供的测试报告。</w:t>
            </w:r>
          </w:p>
          <w:p w14:paraId="2627A579">
            <w:pPr>
              <w:jc w:val="left"/>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12、安全性：提供保存、另存、打印、复制、截屏等禁用控制功能，支持国密https打开远程文件，可为文档添加阅读有效期和操作权限，提供加密保护功能。需提供功能截图和中国软件测评中心提供的测试报告。</w:t>
            </w:r>
          </w:p>
        </w:tc>
      </w:tr>
    </w:tbl>
    <w:p w14:paraId="6DE09698">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703CE362">
      <w:pPr>
        <w:pStyle w:val="5"/>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2.4、杀毒软件</w:t>
      </w:r>
    </w:p>
    <w:tbl>
      <w:tblPr>
        <w:tblStyle w:val="27"/>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34"/>
        <w:gridCol w:w="7640"/>
      </w:tblGrid>
      <w:tr w14:paraId="7A46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15384E29">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序号</w:t>
            </w:r>
          </w:p>
        </w:tc>
        <w:tc>
          <w:tcPr>
            <w:tcW w:w="834" w:type="dxa"/>
            <w:vAlign w:val="center"/>
          </w:tcPr>
          <w:p w14:paraId="63050C82">
            <w:pPr>
              <w:widowControl/>
              <w:jc w:val="center"/>
              <w:rPr>
                <w:rFonts w:hint="eastAsia" w:ascii="仿宋_GB2312" w:hAnsi="仿宋_GB2312" w:eastAsia="仿宋_GB2312" w:cs="仿宋_GB2312"/>
                <w:b/>
                <w:bCs/>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项目名</w:t>
            </w:r>
            <w:r>
              <w:rPr>
                <w:rFonts w:hint="eastAsia" w:ascii="仿宋_GB2312" w:hAnsi="仿宋_GB2312" w:eastAsia="仿宋_GB2312" w:cs="仿宋_GB2312"/>
                <w:b/>
                <w:bCs/>
                <w:color w:val="000000"/>
                <w:kern w:val="0"/>
                <w:sz w:val="24"/>
                <w:szCs w:val="24"/>
                <w:highlight w:val="none"/>
                <w:lang w:val="en-US" w:eastAsia="zh-CN"/>
              </w:rPr>
              <w:t xml:space="preserve"> </w:t>
            </w:r>
            <w:r>
              <w:rPr>
                <w:rFonts w:hint="eastAsia" w:ascii="仿宋_GB2312" w:hAnsi="仿宋_GB2312" w:eastAsia="仿宋_GB2312" w:cs="仿宋_GB2312"/>
                <w:b/>
                <w:bCs/>
                <w:color w:val="000000"/>
                <w:kern w:val="0"/>
                <w:sz w:val="24"/>
                <w:szCs w:val="24"/>
                <w:highlight w:val="none"/>
              </w:rPr>
              <w:t>称</w:t>
            </w:r>
          </w:p>
        </w:tc>
        <w:tc>
          <w:tcPr>
            <w:tcW w:w="7640" w:type="dxa"/>
            <w:vAlign w:val="center"/>
          </w:tcPr>
          <w:p w14:paraId="3EF5BCEB">
            <w:pPr>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kern w:val="0"/>
                <w:sz w:val="24"/>
                <w:szCs w:val="24"/>
                <w:highlight w:val="none"/>
              </w:rPr>
              <w:t>技术需求详细参数要求</w:t>
            </w:r>
          </w:p>
        </w:tc>
      </w:tr>
      <w:tr w14:paraId="5921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46" w:type="dxa"/>
            <w:vAlign w:val="center"/>
          </w:tcPr>
          <w:p w14:paraId="18302AB5">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1</w:t>
            </w:r>
          </w:p>
        </w:tc>
        <w:tc>
          <w:tcPr>
            <w:tcW w:w="834" w:type="dxa"/>
            <w:vAlign w:val="center"/>
          </w:tcPr>
          <w:p w14:paraId="28CE11B7">
            <w:pPr>
              <w:widowControl/>
              <w:jc w:val="center"/>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kern w:val="0"/>
                <w:sz w:val="24"/>
                <w:szCs w:val="24"/>
                <w:highlight w:val="none"/>
              </w:rPr>
              <w:t>杀毒软件</w:t>
            </w:r>
          </w:p>
        </w:tc>
        <w:tc>
          <w:tcPr>
            <w:tcW w:w="7640" w:type="dxa"/>
            <w:vAlign w:val="center"/>
          </w:tcPr>
          <w:p w14:paraId="31551A92">
            <w:pPr>
              <w:pStyle w:val="2"/>
              <w:ind w:firstLine="0" w:firstLineChars="0"/>
              <w:rPr>
                <w:rFonts w:hint="eastAsia" w:ascii="仿宋_GB2312" w:hAnsi="仿宋_GB2312" w:eastAsia="仿宋_GB2312" w:cs="仿宋_GB2312"/>
                <w:color w:val="000000"/>
                <w:kern w:val="0"/>
                <w:szCs w:val="24"/>
                <w:highlight w:val="none"/>
              </w:rPr>
            </w:pPr>
            <w:bookmarkStart w:id="27" w:name="OLE_LINK1"/>
            <w:r>
              <w:rPr>
                <w:rFonts w:hint="eastAsia" w:ascii="仿宋_GB2312" w:hAnsi="仿宋_GB2312" w:eastAsia="仿宋_GB2312" w:cs="仿宋_GB2312"/>
                <w:color w:val="000000"/>
                <w:kern w:val="0"/>
                <w:szCs w:val="24"/>
                <w:highlight w:val="none"/>
              </w:rPr>
              <w:t>1.</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客户端支持中标麒麟V7.0、麒麟V10（SP1）以及统信UOS V20等桌面操作系统，具备在</w:t>
            </w:r>
            <w:r>
              <w:rPr>
                <w:rFonts w:hint="eastAsia" w:ascii="仿宋_GB2312" w:hAnsi="仿宋_GB2312" w:eastAsia="仿宋_GB2312" w:cs="仿宋_GB2312"/>
                <w:color w:val="000000"/>
                <w:kern w:val="0"/>
                <w:szCs w:val="24"/>
                <w:highlight w:val="none"/>
                <w:lang w:val="en-US" w:eastAsia="zh-CN"/>
              </w:rPr>
              <w:t>麒麟、</w:t>
            </w:r>
            <w:r>
              <w:rPr>
                <w:rFonts w:hint="eastAsia" w:ascii="仿宋_GB2312" w:hAnsi="仿宋_GB2312" w:eastAsia="仿宋_GB2312" w:cs="仿宋_GB2312"/>
                <w:color w:val="000000"/>
                <w:kern w:val="0"/>
                <w:szCs w:val="24"/>
                <w:highlight w:val="none"/>
              </w:rPr>
              <w:t>兆芯、飞腾、龙芯等通用CPU上运行的能力。</w:t>
            </w:r>
          </w:p>
          <w:p w14:paraId="06326BA3">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2.</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支持离线升级客户端程序，支持离线升级病毒库。</w:t>
            </w:r>
          </w:p>
          <w:p w14:paraId="3ED82045">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3.</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支持查看终端上的病毒扫描日志，包括扫描时间、扫描结果，并显示扫描详情（扫描用时、扫描项目总数、使用引擎等信息）。</w:t>
            </w:r>
          </w:p>
          <w:p w14:paraId="5FE54D12">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4.</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支持查看终端上的防护日志，包括时间、文件路径、防护说明、处理结果。</w:t>
            </w:r>
          </w:p>
          <w:p w14:paraId="07157F29">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△5.</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至少提供4种防病毒引擎，实现多引擎防护。</w:t>
            </w:r>
          </w:p>
          <w:p w14:paraId="581A6EB3">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△6.</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支持基于脚本类型判断的病毒检测技术，通过预设数量的脚本作为样本，计算特征向量建立分类模型，由此建立的分类模型可以对待测脚本的类型进行判定，根据判定结果把脚本提供给对应的脚本引擎进行处理。</w:t>
            </w:r>
          </w:p>
          <w:p w14:paraId="6D858924">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△7.</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支持基于机器学习的程序识别方法，通过对海量样本进行分析，得到识别恶意程序的模型，发现程序内在规律，对未发生的恶意程序进行预防。</w:t>
            </w:r>
          </w:p>
          <w:p w14:paraId="568232A0">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△8.</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支持连接网络版控制中心，将单机版客户端接入网络版控制中心。</w:t>
            </w:r>
          </w:p>
          <w:p w14:paraId="2DC7F8FA">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9.</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支持对终端执行快速扫描、全盘扫描和自定义扫描，可配置发现病毒的处理方式。</w:t>
            </w:r>
          </w:p>
          <w:p w14:paraId="793264BD">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10.</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支持用户自定义白名单，支持文件和目录白名单。</w:t>
            </w:r>
          </w:p>
          <w:p w14:paraId="4D2A78C3">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11.</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支持快速批量恢复隔离区内的文件。</w:t>
            </w:r>
          </w:p>
          <w:p w14:paraId="01FB915C">
            <w:pPr>
              <w:pStyle w:val="2"/>
              <w:ind w:firstLine="0" w:firstLineChars="0"/>
              <w:rPr>
                <w:rFonts w:hint="eastAsia" w:ascii="仿宋_GB2312" w:hAnsi="仿宋_GB2312" w:eastAsia="仿宋_GB2312" w:cs="仿宋_GB2312"/>
                <w:color w:val="000000"/>
                <w:kern w:val="0"/>
                <w:szCs w:val="24"/>
                <w:highlight w:val="none"/>
              </w:rPr>
            </w:pPr>
            <w:r>
              <w:rPr>
                <w:rFonts w:hint="eastAsia" w:ascii="仿宋_GB2312" w:hAnsi="仿宋_GB2312" w:eastAsia="仿宋_GB2312" w:cs="仿宋_GB2312"/>
                <w:color w:val="000000"/>
                <w:kern w:val="0"/>
                <w:szCs w:val="24"/>
                <w:highlight w:val="none"/>
              </w:rPr>
              <w:t>12.</w:t>
            </w:r>
            <w:r>
              <w:rPr>
                <w:rFonts w:hint="eastAsia" w:ascii="仿宋_GB2312" w:hAnsi="仿宋_GB2312" w:eastAsia="仿宋_GB2312" w:cs="仿宋_GB2312"/>
                <w:highlight w:val="none"/>
              </w:rPr>
              <w:t xml:space="preserve"> </w:t>
            </w:r>
            <w:r>
              <w:rPr>
                <w:rFonts w:hint="eastAsia" w:ascii="仿宋_GB2312" w:hAnsi="仿宋_GB2312" w:eastAsia="仿宋_GB2312" w:cs="仿宋_GB2312"/>
                <w:color w:val="000000"/>
                <w:kern w:val="0"/>
                <w:szCs w:val="24"/>
                <w:highlight w:val="none"/>
              </w:rPr>
              <w:t>提供文件系统实时防护功能，发现病毒后可选择由系统自动处理、由用户选择处理或仅上报但不处理。</w:t>
            </w:r>
            <w:bookmarkEnd w:id="27"/>
          </w:p>
        </w:tc>
      </w:tr>
    </w:tbl>
    <w:p w14:paraId="776FBEA7">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7AD0DE4B">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 、商务要求</w:t>
      </w:r>
    </w:p>
    <w:tbl>
      <w:tblPr>
        <w:tblStyle w:val="2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064B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1560" w:type="dxa"/>
            <w:vAlign w:val="center"/>
          </w:tcPr>
          <w:p w14:paraId="1E8052C8">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质保期</w:t>
            </w:r>
          </w:p>
        </w:tc>
        <w:tc>
          <w:tcPr>
            <w:tcW w:w="7654" w:type="dxa"/>
            <w:vAlign w:val="center"/>
          </w:tcPr>
          <w:p w14:paraId="2EDCB165">
            <w:pPr>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本项目要求见上表质保部份，质保期内免收一切费用，质保期后终身维护，至少提供三年运维服务、设备运行情况监测、三年硬件质保服务。</w:t>
            </w:r>
          </w:p>
        </w:tc>
      </w:tr>
      <w:tr w14:paraId="01D7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560" w:type="dxa"/>
            <w:vAlign w:val="center"/>
          </w:tcPr>
          <w:p w14:paraId="28086BED">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售后技术服务要求</w:t>
            </w:r>
          </w:p>
        </w:tc>
        <w:tc>
          <w:tcPr>
            <w:tcW w:w="7654" w:type="dxa"/>
            <w:vAlign w:val="center"/>
          </w:tcPr>
          <w:p w14:paraId="4427AA94">
            <w:pPr>
              <w:widowControl/>
              <w:numPr>
                <w:ilvl w:val="0"/>
                <w:numId w:val="4"/>
              </w:numPr>
              <w:snapToGrid w:val="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2小时内到达现场，上门维护； 24小时内修复；无法修复的，供应商应提供备用设备或部件替换，不能因此影响单位工作。提供电话及远程服务，一般问题一天内解决，重大问题三天内解决。</w:t>
            </w:r>
          </w:p>
          <w:p w14:paraId="74FF8B0E">
            <w:pPr>
              <w:widowControl/>
              <w:numPr>
                <w:ilvl w:val="0"/>
                <w:numId w:val="4"/>
              </w:numPr>
              <w:snapToGrid w:val="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提供免费现场培训，直到被培训人员能完全胜任工作要求。</w:t>
            </w:r>
          </w:p>
        </w:tc>
      </w:tr>
      <w:tr w14:paraId="78CF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560" w:type="dxa"/>
            <w:vAlign w:val="center"/>
          </w:tcPr>
          <w:p w14:paraId="027ED01D">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交货时间及地点</w:t>
            </w:r>
          </w:p>
        </w:tc>
        <w:tc>
          <w:tcPr>
            <w:tcW w:w="7654" w:type="dxa"/>
            <w:vAlign w:val="center"/>
          </w:tcPr>
          <w:p w14:paraId="479E5DCD">
            <w:pPr>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合同签订后</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z w:val="24"/>
                <w:szCs w:val="24"/>
                <w:highlight w:val="none"/>
                <w14:textFill>
                  <w14:solidFill>
                    <w14:schemeClr w14:val="tx1"/>
                  </w14:solidFill>
                </w14:textFill>
              </w:rPr>
              <w:t>天内安装调试验收完毕，采购单位指定地点。</w:t>
            </w:r>
          </w:p>
        </w:tc>
      </w:tr>
      <w:tr w14:paraId="1A8A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1560" w:type="dxa"/>
            <w:vAlign w:val="center"/>
          </w:tcPr>
          <w:p w14:paraId="326147EC">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付款条件</w:t>
            </w:r>
          </w:p>
        </w:tc>
        <w:tc>
          <w:tcPr>
            <w:tcW w:w="7654" w:type="dxa"/>
            <w:vAlign w:val="center"/>
          </w:tcPr>
          <w:p w14:paraId="23AD26AF">
            <w:pPr>
              <w:pStyle w:val="76"/>
              <w:spacing w:line="440" w:lineRule="exact"/>
              <w:ind w:firstLine="0" w:firstLineChars="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1.预付款：在合同生效后以及具备实施条件后的7个工作日内，采购人根据供应商提供的正规发票，按财政部门规定的支付方式支付合同金额的40%给供应商。</w:t>
            </w:r>
          </w:p>
          <w:p w14:paraId="1423B00E">
            <w:pPr>
              <w:snapToGrid w:val="0"/>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2.剩余款项：</w:t>
            </w:r>
            <w:r>
              <w:rPr>
                <w:rFonts w:hint="eastAsia" w:ascii="仿宋_GB2312" w:hAnsi="仿宋_GB2312" w:eastAsia="仿宋_GB2312" w:cs="仿宋_GB2312"/>
                <w:color w:val="000000" w:themeColor="text1"/>
                <w:sz w:val="24"/>
                <w:szCs w:val="24"/>
                <w:highlight w:val="none"/>
                <w:shd w:val="clear" w:color="auto" w:fill="FFFFFF"/>
                <w14:textFill>
                  <w14:solidFill>
                    <w14:schemeClr w14:val="tx1"/>
                  </w14:solidFill>
                </w14:textFill>
              </w:rPr>
              <w:t>项目通过终验后5个工作日内支付剩余合同金额的60%。</w:t>
            </w:r>
          </w:p>
        </w:tc>
      </w:tr>
      <w:tr w14:paraId="38B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1560" w:type="dxa"/>
            <w:vAlign w:val="center"/>
          </w:tcPr>
          <w:p w14:paraId="47D3BF19">
            <w:pPr>
              <w:spacing w:line="360" w:lineRule="auto"/>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项目验收</w:t>
            </w:r>
          </w:p>
        </w:tc>
        <w:tc>
          <w:tcPr>
            <w:tcW w:w="7654" w:type="dxa"/>
            <w:vAlign w:val="center"/>
          </w:tcPr>
          <w:p w14:paraId="5705F111">
            <w:pPr>
              <w:pStyle w:val="12"/>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t>中标方在项目实施结束后应自行组织初验，初验通过后向采购方提出终验申请，采购方在收到申请的一周内组织验收工作。验收由采购方相关人员及中标方共同进行，对产品型号、标书要求的各项功能及中标方的投标文件逐条进行校对验收。</w:t>
            </w:r>
          </w:p>
        </w:tc>
      </w:tr>
    </w:tbl>
    <w:p w14:paraId="56224636">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14:paraId="5ADB3A77">
      <w:pPr>
        <w:spacing w:line="360" w:lineRule="auto"/>
        <w:outlineLvl w:val="1"/>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四、售后服务要求</w:t>
      </w:r>
    </w:p>
    <w:p w14:paraId="2349BEED">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施工期间，中标人应遵守有关部门的管理，并遵照相关的规定。系统设备安装（包括所使用的设备、材料、布线方法、安装工艺、调试开通等）必须符合国家、行业法规和规范要求。在施工中应做好对其他设施的保护，凡造成其它设施、设备损坏的，一律由中标人负责赔偿。</w:t>
      </w:r>
    </w:p>
    <w:p w14:paraId="7CCA1215">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2、提供的设备、配件必须提供随机资料（说明书、合格证、图纸、保修单及操作保养等资料）。其他附件及材料必须符合国家有关标准。</w:t>
      </w:r>
    </w:p>
    <w:p w14:paraId="6A46F352">
      <w:pPr>
        <w:spacing w:line="360" w:lineRule="auto"/>
        <w:ind w:firstLine="240" w:firstLineChars="1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3、</w:t>
      </w:r>
      <w:r>
        <w:rPr>
          <w:rFonts w:hint="eastAsia" w:ascii="仿宋_GB2312" w:hAnsi="仿宋_GB2312" w:eastAsia="仿宋_GB2312" w:cs="仿宋_GB2312"/>
          <w:b/>
          <w:color w:val="000000" w:themeColor="text1"/>
          <w:sz w:val="24"/>
          <w:szCs w:val="24"/>
          <w:highlight w:val="none"/>
          <w14:textFill>
            <w14:solidFill>
              <w14:schemeClr w14:val="tx1"/>
            </w14:solidFill>
          </w14:textFill>
        </w:rPr>
        <w:t>质保期：本项目要求硬件整体质保三年，提供至少三年运维服务。</w:t>
      </w:r>
    </w:p>
    <w:p w14:paraId="35460FB3">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投标人应该能够提供完善可靠的技术支持，当出现故障立即响应，12小时解决问题，24个工作小时内不能修复的，则无偿提供备机或备用零件供采购人使用，投标人可根据自身实力作出更优的承诺。在此期间，投标人应免费处理因质量发生的故障，并进行正常保养。</w:t>
      </w:r>
    </w:p>
    <w:p w14:paraId="0A0D26D1">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质保期内所有硬件设备的故障由中标人进行免费的更换、维修等，确保用户的正常使用；软件系统由中标人进行免费升级和优化服务。合同期内，中标人应成立专门的团队，负责售后及运维服务。指定专门的负责人负责与用户的对接及协调。设立专门的工作热线，接受用户的咨询。</w:t>
      </w:r>
    </w:p>
    <w:p w14:paraId="0A2CF746">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在质保期和合同期结束前，中标人须对本项目采购设备进行一次对软硬件系统全面检查，任何缺陷问题必须由中标人负责整改，完善；在整改、完善之后，中标单位须将缺陷原因、修理内容、完成修理及恢复正常的时间和日期等报告给采购人。</w:t>
      </w:r>
    </w:p>
    <w:p w14:paraId="50048120">
      <w:pPr>
        <w:spacing w:line="360" w:lineRule="auto"/>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bidi="ar"/>
          <w14:textFill>
            <w14:solidFill>
              <w14:schemeClr w14:val="tx1"/>
            </w14:solidFill>
          </w14:textFill>
        </w:rPr>
        <w:t>7、技术参数功能需真实满足，在中标后签订合同前进行实际设备功能测试。</w:t>
      </w:r>
    </w:p>
    <w:p w14:paraId="2A6663B2">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color w:val="auto"/>
          <w:sz w:val="24"/>
          <w:szCs w:val="24"/>
        </w:rPr>
      </w:pPr>
    </w:p>
    <w:p w14:paraId="5A7F88F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color w:val="auto"/>
          <w:sz w:val="24"/>
          <w:szCs w:val="24"/>
        </w:rPr>
      </w:pPr>
    </w:p>
    <w:p w14:paraId="0C3BFDC7">
      <w:pPr>
        <w:rPr>
          <w:rFonts w:hint="eastAsia" w:ascii="仿宋" w:hAnsi="仿宋" w:eastAsia="仿宋" w:cs="仿宋"/>
          <w:color w:val="auto"/>
        </w:rPr>
      </w:pPr>
    </w:p>
    <w:p w14:paraId="3A8D6933">
      <w:pPr>
        <w:pStyle w:val="2"/>
        <w:rPr>
          <w:rFonts w:hint="eastAsia" w:ascii="仿宋" w:hAnsi="仿宋" w:eastAsia="仿宋" w:cs="仿宋"/>
          <w:color w:val="auto"/>
        </w:rPr>
      </w:pPr>
    </w:p>
    <w:p w14:paraId="65EA3B39">
      <w:pPr>
        <w:rPr>
          <w:rFonts w:hint="eastAsia" w:ascii="仿宋" w:hAnsi="仿宋" w:eastAsia="仿宋" w:cs="仿宋"/>
          <w:color w:val="auto"/>
        </w:rPr>
      </w:pPr>
    </w:p>
    <w:p w14:paraId="112D2855">
      <w:pPr>
        <w:pStyle w:val="2"/>
        <w:rPr>
          <w:rFonts w:hint="eastAsia" w:ascii="仿宋" w:hAnsi="仿宋" w:eastAsia="仿宋" w:cs="仿宋"/>
          <w:color w:val="auto"/>
        </w:rPr>
      </w:pPr>
    </w:p>
    <w:p w14:paraId="675DD094">
      <w:pPr>
        <w:rPr>
          <w:rFonts w:hint="eastAsia" w:ascii="仿宋" w:hAnsi="仿宋" w:eastAsia="仿宋" w:cs="仿宋"/>
          <w:color w:val="auto"/>
        </w:rPr>
      </w:pPr>
    </w:p>
    <w:p w14:paraId="7E77534A">
      <w:pPr>
        <w:pStyle w:val="2"/>
        <w:rPr>
          <w:rFonts w:hint="eastAsia" w:ascii="仿宋" w:hAnsi="仿宋" w:eastAsia="仿宋" w:cs="仿宋"/>
          <w:color w:val="auto"/>
        </w:rPr>
      </w:pPr>
    </w:p>
    <w:p w14:paraId="77246AD5">
      <w:pPr>
        <w:rPr>
          <w:rFonts w:hint="eastAsia" w:ascii="仿宋" w:hAnsi="仿宋" w:eastAsia="仿宋" w:cs="仿宋"/>
          <w:color w:val="auto"/>
        </w:rPr>
      </w:pPr>
    </w:p>
    <w:p w14:paraId="04A9A252">
      <w:pPr>
        <w:pStyle w:val="2"/>
        <w:rPr>
          <w:rFonts w:hint="eastAsia" w:ascii="仿宋" w:hAnsi="仿宋" w:eastAsia="仿宋" w:cs="仿宋"/>
          <w:color w:val="auto"/>
        </w:rPr>
      </w:pPr>
    </w:p>
    <w:p w14:paraId="459875FB">
      <w:pPr>
        <w:rPr>
          <w:rFonts w:hint="eastAsia" w:ascii="仿宋" w:hAnsi="仿宋" w:eastAsia="仿宋" w:cs="仿宋"/>
          <w:color w:val="auto"/>
        </w:rPr>
      </w:pPr>
    </w:p>
    <w:p w14:paraId="539A6E15">
      <w:pPr>
        <w:pStyle w:val="2"/>
        <w:rPr>
          <w:rFonts w:hint="eastAsia" w:ascii="仿宋" w:hAnsi="仿宋" w:eastAsia="仿宋" w:cs="仿宋"/>
          <w:color w:val="auto"/>
        </w:rPr>
      </w:pPr>
    </w:p>
    <w:p w14:paraId="16670B21">
      <w:pPr>
        <w:rPr>
          <w:rFonts w:hint="eastAsia" w:ascii="仿宋" w:hAnsi="仿宋" w:eastAsia="仿宋" w:cs="仿宋"/>
          <w:color w:val="auto"/>
        </w:rPr>
      </w:pPr>
    </w:p>
    <w:p w14:paraId="593D66E5">
      <w:pPr>
        <w:pStyle w:val="2"/>
        <w:rPr>
          <w:rFonts w:hint="eastAsia" w:ascii="仿宋" w:hAnsi="仿宋" w:eastAsia="仿宋" w:cs="仿宋"/>
          <w:color w:val="auto"/>
        </w:rPr>
      </w:pPr>
    </w:p>
    <w:p w14:paraId="51E91EFB">
      <w:pPr>
        <w:rPr>
          <w:rFonts w:hint="eastAsia" w:ascii="仿宋" w:hAnsi="仿宋" w:eastAsia="仿宋" w:cs="仿宋"/>
          <w:color w:val="auto"/>
        </w:rPr>
      </w:pPr>
    </w:p>
    <w:p w14:paraId="57FBF817">
      <w:pPr>
        <w:pStyle w:val="2"/>
        <w:rPr>
          <w:rFonts w:hint="eastAsia" w:ascii="仿宋" w:hAnsi="仿宋" w:eastAsia="仿宋" w:cs="仿宋"/>
          <w:color w:val="auto"/>
        </w:rPr>
      </w:pPr>
    </w:p>
    <w:p w14:paraId="048DD32F">
      <w:pPr>
        <w:jc w:val="center"/>
        <w:outlineLvl w:val="0"/>
        <w:rPr>
          <w:rFonts w:hint="eastAsia" w:ascii="仿宋_GB2312" w:hAnsi="仿宋_GB2312" w:eastAsia="仿宋_GB2312" w:cs="仿宋_GB2312"/>
          <w:b/>
          <w:color w:val="auto"/>
          <w:sz w:val="32"/>
          <w:szCs w:val="32"/>
          <w:highlight w:val="none"/>
        </w:rPr>
      </w:pPr>
    </w:p>
    <w:p w14:paraId="06807390">
      <w:pPr>
        <w:pStyle w:val="2"/>
        <w:rPr>
          <w:rFonts w:hint="eastAsia"/>
        </w:rPr>
      </w:pPr>
    </w:p>
    <w:p w14:paraId="09B9E156">
      <w:pPr>
        <w:rPr>
          <w:rFonts w:hint="eastAsia"/>
        </w:rPr>
      </w:pPr>
    </w:p>
    <w:p w14:paraId="48DB176A">
      <w:pPr>
        <w:rPr>
          <w:rFonts w:hint="eastAsia"/>
        </w:rPr>
      </w:pPr>
    </w:p>
    <w:p w14:paraId="15E7CE4F">
      <w:pPr>
        <w:pStyle w:val="2"/>
        <w:rPr>
          <w:rFonts w:hint="eastAsia"/>
        </w:rPr>
      </w:pPr>
    </w:p>
    <w:p w14:paraId="27AC9816">
      <w:pPr>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第四部分</w:t>
      </w:r>
      <w:bookmarkStart w:id="28" w:name="_Toc184312089"/>
      <w:bookmarkEnd w:id="28"/>
      <w:bookmarkStart w:id="29" w:name="_Toc184312080"/>
      <w:bookmarkEnd w:id="29"/>
      <w:bookmarkStart w:id="30" w:name="_Toc184310328"/>
      <w:bookmarkEnd w:id="30"/>
      <w:bookmarkStart w:id="31" w:name="_Toc184312118"/>
      <w:bookmarkEnd w:id="31"/>
      <w:bookmarkStart w:id="32" w:name="_Toc184313242"/>
      <w:bookmarkEnd w:id="32"/>
      <w:bookmarkStart w:id="33" w:name="_Toc184314467"/>
      <w:bookmarkEnd w:id="33"/>
      <w:bookmarkStart w:id="34" w:name="_Toc184314430"/>
      <w:bookmarkEnd w:id="34"/>
      <w:bookmarkStart w:id="35" w:name="_Toc184308050"/>
      <w:bookmarkEnd w:id="35"/>
      <w:bookmarkStart w:id="36" w:name="_Toc184313291"/>
      <w:bookmarkEnd w:id="36"/>
      <w:bookmarkStart w:id="37" w:name="_Toc184314440"/>
      <w:bookmarkEnd w:id="37"/>
      <w:bookmarkStart w:id="38" w:name="_Toc184314481"/>
      <w:bookmarkEnd w:id="38"/>
      <w:bookmarkStart w:id="39" w:name="_Toc184310307"/>
      <w:bookmarkEnd w:id="39"/>
      <w:bookmarkStart w:id="40" w:name="_Toc184314414"/>
      <w:bookmarkEnd w:id="40"/>
      <w:bookmarkStart w:id="41" w:name="_Toc184313289"/>
      <w:bookmarkEnd w:id="41"/>
      <w:bookmarkStart w:id="42" w:name="_Toc184310305"/>
      <w:bookmarkEnd w:id="42"/>
      <w:bookmarkStart w:id="43" w:name="_Toc184310285"/>
      <w:bookmarkEnd w:id="43"/>
      <w:bookmarkStart w:id="44" w:name="_Toc184314461"/>
      <w:bookmarkEnd w:id="44"/>
      <w:bookmarkStart w:id="45" w:name="_Toc184308088"/>
      <w:bookmarkEnd w:id="45"/>
      <w:bookmarkStart w:id="46" w:name="_Toc184313297"/>
      <w:bookmarkEnd w:id="46"/>
      <w:bookmarkStart w:id="47" w:name="_Toc184310309"/>
      <w:bookmarkEnd w:id="47"/>
      <w:bookmarkStart w:id="48" w:name="_Toc184314439"/>
      <w:bookmarkEnd w:id="48"/>
      <w:bookmarkStart w:id="49" w:name="_Toc184312078"/>
      <w:bookmarkEnd w:id="49"/>
      <w:bookmarkStart w:id="50" w:name="_Toc184312122"/>
      <w:bookmarkEnd w:id="50"/>
      <w:bookmarkStart w:id="51" w:name="_Toc184310301"/>
      <w:bookmarkEnd w:id="51"/>
      <w:bookmarkStart w:id="52" w:name="_Toc184313262"/>
      <w:bookmarkEnd w:id="52"/>
      <w:bookmarkStart w:id="53" w:name="_Toc184312079"/>
      <w:bookmarkEnd w:id="53"/>
      <w:bookmarkStart w:id="54" w:name="_Toc184314436"/>
      <w:bookmarkEnd w:id="54"/>
      <w:bookmarkStart w:id="55" w:name="_Toc184308084"/>
      <w:bookmarkEnd w:id="55"/>
      <w:bookmarkStart w:id="56" w:name="_Toc184310330"/>
      <w:bookmarkEnd w:id="56"/>
      <w:bookmarkStart w:id="57" w:name="_Toc184310272"/>
      <w:bookmarkEnd w:id="57"/>
      <w:bookmarkStart w:id="58" w:name="_Toc184313238"/>
      <w:bookmarkEnd w:id="58"/>
      <w:bookmarkStart w:id="59" w:name="_Toc184312138"/>
      <w:bookmarkEnd w:id="59"/>
      <w:bookmarkStart w:id="60" w:name="_Toc184310297"/>
      <w:bookmarkEnd w:id="60"/>
      <w:bookmarkStart w:id="61" w:name="_Toc184313283"/>
      <w:bookmarkEnd w:id="61"/>
      <w:bookmarkStart w:id="62" w:name="_Toc184308098"/>
      <w:bookmarkEnd w:id="62"/>
      <w:bookmarkStart w:id="63" w:name="_Toc184314457"/>
      <w:bookmarkEnd w:id="63"/>
      <w:bookmarkStart w:id="64" w:name="_Toc184312092"/>
      <w:bookmarkEnd w:id="64"/>
      <w:bookmarkStart w:id="65" w:name="_Toc184312082"/>
      <w:bookmarkEnd w:id="65"/>
      <w:bookmarkStart w:id="66" w:name="_Toc184313253"/>
      <w:bookmarkEnd w:id="66"/>
      <w:bookmarkStart w:id="67" w:name="_Toc184312119"/>
      <w:bookmarkEnd w:id="67"/>
      <w:bookmarkStart w:id="68" w:name="_Toc184314411"/>
      <w:bookmarkEnd w:id="68"/>
      <w:bookmarkStart w:id="69" w:name="_Toc184308108"/>
      <w:bookmarkEnd w:id="69"/>
      <w:bookmarkStart w:id="70" w:name="_Toc184308036"/>
      <w:bookmarkEnd w:id="70"/>
      <w:bookmarkStart w:id="71" w:name="_Toc184314469"/>
      <w:bookmarkEnd w:id="71"/>
      <w:bookmarkStart w:id="72" w:name="_Toc184312071"/>
      <w:bookmarkEnd w:id="72"/>
      <w:bookmarkStart w:id="73" w:name="_Toc184310313"/>
      <w:bookmarkEnd w:id="73"/>
      <w:bookmarkStart w:id="74" w:name="_Toc184312069"/>
      <w:bookmarkEnd w:id="74"/>
      <w:bookmarkStart w:id="75" w:name="_Toc184313251"/>
      <w:bookmarkEnd w:id="75"/>
      <w:bookmarkStart w:id="76" w:name="_Toc184310335"/>
      <w:bookmarkEnd w:id="76"/>
      <w:bookmarkStart w:id="77" w:name="_Toc184310291"/>
      <w:bookmarkEnd w:id="77"/>
      <w:bookmarkStart w:id="78" w:name="_Toc184313280"/>
      <w:bookmarkEnd w:id="78"/>
      <w:bookmarkStart w:id="79" w:name="_Toc184308100"/>
      <w:bookmarkEnd w:id="79"/>
      <w:bookmarkStart w:id="80" w:name="_Toc184308052"/>
      <w:bookmarkEnd w:id="80"/>
      <w:bookmarkStart w:id="81" w:name="_Toc184312081"/>
      <w:bookmarkEnd w:id="81"/>
      <w:bookmarkStart w:id="82" w:name="_Toc184313255"/>
      <w:bookmarkEnd w:id="82"/>
      <w:bookmarkStart w:id="83" w:name="_Toc184312111"/>
      <w:bookmarkEnd w:id="83"/>
      <w:bookmarkStart w:id="84" w:name="_Toc184314435"/>
      <w:bookmarkEnd w:id="84"/>
      <w:bookmarkStart w:id="85" w:name="_Toc184312115"/>
      <w:bookmarkEnd w:id="85"/>
      <w:bookmarkStart w:id="86" w:name="_Toc184310273"/>
      <w:bookmarkEnd w:id="86"/>
      <w:bookmarkStart w:id="87" w:name="_Toc184310288"/>
      <w:bookmarkEnd w:id="87"/>
      <w:bookmarkStart w:id="88" w:name="_Toc184310314"/>
      <w:bookmarkEnd w:id="88"/>
      <w:bookmarkStart w:id="89" w:name="_Toc184310318"/>
      <w:bookmarkEnd w:id="89"/>
      <w:bookmarkStart w:id="90" w:name="_Toc184310315"/>
      <w:bookmarkEnd w:id="90"/>
      <w:bookmarkStart w:id="91" w:name="_Toc184314463"/>
      <w:bookmarkEnd w:id="91"/>
      <w:bookmarkStart w:id="92" w:name="_Toc184314447"/>
      <w:bookmarkEnd w:id="92"/>
      <w:bookmarkStart w:id="93" w:name="_Toc184312086"/>
      <w:bookmarkEnd w:id="93"/>
      <w:bookmarkStart w:id="94" w:name="_Toc184310287"/>
      <w:bookmarkEnd w:id="94"/>
      <w:bookmarkStart w:id="95" w:name="_Toc184310308"/>
      <w:bookmarkEnd w:id="95"/>
      <w:bookmarkStart w:id="96" w:name="_Toc184310282"/>
      <w:bookmarkEnd w:id="96"/>
      <w:bookmarkStart w:id="97" w:name="_Toc184312067"/>
      <w:bookmarkEnd w:id="97"/>
      <w:bookmarkStart w:id="98" w:name="_Toc184312132"/>
      <w:bookmarkEnd w:id="98"/>
      <w:bookmarkStart w:id="99" w:name="_Toc184308107"/>
      <w:bookmarkEnd w:id="99"/>
      <w:bookmarkStart w:id="100" w:name="_Toc184312087"/>
      <w:bookmarkEnd w:id="100"/>
      <w:bookmarkStart w:id="101" w:name="_Toc184310338"/>
      <w:bookmarkEnd w:id="101"/>
      <w:bookmarkStart w:id="102" w:name="_Toc184314426"/>
      <w:bookmarkEnd w:id="102"/>
      <w:bookmarkStart w:id="103" w:name="_Toc184310344"/>
      <w:bookmarkEnd w:id="103"/>
      <w:bookmarkStart w:id="104" w:name="_Toc184312124"/>
      <w:bookmarkEnd w:id="104"/>
      <w:bookmarkStart w:id="105" w:name="_Toc184313272"/>
      <w:bookmarkEnd w:id="105"/>
      <w:bookmarkStart w:id="106" w:name="_Toc184313259"/>
      <w:bookmarkEnd w:id="106"/>
      <w:bookmarkStart w:id="107" w:name="_Toc184313285"/>
      <w:bookmarkEnd w:id="107"/>
      <w:bookmarkStart w:id="108" w:name="_Toc184308048"/>
      <w:bookmarkEnd w:id="108"/>
      <w:bookmarkStart w:id="109" w:name="_Toc184308057"/>
      <w:bookmarkEnd w:id="109"/>
      <w:bookmarkStart w:id="110" w:name="_Toc184313271"/>
      <w:bookmarkEnd w:id="110"/>
      <w:bookmarkStart w:id="111" w:name="_Toc184308076"/>
      <w:bookmarkEnd w:id="111"/>
      <w:bookmarkStart w:id="112" w:name="_Toc184312090"/>
      <w:bookmarkEnd w:id="112"/>
      <w:bookmarkStart w:id="113" w:name="_Toc184314459"/>
      <w:bookmarkEnd w:id="113"/>
      <w:bookmarkStart w:id="114" w:name="_Toc184312121"/>
      <w:bookmarkEnd w:id="114"/>
      <w:bookmarkStart w:id="115" w:name="_Toc184313293"/>
      <w:bookmarkEnd w:id="115"/>
      <w:bookmarkStart w:id="116" w:name="_Toc184308089"/>
      <w:bookmarkEnd w:id="116"/>
      <w:bookmarkStart w:id="117" w:name="_Toc184312105"/>
      <w:bookmarkEnd w:id="117"/>
      <w:bookmarkStart w:id="118" w:name="_Toc184314478"/>
      <w:bookmarkEnd w:id="118"/>
      <w:bookmarkStart w:id="119" w:name="_Toc184314470"/>
      <w:bookmarkEnd w:id="119"/>
      <w:bookmarkStart w:id="120" w:name="_Toc184313286"/>
      <w:bookmarkEnd w:id="120"/>
      <w:bookmarkStart w:id="121" w:name="_Toc184314453"/>
      <w:bookmarkEnd w:id="121"/>
      <w:bookmarkStart w:id="122" w:name="_Toc184308040"/>
      <w:bookmarkEnd w:id="122"/>
      <w:bookmarkStart w:id="123" w:name="_Toc184313306"/>
      <w:bookmarkEnd w:id="123"/>
      <w:bookmarkStart w:id="124" w:name="_Toc184314446"/>
      <w:bookmarkEnd w:id="124"/>
      <w:bookmarkStart w:id="125" w:name="_Toc184310303"/>
      <w:bookmarkEnd w:id="125"/>
      <w:bookmarkStart w:id="126" w:name="_Toc184314449"/>
      <w:bookmarkEnd w:id="126"/>
      <w:bookmarkStart w:id="127" w:name="_Toc184313296"/>
      <w:bookmarkEnd w:id="127"/>
      <w:bookmarkStart w:id="128" w:name="_Toc184314413"/>
      <w:bookmarkEnd w:id="128"/>
      <w:bookmarkStart w:id="129" w:name="_Toc184314422"/>
      <w:bookmarkEnd w:id="129"/>
      <w:bookmarkStart w:id="130" w:name="_Toc184312084"/>
      <w:bookmarkEnd w:id="130"/>
      <w:bookmarkStart w:id="131" w:name="_Toc184310317"/>
      <w:bookmarkEnd w:id="131"/>
      <w:bookmarkStart w:id="132" w:name="_Toc184308079"/>
      <w:bookmarkEnd w:id="132"/>
      <w:bookmarkStart w:id="133" w:name="_Toc184312113"/>
      <w:bookmarkEnd w:id="133"/>
      <w:bookmarkStart w:id="134" w:name="_Toc184310279"/>
      <w:bookmarkEnd w:id="134"/>
      <w:bookmarkStart w:id="135" w:name="_Toc184310278"/>
      <w:bookmarkEnd w:id="135"/>
      <w:bookmarkStart w:id="136" w:name="_Toc184310275"/>
      <w:bookmarkEnd w:id="136"/>
      <w:bookmarkStart w:id="137" w:name="_Toc184308059"/>
      <w:bookmarkEnd w:id="137"/>
      <w:bookmarkStart w:id="138" w:name="_Toc184308094"/>
      <w:bookmarkEnd w:id="138"/>
      <w:bookmarkStart w:id="139" w:name="_Toc184308082"/>
      <w:bookmarkEnd w:id="139"/>
      <w:bookmarkStart w:id="140" w:name="_Toc184313277"/>
      <w:bookmarkEnd w:id="140"/>
      <w:bookmarkStart w:id="141" w:name="_Toc184313256"/>
      <w:bookmarkEnd w:id="141"/>
      <w:bookmarkStart w:id="142" w:name="_Toc184313298"/>
      <w:bookmarkEnd w:id="142"/>
      <w:bookmarkStart w:id="143" w:name="_Toc184308067"/>
      <w:bookmarkEnd w:id="143"/>
      <w:bookmarkStart w:id="144" w:name="_Toc184314444"/>
      <w:bookmarkEnd w:id="144"/>
      <w:bookmarkStart w:id="145" w:name="_Toc184313270"/>
      <w:bookmarkEnd w:id="145"/>
      <w:bookmarkStart w:id="146" w:name="_Toc184314416"/>
      <w:bookmarkEnd w:id="146"/>
      <w:bookmarkStart w:id="147" w:name="_Toc184308047"/>
      <w:bookmarkEnd w:id="147"/>
      <w:bookmarkStart w:id="148" w:name="_Toc184312116"/>
      <w:bookmarkEnd w:id="148"/>
      <w:bookmarkStart w:id="149" w:name="_Toc184313300"/>
      <w:bookmarkEnd w:id="149"/>
      <w:bookmarkStart w:id="150" w:name="_Toc184314458"/>
      <w:bookmarkEnd w:id="150"/>
      <w:bookmarkStart w:id="151" w:name="_Toc184308071"/>
      <w:bookmarkEnd w:id="151"/>
      <w:bookmarkStart w:id="152" w:name="_Toc184314466"/>
      <w:bookmarkEnd w:id="152"/>
      <w:bookmarkStart w:id="153" w:name="_Toc184313263"/>
      <w:bookmarkEnd w:id="153"/>
      <w:bookmarkStart w:id="154" w:name="_Toc184310293"/>
      <w:bookmarkEnd w:id="154"/>
      <w:bookmarkStart w:id="155" w:name="_Toc184312120"/>
      <w:bookmarkEnd w:id="155"/>
      <w:bookmarkStart w:id="156" w:name="_Toc184313290"/>
      <w:bookmarkEnd w:id="156"/>
      <w:bookmarkStart w:id="157" w:name="_Toc184310325"/>
      <w:bookmarkEnd w:id="157"/>
      <w:bookmarkStart w:id="158" w:name="_Toc184310283"/>
      <w:bookmarkEnd w:id="158"/>
      <w:bookmarkStart w:id="159" w:name="_Toc184313258"/>
      <w:bookmarkEnd w:id="159"/>
      <w:bookmarkStart w:id="160" w:name="_Toc184308065"/>
      <w:bookmarkEnd w:id="160"/>
      <w:bookmarkStart w:id="161" w:name="_Toc184313252"/>
      <w:bookmarkEnd w:id="161"/>
      <w:bookmarkStart w:id="162" w:name="_Toc184313266"/>
      <w:bookmarkEnd w:id="162"/>
      <w:bookmarkStart w:id="163" w:name="_Toc184308037"/>
      <w:bookmarkEnd w:id="163"/>
      <w:bookmarkStart w:id="164" w:name="_Toc184310342"/>
      <w:bookmarkEnd w:id="164"/>
      <w:bookmarkStart w:id="165" w:name="_Toc184313288"/>
      <w:bookmarkEnd w:id="165"/>
      <w:bookmarkStart w:id="166" w:name="_Toc184308043"/>
      <w:bookmarkEnd w:id="166"/>
      <w:bookmarkStart w:id="167" w:name="_Toc184313261"/>
      <w:bookmarkEnd w:id="167"/>
      <w:bookmarkStart w:id="168" w:name="_Toc184314420"/>
      <w:bookmarkEnd w:id="168"/>
      <w:bookmarkStart w:id="169" w:name="_Toc184314421"/>
      <w:bookmarkEnd w:id="169"/>
      <w:bookmarkStart w:id="170" w:name="_Toc184314468"/>
      <w:bookmarkEnd w:id="170"/>
      <w:bookmarkStart w:id="171" w:name="_Toc184314477"/>
      <w:bookmarkEnd w:id="171"/>
      <w:bookmarkStart w:id="172" w:name="_Toc184313308"/>
      <w:bookmarkEnd w:id="172"/>
      <w:bookmarkStart w:id="173" w:name="_Toc184310329"/>
      <w:bookmarkEnd w:id="173"/>
      <w:bookmarkStart w:id="174" w:name="_Toc184310284"/>
      <w:bookmarkEnd w:id="174"/>
      <w:bookmarkStart w:id="175" w:name="_Toc184312133"/>
      <w:bookmarkEnd w:id="175"/>
      <w:bookmarkStart w:id="176" w:name="_Toc184308062"/>
      <w:bookmarkEnd w:id="176"/>
      <w:bookmarkStart w:id="177" w:name="_Toc184313305"/>
      <w:bookmarkEnd w:id="177"/>
      <w:bookmarkStart w:id="178" w:name="_Toc184313247"/>
      <w:bookmarkEnd w:id="178"/>
      <w:bookmarkStart w:id="179" w:name="_Toc184308061"/>
      <w:bookmarkEnd w:id="179"/>
      <w:bookmarkStart w:id="180" w:name="_Toc184310281"/>
      <w:bookmarkEnd w:id="180"/>
      <w:bookmarkStart w:id="181" w:name="_Toc184312114"/>
      <w:bookmarkEnd w:id="181"/>
      <w:bookmarkStart w:id="182" w:name="_Toc184314464"/>
      <w:bookmarkEnd w:id="182"/>
      <w:bookmarkStart w:id="183" w:name="_Toc184314452"/>
      <w:bookmarkEnd w:id="183"/>
      <w:bookmarkStart w:id="184" w:name="_Toc184314423"/>
      <w:bookmarkEnd w:id="184"/>
      <w:bookmarkStart w:id="185" w:name="_Toc184308104"/>
      <w:bookmarkEnd w:id="185"/>
      <w:bookmarkStart w:id="186" w:name="_Toc184312103"/>
      <w:bookmarkEnd w:id="186"/>
      <w:bookmarkStart w:id="187" w:name="_Toc184312075"/>
      <w:bookmarkEnd w:id="187"/>
      <w:bookmarkStart w:id="188" w:name="_Toc184312070"/>
      <w:bookmarkEnd w:id="188"/>
      <w:bookmarkStart w:id="189" w:name="_Toc184314451"/>
      <w:bookmarkEnd w:id="189"/>
      <w:bookmarkStart w:id="190" w:name="_Toc184310310"/>
      <w:bookmarkEnd w:id="190"/>
      <w:bookmarkStart w:id="191" w:name="_Toc184310294"/>
      <w:bookmarkEnd w:id="191"/>
      <w:bookmarkStart w:id="192" w:name="_Toc184308086"/>
      <w:bookmarkEnd w:id="192"/>
      <w:bookmarkStart w:id="193" w:name="_Toc184314432"/>
      <w:bookmarkEnd w:id="193"/>
      <w:bookmarkStart w:id="194" w:name="_Toc184312127"/>
      <w:bookmarkEnd w:id="194"/>
      <w:bookmarkStart w:id="195" w:name="_Toc184314475"/>
      <w:bookmarkEnd w:id="195"/>
      <w:bookmarkStart w:id="196" w:name="_Toc184308039"/>
      <w:bookmarkEnd w:id="196"/>
      <w:bookmarkStart w:id="197" w:name="_Toc184310280"/>
      <w:bookmarkEnd w:id="197"/>
      <w:bookmarkStart w:id="198" w:name="_Toc184310295"/>
      <w:bookmarkEnd w:id="198"/>
      <w:bookmarkStart w:id="199" w:name="_Toc184310320"/>
      <w:bookmarkEnd w:id="199"/>
      <w:bookmarkStart w:id="200" w:name="_Toc184308105"/>
      <w:bookmarkEnd w:id="200"/>
      <w:bookmarkStart w:id="201" w:name="_Toc184310326"/>
      <w:bookmarkEnd w:id="201"/>
      <w:bookmarkStart w:id="202" w:name="_Toc184312068"/>
      <w:bookmarkEnd w:id="202"/>
      <w:bookmarkStart w:id="203" w:name="_Toc184314454"/>
      <w:bookmarkEnd w:id="203"/>
      <w:bookmarkStart w:id="204" w:name="_Toc184312072"/>
      <w:bookmarkEnd w:id="204"/>
      <w:bookmarkStart w:id="205" w:name="_Toc184312131"/>
      <w:bookmarkEnd w:id="205"/>
      <w:bookmarkStart w:id="206" w:name="_Toc184312095"/>
      <w:bookmarkEnd w:id="206"/>
      <w:bookmarkStart w:id="207" w:name="_Toc184314433"/>
      <w:bookmarkEnd w:id="207"/>
      <w:bookmarkStart w:id="208" w:name="_Toc184314438"/>
      <w:bookmarkEnd w:id="208"/>
      <w:bookmarkStart w:id="209" w:name="_Toc184310296"/>
      <w:bookmarkEnd w:id="209"/>
      <w:bookmarkStart w:id="210" w:name="_Toc184313249"/>
      <w:bookmarkEnd w:id="210"/>
      <w:bookmarkStart w:id="211" w:name="_Toc184310319"/>
      <w:bookmarkEnd w:id="211"/>
      <w:bookmarkStart w:id="212" w:name="_Toc184310276"/>
      <w:bookmarkEnd w:id="212"/>
      <w:bookmarkStart w:id="213" w:name="_Toc184314465"/>
      <w:bookmarkEnd w:id="213"/>
      <w:bookmarkStart w:id="214" w:name="_Toc184314441"/>
      <w:bookmarkEnd w:id="214"/>
      <w:bookmarkStart w:id="215" w:name="_Toc184310312"/>
      <w:bookmarkEnd w:id="215"/>
      <w:bookmarkStart w:id="216" w:name="_Toc184308073"/>
      <w:bookmarkEnd w:id="216"/>
      <w:bookmarkStart w:id="217" w:name="_Toc184314442"/>
      <w:bookmarkEnd w:id="217"/>
      <w:bookmarkStart w:id="218" w:name="_Toc184312123"/>
      <w:bookmarkEnd w:id="218"/>
      <w:bookmarkStart w:id="219" w:name="_Toc184314412"/>
      <w:bookmarkEnd w:id="219"/>
      <w:bookmarkStart w:id="220" w:name="_Toc184308097"/>
      <w:bookmarkEnd w:id="220"/>
      <w:bookmarkStart w:id="221" w:name="_Toc184313287"/>
      <w:bookmarkEnd w:id="221"/>
      <w:bookmarkStart w:id="222" w:name="_Toc184312109"/>
      <w:bookmarkEnd w:id="222"/>
      <w:bookmarkStart w:id="223" w:name="_Toc184310333"/>
      <w:bookmarkEnd w:id="223"/>
      <w:bookmarkStart w:id="224" w:name="_Toc184314445"/>
      <w:bookmarkEnd w:id="224"/>
      <w:bookmarkStart w:id="225" w:name="_Toc184312097"/>
      <w:bookmarkEnd w:id="225"/>
      <w:bookmarkStart w:id="226" w:name="_Toc184312110"/>
      <w:bookmarkEnd w:id="226"/>
      <w:bookmarkStart w:id="227" w:name="_Toc184310339"/>
      <w:bookmarkEnd w:id="227"/>
      <w:bookmarkStart w:id="228" w:name="_Toc184314448"/>
      <w:bookmarkEnd w:id="228"/>
      <w:bookmarkStart w:id="229" w:name="_Toc184312112"/>
      <w:bookmarkEnd w:id="229"/>
      <w:bookmarkStart w:id="230" w:name="_Toc184314476"/>
      <w:bookmarkEnd w:id="230"/>
      <w:bookmarkStart w:id="231" w:name="_Toc184308080"/>
      <w:bookmarkEnd w:id="231"/>
      <w:bookmarkStart w:id="232" w:name="_Toc184308051"/>
      <w:bookmarkEnd w:id="232"/>
      <w:bookmarkStart w:id="233" w:name="_Toc184312099"/>
      <w:bookmarkEnd w:id="233"/>
      <w:bookmarkStart w:id="234" w:name="_Toc184308095"/>
      <w:bookmarkEnd w:id="234"/>
      <w:bookmarkStart w:id="235" w:name="_Toc184313246"/>
      <w:bookmarkEnd w:id="235"/>
      <w:bookmarkStart w:id="236" w:name="_Toc184314479"/>
      <w:bookmarkEnd w:id="236"/>
      <w:bookmarkStart w:id="237" w:name="_Toc184312108"/>
      <w:bookmarkEnd w:id="237"/>
      <w:bookmarkStart w:id="238" w:name="_Toc184308054"/>
      <w:bookmarkEnd w:id="238"/>
      <w:bookmarkStart w:id="239" w:name="_Toc184313274"/>
      <w:bookmarkEnd w:id="239"/>
      <w:bookmarkStart w:id="240" w:name="_Toc184314473"/>
      <w:bookmarkEnd w:id="240"/>
      <w:bookmarkStart w:id="241" w:name="_Toc184314415"/>
      <w:bookmarkEnd w:id="241"/>
      <w:bookmarkStart w:id="242" w:name="_Toc184312126"/>
      <w:bookmarkEnd w:id="242"/>
      <w:bookmarkStart w:id="243" w:name="_Toc184308068"/>
      <w:bookmarkEnd w:id="243"/>
      <w:bookmarkStart w:id="244" w:name="_Toc184308083"/>
      <w:bookmarkEnd w:id="244"/>
      <w:bookmarkStart w:id="245" w:name="_Toc184312074"/>
      <w:bookmarkEnd w:id="245"/>
      <w:bookmarkStart w:id="246" w:name="_Toc184308064"/>
      <w:bookmarkEnd w:id="246"/>
      <w:bookmarkStart w:id="247" w:name="_Toc184313243"/>
      <w:bookmarkEnd w:id="247"/>
      <w:bookmarkStart w:id="248" w:name="_Toc184312139"/>
      <w:bookmarkEnd w:id="248"/>
      <w:bookmarkStart w:id="249" w:name="_Toc184312117"/>
      <w:bookmarkEnd w:id="249"/>
      <w:bookmarkStart w:id="250" w:name="_Toc184313260"/>
      <w:bookmarkEnd w:id="250"/>
      <w:bookmarkStart w:id="251" w:name="_Toc184308087"/>
      <w:bookmarkEnd w:id="251"/>
      <w:bookmarkStart w:id="252" w:name="_Toc184310302"/>
      <w:bookmarkEnd w:id="252"/>
      <w:bookmarkStart w:id="253" w:name="_Toc184308070"/>
      <w:bookmarkEnd w:id="253"/>
      <w:bookmarkStart w:id="254" w:name="_Toc184308066"/>
      <w:bookmarkEnd w:id="254"/>
      <w:bookmarkStart w:id="255" w:name="_Toc184313248"/>
      <w:bookmarkEnd w:id="255"/>
      <w:bookmarkStart w:id="256" w:name="_Toc184312073"/>
      <w:bookmarkEnd w:id="256"/>
      <w:bookmarkStart w:id="257" w:name="_Toc184313281"/>
      <w:bookmarkEnd w:id="257"/>
      <w:bookmarkStart w:id="258" w:name="_Toc184314424"/>
      <w:bookmarkEnd w:id="258"/>
      <w:bookmarkStart w:id="259" w:name="_Toc184314418"/>
      <w:bookmarkEnd w:id="259"/>
      <w:bookmarkStart w:id="260" w:name="_Toc184310334"/>
      <w:bookmarkEnd w:id="260"/>
      <w:bookmarkStart w:id="261" w:name="_Toc184314462"/>
      <w:bookmarkEnd w:id="261"/>
      <w:bookmarkStart w:id="262" w:name="_Toc184308045"/>
      <w:bookmarkEnd w:id="262"/>
      <w:bookmarkStart w:id="263" w:name="_Toc184308075"/>
      <w:bookmarkEnd w:id="263"/>
      <w:bookmarkStart w:id="264" w:name="_Toc184313239"/>
      <w:bookmarkEnd w:id="264"/>
      <w:bookmarkStart w:id="265" w:name="_Toc184310322"/>
      <w:bookmarkEnd w:id="265"/>
      <w:bookmarkStart w:id="266" w:name="_Toc184312107"/>
      <w:bookmarkEnd w:id="266"/>
      <w:bookmarkStart w:id="267" w:name="_Toc184313278"/>
      <w:bookmarkEnd w:id="267"/>
      <w:bookmarkStart w:id="268" w:name="_Toc184313244"/>
      <w:bookmarkEnd w:id="268"/>
      <w:bookmarkStart w:id="269" w:name="_Toc184312077"/>
      <w:bookmarkEnd w:id="269"/>
      <w:bookmarkStart w:id="270" w:name="_Toc184310331"/>
      <w:bookmarkEnd w:id="270"/>
      <w:bookmarkStart w:id="271" w:name="_Toc184310292"/>
      <w:bookmarkEnd w:id="271"/>
      <w:bookmarkStart w:id="272" w:name="_Toc184313250"/>
      <w:bookmarkEnd w:id="272"/>
      <w:bookmarkStart w:id="273" w:name="_Toc184310299"/>
      <w:bookmarkEnd w:id="273"/>
      <w:bookmarkStart w:id="274" w:name="_Toc184308099"/>
      <w:bookmarkEnd w:id="274"/>
      <w:bookmarkStart w:id="275" w:name="_Toc184308058"/>
      <w:bookmarkEnd w:id="275"/>
      <w:bookmarkStart w:id="276" w:name="_Toc184308063"/>
      <w:bookmarkEnd w:id="276"/>
      <w:bookmarkStart w:id="277" w:name="_Toc184313264"/>
      <w:bookmarkEnd w:id="277"/>
      <w:bookmarkStart w:id="278" w:name="_Toc184313257"/>
      <w:bookmarkEnd w:id="278"/>
      <w:bookmarkStart w:id="279" w:name="_Toc184308038"/>
      <w:bookmarkEnd w:id="279"/>
      <w:bookmarkStart w:id="280" w:name="_Toc184308090"/>
      <w:bookmarkEnd w:id="280"/>
      <w:bookmarkStart w:id="281" w:name="_Toc184308069"/>
      <w:bookmarkEnd w:id="281"/>
      <w:bookmarkStart w:id="282" w:name="_Toc184314417"/>
      <w:bookmarkEnd w:id="282"/>
      <w:bookmarkStart w:id="283" w:name="_Toc184310286"/>
      <w:bookmarkEnd w:id="283"/>
      <w:bookmarkStart w:id="284" w:name="_Toc184310311"/>
      <w:bookmarkEnd w:id="284"/>
      <w:bookmarkStart w:id="285" w:name="_Toc184314437"/>
      <w:bookmarkEnd w:id="285"/>
      <w:bookmarkStart w:id="286" w:name="_Toc184310274"/>
      <w:bookmarkEnd w:id="286"/>
      <w:bookmarkStart w:id="287" w:name="_Toc184310340"/>
      <w:bookmarkEnd w:id="287"/>
      <w:bookmarkStart w:id="288" w:name="_Toc184314450"/>
      <w:bookmarkEnd w:id="288"/>
      <w:bookmarkStart w:id="289" w:name="_Toc184310298"/>
      <w:bookmarkEnd w:id="289"/>
      <w:bookmarkStart w:id="290" w:name="_Toc184308102"/>
      <w:bookmarkEnd w:id="290"/>
      <w:bookmarkStart w:id="291" w:name="_Toc184314419"/>
      <w:bookmarkEnd w:id="291"/>
      <w:bookmarkStart w:id="292" w:name="_Toc184313273"/>
      <w:bookmarkEnd w:id="292"/>
      <w:bookmarkStart w:id="293" w:name="_Toc184308093"/>
      <w:bookmarkEnd w:id="293"/>
      <w:bookmarkStart w:id="294" w:name="_Toc184313282"/>
      <w:bookmarkEnd w:id="294"/>
      <w:bookmarkStart w:id="295" w:name="_Toc184314482"/>
      <w:bookmarkEnd w:id="295"/>
      <w:bookmarkStart w:id="296" w:name="_Toc184314431"/>
      <w:bookmarkEnd w:id="296"/>
      <w:bookmarkStart w:id="297" w:name="_Toc184312134"/>
      <w:bookmarkEnd w:id="297"/>
      <w:bookmarkStart w:id="298" w:name="_Toc184310321"/>
      <w:bookmarkEnd w:id="298"/>
      <w:bookmarkStart w:id="299" w:name="_Toc184308046"/>
      <w:bookmarkEnd w:id="299"/>
      <w:bookmarkStart w:id="300" w:name="_Toc184310300"/>
      <w:bookmarkEnd w:id="300"/>
      <w:bookmarkStart w:id="301" w:name="_Toc184313267"/>
      <w:bookmarkEnd w:id="301"/>
      <w:bookmarkStart w:id="302" w:name="_Toc184313299"/>
      <w:bookmarkEnd w:id="302"/>
      <w:bookmarkStart w:id="303" w:name="_Toc184308074"/>
      <w:bookmarkEnd w:id="303"/>
      <w:bookmarkStart w:id="304" w:name="_Toc184313254"/>
      <w:bookmarkEnd w:id="304"/>
      <w:bookmarkStart w:id="305" w:name="_Toc184313304"/>
      <w:bookmarkEnd w:id="305"/>
      <w:bookmarkStart w:id="306" w:name="_Toc184312129"/>
      <w:bookmarkEnd w:id="306"/>
      <w:bookmarkStart w:id="307" w:name="_Toc184308101"/>
      <w:bookmarkEnd w:id="307"/>
      <w:bookmarkStart w:id="308" w:name="_Toc184308044"/>
      <w:bookmarkEnd w:id="308"/>
      <w:bookmarkStart w:id="309" w:name="_Toc184310316"/>
      <w:bookmarkEnd w:id="309"/>
      <w:bookmarkStart w:id="310" w:name="_Toc184310306"/>
      <w:bookmarkEnd w:id="310"/>
      <w:bookmarkStart w:id="311" w:name="_Toc184312096"/>
      <w:bookmarkEnd w:id="311"/>
      <w:bookmarkStart w:id="312" w:name="_Toc184314428"/>
      <w:bookmarkEnd w:id="312"/>
      <w:bookmarkStart w:id="313" w:name="_Toc184313310"/>
      <w:bookmarkEnd w:id="313"/>
      <w:bookmarkStart w:id="314" w:name="_Toc184314443"/>
      <w:bookmarkEnd w:id="314"/>
      <w:bookmarkStart w:id="315" w:name="_Toc184313240"/>
      <w:bookmarkEnd w:id="315"/>
      <w:bookmarkStart w:id="316" w:name="_Toc184314434"/>
      <w:bookmarkEnd w:id="316"/>
      <w:bookmarkStart w:id="317" w:name="_Toc184312136"/>
      <w:bookmarkEnd w:id="317"/>
      <w:bookmarkStart w:id="318" w:name="_Toc184313279"/>
      <w:bookmarkEnd w:id="318"/>
      <w:bookmarkStart w:id="319" w:name="_Toc184314427"/>
      <w:bookmarkEnd w:id="319"/>
      <w:bookmarkStart w:id="320" w:name="_Toc184313294"/>
      <w:bookmarkEnd w:id="320"/>
      <w:bookmarkStart w:id="321" w:name="_Toc184313295"/>
      <w:bookmarkEnd w:id="321"/>
      <w:bookmarkStart w:id="322" w:name="_Toc184312135"/>
      <w:bookmarkEnd w:id="322"/>
      <w:bookmarkStart w:id="323" w:name="_Toc184310304"/>
      <w:bookmarkEnd w:id="323"/>
      <w:bookmarkStart w:id="324" w:name="_Toc184314472"/>
      <w:bookmarkEnd w:id="324"/>
      <w:bookmarkStart w:id="325" w:name="_Toc184310323"/>
      <w:bookmarkEnd w:id="325"/>
      <w:bookmarkStart w:id="326" w:name="_Toc184308056"/>
      <w:bookmarkEnd w:id="326"/>
      <w:bookmarkStart w:id="327" w:name="_Toc184308092"/>
      <w:bookmarkEnd w:id="327"/>
      <w:bookmarkStart w:id="328" w:name="_Toc184308103"/>
      <w:bookmarkEnd w:id="328"/>
      <w:bookmarkStart w:id="329" w:name="_Toc184312093"/>
      <w:bookmarkEnd w:id="329"/>
      <w:bookmarkStart w:id="330" w:name="_Toc184308091"/>
      <w:bookmarkEnd w:id="330"/>
      <w:bookmarkStart w:id="331" w:name="_Toc184308055"/>
      <w:bookmarkEnd w:id="331"/>
      <w:bookmarkStart w:id="332" w:name="_Toc184308081"/>
      <w:bookmarkEnd w:id="332"/>
      <w:bookmarkStart w:id="333" w:name="_Toc184308096"/>
      <w:bookmarkEnd w:id="333"/>
      <w:bookmarkStart w:id="334" w:name="_Toc184314410"/>
      <w:bookmarkEnd w:id="334"/>
      <w:bookmarkStart w:id="335" w:name="_Toc184308072"/>
      <w:bookmarkEnd w:id="335"/>
      <w:bookmarkStart w:id="336" w:name="_Toc184312125"/>
      <w:bookmarkEnd w:id="336"/>
      <w:bookmarkStart w:id="337" w:name="_Toc184312083"/>
      <w:bookmarkEnd w:id="337"/>
      <w:bookmarkStart w:id="338" w:name="_Toc184308053"/>
      <w:bookmarkEnd w:id="338"/>
      <w:bookmarkStart w:id="339" w:name="_Toc184314474"/>
      <w:bookmarkEnd w:id="339"/>
      <w:bookmarkStart w:id="340" w:name="_Toc184312085"/>
      <w:bookmarkEnd w:id="340"/>
      <w:bookmarkStart w:id="341" w:name="_Toc184310332"/>
      <w:bookmarkEnd w:id="341"/>
      <w:bookmarkStart w:id="342" w:name="_Toc184313284"/>
      <w:bookmarkEnd w:id="342"/>
      <w:bookmarkStart w:id="343" w:name="_Toc184310289"/>
      <w:bookmarkEnd w:id="343"/>
      <w:bookmarkStart w:id="344" w:name="_Toc184314471"/>
      <w:bookmarkEnd w:id="344"/>
      <w:bookmarkStart w:id="345" w:name="_Toc184312076"/>
      <w:bookmarkEnd w:id="345"/>
      <w:bookmarkStart w:id="346" w:name="_Toc184313268"/>
      <w:bookmarkEnd w:id="346"/>
      <w:bookmarkStart w:id="347" w:name="_Toc184313301"/>
      <w:bookmarkEnd w:id="347"/>
      <w:bookmarkStart w:id="348" w:name="_Toc184314425"/>
      <w:bookmarkEnd w:id="348"/>
      <w:bookmarkStart w:id="349" w:name="_Toc184310343"/>
      <w:bookmarkEnd w:id="349"/>
      <w:bookmarkStart w:id="350" w:name="_Toc184310324"/>
      <w:bookmarkEnd w:id="350"/>
      <w:bookmarkStart w:id="351" w:name="_Toc184314480"/>
      <w:bookmarkEnd w:id="351"/>
      <w:bookmarkStart w:id="352" w:name="_Toc184310277"/>
      <w:bookmarkEnd w:id="352"/>
      <w:bookmarkStart w:id="353" w:name="_Toc184314455"/>
      <w:bookmarkEnd w:id="353"/>
      <w:bookmarkStart w:id="354" w:name="_Toc184313276"/>
      <w:bookmarkEnd w:id="354"/>
      <w:bookmarkStart w:id="355" w:name="_Toc184312130"/>
      <w:bookmarkEnd w:id="355"/>
      <w:bookmarkStart w:id="356" w:name="_Toc184308060"/>
      <w:bookmarkEnd w:id="356"/>
      <w:bookmarkStart w:id="357" w:name="_Toc184313245"/>
      <w:bookmarkEnd w:id="357"/>
      <w:bookmarkStart w:id="358" w:name="_Toc184313265"/>
      <w:bookmarkEnd w:id="358"/>
      <w:bookmarkStart w:id="359" w:name="_Toc184312088"/>
      <w:bookmarkEnd w:id="359"/>
      <w:bookmarkStart w:id="360" w:name="_Toc184312137"/>
      <w:bookmarkEnd w:id="360"/>
      <w:bookmarkStart w:id="361" w:name="_Toc184310290"/>
      <w:bookmarkEnd w:id="361"/>
      <w:bookmarkStart w:id="362" w:name="_Toc184308078"/>
      <w:bookmarkEnd w:id="362"/>
      <w:bookmarkStart w:id="363" w:name="_Toc184313309"/>
      <w:bookmarkEnd w:id="363"/>
      <w:bookmarkStart w:id="364" w:name="_Toc184310341"/>
      <w:bookmarkEnd w:id="364"/>
      <w:bookmarkStart w:id="365" w:name="_Toc184314456"/>
      <w:bookmarkEnd w:id="365"/>
      <w:bookmarkStart w:id="366" w:name="_Toc184313275"/>
      <w:bookmarkEnd w:id="366"/>
      <w:bookmarkStart w:id="367" w:name="_Toc184313269"/>
      <w:bookmarkEnd w:id="367"/>
      <w:bookmarkStart w:id="368" w:name="_Toc184308041"/>
      <w:bookmarkEnd w:id="368"/>
      <w:bookmarkStart w:id="369" w:name="_Toc184314460"/>
      <w:bookmarkEnd w:id="369"/>
      <w:bookmarkStart w:id="370" w:name="_Toc184310337"/>
      <w:bookmarkEnd w:id="370"/>
      <w:bookmarkStart w:id="371" w:name="_Toc184312101"/>
      <w:bookmarkEnd w:id="371"/>
      <w:bookmarkStart w:id="372" w:name="_Toc184313302"/>
      <w:bookmarkEnd w:id="372"/>
      <w:bookmarkStart w:id="373" w:name="_Toc184310327"/>
      <w:bookmarkEnd w:id="373"/>
      <w:bookmarkStart w:id="374" w:name="_Toc184312104"/>
      <w:bookmarkEnd w:id="374"/>
      <w:bookmarkStart w:id="375" w:name="_Toc184313307"/>
      <w:bookmarkEnd w:id="375"/>
      <w:bookmarkStart w:id="376" w:name="_Toc184308106"/>
      <w:bookmarkEnd w:id="376"/>
      <w:bookmarkStart w:id="377" w:name="_Toc184312128"/>
      <w:bookmarkEnd w:id="377"/>
      <w:bookmarkStart w:id="378" w:name="_Toc184308049"/>
      <w:bookmarkEnd w:id="378"/>
      <w:bookmarkStart w:id="379" w:name="_Toc184308077"/>
      <w:bookmarkEnd w:id="379"/>
      <w:bookmarkStart w:id="380" w:name="_Toc184313241"/>
      <w:bookmarkEnd w:id="380"/>
      <w:bookmarkStart w:id="381" w:name="_Toc184308085"/>
      <w:bookmarkEnd w:id="381"/>
      <w:bookmarkStart w:id="382" w:name="_Toc184312106"/>
      <w:bookmarkEnd w:id="382"/>
      <w:bookmarkStart w:id="383" w:name="_Toc184312100"/>
      <w:bookmarkEnd w:id="383"/>
      <w:bookmarkStart w:id="384" w:name="_Toc184310336"/>
      <w:bookmarkEnd w:id="384"/>
      <w:bookmarkStart w:id="385" w:name="_Toc184314429"/>
      <w:bookmarkEnd w:id="385"/>
      <w:bookmarkStart w:id="386" w:name="_Toc184313292"/>
      <w:bookmarkEnd w:id="386"/>
      <w:bookmarkStart w:id="387" w:name="_Toc184308042"/>
      <w:bookmarkEnd w:id="387"/>
      <w:bookmarkStart w:id="388" w:name="_Toc184312091"/>
      <w:bookmarkEnd w:id="388"/>
      <w:bookmarkStart w:id="389" w:name="_Toc184313303"/>
      <w:bookmarkEnd w:id="389"/>
      <w:bookmarkStart w:id="390" w:name="_Toc184312102"/>
      <w:bookmarkEnd w:id="390"/>
      <w:bookmarkStart w:id="391" w:name="_Toc184312098"/>
      <w:bookmarkEnd w:id="391"/>
      <w:bookmarkStart w:id="392" w:name="_Toc184312094"/>
      <w:bookmarkEnd w:id="392"/>
      <w:r>
        <w:rPr>
          <w:rFonts w:hint="eastAsia" w:ascii="仿宋_GB2312" w:hAnsi="仿宋_GB2312" w:eastAsia="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评标办法</w:t>
      </w:r>
    </w:p>
    <w:p w14:paraId="78CA1CC7">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35"/>
        <w:gridCol w:w="4655"/>
        <w:gridCol w:w="625"/>
        <w:gridCol w:w="821"/>
        <w:gridCol w:w="1440"/>
      </w:tblGrid>
      <w:tr w14:paraId="44E0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246AA67A">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类别</w:t>
            </w:r>
          </w:p>
        </w:tc>
        <w:tc>
          <w:tcPr>
            <w:tcW w:w="635" w:type="dxa"/>
            <w:tcBorders>
              <w:top w:val="single" w:color="auto" w:sz="4" w:space="0"/>
              <w:left w:val="single" w:color="auto" w:sz="4" w:space="0"/>
              <w:bottom w:val="single" w:color="auto" w:sz="4" w:space="0"/>
              <w:right w:val="single" w:color="auto" w:sz="4" w:space="0"/>
            </w:tcBorders>
            <w:noWrap w:val="0"/>
            <w:vAlign w:val="center"/>
          </w:tcPr>
          <w:p w14:paraId="4A7811AF">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序号</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11689C35">
            <w:pPr>
              <w:jc w:val="cente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评分标准</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49A69B3C">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权重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4540827B">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42E0726">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投标文件中评标标准相应的商务技术资料目录*</w:t>
            </w:r>
          </w:p>
        </w:tc>
      </w:tr>
      <w:tr w14:paraId="2929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85" w:type="dxa"/>
            <w:vMerge w:val="restart"/>
            <w:tcBorders>
              <w:left w:val="single" w:color="auto" w:sz="4" w:space="0"/>
              <w:right w:val="single" w:color="auto" w:sz="4" w:space="0"/>
            </w:tcBorders>
            <w:noWrap w:val="0"/>
            <w:vAlign w:val="center"/>
          </w:tcPr>
          <w:p w14:paraId="095AD2F8">
            <w:pPr>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商务部分（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22</w:t>
            </w:r>
            <w:r>
              <w:rPr>
                <w:rFonts w:hint="eastAsia" w:ascii="仿宋_GB2312" w:hAnsi="仿宋_GB2312" w:eastAsia="仿宋_GB2312" w:cs="仿宋_GB2312"/>
                <w:color w:val="000000" w:themeColor="text1"/>
                <w:szCs w:val="21"/>
                <w:highlight w:val="none"/>
                <w14:textFill>
                  <w14:solidFill>
                    <w14:schemeClr w14:val="tx1"/>
                  </w14:solidFill>
                </w14:textFill>
              </w:rPr>
              <w:t>分）</w:t>
            </w:r>
          </w:p>
        </w:tc>
        <w:tc>
          <w:tcPr>
            <w:tcW w:w="635" w:type="dxa"/>
            <w:tcBorders>
              <w:left w:val="single" w:color="auto" w:sz="4" w:space="0"/>
              <w:right w:val="single" w:color="auto" w:sz="4" w:space="0"/>
            </w:tcBorders>
            <w:noWrap w:val="0"/>
            <w:vAlign w:val="center"/>
          </w:tcPr>
          <w:p w14:paraId="3E05EDE7">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21FF8F10">
            <w:pPr>
              <w:spacing w:line="4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根据投标人提供的类似案例业绩,每提供一份采购合同，得1分，最高得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p>
          <w:p w14:paraId="165D1BC3">
            <w:pPr>
              <w:topLinePunct/>
              <w:spacing w:line="440" w:lineRule="exact"/>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注：1.合同签订时间为 202</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b/>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szCs w:val="24"/>
                <w:highlight w:val="none"/>
                <w14:textFill>
                  <w14:solidFill>
                    <w14:schemeClr w14:val="tx1"/>
                  </w14:solidFill>
                </w14:textFill>
              </w:rPr>
              <w:t>月1日（含）至开标截止时间的时间段内，合同由投标人签订，否则不得分。</w:t>
            </w:r>
          </w:p>
          <w:p w14:paraId="3D11343A">
            <w:pPr>
              <w:pStyle w:val="2"/>
              <w:spacing w:line="440" w:lineRule="exact"/>
              <w:ind w:firstLine="0" w:firstLineChars="0"/>
              <w:jc w:val="left"/>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2.类似案例业绩是指合同内容必须包含</w:t>
            </w:r>
            <w:r>
              <w:rPr>
                <w:rFonts w:hint="eastAsia" w:ascii="仿宋_GB2312" w:hAnsi="仿宋_GB2312" w:eastAsia="仿宋_GB2312" w:cs="仿宋_GB2312"/>
                <w:b/>
                <w:color w:val="000000" w:themeColor="text1"/>
                <w:sz w:val="24"/>
                <w:highlight w:val="none"/>
                <w:lang w:eastAsia="zh-CN"/>
                <w14:textFill>
                  <w14:solidFill>
                    <w14:schemeClr w14:val="tx1"/>
                  </w14:solidFill>
                </w14:textFill>
              </w:rPr>
              <w:t>办公台式</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电脑</w:t>
            </w:r>
            <w:r>
              <w:rPr>
                <w:rFonts w:hint="eastAsia" w:ascii="仿宋_GB2312" w:hAnsi="仿宋_GB2312" w:eastAsia="仿宋_GB2312" w:cs="仿宋_GB2312"/>
                <w:b/>
                <w:color w:val="000000" w:themeColor="text1"/>
                <w:szCs w:val="24"/>
                <w:highlight w:val="none"/>
                <w14:textFill>
                  <w14:solidFill>
                    <w14:schemeClr w14:val="tx1"/>
                  </w14:solidFill>
                </w14:textFill>
              </w:rPr>
              <w:t>，否则不得分。</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644E681F">
            <w:pPr>
              <w:ind w:firstLine="218" w:firstLineChars="100"/>
              <w:outlineLvl w:val="0"/>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3</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7489CE54">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08CD9617">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1956B03C">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72F3298">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45A4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85" w:type="dxa"/>
            <w:vMerge w:val="continue"/>
            <w:tcBorders>
              <w:left w:val="single" w:color="auto" w:sz="4" w:space="0"/>
              <w:right w:val="single" w:color="auto" w:sz="4" w:space="0"/>
            </w:tcBorders>
            <w:noWrap w:val="0"/>
            <w:vAlign w:val="center"/>
          </w:tcPr>
          <w:p w14:paraId="1BD6BFDE">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40DC7873">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31A567ED">
            <w:pPr>
              <w:pStyle w:val="4"/>
              <w:spacing w:before="0" w:after="0" w:line="440" w:lineRule="exact"/>
              <w:rPr>
                <w:rFonts w:hint="eastAsia" w:ascii="仿宋_GB2312" w:hAnsi="仿宋_GB2312" w:eastAsia="仿宋_GB2312" w:cs="仿宋_GB2312"/>
                <w:b w:val="0"/>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2"/>
                <w:sz w:val="24"/>
                <w:szCs w:val="24"/>
                <w:highlight w:val="none"/>
                <w:lang w:val="en-US" w:eastAsia="zh-CN" w:bidi="ar-SA"/>
                <w14:textFill>
                  <w14:solidFill>
                    <w14:schemeClr w14:val="tx1"/>
                  </w14:solidFill>
                </w14:textFill>
              </w:rPr>
              <w:t>投标人项拟派目团队成员具有人社部门出具的系统系统集成项目管理工程师证书的，得2分。</w:t>
            </w:r>
          </w:p>
          <w:p w14:paraId="4789953D">
            <w:pPr>
              <w:pStyle w:val="4"/>
              <w:spacing w:before="0" w:after="0" w:line="440" w:lineRule="exact"/>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 投标人应提供政府部门（或政府部门授权的相关部门）颁发的证书及上述人员在本单位的社保证明（</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2026年4月、5月、6月</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7月</w:t>
            </w:r>
            <w:r>
              <w:rPr>
                <w:rFonts w:hint="eastAsia" w:ascii="仿宋_GB2312" w:hAnsi="仿宋_GB2312" w:eastAsia="仿宋_GB2312" w:cs="仿宋_GB2312"/>
                <w:color w:val="000000" w:themeColor="text1"/>
                <w:sz w:val="24"/>
                <w:szCs w:val="24"/>
                <w:highlight w:val="none"/>
                <w:lang w:val="zh-TW"/>
                <w14:textFill>
                  <w14:solidFill>
                    <w14:schemeClr w14:val="tx1"/>
                  </w14:solidFill>
                </w14:textFill>
              </w:rPr>
              <w:t>中的任意一个月</w:t>
            </w:r>
            <w:r>
              <w:rPr>
                <w:rFonts w:hint="eastAsia" w:ascii="仿宋_GB2312" w:hAnsi="仿宋_GB2312" w:eastAsia="仿宋_GB2312" w:cs="仿宋_GB2312"/>
                <w:color w:val="000000" w:themeColor="text1"/>
                <w:sz w:val="24"/>
                <w:szCs w:val="24"/>
                <w:highlight w:val="none"/>
                <w14:textFill>
                  <w14:solidFill>
                    <w14:schemeClr w14:val="tx1"/>
                  </w14:solidFill>
                </w14:textFill>
              </w:rPr>
              <w:t>），否则不得分。</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2ACF4A94">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2</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38BBA3CB">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92FD182">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6FD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85" w:type="dxa"/>
            <w:vMerge w:val="continue"/>
            <w:tcBorders>
              <w:left w:val="single" w:color="auto" w:sz="4" w:space="0"/>
              <w:right w:val="single" w:color="auto" w:sz="4" w:space="0"/>
            </w:tcBorders>
            <w:noWrap w:val="0"/>
            <w:vAlign w:val="center"/>
          </w:tcPr>
          <w:p w14:paraId="36243CDC">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BC47BBB">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7CA07D">
            <w:pPr>
              <w:pStyle w:val="2"/>
              <w:spacing w:line="440" w:lineRule="exact"/>
              <w:ind w:firstLine="0"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themeColor="text1"/>
                <w:szCs w:val="24"/>
                <w:highlight w:val="none"/>
                <w14:textFill>
                  <w14:solidFill>
                    <w14:schemeClr w14:val="tx1"/>
                  </w14:solidFill>
                </w14:textFill>
              </w:rPr>
              <w:t>根据投标人为本项目提供的售后服务方案包括</w:t>
            </w:r>
            <w:r>
              <w:rPr>
                <w:rFonts w:hint="eastAsia" w:ascii="仿宋_GB2312" w:hAnsi="仿宋_GB2312" w:eastAsia="仿宋_GB2312" w:cs="仿宋_GB2312"/>
                <w:color w:val="auto"/>
                <w:sz w:val="24"/>
                <w:szCs w:val="24"/>
                <w:highlight w:val="none"/>
              </w:rPr>
              <w:t>完整的售后服务体系、便利的服务机构、熟练的维修技术力量、整体响应速度、日常维护方案等情况打分，</w:t>
            </w:r>
            <w:r>
              <w:rPr>
                <w:rFonts w:hint="eastAsia" w:ascii="仿宋_GB2312" w:hAnsi="仿宋_GB2312" w:eastAsia="仿宋_GB2312" w:cs="仿宋_GB2312"/>
                <w:color w:val="000000" w:themeColor="text1"/>
                <w:szCs w:val="24"/>
                <w:highlight w:val="none"/>
                <w14:textFill>
                  <w14:solidFill>
                    <w14:schemeClr w14:val="tx1"/>
                  </w14:solidFill>
                </w14:textFill>
              </w:rPr>
              <w:t>最多得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Cs w:val="24"/>
                <w:highlight w:val="none"/>
                <w14:textFill>
                  <w14:solidFill>
                    <w14:schemeClr w14:val="tx1"/>
                  </w14:solidFill>
                </w14:textFill>
              </w:rPr>
              <w:t>分。</w:t>
            </w:r>
          </w:p>
          <w:p w14:paraId="6B6F8042">
            <w:pPr>
              <w:pStyle w:val="2"/>
              <w:spacing w:line="440" w:lineRule="exact"/>
              <w:ind w:firstLine="0" w:firstLineChars="0"/>
              <w:jc w:val="left"/>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以上每点，描述完整详细且与采购人实际需求完全契合的</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14:paraId="2EE616B7">
            <w:pPr>
              <w:pStyle w:val="2"/>
              <w:spacing w:line="440" w:lineRule="exact"/>
              <w:ind w:firstLine="0" w:firstLineChars="0"/>
              <w:jc w:val="left"/>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描述较详细完整或与采购人实际需求部分符合的</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14:paraId="3239C1F7">
            <w:pPr>
              <w:pStyle w:val="2"/>
              <w:spacing w:line="440" w:lineRule="exact"/>
              <w:ind w:firstLine="0" w:firstLineChars="0"/>
              <w:jc w:val="lef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未提供或完全不符合采购人需求的</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得0分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tc>
        <w:tc>
          <w:tcPr>
            <w:tcW w:w="6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7A93C0">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strike w:val="0"/>
                <w:dstrike w:val="0"/>
                <w:color w:val="000000" w:themeColor="text1"/>
                <w:spacing w:val="4"/>
                <w:szCs w:val="21"/>
                <w:highlight w:val="none"/>
                <w:lang w:val="en-US" w:eastAsia="zh-CN"/>
                <w14:textFill>
                  <w14:solidFill>
                    <w14:schemeClr w14:val="tx1"/>
                  </w14:solidFill>
                </w14:textFill>
              </w:rPr>
              <w:t>10</w:t>
            </w:r>
          </w:p>
        </w:tc>
        <w:tc>
          <w:tcPr>
            <w:tcW w:w="8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2AF001">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44A064D2">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059D49FD">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0D7AE53">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7675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85" w:type="dxa"/>
            <w:vMerge w:val="continue"/>
            <w:tcBorders>
              <w:left w:val="single" w:color="auto" w:sz="4" w:space="0"/>
              <w:right w:val="single" w:color="auto" w:sz="4" w:space="0"/>
            </w:tcBorders>
            <w:noWrap w:val="0"/>
            <w:vAlign w:val="center"/>
          </w:tcPr>
          <w:p w14:paraId="037A4F3E">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111DEADD">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0D79EA">
            <w:pPr>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根据投标人对本项目整体质保承诺打分，整体质保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年的，得2分；整体质保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年的，得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年的，得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整体质保</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及以上</w:t>
            </w:r>
            <w:r>
              <w:rPr>
                <w:rFonts w:hint="eastAsia" w:ascii="仿宋_GB2312" w:hAnsi="仿宋_GB2312" w:eastAsia="仿宋_GB2312" w:cs="仿宋_GB2312"/>
                <w:color w:val="000000" w:themeColor="text1"/>
                <w:sz w:val="24"/>
                <w:szCs w:val="24"/>
                <w:highlight w:val="none"/>
                <w14:textFill>
                  <w14:solidFill>
                    <w14:schemeClr w14:val="tx1"/>
                  </w14:solidFill>
                </w14:textFill>
              </w:rPr>
              <w:t>的，得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分。投标人提供承诺函，格式自拟，未提供的不得分。</w:t>
            </w:r>
          </w:p>
          <w:p w14:paraId="195FB604">
            <w:pPr>
              <w:pStyle w:val="2"/>
              <w:spacing w:line="440" w:lineRule="exact"/>
              <w:ind w:firstLine="0" w:firstLineChars="0"/>
              <w:jc w:val="left"/>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注:原厂质保期高于投标人质保承诺的按原厂执行。</w:t>
            </w:r>
          </w:p>
        </w:tc>
        <w:tc>
          <w:tcPr>
            <w:tcW w:w="6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765FE3">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28130514">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441FDD8E">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25B1826C">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p w14:paraId="59629856">
            <w:pPr>
              <w:jc w:val="center"/>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5</w:t>
            </w:r>
          </w:p>
        </w:tc>
        <w:tc>
          <w:tcPr>
            <w:tcW w:w="8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AA10CE1">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1925B76B">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603F5B0A">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4DB2AA8E">
            <w:pPr>
              <w:pStyle w:val="2"/>
              <w:rPr>
                <w:rFonts w:hint="eastAsia"/>
              </w:rPr>
            </w:pPr>
          </w:p>
          <w:p w14:paraId="2E53D1CE">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0F8DACE6">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2A2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885" w:type="dxa"/>
            <w:vMerge w:val="continue"/>
            <w:tcBorders>
              <w:left w:val="single" w:color="auto" w:sz="4" w:space="0"/>
              <w:right w:val="single" w:color="auto" w:sz="4" w:space="0"/>
            </w:tcBorders>
            <w:noWrap w:val="0"/>
            <w:vAlign w:val="center"/>
          </w:tcPr>
          <w:p w14:paraId="2C0495AC">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E2D17BA">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1C8AEA">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提供所投</w:t>
            </w:r>
            <w:r>
              <w:rPr>
                <w:rFonts w:hint="eastAsia" w:ascii="仿宋_GB2312" w:hAnsi="仿宋_GB2312" w:eastAsia="仿宋_GB2312" w:cs="仿宋_GB2312"/>
                <w:color w:val="auto"/>
                <w:kern w:val="2"/>
                <w:sz w:val="24"/>
                <w:szCs w:val="24"/>
                <w:highlight w:val="none"/>
                <w:lang w:val="en-US" w:eastAsia="zh-CN" w:bidi="ar-SA"/>
              </w:rPr>
              <w:t>办公台式电脑、办公台式电脑显示器有效</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期内的环境产品认证证书的，得2分。</w:t>
            </w:r>
          </w:p>
          <w:p w14:paraId="6E50225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注：出具机构须在国家市场监督管理总局公布的《参与实施政府采购环境标志产品认证机构名录》内。</w:t>
            </w:r>
          </w:p>
        </w:tc>
        <w:tc>
          <w:tcPr>
            <w:tcW w:w="6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E7EFE6">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p>
        </w:tc>
        <w:tc>
          <w:tcPr>
            <w:tcW w:w="82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46DCC88">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20231624">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7DA2E591">
            <w:pPr>
              <w:jc w:val="center"/>
              <w:rPr>
                <w:rFonts w:hint="eastAsia" w:ascii="仿宋_GB2312" w:hAnsi="仿宋_GB2312" w:eastAsia="仿宋_GB2312" w:cs="仿宋_GB2312"/>
                <w:b/>
                <w:color w:val="000000" w:themeColor="text1"/>
                <w:spacing w:val="4"/>
                <w:kern w:val="2"/>
                <w:sz w:val="21"/>
                <w:szCs w:val="21"/>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5763ACCB">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5B94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885" w:type="dxa"/>
            <w:vMerge w:val="restart"/>
            <w:tcBorders>
              <w:left w:val="single" w:color="auto" w:sz="4" w:space="0"/>
              <w:right w:val="single" w:color="auto" w:sz="4" w:space="0"/>
            </w:tcBorders>
            <w:noWrap w:val="0"/>
            <w:vAlign w:val="center"/>
          </w:tcPr>
          <w:p w14:paraId="7A859323">
            <w:pP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技术部分（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48</w:t>
            </w:r>
            <w:r>
              <w:rPr>
                <w:rFonts w:hint="eastAsia" w:ascii="仿宋_GB2312" w:hAnsi="仿宋_GB2312" w:eastAsia="仿宋_GB2312" w:cs="仿宋_GB2312"/>
                <w:color w:val="000000" w:themeColor="text1"/>
                <w:szCs w:val="21"/>
                <w:highlight w:val="none"/>
                <w14:textFill>
                  <w14:solidFill>
                    <w14:schemeClr w14:val="tx1"/>
                  </w14:solidFill>
                </w14:textFill>
              </w:rPr>
              <w:t>）</w:t>
            </w:r>
          </w:p>
        </w:tc>
        <w:tc>
          <w:tcPr>
            <w:tcW w:w="635" w:type="dxa"/>
            <w:tcBorders>
              <w:left w:val="single" w:color="auto" w:sz="4" w:space="0"/>
              <w:right w:val="single" w:color="auto" w:sz="4" w:space="0"/>
            </w:tcBorders>
            <w:noWrap w:val="0"/>
            <w:vAlign w:val="center"/>
          </w:tcPr>
          <w:p w14:paraId="22233B56">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4655" w:type="dxa"/>
            <w:tcBorders>
              <w:top w:val="single" w:color="auto" w:sz="4" w:space="0"/>
              <w:left w:val="single" w:color="auto" w:sz="4" w:space="0"/>
              <w:right w:val="single" w:color="auto" w:sz="4" w:space="0"/>
            </w:tcBorders>
            <w:noWrap w:val="0"/>
            <w:vAlign w:val="center"/>
          </w:tcPr>
          <w:p w14:paraId="00DFC5F1">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根据投标人的投标文件是否满足本次招标文件第三部分采购需求中标注“△”的技术参数要求打分，标注“△”的技术要求共</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Cs w:val="24"/>
                <w:highlight w:val="none"/>
                <w14:textFill>
                  <w14:solidFill>
                    <w14:schemeClr w14:val="tx1"/>
                  </w14:solidFill>
                </w14:textFill>
              </w:rPr>
              <w:t>项</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Cs w:val="24"/>
                <w:highlight w:val="none"/>
                <w14:textFill>
                  <w14:solidFill>
                    <w14:schemeClr w14:val="tx1"/>
                  </w14:solidFill>
                </w14:textFill>
              </w:rPr>
              <w:t>分，负偏离的每项扣</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分，扣光为止。</w:t>
            </w:r>
          </w:p>
          <w:p w14:paraId="58AB8346">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注：投标人未按要求提供相关证明的，视作不符合要求，该项不得分。</w:t>
            </w:r>
          </w:p>
        </w:tc>
        <w:tc>
          <w:tcPr>
            <w:tcW w:w="625" w:type="dxa"/>
            <w:tcBorders>
              <w:top w:val="single" w:color="auto" w:sz="4" w:space="0"/>
              <w:left w:val="single" w:color="auto" w:sz="4" w:space="0"/>
              <w:right w:val="single" w:color="auto" w:sz="4" w:space="0"/>
            </w:tcBorders>
            <w:noWrap w:val="0"/>
            <w:vAlign w:val="center"/>
          </w:tcPr>
          <w:p w14:paraId="76A6961C">
            <w:pPr>
              <w:jc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w:t>
            </w:r>
          </w:p>
        </w:tc>
        <w:tc>
          <w:tcPr>
            <w:tcW w:w="821" w:type="dxa"/>
            <w:tcBorders>
              <w:top w:val="single" w:color="auto" w:sz="4" w:space="0"/>
              <w:left w:val="single" w:color="auto" w:sz="4" w:space="0"/>
              <w:right w:val="single" w:color="auto" w:sz="4" w:space="0"/>
            </w:tcBorders>
            <w:noWrap w:val="0"/>
            <w:vAlign w:val="center"/>
          </w:tcPr>
          <w:p w14:paraId="4A207A8C">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14:paraId="0470A18B">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C9A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 w:type="dxa"/>
            <w:vMerge w:val="continue"/>
            <w:tcBorders>
              <w:left w:val="single" w:color="auto" w:sz="4" w:space="0"/>
              <w:right w:val="single" w:color="auto" w:sz="4" w:space="0"/>
            </w:tcBorders>
            <w:noWrap w:val="0"/>
            <w:vAlign w:val="center"/>
          </w:tcPr>
          <w:p w14:paraId="1169CB62">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5EA3D267">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p>
        </w:tc>
        <w:tc>
          <w:tcPr>
            <w:tcW w:w="4655" w:type="dxa"/>
            <w:tcBorders>
              <w:top w:val="single" w:color="auto" w:sz="4" w:space="0"/>
              <w:left w:val="single" w:color="auto" w:sz="4" w:space="0"/>
              <w:right w:val="single" w:color="auto" w:sz="4" w:space="0"/>
            </w:tcBorders>
            <w:noWrap w:val="0"/>
            <w:vAlign w:val="top"/>
          </w:tcPr>
          <w:p w14:paraId="0AD21FE4">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根据投标人的投标文件是否满足本次招标文件第三部分采购需求</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二、</w:t>
            </w:r>
            <w:r>
              <w:rPr>
                <w:rFonts w:hint="eastAsia" w:ascii="仿宋_GB2312" w:hAnsi="仿宋_GB2312" w:eastAsia="仿宋_GB2312" w:cs="仿宋_GB2312"/>
                <w:color w:val="000000" w:themeColor="text1"/>
                <w:szCs w:val="24"/>
                <w:highlight w:val="none"/>
                <w14:textFill>
                  <w14:solidFill>
                    <w14:schemeClr w14:val="tx1"/>
                  </w14:solidFill>
                </w14:textFill>
              </w:rPr>
              <w:t>技术</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需</w:t>
            </w:r>
            <w:r>
              <w:rPr>
                <w:rFonts w:hint="eastAsia" w:ascii="仿宋_GB2312" w:hAnsi="仿宋_GB2312" w:eastAsia="仿宋_GB2312" w:cs="仿宋_GB2312"/>
                <w:color w:val="000000" w:themeColor="text1"/>
                <w:szCs w:val="24"/>
                <w:highlight w:val="none"/>
                <w14:textFill>
                  <w14:solidFill>
                    <w14:schemeClr w14:val="tx1"/>
                  </w14:solidFill>
                </w14:textFill>
              </w:rPr>
              <w:t>求</w:t>
            </w:r>
            <w:r>
              <w:rPr>
                <w:rFonts w:hint="eastAsia" w:ascii="仿宋_GB2312" w:hAnsi="仿宋_GB2312" w:eastAsia="仿宋_GB2312" w:cs="仿宋_GB2312"/>
                <w:szCs w:val="24"/>
                <w:highlight w:val="none"/>
              </w:rPr>
              <w:t>（不包括标注“▲”、“△”的技术参数要求）打分，</w:t>
            </w:r>
            <w:r>
              <w:rPr>
                <w:rFonts w:hint="eastAsia" w:ascii="仿宋_GB2312" w:hAnsi="仿宋_GB2312" w:eastAsia="仿宋_GB2312" w:cs="仿宋_GB2312"/>
                <w:color w:val="000000" w:themeColor="text1"/>
                <w:szCs w:val="24"/>
                <w:highlight w:val="none"/>
                <w14:textFill>
                  <w14:solidFill>
                    <w14:schemeClr w14:val="tx1"/>
                  </w14:solidFill>
                </w14:textFill>
              </w:rPr>
              <w:t>共</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项</w:t>
            </w:r>
            <w:r>
              <w:rPr>
                <w:rFonts w:hint="eastAsia" w:ascii="仿宋_GB2312" w:hAnsi="仿宋_GB2312" w:eastAsia="仿宋_GB2312" w:cs="仿宋_GB2312"/>
                <w:color w:val="000000" w:themeColor="text1"/>
                <w:szCs w:val="24"/>
                <w:highlight w:val="none"/>
                <w14:textFill>
                  <w14:solidFill>
                    <w14:schemeClr w14:val="tx1"/>
                  </w14:solidFill>
                </w14:textFill>
              </w:rPr>
              <w:t>16分，负偏离的每项扣0.</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Cs w:val="24"/>
                <w:highlight w:val="none"/>
                <w14:textFill>
                  <w14:solidFill>
                    <w14:schemeClr w14:val="tx1"/>
                  </w14:solidFill>
                </w14:textFill>
              </w:rPr>
              <w:t>分，扣光为止。</w:t>
            </w:r>
          </w:p>
          <w:p w14:paraId="52E55EAA">
            <w:pPr>
              <w:pStyle w:val="2"/>
              <w:spacing w:line="440" w:lineRule="exact"/>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注：投标人未按要求提供相关证明的，视作不符合要求，该项不得分。</w:t>
            </w:r>
          </w:p>
        </w:tc>
        <w:tc>
          <w:tcPr>
            <w:tcW w:w="625" w:type="dxa"/>
            <w:tcBorders>
              <w:top w:val="single" w:color="auto" w:sz="4" w:space="0"/>
              <w:left w:val="single" w:color="auto" w:sz="4" w:space="0"/>
              <w:right w:val="single" w:color="auto" w:sz="4" w:space="0"/>
            </w:tcBorders>
            <w:noWrap w:val="0"/>
            <w:vAlign w:val="center"/>
          </w:tcPr>
          <w:p w14:paraId="601C396F">
            <w:pPr>
              <w:jc w:val="center"/>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16</w:t>
            </w:r>
          </w:p>
        </w:tc>
        <w:tc>
          <w:tcPr>
            <w:tcW w:w="821" w:type="dxa"/>
            <w:tcBorders>
              <w:top w:val="single" w:color="auto" w:sz="4" w:space="0"/>
              <w:left w:val="single" w:color="auto" w:sz="4" w:space="0"/>
              <w:right w:val="single" w:color="auto" w:sz="4" w:space="0"/>
            </w:tcBorders>
            <w:noWrap w:val="0"/>
            <w:vAlign w:val="center"/>
          </w:tcPr>
          <w:p w14:paraId="59B797D5">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p>
          <w:p w14:paraId="0B86DB2A">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14:paraId="7A7A08C3">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A50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 w:type="dxa"/>
            <w:vMerge w:val="continue"/>
            <w:tcBorders>
              <w:left w:val="single" w:color="auto" w:sz="4" w:space="0"/>
              <w:right w:val="single" w:color="auto" w:sz="4" w:space="0"/>
            </w:tcBorders>
            <w:noWrap w:val="0"/>
            <w:vAlign w:val="center"/>
          </w:tcPr>
          <w:p w14:paraId="61AC33DF">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0B06411C">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4655" w:type="dxa"/>
            <w:tcBorders>
              <w:top w:val="single" w:color="auto" w:sz="4" w:space="0"/>
              <w:left w:val="single" w:color="auto" w:sz="4" w:space="0"/>
              <w:right w:val="single" w:color="auto" w:sz="4" w:space="0"/>
            </w:tcBorders>
            <w:noWrap w:val="0"/>
            <w:vAlign w:val="center"/>
          </w:tcPr>
          <w:p w14:paraId="79F62AA4">
            <w:pPr>
              <w:pStyle w:val="36"/>
              <w:spacing w:line="440" w:lineRule="exact"/>
              <w:ind w:firstLine="0" w:firstLineChars="0"/>
              <w:rPr>
                <w:rFonts w:hint="default"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据投标人为本项目提供的培训方案和技术指导方案</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包括培训时间、内容、人员结构等情况打分，</w:t>
            </w:r>
            <w:r>
              <w:rPr>
                <w:rFonts w:hint="eastAsia" w:ascii="仿宋_GB2312" w:hAnsi="仿宋_GB2312" w:cs="仿宋_GB2312"/>
                <w:color w:val="000000" w:themeColor="text1"/>
                <w:szCs w:val="24"/>
                <w:highlight w:val="none"/>
                <w:lang w:eastAsia="zh-CN"/>
                <w14:textFill>
                  <w14:solidFill>
                    <w14:schemeClr w14:val="tx1"/>
                  </w14:solidFill>
                </w14:textFill>
              </w:rPr>
              <w:t>最多得</w:t>
            </w:r>
            <w:r>
              <w:rPr>
                <w:rFonts w:hint="eastAsia" w:ascii="仿宋_GB2312" w:hAnsi="仿宋_GB2312" w:cs="仿宋_GB2312"/>
                <w:color w:val="000000" w:themeColor="text1"/>
                <w:szCs w:val="24"/>
                <w:highlight w:val="none"/>
                <w:lang w:val="en-US" w:eastAsia="zh-CN"/>
                <w14:textFill>
                  <w14:solidFill>
                    <w14:schemeClr w14:val="tx1"/>
                  </w14:solidFill>
                </w14:textFill>
              </w:rPr>
              <w:t>6分。</w:t>
            </w:r>
          </w:p>
          <w:p w14:paraId="0D6BFEFD">
            <w:pPr>
              <w:pStyle w:val="36"/>
              <w:spacing w:line="440" w:lineRule="exact"/>
              <w:ind w:firstLine="0" w:firstLineChars="0"/>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以上每点，描述完整详细且与采购人实际需求完全契合的</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cs="仿宋_GB2312"/>
                <w:color w:val="000000" w:themeColor="text1"/>
                <w:szCs w:val="24"/>
                <w:highlight w:val="none"/>
                <w:lang w:eastAsia="zh-CN"/>
                <w14:textFill>
                  <w14:solidFill>
                    <w14:schemeClr w14:val="tx1"/>
                  </w14:solidFill>
                </w14:textFill>
              </w:rPr>
              <w:t>；</w:t>
            </w:r>
          </w:p>
          <w:p w14:paraId="21A1F635">
            <w:pPr>
              <w:pStyle w:val="36"/>
              <w:spacing w:line="440" w:lineRule="exact"/>
              <w:ind w:firstLine="0" w:firstLineChars="0"/>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描述较详细完整或与采购人实际需求部分符合的</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cs="仿宋_GB2312"/>
                <w:color w:val="000000" w:themeColor="text1"/>
                <w:szCs w:val="24"/>
                <w:highlight w:val="none"/>
                <w:lang w:eastAsia="zh-CN"/>
                <w14:textFill>
                  <w14:solidFill>
                    <w14:schemeClr w14:val="tx1"/>
                  </w14:solidFill>
                </w14:textFill>
              </w:rPr>
              <w:t>；</w:t>
            </w:r>
          </w:p>
          <w:p w14:paraId="2998BA0F">
            <w:pPr>
              <w:pStyle w:val="36"/>
              <w:spacing w:line="440" w:lineRule="exact"/>
              <w:ind w:firstLine="0" w:firstLineChars="0"/>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未提供或完全不符合采购人需求的</w:t>
            </w:r>
            <w:r>
              <w:rPr>
                <w:rFonts w:hint="eastAsia" w:ascii="仿宋_GB2312" w:hAnsi="仿宋_GB2312" w:cs="仿宋_GB2312"/>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24"/>
                <w:highlight w:val="none"/>
                <w14:textFill>
                  <w14:solidFill>
                    <w14:schemeClr w14:val="tx1"/>
                  </w14:solidFill>
                </w14:textFill>
              </w:rPr>
              <w:t>得0分</w:t>
            </w:r>
            <w:r>
              <w:rPr>
                <w:rFonts w:hint="eastAsia" w:ascii="仿宋_GB2312" w:hAnsi="仿宋_GB2312" w:cs="仿宋_GB2312"/>
                <w:color w:val="000000" w:themeColor="text1"/>
                <w:szCs w:val="24"/>
                <w:highlight w:val="none"/>
                <w:lang w:eastAsia="zh-CN"/>
                <w14:textFill>
                  <w14:solidFill>
                    <w14:schemeClr w14:val="tx1"/>
                  </w14:solidFill>
                </w14:textFill>
              </w:rPr>
              <w:t>。</w:t>
            </w:r>
          </w:p>
        </w:tc>
        <w:tc>
          <w:tcPr>
            <w:tcW w:w="625" w:type="dxa"/>
            <w:tcBorders>
              <w:top w:val="single" w:color="auto" w:sz="4" w:space="0"/>
              <w:left w:val="single" w:color="auto" w:sz="4" w:space="0"/>
              <w:right w:val="single" w:color="auto" w:sz="4" w:space="0"/>
            </w:tcBorders>
            <w:noWrap w:val="0"/>
            <w:vAlign w:val="center"/>
          </w:tcPr>
          <w:p w14:paraId="5040F972">
            <w:pPr>
              <w:jc w:val="cente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6</w:t>
            </w:r>
          </w:p>
        </w:tc>
        <w:tc>
          <w:tcPr>
            <w:tcW w:w="821" w:type="dxa"/>
            <w:tcBorders>
              <w:top w:val="single" w:color="auto" w:sz="4" w:space="0"/>
              <w:left w:val="single" w:color="auto" w:sz="4" w:space="0"/>
              <w:right w:val="single" w:color="auto" w:sz="4" w:space="0"/>
            </w:tcBorders>
            <w:noWrap w:val="0"/>
            <w:vAlign w:val="center"/>
          </w:tcPr>
          <w:p w14:paraId="62C8387D">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noWrap w:val="0"/>
            <w:vAlign w:val="top"/>
          </w:tcPr>
          <w:p w14:paraId="2756654A">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7797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jc w:val="center"/>
        </w:trPr>
        <w:tc>
          <w:tcPr>
            <w:tcW w:w="885" w:type="dxa"/>
            <w:vMerge w:val="continue"/>
            <w:tcBorders>
              <w:left w:val="single" w:color="auto" w:sz="4" w:space="0"/>
              <w:right w:val="single" w:color="auto" w:sz="4" w:space="0"/>
            </w:tcBorders>
            <w:noWrap w:val="0"/>
            <w:vAlign w:val="center"/>
          </w:tcPr>
          <w:p w14:paraId="2AEB9240">
            <w:pPr>
              <w:rPr>
                <w:rFonts w:hint="eastAsia" w:ascii="仿宋_GB2312" w:hAnsi="仿宋_GB2312" w:eastAsia="仿宋_GB2312" w:cs="仿宋_GB2312"/>
                <w:color w:val="000000" w:themeColor="text1"/>
                <w:spacing w:val="4"/>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CE4691B">
            <w:pPr>
              <w:widowControl/>
              <w:jc w:val="cente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t>9</w:t>
            </w:r>
          </w:p>
        </w:tc>
        <w:tc>
          <w:tcPr>
            <w:tcW w:w="4655" w:type="dxa"/>
            <w:tcBorders>
              <w:top w:val="single" w:color="auto" w:sz="4" w:space="0"/>
              <w:left w:val="single" w:color="auto" w:sz="4" w:space="0"/>
              <w:right w:val="single" w:color="auto" w:sz="4" w:space="0"/>
            </w:tcBorders>
            <w:noWrap w:val="0"/>
            <w:vAlign w:val="top"/>
          </w:tcPr>
          <w:p w14:paraId="083AEDCB">
            <w:pPr>
              <w:pStyle w:val="14"/>
              <w:rPr>
                <w:rFonts w:hint="default"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据投标人为本项目提供的项目实施与质量保证措施方案</w:t>
            </w:r>
            <w:r>
              <w:rPr>
                <w:rFonts w:hint="eastAsia" w:ascii="仿宋_GB2312" w:hAnsi="仿宋_GB2312" w:eastAsia="仿宋_GB2312" w:cs="仿宋_GB2312"/>
                <w:color w:val="000000" w:themeColor="text1"/>
                <w:szCs w:val="24"/>
                <w:highlight w:val="none"/>
                <w14:textFill>
                  <w14:solidFill>
                    <w14:schemeClr w14:val="tx1"/>
                  </w14:solidFill>
                </w14:textFill>
              </w:rPr>
              <w:t>打分</w:t>
            </w:r>
            <w:r>
              <w:rPr>
                <w:rFonts w:hint="eastAsia" w:ascii="仿宋_GB2312" w:hAnsi="仿宋_GB2312" w:eastAsia="仿宋_GB2312" w:cs="仿宋_GB2312"/>
                <w:color w:val="000000" w:themeColor="text1"/>
                <w:highlight w:val="none"/>
                <w14:textFill>
                  <w14:solidFill>
                    <w14:schemeClr w14:val="tx1"/>
                  </w14:solidFill>
                </w14:textFill>
              </w:rPr>
              <w:t>，包括时间、内容</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整体方案等情况打分，</w:t>
            </w:r>
            <w:r>
              <w:rPr>
                <w:rFonts w:hint="eastAsia" w:hAnsi="仿宋_GB2312" w:cs="仿宋_GB2312"/>
                <w:color w:val="000000" w:themeColor="text1"/>
                <w:highlight w:val="none"/>
                <w:lang w:eastAsia="zh-CN"/>
                <w14:textFill>
                  <w14:solidFill>
                    <w14:schemeClr w14:val="tx1"/>
                  </w14:solidFill>
                </w14:textFill>
              </w:rPr>
              <w:t>最多得</w:t>
            </w:r>
            <w:r>
              <w:rPr>
                <w:rFonts w:hint="eastAsia" w:hAnsi="仿宋_GB2312" w:cs="仿宋_GB2312"/>
                <w:color w:val="000000" w:themeColor="text1"/>
                <w:highlight w:val="none"/>
                <w:lang w:val="en-US" w:eastAsia="zh-CN"/>
                <w14:textFill>
                  <w14:solidFill>
                    <w14:schemeClr w14:val="tx1"/>
                  </w14:solidFill>
                </w14:textFill>
              </w:rPr>
              <w:t>3分。</w:t>
            </w:r>
          </w:p>
          <w:p w14:paraId="47E98CD6">
            <w:pPr>
              <w:pStyle w:val="14"/>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以上每点，描述完整详细且与采购人实际需求完全契合的</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得1分</w:t>
            </w:r>
            <w:r>
              <w:rPr>
                <w:rFonts w:hint="eastAsia" w:hAnsi="仿宋_GB2312" w:cs="仿宋_GB2312"/>
                <w:color w:val="000000" w:themeColor="text1"/>
                <w:highlight w:val="none"/>
                <w:lang w:eastAsia="zh-CN"/>
                <w14:textFill>
                  <w14:solidFill>
                    <w14:schemeClr w14:val="tx1"/>
                  </w14:solidFill>
                </w14:textFill>
              </w:rPr>
              <w:t>；</w:t>
            </w:r>
          </w:p>
          <w:p w14:paraId="2977A418">
            <w:pPr>
              <w:pStyle w:val="14"/>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描述较详细完整或与采购人实际需求部分符合的</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得0.5分</w:t>
            </w:r>
            <w:r>
              <w:rPr>
                <w:rFonts w:hint="eastAsia" w:hAnsi="仿宋_GB2312" w:cs="仿宋_GB2312"/>
                <w:color w:val="000000" w:themeColor="text1"/>
                <w:highlight w:val="none"/>
                <w:lang w:eastAsia="zh-CN"/>
                <w14:textFill>
                  <w14:solidFill>
                    <w14:schemeClr w14:val="tx1"/>
                  </w14:solidFill>
                </w14:textFill>
              </w:rPr>
              <w:t>；</w:t>
            </w:r>
          </w:p>
          <w:p w14:paraId="724FBE2C">
            <w:pPr>
              <w:pStyle w:val="14"/>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未提供或完全不符合采购人需求的</w:t>
            </w:r>
            <w:r>
              <w:rPr>
                <w:rFonts w:hint="eastAsia" w:hAnsi="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得0分</w:t>
            </w:r>
            <w:r>
              <w:rPr>
                <w:rFonts w:hint="eastAsia" w:hAnsi="仿宋_GB2312" w:cs="仿宋_GB2312"/>
                <w:color w:val="000000" w:themeColor="text1"/>
                <w:highlight w:val="none"/>
                <w:lang w:eastAsia="zh-CN"/>
                <w14:textFill>
                  <w14:solidFill>
                    <w14:schemeClr w14:val="tx1"/>
                  </w14:solidFill>
                </w14:textFill>
              </w:rPr>
              <w:t>。</w:t>
            </w:r>
          </w:p>
        </w:tc>
        <w:tc>
          <w:tcPr>
            <w:tcW w:w="625" w:type="dxa"/>
            <w:tcBorders>
              <w:top w:val="single" w:color="auto" w:sz="4" w:space="0"/>
              <w:left w:val="single" w:color="auto" w:sz="4" w:space="0"/>
              <w:right w:val="single" w:color="auto" w:sz="4" w:space="0"/>
            </w:tcBorders>
            <w:noWrap w:val="0"/>
            <w:vAlign w:val="center"/>
          </w:tcPr>
          <w:p w14:paraId="33293463">
            <w:pPr>
              <w:ind w:firstLine="109" w:firstLineChars="50"/>
              <w:jc w:val="center"/>
              <w:outlineLvl w:val="0"/>
              <w:rPr>
                <w:rFonts w:hint="eastAsia" w:ascii="仿宋_GB2312" w:hAnsi="仿宋_GB2312" w:eastAsia="仿宋_GB2312" w:cs="仿宋_GB2312"/>
                <w:b/>
                <w:color w:val="000000" w:themeColor="text1"/>
                <w:spacing w:val="4"/>
                <w:szCs w:val="21"/>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3</w:t>
            </w:r>
          </w:p>
        </w:tc>
        <w:tc>
          <w:tcPr>
            <w:tcW w:w="821" w:type="dxa"/>
            <w:tcBorders>
              <w:top w:val="single" w:color="auto" w:sz="4" w:space="0"/>
              <w:left w:val="single" w:color="auto" w:sz="4" w:space="0"/>
              <w:right w:val="single" w:color="auto" w:sz="4" w:space="0"/>
            </w:tcBorders>
            <w:noWrap w:val="0"/>
            <w:vAlign w:val="center"/>
          </w:tcPr>
          <w:p w14:paraId="25FFD287">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noWrap w:val="0"/>
            <w:vAlign w:val="top"/>
          </w:tcPr>
          <w:p w14:paraId="29858230">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342E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85" w:type="dxa"/>
            <w:vMerge w:val="continue"/>
            <w:tcBorders>
              <w:left w:val="single" w:color="auto" w:sz="4" w:space="0"/>
              <w:right w:val="single" w:color="auto" w:sz="4" w:space="0"/>
            </w:tcBorders>
            <w:noWrap w:val="0"/>
            <w:vAlign w:val="center"/>
          </w:tcPr>
          <w:p w14:paraId="3B5E0751">
            <w:pPr>
              <w:rPr>
                <w:rFonts w:hint="eastAsia" w:ascii="仿宋_GB2312" w:hAnsi="仿宋_GB2312" w:eastAsia="仿宋_GB2312" w:cs="仿宋_GB2312"/>
                <w:color w:val="000000" w:themeColor="text1"/>
                <w:spacing w:val="4"/>
                <w:szCs w:val="21"/>
                <w:highlight w:val="none"/>
                <w14:textFill>
                  <w14:solidFill>
                    <w14:schemeClr w14:val="tx1"/>
                  </w14:solidFill>
                </w14:textFill>
              </w:rPr>
            </w:pPr>
          </w:p>
        </w:tc>
        <w:tc>
          <w:tcPr>
            <w:tcW w:w="635" w:type="dxa"/>
            <w:tcBorders>
              <w:left w:val="single" w:color="auto" w:sz="4" w:space="0"/>
              <w:right w:val="single" w:color="auto" w:sz="4" w:space="0"/>
            </w:tcBorders>
            <w:noWrap w:val="0"/>
            <w:vAlign w:val="center"/>
          </w:tcPr>
          <w:p w14:paraId="2C18FA2E">
            <w:pPr>
              <w:widowControl/>
              <w:jc w:val="cente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14:textFill>
                  <w14:solidFill>
                    <w14:schemeClr w14:val="tx1"/>
                  </w14:solidFill>
                </w14:textFill>
              </w:rPr>
              <w:t>10</w:t>
            </w:r>
          </w:p>
        </w:tc>
        <w:tc>
          <w:tcPr>
            <w:tcW w:w="4655" w:type="dxa"/>
            <w:tcBorders>
              <w:top w:val="single" w:color="auto" w:sz="4" w:space="0"/>
              <w:left w:val="single" w:color="auto" w:sz="4" w:space="0"/>
              <w:right w:val="single" w:color="auto" w:sz="4" w:space="0"/>
            </w:tcBorders>
            <w:shd w:val="clear" w:color="auto" w:fill="auto"/>
            <w:noWrap w:val="0"/>
            <w:vAlign w:val="top"/>
          </w:tcPr>
          <w:p w14:paraId="303D1D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所投办公台式电脑通过“国家电子计算机质量检测中心信息安全评估”的得3分。（需提供证书或提供产品官方网站截图及链接）</w:t>
            </w:r>
          </w:p>
          <w:p w14:paraId="235FE9B4">
            <w:pPr>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注：投标人未按要求提供相关证明的，视作不符合要求，该项不得分。</w:t>
            </w:r>
          </w:p>
        </w:tc>
        <w:tc>
          <w:tcPr>
            <w:tcW w:w="625" w:type="dxa"/>
            <w:tcBorders>
              <w:top w:val="single" w:color="auto" w:sz="4" w:space="0"/>
              <w:left w:val="single" w:color="auto" w:sz="4" w:space="0"/>
              <w:right w:val="single" w:color="auto" w:sz="4" w:space="0"/>
            </w:tcBorders>
            <w:noWrap w:val="0"/>
            <w:vAlign w:val="center"/>
          </w:tcPr>
          <w:p w14:paraId="1CD16B88">
            <w:pPr>
              <w:ind w:firstLine="109" w:firstLineChars="50"/>
              <w:jc w:val="center"/>
              <w:outlineLvl w:val="0"/>
              <w:rPr>
                <w:rFonts w:hint="eastAsia" w:ascii="仿宋_GB2312" w:hAnsi="仿宋_GB2312" w:eastAsia="仿宋_GB2312" w:cs="仿宋_GB2312"/>
                <w:b/>
                <w:color w:val="000000" w:themeColor="text1"/>
                <w:spacing w:val="4"/>
                <w:szCs w:val="21"/>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4"/>
                <w:szCs w:val="21"/>
                <w:highlight w:val="none"/>
                <w:lang w:val="en-US" w:eastAsia="zh-CN"/>
                <w14:textFill>
                  <w14:solidFill>
                    <w14:schemeClr w14:val="tx1"/>
                  </w14:solidFill>
                </w14:textFill>
              </w:rPr>
              <w:t>3</w:t>
            </w:r>
          </w:p>
        </w:tc>
        <w:tc>
          <w:tcPr>
            <w:tcW w:w="821" w:type="dxa"/>
            <w:tcBorders>
              <w:top w:val="single" w:color="auto" w:sz="4" w:space="0"/>
              <w:left w:val="single" w:color="auto" w:sz="4" w:space="0"/>
              <w:right w:val="single" w:color="auto" w:sz="4" w:space="0"/>
            </w:tcBorders>
            <w:noWrap w:val="0"/>
            <w:vAlign w:val="center"/>
          </w:tcPr>
          <w:p w14:paraId="301E28B2">
            <w:pPr>
              <w:adjustRightInd w:val="0"/>
              <w:snapToGrid w:val="0"/>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14:paraId="534C634C">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14:paraId="0DBE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85" w:type="dxa"/>
            <w:tcBorders>
              <w:left w:val="single" w:color="auto" w:sz="4" w:space="0"/>
              <w:right w:val="single" w:color="auto" w:sz="4" w:space="0"/>
            </w:tcBorders>
            <w:noWrap w:val="0"/>
            <w:vAlign w:val="center"/>
          </w:tcPr>
          <w:p w14:paraId="46079E79">
            <w:pPr>
              <w:topLinePunct/>
              <w:spacing w:line="360" w:lineRule="auto"/>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报价</w:t>
            </w:r>
          </w:p>
          <w:p w14:paraId="1ECA2078">
            <w:pPr>
              <w:ind w:firstLine="120" w:firstLineChars="50"/>
              <w:rPr>
                <w:rFonts w:hint="eastAsia" w:ascii="仿宋_GB2312" w:hAnsi="仿宋_GB2312" w:eastAsia="仿宋_GB2312" w:cs="仿宋_GB2312"/>
                <w:color w:val="000000" w:themeColor="text1"/>
                <w:spacing w:val="4"/>
                <w:szCs w:val="2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（30分）</w:t>
            </w:r>
          </w:p>
        </w:tc>
        <w:tc>
          <w:tcPr>
            <w:tcW w:w="635" w:type="dxa"/>
            <w:tcBorders>
              <w:left w:val="single" w:color="auto" w:sz="4" w:space="0"/>
              <w:right w:val="single" w:color="auto" w:sz="4" w:space="0"/>
            </w:tcBorders>
            <w:noWrap w:val="0"/>
            <w:vAlign w:val="center"/>
          </w:tcPr>
          <w:p w14:paraId="176B9DA5">
            <w:pPr>
              <w:jc w:val="center"/>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t>11</w:t>
            </w:r>
          </w:p>
        </w:tc>
        <w:tc>
          <w:tcPr>
            <w:tcW w:w="4655" w:type="dxa"/>
            <w:tcBorders>
              <w:top w:val="single" w:color="auto" w:sz="4" w:space="0"/>
              <w:left w:val="single" w:color="auto" w:sz="4" w:space="0"/>
              <w:bottom w:val="single" w:color="auto" w:sz="4" w:space="0"/>
              <w:right w:val="single" w:color="auto" w:sz="4" w:space="0"/>
            </w:tcBorders>
            <w:noWrap w:val="0"/>
            <w:vAlign w:val="center"/>
          </w:tcPr>
          <w:p w14:paraId="0AC44126">
            <w:pPr>
              <w:spacing w:line="440" w:lineRule="exact"/>
              <w:jc w:val="left"/>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有效投标报价的最低价作为评标基准价，其最低报价为满分；按［投标报价得分=（评标基准价/投标报价）*30］的计算公式计算。</w:t>
            </w:r>
          </w:p>
          <w:p w14:paraId="005D4963">
            <w:pPr>
              <w:widowControl/>
              <w:shd w:val="clear" w:color="auto" w:fill="FFFFFF"/>
              <w:spacing w:line="4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评标过程中，不得去掉报价中的最高报价和最低报价。</w:t>
            </w:r>
          </w:p>
          <w:p w14:paraId="74785540">
            <w:pPr>
              <w:spacing w:line="44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因落实政府采购政策需要进行价格调整的，以调整后的价格计算评标基准价和投标报价。</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5F90C238">
            <w:pPr>
              <w:ind w:firstLine="120" w:firstLineChars="50"/>
              <w:jc w:val="center"/>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62DF7C90">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027EC32">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14:paraId="35417428">
      <w:pPr>
        <w:spacing w:line="420" w:lineRule="exact"/>
        <w:contextualSpacing/>
        <w:rPr>
          <w:rFonts w:hint="eastAsia" w:ascii="仿宋_GB2312" w:hAnsi="仿宋_GB2312" w:eastAsia="仿宋_GB2312" w:cs="仿宋_GB2312"/>
          <w:b/>
          <w:color w:val="auto"/>
          <w:sz w:val="24"/>
          <w:szCs w:val="24"/>
          <w:highlight w:val="none"/>
        </w:rPr>
      </w:pPr>
    </w:p>
    <w:p w14:paraId="7474503B">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*备注：投标人编制投标文件（商务技术文件部分）时，建议按此目录（序号和内容）提供评标标准相应的商务技术资料。 </w:t>
      </w:r>
    </w:p>
    <w:p w14:paraId="33E6F47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一、评标方法</w:t>
      </w:r>
    </w:p>
    <w:p w14:paraId="6CE3461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79A11A79">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二、评标标准</w:t>
      </w:r>
    </w:p>
    <w:p w14:paraId="1025781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评标标准：见评标办法前附表。</w:t>
      </w:r>
    </w:p>
    <w:p w14:paraId="1D92E8C4">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三、评标程序</w:t>
      </w:r>
    </w:p>
    <w:p w14:paraId="4089B68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3.1符合性审查。评标委员会应当对符合资格的投标人的投标文件进行符合性审查，以确定其是否满足招标文件的实质性要求。不满足招标文件的实质性要求的，投标无效。</w:t>
      </w:r>
    </w:p>
    <w:p w14:paraId="36930B6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比较与评价。评标委员会应当按照招标文件中规定的评标方法和标准，对符合性审查合格的投标文件进行商务和技术评估，综合比较与评价。</w:t>
      </w:r>
    </w:p>
    <w:p w14:paraId="4E50677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3.3汇总商务技术得分。评标委员会各成员应当独立对每个投标人的商务和技术文件进行评价，并汇总商务技术得分情况。</w:t>
      </w:r>
    </w:p>
    <w:p w14:paraId="5F25F7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3.4报价评审。</w:t>
      </w:r>
    </w:p>
    <w:p w14:paraId="16B8961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3.4.1投标文件报价出现前后不一致的，按照下列规定修正：</w:t>
      </w:r>
    </w:p>
    <w:p w14:paraId="6084B2A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3.4.1.1投标文件中开标一览表(报价表)内容与投标文件中相应内容不一致的，以开标一览表(报价表)为准;</w:t>
      </w:r>
    </w:p>
    <w:p w14:paraId="2D6A988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3.4.1.2大写金额和小写金额不一致的，以大写金额为准;</w:t>
      </w:r>
    </w:p>
    <w:p w14:paraId="30CDE9D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3.4.1.3单价金额小数点或者百分比有明显错位的，以开标一览表的总价为准，并修改单价;</w:t>
      </w:r>
    </w:p>
    <w:p w14:paraId="0E58AD3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3.4.1.4总价金额与按单价汇总金额不一致的，以单价金额计算结果为准。</w:t>
      </w:r>
    </w:p>
    <w:p w14:paraId="64F0B89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396AEA4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3.4.2投标文件出现不是唯一的、有选择性投标报价的，投标无效。</w:t>
      </w:r>
    </w:p>
    <w:p w14:paraId="57FB872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3.4.3投标报价超过招标文件中规定的预算金额或者最高限价的，投标无效。</w:t>
      </w:r>
    </w:p>
    <w:p w14:paraId="3E216C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1FDD9BA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310EA6C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DCA789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3F8CE43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5D010EDE">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四、评标中的其他事项</w:t>
      </w:r>
    </w:p>
    <w:p w14:paraId="49E4ED1D">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5C9579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4.2投标无效。有下列情况之一的，投标无效：</w:t>
      </w:r>
    </w:p>
    <w:p w14:paraId="2DEA8B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4.2.1单位负责人为同一人或者存在直接控股、管理关系的不同供应商参加同一合同项下的政府采购活动的（均无效）；</w:t>
      </w:r>
    </w:p>
    <w:p w14:paraId="24EBD50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4.2.2为采购项目提供整体设计、规范编制或者项目管理、监理、检测等服务的供应商再参加该采购项目的其他采购活动的； </w:t>
      </w:r>
    </w:p>
    <w:p w14:paraId="5651E30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4.2.3投标人不具备招标文件中规定的资格要求的（投标人未提供有效的资格证明文件的，视为投标人不具备招标文件中规定的资格要求）；</w:t>
      </w:r>
    </w:p>
    <w:p w14:paraId="56D029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4.2.4如以联合体形式参加政府采购活动的，联合体协议不符合招标文件规定的联合体协议要求的；</w:t>
      </w:r>
    </w:p>
    <w:p w14:paraId="5AE1D5F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4.2.5投标文件未按招标文件的澄清、修改的内容编制，又不符合实质性要求的；</w:t>
      </w:r>
    </w:p>
    <w:p w14:paraId="1A5F6F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4.2.6投标文件组成不全或内容字迹模糊辨认不清的而导致评标无法正常进行（经评标委员会认定并允许其当场更正的笔误除外的）；</w:t>
      </w:r>
    </w:p>
    <w:p w14:paraId="43782BC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投标文件未按照招标文件要求签署、盖章的；</w:t>
      </w:r>
    </w:p>
    <w:p w14:paraId="017615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采购人拟采购的产品属于政府强制采购的节能产品品目清单范围的，投标人未按招标文件要求提供国家确定的认证机构出具的、处于有效期之内的节能产品认证证书的；</w:t>
      </w:r>
    </w:p>
    <w:p w14:paraId="0C77E1F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投标文件含有采购人不能接受的附加条件的；</w:t>
      </w:r>
    </w:p>
    <w:p w14:paraId="7D4C1A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投标文件中承诺的投标有效期少于招标文件中载明的投标有效期的；</w:t>
      </w:r>
    </w:p>
    <w:p w14:paraId="6DD18A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投标人所投内容不符合招标文件中实质性要求的；</w:t>
      </w:r>
    </w:p>
    <w:p w14:paraId="6A2C095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投标文件出现不是唯一的、有选择性投标报价的;</w:t>
      </w:r>
    </w:p>
    <w:p w14:paraId="48A0B4D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投标报价高于本项目采购预算或者最高限价的;</w:t>
      </w:r>
    </w:p>
    <w:p w14:paraId="23F362E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报价明显低于其他通过符合性审查投标人的报价，有可能影响产品质量或者不能诚信履约的，未能按要求提供书面说明或者提交相关证明材料，不能证明其报价合理性的;</w:t>
      </w:r>
    </w:p>
    <w:p w14:paraId="4D90B9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《开标一览表（报价表）》填写不完整或字迹不能辨认或有漏项的；</w:t>
      </w:r>
    </w:p>
    <w:p w14:paraId="6C952B9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投标人对根据修正原则修正后的报价不确认的；</w:t>
      </w:r>
    </w:p>
    <w:p w14:paraId="0973E24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投标人提供虚假材料投标的（包括但不限于以下情节）；</w:t>
      </w:r>
    </w:p>
    <w:p w14:paraId="083E9B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.1使用伪造、变造的许可证件；</w:t>
      </w:r>
    </w:p>
    <w:p w14:paraId="35FBFFC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.2提供虚假的财务状况或者业绩；</w:t>
      </w:r>
    </w:p>
    <w:p w14:paraId="6FFE78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.3提供虚假的项目负责人或者主要技术人员简历、劳动关系证明；</w:t>
      </w:r>
    </w:p>
    <w:p w14:paraId="10D7F51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.4提供虚假的信用状况；</w:t>
      </w:r>
    </w:p>
    <w:p w14:paraId="27C479C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.5其他弄虚作假的行为。</w:t>
      </w:r>
    </w:p>
    <w:p w14:paraId="474B2E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投标人有恶意串通、妨碍其他投标人的竞争行为、损害采购人或者其他投标人的合法权益情形的；有下列情形之一的，属于或视为恶意串通，其投标无效：</w:t>
      </w:r>
    </w:p>
    <w:p w14:paraId="4BDC0E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.1供应商直接或者间接从采购人或者采购代理机构处获得其他供应商的相关情况并修改其投标文件或者响应文件；</w:t>
      </w:r>
    </w:p>
    <w:p w14:paraId="076B4B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.2供应商按照采购人或者采购代理机构的授意撤换、修改投标文件或者响应文件；</w:t>
      </w:r>
    </w:p>
    <w:p w14:paraId="7CF7BF8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.3供应商之间协商报价、技术方案等投标文件或者响应文件的实质性内容；</w:t>
      </w:r>
    </w:p>
    <w:p w14:paraId="029DCD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.4属于同一集团、协会、商会等组织成员的供应商按照该组织要求协同参加政府采购活动；</w:t>
      </w:r>
    </w:p>
    <w:p w14:paraId="7776585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.5供应商之间事先约定由某一特定供应商中标、成交；</w:t>
      </w:r>
    </w:p>
    <w:p w14:paraId="7E1F56B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.6供应商之间商定部分供应商放弃参加政府采购活动或者放弃中标、成交；</w:t>
      </w:r>
    </w:p>
    <w:p w14:paraId="6439DA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.7供应商与采购人或者采购代理机构之间、供应商相互之间，为谋求特定供应商中标、成交或者排斥其他供应商的其他串通行为。</w:t>
      </w:r>
    </w:p>
    <w:p w14:paraId="5D6725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.8不同投标人的投标文件由同一单位或者个人编制；</w:t>
      </w:r>
    </w:p>
    <w:p w14:paraId="14D6284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.9不同投标人委托同一单位或者个人办理投标事宜；</w:t>
      </w:r>
    </w:p>
    <w:p w14:paraId="36F865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.10不同投标人的投标文件载明的项目管理成员或者联系人员为同一人；</w:t>
      </w:r>
    </w:p>
    <w:p w14:paraId="6A5AE36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.11不同投标人的投标文件异常一致或者投标报价呈规律性差异；</w:t>
      </w:r>
    </w:p>
    <w:p w14:paraId="7C7C63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.12不同投标人的投标文件相互混装；</w:t>
      </w:r>
    </w:p>
    <w:p w14:paraId="478991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19</w:t>
      </w:r>
      <w:r>
        <w:rPr>
          <w:rFonts w:hint="eastAsia" w:ascii="仿宋_GB2312" w:hAnsi="仿宋_GB2312" w:eastAsia="仿宋_GB2312" w:cs="仿宋_GB2312"/>
          <w:color w:val="auto"/>
          <w:sz w:val="24"/>
          <w:szCs w:val="24"/>
          <w:highlight w:val="none"/>
        </w:rPr>
        <w:t>投标人仅提交备份投标文件，没有在电子交易平台传输递交投标文件的，投标无效；</w:t>
      </w:r>
    </w:p>
    <w:p w14:paraId="10B677F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以联合体形式投标的，在资格文件和商务技术文件中均未提供联合协议的，投标无效；</w:t>
      </w:r>
    </w:p>
    <w:p w14:paraId="6123325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以分包方式履行合同的，在资格文件和商务技术文件中均未提供分包意向协议的，投标无效；</w:t>
      </w:r>
    </w:p>
    <w:p w14:paraId="43D712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 xml:space="preserve"> 专门面向中小企业采购的，在资格文件和商务技术文件中均未提供中小企业声明函的，投标无效；</w:t>
      </w:r>
    </w:p>
    <w:p w14:paraId="0E1F922C">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法律、法规、规章（适用本市的）及省级以上规范性文件（适用本市的）规定的其他无效情形；</w:t>
      </w:r>
    </w:p>
    <w:p w14:paraId="3B0E185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参与同一个采购包（标</w:t>
      </w:r>
      <w:r>
        <w:rPr>
          <w:rFonts w:hint="eastAsia" w:ascii="仿宋_GB2312" w:hAnsi="仿宋_GB2312" w:eastAsia="仿宋_GB2312" w:cs="仿宋_GB2312"/>
          <w:color w:val="auto"/>
          <w:sz w:val="24"/>
          <w:szCs w:val="24"/>
          <w:highlight w:val="none"/>
          <w:lang w:eastAsia="zh-CN"/>
        </w:rPr>
        <w:t>项</w:t>
      </w:r>
      <w:r>
        <w:rPr>
          <w:rFonts w:hint="eastAsia" w:ascii="仿宋_GB2312" w:hAnsi="仿宋_GB2312" w:eastAsia="仿宋_GB2312" w:cs="仿宋_GB2312"/>
          <w:color w:val="auto"/>
          <w:sz w:val="24"/>
          <w:szCs w:val="24"/>
          <w:highlight w:val="none"/>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13F9696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投标文件不满足招标文件的其它实质性要求的。</w:t>
      </w:r>
    </w:p>
    <w:p w14:paraId="3C998D2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5.废标。根据《中华人民共和国政府采购法》第三十六条之规定，在采购中，出现下列情形之一的，应予废标：</w:t>
      </w:r>
    </w:p>
    <w:p w14:paraId="658B51B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5.1符合专业条件的供应商或者对招标文件作实质响应的供应商不足3家的；</w:t>
      </w:r>
    </w:p>
    <w:p w14:paraId="23A034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5.2出现影响采购公正的违法、违规行为的；</w:t>
      </w:r>
    </w:p>
    <w:p w14:paraId="09297E7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5.3投标人的报价均超过了采购预算，采购人不能支付的；</w:t>
      </w:r>
    </w:p>
    <w:p w14:paraId="07FFF4EC">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5.4因重大变故，采购任务取消的。</w:t>
      </w:r>
    </w:p>
    <w:p w14:paraId="5A74BDD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废标后，采购代理机构应当将废标理由通知所有投标人。</w:t>
      </w:r>
    </w:p>
    <w:p w14:paraId="581342D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6C82040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7.重新开展采购。有政府采购法第七十一条、第七十二条规定的违法行为之一，影响或者可能影响中标、成交结果的，依照下列规定处理：</w:t>
      </w:r>
    </w:p>
    <w:p w14:paraId="543704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7.1未确定中标或者中标人的，终止本次政府采购活动，重新开展政府采购活动。</w:t>
      </w:r>
    </w:p>
    <w:p w14:paraId="7356FFA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7.2已确定中标或者中标人但尚未签订政府采购合同的，中标或者成交结果无效，从合格的中标或者成交候选人中另行确定中标或者中标人；没有合格的中标或者成交候选人的，重新开展政府采购活动。</w:t>
      </w:r>
    </w:p>
    <w:p w14:paraId="63A2C14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7.3政府采购合同已签订但尚未履行的，撤销合同，从合格的中标或者成交候选人中另行确定中标或者中标人；没有合格的中标或者成交候选人的，重新开展政府采购活动。</w:t>
      </w:r>
    </w:p>
    <w:p w14:paraId="182A896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7.4政府采购合同已经履行，给采购人、供应商造成损失的，由责任人承担赔偿责任。</w:t>
      </w:r>
    </w:p>
    <w:p w14:paraId="7C21904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7.5政府采购当事人有其他违反政府采购法或者政府采购法实施条例等法律法规规定的行为，经改正后仍然影响或者可能影响中标、成交结果或者依法被认定为中标、成交无效的，依照7.1-7.4规定处理。</w:t>
      </w:r>
    </w:p>
    <w:p w14:paraId="1EC3457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8.评审过程的保密与录像</w:t>
      </w:r>
    </w:p>
    <w:p w14:paraId="2480EEE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3F56329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9.录音录像。采购代理机构对评审工作现场进行全过程录音录像，录音录像资料作为采购项目文件随其他文件一并存档。</w:t>
      </w:r>
      <w:bookmarkEnd w:id="26"/>
      <w:bookmarkStart w:id="393" w:name="第五部分"/>
      <w:bookmarkStart w:id="394" w:name="_Toc86217003"/>
    </w:p>
    <w:p w14:paraId="2610492F">
      <w:pPr>
        <w:pStyle w:val="2"/>
        <w:rPr>
          <w:rFonts w:hint="eastAsia" w:ascii="仿宋_GB2312" w:hAnsi="仿宋_GB2312" w:eastAsia="仿宋_GB2312" w:cs="仿宋_GB2312"/>
          <w:color w:val="auto"/>
          <w:highlight w:val="none"/>
        </w:rPr>
      </w:pPr>
    </w:p>
    <w:p w14:paraId="72EBB86E">
      <w:pPr>
        <w:pStyle w:val="2"/>
        <w:rPr>
          <w:rFonts w:hint="eastAsia" w:ascii="仿宋_GB2312" w:hAnsi="仿宋_GB2312" w:eastAsia="仿宋_GB2312" w:cs="仿宋_GB2312"/>
          <w:color w:val="auto"/>
          <w:highlight w:val="none"/>
        </w:rPr>
      </w:pPr>
    </w:p>
    <w:p w14:paraId="695A6095">
      <w:pPr>
        <w:spacing w:line="540" w:lineRule="exact"/>
        <w:contextualSpacing/>
        <w:jc w:val="center"/>
        <w:rPr>
          <w:rFonts w:hint="eastAsia" w:ascii="仿宋_GB2312" w:hAnsi="仿宋_GB2312" w:eastAsia="仿宋_GB2312" w:cs="仿宋_GB2312"/>
          <w:b/>
          <w:color w:val="auto"/>
          <w:sz w:val="28"/>
          <w:szCs w:val="28"/>
          <w:highlight w:val="none"/>
        </w:rPr>
      </w:pPr>
    </w:p>
    <w:p w14:paraId="235E1EB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第五部分</w:t>
      </w:r>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拟签订的合同文本</w:t>
      </w:r>
    </w:p>
    <w:p w14:paraId="0AA69CA3">
      <w:pPr>
        <w:snapToGrid w:val="0"/>
        <w:spacing w:beforeLines="50" w:afterLines="50"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（具体条款以甲方为主协商确定）</w:t>
      </w:r>
    </w:p>
    <w:p w14:paraId="19CF77F3">
      <w:pPr>
        <w:spacing w:line="560" w:lineRule="exact"/>
        <w:ind w:firstLine="562"/>
        <w:jc w:val="center"/>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浙江国际海运职业技术学院办公电脑采购项目</w:t>
      </w:r>
    </w:p>
    <w:p w14:paraId="4696A59F">
      <w:pPr>
        <w:spacing w:line="560" w:lineRule="exact"/>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合同编号：</w:t>
      </w:r>
    </w:p>
    <w:p w14:paraId="62C62BBE">
      <w:pPr>
        <w:pStyle w:val="63"/>
        <w:spacing w:line="560" w:lineRule="exact"/>
        <w:ind w:firstLine="562"/>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sz w:val="24"/>
          <w:szCs w:val="24"/>
          <w:highlight w:val="none"/>
          <w:lang w:eastAsia="zh-CN"/>
        </w:rPr>
        <w:t>第一部分 合同书</w:t>
      </w:r>
    </w:p>
    <w:p w14:paraId="5A6BE928">
      <w:pPr>
        <w:spacing w:before="120" w:line="560" w:lineRule="exact"/>
        <w:rPr>
          <w:rFonts w:hint="eastAsia" w:ascii="仿宋_GB2312" w:hAnsi="仿宋_GB2312" w:eastAsia="仿宋_GB2312" w:cs="仿宋_GB2312"/>
          <w:sz w:val="24"/>
          <w:szCs w:val="24"/>
          <w:highlight w:val="none"/>
        </w:rPr>
      </w:pPr>
    </w:p>
    <w:p w14:paraId="4F05FD5F">
      <w:pPr>
        <w:pStyle w:val="4"/>
        <w:spacing w:line="560" w:lineRule="exact"/>
        <w:rPr>
          <w:rFonts w:hint="eastAsia" w:ascii="仿宋_GB2312" w:hAnsi="仿宋_GB2312" w:eastAsia="仿宋_GB2312" w:cs="仿宋_GB2312"/>
          <w:sz w:val="24"/>
          <w:szCs w:val="24"/>
          <w:highlight w:val="none"/>
        </w:rPr>
      </w:pPr>
    </w:p>
    <w:p w14:paraId="3B6D0FDA">
      <w:pPr>
        <w:spacing w:before="120" w:line="560" w:lineRule="exact"/>
        <w:ind w:left="96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项目名称：</w:t>
      </w:r>
      <w:r>
        <w:rPr>
          <w:rFonts w:hint="eastAsia" w:ascii="仿宋_GB2312" w:hAnsi="仿宋_GB2312" w:eastAsia="仿宋_GB2312" w:cs="仿宋_GB2312"/>
          <w:sz w:val="24"/>
          <w:szCs w:val="24"/>
          <w:highlight w:val="none"/>
          <w:lang w:val="en-US" w:eastAsia="zh-CN"/>
        </w:rPr>
        <w:t>浙江国际海运职业技术学院办公电脑采购项目</w:t>
      </w:r>
    </w:p>
    <w:p w14:paraId="399847F0">
      <w:pPr>
        <w:pStyle w:val="64"/>
        <w:spacing w:before="120" w:line="560" w:lineRule="exact"/>
        <w:rPr>
          <w:rFonts w:hint="eastAsia" w:ascii="仿宋_GB2312" w:hAnsi="仿宋_GB2312" w:eastAsia="仿宋_GB2312" w:cs="仿宋_GB2312"/>
          <w:sz w:val="24"/>
          <w:szCs w:val="24"/>
          <w:highlight w:val="none"/>
          <w:lang w:eastAsia="zh-CN"/>
        </w:rPr>
      </w:pPr>
    </w:p>
    <w:p w14:paraId="5F783AFE">
      <w:pPr>
        <w:spacing w:line="560" w:lineRule="exact"/>
        <w:rPr>
          <w:rFonts w:hint="eastAsia" w:ascii="仿宋_GB2312" w:hAnsi="仿宋_GB2312" w:eastAsia="仿宋_GB2312" w:cs="仿宋_GB2312"/>
          <w:sz w:val="24"/>
          <w:szCs w:val="24"/>
          <w:highlight w:val="none"/>
        </w:rPr>
      </w:pPr>
    </w:p>
    <w:p w14:paraId="793E5B66">
      <w:pPr>
        <w:spacing w:before="120" w:line="560" w:lineRule="exact"/>
        <w:ind w:left="960"/>
        <w:rPr>
          <w:rFonts w:hint="eastAsia"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t>甲方：</w:t>
      </w:r>
      <w:r>
        <w:rPr>
          <w:rFonts w:hint="eastAsia" w:ascii="仿宋_GB2312" w:hAnsi="仿宋_GB2312" w:eastAsia="仿宋_GB2312" w:cs="仿宋_GB2312"/>
          <w:sz w:val="24"/>
          <w:szCs w:val="24"/>
          <w:highlight w:val="none"/>
          <w:lang w:val="en-US" w:eastAsia="zh-CN"/>
        </w:rPr>
        <w:t>浙江国际海运职业技术学院</w:t>
      </w:r>
    </w:p>
    <w:p w14:paraId="33380CFC">
      <w:pPr>
        <w:spacing w:before="120" w:line="560" w:lineRule="exact"/>
        <w:rPr>
          <w:rFonts w:hint="eastAsia" w:ascii="仿宋_GB2312" w:hAnsi="仿宋_GB2312" w:eastAsia="仿宋_GB2312" w:cs="仿宋_GB2312"/>
          <w:sz w:val="24"/>
          <w:szCs w:val="24"/>
          <w:highlight w:val="none"/>
        </w:rPr>
      </w:pPr>
    </w:p>
    <w:p w14:paraId="18846A94">
      <w:pPr>
        <w:spacing w:before="120" w:line="560" w:lineRule="exact"/>
        <w:ind w:left="96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乙方：</w:t>
      </w:r>
    </w:p>
    <w:p w14:paraId="71DC0FBC">
      <w:pPr>
        <w:spacing w:before="120" w:line="560" w:lineRule="exact"/>
        <w:rPr>
          <w:rFonts w:hint="eastAsia" w:ascii="仿宋_GB2312" w:hAnsi="仿宋_GB2312" w:eastAsia="仿宋_GB2312" w:cs="仿宋_GB2312"/>
          <w:sz w:val="24"/>
          <w:szCs w:val="24"/>
          <w:highlight w:val="none"/>
        </w:rPr>
      </w:pPr>
    </w:p>
    <w:p w14:paraId="4E72E850">
      <w:pPr>
        <w:spacing w:before="120" w:line="560" w:lineRule="exact"/>
        <w:ind w:firstLine="840" w:firstLineChars="350"/>
        <w:rPr>
          <w:rFonts w:hint="eastAsia"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t>签订地：</w:t>
      </w:r>
      <w:r>
        <w:rPr>
          <w:rFonts w:hint="eastAsia" w:ascii="仿宋_GB2312" w:hAnsi="仿宋_GB2312" w:eastAsia="仿宋_GB2312" w:cs="仿宋_GB2312"/>
          <w:sz w:val="24"/>
          <w:szCs w:val="24"/>
          <w:highlight w:val="none"/>
          <w:lang w:val="en-US" w:eastAsia="zh-CN"/>
        </w:rPr>
        <w:t>舟山</w:t>
      </w:r>
    </w:p>
    <w:p w14:paraId="57EB989A">
      <w:pPr>
        <w:spacing w:before="120" w:line="560" w:lineRule="exact"/>
        <w:rPr>
          <w:rFonts w:hint="eastAsia" w:ascii="仿宋_GB2312" w:hAnsi="仿宋_GB2312" w:eastAsia="仿宋_GB2312" w:cs="仿宋_GB2312"/>
          <w:sz w:val="24"/>
          <w:szCs w:val="24"/>
          <w:highlight w:val="none"/>
        </w:rPr>
      </w:pPr>
    </w:p>
    <w:p w14:paraId="07CFA687">
      <w:pPr>
        <w:spacing w:before="120" w:line="560" w:lineRule="exact"/>
        <w:ind w:firstLine="960" w:firstLineChars="4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签订日期：</w:t>
      </w:r>
      <w:r>
        <w:rPr>
          <w:rFonts w:hint="eastAsia" w:ascii="仿宋_GB2312" w:hAnsi="仿宋_GB2312" w:eastAsia="仿宋_GB2312" w:cs="仿宋_GB2312"/>
          <w:sz w:val="24"/>
          <w:szCs w:val="24"/>
          <w:highlight w:val="none"/>
          <w:lang w:val="en-US" w:eastAsia="zh-CN"/>
        </w:rPr>
        <w:t>2026</w:t>
      </w:r>
      <w:r>
        <w:rPr>
          <w:rFonts w:hint="eastAsia"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日</w:t>
      </w:r>
    </w:p>
    <w:p w14:paraId="79F54709">
      <w:pPr>
        <w:widowControl/>
        <w:spacing w:line="560" w:lineRule="exact"/>
        <w:jc w:val="left"/>
        <w:rPr>
          <w:rFonts w:hint="eastAsia" w:ascii="仿宋_GB2312" w:hAnsi="仿宋_GB2312" w:eastAsia="仿宋_GB2312" w:cs="仿宋_GB2312"/>
          <w:kern w:val="0"/>
          <w:sz w:val="24"/>
          <w:szCs w:val="24"/>
          <w:highlight w:val="none"/>
        </w:rPr>
        <w:sectPr>
          <w:pgSz w:w="11907" w:h="16840"/>
          <w:pgMar w:top="1474" w:right="1814" w:bottom="1474" w:left="1814" w:header="851" w:footer="851" w:gutter="0"/>
          <w:pgBorders>
            <w:top w:val="none" w:sz="0" w:space="0"/>
            <w:left w:val="none" w:sz="0" w:space="0"/>
            <w:bottom w:val="none" w:sz="0" w:space="0"/>
            <w:right w:val="none" w:sz="0" w:space="0"/>
          </w:pgBorders>
          <w:cols w:space="720" w:num="1"/>
        </w:sectPr>
      </w:pPr>
    </w:p>
    <w:p w14:paraId="3048600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2026</w:t>
      </w:r>
      <w:r>
        <w:rPr>
          <w:rFonts w:hint="eastAsia" w:ascii="仿宋_GB2312" w:hAnsi="仿宋_GB2312" w:eastAsia="仿宋_GB2312" w:cs="仿宋_GB2312"/>
          <w:sz w:val="24"/>
          <w:szCs w:val="24"/>
          <w:highlight w:val="none"/>
          <w:lang w:val="zh-CN"/>
        </w:rPr>
        <w:t>年</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lang w:val="zh-CN"/>
        </w:rPr>
        <w:t>月</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lang w:val="zh-CN"/>
        </w:rPr>
        <w:t>日</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浙江国际海运职业技术学院</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以</w:t>
      </w:r>
      <w:r>
        <w:rPr>
          <w:rFonts w:hint="eastAsia" w:ascii="仿宋_GB2312" w:hAnsi="仿宋_GB2312" w:eastAsia="仿宋_GB2312" w:cs="仿宋_GB2312"/>
          <w:sz w:val="24"/>
          <w:szCs w:val="24"/>
          <w:highlight w:val="none"/>
          <w:u w:val="single"/>
        </w:rPr>
        <w:t xml:space="preserve">   （政府采购方式）  </w:t>
      </w:r>
      <w:r>
        <w:rPr>
          <w:rFonts w:hint="eastAsia" w:ascii="仿宋_GB2312" w:hAnsi="仿宋_GB2312" w:eastAsia="仿宋_GB2312" w:cs="仿宋_GB2312"/>
          <w:sz w:val="24"/>
          <w:szCs w:val="24"/>
          <w:highlight w:val="none"/>
        </w:rPr>
        <w:t>对</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浙江国际海运职业技术学院办公电脑采购项目</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项目进行了采购。经</w:t>
      </w:r>
      <w:r>
        <w:rPr>
          <w:rFonts w:hint="eastAsia" w:ascii="仿宋_GB2312" w:hAnsi="仿宋_GB2312" w:eastAsia="仿宋_GB2312" w:cs="仿宋_GB2312"/>
          <w:sz w:val="24"/>
          <w:szCs w:val="24"/>
          <w:highlight w:val="none"/>
          <w:u w:val="single"/>
        </w:rPr>
        <w:t xml:space="preserve">   （相关评定主体名称）   </w:t>
      </w:r>
      <w:r>
        <w:rPr>
          <w:rFonts w:hint="eastAsia" w:ascii="仿宋_GB2312" w:hAnsi="仿宋_GB2312" w:eastAsia="仿宋_GB2312" w:cs="仿宋_GB2312"/>
          <w:sz w:val="24"/>
          <w:szCs w:val="24"/>
          <w:highlight w:val="none"/>
        </w:rPr>
        <w:t>评定，</w:t>
      </w:r>
      <w:r>
        <w:rPr>
          <w:rFonts w:hint="eastAsia" w:ascii="仿宋_GB2312" w:hAnsi="仿宋_GB2312" w:eastAsia="仿宋_GB2312" w:cs="仿宋_GB2312"/>
          <w:sz w:val="24"/>
          <w:szCs w:val="24"/>
          <w:highlight w:val="none"/>
          <w:u w:val="single"/>
        </w:rPr>
        <w:t xml:space="preserve">   （中标或者成交供应商名称） </w:t>
      </w:r>
      <w:r>
        <w:rPr>
          <w:rFonts w:hint="eastAsia" w:ascii="仿宋_GB2312" w:hAnsi="仿宋_GB2312" w:eastAsia="仿宋_GB2312" w:cs="仿宋_GB2312"/>
          <w:sz w:val="24"/>
          <w:szCs w:val="24"/>
          <w:highlight w:val="none"/>
        </w:rPr>
        <w:t>为该项目中标或者成交供应商。现于中标或者成交通知书发出之日起   个工作日内，按照采购文件确定的事项签订本合同。</w:t>
      </w:r>
    </w:p>
    <w:p w14:paraId="6287FB37">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zh-CN"/>
        </w:rPr>
        <w:t>根据《中华人民共和国民法典》《中华人民共和国政府采购法》等相关法律法规之规定，按照平等、自愿、公平和诚实信用的原则，经</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浙江国际海运职业技术学院</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lang w:val="zh-CN"/>
        </w:rPr>
        <w:t>(以下简称：甲方)和</w:t>
      </w:r>
      <w:r>
        <w:rPr>
          <w:rFonts w:hint="eastAsia" w:ascii="仿宋_GB2312" w:hAnsi="仿宋_GB2312" w:eastAsia="仿宋_GB2312" w:cs="仿宋_GB2312"/>
          <w:sz w:val="24"/>
          <w:szCs w:val="24"/>
          <w:highlight w:val="none"/>
          <w:u w:val="single"/>
        </w:rPr>
        <w:t xml:space="preserve">   （中或者成交标供应商名称）   </w:t>
      </w:r>
      <w:r>
        <w:rPr>
          <w:rFonts w:hint="eastAsia" w:ascii="仿宋_GB2312" w:hAnsi="仿宋_GB2312" w:eastAsia="仿宋_GB2312" w:cs="仿宋_GB2312"/>
          <w:sz w:val="24"/>
          <w:szCs w:val="24"/>
          <w:highlight w:val="none"/>
          <w:lang w:val="zh-CN"/>
        </w:rPr>
        <w:t>(以下简称：乙方)协商一致，约定以下合同</w:t>
      </w:r>
      <w:r>
        <w:rPr>
          <w:rFonts w:hint="eastAsia" w:ascii="仿宋_GB2312" w:hAnsi="仿宋_GB2312" w:eastAsia="仿宋_GB2312" w:cs="仿宋_GB2312"/>
          <w:sz w:val="24"/>
          <w:szCs w:val="24"/>
          <w:highlight w:val="none"/>
        </w:rPr>
        <w:t>条款，以兹共同遵守、全面履行。</w:t>
      </w:r>
    </w:p>
    <w:p w14:paraId="0B0B3DB5">
      <w:pPr>
        <w:spacing w:line="560" w:lineRule="exact"/>
        <w:ind w:firstLine="482" w:firstLineChars="200"/>
        <w:outlineLvl w:val="0"/>
        <w:rPr>
          <w:rFonts w:hint="eastAsia" w:ascii="仿宋_GB2312" w:hAnsi="仿宋_GB2312" w:eastAsia="仿宋_GB2312" w:cs="仿宋_GB2312"/>
          <w:sz w:val="24"/>
          <w:szCs w:val="24"/>
          <w:highlight w:val="none"/>
        </w:rPr>
      </w:pPr>
      <w:bookmarkStart w:id="395" w:name="_Toc19273"/>
      <w:bookmarkStart w:id="396" w:name="_Toc15367"/>
      <w:bookmarkStart w:id="397" w:name="_Toc28855"/>
      <w:bookmarkStart w:id="398" w:name="_Toc22967"/>
      <w:bookmarkStart w:id="399" w:name="_Toc20421"/>
      <w:r>
        <w:rPr>
          <w:rFonts w:hint="eastAsia" w:ascii="仿宋_GB2312" w:hAnsi="仿宋_GB2312" w:eastAsia="仿宋_GB2312" w:cs="仿宋_GB2312"/>
          <w:b/>
          <w:sz w:val="24"/>
          <w:szCs w:val="24"/>
          <w:highlight w:val="none"/>
        </w:rPr>
        <w:t>1.1 合同组成部分</w:t>
      </w:r>
      <w:bookmarkEnd w:id="395"/>
      <w:bookmarkEnd w:id="396"/>
      <w:bookmarkEnd w:id="397"/>
      <w:bookmarkEnd w:id="398"/>
      <w:bookmarkEnd w:id="399"/>
    </w:p>
    <w:p w14:paraId="568C67E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2F97B7F">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1.1.1 本合同及其补充合同、变更协议；</w:t>
      </w:r>
    </w:p>
    <w:p w14:paraId="5935E43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1.1.2 中标或者成交通知书；</w:t>
      </w:r>
    </w:p>
    <w:p w14:paraId="2F8AF04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1.1.3 投标或者响应文件（含澄清或者说明文件）；</w:t>
      </w:r>
    </w:p>
    <w:p w14:paraId="7041DA2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1.1.4 采购文件（含澄清或者修改文件）；</w:t>
      </w:r>
    </w:p>
    <w:p w14:paraId="1FC03FE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1.1.5 其他相关采购文件。</w:t>
      </w:r>
    </w:p>
    <w:p w14:paraId="08126387">
      <w:pPr>
        <w:spacing w:line="560" w:lineRule="exact"/>
        <w:ind w:firstLine="482" w:firstLineChars="200"/>
        <w:outlineLvl w:val="0"/>
        <w:rPr>
          <w:rFonts w:hint="eastAsia" w:ascii="仿宋_GB2312" w:hAnsi="仿宋_GB2312" w:eastAsia="仿宋_GB2312" w:cs="仿宋_GB2312"/>
          <w:b/>
          <w:sz w:val="24"/>
          <w:szCs w:val="24"/>
          <w:highlight w:val="none"/>
        </w:rPr>
      </w:pPr>
      <w:bookmarkStart w:id="400" w:name="_Toc18585"/>
      <w:bookmarkStart w:id="401" w:name="_Toc6773"/>
      <w:bookmarkStart w:id="402" w:name="_Toc22185"/>
      <w:bookmarkStart w:id="403" w:name="_Toc6311"/>
      <w:bookmarkStart w:id="404" w:name="_Toc2918"/>
      <w:r>
        <w:rPr>
          <w:rFonts w:hint="eastAsia" w:ascii="仿宋_GB2312" w:hAnsi="仿宋_GB2312" w:eastAsia="仿宋_GB2312" w:cs="仿宋_GB2312"/>
          <w:b/>
          <w:sz w:val="24"/>
          <w:szCs w:val="24"/>
          <w:highlight w:val="none"/>
        </w:rPr>
        <w:t>1.2 标的</w:t>
      </w:r>
      <w:bookmarkEnd w:id="400"/>
      <w:bookmarkEnd w:id="401"/>
      <w:bookmarkEnd w:id="402"/>
      <w:bookmarkEnd w:id="403"/>
      <w:bookmarkEnd w:id="404"/>
    </w:p>
    <w:p w14:paraId="1F009A97">
      <w:pPr>
        <w:spacing w:line="560" w:lineRule="exact"/>
        <w:ind w:firstLine="480"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1.2.1 货物名称、品牌、规格型号、花色：；</w:t>
      </w:r>
    </w:p>
    <w:p w14:paraId="3997CC3F">
      <w:pPr>
        <w:spacing w:line="560" w:lineRule="exact"/>
        <w:ind w:firstLine="480" w:firstLineChars="200"/>
        <w:outlineLvl w:val="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1.2.2 货物数量：；</w:t>
      </w:r>
    </w:p>
    <w:p w14:paraId="6FF86648">
      <w:pPr>
        <w:spacing w:line="560" w:lineRule="exact"/>
        <w:ind w:firstLine="480"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1.2.3 货物质量：；</w:t>
      </w:r>
    </w:p>
    <w:p w14:paraId="1FECE43D">
      <w:pPr>
        <w:spacing w:line="560" w:lineRule="exact"/>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1.2.4 服务人员组成：</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w:t>
      </w:r>
    </w:p>
    <w:p w14:paraId="006E81B5">
      <w:pPr>
        <w:spacing w:line="560" w:lineRule="exact"/>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1.2.5合同（是/否）涉及服务。若涉及服务的，则：</w:t>
      </w:r>
    </w:p>
    <w:p w14:paraId="7DA3D981">
      <w:pPr>
        <w:spacing w:line="560" w:lineRule="exact"/>
        <w:ind w:firstLine="480" w:firstLineChars="200"/>
        <w:rPr>
          <w:rFonts w:hint="eastAsia" w:ascii="仿宋_GB2312" w:hAnsi="仿宋_GB2312" w:eastAsia="仿宋_GB2312" w:cs="仿宋_GB2312"/>
          <w:sz w:val="24"/>
          <w:szCs w:val="24"/>
          <w:highlight w:val="none"/>
          <w:u w:val="single"/>
        </w:rPr>
      </w:pPr>
      <w:bookmarkStart w:id="405" w:name="_Toc21124"/>
      <w:bookmarkStart w:id="406" w:name="_Toc5635"/>
      <w:bookmarkStart w:id="407" w:name="_Toc4929"/>
      <w:bookmarkStart w:id="408" w:name="_Toc13918"/>
      <w:bookmarkStart w:id="409" w:name="_Toc1386"/>
      <w:r>
        <w:rPr>
          <w:rFonts w:hint="eastAsia" w:ascii="仿宋_GB2312" w:hAnsi="仿宋_GB2312" w:eastAsia="仿宋_GB2312" w:cs="仿宋_GB2312"/>
          <w:sz w:val="24"/>
          <w:szCs w:val="24"/>
          <w:highlight w:val="none"/>
        </w:rPr>
        <w:t>1.2.5.1 货物内容：；</w:t>
      </w:r>
    </w:p>
    <w:p w14:paraId="36FD24E1">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1.2.5.2 服务标准：；</w:t>
      </w:r>
    </w:p>
    <w:p w14:paraId="671D2E2C">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1.2.5.3 技术保障：</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w:t>
      </w:r>
    </w:p>
    <w:p w14:paraId="1A8FC272">
      <w:pPr>
        <w:spacing w:line="560" w:lineRule="exact"/>
        <w:ind w:firstLine="482"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1.3 价款</w:t>
      </w:r>
      <w:bookmarkEnd w:id="405"/>
      <w:bookmarkEnd w:id="406"/>
      <w:bookmarkEnd w:id="407"/>
      <w:bookmarkEnd w:id="408"/>
      <w:bookmarkEnd w:id="409"/>
    </w:p>
    <w:p w14:paraId="25E75FD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1.3.1总价合同，本合同总价（含税）为：</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rPr>
        <w:t>元（大写：</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w:t>
      </w:r>
    </w:p>
    <w:p w14:paraId="54C7A50C">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分项价格：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0C4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56EC70E">
            <w:pPr>
              <w:pStyle w:val="68"/>
              <w:spacing w:line="5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3402" w:type="dxa"/>
            <w:vAlign w:val="center"/>
          </w:tcPr>
          <w:p w14:paraId="014512E2">
            <w:pPr>
              <w:pStyle w:val="68"/>
              <w:spacing w:line="560" w:lineRule="exact"/>
              <w:ind w:firstLine="2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分项名称</w:t>
            </w:r>
          </w:p>
        </w:tc>
        <w:tc>
          <w:tcPr>
            <w:tcW w:w="2552" w:type="dxa"/>
            <w:vAlign w:val="center"/>
          </w:tcPr>
          <w:p w14:paraId="2C99A0AB">
            <w:pPr>
              <w:pStyle w:val="68"/>
              <w:spacing w:line="56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分项价格</w:t>
            </w:r>
          </w:p>
        </w:tc>
      </w:tr>
      <w:tr w14:paraId="2C29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BBBF30F">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06654BDE">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19D4516A">
            <w:pPr>
              <w:pStyle w:val="68"/>
              <w:spacing w:line="560" w:lineRule="exact"/>
              <w:ind w:firstLine="200"/>
              <w:jc w:val="center"/>
              <w:rPr>
                <w:rFonts w:hint="eastAsia" w:ascii="仿宋_GB2312" w:hAnsi="仿宋_GB2312" w:eastAsia="仿宋_GB2312" w:cs="仿宋_GB2312"/>
                <w:sz w:val="24"/>
                <w:szCs w:val="24"/>
                <w:highlight w:val="none"/>
              </w:rPr>
            </w:pPr>
          </w:p>
        </w:tc>
      </w:tr>
      <w:tr w14:paraId="3860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8813A28">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2C411307">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5920A2CE">
            <w:pPr>
              <w:pStyle w:val="68"/>
              <w:spacing w:line="560" w:lineRule="exact"/>
              <w:ind w:firstLine="200"/>
              <w:jc w:val="center"/>
              <w:rPr>
                <w:rFonts w:hint="eastAsia" w:ascii="仿宋_GB2312" w:hAnsi="仿宋_GB2312" w:eastAsia="仿宋_GB2312" w:cs="仿宋_GB2312"/>
                <w:sz w:val="24"/>
                <w:szCs w:val="24"/>
                <w:highlight w:val="none"/>
              </w:rPr>
            </w:pPr>
          </w:p>
        </w:tc>
      </w:tr>
      <w:tr w14:paraId="7AB8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20FCB98">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043C21FE">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2818C9D8">
            <w:pPr>
              <w:pStyle w:val="68"/>
              <w:spacing w:line="560" w:lineRule="exact"/>
              <w:ind w:firstLine="200"/>
              <w:jc w:val="center"/>
              <w:rPr>
                <w:rFonts w:hint="eastAsia" w:ascii="仿宋_GB2312" w:hAnsi="仿宋_GB2312" w:eastAsia="仿宋_GB2312" w:cs="仿宋_GB2312"/>
                <w:sz w:val="24"/>
                <w:szCs w:val="24"/>
                <w:highlight w:val="none"/>
              </w:rPr>
            </w:pPr>
          </w:p>
        </w:tc>
      </w:tr>
      <w:tr w14:paraId="6B5A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22624E6">
            <w:pPr>
              <w:pStyle w:val="68"/>
              <w:spacing w:line="560" w:lineRule="exact"/>
              <w:ind w:firstLine="200"/>
              <w:jc w:val="center"/>
              <w:rPr>
                <w:rFonts w:hint="eastAsia" w:ascii="仿宋_GB2312" w:hAnsi="仿宋_GB2312" w:eastAsia="仿宋_GB2312" w:cs="仿宋_GB2312"/>
                <w:sz w:val="24"/>
                <w:szCs w:val="24"/>
                <w:highlight w:val="none"/>
              </w:rPr>
            </w:pPr>
          </w:p>
        </w:tc>
        <w:tc>
          <w:tcPr>
            <w:tcW w:w="3402" w:type="dxa"/>
            <w:vAlign w:val="center"/>
          </w:tcPr>
          <w:p w14:paraId="4DB49146">
            <w:pPr>
              <w:pStyle w:val="68"/>
              <w:spacing w:line="560" w:lineRule="exact"/>
              <w:ind w:firstLine="200"/>
              <w:jc w:val="center"/>
              <w:rPr>
                <w:rFonts w:hint="eastAsia" w:ascii="仿宋_GB2312" w:hAnsi="仿宋_GB2312" w:eastAsia="仿宋_GB2312" w:cs="仿宋_GB2312"/>
                <w:sz w:val="24"/>
                <w:szCs w:val="24"/>
                <w:highlight w:val="none"/>
              </w:rPr>
            </w:pPr>
          </w:p>
        </w:tc>
        <w:tc>
          <w:tcPr>
            <w:tcW w:w="2552" w:type="dxa"/>
            <w:vAlign w:val="center"/>
          </w:tcPr>
          <w:p w14:paraId="6B436CDB">
            <w:pPr>
              <w:pStyle w:val="68"/>
              <w:spacing w:line="560" w:lineRule="exact"/>
              <w:ind w:firstLine="200"/>
              <w:jc w:val="center"/>
              <w:rPr>
                <w:rFonts w:hint="eastAsia" w:ascii="仿宋_GB2312" w:hAnsi="仿宋_GB2312" w:eastAsia="仿宋_GB2312" w:cs="仿宋_GB2312"/>
                <w:sz w:val="24"/>
                <w:szCs w:val="24"/>
                <w:highlight w:val="none"/>
              </w:rPr>
            </w:pPr>
          </w:p>
        </w:tc>
      </w:tr>
      <w:tr w14:paraId="7229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40958833">
            <w:pPr>
              <w:pStyle w:val="68"/>
              <w:spacing w:line="560" w:lineRule="exact"/>
              <w:ind w:firstLine="2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总价</w:t>
            </w:r>
          </w:p>
        </w:tc>
        <w:tc>
          <w:tcPr>
            <w:tcW w:w="2552" w:type="dxa"/>
            <w:vAlign w:val="center"/>
          </w:tcPr>
          <w:p w14:paraId="2A854FE7">
            <w:pPr>
              <w:pStyle w:val="68"/>
              <w:spacing w:line="560" w:lineRule="exact"/>
              <w:ind w:firstLine="200"/>
              <w:jc w:val="center"/>
              <w:rPr>
                <w:rFonts w:hint="eastAsia" w:ascii="仿宋_GB2312" w:hAnsi="仿宋_GB2312" w:eastAsia="仿宋_GB2312" w:cs="仿宋_GB2312"/>
                <w:sz w:val="24"/>
                <w:szCs w:val="24"/>
                <w:highlight w:val="none"/>
              </w:rPr>
            </w:pPr>
          </w:p>
        </w:tc>
      </w:tr>
    </w:tbl>
    <w:p w14:paraId="31D24718">
      <w:pPr>
        <w:pStyle w:val="69"/>
        <w:spacing w:before="0" w:beforeAutospacing="0" w:after="0" w:afterAutospacing="0" w:line="560" w:lineRule="exact"/>
        <w:ind w:firstLine="480"/>
        <w:rPr>
          <w:rFonts w:hint="eastAsia" w:ascii="仿宋_GB2312" w:hAnsi="仿宋_GB2312" w:eastAsia="仿宋_GB2312" w:cs="仿宋_GB2312"/>
          <w:b/>
          <w:sz w:val="24"/>
          <w:szCs w:val="24"/>
          <w:highlight w:val="none"/>
        </w:rPr>
      </w:pPr>
      <w:bookmarkStart w:id="410" w:name="_Toc10340"/>
      <w:bookmarkStart w:id="411" w:name="_Toc22618"/>
      <w:bookmarkStart w:id="412" w:name="_Toc1814"/>
      <w:bookmarkStart w:id="413" w:name="_Toc31421"/>
      <w:bookmarkStart w:id="414" w:name="_Toc3625"/>
      <w:bookmarkStart w:id="415" w:name="_Toc8772"/>
      <w:bookmarkStart w:id="416" w:name="_Toc11108"/>
      <w:bookmarkStart w:id="417" w:name="_Toc4760"/>
      <w:r>
        <w:rPr>
          <w:rFonts w:hint="eastAsia" w:ascii="仿宋_GB2312" w:hAnsi="仿宋_GB2312" w:eastAsia="仿宋_GB2312" w:cs="仿宋_GB2312"/>
          <w:b/>
          <w:sz w:val="24"/>
          <w:szCs w:val="24"/>
          <w:highlight w:val="none"/>
        </w:rPr>
        <w:t>1.4履约保证金</w:t>
      </w:r>
    </w:p>
    <w:p w14:paraId="44F8EA53">
      <w:pPr>
        <w:pStyle w:val="69"/>
        <w:spacing w:before="0" w:beforeAutospacing="0" w:after="0" w:afterAutospacing="0" w:line="560" w:lineRule="exact"/>
        <w:ind w:firstLine="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w:t>
      </w:r>
      <w:r>
        <w:rPr>
          <w:rFonts w:hint="eastAsia" w:ascii="仿宋_GB2312" w:hAnsi="仿宋_GB2312" w:eastAsia="仿宋_GB2312" w:cs="仿宋_GB2312"/>
          <w:sz w:val="24"/>
          <w:szCs w:val="24"/>
          <w:highlight w:val="none"/>
          <w:u w:val="single"/>
        </w:rPr>
        <w:t xml:space="preserve"> 否 </w:t>
      </w:r>
      <w:r>
        <w:rPr>
          <w:rFonts w:hint="eastAsia" w:ascii="仿宋_GB2312" w:hAnsi="仿宋_GB2312" w:eastAsia="仿宋_GB2312" w:cs="仿宋_GB2312"/>
          <w:sz w:val="24"/>
          <w:szCs w:val="24"/>
          <w:highlight w:val="none"/>
        </w:rPr>
        <w:t>（是/否）需要支付履约保证金。</w:t>
      </w:r>
    </w:p>
    <w:p w14:paraId="3FCDE08F">
      <w:pPr>
        <w:spacing w:line="560" w:lineRule="exact"/>
        <w:ind w:firstLine="482"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1.5</w:t>
      </w:r>
      <w:bookmarkEnd w:id="410"/>
      <w:bookmarkEnd w:id="411"/>
      <w:bookmarkEnd w:id="412"/>
      <w:r>
        <w:rPr>
          <w:rFonts w:hint="eastAsia" w:ascii="仿宋_GB2312" w:hAnsi="仿宋_GB2312" w:eastAsia="仿宋_GB2312" w:cs="仿宋_GB2312"/>
          <w:b/>
          <w:sz w:val="24"/>
          <w:szCs w:val="24"/>
          <w:highlight w:val="none"/>
        </w:rPr>
        <w:t>预付款</w:t>
      </w:r>
    </w:p>
    <w:p w14:paraId="4E5E3ADA">
      <w:pPr>
        <w:pStyle w:val="36"/>
        <w:keepNext w:val="0"/>
        <w:keepLines w:val="0"/>
        <w:pageBreakBefore w:val="0"/>
        <w:widowControl w:val="0"/>
        <w:kinsoku/>
        <w:wordWrap/>
        <w:overflowPunct/>
        <w:topLinePunct w:val="0"/>
        <w:autoSpaceDE/>
        <w:autoSpaceDN/>
        <w:bidi w:val="0"/>
        <w:adjustRightInd/>
        <w:snapToGrid/>
        <w:spacing w:line="360" w:lineRule="auto"/>
        <w:ind w:firstLine="460" w:firstLineChars="200"/>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甲方（是/否）需要支付预付款。若需要支付预付款的，则：合同生效以及具备实施条件，中标人即开具增值税专用发票并提供银行、保险公司等金融机构出具的预付款保函，采购人收到发票和预付款保函后7个工作日内，支付合同金额的40%做为预付款；项目完成并通过验收合格后，自收到增值税专用发票后7个工作日内，支付剩余款项。</w:t>
      </w:r>
    </w:p>
    <w:p w14:paraId="3059C559">
      <w:pPr>
        <w:spacing w:line="560" w:lineRule="exact"/>
        <w:ind w:firstLine="480" w:firstLineChars="2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1.5.1预付款比例、支付方式、时间详见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kern w:val="0"/>
          <w:sz w:val="24"/>
          <w:szCs w:val="24"/>
          <w:highlight w:val="none"/>
        </w:rPr>
        <w:t>；</w:t>
      </w:r>
    </w:p>
    <w:p w14:paraId="364080D7">
      <w:pPr>
        <w:pStyle w:val="69"/>
        <w:spacing w:before="0" w:beforeAutospacing="0" w:after="0" w:afterAutospacing="0" w:line="560" w:lineRule="exact"/>
        <w:ind w:firstLine="48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1.5.2预付款的担保措施详见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34CC3717">
      <w:pPr>
        <w:pStyle w:val="69"/>
        <w:spacing w:before="0" w:beforeAutospacing="0" w:after="0" w:afterAutospacing="0" w:line="560" w:lineRule="exact"/>
        <w:ind w:firstLine="480"/>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1.6资金支付</w:t>
      </w:r>
    </w:p>
    <w:p w14:paraId="26D8C26A">
      <w:pPr>
        <w:pStyle w:val="69"/>
        <w:spacing w:before="0" w:beforeAutospacing="0" w:after="0" w:afterAutospacing="0" w:line="560" w:lineRule="exact"/>
        <w:ind w:firstLine="48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CF8E9CB">
      <w:pPr>
        <w:spacing w:line="560" w:lineRule="exact"/>
        <w:ind w:firstLine="480" w:firstLineChars="200"/>
        <w:outlineLvl w:val="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1.6.2资金支付的方式、时间和条件详见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46C0D53F">
      <w:pPr>
        <w:spacing w:line="560" w:lineRule="exact"/>
        <w:ind w:firstLine="482" w:firstLineChars="200"/>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1.7 履行期限、地点和方式</w:t>
      </w:r>
      <w:bookmarkEnd w:id="413"/>
      <w:bookmarkEnd w:id="414"/>
      <w:bookmarkEnd w:id="415"/>
      <w:bookmarkEnd w:id="416"/>
      <w:bookmarkEnd w:id="417"/>
    </w:p>
    <w:p w14:paraId="27067851">
      <w:pPr>
        <w:spacing w:line="560" w:lineRule="exact"/>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1.7.1 货物交付（实施）的时间（期限）：</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5925FE2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1.7.2 货物交付（实施）的地点（地域范围）：</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47D50E9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1.7.3 货物交付（实施）的方式：</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6C740529">
      <w:pPr>
        <w:spacing w:line="560" w:lineRule="exact"/>
        <w:ind w:firstLine="482" w:firstLineChars="200"/>
        <w:outlineLvl w:val="0"/>
        <w:rPr>
          <w:rFonts w:hint="eastAsia" w:ascii="仿宋_GB2312" w:hAnsi="仿宋_GB2312" w:eastAsia="仿宋_GB2312" w:cs="仿宋_GB2312"/>
          <w:sz w:val="24"/>
          <w:szCs w:val="24"/>
          <w:highlight w:val="none"/>
          <w:u w:val="single"/>
        </w:rPr>
      </w:pPr>
      <w:bookmarkStart w:id="418" w:name="_Toc5698"/>
      <w:bookmarkStart w:id="419" w:name="_Toc24662"/>
      <w:bookmarkStart w:id="420" w:name="_Toc8586"/>
      <w:bookmarkStart w:id="421" w:name="_Toc2375"/>
      <w:bookmarkStart w:id="422" w:name="_Toc3079"/>
      <w:r>
        <w:rPr>
          <w:rFonts w:hint="eastAsia" w:ascii="仿宋_GB2312" w:hAnsi="仿宋_GB2312" w:eastAsia="仿宋_GB2312" w:cs="仿宋_GB2312"/>
          <w:b/>
          <w:sz w:val="24"/>
          <w:szCs w:val="24"/>
          <w:highlight w:val="none"/>
        </w:rPr>
        <w:t>1.8违约责任</w:t>
      </w:r>
      <w:bookmarkEnd w:id="418"/>
      <w:bookmarkEnd w:id="419"/>
      <w:bookmarkEnd w:id="420"/>
      <w:bookmarkEnd w:id="421"/>
      <w:bookmarkEnd w:id="422"/>
    </w:p>
    <w:p w14:paraId="26B22A9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0.5‰计算，最高限额为本合同总价的</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u w:val="single"/>
        </w:rPr>
        <w:t>%</w:t>
      </w:r>
      <w:r>
        <w:rPr>
          <w:rFonts w:hint="eastAsia" w:ascii="仿宋_GB2312" w:hAnsi="仿宋_GB2312" w:eastAsia="仿宋_GB2312" w:cs="仿宋_GB2312"/>
          <w:sz w:val="24"/>
          <w:szCs w:val="24"/>
          <w:highlight w:val="none"/>
        </w:rPr>
        <w:t>；迟延履行的违约金计算数额达到前述最高限额之日起，甲方有权在要求乙方支付违约金的同时，书面通知乙方解除本合同；</w:t>
      </w:r>
    </w:p>
    <w:p w14:paraId="323DF3C7">
      <w:pPr>
        <w:pStyle w:val="4"/>
        <w:spacing w:line="560" w:lineRule="exact"/>
        <w:ind w:firstLine="480" w:firstLineChars="200"/>
        <w:rPr>
          <w:rFonts w:hint="eastAsia" w:ascii="仿宋_GB2312" w:hAnsi="仿宋_GB2312" w:eastAsia="仿宋_GB2312" w:cs="仿宋_GB2312"/>
          <w:b w:val="0"/>
          <w:sz w:val="24"/>
          <w:szCs w:val="24"/>
          <w:highlight w:val="none"/>
        </w:rPr>
      </w:pPr>
      <w:r>
        <w:rPr>
          <w:rFonts w:hint="eastAsia" w:ascii="仿宋_GB2312" w:hAnsi="仿宋_GB2312" w:eastAsia="仿宋_GB2312" w:cs="仿宋_GB2312"/>
          <w:b w:val="0"/>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_GB2312" w:eastAsia="仿宋_GB2312" w:cs="仿宋_GB2312"/>
          <w:sz w:val="24"/>
          <w:szCs w:val="24"/>
          <w:highlight w:val="none"/>
        </w:rPr>
        <w:t>0.5‰</w:t>
      </w:r>
      <w:r>
        <w:rPr>
          <w:rFonts w:hint="eastAsia" w:ascii="仿宋_GB2312" w:hAnsi="仿宋_GB2312" w:eastAsia="仿宋_GB2312" w:cs="仿宋_GB2312"/>
          <w:b w:val="0"/>
          <w:sz w:val="24"/>
          <w:szCs w:val="24"/>
          <w:highlight w:val="none"/>
          <w:u w:val="single"/>
        </w:rPr>
        <w:t>计算</w:t>
      </w:r>
      <w:r>
        <w:rPr>
          <w:rFonts w:hint="eastAsia" w:ascii="仿宋_GB2312" w:hAnsi="仿宋_GB2312" w:eastAsia="仿宋_GB2312" w:cs="仿宋_GB2312"/>
          <w:b w:val="0"/>
          <w:sz w:val="24"/>
          <w:szCs w:val="24"/>
          <w:highlight w:val="none"/>
        </w:rPr>
        <w:t>，最高限额为本合同总价的</w:t>
      </w:r>
      <w:r>
        <w:rPr>
          <w:rFonts w:hint="eastAsia" w:ascii="仿宋_GB2312" w:hAnsi="仿宋_GB2312" w:eastAsia="仿宋_GB2312" w:cs="仿宋_GB2312"/>
          <w:b w:val="0"/>
          <w:sz w:val="24"/>
          <w:szCs w:val="24"/>
          <w:highlight w:val="none"/>
          <w:u w:val="single"/>
          <w:lang w:val="en-US" w:eastAsia="zh-CN"/>
        </w:rPr>
        <w:t>10</w:t>
      </w:r>
      <w:r>
        <w:rPr>
          <w:rFonts w:hint="eastAsia" w:ascii="仿宋_GB2312" w:hAnsi="仿宋_GB2312" w:eastAsia="仿宋_GB2312" w:cs="仿宋_GB2312"/>
          <w:b w:val="0"/>
          <w:sz w:val="24"/>
          <w:szCs w:val="24"/>
          <w:highlight w:val="none"/>
          <w:u w:val="single"/>
        </w:rPr>
        <w:t>%</w:t>
      </w:r>
      <w:r>
        <w:rPr>
          <w:rFonts w:hint="eastAsia" w:ascii="仿宋_GB2312" w:hAnsi="仿宋_GB2312" w:eastAsia="仿宋_GB2312" w:cs="仿宋_GB2312"/>
          <w:b w:val="0"/>
          <w:sz w:val="24"/>
          <w:szCs w:val="24"/>
          <w:highlight w:val="none"/>
        </w:rPr>
        <w:t>；迟延交付货物的违约金计算数额达到前述最高限额之日起，甲方有权在要求乙方支付违约金的同时，书面通知乙方解除本合同；</w:t>
      </w:r>
    </w:p>
    <w:p w14:paraId="660DDBC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1.8.3除不可抗力外，如果甲方没有按照本合同约定的付款方式付款，那么乙方可要求甲方支付违约金，违约金按每迟延付款一日的应付而未付款的0.5‰%计算，最高限额为本合同总价的</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u w:val="single"/>
        </w:rPr>
        <w:t>%</w:t>
      </w:r>
      <w:r>
        <w:rPr>
          <w:rFonts w:hint="eastAsia" w:ascii="仿宋_GB2312" w:hAnsi="仿宋_GB2312" w:eastAsia="仿宋_GB2312" w:cs="仿宋_GB2312"/>
          <w:sz w:val="24"/>
          <w:szCs w:val="24"/>
          <w:highlight w:val="none"/>
        </w:rPr>
        <w:t>；迟延付款的违约金计算数额达到前述最高限额之日起，乙方有权在要求甲方支付违约金的同时，书面通知甲方解除本合同；</w:t>
      </w:r>
    </w:p>
    <w:p w14:paraId="04745B44">
      <w:pPr>
        <w:spacing w:line="560" w:lineRule="exact"/>
        <w:ind w:firstLine="480" w:firstLineChars="200"/>
        <w:rPr>
          <w:rFonts w:hint="eastAsia" w:ascii="仿宋_GB2312" w:hAnsi="仿宋_GB2312" w:eastAsia="仿宋_GB2312" w:cs="仿宋_GB2312"/>
          <w:sz w:val="24"/>
          <w:szCs w:val="24"/>
          <w:highlight w:val="none"/>
        </w:rPr>
      </w:pPr>
      <w:bookmarkStart w:id="423" w:name="_Toc32454"/>
      <w:bookmarkStart w:id="424" w:name="_Toc26807"/>
      <w:bookmarkStart w:id="425" w:name="_Toc9497"/>
      <w:bookmarkStart w:id="426" w:name="_Toc30329"/>
      <w:bookmarkStart w:id="427" w:name="_Toc18683"/>
      <w:r>
        <w:rPr>
          <w:rFonts w:hint="eastAsia" w:ascii="仿宋_GB2312" w:hAnsi="仿宋_GB2312" w:eastAsia="仿宋_GB2312" w:cs="仿宋_GB2312"/>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6CD59B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A0D6945">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0E4F8010">
      <w:pPr>
        <w:spacing w:line="560" w:lineRule="exact"/>
        <w:ind w:right="-420" w:rightChars="-200"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1.8.7违约责任</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另有约定的，从其约定。</w:t>
      </w:r>
    </w:p>
    <w:bookmarkEnd w:id="423"/>
    <w:bookmarkEnd w:id="424"/>
    <w:bookmarkEnd w:id="425"/>
    <w:bookmarkEnd w:id="426"/>
    <w:bookmarkEnd w:id="427"/>
    <w:p w14:paraId="3AAB3407">
      <w:pPr>
        <w:spacing w:line="560" w:lineRule="exact"/>
        <w:ind w:firstLine="482" w:firstLineChars="200"/>
        <w:outlineLvl w:val="0"/>
        <w:rPr>
          <w:rFonts w:hint="eastAsia" w:ascii="仿宋_GB2312" w:hAnsi="仿宋_GB2312" w:eastAsia="仿宋_GB2312" w:cs="仿宋_GB2312"/>
          <w:b/>
          <w:sz w:val="24"/>
          <w:szCs w:val="24"/>
          <w:highlight w:val="none"/>
        </w:rPr>
      </w:pPr>
      <w:bookmarkStart w:id="428" w:name="_Toc15583"/>
      <w:bookmarkStart w:id="429" w:name="_Toc28375"/>
      <w:bookmarkStart w:id="430" w:name="_Toc16021"/>
      <w:r>
        <w:rPr>
          <w:rFonts w:hint="eastAsia" w:ascii="仿宋_GB2312" w:hAnsi="仿宋_GB2312" w:eastAsia="仿宋_GB2312" w:cs="仿宋_GB2312"/>
          <w:b/>
          <w:sz w:val="24"/>
          <w:szCs w:val="24"/>
          <w:highlight w:val="none"/>
        </w:rPr>
        <w:t>1.9合同争议的解决</w:t>
      </w:r>
      <w:bookmarkEnd w:id="428"/>
      <w:bookmarkEnd w:id="429"/>
      <w:bookmarkEnd w:id="430"/>
    </w:p>
    <w:p w14:paraId="38B36133">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 xml:space="preserve">  本合同履行过程中发生的任何争议，双方当事人均可通过和解或者调解解决；不愿和解、调解或者和解、调解不成的，可以选择以下第条款规定的方式解决：</w:t>
      </w:r>
    </w:p>
    <w:p w14:paraId="6F10D8E7">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1.9.1 将争议提交舟山仲裁委员会依申请仲裁时其现行有效的仲裁规则裁决；</w:t>
      </w:r>
    </w:p>
    <w:p w14:paraId="63DF7B4E">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1.9.2 向</w:t>
      </w:r>
      <w:r>
        <w:rPr>
          <w:rFonts w:hint="eastAsia" w:ascii="仿宋_GB2312" w:hAnsi="仿宋_GB2312" w:eastAsia="仿宋_GB2312" w:cs="仿宋_GB2312"/>
          <w:b/>
          <w:i/>
          <w:kern w:val="2"/>
          <w:sz w:val="24"/>
          <w:szCs w:val="24"/>
          <w:highlight w:val="none"/>
          <w:u w:val="single"/>
          <w:lang w:val="en-US" w:eastAsia="zh-CN" w:bidi="ar-SA"/>
        </w:rPr>
        <w:t>合同专用条款</w:t>
      </w:r>
      <w:r>
        <w:rPr>
          <w:rFonts w:hint="eastAsia" w:ascii="仿宋_GB2312" w:hAnsi="仿宋_GB2312" w:eastAsia="仿宋_GB2312" w:cs="仿宋_GB2312"/>
          <w:sz w:val="24"/>
          <w:szCs w:val="24"/>
          <w:highlight w:val="none"/>
          <w:lang w:val="en-US" w:eastAsia="zh-CN"/>
        </w:rPr>
        <w:t>人民法院起诉。</w:t>
      </w:r>
    </w:p>
    <w:p w14:paraId="39178D71">
      <w:pPr>
        <w:pStyle w:val="2"/>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1.9.3本合同未尽事宜，遵照《民典法》有关条文和《浙江国际海运职业技术学院办公电脑采购项目》（项目编号：）执行。</w:t>
      </w:r>
    </w:p>
    <w:p w14:paraId="07483562">
      <w:pPr>
        <w:spacing w:line="560" w:lineRule="exact"/>
        <w:ind w:firstLine="482" w:firstLineChars="200"/>
        <w:outlineLvl w:val="0"/>
        <w:rPr>
          <w:rFonts w:hint="eastAsia" w:ascii="仿宋_GB2312" w:hAnsi="仿宋_GB2312" w:eastAsia="仿宋_GB2312" w:cs="仿宋_GB2312"/>
          <w:b/>
          <w:sz w:val="24"/>
          <w:szCs w:val="24"/>
          <w:highlight w:val="none"/>
        </w:rPr>
      </w:pPr>
      <w:bookmarkStart w:id="431" w:name="_Toc11173"/>
      <w:bookmarkStart w:id="432" w:name="_Toc7245"/>
      <w:bookmarkStart w:id="433" w:name="_Toc15322"/>
      <w:r>
        <w:rPr>
          <w:rFonts w:hint="eastAsia" w:ascii="仿宋_GB2312" w:hAnsi="仿宋_GB2312" w:eastAsia="仿宋_GB2312" w:cs="仿宋_GB2312"/>
          <w:b/>
          <w:sz w:val="24"/>
          <w:szCs w:val="24"/>
          <w:highlight w:val="none"/>
        </w:rPr>
        <w:t>2.0 合同生效</w:t>
      </w:r>
      <w:bookmarkEnd w:id="431"/>
      <w:bookmarkEnd w:id="432"/>
      <w:bookmarkEnd w:id="433"/>
    </w:p>
    <w:p w14:paraId="6EADCD72">
      <w:pPr>
        <w:spacing w:line="560" w:lineRule="exact"/>
        <w:ind w:firstLine="480" w:firstLineChars="200"/>
        <w:rPr>
          <w:rFonts w:hint="eastAsia" w:ascii="仿宋_GB2312" w:hAnsi="仿宋_GB2312" w:eastAsia="仿宋_GB2312" w:cs="仿宋_GB2312"/>
          <w:b/>
          <w:sz w:val="24"/>
          <w:szCs w:val="24"/>
          <w:highlight w:val="none"/>
        </w:rPr>
      </w:pPr>
      <w:r>
        <w:rPr>
          <w:rFonts w:hint="eastAsia" w:ascii="仿宋_GB2312" w:hAnsi="仿宋_GB2312" w:eastAsia="仿宋_GB2312" w:cs="仿宋_GB2312"/>
          <w:sz w:val="24"/>
          <w:szCs w:val="24"/>
          <w:highlight w:val="none"/>
        </w:rPr>
        <w:t>本合同自双方当事人盖章签字时生效。</w:t>
      </w:r>
    </w:p>
    <w:p w14:paraId="6942AA83">
      <w:pPr>
        <w:autoSpaceDE w:val="0"/>
        <w:autoSpaceDN w:val="0"/>
        <w:spacing w:line="560" w:lineRule="exact"/>
        <w:rPr>
          <w:rFonts w:hint="eastAsia" w:ascii="仿宋_GB2312" w:hAnsi="仿宋_GB2312" w:eastAsia="仿宋_GB2312" w:cs="仿宋_GB2312"/>
          <w:sz w:val="24"/>
          <w:szCs w:val="24"/>
          <w:highlight w:val="none"/>
          <w:lang w:val="zh-CN"/>
        </w:rPr>
      </w:pPr>
    </w:p>
    <w:p w14:paraId="5D401751">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b/>
          <w:sz w:val="24"/>
          <w:szCs w:val="24"/>
          <w:highlight w:val="none"/>
          <w:lang w:val="zh-CN"/>
        </w:rPr>
        <w:t>甲方</w:t>
      </w:r>
      <w:r>
        <w:rPr>
          <w:rFonts w:hint="eastAsia" w:ascii="仿宋_GB2312" w:hAnsi="仿宋_GB2312" w:eastAsia="仿宋_GB2312" w:cs="仿宋_GB2312"/>
          <w:sz w:val="24"/>
          <w:szCs w:val="24"/>
          <w:highlight w:val="none"/>
          <w:lang w:val="zh-CN"/>
        </w:rPr>
        <w:t xml:space="preserve">：                             </w:t>
      </w:r>
      <w:r>
        <w:rPr>
          <w:rFonts w:hint="eastAsia" w:ascii="仿宋_GB2312" w:hAnsi="仿宋_GB2312" w:eastAsia="仿宋_GB2312" w:cs="仿宋_GB2312"/>
          <w:b/>
          <w:sz w:val="24"/>
          <w:szCs w:val="24"/>
          <w:highlight w:val="none"/>
          <w:lang w:val="zh-CN"/>
        </w:rPr>
        <w:t xml:space="preserve">      乙方</w:t>
      </w:r>
      <w:r>
        <w:rPr>
          <w:rFonts w:hint="eastAsia" w:ascii="仿宋_GB2312" w:hAnsi="仿宋_GB2312" w:eastAsia="仿宋_GB2312" w:cs="仿宋_GB2312"/>
          <w:sz w:val="24"/>
          <w:szCs w:val="24"/>
          <w:highlight w:val="none"/>
          <w:lang w:val="zh-CN"/>
        </w:rPr>
        <w:t>：</w:t>
      </w:r>
    </w:p>
    <w:p w14:paraId="1EF0A3B5">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统一社会信用代码：                        统一社会信用代码或身份证号码：</w:t>
      </w:r>
    </w:p>
    <w:p w14:paraId="6B825609">
      <w:pPr>
        <w:autoSpaceDE w:val="0"/>
        <w:autoSpaceDN w:val="0"/>
        <w:spacing w:line="560" w:lineRule="exact"/>
        <w:rPr>
          <w:rFonts w:hint="eastAsia" w:ascii="仿宋_GB2312" w:hAnsi="仿宋_GB2312" w:eastAsia="仿宋_GB2312" w:cs="仿宋_GB2312"/>
          <w:sz w:val="24"/>
          <w:szCs w:val="24"/>
          <w:highlight w:val="none"/>
          <w:lang w:val="zh-CN"/>
        </w:rPr>
      </w:pPr>
    </w:p>
    <w:p w14:paraId="67BA9B8D">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住所：                                   住所：</w:t>
      </w:r>
    </w:p>
    <w:p w14:paraId="24BA38E7">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法定代表人或                             法定代表人或</w:t>
      </w:r>
    </w:p>
    <w:p w14:paraId="61646FF6">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 xml:space="preserve">授权代表（签字）：                       授权代表（签字）: </w:t>
      </w:r>
    </w:p>
    <w:p w14:paraId="38D7324A">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联系人：                                 联系人：</w:t>
      </w:r>
    </w:p>
    <w:p w14:paraId="6FA3E0AD">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约定送达地址：                           约定送达地址：</w:t>
      </w:r>
    </w:p>
    <w:p w14:paraId="6045959E">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邮政编码：                               邮政编码：</w:t>
      </w:r>
    </w:p>
    <w:p w14:paraId="10844A29">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 xml:space="preserve">电话:                                    电话: </w:t>
      </w:r>
    </w:p>
    <w:p w14:paraId="587035B8">
      <w:pPr>
        <w:autoSpaceDE w:val="0"/>
        <w:autoSpaceDN w:val="0"/>
        <w:spacing w:line="560" w:lineRule="exact"/>
        <w:rPr>
          <w:rFonts w:hint="eastAsia" w:ascii="仿宋_GB2312" w:hAnsi="仿宋_GB2312" w:eastAsia="仿宋_GB2312" w:cs="仿宋_GB2312"/>
          <w:sz w:val="24"/>
          <w:szCs w:val="24"/>
          <w:highlight w:val="none"/>
          <w:lang w:val="zh-CN"/>
        </w:rPr>
      </w:pPr>
      <w:r>
        <w:rPr>
          <w:rFonts w:hint="eastAsia" w:ascii="仿宋_GB2312" w:hAnsi="仿宋_GB2312" w:eastAsia="仿宋_GB2312" w:cs="仿宋_GB2312"/>
          <w:sz w:val="24"/>
          <w:szCs w:val="24"/>
          <w:highlight w:val="none"/>
          <w:lang w:val="zh-CN"/>
        </w:rPr>
        <w:t>传真:                                    传真:</w:t>
      </w:r>
    </w:p>
    <w:p w14:paraId="65921D6D">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zh-CN"/>
        </w:rPr>
        <w:t>电子邮箱：                               电子邮箱：</w:t>
      </w:r>
    </w:p>
    <w:p w14:paraId="65D7A29F">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开户银行：                               开户银行： </w:t>
      </w:r>
    </w:p>
    <w:p w14:paraId="716C7A37">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开户名称：                               开户名称： </w:t>
      </w:r>
    </w:p>
    <w:p w14:paraId="5EA45408">
      <w:pPr>
        <w:autoSpaceDE w:val="0"/>
        <w:autoSpaceDN w:val="0"/>
        <w:spacing w:line="56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开户账号：</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开户账号：</w:t>
      </w:r>
    </w:p>
    <w:p w14:paraId="1A35D015">
      <w:pP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sz w:val="24"/>
          <w:szCs w:val="24"/>
          <w:highlight w:val="none"/>
          <w:lang w:eastAsia="zh-CN"/>
        </w:rPr>
        <w:br w:type="page"/>
      </w:r>
    </w:p>
    <w:p w14:paraId="5A071048">
      <w:pPr>
        <w:pStyle w:val="63"/>
        <w:spacing w:line="560" w:lineRule="exact"/>
        <w:ind w:firstLine="562"/>
        <w:jc w:val="center"/>
        <w:rPr>
          <w:rFonts w:hint="eastAsia" w:ascii="仿宋_GB2312" w:hAnsi="仿宋_GB2312" w:eastAsia="仿宋_GB2312" w:cs="仿宋_GB2312"/>
          <w:b/>
          <w:sz w:val="24"/>
          <w:szCs w:val="24"/>
          <w:highlight w:val="none"/>
          <w:lang w:eastAsia="zh-CN"/>
        </w:rPr>
      </w:pPr>
      <w:r>
        <w:rPr>
          <w:rFonts w:hint="eastAsia" w:ascii="仿宋_GB2312" w:hAnsi="仿宋_GB2312" w:eastAsia="仿宋_GB2312" w:cs="仿宋_GB2312"/>
          <w:b/>
          <w:sz w:val="24"/>
          <w:szCs w:val="24"/>
          <w:highlight w:val="none"/>
          <w:lang w:eastAsia="zh-CN"/>
        </w:rPr>
        <w:t>第二部分 合同一般条款</w:t>
      </w:r>
    </w:p>
    <w:p w14:paraId="12C0FEDA">
      <w:pPr>
        <w:spacing w:line="560" w:lineRule="exact"/>
        <w:ind w:firstLine="482" w:firstLineChars="200"/>
        <w:outlineLvl w:val="0"/>
        <w:rPr>
          <w:rFonts w:hint="eastAsia" w:ascii="仿宋_GB2312" w:hAnsi="仿宋_GB2312" w:eastAsia="仿宋_GB2312" w:cs="仿宋_GB2312"/>
          <w:b/>
          <w:sz w:val="24"/>
          <w:szCs w:val="24"/>
          <w:highlight w:val="none"/>
        </w:rPr>
      </w:pPr>
      <w:bookmarkStart w:id="434" w:name="_Toc25079"/>
      <w:bookmarkStart w:id="435" w:name="_Toc31297"/>
      <w:bookmarkStart w:id="436" w:name="_Toc5228"/>
      <w:bookmarkStart w:id="437" w:name="_Toc14021"/>
      <w:bookmarkStart w:id="438" w:name="_Toc19680"/>
      <w:r>
        <w:rPr>
          <w:rFonts w:hint="eastAsia" w:ascii="仿宋_GB2312" w:hAnsi="仿宋_GB2312" w:eastAsia="仿宋_GB2312" w:cs="仿宋_GB2312"/>
          <w:b/>
          <w:sz w:val="24"/>
          <w:szCs w:val="24"/>
          <w:highlight w:val="none"/>
        </w:rPr>
        <w:t>2.1 定义</w:t>
      </w:r>
      <w:bookmarkEnd w:id="434"/>
      <w:bookmarkEnd w:id="435"/>
      <w:bookmarkEnd w:id="436"/>
      <w:bookmarkEnd w:id="437"/>
      <w:bookmarkEnd w:id="438"/>
    </w:p>
    <w:p w14:paraId="38D8099C">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本合同中的下列词语应按以下内容进行解释：</w:t>
      </w:r>
    </w:p>
    <w:p w14:paraId="6355D81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 “合同”系指采购人和中标或成交供应商签订的载明双方当事人所达成的协议，并包括所有的附件、附录和构成合同的其他文件。</w:t>
      </w:r>
    </w:p>
    <w:p w14:paraId="2DB3157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2.1.2 “合同价”系指根据合同约定，中标或成交供应商在完全履行合同义务后，采购人应支付给中标或成交供应商的价格。</w:t>
      </w:r>
    </w:p>
    <w:p w14:paraId="5DBAD99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2.1.3 “服务”系指中标或成交供应商根据合同约定应向采购人履行的除货物和工程以外的其他政府采购对象，包括采购人自身需要的服务和向社会公众提供的公共服务。</w:t>
      </w:r>
    </w:p>
    <w:p w14:paraId="19A76B6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2.1.4 “甲方”系指与中标或成交供应商签署合同的采购人；采购人委托采购代理机构代表其与乙方签订合同的，采购人的授权委托书作为合同附件。</w:t>
      </w:r>
    </w:p>
    <w:p w14:paraId="18035AA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FDEB739">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2.1.6 “现场”系指合同约定提供服务的地点。</w:t>
      </w:r>
    </w:p>
    <w:p w14:paraId="088507E9">
      <w:pPr>
        <w:spacing w:line="560" w:lineRule="exact"/>
        <w:ind w:firstLine="482" w:firstLineChars="200"/>
        <w:outlineLvl w:val="0"/>
        <w:rPr>
          <w:rFonts w:hint="eastAsia" w:ascii="仿宋_GB2312" w:hAnsi="仿宋_GB2312" w:eastAsia="仿宋_GB2312" w:cs="仿宋_GB2312"/>
          <w:b/>
          <w:sz w:val="24"/>
          <w:szCs w:val="24"/>
          <w:highlight w:val="none"/>
        </w:rPr>
      </w:pPr>
      <w:bookmarkStart w:id="439" w:name="_Toc19539"/>
      <w:bookmarkStart w:id="440" w:name="_Toc23289"/>
      <w:bookmarkStart w:id="441" w:name="_Toc3769"/>
      <w:bookmarkStart w:id="442" w:name="_Toc31402"/>
      <w:bookmarkStart w:id="443" w:name="_Toc16752"/>
      <w:r>
        <w:rPr>
          <w:rFonts w:hint="eastAsia" w:ascii="仿宋_GB2312" w:hAnsi="仿宋_GB2312" w:eastAsia="仿宋_GB2312" w:cs="仿宋_GB2312"/>
          <w:b/>
          <w:sz w:val="24"/>
          <w:szCs w:val="24"/>
          <w:highlight w:val="none"/>
        </w:rPr>
        <w:t>2.2 技术规范</w:t>
      </w:r>
      <w:bookmarkEnd w:id="439"/>
      <w:bookmarkEnd w:id="440"/>
      <w:bookmarkEnd w:id="441"/>
      <w:bookmarkEnd w:id="442"/>
      <w:bookmarkEnd w:id="443"/>
    </w:p>
    <w:p w14:paraId="2B93DAB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34717DF8">
      <w:pPr>
        <w:spacing w:line="560" w:lineRule="exact"/>
        <w:ind w:firstLine="482" w:firstLineChars="200"/>
        <w:outlineLvl w:val="0"/>
        <w:rPr>
          <w:rFonts w:hint="eastAsia" w:ascii="仿宋_GB2312" w:hAnsi="仿宋_GB2312" w:eastAsia="仿宋_GB2312" w:cs="仿宋_GB2312"/>
          <w:b/>
          <w:sz w:val="24"/>
          <w:szCs w:val="24"/>
          <w:highlight w:val="none"/>
        </w:rPr>
      </w:pPr>
      <w:bookmarkStart w:id="444" w:name="_Toc4133"/>
      <w:bookmarkStart w:id="445" w:name="_Toc13673"/>
      <w:bookmarkStart w:id="446" w:name="_Toc12412"/>
      <w:bookmarkStart w:id="447" w:name="_Toc9161"/>
      <w:bookmarkStart w:id="448" w:name="_Toc27945"/>
      <w:r>
        <w:rPr>
          <w:rFonts w:hint="eastAsia" w:ascii="仿宋_GB2312" w:hAnsi="仿宋_GB2312" w:eastAsia="仿宋_GB2312" w:cs="仿宋_GB2312"/>
          <w:b/>
          <w:sz w:val="24"/>
          <w:szCs w:val="24"/>
          <w:highlight w:val="none"/>
        </w:rPr>
        <w:t>2.3 知识产权</w:t>
      </w:r>
      <w:bookmarkEnd w:id="444"/>
      <w:bookmarkEnd w:id="445"/>
      <w:bookmarkEnd w:id="446"/>
      <w:bookmarkEnd w:id="447"/>
      <w:bookmarkEnd w:id="448"/>
    </w:p>
    <w:p w14:paraId="5A1C3348">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556B03F">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 合同涉及技术成果的归属和收益的分成办法的，详见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7E38F38F">
      <w:pPr>
        <w:spacing w:line="560" w:lineRule="exact"/>
        <w:ind w:firstLine="482" w:firstLineChars="20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2.4 履约检查和问题反馈</w:t>
      </w:r>
    </w:p>
    <w:p w14:paraId="3E028B43">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048C00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2.4.2 合同履行期间，甲方有权将履行过程中出现的问题反馈给乙方，双方当事人应以书面形式约定需要完善和改进的内容。</w:t>
      </w:r>
    </w:p>
    <w:p w14:paraId="17460086">
      <w:pPr>
        <w:spacing w:line="560" w:lineRule="exact"/>
        <w:ind w:firstLine="482" w:firstLineChars="200"/>
        <w:outlineLvl w:val="0"/>
        <w:rPr>
          <w:rFonts w:hint="eastAsia" w:ascii="仿宋_GB2312" w:hAnsi="仿宋_GB2312" w:eastAsia="仿宋_GB2312" w:cs="仿宋_GB2312"/>
          <w:b/>
          <w:sz w:val="24"/>
          <w:szCs w:val="24"/>
          <w:highlight w:val="none"/>
        </w:rPr>
      </w:pPr>
      <w:bookmarkStart w:id="449" w:name="_Toc26555"/>
      <w:bookmarkStart w:id="450" w:name="_Toc22011"/>
      <w:bookmarkStart w:id="451" w:name="_Toc31233"/>
      <w:bookmarkStart w:id="452" w:name="_Toc32670"/>
      <w:bookmarkStart w:id="453" w:name="_Toc15447"/>
      <w:r>
        <w:rPr>
          <w:rFonts w:hint="eastAsia" w:ascii="仿宋_GB2312" w:hAnsi="仿宋_GB2312" w:eastAsia="仿宋_GB2312" w:cs="仿宋_GB2312"/>
          <w:b/>
          <w:sz w:val="24"/>
          <w:szCs w:val="24"/>
          <w:highlight w:val="none"/>
        </w:rPr>
        <w:t>2.5 结算方式和付款条件</w:t>
      </w:r>
      <w:bookmarkEnd w:id="449"/>
      <w:bookmarkEnd w:id="450"/>
      <w:bookmarkEnd w:id="451"/>
      <w:bookmarkEnd w:id="452"/>
      <w:bookmarkEnd w:id="453"/>
    </w:p>
    <w:p w14:paraId="2E8B445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详见</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w:t>
      </w:r>
    </w:p>
    <w:p w14:paraId="569554A5">
      <w:pPr>
        <w:spacing w:line="560" w:lineRule="exact"/>
        <w:ind w:firstLine="482" w:firstLineChars="200"/>
        <w:outlineLvl w:val="0"/>
        <w:rPr>
          <w:rFonts w:hint="eastAsia" w:ascii="仿宋_GB2312" w:hAnsi="仿宋_GB2312" w:eastAsia="仿宋_GB2312" w:cs="仿宋_GB2312"/>
          <w:b/>
          <w:sz w:val="24"/>
          <w:szCs w:val="24"/>
          <w:highlight w:val="none"/>
        </w:rPr>
      </w:pPr>
      <w:bookmarkStart w:id="454" w:name="_Toc18990"/>
      <w:bookmarkStart w:id="455" w:name="_Toc13154"/>
      <w:bookmarkStart w:id="456" w:name="_Toc30507"/>
      <w:bookmarkStart w:id="457" w:name="_Toc13467"/>
      <w:bookmarkStart w:id="458" w:name="_Toc16163"/>
      <w:r>
        <w:rPr>
          <w:rFonts w:hint="eastAsia" w:ascii="仿宋_GB2312" w:hAnsi="仿宋_GB2312" w:eastAsia="仿宋_GB2312" w:cs="仿宋_GB2312"/>
          <w:b/>
          <w:sz w:val="24"/>
          <w:szCs w:val="24"/>
          <w:highlight w:val="none"/>
        </w:rPr>
        <w:t>2.6 技术资料和保密义务</w:t>
      </w:r>
      <w:bookmarkEnd w:id="454"/>
      <w:bookmarkEnd w:id="455"/>
      <w:bookmarkEnd w:id="456"/>
      <w:bookmarkEnd w:id="457"/>
      <w:bookmarkEnd w:id="458"/>
    </w:p>
    <w:p w14:paraId="7C3882E1">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2.6.1 乙方有权依据合同约定和项目需要，向甲方了解有关情况，调阅有关资料等，甲方应予积极配合；</w:t>
      </w:r>
    </w:p>
    <w:p w14:paraId="788DEA3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2.6.2 乙方有义务妥善保管和保护由甲方提供的前款信息和资料等；</w:t>
      </w:r>
    </w:p>
    <w:p w14:paraId="349AE1F6">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2AC66493">
      <w:pPr>
        <w:spacing w:line="560" w:lineRule="exact"/>
        <w:ind w:firstLine="482" w:firstLineChars="200"/>
        <w:outlineLvl w:val="0"/>
        <w:rPr>
          <w:rFonts w:hint="eastAsia" w:ascii="仿宋_GB2312" w:hAnsi="仿宋_GB2312" w:eastAsia="仿宋_GB2312" w:cs="仿宋_GB2312"/>
          <w:b/>
          <w:sz w:val="24"/>
          <w:szCs w:val="24"/>
          <w:highlight w:val="none"/>
        </w:rPr>
      </w:pPr>
      <w:bookmarkStart w:id="459" w:name="_Toc19069"/>
      <w:r>
        <w:rPr>
          <w:rFonts w:hint="eastAsia" w:ascii="仿宋_GB2312" w:hAnsi="仿宋_GB2312" w:eastAsia="仿宋_GB2312" w:cs="仿宋_GB2312"/>
          <w:b/>
          <w:sz w:val="24"/>
          <w:szCs w:val="24"/>
          <w:highlight w:val="none"/>
        </w:rPr>
        <w:t>2.7 质量保证</w:t>
      </w:r>
      <w:bookmarkEnd w:id="459"/>
    </w:p>
    <w:p w14:paraId="1FD4C08B">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2.7.1 乙方应建立和完善履行合同的内部质量保证体系，并提供相关内部规章制度给甲方，以便甲方进行监督检查；</w:t>
      </w:r>
    </w:p>
    <w:p w14:paraId="6F8F83C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2.7.2 乙方应保证履行合同的人员数量和素质、软件和硬件设备的配置、场地、环境和设施等满足全面履行合同的要求，并应接受甲方的监督检查。</w:t>
      </w:r>
    </w:p>
    <w:p w14:paraId="7AFF85E0">
      <w:pPr>
        <w:spacing w:line="560" w:lineRule="exact"/>
        <w:ind w:firstLine="482" w:firstLineChars="200"/>
        <w:outlineLvl w:val="0"/>
        <w:rPr>
          <w:rFonts w:hint="eastAsia" w:ascii="仿宋_GB2312" w:hAnsi="仿宋_GB2312" w:eastAsia="仿宋_GB2312" w:cs="仿宋_GB2312"/>
          <w:b/>
          <w:sz w:val="24"/>
          <w:szCs w:val="24"/>
          <w:highlight w:val="none"/>
        </w:rPr>
      </w:pPr>
      <w:bookmarkStart w:id="460" w:name="_Toc22267"/>
      <w:r>
        <w:rPr>
          <w:rFonts w:hint="eastAsia" w:ascii="仿宋_GB2312" w:hAnsi="仿宋_GB2312" w:eastAsia="仿宋_GB2312" w:cs="仿宋_GB2312"/>
          <w:b/>
          <w:sz w:val="24"/>
          <w:szCs w:val="24"/>
          <w:highlight w:val="none"/>
        </w:rPr>
        <w:t>2.8 延迟履行</w:t>
      </w:r>
      <w:bookmarkEnd w:id="460"/>
    </w:p>
    <w:p w14:paraId="2D520A0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A4587A9">
      <w:pPr>
        <w:spacing w:line="560" w:lineRule="exact"/>
        <w:ind w:firstLine="482" w:firstLineChars="200"/>
        <w:outlineLvl w:val="0"/>
        <w:rPr>
          <w:rFonts w:hint="eastAsia" w:ascii="仿宋_GB2312" w:hAnsi="仿宋_GB2312" w:eastAsia="仿宋_GB2312" w:cs="仿宋_GB2312"/>
          <w:b/>
          <w:sz w:val="24"/>
          <w:szCs w:val="24"/>
          <w:highlight w:val="none"/>
        </w:rPr>
      </w:pPr>
      <w:bookmarkStart w:id="461" w:name="_Toc10611"/>
      <w:r>
        <w:rPr>
          <w:rFonts w:hint="eastAsia" w:ascii="仿宋_GB2312" w:hAnsi="仿宋_GB2312" w:eastAsia="仿宋_GB2312" w:cs="仿宋_GB2312"/>
          <w:b/>
          <w:sz w:val="24"/>
          <w:szCs w:val="24"/>
          <w:highlight w:val="none"/>
        </w:rPr>
        <w:t>2.9 合同变更</w:t>
      </w:r>
      <w:bookmarkEnd w:id="461"/>
    </w:p>
    <w:p w14:paraId="3D38640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5703251E">
      <w:pPr>
        <w:spacing w:line="560" w:lineRule="exact"/>
        <w:ind w:firstLine="482" w:firstLineChars="200"/>
        <w:outlineLvl w:val="0"/>
        <w:rPr>
          <w:rFonts w:hint="eastAsia" w:ascii="仿宋_GB2312" w:hAnsi="仿宋_GB2312" w:eastAsia="仿宋_GB2312" w:cs="仿宋_GB2312"/>
          <w:b/>
          <w:sz w:val="24"/>
          <w:szCs w:val="24"/>
          <w:highlight w:val="none"/>
        </w:rPr>
      </w:pPr>
      <w:bookmarkStart w:id="462" w:name="_Toc23368"/>
      <w:bookmarkStart w:id="463" w:name="_Toc26689"/>
      <w:bookmarkStart w:id="464" w:name="_Toc10663"/>
      <w:bookmarkStart w:id="465" w:name="_Toc42"/>
      <w:bookmarkStart w:id="466" w:name="_Toc21830"/>
      <w:r>
        <w:rPr>
          <w:rFonts w:hint="eastAsia" w:ascii="仿宋_GB2312" w:hAnsi="仿宋_GB2312" w:eastAsia="仿宋_GB2312" w:cs="仿宋_GB2312"/>
          <w:b/>
          <w:sz w:val="24"/>
          <w:szCs w:val="24"/>
          <w:highlight w:val="none"/>
        </w:rPr>
        <w:t>2.10 合同转让和分包</w:t>
      </w:r>
      <w:bookmarkEnd w:id="462"/>
      <w:bookmarkEnd w:id="463"/>
      <w:bookmarkEnd w:id="464"/>
      <w:bookmarkEnd w:id="465"/>
      <w:bookmarkEnd w:id="466"/>
    </w:p>
    <w:p w14:paraId="16A9AEE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F66F5C5">
      <w:pPr>
        <w:spacing w:line="560" w:lineRule="exact"/>
        <w:ind w:firstLine="482" w:firstLineChars="200"/>
        <w:outlineLvl w:val="0"/>
        <w:rPr>
          <w:rFonts w:hint="eastAsia" w:ascii="仿宋_GB2312" w:hAnsi="仿宋_GB2312" w:eastAsia="仿宋_GB2312" w:cs="仿宋_GB2312"/>
          <w:b/>
          <w:sz w:val="24"/>
          <w:szCs w:val="24"/>
          <w:highlight w:val="none"/>
        </w:rPr>
      </w:pPr>
      <w:bookmarkStart w:id="467" w:name="_Toc32494"/>
      <w:bookmarkStart w:id="468" w:name="_Toc4720"/>
      <w:bookmarkStart w:id="469" w:name="_Toc26633"/>
      <w:bookmarkStart w:id="470" w:name="_Toc25571"/>
      <w:bookmarkStart w:id="471" w:name="_Toc14371"/>
      <w:r>
        <w:rPr>
          <w:rFonts w:hint="eastAsia" w:ascii="仿宋_GB2312" w:hAnsi="仿宋_GB2312" w:eastAsia="仿宋_GB2312" w:cs="仿宋_GB2312"/>
          <w:b/>
          <w:sz w:val="24"/>
          <w:szCs w:val="24"/>
          <w:highlight w:val="none"/>
        </w:rPr>
        <w:t>2.11 不可抗力</w:t>
      </w:r>
      <w:bookmarkEnd w:id="467"/>
      <w:bookmarkEnd w:id="468"/>
      <w:bookmarkEnd w:id="469"/>
      <w:bookmarkEnd w:id="470"/>
      <w:bookmarkEnd w:id="471"/>
    </w:p>
    <w:p w14:paraId="62851D7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2.11.1如果任何一方遭遇法律规定的不可抗力，致使合同履行受阻时，履行合同的期限应予延长，延长的期限应相当于不可抗力所影响的时间；</w:t>
      </w:r>
    </w:p>
    <w:p w14:paraId="02F231B3">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2.11.2 因不可抗力致使不能实现合同目的的，当事人可以解除合同；</w:t>
      </w:r>
    </w:p>
    <w:p w14:paraId="00FC5A17">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2.11.3 因不可抗力致使合同有变更必要的，双方当事人应在</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约定时间内以书面形式变更合同；</w:t>
      </w:r>
    </w:p>
    <w:p w14:paraId="24C02755">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2.11.4受不可抗力影响的一方在不可抗力发生后，应在</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约定时间内以书面形式通知对方当事人，并在</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约定时间内，将有关部门出具的证明文件送达对方当事人。</w:t>
      </w:r>
    </w:p>
    <w:p w14:paraId="0D36C97D">
      <w:pPr>
        <w:spacing w:line="560" w:lineRule="exact"/>
        <w:ind w:firstLine="482" w:firstLineChars="200"/>
        <w:outlineLvl w:val="0"/>
        <w:rPr>
          <w:rFonts w:hint="eastAsia" w:ascii="仿宋_GB2312" w:hAnsi="仿宋_GB2312" w:eastAsia="仿宋_GB2312" w:cs="仿宋_GB2312"/>
          <w:b/>
          <w:sz w:val="24"/>
          <w:szCs w:val="24"/>
          <w:highlight w:val="none"/>
        </w:rPr>
      </w:pPr>
      <w:bookmarkStart w:id="472" w:name="_Toc3638"/>
      <w:bookmarkStart w:id="473" w:name="_Toc25783"/>
      <w:bookmarkStart w:id="474" w:name="_Toc14115"/>
      <w:bookmarkStart w:id="475" w:name="_Toc23854"/>
      <w:bookmarkStart w:id="476" w:name="_Toc24465"/>
      <w:r>
        <w:rPr>
          <w:rFonts w:hint="eastAsia" w:ascii="仿宋_GB2312" w:hAnsi="仿宋_GB2312" w:eastAsia="仿宋_GB2312" w:cs="仿宋_GB2312"/>
          <w:b/>
          <w:sz w:val="24"/>
          <w:szCs w:val="24"/>
          <w:highlight w:val="none"/>
        </w:rPr>
        <w:t>2.12 税费</w:t>
      </w:r>
      <w:bookmarkEnd w:id="472"/>
      <w:bookmarkEnd w:id="473"/>
      <w:bookmarkEnd w:id="474"/>
      <w:bookmarkEnd w:id="475"/>
      <w:bookmarkEnd w:id="476"/>
    </w:p>
    <w:p w14:paraId="3058FA3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与合同有关的一切税费，均按照中华人民共和国法律的相关规定缴纳。</w:t>
      </w:r>
    </w:p>
    <w:p w14:paraId="1011B927">
      <w:pPr>
        <w:spacing w:line="560" w:lineRule="exact"/>
        <w:ind w:firstLine="482" w:firstLineChars="200"/>
        <w:outlineLvl w:val="0"/>
        <w:rPr>
          <w:rFonts w:hint="eastAsia" w:ascii="仿宋_GB2312" w:hAnsi="仿宋_GB2312" w:eastAsia="仿宋_GB2312" w:cs="仿宋_GB2312"/>
          <w:b/>
          <w:sz w:val="24"/>
          <w:szCs w:val="24"/>
          <w:highlight w:val="none"/>
        </w:rPr>
      </w:pPr>
      <w:bookmarkStart w:id="477" w:name="_Toc7315"/>
      <w:bookmarkStart w:id="478" w:name="_Toc30105"/>
      <w:bookmarkStart w:id="479" w:name="_Toc14814"/>
      <w:bookmarkStart w:id="480" w:name="_Toc26883"/>
      <w:bookmarkStart w:id="481" w:name="_Toc25525"/>
      <w:r>
        <w:rPr>
          <w:rFonts w:hint="eastAsia" w:ascii="仿宋_GB2312" w:hAnsi="仿宋_GB2312" w:eastAsia="仿宋_GB2312" w:cs="仿宋_GB2312"/>
          <w:b/>
          <w:sz w:val="24"/>
          <w:szCs w:val="24"/>
          <w:highlight w:val="none"/>
        </w:rPr>
        <w:t>2.13 乙方破产</w:t>
      </w:r>
      <w:bookmarkEnd w:id="477"/>
      <w:bookmarkEnd w:id="478"/>
      <w:bookmarkEnd w:id="479"/>
      <w:bookmarkEnd w:id="480"/>
      <w:bookmarkEnd w:id="481"/>
    </w:p>
    <w:p w14:paraId="13E00C20">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16AEEEA">
      <w:pPr>
        <w:spacing w:line="560" w:lineRule="exact"/>
        <w:ind w:firstLine="482" w:firstLineChars="200"/>
        <w:outlineLvl w:val="0"/>
        <w:rPr>
          <w:rFonts w:hint="eastAsia" w:ascii="仿宋_GB2312" w:hAnsi="仿宋_GB2312" w:eastAsia="仿宋_GB2312" w:cs="仿宋_GB2312"/>
          <w:b/>
          <w:sz w:val="24"/>
          <w:szCs w:val="24"/>
          <w:highlight w:val="none"/>
        </w:rPr>
      </w:pPr>
      <w:bookmarkStart w:id="482" w:name="_Toc2016"/>
      <w:bookmarkStart w:id="483" w:name="_Toc1123"/>
      <w:bookmarkStart w:id="484" w:name="_Toc23323"/>
      <w:r>
        <w:rPr>
          <w:rFonts w:hint="eastAsia" w:ascii="仿宋_GB2312" w:hAnsi="仿宋_GB2312" w:eastAsia="仿宋_GB2312" w:cs="仿宋_GB2312"/>
          <w:b/>
          <w:sz w:val="24"/>
          <w:szCs w:val="24"/>
          <w:highlight w:val="none"/>
        </w:rPr>
        <w:t>2.14 合同中止、终止</w:t>
      </w:r>
      <w:bookmarkEnd w:id="482"/>
      <w:bookmarkEnd w:id="483"/>
      <w:bookmarkEnd w:id="484"/>
    </w:p>
    <w:p w14:paraId="02E7EC3E">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2.14.1 双方当事人不得擅自中止或者终止合同；</w:t>
      </w:r>
    </w:p>
    <w:p w14:paraId="148F27CD">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2B72FC6C">
      <w:pPr>
        <w:spacing w:line="560" w:lineRule="exact"/>
        <w:ind w:firstLine="482" w:firstLineChars="200"/>
        <w:outlineLvl w:val="0"/>
        <w:rPr>
          <w:rFonts w:hint="eastAsia" w:ascii="仿宋_GB2312" w:hAnsi="仿宋_GB2312" w:eastAsia="仿宋_GB2312" w:cs="仿宋_GB2312"/>
          <w:b/>
          <w:sz w:val="24"/>
          <w:szCs w:val="24"/>
          <w:highlight w:val="none"/>
        </w:rPr>
      </w:pPr>
      <w:bookmarkStart w:id="485" w:name="_Toc14525"/>
      <w:bookmarkStart w:id="486" w:name="_Toc17363"/>
      <w:bookmarkStart w:id="487" w:name="_Toc1969"/>
      <w:r>
        <w:rPr>
          <w:rFonts w:hint="eastAsia" w:ascii="仿宋_GB2312" w:hAnsi="仿宋_GB2312" w:eastAsia="仿宋_GB2312" w:cs="仿宋_GB2312"/>
          <w:b/>
          <w:sz w:val="24"/>
          <w:szCs w:val="24"/>
          <w:highlight w:val="none"/>
        </w:rPr>
        <w:t>2.15 检验和验收</w:t>
      </w:r>
      <w:bookmarkEnd w:id="485"/>
      <w:bookmarkEnd w:id="486"/>
      <w:bookmarkEnd w:id="487"/>
    </w:p>
    <w:p w14:paraId="4B37D96F">
      <w:pPr>
        <w:tabs>
          <w:tab w:val="left" w:pos="360"/>
          <w:tab w:val="left" w:pos="540"/>
          <w:tab w:val="left" w:pos="1080"/>
        </w:tabs>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2.15.1 货物交付前，乙方应对货物的质量、数量等方面进行详细、全面的检验，并向甲方出具证明货物符合合同约定的文件；货物交付时，甲方在规定时间内组织验收，并可依法邀请相关方参加，验收应出具验收书；</w:t>
      </w:r>
    </w:p>
    <w:p w14:paraId="279D0C6B">
      <w:pPr>
        <w:tabs>
          <w:tab w:val="left" w:pos="360"/>
          <w:tab w:val="left" w:pos="540"/>
          <w:tab w:val="left" w:pos="1080"/>
        </w:tabs>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7BCDA20">
      <w:pPr>
        <w:spacing w:line="560" w:lineRule="exact"/>
        <w:ind w:firstLine="482" w:firstLineChars="200"/>
        <w:outlineLvl w:val="0"/>
        <w:rPr>
          <w:rFonts w:hint="eastAsia" w:ascii="仿宋_GB2312" w:hAnsi="仿宋_GB2312" w:eastAsia="仿宋_GB2312" w:cs="仿宋_GB2312"/>
          <w:b/>
          <w:sz w:val="24"/>
          <w:szCs w:val="24"/>
          <w:highlight w:val="none"/>
        </w:rPr>
      </w:pPr>
      <w:bookmarkStart w:id="488" w:name="_Toc12666"/>
      <w:bookmarkStart w:id="489" w:name="_Toc25198"/>
      <w:bookmarkStart w:id="490" w:name="_Toc31892"/>
      <w:bookmarkStart w:id="491" w:name="_Toc2308"/>
      <w:bookmarkStart w:id="492" w:name="_Toc9808"/>
      <w:r>
        <w:rPr>
          <w:rFonts w:hint="eastAsia" w:ascii="仿宋_GB2312" w:hAnsi="仿宋_GB2312" w:eastAsia="仿宋_GB2312" w:cs="仿宋_GB2312"/>
          <w:b/>
          <w:sz w:val="24"/>
          <w:szCs w:val="24"/>
          <w:highlight w:val="none"/>
        </w:rPr>
        <w:t>2.16 通知和送达</w:t>
      </w:r>
      <w:bookmarkEnd w:id="488"/>
      <w:bookmarkEnd w:id="489"/>
      <w:bookmarkEnd w:id="490"/>
      <w:bookmarkEnd w:id="491"/>
      <w:bookmarkEnd w:id="492"/>
    </w:p>
    <w:p w14:paraId="09ED1A45">
      <w:pPr>
        <w:spacing w:line="560" w:lineRule="exact"/>
        <w:ind w:firstLine="480" w:firstLineChars="200"/>
        <w:rPr>
          <w:rFonts w:hint="eastAsia" w:ascii="仿宋_GB2312" w:hAnsi="仿宋_GB2312" w:eastAsia="仿宋_GB2312" w:cs="仿宋_GB2312"/>
          <w:sz w:val="24"/>
          <w:szCs w:val="24"/>
          <w:highlight w:val="none"/>
        </w:rPr>
      </w:pPr>
      <w:bookmarkStart w:id="493" w:name="_Toc18401"/>
      <w:bookmarkStart w:id="494" w:name="_Toc27674"/>
      <w:r>
        <w:rPr>
          <w:rFonts w:hint="eastAsia" w:ascii="仿宋_GB2312" w:hAnsi="仿宋_GB2312" w:eastAsia="仿宋_GB2312" w:cs="仿宋_GB2312"/>
          <w:sz w:val="24"/>
          <w:szCs w:val="24"/>
          <w:highlight w:val="none"/>
        </w:rPr>
        <w:t>2.17.1任何一方因履行合同而以合同第一部分尾部所列明的传真或电子邮件 发出的所有通知、文件、材料，均视为已向对方当事人送达；任何一方变更上述送达方式或者地址的，应于</w:t>
      </w:r>
      <w:r>
        <w:rPr>
          <w:rFonts w:hint="eastAsia" w:ascii="仿宋_GB2312" w:hAnsi="仿宋_GB2312" w:eastAsia="仿宋_GB2312" w:cs="仿宋_GB2312"/>
          <w:sz w:val="24"/>
          <w:szCs w:val="24"/>
          <w:highlight w:val="none"/>
          <w:u w:val="single"/>
        </w:rPr>
        <w:t>3</w:t>
      </w:r>
      <w:r>
        <w:rPr>
          <w:rFonts w:hint="eastAsia" w:ascii="仿宋_GB2312" w:hAnsi="仿宋_GB2312" w:eastAsia="仿宋_GB2312" w:cs="仿宋_GB2312"/>
          <w:sz w:val="24"/>
          <w:szCs w:val="24"/>
          <w:highlight w:val="none"/>
        </w:rPr>
        <w:t>个工作日内书面通知对方当事人，在对方当事人收到有关变更通知之前，变更前的约定送达方式或者地址仍视为有效。</w:t>
      </w:r>
    </w:p>
    <w:p w14:paraId="5F3DA1DA">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493"/>
      <w:bookmarkEnd w:id="494"/>
    </w:p>
    <w:p w14:paraId="48F1E422">
      <w:pPr>
        <w:spacing w:line="560" w:lineRule="exact"/>
        <w:ind w:firstLine="482" w:firstLineChars="200"/>
        <w:outlineLvl w:val="0"/>
        <w:rPr>
          <w:rFonts w:hint="eastAsia" w:ascii="仿宋_GB2312" w:hAnsi="仿宋_GB2312" w:eastAsia="仿宋_GB2312" w:cs="仿宋_GB2312"/>
          <w:b/>
          <w:sz w:val="24"/>
          <w:szCs w:val="24"/>
          <w:highlight w:val="none"/>
        </w:rPr>
      </w:pPr>
      <w:bookmarkStart w:id="495" w:name="_Toc28906"/>
      <w:bookmarkStart w:id="496" w:name="_Toc20808"/>
      <w:bookmarkStart w:id="497" w:name="_Toc27644"/>
      <w:bookmarkStart w:id="498" w:name="_Toc5063"/>
      <w:bookmarkStart w:id="499" w:name="_Toc12254"/>
      <w:r>
        <w:rPr>
          <w:rFonts w:hint="eastAsia" w:ascii="仿宋_GB2312" w:hAnsi="仿宋_GB2312" w:eastAsia="仿宋_GB2312" w:cs="仿宋_GB2312"/>
          <w:b/>
          <w:sz w:val="24"/>
          <w:szCs w:val="24"/>
          <w:highlight w:val="none"/>
        </w:rPr>
        <w:t>2.17 合同使用的文字和适用的法律</w:t>
      </w:r>
      <w:bookmarkEnd w:id="495"/>
      <w:bookmarkEnd w:id="496"/>
      <w:bookmarkEnd w:id="497"/>
      <w:bookmarkEnd w:id="498"/>
      <w:bookmarkEnd w:id="499"/>
    </w:p>
    <w:p w14:paraId="27028D57">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2.17.1 合同使用汉语书就、变更和解释；</w:t>
      </w:r>
    </w:p>
    <w:p w14:paraId="246F42AC">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2.17.2 合同适用中华人民共和国法律。</w:t>
      </w:r>
    </w:p>
    <w:p w14:paraId="011712B5">
      <w:pPr>
        <w:spacing w:line="560" w:lineRule="exact"/>
        <w:ind w:firstLine="482" w:firstLineChars="200"/>
        <w:outlineLvl w:val="0"/>
        <w:rPr>
          <w:rFonts w:hint="eastAsia" w:ascii="仿宋_GB2312" w:hAnsi="仿宋_GB2312" w:eastAsia="仿宋_GB2312" w:cs="仿宋_GB2312"/>
          <w:b/>
          <w:sz w:val="24"/>
          <w:szCs w:val="24"/>
          <w:highlight w:val="none"/>
        </w:rPr>
      </w:pPr>
      <w:bookmarkStart w:id="500" w:name="_Toc30599"/>
      <w:bookmarkStart w:id="501" w:name="_Toc4355"/>
      <w:bookmarkStart w:id="502" w:name="_Toc18540"/>
      <w:r>
        <w:rPr>
          <w:rFonts w:hint="eastAsia" w:ascii="仿宋_GB2312" w:hAnsi="仿宋_GB2312" w:eastAsia="仿宋_GB2312" w:cs="仿宋_GB2312"/>
          <w:b/>
          <w:sz w:val="24"/>
          <w:szCs w:val="24"/>
          <w:highlight w:val="none"/>
        </w:rPr>
        <w:t>2.18 计量单位</w:t>
      </w:r>
      <w:bookmarkEnd w:id="500"/>
      <w:bookmarkEnd w:id="501"/>
      <w:bookmarkEnd w:id="502"/>
    </w:p>
    <w:p w14:paraId="46C83A80">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除技术规范中另有规定外,合同的计量单位均使用国家法定计量单位。</w:t>
      </w:r>
    </w:p>
    <w:p w14:paraId="796343B8">
      <w:pPr>
        <w:spacing w:line="560" w:lineRule="exact"/>
        <w:ind w:firstLine="482" w:firstLineChars="20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2.19合同份数</w:t>
      </w:r>
    </w:p>
    <w:p w14:paraId="5471A0E2">
      <w:pPr>
        <w:spacing w:line="560" w:lineRule="exact"/>
        <w:ind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合同份数按</w:t>
      </w:r>
      <w:r>
        <w:rPr>
          <w:rFonts w:hint="eastAsia" w:ascii="仿宋_GB2312" w:hAnsi="仿宋_GB2312" w:eastAsia="仿宋_GB2312" w:cs="仿宋_GB2312"/>
          <w:b/>
          <w:i/>
          <w:sz w:val="24"/>
          <w:szCs w:val="24"/>
          <w:highlight w:val="none"/>
          <w:u w:val="single"/>
        </w:rPr>
        <w:t>合同专用条款</w:t>
      </w:r>
      <w:r>
        <w:rPr>
          <w:rFonts w:hint="eastAsia" w:ascii="仿宋_GB2312" w:hAnsi="仿宋_GB2312" w:eastAsia="仿宋_GB2312" w:cs="仿宋_GB2312"/>
          <w:sz w:val="24"/>
          <w:szCs w:val="24"/>
          <w:highlight w:val="none"/>
        </w:rPr>
        <w:t>规定，每份均具有同等法律效力。</w:t>
      </w:r>
    </w:p>
    <w:p w14:paraId="3AED95CE">
      <w:pPr>
        <w:pStyle w:val="12"/>
        <w:rPr>
          <w:rFonts w:hint="eastAsia" w:ascii="仿宋_GB2312" w:hAnsi="仿宋_GB2312" w:eastAsia="仿宋_GB2312" w:cs="仿宋_GB2312"/>
          <w:sz w:val="24"/>
          <w:szCs w:val="24"/>
          <w:highlight w:val="none"/>
        </w:rPr>
      </w:pPr>
    </w:p>
    <w:p w14:paraId="26C6E65B">
      <w:pPr>
        <w:spacing w:line="560" w:lineRule="exact"/>
        <w:jc w:val="center"/>
        <w:outlineLvl w:val="0"/>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第三部分  合同专用条款</w:t>
      </w:r>
    </w:p>
    <w:p w14:paraId="33742178">
      <w:pPr>
        <w:spacing w:line="560" w:lineRule="exact"/>
        <w:ind w:left="-420" w:leftChars="-200" w:right="-420" w:rightChars="-200" w:firstLine="48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7"/>
        <w:tblW w:w="497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171"/>
        <w:gridCol w:w="7917"/>
      </w:tblGrid>
      <w:tr w14:paraId="7FB203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644" w:type="pct"/>
            <w:tcBorders>
              <w:left w:val="single" w:color="auto" w:sz="4" w:space="0"/>
            </w:tcBorders>
            <w:vAlign w:val="center"/>
          </w:tcPr>
          <w:p w14:paraId="2826A9BC">
            <w:pPr>
              <w:wordWrap w:val="0"/>
              <w:spacing w:line="560" w:lineRule="exact"/>
              <w:jc w:val="left"/>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条款号</w:t>
            </w:r>
          </w:p>
        </w:tc>
        <w:tc>
          <w:tcPr>
            <w:tcW w:w="4355" w:type="pct"/>
            <w:vAlign w:val="center"/>
          </w:tcPr>
          <w:p w14:paraId="5E01B28E">
            <w:pPr>
              <w:wordWrap w:val="0"/>
              <w:spacing w:line="560" w:lineRule="exact"/>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约定内容</w:t>
            </w:r>
          </w:p>
        </w:tc>
      </w:tr>
      <w:tr w14:paraId="738B46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3D11DAA9">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1.5.1 </w:t>
            </w:r>
          </w:p>
        </w:tc>
        <w:tc>
          <w:tcPr>
            <w:tcW w:w="4355" w:type="pct"/>
            <w:vAlign w:val="center"/>
          </w:tcPr>
          <w:p w14:paraId="6B9ADC74">
            <w:pPr>
              <w:wordWrap w:val="0"/>
              <w:spacing w:line="360" w:lineRule="auto"/>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预付款：合同签订后，在合同生效后以及具备实施条件后的</w:t>
            </w: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sz w:val="24"/>
                <w:szCs w:val="24"/>
                <w:highlight w:val="none"/>
              </w:rPr>
              <w:t>个工作日内，采购单位根据供应商提供的等额正规发票，按财政部门规定的支付方式向供应商支付合同总额的40%到合同约定的供应商账户。</w:t>
            </w:r>
          </w:p>
        </w:tc>
      </w:tr>
      <w:tr w14:paraId="6CDA7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25067420">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1.5.2</w:t>
            </w:r>
          </w:p>
        </w:tc>
        <w:tc>
          <w:tcPr>
            <w:tcW w:w="4355" w:type="pct"/>
            <w:vAlign w:val="center"/>
          </w:tcPr>
          <w:p w14:paraId="0CF8E029">
            <w:pPr>
              <w:wordWrap w:val="0"/>
              <w:spacing w:line="360" w:lineRule="auto"/>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本项目无须预付款担保</w:t>
            </w:r>
          </w:p>
        </w:tc>
      </w:tr>
      <w:tr w14:paraId="6B3C9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4BBB4100">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1.6.2</w:t>
            </w:r>
          </w:p>
        </w:tc>
        <w:tc>
          <w:tcPr>
            <w:tcW w:w="4355" w:type="pct"/>
            <w:vAlign w:val="center"/>
          </w:tcPr>
          <w:p w14:paraId="302DE328">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完成所有设备到货安装调试</w:t>
            </w:r>
            <w:r>
              <w:rPr>
                <w:rFonts w:hint="eastAsia" w:ascii="仿宋_GB2312" w:hAnsi="仿宋_GB2312" w:eastAsia="仿宋_GB2312" w:cs="仿宋_GB2312"/>
                <w:sz w:val="24"/>
                <w:szCs w:val="24"/>
                <w:highlight w:val="none"/>
                <w:lang w:val="en-US" w:eastAsia="zh-CN"/>
              </w:rPr>
              <w:t>完毕并通过终验后5个</w:t>
            </w:r>
            <w:r>
              <w:rPr>
                <w:rFonts w:hint="eastAsia" w:ascii="仿宋_GB2312" w:hAnsi="仿宋_GB2312" w:eastAsia="仿宋_GB2312" w:cs="仿宋_GB2312"/>
                <w:sz w:val="24"/>
                <w:szCs w:val="24"/>
                <w:highlight w:val="none"/>
              </w:rPr>
              <w:t>工作日内，</w:t>
            </w:r>
            <w:r>
              <w:rPr>
                <w:rFonts w:hint="eastAsia" w:ascii="仿宋_GB2312" w:hAnsi="仿宋_GB2312" w:eastAsia="仿宋_GB2312" w:cs="仿宋_GB2312"/>
                <w:sz w:val="24"/>
                <w:szCs w:val="24"/>
                <w:highlight w:val="none"/>
                <w:lang w:val="en-US" w:eastAsia="zh-CN"/>
              </w:rPr>
              <w:t>采购人根据供应商提供的正规发票，</w:t>
            </w:r>
            <w:r>
              <w:rPr>
                <w:rFonts w:hint="eastAsia" w:ascii="仿宋_GB2312" w:hAnsi="仿宋_GB2312" w:eastAsia="仿宋_GB2312" w:cs="仿宋_GB2312"/>
                <w:sz w:val="24"/>
                <w:szCs w:val="24"/>
                <w:highlight w:val="none"/>
              </w:rPr>
              <w:t>按财政部门规定的支付方式支付60%合同款。</w:t>
            </w:r>
          </w:p>
        </w:tc>
      </w:tr>
      <w:tr w14:paraId="540AA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30CF12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1.7.1</w:t>
            </w:r>
          </w:p>
        </w:tc>
        <w:tc>
          <w:tcPr>
            <w:tcW w:w="4355" w:type="pct"/>
            <w:vAlign w:val="center"/>
          </w:tcPr>
          <w:p w14:paraId="231A78B5">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货物或服务的交付（实施）时间（期限）：</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自合同签订后</w:t>
            </w:r>
            <w:r>
              <w:rPr>
                <w:rFonts w:hint="eastAsia" w:ascii="仿宋_GB2312" w:hAnsi="仿宋_GB2312" w:eastAsia="仿宋_GB2312" w:cs="仿宋_GB2312"/>
                <w:color w:val="000000" w:themeColor="text1"/>
                <w:spacing w:val="-5"/>
                <w:kern w:val="0"/>
                <w:sz w:val="24"/>
                <w:szCs w:val="24"/>
                <w:highlight w:val="none"/>
                <w:lang w:val="en-US" w:eastAsia="zh-CN"/>
                <w14:textFill>
                  <w14:solidFill>
                    <w14:schemeClr w14:val="tx1"/>
                  </w14:solidFill>
                </w14:textFill>
              </w:rPr>
              <w:t>60</w:t>
            </w:r>
            <w:r>
              <w:rPr>
                <w:rFonts w:hint="eastAsia" w:ascii="仿宋_GB2312" w:hAnsi="仿宋_GB2312" w:eastAsia="仿宋_GB2312" w:cs="仿宋_GB2312"/>
                <w:color w:val="000000" w:themeColor="text1"/>
                <w:spacing w:val="-5"/>
                <w:kern w:val="0"/>
                <w:sz w:val="24"/>
                <w:szCs w:val="24"/>
                <w:highlight w:val="none"/>
                <w14:textFill>
                  <w14:solidFill>
                    <w14:schemeClr w14:val="tx1"/>
                  </w14:solidFill>
                </w14:textFill>
              </w:rPr>
              <w:t>天内完成安装调试并通过终验。</w:t>
            </w:r>
          </w:p>
        </w:tc>
      </w:tr>
      <w:tr w14:paraId="06208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51" w:hRule="atLeast"/>
        </w:trPr>
        <w:tc>
          <w:tcPr>
            <w:tcW w:w="644" w:type="pct"/>
            <w:tcBorders>
              <w:left w:val="single" w:color="auto" w:sz="4" w:space="0"/>
              <w:bottom w:val="single" w:color="auto" w:sz="4" w:space="0"/>
            </w:tcBorders>
            <w:vAlign w:val="center"/>
          </w:tcPr>
          <w:p w14:paraId="57EB1B1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1.7.2</w:t>
            </w:r>
          </w:p>
        </w:tc>
        <w:tc>
          <w:tcPr>
            <w:tcW w:w="4355" w:type="pct"/>
            <w:tcBorders>
              <w:bottom w:val="single" w:color="auto" w:sz="4" w:space="0"/>
            </w:tcBorders>
            <w:vAlign w:val="center"/>
          </w:tcPr>
          <w:p w14:paraId="02F12E47">
            <w:pPr>
              <w:spacing w:line="360" w:lineRule="auto"/>
              <w:rPr>
                <w:rFonts w:hint="eastAsia" w:ascii="仿宋_GB2312" w:hAnsi="仿宋_GB2312" w:eastAsia="仿宋_GB2312" w:cs="仿宋_GB2312"/>
                <w:spacing w:val="-5"/>
                <w:kern w:val="0"/>
                <w:sz w:val="24"/>
                <w:szCs w:val="24"/>
                <w:highlight w:val="none"/>
              </w:rPr>
            </w:pPr>
            <w:r>
              <w:rPr>
                <w:rFonts w:hint="eastAsia" w:ascii="仿宋_GB2312" w:hAnsi="仿宋_GB2312" w:eastAsia="仿宋_GB2312" w:cs="仿宋_GB2312"/>
                <w:sz w:val="24"/>
                <w:szCs w:val="24"/>
                <w:highlight w:val="none"/>
              </w:rPr>
              <w:t>货物或服务的交付（实施）地点（地域范围）：</w:t>
            </w:r>
            <w:r>
              <w:rPr>
                <w:rFonts w:hint="eastAsia" w:ascii="仿宋_GB2312" w:hAnsi="仿宋_GB2312" w:eastAsia="仿宋_GB2312" w:cs="仿宋_GB2312"/>
                <w:spacing w:val="-5"/>
                <w:kern w:val="0"/>
                <w:sz w:val="24"/>
                <w:szCs w:val="24"/>
                <w:highlight w:val="none"/>
              </w:rPr>
              <w:t>采购单位指定地点，投标人须派专业人员将产品送到指定地点并安装调试完毕，其所有费用由投标人承担</w:t>
            </w:r>
            <w:r>
              <w:rPr>
                <w:rFonts w:hint="eastAsia" w:ascii="仿宋_GB2312" w:hAnsi="仿宋_GB2312" w:eastAsia="仿宋_GB2312" w:cs="仿宋_GB2312"/>
                <w:sz w:val="24"/>
                <w:szCs w:val="24"/>
                <w:highlight w:val="none"/>
              </w:rPr>
              <w:t>。</w:t>
            </w:r>
          </w:p>
        </w:tc>
      </w:tr>
      <w:tr w14:paraId="380C6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8" w:hRule="atLeast"/>
        </w:trPr>
        <w:tc>
          <w:tcPr>
            <w:tcW w:w="644" w:type="pct"/>
            <w:tcBorders>
              <w:top w:val="single" w:color="auto" w:sz="4" w:space="0"/>
              <w:left w:val="single" w:color="auto" w:sz="4" w:space="0"/>
            </w:tcBorders>
            <w:vAlign w:val="center"/>
          </w:tcPr>
          <w:p w14:paraId="3874A161">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1.7.3</w:t>
            </w:r>
          </w:p>
        </w:tc>
        <w:tc>
          <w:tcPr>
            <w:tcW w:w="4355" w:type="pct"/>
            <w:tcBorders>
              <w:top w:val="single" w:color="auto" w:sz="4" w:space="0"/>
            </w:tcBorders>
            <w:vAlign w:val="center"/>
          </w:tcPr>
          <w:p w14:paraId="6CDE2948">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送货上门，乙方负责安装调试，经履约验收合格后交付甲方使用。</w:t>
            </w:r>
          </w:p>
        </w:tc>
      </w:tr>
      <w:tr w14:paraId="38044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60" w:hRule="atLeast"/>
        </w:trPr>
        <w:tc>
          <w:tcPr>
            <w:tcW w:w="644" w:type="pct"/>
            <w:tcBorders>
              <w:left w:val="single" w:color="auto" w:sz="4" w:space="0"/>
            </w:tcBorders>
            <w:vAlign w:val="center"/>
          </w:tcPr>
          <w:p w14:paraId="1A8A2AC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1.8.7</w:t>
            </w:r>
          </w:p>
        </w:tc>
        <w:tc>
          <w:tcPr>
            <w:tcW w:w="4355" w:type="pct"/>
            <w:vAlign w:val="center"/>
          </w:tcPr>
          <w:p w14:paraId="72835966">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1．合同签订后，任何一方不履行或不完全履行本合同约定条款的，即构成违约。任何一方违约时，守约方有权要求违约方继续履行本合同，同时有权要求违约方支付违约金。</w:t>
            </w:r>
          </w:p>
          <w:p w14:paraId="361375B6">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如果甲方未按照合同约定支付价款，乙方有权要求其每天承担应付未付金额千分之零点五（0.5‰）的违约金，但违约金总额不超过合同总金额的百分之十（10%）；除合同另有约定外，如果乙方未能按照本合同约定履行义务或无正当理由擅自解除本合同，甲方有权要求其承担合同总金额百分之十（10%）的违约金。</w:t>
            </w:r>
          </w:p>
          <w:p w14:paraId="7CFA5C6E">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如因乙方未经甲方事先书面同意，乙方将合同的权利或义务全部或部分转让或分包给第三人或违反相关法律规定或侵犯第三方合法权利而使甲方遭受损失的，乙方应承担全部责任，甲方有权解除本合同并要求乙方返还全部已收款项，按合同价款的10%承担违约金并赔偿甲方由此所遭受全部经济损失。</w:t>
            </w:r>
          </w:p>
          <w:p w14:paraId="602091D1">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4．乙方逾期履行合同的，自逾期之日起，向甲方每日偿付合同总价千分之零点五（0.5‰）的违约金。</w:t>
            </w:r>
          </w:p>
          <w:p w14:paraId="320A0C71">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乙方所交的货物品种、型号、规格、技术参数、质量不符合合同规定及采购文件规定标准的，或经验收不合格的，甲方有权拒收该货物，乙方愿意更换货物但逾期交货的，按乙方逾期交货处理；乙方拒绝更换货物的，甲方可单方面解除合同，同时乙方应按合同价款的10%承担违约金，并退还全部已收款项。</w:t>
            </w:r>
          </w:p>
          <w:p w14:paraId="3BA6A58F">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6．上述第6项应退回或更换的货物，由乙方在一周内运离安装地点，所需费用由乙方承担。如乙方在二周内不处理（搬走）的，视为乙方放弃，甲方有权自行处置（包括废物处理）。</w:t>
            </w:r>
          </w:p>
          <w:p w14:paraId="6FD090E9">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7．乙方未按采购文件及合同约定履行质保义务的，每次应向甲方偿付</w:t>
            </w:r>
          </w:p>
          <w:p w14:paraId="59827728">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元的违约金，并赔偿甲方的损失；同时，乙方应继续履行质保义务。</w:t>
            </w:r>
          </w:p>
          <w:p w14:paraId="7946C887">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因乙方违约行为给甲方造成损失的，如违约金不足以弥补甲方经济损失，乙方还应当赔偿甲方其余经济损失，包括直接经济损失及可预见的间接经济损失。间接经济损失包括但不限于：因违约方违约事项致使守约方损失的可期待利益及守约方为此支出的诉讼费、仲裁费、律师费、差旅费、公证费、鉴定费、评估费、保全费、执行费等费用以及其它可预见的间接经济损失。</w:t>
            </w:r>
          </w:p>
        </w:tc>
      </w:tr>
      <w:tr w14:paraId="0E0DD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AFE0C7C">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1.9.2</w:t>
            </w:r>
          </w:p>
        </w:tc>
        <w:tc>
          <w:tcPr>
            <w:tcW w:w="4355" w:type="pct"/>
            <w:vAlign w:val="center"/>
          </w:tcPr>
          <w:p w14:paraId="6F90685C">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甲方所在地</w:t>
            </w:r>
          </w:p>
        </w:tc>
      </w:tr>
      <w:tr w14:paraId="6E6E3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3C95412B">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2.3.2</w:t>
            </w:r>
          </w:p>
        </w:tc>
        <w:tc>
          <w:tcPr>
            <w:tcW w:w="4355" w:type="pct"/>
            <w:vAlign w:val="center"/>
          </w:tcPr>
          <w:p w14:paraId="5BA84589">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承诺对所提供的产品、技术和服务等拥有完整、合法的占有、使用、收益和处分权，并对本项目的所有内容可能涉及侵权行为的指控负责，保证不伤害甲方的利益。在法律范围内，如果出现文字、图片、商标和技术等侵权行为而造成的纠纷和产生的一切费用，甲方概不负责，由此给甲方造成损失的，乙方要承担相应后果，并负责赔偿。乙方为执行本项目合同而提供的技术资料等归甲方所有。</w:t>
            </w:r>
          </w:p>
        </w:tc>
      </w:tr>
      <w:tr w14:paraId="307B4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10053785">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2.5</w:t>
            </w:r>
          </w:p>
        </w:tc>
        <w:tc>
          <w:tcPr>
            <w:tcW w:w="4355" w:type="pct"/>
            <w:vAlign w:val="center"/>
          </w:tcPr>
          <w:p w14:paraId="55D3EB44">
            <w:pPr>
              <w:wordWrap w:val="0"/>
              <w:spacing w:line="560" w:lineRule="exact"/>
              <w:ind w:right="59" w:rightChars="28"/>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除本合同明确约定可以另行收取的费用外，所有费用均包括在内：包括产品、产品标准配件、备品备件、专用工具、包装、工时、运输、装卸、保险、税金、设备保护、安装、调试与试运行、培训、保修、售后服务费、工程配套费，以及实施本项目所需的其他一切费用。</w:t>
            </w:r>
          </w:p>
        </w:tc>
      </w:tr>
      <w:tr w14:paraId="462C3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vAlign w:val="center"/>
          </w:tcPr>
          <w:p w14:paraId="079D4054">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2.11.3</w:t>
            </w:r>
          </w:p>
        </w:tc>
        <w:tc>
          <w:tcPr>
            <w:tcW w:w="4355" w:type="pct"/>
            <w:vAlign w:val="center"/>
          </w:tcPr>
          <w:p w14:paraId="726CF677">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因不可抗力致使合同有变更必要的，双方当事人应在不可抗力事件发生后30日内以书面形式变更合同。</w:t>
            </w:r>
          </w:p>
        </w:tc>
      </w:tr>
      <w:tr w14:paraId="0A236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644" w:type="pct"/>
            <w:tcBorders>
              <w:left w:val="single" w:color="auto" w:sz="4" w:space="0"/>
            </w:tcBorders>
          </w:tcPr>
          <w:p w14:paraId="00F053E2">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2.11.4 </w:t>
            </w:r>
          </w:p>
        </w:tc>
        <w:tc>
          <w:tcPr>
            <w:tcW w:w="4355" w:type="pct"/>
          </w:tcPr>
          <w:p w14:paraId="20F9BEBD">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受不可抗力影响的一方在不可抗力发生后，应在不可抗力事件发生后1天内以书面形式通知对方当事人，并在不可抗力事件发生后7天内，将有关部门出具的证明文件送达对方当事人。</w:t>
            </w:r>
          </w:p>
        </w:tc>
      </w:tr>
      <w:tr w14:paraId="311501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644" w:type="pct"/>
            <w:tcBorders>
              <w:left w:val="single" w:color="auto" w:sz="4" w:space="0"/>
            </w:tcBorders>
          </w:tcPr>
          <w:p w14:paraId="0D5136EF">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2.19</w:t>
            </w:r>
          </w:p>
        </w:tc>
        <w:tc>
          <w:tcPr>
            <w:tcW w:w="4355" w:type="pct"/>
          </w:tcPr>
          <w:p w14:paraId="3354631E">
            <w:pPr>
              <w:wordWrap w:val="0"/>
              <w:spacing w:line="560" w:lineRule="exact"/>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合同份数按甲方执陆份，乙方执贰份规定，每份均具有同等法律效力。</w:t>
            </w:r>
          </w:p>
        </w:tc>
      </w:tr>
    </w:tbl>
    <w:p w14:paraId="3D1F2B39">
      <w:pPr>
        <w:spacing w:line="540" w:lineRule="exact"/>
        <w:ind w:firstLine="562"/>
        <w:contextualSpacing/>
        <w:jc w:val="center"/>
        <w:rPr>
          <w:rFonts w:hint="eastAsia" w:ascii="仿宋_GB2312" w:hAnsi="仿宋_GB2312" w:eastAsia="仿宋_GB2312" w:cs="仿宋_GB2312"/>
          <w:b/>
          <w:sz w:val="24"/>
          <w:szCs w:val="24"/>
          <w:highlight w:val="none"/>
        </w:rPr>
      </w:pPr>
    </w:p>
    <w:p w14:paraId="34845508">
      <w:pPr>
        <w:pStyle w:val="2"/>
        <w:rPr>
          <w:rFonts w:hint="eastAsia" w:ascii="仿宋_GB2312" w:hAnsi="仿宋_GB2312" w:eastAsia="仿宋_GB2312" w:cs="仿宋_GB2312"/>
          <w:b/>
          <w:color w:val="auto"/>
          <w:sz w:val="28"/>
          <w:szCs w:val="28"/>
          <w:highlight w:val="none"/>
        </w:rPr>
      </w:pPr>
    </w:p>
    <w:p w14:paraId="63582B27">
      <w:pPr>
        <w:pStyle w:val="2"/>
        <w:rPr>
          <w:rFonts w:hint="eastAsia" w:ascii="仿宋_GB2312" w:hAnsi="仿宋_GB2312" w:eastAsia="仿宋_GB2312" w:cs="仿宋_GB2312"/>
          <w:b/>
          <w:color w:val="auto"/>
          <w:sz w:val="28"/>
          <w:szCs w:val="28"/>
          <w:highlight w:val="none"/>
        </w:rPr>
      </w:pPr>
    </w:p>
    <w:p w14:paraId="032804C4">
      <w:pPr>
        <w:pStyle w:val="2"/>
        <w:rPr>
          <w:rFonts w:hint="eastAsia" w:ascii="仿宋_GB2312" w:hAnsi="仿宋_GB2312" w:eastAsia="仿宋_GB2312" w:cs="仿宋_GB2312"/>
          <w:b/>
          <w:color w:val="auto"/>
          <w:sz w:val="28"/>
          <w:szCs w:val="28"/>
          <w:highlight w:val="none"/>
        </w:rPr>
      </w:pPr>
    </w:p>
    <w:p w14:paraId="175CC7F6">
      <w:pPr>
        <w:pStyle w:val="2"/>
        <w:rPr>
          <w:rFonts w:hint="eastAsia" w:ascii="仿宋_GB2312" w:hAnsi="仿宋_GB2312" w:eastAsia="仿宋_GB2312" w:cs="仿宋_GB2312"/>
          <w:b/>
          <w:color w:val="auto"/>
          <w:sz w:val="28"/>
          <w:szCs w:val="28"/>
          <w:highlight w:val="none"/>
        </w:rPr>
      </w:pPr>
    </w:p>
    <w:p w14:paraId="63270146">
      <w:pPr>
        <w:pStyle w:val="2"/>
        <w:ind w:left="0" w:leftChars="0" w:firstLine="0" w:firstLineChars="0"/>
        <w:rPr>
          <w:rFonts w:hint="eastAsia" w:ascii="仿宋_GB2312" w:hAnsi="仿宋_GB2312" w:eastAsia="仿宋_GB2312" w:cs="仿宋_GB2312"/>
          <w:b/>
          <w:color w:val="auto"/>
          <w:sz w:val="28"/>
          <w:szCs w:val="28"/>
          <w:highlight w:val="none"/>
        </w:rPr>
      </w:pPr>
    </w:p>
    <w:p w14:paraId="4EC31599">
      <w:pPr>
        <w:rPr>
          <w:rFonts w:hint="eastAsia" w:ascii="仿宋_GB2312" w:hAnsi="仿宋_GB2312" w:eastAsia="仿宋_GB2312" w:cs="仿宋_GB2312"/>
          <w:b/>
          <w:color w:val="auto"/>
          <w:sz w:val="28"/>
          <w:szCs w:val="28"/>
          <w:highlight w:val="none"/>
        </w:rPr>
      </w:pPr>
    </w:p>
    <w:p w14:paraId="7BFB91FF">
      <w:pPr>
        <w:pStyle w:val="2"/>
        <w:rPr>
          <w:rFonts w:hint="eastAsia"/>
        </w:rPr>
      </w:pPr>
    </w:p>
    <w:p w14:paraId="6E9A8B30">
      <w:pPr>
        <w:rPr>
          <w:rFonts w:hint="eastAsia"/>
        </w:rPr>
      </w:pPr>
    </w:p>
    <w:p w14:paraId="6822C9DD">
      <w:pPr>
        <w:pStyle w:val="2"/>
        <w:rPr>
          <w:rFonts w:hint="eastAsia" w:ascii="仿宋_GB2312" w:hAnsi="仿宋_GB2312" w:eastAsia="仿宋_GB2312" w:cs="仿宋_GB2312"/>
          <w:b/>
          <w:color w:val="auto"/>
          <w:sz w:val="28"/>
          <w:szCs w:val="28"/>
          <w:highlight w:val="none"/>
        </w:rPr>
      </w:pPr>
    </w:p>
    <w:p w14:paraId="2DD6C9B9">
      <w:pPr>
        <w:spacing w:line="540" w:lineRule="exact"/>
        <w:contextualSpacing/>
        <w:jc w:val="both"/>
        <w:rPr>
          <w:rFonts w:hint="eastAsia" w:ascii="仿宋_GB2312" w:hAnsi="仿宋_GB2312" w:eastAsia="仿宋_GB2312" w:cs="仿宋_GB2312"/>
          <w:b/>
          <w:color w:val="auto"/>
          <w:sz w:val="28"/>
          <w:szCs w:val="28"/>
          <w:highlight w:val="none"/>
        </w:rPr>
      </w:pPr>
    </w:p>
    <w:p w14:paraId="68311C9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第六部分</w:t>
      </w:r>
      <w:bookmarkEnd w:id="393"/>
      <w:bookmarkEnd w:id="394"/>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应提交的有关格式范例</w:t>
      </w:r>
    </w:p>
    <w:p w14:paraId="11D9EA51">
      <w:pPr>
        <w:spacing w:line="540" w:lineRule="exact"/>
        <w:contextualSpacing/>
        <w:rPr>
          <w:rFonts w:hint="eastAsia" w:ascii="仿宋_GB2312" w:hAnsi="仿宋_GB2312" w:eastAsia="仿宋_GB2312" w:cs="仿宋_GB2312"/>
          <w:color w:val="auto"/>
          <w:sz w:val="28"/>
          <w:szCs w:val="28"/>
          <w:highlight w:val="none"/>
        </w:rPr>
      </w:pPr>
    </w:p>
    <w:p w14:paraId="32DD1DA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资格文件部分</w:t>
      </w:r>
    </w:p>
    <w:p w14:paraId="316DE93D">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目录</w:t>
      </w:r>
    </w:p>
    <w:p w14:paraId="1DA45E9D">
      <w:pPr>
        <w:spacing w:line="540" w:lineRule="exact"/>
        <w:contextualSpacing/>
        <w:rPr>
          <w:rFonts w:hint="eastAsia" w:ascii="仿宋_GB2312" w:hAnsi="仿宋_GB2312" w:eastAsia="仿宋_GB2312" w:cs="仿宋_GB2312"/>
          <w:color w:val="auto"/>
          <w:sz w:val="28"/>
          <w:szCs w:val="28"/>
          <w:highlight w:val="none"/>
        </w:rPr>
      </w:pPr>
    </w:p>
    <w:p w14:paraId="2E7150AD">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一、符合参加政府采购活动应当具备的一般条件的承诺函…………（页码）</w:t>
      </w:r>
    </w:p>
    <w:p w14:paraId="58358268">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二、联合协议（如果有）………………………………………………（页码）</w:t>
      </w:r>
    </w:p>
    <w:p w14:paraId="6C098275">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三、落实政府采购政策需满足的资格要求（如果有）………………（页码）</w:t>
      </w:r>
    </w:p>
    <w:p w14:paraId="7C65753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8"/>
          <w:szCs w:val="28"/>
          <w:highlight w:val="none"/>
        </w:rPr>
        <w:t>四、本项目的特定资格要求（如果有）………………………………（页码）</w:t>
      </w:r>
      <w:r>
        <w:rPr>
          <w:rFonts w:hint="eastAsia" w:ascii="仿宋_GB2312" w:hAnsi="仿宋_GB2312" w:eastAsia="仿宋_GB2312" w:cs="仿宋_GB2312"/>
          <w:color w:val="auto"/>
          <w:sz w:val="24"/>
          <w:szCs w:val="24"/>
          <w:highlight w:val="none"/>
        </w:rPr>
        <w:br w:type="page"/>
      </w:r>
    </w:p>
    <w:p w14:paraId="2666A849">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8"/>
          <w:szCs w:val="28"/>
          <w:highlight w:val="none"/>
        </w:rPr>
        <w:t>一、符合参加政府采购活动应当具备的一般条件的承诺函</w:t>
      </w:r>
    </w:p>
    <w:p w14:paraId="3DCC5C9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46F8E1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我方参与（项目名称）【招标编号：（采购编号）】政府采购活动，郑重承诺：</w:t>
      </w:r>
    </w:p>
    <w:p w14:paraId="288A573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（一）具备《中华人民共和国政府采购法》第二十二条第一款规定的条件：</w:t>
      </w:r>
    </w:p>
    <w:p w14:paraId="5F88D77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1.具有独立承担民事责任的能力；</w:t>
      </w:r>
    </w:p>
    <w:p w14:paraId="3FA797B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2.具有良好的商业信誉和健全的财务会计制度；</w:t>
      </w:r>
    </w:p>
    <w:p w14:paraId="763939D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3.具有履行合同所必需的设备和专业技术能力；</w:t>
      </w:r>
    </w:p>
    <w:p w14:paraId="1BC7B90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4.有依法缴纳税收和社会保障资金的良好记录；</w:t>
      </w:r>
    </w:p>
    <w:p w14:paraId="46775CC6">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5.参加政府采购活动前三年内，在经营活动中没有重大违法记录；</w:t>
      </w:r>
    </w:p>
    <w:p w14:paraId="04EAB22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6.具有法律、行政法规规定的其他条件。</w:t>
      </w:r>
    </w:p>
    <w:p w14:paraId="1C76FE8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（二）未被信用中国（www.creditchina.gov.cn)、中国政府采购网（www.ccgp.gov.cn）列入失信被执行人、重大税收违法失信主体、政府采购严重违法失信行为记录名单。</w:t>
      </w:r>
    </w:p>
    <w:p w14:paraId="7373FAA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（三）不存在以下情况：</w:t>
      </w:r>
    </w:p>
    <w:p w14:paraId="3CC33836">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1.单位负责人为同一人或者存在直接控股、管理关系的不同供应商参加同一合同项下的政府采购活动的；</w:t>
      </w:r>
    </w:p>
    <w:p w14:paraId="225EBEA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2.为采购项目提供整体设计、规范编制或者项目管理、监理、检测等服务后再参加该采购项目的其他采购活动的。</w:t>
      </w:r>
    </w:p>
    <w:p w14:paraId="4E508AE3">
      <w:pPr>
        <w:pStyle w:val="2"/>
        <w:ind w:left="479" w:leftChars="228" w:firstLine="0" w:firstLineChars="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（四）如我方中标，我方承诺：</w:t>
      </w:r>
    </w:p>
    <w:p w14:paraId="7ED23BE8">
      <w:pPr>
        <w:pStyle w:val="2"/>
        <w:ind w:left="0" w:leftChars="0" w:firstLine="480" w:firstLineChars="2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1.在签订合同前向采购人提交在投标（响应）中涉及客观分评审内容的检测报告、</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认证证书等资料；</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 xml:space="preserve">   2.除采购文件中要求在投标文件中提供的认证证书外，采购人拟采购的产品按政策须进行国家强制认证的产品，在项目验收时提供该产品相关认证证书复印件或证明材料。</w:t>
      </w:r>
    </w:p>
    <w:p w14:paraId="2FAEEAEF">
      <w:pPr>
        <w:spacing w:line="500" w:lineRule="exact"/>
        <w:ind w:firstLine="480" w:firstLineChars="200"/>
        <w:contextualSpacing/>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（五）本承诺函条款不得变动，如供应商擅自变动的，作无效供应商处理。</w:t>
      </w:r>
    </w:p>
    <w:p w14:paraId="7D5CD4B2">
      <w:pPr>
        <w:spacing w:line="54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FA6815D">
      <w:pPr>
        <w:spacing w:line="540" w:lineRule="exact"/>
        <w:ind w:firstLine="5640" w:firstLineChars="23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63AA3A7">
      <w:pPr>
        <w:widowControl/>
        <w:spacing w:line="360" w:lineRule="auto"/>
        <w:jc w:val="both"/>
        <w:rPr>
          <w:rFonts w:hint="eastAsia" w:ascii="仿宋_GB2312" w:hAnsi="仿宋_GB2312" w:eastAsia="仿宋_GB2312" w:cs="仿宋_GB2312"/>
          <w:b/>
          <w:color w:val="auto"/>
          <w:kern w:val="0"/>
          <w:sz w:val="32"/>
          <w:szCs w:val="32"/>
          <w:highlight w:val="none"/>
        </w:rPr>
      </w:pPr>
    </w:p>
    <w:p w14:paraId="71CD7CBE">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二、联合协议（如果有）</w:t>
      </w:r>
    </w:p>
    <w:p w14:paraId="786B9F0F">
      <w:pPr>
        <w:widowControl/>
        <w:spacing w:line="56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[以联合体形式投标的，提供联合协议（附件6）；本项目不接受联合体投标或者投标人不以联合体形式投标的，则不需要提供）]</w:t>
      </w:r>
    </w:p>
    <w:p w14:paraId="1D950318">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p>
    <w:p w14:paraId="2112B2A9">
      <w:pPr>
        <w:pStyle w:val="12"/>
        <w:rPr>
          <w:rFonts w:hint="eastAsia" w:ascii="仿宋_GB2312" w:hAnsi="仿宋_GB2312" w:eastAsia="仿宋_GB2312" w:cs="仿宋_GB2312"/>
          <w:color w:val="auto"/>
          <w:sz w:val="24"/>
          <w:szCs w:val="24"/>
          <w:highlight w:val="none"/>
        </w:rPr>
      </w:pPr>
    </w:p>
    <w:p w14:paraId="655A47F8">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三、落实政府采购政策需满足的资格要求</w:t>
      </w:r>
    </w:p>
    <w:p w14:paraId="38AA5BA0">
      <w:pPr>
        <w:spacing w:line="560" w:lineRule="exact"/>
        <w:rPr>
          <w:rFonts w:ascii="仿宋_GB2312" w:hAnsi="宋体" w:eastAsia="仿宋_GB2312" w:cs="宋体"/>
          <w:color w:val="auto"/>
          <w:sz w:val="24"/>
          <w:szCs w:val="24"/>
        </w:rPr>
      </w:pPr>
      <w:r>
        <w:rPr>
          <w:rFonts w:hint="eastAsia" w:ascii="仿宋_GB2312" w:hAnsi="宋体" w:eastAsia="仿宋_GB2312" w:cs="宋体"/>
          <w:color w:val="auto"/>
          <w:sz w:val="24"/>
          <w:szCs w:val="24"/>
        </w:rPr>
        <w:t>（根据招标公告落实政府采购政策需满足的资格要求选择提供相应的材料；未要求的，无需提供）</w:t>
      </w:r>
    </w:p>
    <w:p w14:paraId="14755CC1">
      <w:pPr>
        <w:widowControl/>
        <w:spacing w:line="560" w:lineRule="exact"/>
        <w:ind w:left="150"/>
        <w:jc w:val="center"/>
        <w:rPr>
          <w:rFonts w:hint="eastAsia" w:ascii="仿宋_GB2312" w:hAnsi="仿宋_GB2312" w:eastAsia="仿宋_GB2312" w:cs="仿宋_GB2312"/>
          <w:b/>
          <w:color w:val="auto"/>
          <w:kern w:val="0"/>
          <w:sz w:val="24"/>
          <w:szCs w:val="24"/>
          <w:highlight w:val="none"/>
        </w:rPr>
      </w:pPr>
    </w:p>
    <w:p w14:paraId="1C61A8BF">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kern w:val="0"/>
          <w:sz w:val="24"/>
          <w:szCs w:val="24"/>
          <w:highlight w:val="none"/>
        </w:rPr>
        <w:t>四、本项目的特定资格要求</w:t>
      </w:r>
      <w:r>
        <w:rPr>
          <w:rFonts w:hint="eastAsia" w:ascii="仿宋_GB2312" w:hAnsi="仿宋_GB2312" w:eastAsia="仿宋_GB2312" w:cs="仿宋_GB2312"/>
          <w:b/>
          <w:color w:val="auto"/>
          <w:sz w:val="24"/>
          <w:szCs w:val="24"/>
          <w:highlight w:val="none"/>
        </w:rPr>
        <w:t>（如果有）</w:t>
      </w:r>
    </w:p>
    <w:p w14:paraId="3BED49BF">
      <w:pPr>
        <w:spacing w:line="56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（根据招标公告本项目的特定资格要求提供相应的材料；未要求的，无需提供）</w:t>
      </w:r>
    </w:p>
    <w:p w14:paraId="5280E86A">
      <w:pPr>
        <w:spacing w:line="560" w:lineRule="exact"/>
        <w:contextualSpacing/>
        <w:jc w:val="center"/>
        <w:rPr>
          <w:rFonts w:hint="eastAsia" w:ascii="仿宋_GB2312" w:hAnsi="仿宋_GB2312" w:eastAsia="仿宋_GB2312" w:cs="仿宋_GB2312"/>
          <w:b/>
          <w:color w:val="auto"/>
          <w:sz w:val="24"/>
          <w:szCs w:val="24"/>
          <w:highlight w:val="none"/>
        </w:rPr>
      </w:pPr>
    </w:p>
    <w:p w14:paraId="6B54D907">
      <w:pPr>
        <w:pStyle w:val="2"/>
        <w:ind w:left="0" w:leftChars="0" w:firstLine="0" w:firstLineChars="0"/>
        <w:rPr>
          <w:rFonts w:hint="eastAsia" w:ascii="仿宋_GB2312" w:hAnsi="仿宋_GB2312" w:eastAsia="仿宋_GB2312" w:cs="仿宋_GB2312"/>
          <w:color w:val="auto"/>
          <w:highlight w:val="none"/>
        </w:rPr>
      </w:pPr>
    </w:p>
    <w:p w14:paraId="118506AA">
      <w:pPr>
        <w:pStyle w:val="2"/>
        <w:ind w:left="0" w:leftChars="0" w:firstLine="0" w:firstLineChars="0"/>
        <w:rPr>
          <w:rFonts w:hint="eastAsia" w:ascii="仿宋_GB2312" w:hAnsi="仿宋_GB2312" w:eastAsia="仿宋_GB2312" w:cs="仿宋_GB2312"/>
          <w:color w:val="auto"/>
          <w:highlight w:val="none"/>
        </w:rPr>
      </w:pPr>
    </w:p>
    <w:p w14:paraId="07555E8C">
      <w:pPr>
        <w:rPr>
          <w:rFonts w:hint="eastAsia" w:ascii="仿宋_GB2312" w:hAnsi="仿宋_GB2312" w:eastAsia="仿宋_GB2312" w:cs="仿宋_GB2312"/>
          <w:color w:val="auto"/>
          <w:highlight w:val="none"/>
        </w:rPr>
      </w:pPr>
    </w:p>
    <w:p w14:paraId="148C580B">
      <w:pPr>
        <w:pStyle w:val="2"/>
        <w:rPr>
          <w:rFonts w:hint="eastAsia" w:ascii="仿宋_GB2312" w:hAnsi="仿宋_GB2312" w:eastAsia="仿宋_GB2312" w:cs="仿宋_GB2312"/>
          <w:color w:val="auto"/>
          <w:highlight w:val="none"/>
        </w:rPr>
      </w:pPr>
    </w:p>
    <w:p w14:paraId="6A14A6F3">
      <w:pPr>
        <w:rPr>
          <w:rFonts w:hint="eastAsia" w:ascii="仿宋_GB2312" w:hAnsi="仿宋_GB2312" w:eastAsia="仿宋_GB2312" w:cs="仿宋_GB2312"/>
          <w:color w:val="auto"/>
          <w:highlight w:val="none"/>
        </w:rPr>
      </w:pPr>
    </w:p>
    <w:p w14:paraId="340FBFA8">
      <w:pPr>
        <w:pStyle w:val="2"/>
        <w:rPr>
          <w:rFonts w:hint="eastAsia" w:ascii="仿宋_GB2312" w:hAnsi="仿宋_GB2312" w:eastAsia="仿宋_GB2312" w:cs="仿宋_GB2312"/>
          <w:color w:val="auto"/>
          <w:highlight w:val="none"/>
        </w:rPr>
      </w:pPr>
    </w:p>
    <w:p w14:paraId="5ABFE8CE">
      <w:pPr>
        <w:rPr>
          <w:rFonts w:hint="eastAsia" w:ascii="仿宋_GB2312" w:hAnsi="仿宋_GB2312" w:eastAsia="仿宋_GB2312" w:cs="仿宋_GB2312"/>
          <w:color w:val="auto"/>
          <w:highlight w:val="none"/>
        </w:rPr>
      </w:pPr>
    </w:p>
    <w:p w14:paraId="4BAD00F4">
      <w:pPr>
        <w:pStyle w:val="2"/>
        <w:rPr>
          <w:rFonts w:hint="eastAsia" w:ascii="仿宋_GB2312" w:hAnsi="仿宋_GB2312" w:eastAsia="仿宋_GB2312" w:cs="仿宋_GB2312"/>
          <w:color w:val="auto"/>
          <w:highlight w:val="none"/>
        </w:rPr>
      </w:pPr>
    </w:p>
    <w:p w14:paraId="7865F1AF">
      <w:pPr>
        <w:rPr>
          <w:rFonts w:hint="eastAsia" w:ascii="仿宋_GB2312" w:hAnsi="仿宋_GB2312" w:eastAsia="仿宋_GB2312" w:cs="仿宋_GB2312"/>
          <w:color w:val="auto"/>
          <w:highlight w:val="none"/>
        </w:rPr>
      </w:pPr>
    </w:p>
    <w:p w14:paraId="1A7892D6">
      <w:pPr>
        <w:pStyle w:val="2"/>
        <w:rPr>
          <w:rFonts w:hint="eastAsia" w:ascii="仿宋_GB2312" w:hAnsi="仿宋_GB2312" w:eastAsia="仿宋_GB2312" w:cs="仿宋_GB2312"/>
          <w:color w:val="auto"/>
          <w:highlight w:val="none"/>
        </w:rPr>
      </w:pPr>
    </w:p>
    <w:p w14:paraId="51AA56E4">
      <w:pPr>
        <w:rPr>
          <w:rFonts w:hint="eastAsia" w:ascii="仿宋_GB2312" w:hAnsi="仿宋_GB2312" w:eastAsia="仿宋_GB2312" w:cs="仿宋_GB2312"/>
          <w:color w:val="auto"/>
          <w:highlight w:val="none"/>
        </w:rPr>
      </w:pPr>
    </w:p>
    <w:p w14:paraId="0AD2DB45">
      <w:pPr>
        <w:pStyle w:val="2"/>
        <w:rPr>
          <w:rFonts w:hint="eastAsia" w:ascii="仿宋_GB2312" w:hAnsi="仿宋_GB2312" w:eastAsia="仿宋_GB2312" w:cs="仿宋_GB2312"/>
          <w:color w:val="auto"/>
          <w:highlight w:val="none"/>
        </w:rPr>
      </w:pPr>
    </w:p>
    <w:p w14:paraId="78F86F9D">
      <w:pPr>
        <w:rPr>
          <w:rFonts w:hint="eastAsia" w:ascii="仿宋_GB2312" w:hAnsi="仿宋_GB2312" w:eastAsia="仿宋_GB2312" w:cs="仿宋_GB2312"/>
          <w:color w:val="auto"/>
          <w:highlight w:val="none"/>
        </w:rPr>
      </w:pPr>
    </w:p>
    <w:p w14:paraId="761AFB30">
      <w:pPr>
        <w:pStyle w:val="2"/>
        <w:rPr>
          <w:rFonts w:hint="eastAsia" w:ascii="仿宋_GB2312" w:hAnsi="仿宋_GB2312" w:eastAsia="仿宋_GB2312" w:cs="仿宋_GB2312"/>
          <w:color w:val="auto"/>
          <w:highlight w:val="none"/>
        </w:rPr>
      </w:pPr>
    </w:p>
    <w:p w14:paraId="1C449292">
      <w:pPr>
        <w:rPr>
          <w:rFonts w:hint="eastAsia" w:ascii="仿宋_GB2312" w:hAnsi="仿宋_GB2312" w:eastAsia="仿宋_GB2312" w:cs="仿宋_GB2312"/>
          <w:color w:val="auto"/>
          <w:highlight w:val="none"/>
        </w:rPr>
      </w:pPr>
    </w:p>
    <w:p w14:paraId="6F4FF8F7">
      <w:pPr>
        <w:pStyle w:val="2"/>
        <w:rPr>
          <w:rFonts w:hint="eastAsia" w:ascii="仿宋_GB2312" w:hAnsi="仿宋_GB2312" w:eastAsia="仿宋_GB2312" w:cs="仿宋_GB2312"/>
          <w:color w:val="auto"/>
          <w:highlight w:val="none"/>
        </w:rPr>
      </w:pPr>
    </w:p>
    <w:p w14:paraId="2302E4CB">
      <w:pPr>
        <w:rPr>
          <w:rFonts w:hint="eastAsia" w:ascii="仿宋_GB2312" w:hAnsi="仿宋_GB2312" w:eastAsia="仿宋_GB2312" w:cs="仿宋_GB2312"/>
          <w:color w:val="auto"/>
          <w:highlight w:val="none"/>
        </w:rPr>
      </w:pPr>
    </w:p>
    <w:p w14:paraId="565D70D3">
      <w:pPr>
        <w:pStyle w:val="2"/>
        <w:rPr>
          <w:rFonts w:hint="eastAsia"/>
        </w:rPr>
      </w:pPr>
    </w:p>
    <w:p w14:paraId="7AD37E15">
      <w:pPr>
        <w:pStyle w:val="2"/>
        <w:rPr>
          <w:rFonts w:hint="eastAsia"/>
        </w:rPr>
      </w:pPr>
    </w:p>
    <w:p w14:paraId="20A6DD17">
      <w:pPr>
        <w:spacing w:line="56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商务技术文件部分</w:t>
      </w:r>
    </w:p>
    <w:p w14:paraId="76EE52D7">
      <w:pPr>
        <w:spacing w:line="560" w:lineRule="exact"/>
        <w:contextualSpacing/>
        <w:rPr>
          <w:rFonts w:hint="eastAsia" w:ascii="仿宋_GB2312" w:hAnsi="仿宋_GB2312" w:eastAsia="仿宋_GB2312" w:cs="仿宋_GB2312"/>
          <w:color w:val="auto"/>
          <w:sz w:val="28"/>
          <w:szCs w:val="28"/>
          <w:highlight w:val="none"/>
        </w:rPr>
      </w:pPr>
    </w:p>
    <w:p w14:paraId="2739C59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55DABA86">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投标函…………………………………………………………………………（页码）</w:t>
      </w:r>
    </w:p>
    <w:p w14:paraId="089BC226">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联合协议（如果有）…………………………………………………………（页码）</w:t>
      </w:r>
    </w:p>
    <w:p w14:paraId="395D3C7A">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分包意向协议（如果有）……………………………………………………（页码）</w:t>
      </w:r>
    </w:p>
    <w:p w14:paraId="190EA743">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符合性审查资料………………………………………………………………（页码）</w:t>
      </w:r>
    </w:p>
    <w:p w14:paraId="08F30C45">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拟投入的项目班子格式（如果有）…………………………………………（页码）</w:t>
      </w:r>
    </w:p>
    <w:p w14:paraId="0284CF33">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评标标准相应的商务技术资料………………………………………………（页码）</w:t>
      </w:r>
    </w:p>
    <w:p w14:paraId="7A1E54CA">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投标标的清单………………………………………………………………（页码）</w:t>
      </w:r>
    </w:p>
    <w:p w14:paraId="5ACD85C2">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商务技术偏离表……………………………………………………………（页码）</w:t>
      </w:r>
    </w:p>
    <w:p w14:paraId="4AE2AA0B">
      <w:pPr>
        <w:pStyle w:val="61"/>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政府采购供应商廉洁自律承诺书……………………………………………（页码）</w:t>
      </w:r>
    </w:p>
    <w:p w14:paraId="0415BE83">
      <w:pPr>
        <w:spacing w:line="540" w:lineRule="exact"/>
        <w:contextualSpacing/>
        <w:rPr>
          <w:rFonts w:hint="eastAsia" w:ascii="仿宋_GB2312" w:hAnsi="仿宋_GB2312" w:eastAsia="仿宋_GB2312" w:cs="仿宋_GB2312"/>
          <w:color w:val="auto"/>
          <w:sz w:val="24"/>
          <w:szCs w:val="24"/>
          <w:highlight w:val="none"/>
        </w:rPr>
      </w:pPr>
    </w:p>
    <w:p w14:paraId="27B64716">
      <w:pPr>
        <w:spacing w:line="540" w:lineRule="exact"/>
        <w:contextualSpacing/>
        <w:rPr>
          <w:rFonts w:hint="eastAsia" w:ascii="仿宋_GB2312" w:hAnsi="仿宋_GB2312" w:eastAsia="仿宋_GB2312" w:cs="仿宋_GB2312"/>
          <w:color w:val="auto"/>
          <w:sz w:val="24"/>
          <w:szCs w:val="24"/>
          <w:highlight w:val="none"/>
        </w:rPr>
      </w:pPr>
    </w:p>
    <w:p w14:paraId="62A709E7">
      <w:pPr>
        <w:pStyle w:val="12"/>
        <w:rPr>
          <w:rFonts w:hint="eastAsia" w:ascii="仿宋_GB2312" w:hAnsi="仿宋_GB2312" w:eastAsia="仿宋_GB2312" w:cs="仿宋_GB2312"/>
          <w:color w:val="auto"/>
          <w:highlight w:val="none"/>
        </w:rPr>
      </w:pPr>
    </w:p>
    <w:p w14:paraId="6348A496">
      <w:pPr>
        <w:spacing w:line="540" w:lineRule="exact"/>
        <w:contextualSpacing/>
        <w:rPr>
          <w:rFonts w:hint="eastAsia" w:ascii="仿宋_GB2312" w:hAnsi="仿宋_GB2312" w:eastAsia="仿宋_GB2312" w:cs="仿宋_GB2312"/>
          <w:color w:val="auto"/>
          <w:sz w:val="24"/>
          <w:szCs w:val="24"/>
          <w:highlight w:val="none"/>
        </w:rPr>
      </w:pPr>
    </w:p>
    <w:p w14:paraId="6E335993">
      <w:pPr>
        <w:spacing w:line="540" w:lineRule="exact"/>
        <w:contextualSpacing/>
        <w:rPr>
          <w:rFonts w:hint="eastAsia" w:ascii="仿宋_GB2312" w:hAnsi="仿宋_GB2312" w:eastAsia="仿宋_GB2312" w:cs="仿宋_GB2312"/>
          <w:color w:val="auto"/>
          <w:sz w:val="24"/>
          <w:szCs w:val="24"/>
          <w:highlight w:val="none"/>
        </w:rPr>
      </w:pPr>
    </w:p>
    <w:p w14:paraId="29134EB4">
      <w:pPr>
        <w:spacing w:line="540" w:lineRule="exact"/>
        <w:contextualSpacing/>
        <w:rPr>
          <w:rFonts w:hint="eastAsia" w:ascii="仿宋_GB2312" w:hAnsi="仿宋_GB2312" w:eastAsia="仿宋_GB2312" w:cs="仿宋_GB2312"/>
          <w:color w:val="auto"/>
          <w:sz w:val="24"/>
          <w:szCs w:val="24"/>
          <w:highlight w:val="none"/>
        </w:rPr>
      </w:pPr>
    </w:p>
    <w:p w14:paraId="4D73F2F6">
      <w:pPr>
        <w:pStyle w:val="2"/>
        <w:rPr>
          <w:rFonts w:hint="eastAsia" w:ascii="仿宋_GB2312" w:hAnsi="仿宋_GB2312" w:eastAsia="仿宋_GB2312" w:cs="仿宋_GB2312"/>
          <w:color w:val="auto"/>
          <w:highlight w:val="none"/>
        </w:rPr>
      </w:pPr>
    </w:p>
    <w:p w14:paraId="01F0D65F">
      <w:pPr>
        <w:spacing w:line="540" w:lineRule="exact"/>
        <w:contextualSpacing/>
        <w:rPr>
          <w:rFonts w:hint="eastAsia" w:ascii="仿宋_GB2312" w:hAnsi="仿宋_GB2312" w:eastAsia="仿宋_GB2312" w:cs="仿宋_GB2312"/>
          <w:color w:val="auto"/>
          <w:sz w:val="24"/>
          <w:szCs w:val="24"/>
          <w:highlight w:val="none"/>
        </w:rPr>
      </w:pPr>
    </w:p>
    <w:p w14:paraId="53E855DC">
      <w:pPr>
        <w:spacing w:line="540" w:lineRule="exact"/>
        <w:contextualSpacing/>
        <w:rPr>
          <w:rFonts w:hint="eastAsia" w:ascii="仿宋_GB2312" w:hAnsi="仿宋_GB2312" w:eastAsia="仿宋_GB2312" w:cs="仿宋_GB2312"/>
          <w:color w:val="auto"/>
          <w:sz w:val="24"/>
          <w:szCs w:val="24"/>
          <w:highlight w:val="none"/>
        </w:rPr>
      </w:pPr>
    </w:p>
    <w:p w14:paraId="222695BA">
      <w:pPr>
        <w:spacing w:line="540" w:lineRule="exact"/>
        <w:contextualSpacing/>
        <w:rPr>
          <w:rFonts w:hint="eastAsia" w:ascii="仿宋_GB2312" w:hAnsi="仿宋_GB2312" w:eastAsia="仿宋_GB2312" w:cs="仿宋_GB2312"/>
          <w:color w:val="auto"/>
          <w:sz w:val="24"/>
          <w:szCs w:val="24"/>
          <w:highlight w:val="none"/>
        </w:rPr>
      </w:pPr>
    </w:p>
    <w:p w14:paraId="3B117DF5">
      <w:pPr>
        <w:spacing w:line="540" w:lineRule="exact"/>
        <w:contextualSpacing/>
        <w:rPr>
          <w:rFonts w:hint="eastAsia" w:ascii="仿宋_GB2312" w:hAnsi="仿宋_GB2312" w:eastAsia="仿宋_GB2312" w:cs="仿宋_GB2312"/>
          <w:color w:val="auto"/>
          <w:sz w:val="24"/>
          <w:szCs w:val="24"/>
          <w:highlight w:val="none"/>
        </w:rPr>
      </w:pPr>
    </w:p>
    <w:p w14:paraId="358151F1">
      <w:pPr>
        <w:spacing w:line="540" w:lineRule="exact"/>
        <w:contextualSpacing/>
        <w:rPr>
          <w:rFonts w:hint="eastAsia" w:ascii="仿宋_GB2312" w:hAnsi="仿宋_GB2312" w:eastAsia="仿宋_GB2312" w:cs="仿宋_GB2312"/>
          <w:color w:val="auto"/>
          <w:sz w:val="24"/>
          <w:szCs w:val="24"/>
          <w:highlight w:val="none"/>
        </w:rPr>
      </w:pPr>
    </w:p>
    <w:p w14:paraId="21F412BF">
      <w:pPr>
        <w:spacing w:line="540" w:lineRule="exact"/>
        <w:contextualSpacing/>
        <w:rPr>
          <w:rFonts w:hint="eastAsia" w:ascii="仿宋_GB2312" w:hAnsi="仿宋_GB2312" w:eastAsia="仿宋_GB2312" w:cs="仿宋_GB2312"/>
          <w:color w:val="auto"/>
          <w:sz w:val="24"/>
          <w:szCs w:val="24"/>
          <w:highlight w:val="none"/>
        </w:rPr>
      </w:pPr>
    </w:p>
    <w:p w14:paraId="47EA5B3E">
      <w:pPr>
        <w:spacing w:line="540" w:lineRule="exact"/>
        <w:contextualSpacing/>
        <w:rPr>
          <w:rFonts w:hint="eastAsia" w:ascii="仿宋_GB2312" w:hAnsi="仿宋_GB2312" w:eastAsia="仿宋_GB2312" w:cs="仿宋_GB2312"/>
          <w:color w:val="auto"/>
          <w:sz w:val="24"/>
          <w:szCs w:val="24"/>
          <w:highlight w:val="none"/>
        </w:rPr>
      </w:pPr>
    </w:p>
    <w:p w14:paraId="736958C4">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一、投标函</w:t>
      </w:r>
    </w:p>
    <w:p w14:paraId="47935A04">
      <w:pPr>
        <w:spacing w:line="540" w:lineRule="exact"/>
        <w:contextualSpacing/>
        <w:rPr>
          <w:rFonts w:hint="eastAsia" w:ascii="仿宋_GB2312" w:hAnsi="仿宋_GB2312" w:eastAsia="仿宋_GB2312" w:cs="仿宋_GB2312"/>
          <w:color w:val="auto"/>
          <w:sz w:val="24"/>
          <w:szCs w:val="24"/>
          <w:highlight w:val="none"/>
        </w:rPr>
      </w:pPr>
    </w:p>
    <w:p w14:paraId="28DEE46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4928958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我方参加你方组织的（项目名称）【招标编号：（采购编号）】招标的有关活动，并对此项目进行投标。为此：</w:t>
      </w:r>
    </w:p>
    <w:p w14:paraId="01591D5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我方承诺投标有效期从提交投标文件的截止之日起</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天（不少于90天），本投标文件在投标有效期满之前均具有约束力。</w:t>
      </w:r>
    </w:p>
    <w:p w14:paraId="6BEE19F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1.我方的投标文件包括以下内容：</w:t>
      </w:r>
    </w:p>
    <w:p w14:paraId="425480F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2.1资格文件：</w:t>
      </w:r>
    </w:p>
    <w:p w14:paraId="3944A59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2.1.1承诺函；</w:t>
      </w:r>
    </w:p>
    <w:p w14:paraId="3B791A4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2.1.2联合协议（如果有)；</w:t>
      </w:r>
    </w:p>
    <w:p w14:paraId="3CB793C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2.1.3落实政府采购政策需满足的资格要求（如果有)；</w:t>
      </w:r>
    </w:p>
    <w:p w14:paraId="6985B8E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2.2.4本项目的特定资格要求（如果有）。</w:t>
      </w:r>
    </w:p>
    <w:p w14:paraId="6640D71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商务技术文件：</w:t>
      </w:r>
    </w:p>
    <w:p w14:paraId="2B35933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2.2.1投标函； </w:t>
      </w:r>
    </w:p>
    <w:p w14:paraId="42854D1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联合协议（如果有）；</w:t>
      </w:r>
    </w:p>
    <w:p w14:paraId="2D5729E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分包意向协议（如果有）；</w:t>
      </w:r>
    </w:p>
    <w:p w14:paraId="02FCC1A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符合性审查资料；</w:t>
      </w:r>
    </w:p>
    <w:p w14:paraId="0BA8E9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拟投入的项目班子格式；</w:t>
      </w:r>
    </w:p>
    <w:p w14:paraId="23291AB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评标标准相应的商务技术资料；</w:t>
      </w:r>
    </w:p>
    <w:p w14:paraId="1938EFE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投标标的清单（如果有）；</w:t>
      </w:r>
    </w:p>
    <w:p w14:paraId="5E57079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商务技术偏离表；</w:t>
      </w:r>
    </w:p>
    <w:p w14:paraId="4BA4B942">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政府采购供应商廉洁自律承诺书。</w:t>
      </w:r>
    </w:p>
    <w:p w14:paraId="5DBE258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2.3报价文件</w:t>
      </w:r>
    </w:p>
    <w:p w14:paraId="0FC1258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2.3.1开标一览表（报价表）；</w:t>
      </w:r>
    </w:p>
    <w:p w14:paraId="6299C3B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2.3.2中小企业声明函（如果有）；</w:t>
      </w:r>
    </w:p>
    <w:p w14:paraId="0D2E853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2.3.3关于符合本国产品标准的声明函（如果有）；</w:t>
      </w:r>
    </w:p>
    <w:p w14:paraId="2682122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3A76C53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3.我方承诺除商务技术偏离表（如果有）列出的偏离外，我方响应招标文件的全部要求。</w:t>
      </w:r>
    </w:p>
    <w:p w14:paraId="7D7980B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4.如我方中标，我方承诺：</w:t>
      </w:r>
    </w:p>
    <w:p w14:paraId="3F835DD4">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4.1在收到中标通知书后，在中标通知书规定的期限内与你方签订合同；</w:t>
      </w:r>
    </w:p>
    <w:p w14:paraId="2A8AE44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4.2在签订合同时不向你方提出附加条件；</w:t>
      </w:r>
    </w:p>
    <w:p w14:paraId="06D9A0B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4.3按照招标文件要求提交履约保证金；</w:t>
      </w:r>
    </w:p>
    <w:p w14:paraId="0987425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4.4在合同约定的期限内完成合同规定的全部义务。</w:t>
      </w:r>
    </w:p>
    <w:p w14:paraId="0067A4B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5.其他补充说明:。</w:t>
      </w:r>
    </w:p>
    <w:p w14:paraId="34FAE231">
      <w:pPr>
        <w:spacing w:line="540" w:lineRule="exact"/>
        <w:contextualSpacing/>
        <w:rPr>
          <w:rFonts w:hint="eastAsia" w:ascii="仿宋_GB2312" w:hAnsi="仿宋_GB2312" w:eastAsia="仿宋_GB2312" w:cs="仿宋_GB2312"/>
          <w:color w:val="auto"/>
          <w:sz w:val="24"/>
          <w:szCs w:val="24"/>
          <w:highlight w:val="none"/>
        </w:rPr>
      </w:pPr>
    </w:p>
    <w:p w14:paraId="24927F1A">
      <w:pPr>
        <w:spacing w:line="540" w:lineRule="exact"/>
        <w:contextualSpacing/>
        <w:rPr>
          <w:rFonts w:hint="eastAsia" w:ascii="仿宋_GB2312" w:hAnsi="仿宋_GB2312" w:eastAsia="仿宋_GB2312" w:cs="仿宋_GB2312"/>
          <w:color w:val="auto"/>
          <w:sz w:val="24"/>
          <w:szCs w:val="24"/>
          <w:highlight w:val="none"/>
        </w:rPr>
      </w:pPr>
    </w:p>
    <w:p w14:paraId="4D9AFECD">
      <w:pPr>
        <w:spacing w:line="540" w:lineRule="exact"/>
        <w:contextualSpacing/>
        <w:rPr>
          <w:rFonts w:hint="eastAsia" w:ascii="仿宋_GB2312" w:hAnsi="仿宋_GB2312" w:eastAsia="仿宋_GB2312" w:cs="仿宋_GB2312"/>
          <w:color w:val="auto"/>
          <w:sz w:val="24"/>
          <w:szCs w:val="24"/>
          <w:highlight w:val="none"/>
        </w:rPr>
      </w:pPr>
    </w:p>
    <w:p w14:paraId="659D1D7D">
      <w:pPr>
        <w:spacing w:line="540" w:lineRule="exact"/>
        <w:contextualSpacing/>
        <w:rPr>
          <w:rFonts w:hint="eastAsia" w:ascii="仿宋_GB2312" w:hAnsi="仿宋_GB2312" w:eastAsia="仿宋_GB2312" w:cs="仿宋_GB2312"/>
          <w:color w:val="auto"/>
          <w:sz w:val="24"/>
          <w:szCs w:val="24"/>
          <w:highlight w:val="none"/>
        </w:rPr>
      </w:pPr>
    </w:p>
    <w:p w14:paraId="50A7B117">
      <w:pPr>
        <w:spacing w:line="540" w:lineRule="exact"/>
        <w:contextualSpacing/>
        <w:rPr>
          <w:rFonts w:hint="eastAsia" w:ascii="仿宋_GB2312" w:hAnsi="仿宋_GB2312" w:eastAsia="仿宋_GB2312" w:cs="仿宋_GB2312"/>
          <w:color w:val="auto"/>
          <w:sz w:val="24"/>
          <w:szCs w:val="24"/>
          <w:highlight w:val="none"/>
        </w:rPr>
      </w:pPr>
    </w:p>
    <w:p w14:paraId="19B37639">
      <w:pPr>
        <w:spacing w:line="540" w:lineRule="exact"/>
        <w:contextualSpacing/>
        <w:rPr>
          <w:rFonts w:hint="eastAsia" w:ascii="仿宋_GB2312" w:hAnsi="仿宋_GB2312" w:eastAsia="仿宋_GB2312" w:cs="仿宋_GB2312"/>
          <w:color w:val="auto"/>
          <w:sz w:val="24"/>
          <w:szCs w:val="24"/>
          <w:highlight w:val="none"/>
        </w:rPr>
      </w:pPr>
    </w:p>
    <w:p w14:paraId="1513155A">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24AA29B1">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6D9867FE">
      <w:pPr>
        <w:spacing w:line="540" w:lineRule="exact"/>
        <w:contextualSpacing/>
        <w:rPr>
          <w:rFonts w:hint="eastAsia" w:ascii="仿宋_GB2312" w:hAnsi="仿宋_GB2312" w:eastAsia="仿宋_GB2312" w:cs="仿宋_GB2312"/>
          <w:color w:val="auto"/>
          <w:sz w:val="24"/>
          <w:szCs w:val="24"/>
          <w:highlight w:val="none"/>
        </w:rPr>
      </w:pPr>
    </w:p>
    <w:p w14:paraId="39C98D84">
      <w:pPr>
        <w:spacing w:line="540" w:lineRule="exact"/>
        <w:contextualSpacing/>
        <w:rPr>
          <w:rFonts w:hint="eastAsia" w:ascii="仿宋_GB2312" w:hAnsi="仿宋_GB2312" w:eastAsia="仿宋_GB2312" w:cs="仿宋_GB2312"/>
          <w:color w:val="auto"/>
          <w:sz w:val="24"/>
          <w:szCs w:val="24"/>
          <w:highlight w:val="none"/>
        </w:rPr>
      </w:pPr>
    </w:p>
    <w:p w14:paraId="2401E82A">
      <w:pPr>
        <w:spacing w:line="540" w:lineRule="exact"/>
        <w:contextualSpacing/>
        <w:rPr>
          <w:rFonts w:hint="eastAsia" w:ascii="仿宋_GB2312" w:hAnsi="仿宋_GB2312" w:eastAsia="仿宋_GB2312" w:cs="仿宋_GB2312"/>
          <w:color w:val="auto"/>
          <w:sz w:val="24"/>
          <w:szCs w:val="24"/>
          <w:highlight w:val="none"/>
        </w:rPr>
      </w:pPr>
    </w:p>
    <w:p w14:paraId="36C4F2A9">
      <w:pPr>
        <w:spacing w:line="540" w:lineRule="exact"/>
        <w:contextualSpacing/>
        <w:rPr>
          <w:rFonts w:hint="eastAsia" w:ascii="仿宋_GB2312" w:hAnsi="仿宋_GB2312" w:eastAsia="仿宋_GB2312" w:cs="仿宋_GB2312"/>
          <w:color w:val="auto"/>
          <w:sz w:val="24"/>
          <w:szCs w:val="24"/>
          <w:highlight w:val="none"/>
        </w:rPr>
      </w:pPr>
    </w:p>
    <w:p w14:paraId="56E731BE">
      <w:pPr>
        <w:spacing w:line="540" w:lineRule="exact"/>
        <w:contextualSpacing/>
        <w:rPr>
          <w:rFonts w:hint="eastAsia" w:ascii="仿宋_GB2312" w:hAnsi="仿宋_GB2312" w:eastAsia="仿宋_GB2312" w:cs="仿宋_GB2312"/>
          <w:color w:val="auto"/>
          <w:sz w:val="24"/>
          <w:szCs w:val="24"/>
          <w:highlight w:val="none"/>
        </w:rPr>
      </w:pPr>
    </w:p>
    <w:p w14:paraId="7C8B35E8">
      <w:pPr>
        <w:spacing w:line="540" w:lineRule="exact"/>
        <w:contextualSpacing/>
        <w:rPr>
          <w:rFonts w:hint="eastAsia" w:ascii="仿宋_GB2312" w:hAnsi="仿宋_GB2312" w:eastAsia="仿宋_GB2312" w:cs="仿宋_GB2312"/>
          <w:color w:val="auto"/>
          <w:sz w:val="24"/>
          <w:szCs w:val="24"/>
          <w:highlight w:val="none"/>
        </w:rPr>
      </w:pPr>
    </w:p>
    <w:p w14:paraId="6FF35E7D">
      <w:pPr>
        <w:pStyle w:val="12"/>
        <w:rPr>
          <w:rFonts w:hint="eastAsia" w:ascii="仿宋_GB2312" w:hAnsi="仿宋_GB2312" w:eastAsia="仿宋_GB2312" w:cs="仿宋_GB2312"/>
          <w:color w:val="auto"/>
          <w:highlight w:val="none"/>
        </w:rPr>
      </w:pPr>
    </w:p>
    <w:p w14:paraId="1E6CB4CC">
      <w:pPr>
        <w:widowControl/>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、联合协议（如果有）</w:t>
      </w:r>
    </w:p>
    <w:p w14:paraId="64E17D3B">
      <w:pPr>
        <w:widowControl/>
        <w:spacing w:line="560" w:lineRule="exact"/>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[以联合体形式投标的，提供联合协议（附件6）；本项目不接受联合体投标或者投标人不以联合体形式投标的，则不需要提供）]</w:t>
      </w:r>
    </w:p>
    <w:p w14:paraId="22A220E6">
      <w:pPr>
        <w:pStyle w:val="12"/>
        <w:rPr>
          <w:rFonts w:hint="eastAsia" w:ascii="仿宋_GB2312" w:hAnsi="仿宋_GB2312" w:eastAsia="仿宋_GB2312" w:cs="仿宋_GB2312"/>
          <w:color w:val="auto"/>
          <w:highlight w:val="none"/>
        </w:rPr>
      </w:pPr>
    </w:p>
    <w:p w14:paraId="7AF582F0">
      <w:pPr>
        <w:rPr>
          <w:rFonts w:hint="eastAsia"/>
        </w:rPr>
      </w:pPr>
    </w:p>
    <w:p w14:paraId="3EFBD5B8">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三</w:t>
      </w:r>
      <w:r>
        <w:rPr>
          <w:rFonts w:hint="eastAsia" w:ascii="仿宋_GB2312" w:hAnsi="仿宋_GB2312" w:eastAsia="仿宋_GB2312" w:cs="仿宋_GB2312"/>
          <w:b/>
          <w:color w:val="auto"/>
          <w:kern w:val="0"/>
          <w:sz w:val="28"/>
          <w:szCs w:val="28"/>
          <w:highlight w:val="none"/>
        </w:rPr>
        <w:t>、分包意向协议（如果有）</w:t>
      </w:r>
    </w:p>
    <w:p w14:paraId="0A8876F4">
      <w:pPr>
        <w:widowControl/>
        <w:spacing w:line="360" w:lineRule="auto"/>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auto"/>
          <w:sz w:val="28"/>
          <w:szCs w:val="28"/>
          <w:highlight w:val="none"/>
        </w:rPr>
        <w:t>]</w:t>
      </w:r>
    </w:p>
    <w:p w14:paraId="62297BE7">
      <w:pPr>
        <w:pStyle w:val="2"/>
        <w:rPr>
          <w:rFonts w:hint="eastAsia" w:ascii="仿宋_GB2312" w:hAnsi="仿宋_GB2312" w:eastAsia="仿宋_GB2312" w:cs="仿宋_GB2312"/>
          <w:color w:val="auto"/>
          <w:highlight w:val="none"/>
        </w:rPr>
      </w:pPr>
    </w:p>
    <w:p w14:paraId="31AB332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3E15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060C9A3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4991" w:type="dxa"/>
            <w:noWrap w:val="0"/>
            <w:vAlign w:val="center"/>
          </w:tcPr>
          <w:p w14:paraId="5A19AEA5">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实质性要求</w:t>
            </w:r>
          </w:p>
        </w:tc>
        <w:tc>
          <w:tcPr>
            <w:tcW w:w="2551" w:type="dxa"/>
            <w:noWrap w:val="0"/>
            <w:vAlign w:val="center"/>
          </w:tcPr>
          <w:p w14:paraId="2707988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需要提供的符合性审查资料</w:t>
            </w:r>
          </w:p>
        </w:tc>
        <w:tc>
          <w:tcPr>
            <w:tcW w:w="1418" w:type="dxa"/>
            <w:noWrap w:val="0"/>
            <w:vAlign w:val="center"/>
          </w:tcPr>
          <w:p w14:paraId="62E9A73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投标文件中的页码位置</w:t>
            </w:r>
          </w:p>
        </w:tc>
      </w:tr>
      <w:tr w14:paraId="4CD3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625BCCE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991" w:type="dxa"/>
            <w:noWrap w:val="0"/>
            <w:vAlign w:val="center"/>
          </w:tcPr>
          <w:p w14:paraId="30274A0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投标文件按照招标文件要求签署、盖章。</w:t>
            </w:r>
          </w:p>
        </w:tc>
        <w:tc>
          <w:tcPr>
            <w:tcW w:w="2551" w:type="dxa"/>
            <w:noWrap w:val="0"/>
            <w:vAlign w:val="center"/>
          </w:tcPr>
          <w:p w14:paraId="3CB2400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需要使用电子签名或者签字盖章的投标文件的组成部分</w:t>
            </w:r>
          </w:p>
        </w:tc>
        <w:tc>
          <w:tcPr>
            <w:tcW w:w="1418" w:type="dxa"/>
            <w:noWrap w:val="0"/>
            <w:vAlign w:val="center"/>
          </w:tcPr>
          <w:p w14:paraId="7590E16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13E023A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7299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55C4111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4991" w:type="dxa"/>
            <w:noWrap w:val="0"/>
            <w:vAlign w:val="center"/>
          </w:tcPr>
          <w:p w14:paraId="48D5A7B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14:paraId="09D384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节能产品认证证书（本项目拟采购的产品不属于政府强制采购的节能产品品目清单范围的，无需提供）</w:t>
            </w:r>
          </w:p>
        </w:tc>
        <w:tc>
          <w:tcPr>
            <w:tcW w:w="1418" w:type="dxa"/>
            <w:noWrap w:val="0"/>
            <w:vAlign w:val="center"/>
          </w:tcPr>
          <w:p w14:paraId="27B59E5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792FF0A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1DC1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683B494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4991" w:type="dxa"/>
            <w:noWrap w:val="0"/>
            <w:vAlign w:val="center"/>
          </w:tcPr>
          <w:p w14:paraId="1AB661D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投标文件中承诺的投标有效期不少于招标文件中载明的投标有效期。</w:t>
            </w:r>
          </w:p>
        </w:tc>
        <w:tc>
          <w:tcPr>
            <w:tcW w:w="2551" w:type="dxa"/>
            <w:noWrap w:val="0"/>
            <w:vAlign w:val="center"/>
          </w:tcPr>
          <w:p w14:paraId="08132A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w:t>
            </w:r>
          </w:p>
        </w:tc>
        <w:tc>
          <w:tcPr>
            <w:tcW w:w="1418" w:type="dxa"/>
            <w:noWrap w:val="0"/>
            <w:vAlign w:val="center"/>
          </w:tcPr>
          <w:p w14:paraId="4BFB7AC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r w14:paraId="440C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06D60F8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4991" w:type="dxa"/>
            <w:noWrap w:val="0"/>
            <w:vAlign w:val="center"/>
          </w:tcPr>
          <w:p w14:paraId="3F7521F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投标文件满足招标文件的其它实质性要求。</w:t>
            </w:r>
          </w:p>
        </w:tc>
        <w:tc>
          <w:tcPr>
            <w:tcW w:w="2551" w:type="dxa"/>
            <w:noWrap w:val="0"/>
            <w:vAlign w:val="center"/>
          </w:tcPr>
          <w:p w14:paraId="1B2964D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招标文件其它实质性要求相应的材料（“▲”系指实质性要求条款，招标文件无其它实质性要求的，无需提供）</w:t>
            </w:r>
          </w:p>
        </w:tc>
        <w:tc>
          <w:tcPr>
            <w:tcW w:w="1418" w:type="dxa"/>
            <w:noWrap w:val="0"/>
            <w:vAlign w:val="center"/>
          </w:tcPr>
          <w:p w14:paraId="09DDA2E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bl>
    <w:p w14:paraId="6B2BC39D">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6A713A0C">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50EDBA1">
      <w:pPr>
        <w:spacing w:line="540" w:lineRule="exact"/>
        <w:contextualSpacing/>
        <w:rPr>
          <w:rFonts w:hint="eastAsia" w:ascii="仿宋_GB2312" w:hAnsi="仿宋_GB2312" w:eastAsia="仿宋_GB2312" w:cs="仿宋_GB2312"/>
          <w:color w:val="auto"/>
          <w:sz w:val="24"/>
          <w:szCs w:val="24"/>
          <w:highlight w:val="none"/>
        </w:rPr>
      </w:pPr>
    </w:p>
    <w:p w14:paraId="3C67C72B">
      <w:pPr>
        <w:spacing w:line="540" w:lineRule="exact"/>
        <w:contextualSpacing/>
        <w:jc w:val="center"/>
        <w:rPr>
          <w:rFonts w:hint="eastAsia" w:ascii="仿宋_GB2312" w:hAnsi="仿宋_GB2312" w:eastAsia="仿宋_GB2312" w:cs="仿宋_GB2312"/>
          <w:b/>
          <w:color w:val="auto"/>
          <w:sz w:val="28"/>
          <w:szCs w:val="28"/>
          <w:highlight w:val="none"/>
          <w:lang w:eastAsia="zh-CN"/>
        </w:rPr>
      </w:pPr>
    </w:p>
    <w:p w14:paraId="4852449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、拟投入的项目班子格式（如果有）</w:t>
      </w:r>
    </w:p>
    <w:p w14:paraId="12DFA87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（格式仅供参考）</w:t>
      </w:r>
    </w:p>
    <w:p w14:paraId="7D27A64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3D5C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1A2EEE5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165" w:type="dxa"/>
            <w:gridSpan w:val="2"/>
            <w:noWrap w:val="0"/>
            <w:vAlign w:val="center"/>
          </w:tcPr>
          <w:p w14:paraId="616E8A98">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66B2D15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年龄</w:t>
            </w:r>
          </w:p>
        </w:tc>
        <w:tc>
          <w:tcPr>
            <w:tcW w:w="1155" w:type="dxa"/>
            <w:gridSpan w:val="2"/>
            <w:noWrap w:val="0"/>
            <w:vAlign w:val="center"/>
          </w:tcPr>
          <w:p w14:paraId="513C060F">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0157EE0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tc>
        <w:tc>
          <w:tcPr>
            <w:tcW w:w="1800" w:type="dxa"/>
            <w:noWrap w:val="0"/>
            <w:vAlign w:val="center"/>
          </w:tcPr>
          <w:p w14:paraId="4FA15759">
            <w:pPr>
              <w:spacing w:line="540" w:lineRule="exact"/>
              <w:contextualSpacing/>
              <w:rPr>
                <w:rFonts w:hint="eastAsia" w:ascii="仿宋_GB2312" w:hAnsi="仿宋_GB2312" w:eastAsia="仿宋_GB2312" w:cs="仿宋_GB2312"/>
                <w:color w:val="auto"/>
                <w:sz w:val="24"/>
                <w:szCs w:val="24"/>
                <w:highlight w:val="none"/>
              </w:rPr>
            </w:pPr>
          </w:p>
        </w:tc>
      </w:tr>
      <w:tr w14:paraId="2054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15A2F0B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职称</w:t>
            </w:r>
          </w:p>
        </w:tc>
        <w:tc>
          <w:tcPr>
            <w:tcW w:w="1165" w:type="dxa"/>
            <w:gridSpan w:val="2"/>
            <w:noWrap w:val="0"/>
            <w:vAlign w:val="center"/>
          </w:tcPr>
          <w:p w14:paraId="53E44F51">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5360438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155" w:type="dxa"/>
            <w:gridSpan w:val="2"/>
            <w:noWrap w:val="0"/>
            <w:vAlign w:val="center"/>
          </w:tcPr>
          <w:p w14:paraId="7FFE2C76">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1C46729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拟在本项目任职</w:t>
            </w:r>
          </w:p>
        </w:tc>
        <w:tc>
          <w:tcPr>
            <w:tcW w:w="1800" w:type="dxa"/>
            <w:noWrap w:val="0"/>
            <w:vAlign w:val="center"/>
          </w:tcPr>
          <w:p w14:paraId="5E7CF96A">
            <w:pPr>
              <w:spacing w:line="540" w:lineRule="exact"/>
              <w:contextualSpacing/>
              <w:rPr>
                <w:rFonts w:hint="eastAsia" w:ascii="仿宋_GB2312" w:hAnsi="仿宋_GB2312" w:eastAsia="仿宋_GB2312" w:cs="仿宋_GB2312"/>
                <w:color w:val="auto"/>
                <w:sz w:val="24"/>
                <w:szCs w:val="24"/>
                <w:highlight w:val="none"/>
              </w:rPr>
            </w:pPr>
          </w:p>
        </w:tc>
      </w:tr>
      <w:tr w14:paraId="442D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1E21C52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毕业院校</w:t>
            </w:r>
          </w:p>
        </w:tc>
        <w:tc>
          <w:tcPr>
            <w:tcW w:w="8020" w:type="dxa"/>
            <w:gridSpan w:val="8"/>
            <w:noWrap w:val="0"/>
            <w:vAlign w:val="center"/>
          </w:tcPr>
          <w:p w14:paraId="7DD4FD9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年毕业于学校专业</w:t>
            </w:r>
          </w:p>
        </w:tc>
      </w:tr>
      <w:tr w14:paraId="1BA5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14:paraId="2513D38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主要工作履历</w:t>
            </w:r>
          </w:p>
        </w:tc>
      </w:tr>
      <w:tr w14:paraId="27CF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CBE5CA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2297" w:type="dxa"/>
            <w:gridSpan w:val="3"/>
            <w:noWrap w:val="0"/>
            <w:vAlign w:val="center"/>
          </w:tcPr>
          <w:p w14:paraId="4E26BB5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参加过类似项目</w:t>
            </w:r>
          </w:p>
        </w:tc>
        <w:tc>
          <w:tcPr>
            <w:tcW w:w="1701" w:type="dxa"/>
            <w:gridSpan w:val="2"/>
            <w:noWrap w:val="0"/>
            <w:vAlign w:val="center"/>
          </w:tcPr>
          <w:p w14:paraId="103CF4C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担任职务</w:t>
            </w:r>
          </w:p>
        </w:tc>
        <w:tc>
          <w:tcPr>
            <w:tcW w:w="3313" w:type="dxa"/>
            <w:gridSpan w:val="2"/>
            <w:noWrap w:val="0"/>
            <w:vAlign w:val="center"/>
          </w:tcPr>
          <w:p w14:paraId="309A65C9">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业主及联系电话</w:t>
            </w:r>
          </w:p>
        </w:tc>
      </w:tr>
      <w:tr w14:paraId="09F5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64BAD4A">
            <w:pPr>
              <w:spacing w:line="540" w:lineRule="exact"/>
              <w:contextualSpacing/>
              <w:rPr>
                <w:rFonts w:hint="eastAsia" w:ascii="仿宋_GB2312" w:hAnsi="仿宋_GB2312" w:eastAsia="仿宋_GB2312" w:cs="仿宋_GB2312"/>
                <w:color w:val="auto"/>
                <w:sz w:val="24"/>
                <w:szCs w:val="24"/>
                <w:highlight w:val="none"/>
              </w:rPr>
            </w:pPr>
          </w:p>
        </w:tc>
        <w:tc>
          <w:tcPr>
            <w:tcW w:w="2297" w:type="dxa"/>
            <w:gridSpan w:val="3"/>
            <w:noWrap w:val="0"/>
            <w:vAlign w:val="center"/>
          </w:tcPr>
          <w:p w14:paraId="4FF3FC14">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381D1BF9">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2F38897F">
            <w:pPr>
              <w:spacing w:line="540" w:lineRule="exact"/>
              <w:contextualSpacing/>
              <w:rPr>
                <w:rFonts w:hint="eastAsia" w:ascii="仿宋_GB2312" w:hAnsi="仿宋_GB2312" w:eastAsia="仿宋_GB2312" w:cs="仿宋_GB2312"/>
                <w:color w:val="auto"/>
                <w:sz w:val="24"/>
                <w:szCs w:val="24"/>
                <w:highlight w:val="none"/>
              </w:rPr>
            </w:pPr>
          </w:p>
        </w:tc>
      </w:tr>
      <w:tr w14:paraId="1D2E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245AAD8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297" w:type="dxa"/>
            <w:gridSpan w:val="3"/>
            <w:noWrap w:val="0"/>
            <w:vAlign w:val="center"/>
          </w:tcPr>
          <w:p w14:paraId="3BD2165C">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0D964221">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5991993B">
            <w:pPr>
              <w:spacing w:line="540" w:lineRule="exact"/>
              <w:contextualSpacing/>
              <w:rPr>
                <w:rFonts w:hint="eastAsia" w:ascii="仿宋_GB2312" w:hAnsi="仿宋_GB2312" w:eastAsia="仿宋_GB2312" w:cs="仿宋_GB2312"/>
                <w:color w:val="auto"/>
                <w:sz w:val="24"/>
                <w:szCs w:val="24"/>
                <w:highlight w:val="none"/>
              </w:rPr>
            </w:pPr>
          </w:p>
        </w:tc>
      </w:tr>
    </w:tbl>
    <w:p w14:paraId="199FFB9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附：执业资格证书、职称证书等证明材料</w:t>
      </w:r>
    </w:p>
    <w:p w14:paraId="142A5303">
      <w:pPr>
        <w:spacing w:line="540" w:lineRule="exact"/>
        <w:contextualSpacing/>
        <w:rPr>
          <w:rFonts w:hint="eastAsia" w:ascii="仿宋_GB2312" w:hAnsi="仿宋_GB2312" w:eastAsia="仿宋_GB2312" w:cs="仿宋_GB2312"/>
          <w:color w:val="auto"/>
          <w:sz w:val="24"/>
          <w:szCs w:val="24"/>
          <w:highlight w:val="none"/>
        </w:rPr>
      </w:pPr>
    </w:p>
    <w:p w14:paraId="1F4A5CB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4063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1E4D87E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418" w:type="dxa"/>
            <w:noWrap w:val="0"/>
            <w:vAlign w:val="center"/>
          </w:tcPr>
          <w:p w14:paraId="5429AD8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984" w:type="dxa"/>
            <w:noWrap w:val="0"/>
            <w:vAlign w:val="center"/>
          </w:tcPr>
          <w:p w14:paraId="2DA5BDF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专业技术资格</w:t>
            </w:r>
          </w:p>
        </w:tc>
        <w:tc>
          <w:tcPr>
            <w:tcW w:w="1843" w:type="dxa"/>
            <w:noWrap w:val="0"/>
            <w:vAlign w:val="center"/>
          </w:tcPr>
          <w:p w14:paraId="794F022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证书编号</w:t>
            </w:r>
          </w:p>
        </w:tc>
        <w:tc>
          <w:tcPr>
            <w:tcW w:w="2755" w:type="dxa"/>
            <w:noWrap w:val="0"/>
            <w:vAlign w:val="center"/>
          </w:tcPr>
          <w:p w14:paraId="2C752F4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实施经验说明</w:t>
            </w:r>
          </w:p>
        </w:tc>
      </w:tr>
      <w:tr w14:paraId="5CFA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31860AE6">
            <w:pPr>
              <w:spacing w:line="540" w:lineRule="exact"/>
              <w:contextualSpacing/>
              <w:rPr>
                <w:rFonts w:hint="eastAsia" w:ascii="仿宋_GB2312" w:hAnsi="仿宋_GB2312" w:eastAsia="仿宋_GB2312" w:cs="仿宋_GB2312"/>
                <w:color w:val="auto"/>
                <w:sz w:val="24"/>
                <w:szCs w:val="24"/>
                <w:highlight w:val="none"/>
              </w:rPr>
            </w:pPr>
          </w:p>
        </w:tc>
        <w:tc>
          <w:tcPr>
            <w:tcW w:w="1418" w:type="dxa"/>
            <w:noWrap w:val="0"/>
            <w:vAlign w:val="center"/>
          </w:tcPr>
          <w:p w14:paraId="240D6196">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160BAE5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6E81032C">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1169F142">
            <w:pPr>
              <w:spacing w:line="540" w:lineRule="exact"/>
              <w:contextualSpacing/>
              <w:rPr>
                <w:rFonts w:hint="eastAsia" w:ascii="仿宋_GB2312" w:hAnsi="仿宋_GB2312" w:eastAsia="仿宋_GB2312" w:cs="仿宋_GB2312"/>
                <w:color w:val="auto"/>
                <w:sz w:val="24"/>
                <w:szCs w:val="24"/>
                <w:highlight w:val="none"/>
              </w:rPr>
            </w:pPr>
          </w:p>
        </w:tc>
      </w:tr>
      <w:tr w14:paraId="7811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4DFF933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1418" w:type="dxa"/>
            <w:noWrap w:val="0"/>
            <w:vAlign w:val="center"/>
          </w:tcPr>
          <w:p w14:paraId="05CDA738">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7C28F4D2">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7746EAF1">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48703F96">
            <w:pPr>
              <w:spacing w:line="540" w:lineRule="exact"/>
              <w:contextualSpacing/>
              <w:rPr>
                <w:rFonts w:hint="eastAsia" w:ascii="仿宋_GB2312" w:hAnsi="仿宋_GB2312" w:eastAsia="仿宋_GB2312" w:cs="仿宋_GB2312"/>
                <w:color w:val="auto"/>
                <w:sz w:val="24"/>
                <w:szCs w:val="24"/>
                <w:highlight w:val="none"/>
              </w:rPr>
            </w:pPr>
          </w:p>
        </w:tc>
      </w:tr>
    </w:tbl>
    <w:p w14:paraId="0C32F79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附：相关人员的专业技术资格证书证明材料</w:t>
      </w:r>
    </w:p>
    <w:p w14:paraId="61FCB0AE">
      <w:pPr>
        <w:spacing w:line="540" w:lineRule="exact"/>
        <w:contextualSpacing/>
        <w:rPr>
          <w:rFonts w:hint="eastAsia" w:ascii="仿宋_GB2312" w:hAnsi="仿宋_GB2312" w:eastAsia="仿宋_GB2312" w:cs="仿宋_GB2312"/>
          <w:color w:val="auto"/>
          <w:sz w:val="24"/>
          <w:szCs w:val="24"/>
          <w:highlight w:val="none"/>
        </w:rPr>
      </w:pPr>
    </w:p>
    <w:p w14:paraId="4997A4EE">
      <w:pPr>
        <w:spacing w:line="540" w:lineRule="exact"/>
        <w:contextualSpacing/>
        <w:rPr>
          <w:rFonts w:hint="eastAsia" w:ascii="仿宋_GB2312" w:hAnsi="仿宋_GB2312" w:eastAsia="仿宋_GB2312" w:cs="仿宋_GB2312"/>
          <w:color w:val="auto"/>
          <w:sz w:val="24"/>
          <w:szCs w:val="24"/>
          <w:highlight w:val="none"/>
        </w:rPr>
      </w:pPr>
    </w:p>
    <w:p w14:paraId="0936E0A7">
      <w:pPr>
        <w:spacing w:line="540" w:lineRule="exact"/>
        <w:contextualSpacing/>
        <w:rPr>
          <w:rFonts w:hint="eastAsia" w:ascii="仿宋_GB2312" w:hAnsi="仿宋_GB2312" w:eastAsia="仿宋_GB2312" w:cs="仿宋_GB2312"/>
          <w:color w:val="auto"/>
          <w:sz w:val="24"/>
          <w:szCs w:val="24"/>
          <w:highlight w:val="none"/>
        </w:rPr>
      </w:pPr>
    </w:p>
    <w:p w14:paraId="45928470">
      <w:pPr>
        <w:spacing w:line="540" w:lineRule="exact"/>
        <w:contextualSpacing/>
        <w:rPr>
          <w:rFonts w:hint="eastAsia" w:ascii="仿宋_GB2312" w:hAnsi="仿宋_GB2312" w:eastAsia="仿宋_GB2312" w:cs="仿宋_GB2312"/>
          <w:color w:val="auto"/>
          <w:sz w:val="24"/>
          <w:szCs w:val="24"/>
          <w:highlight w:val="none"/>
        </w:rPr>
      </w:pPr>
    </w:p>
    <w:p w14:paraId="31106AF6">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96AAAD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074E0D1">
      <w:pPr>
        <w:spacing w:line="540" w:lineRule="exact"/>
        <w:contextualSpacing/>
        <w:jc w:val="center"/>
        <w:rPr>
          <w:rFonts w:hint="eastAsia" w:ascii="仿宋_GB2312" w:hAnsi="仿宋_GB2312" w:eastAsia="仿宋_GB2312" w:cs="仿宋_GB2312"/>
          <w:b/>
          <w:color w:val="auto"/>
          <w:sz w:val="24"/>
          <w:szCs w:val="24"/>
          <w:highlight w:val="none"/>
        </w:rPr>
      </w:pPr>
    </w:p>
    <w:p w14:paraId="6BA959D0">
      <w:pPr>
        <w:spacing w:line="540" w:lineRule="exact"/>
        <w:contextualSpacing/>
        <w:jc w:val="center"/>
        <w:rPr>
          <w:rFonts w:hint="eastAsia" w:ascii="仿宋_GB2312" w:hAnsi="仿宋_GB2312" w:eastAsia="仿宋_GB2312" w:cs="仿宋_GB2312"/>
          <w:b/>
          <w:color w:val="auto"/>
          <w:sz w:val="28"/>
          <w:szCs w:val="28"/>
          <w:highlight w:val="none"/>
        </w:rPr>
      </w:pPr>
    </w:p>
    <w:p w14:paraId="61F932A9">
      <w:pPr>
        <w:pStyle w:val="26"/>
        <w:rPr>
          <w:rFonts w:hint="eastAsia"/>
        </w:rPr>
      </w:pPr>
    </w:p>
    <w:p w14:paraId="1E2FE350">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、评标标准相应的商务技术资料</w:t>
      </w:r>
    </w:p>
    <w:p w14:paraId="4BD54AAB">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（按招标文件第四部分评标办法前附表中“投标文件中评标标准相应的商务技术资料目录”提供资料）</w:t>
      </w:r>
    </w:p>
    <w:p w14:paraId="27D5DEFF">
      <w:pPr>
        <w:ind w:firstLine="2891" w:firstLineChars="900"/>
        <w:rPr>
          <w:rFonts w:hint="eastAsia" w:ascii="仿宋_GB2312" w:hAnsi="仿宋_GB2312" w:eastAsia="仿宋_GB2312" w:cs="仿宋_GB2312"/>
          <w:b/>
          <w:color w:val="auto"/>
          <w:kern w:val="0"/>
          <w:sz w:val="32"/>
          <w:szCs w:val="32"/>
          <w:highlight w:val="none"/>
        </w:rPr>
      </w:pPr>
    </w:p>
    <w:p w14:paraId="04E27500">
      <w:pPr>
        <w:rPr>
          <w:rFonts w:hint="eastAsia" w:ascii="仿宋_GB2312" w:hAnsi="仿宋_GB2312" w:eastAsia="仿宋_GB2312" w:cs="仿宋_GB2312"/>
          <w:b/>
          <w:color w:val="auto"/>
          <w:kern w:val="0"/>
          <w:sz w:val="32"/>
          <w:szCs w:val="32"/>
          <w:highlight w:val="none"/>
        </w:rPr>
      </w:pPr>
    </w:p>
    <w:p w14:paraId="2DF30CED">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七</w:t>
      </w:r>
      <w:r>
        <w:rPr>
          <w:rFonts w:hint="eastAsia" w:ascii="仿宋_GB2312" w:hAnsi="仿宋_GB2312" w:eastAsia="仿宋_GB2312" w:cs="仿宋_GB2312"/>
          <w:b/>
          <w:color w:val="auto"/>
          <w:kern w:val="0"/>
          <w:sz w:val="28"/>
          <w:szCs w:val="28"/>
          <w:highlight w:val="none"/>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157EC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275C5E4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FE6850C">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7DD297A">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F80AFF8">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630A98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D25CAA">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1FFC24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08664197">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5B35E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6AFD3800">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BC0E14B">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91D9B88">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AFF3DED">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549302E5">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10FA58">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3E99CD0">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single" w:color="auto" w:sz="4" w:space="0"/>
              <w:right w:val="single" w:color="auto" w:sz="4" w:space="0"/>
            </w:tcBorders>
            <w:noWrap w:val="0"/>
            <w:vAlign w:val="center"/>
          </w:tcPr>
          <w:p w14:paraId="26CE9F06">
            <w:pPr>
              <w:snapToGrid w:val="0"/>
              <w:jc w:val="center"/>
              <w:rPr>
                <w:rFonts w:hint="eastAsia" w:ascii="仿宋_GB2312" w:hAnsi="仿宋_GB2312" w:eastAsia="仿宋_GB2312" w:cs="仿宋_GB2312"/>
                <w:color w:val="auto"/>
                <w:sz w:val="24"/>
                <w:szCs w:val="24"/>
                <w:highlight w:val="none"/>
              </w:rPr>
            </w:pPr>
          </w:p>
        </w:tc>
      </w:tr>
      <w:tr w14:paraId="355BA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18FA50AF">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075A1A8E">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45D37331">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B4F7D29">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1D9FBC90">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8DE658">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nil"/>
              <w:right w:val="single" w:color="auto" w:sz="4" w:space="0"/>
            </w:tcBorders>
            <w:noWrap w:val="0"/>
            <w:vAlign w:val="center"/>
          </w:tcPr>
          <w:p w14:paraId="7FCBCBEE">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nil"/>
              <w:right w:val="single" w:color="auto" w:sz="4" w:space="0"/>
            </w:tcBorders>
            <w:noWrap w:val="0"/>
            <w:vAlign w:val="center"/>
          </w:tcPr>
          <w:p w14:paraId="26F42F14">
            <w:pPr>
              <w:snapToGrid w:val="0"/>
              <w:jc w:val="center"/>
              <w:rPr>
                <w:rFonts w:hint="eastAsia" w:ascii="仿宋_GB2312" w:hAnsi="仿宋_GB2312" w:eastAsia="仿宋_GB2312" w:cs="仿宋_GB2312"/>
                <w:color w:val="auto"/>
                <w:sz w:val="24"/>
                <w:szCs w:val="24"/>
                <w:highlight w:val="none"/>
              </w:rPr>
            </w:pPr>
          </w:p>
        </w:tc>
      </w:tr>
      <w:tr w14:paraId="62045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5FF4144D">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8EA22D2">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F4CE2FD">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3888A34">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9D88D6B">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37F89E8">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D8D832A">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0FA98B22">
            <w:pPr>
              <w:jc w:val="center"/>
              <w:rPr>
                <w:rFonts w:hint="eastAsia" w:ascii="仿宋_GB2312" w:hAnsi="仿宋_GB2312" w:eastAsia="仿宋_GB2312" w:cs="仿宋_GB2312"/>
                <w:color w:val="auto"/>
                <w:highlight w:val="none"/>
              </w:rPr>
            </w:pPr>
          </w:p>
        </w:tc>
      </w:tr>
    </w:tbl>
    <w:p w14:paraId="32889E57">
      <w:pPr>
        <w:pStyle w:val="12"/>
        <w:rPr>
          <w:rFonts w:hint="eastAsia" w:ascii="仿宋_GB2312" w:hAnsi="仿宋_GB2312" w:eastAsia="仿宋_GB2312" w:cs="仿宋_GB2312"/>
          <w:color w:val="auto"/>
          <w:highlight w:val="none"/>
        </w:rPr>
      </w:pPr>
    </w:p>
    <w:p w14:paraId="03C42E9D">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2A861C9E">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834253C">
      <w:pPr>
        <w:jc w:val="center"/>
        <w:rPr>
          <w:rFonts w:hint="eastAsia" w:ascii="仿宋_GB2312" w:hAnsi="仿宋_GB2312" w:eastAsia="仿宋_GB2312" w:cs="仿宋_GB2312"/>
          <w:b/>
          <w:color w:val="auto"/>
          <w:kern w:val="0"/>
          <w:sz w:val="28"/>
          <w:szCs w:val="28"/>
          <w:highlight w:val="none"/>
        </w:rPr>
      </w:pPr>
    </w:p>
    <w:p w14:paraId="5F420A29">
      <w:pPr>
        <w:jc w:val="center"/>
        <w:rPr>
          <w:rFonts w:hint="eastAsia" w:ascii="仿宋_GB2312" w:hAnsi="仿宋_GB2312" w:eastAsia="仿宋_GB2312" w:cs="仿宋_GB2312"/>
          <w:b/>
          <w:color w:val="auto"/>
          <w:kern w:val="0"/>
          <w:sz w:val="28"/>
          <w:szCs w:val="28"/>
          <w:highlight w:val="none"/>
        </w:rPr>
      </w:pPr>
    </w:p>
    <w:p w14:paraId="3FFED16E">
      <w:pPr>
        <w:jc w:val="center"/>
        <w:rPr>
          <w:rFonts w:hint="eastAsia" w:ascii="仿宋_GB2312" w:hAnsi="仿宋_GB2312" w:eastAsia="仿宋_GB2312" w:cs="仿宋_GB2312"/>
          <w:b/>
          <w:color w:val="auto"/>
          <w:kern w:val="0"/>
          <w:sz w:val="28"/>
          <w:szCs w:val="28"/>
          <w:highlight w:val="none"/>
        </w:rPr>
      </w:pPr>
    </w:p>
    <w:p w14:paraId="713045DA">
      <w:pPr>
        <w:jc w:val="center"/>
        <w:rPr>
          <w:rFonts w:hint="eastAsia" w:ascii="仿宋_GB2312" w:hAnsi="仿宋_GB2312" w:eastAsia="仿宋_GB2312" w:cs="仿宋_GB2312"/>
          <w:b/>
          <w:color w:val="auto"/>
          <w:kern w:val="0"/>
          <w:sz w:val="28"/>
          <w:szCs w:val="28"/>
          <w:highlight w:val="none"/>
        </w:rPr>
      </w:pPr>
    </w:p>
    <w:p w14:paraId="3ED7A7C9">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八</w:t>
      </w:r>
      <w:r>
        <w:rPr>
          <w:rFonts w:hint="eastAsia" w:ascii="仿宋_GB2312" w:hAnsi="仿宋_GB2312" w:eastAsia="仿宋_GB2312" w:cs="仿宋_GB2312"/>
          <w:b/>
          <w:color w:val="auto"/>
          <w:kern w:val="0"/>
          <w:sz w:val="28"/>
          <w:szCs w:val="28"/>
          <w:highlight w:val="none"/>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6A11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6CF1D5F9">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序号</w:t>
            </w:r>
          </w:p>
        </w:tc>
        <w:tc>
          <w:tcPr>
            <w:tcW w:w="3683" w:type="dxa"/>
            <w:noWrap w:val="0"/>
            <w:vAlign w:val="top"/>
          </w:tcPr>
          <w:p w14:paraId="5765B138">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招标文件章节及具体内容</w:t>
            </w:r>
          </w:p>
        </w:tc>
        <w:tc>
          <w:tcPr>
            <w:tcW w:w="3546" w:type="dxa"/>
            <w:noWrap w:val="0"/>
            <w:vAlign w:val="top"/>
          </w:tcPr>
          <w:p w14:paraId="5F5CBD2E">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投标文件章节及具体内容</w:t>
            </w:r>
          </w:p>
        </w:tc>
        <w:tc>
          <w:tcPr>
            <w:tcW w:w="1512" w:type="dxa"/>
            <w:noWrap w:val="0"/>
            <w:vAlign w:val="top"/>
          </w:tcPr>
          <w:p w14:paraId="19E90820">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偏离说明</w:t>
            </w:r>
          </w:p>
        </w:tc>
      </w:tr>
      <w:tr w14:paraId="7E09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360E8238">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w:t>
            </w:r>
          </w:p>
        </w:tc>
        <w:tc>
          <w:tcPr>
            <w:tcW w:w="3683" w:type="dxa"/>
            <w:noWrap w:val="0"/>
            <w:vAlign w:val="top"/>
          </w:tcPr>
          <w:p w14:paraId="015B9D28">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1CAB5444">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229FD7AF">
            <w:pPr>
              <w:jc w:val="center"/>
              <w:rPr>
                <w:rFonts w:hint="eastAsia" w:ascii="仿宋_GB2312" w:hAnsi="仿宋_GB2312" w:eastAsia="仿宋_GB2312" w:cs="仿宋_GB2312"/>
                <w:b/>
                <w:color w:val="auto"/>
                <w:kern w:val="0"/>
                <w:sz w:val="28"/>
                <w:szCs w:val="28"/>
                <w:highlight w:val="none"/>
              </w:rPr>
            </w:pPr>
          </w:p>
        </w:tc>
      </w:tr>
      <w:tr w14:paraId="00DA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B4CEE0F">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w:t>
            </w:r>
          </w:p>
        </w:tc>
        <w:tc>
          <w:tcPr>
            <w:tcW w:w="3683" w:type="dxa"/>
            <w:noWrap w:val="0"/>
            <w:vAlign w:val="top"/>
          </w:tcPr>
          <w:p w14:paraId="615D8DB1">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037317F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1EA36D09">
            <w:pPr>
              <w:jc w:val="center"/>
              <w:rPr>
                <w:rFonts w:hint="eastAsia" w:ascii="仿宋_GB2312" w:hAnsi="仿宋_GB2312" w:eastAsia="仿宋_GB2312" w:cs="仿宋_GB2312"/>
                <w:b/>
                <w:color w:val="auto"/>
                <w:kern w:val="0"/>
                <w:sz w:val="28"/>
                <w:szCs w:val="28"/>
                <w:highlight w:val="none"/>
              </w:rPr>
            </w:pPr>
          </w:p>
        </w:tc>
      </w:tr>
      <w:tr w14:paraId="2906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14:paraId="06F20775">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p>
        </w:tc>
        <w:tc>
          <w:tcPr>
            <w:tcW w:w="3683" w:type="dxa"/>
            <w:noWrap w:val="0"/>
            <w:vAlign w:val="top"/>
          </w:tcPr>
          <w:p w14:paraId="075AF8B3">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9F921A9">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5E60295D">
            <w:pPr>
              <w:jc w:val="center"/>
              <w:rPr>
                <w:rFonts w:hint="eastAsia" w:ascii="仿宋_GB2312" w:hAnsi="仿宋_GB2312" w:eastAsia="仿宋_GB2312" w:cs="仿宋_GB2312"/>
                <w:b/>
                <w:color w:val="auto"/>
                <w:kern w:val="0"/>
                <w:sz w:val="28"/>
                <w:szCs w:val="28"/>
                <w:highlight w:val="none"/>
              </w:rPr>
            </w:pPr>
          </w:p>
        </w:tc>
      </w:tr>
    </w:tbl>
    <w:p w14:paraId="064BF173">
      <w:pPr>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投标人保证：除商务技术偏离表列出的偏离外，投标人响应招标文件的全部要求</w:t>
      </w:r>
    </w:p>
    <w:p w14:paraId="51A5E600">
      <w:pPr>
        <w:jc w:val="center"/>
        <w:rPr>
          <w:rFonts w:hint="eastAsia" w:ascii="仿宋_GB2312" w:hAnsi="仿宋_GB2312" w:eastAsia="仿宋_GB2312" w:cs="仿宋_GB2312"/>
          <w:b/>
          <w:color w:val="auto"/>
          <w:kern w:val="0"/>
          <w:sz w:val="28"/>
          <w:szCs w:val="28"/>
          <w:highlight w:val="none"/>
        </w:rPr>
      </w:pPr>
    </w:p>
    <w:p w14:paraId="1C71F09F">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432FD35">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19599765">
      <w:pPr>
        <w:spacing w:line="540" w:lineRule="exact"/>
        <w:contextualSpacing/>
        <w:rPr>
          <w:rFonts w:hint="eastAsia" w:ascii="仿宋_GB2312" w:hAnsi="仿宋_GB2312" w:eastAsia="仿宋_GB2312" w:cs="仿宋_GB2312"/>
          <w:color w:val="auto"/>
          <w:sz w:val="24"/>
          <w:szCs w:val="24"/>
          <w:highlight w:val="none"/>
        </w:rPr>
      </w:pPr>
    </w:p>
    <w:p w14:paraId="7C34DA23">
      <w:pPr>
        <w:spacing w:line="540" w:lineRule="exact"/>
        <w:contextualSpacing/>
        <w:rPr>
          <w:rFonts w:hint="eastAsia" w:ascii="仿宋_GB2312" w:hAnsi="仿宋_GB2312" w:eastAsia="仿宋_GB2312" w:cs="仿宋_GB2312"/>
          <w:color w:val="auto"/>
          <w:sz w:val="24"/>
          <w:szCs w:val="24"/>
          <w:highlight w:val="none"/>
        </w:rPr>
      </w:pPr>
    </w:p>
    <w:p w14:paraId="27F204A8">
      <w:pPr>
        <w:spacing w:line="540" w:lineRule="exact"/>
        <w:contextualSpacing/>
        <w:jc w:val="center"/>
        <w:rPr>
          <w:rFonts w:hint="eastAsia" w:ascii="仿宋_GB2312" w:hAnsi="仿宋_GB2312" w:eastAsia="仿宋_GB2312" w:cs="仿宋_GB2312"/>
          <w:b/>
          <w:color w:val="auto"/>
          <w:sz w:val="24"/>
          <w:szCs w:val="24"/>
          <w:highlight w:val="none"/>
        </w:rPr>
      </w:pPr>
    </w:p>
    <w:p w14:paraId="1D43101D">
      <w:pPr>
        <w:spacing w:line="540" w:lineRule="exact"/>
        <w:contextualSpacing/>
        <w:jc w:val="center"/>
        <w:rPr>
          <w:rFonts w:hint="eastAsia" w:ascii="仿宋_GB2312" w:hAnsi="仿宋_GB2312" w:eastAsia="仿宋_GB2312" w:cs="仿宋_GB2312"/>
          <w:b/>
          <w:color w:val="auto"/>
          <w:sz w:val="24"/>
          <w:szCs w:val="24"/>
          <w:highlight w:val="none"/>
        </w:rPr>
      </w:pPr>
    </w:p>
    <w:p w14:paraId="6C5E4B96">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、政府采购供应商廉洁自律承诺书</w:t>
      </w:r>
    </w:p>
    <w:p w14:paraId="694298C4">
      <w:pPr>
        <w:spacing w:line="540" w:lineRule="exact"/>
        <w:contextualSpacing/>
        <w:rPr>
          <w:rFonts w:hint="eastAsia" w:ascii="仿宋_GB2312" w:hAnsi="仿宋_GB2312" w:eastAsia="仿宋_GB2312" w:cs="仿宋_GB2312"/>
          <w:color w:val="auto"/>
          <w:sz w:val="24"/>
          <w:szCs w:val="24"/>
          <w:highlight w:val="none"/>
        </w:rPr>
      </w:pPr>
    </w:p>
    <w:p w14:paraId="109CE3B8">
      <w:pPr>
        <w:spacing w:line="5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2DC5A8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我单位响应你单位项目招标要求参加投标。在这次投标过程中和中标后，我们将严格遵守国家法律法规要求，并郑重承诺：</w:t>
      </w:r>
    </w:p>
    <w:p w14:paraId="70158CEF">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一、不向项目有关人员及部门赠送礼金礼物、有价证券、回扣以及中介费、介绍费、咨询费等好处费；</w:t>
      </w:r>
    </w:p>
    <w:p w14:paraId="25BE532D">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二、不为项目有关人员及部门报销应由你方单位或个人支付的费用；</w:t>
      </w:r>
    </w:p>
    <w:p w14:paraId="765E2444">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三、不向项目有关人员及部门提供有可能影响公正的宴请和健身娱乐等活动；</w:t>
      </w:r>
    </w:p>
    <w:p w14:paraId="2D863AEB">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四、不为项目有关人员及部门出国（境）、旅游等提供方便；</w:t>
      </w:r>
    </w:p>
    <w:p w14:paraId="5394E95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五、不为项目有关人员个人装修住房、婚丧嫁娶、配偶子女工作安排等提供好处；</w:t>
      </w:r>
    </w:p>
    <w:p w14:paraId="7C669269">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六、严格遵守《中华人民共和国政府采购法》《中华人民共和国招标投标法》《中华人民共和国民法典》等法律法规，诚实守信，合法经营，坚决抵制各种违法违纪行为。</w:t>
      </w:r>
    </w:p>
    <w:p w14:paraId="24753EC7">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7D8EB6FA">
      <w:pPr>
        <w:spacing w:line="500" w:lineRule="exact"/>
        <w:contextualSpacing/>
        <w:rPr>
          <w:rFonts w:hint="eastAsia" w:ascii="仿宋_GB2312" w:hAnsi="仿宋_GB2312" w:eastAsia="仿宋_GB2312" w:cs="仿宋_GB2312"/>
          <w:color w:val="auto"/>
          <w:sz w:val="24"/>
          <w:szCs w:val="24"/>
          <w:highlight w:val="none"/>
        </w:rPr>
      </w:pPr>
    </w:p>
    <w:p w14:paraId="099CA31A">
      <w:pPr>
        <w:pStyle w:val="12"/>
        <w:rPr>
          <w:rFonts w:hint="eastAsia" w:ascii="仿宋_GB2312" w:hAnsi="仿宋_GB2312" w:eastAsia="仿宋_GB2312" w:cs="仿宋_GB2312"/>
          <w:color w:val="auto"/>
          <w:highlight w:val="none"/>
        </w:rPr>
      </w:pPr>
    </w:p>
    <w:p w14:paraId="53AA6EB7">
      <w:pPr>
        <w:spacing w:line="500" w:lineRule="exact"/>
        <w:ind w:firstLine="4560" w:firstLineChars="19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A64F58E">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26147903">
      <w:pPr>
        <w:spacing w:line="540" w:lineRule="exact"/>
        <w:contextualSpacing/>
        <w:rPr>
          <w:rFonts w:hint="eastAsia" w:ascii="仿宋_GB2312" w:hAnsi="仿宋_GB2312" w:eastAsia="仿宋_GB2312" w:cs="仿宋_GB2312"/>
          <w:color w:val="auto"/>
          <w:sz w:val="24"/>
          <w:szCs w:val="24"/>
          <w:highlight w:val="none"/>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14:paraId="0315FDE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报价文件部分</w:t>
      </w:r>
    </w:p>
    <w:p w14:paraId="0A7EFA8D">
      <w:pPr>
        <w:spacing w:line="540" w:lineRule="exact"/>
        <w:contextualSpacing/>
        <w:rPr>
          <w:rFonts w:hint="eastAsia" w:ascii="仿宋_GB2312" w:hAnsi="仿宋_GB2312" w:eastAsia="仿宋_GB2312" w:cs="仿宋_GB2312"/>
          <w:color w:val="auto"/>
          <w:sz w:val="24"/>
          <w:szCs w:val="24"/>
          <w:highlight w:val="none"/>
        </w:rPr>
      </w:pPr>
    </w:p>
    <w:p w14:paraId="39397B4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（1）开标一览表（报价表）…………………………………………………（页码）</w:t>
      </w:r>
    </w:p>
    <w:p w14:paraId="6D774199">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（2）中小企业声明函（如果有）……………………………………………（页码）</w:t>
      </w:r>
    </w:p>
    <w:p w14:paraId="7DF50A89">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（3）关于符合本国产品标准的声明函（如果有）…………………………（页码）</w:t>
      </w:r>
    </w:p>
    <w:p w14:paraId="632BE59F">
      <w:pPr>
        <w:spacing w:line="420" w:lineRule="exact"/>
        <w:contextualSpacing/>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w:t>
      </w: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rPr>
        <w:t>）书面说明及必要的证明材料，对投标价格作出解释。（如果报价低于项目</w:t>
      </w:r>
      <w:r>
        <w:rPr>
          <w:rFonts w:hint="eastAsia" w:ascii="方正仿宋_GB2312" w:hAnsi="方正仿宋_GB2312" w:eastAsia="方正仿宋_GB2312" w:cs="方正仿宋_GB2312"/>
          <w:color w:val="auto"/>
          <w:sz w:val="24"/>
          <w:szCs w:val="24"/>
          <w:highlight w:val="none"/>
          <w:lang w:eastAsia="zh-CN"/>
        </w:rPr>
        <w:t>最高限价</w:t>
      </w:r>
      <w:r>
        <w:rPr>
          <w:rFonts w:hint="eastAsia" w:ascii="方正仿宋_GB2312" w:hAnsi="方正仿宋_GB2312" w:eastAsia="方正仿宋_GB2312" w:cs="方正仿宋_GB2312"/>
          <w:color w:val="auto"/>
          <w:sz w:val="24"/>
          <w:szCs w:val="24"/>
          <w:highlight w:val="none"/>
          <w:lang w:val="en-US" w:eastAsia="zh-CN"/>
        </w:rPr>
        <w:t>45</w:t>
      </w:r>
      <w:r>
        <w:rPr>
          <w:rFonts w:hint="eastAsia" w:ascii="方正仿宋_GB2312" w:hAnsi="方正仿宋_GB2312" w:eastAsia="方正仿宋_GB2312" w:cs="方正仿宋_GB2312"/>
          <w:color w:val="auto"/>
          <w:sz w:val="24"/>
          <w:szCs w:val="24"/>
          <w:highlight w:val="none"/>
        </w:rPr>
        <w:t>%的）……………………………………………………………………………（页码）</w:t>
      </w:r>
    </w:p>
    <w:p w14:paraId="2A629041">
      <w:pPr>
        <w:spacing w:line="540" w:lineRule="exact"/>
        <w:contextualSpacing/>
        <w:rPr>
          <w:rFonts w:hint="eastAsia" w:ascii="仿宋_GB2312" w:hAnsi="仿宋_GB2312" w:eastAsia="仿宋_GB2312" w:cs="仿宋_GB2312"/>
          <w:color w:val="auto"/>
          <w:sz w:val="24"/>
          <w:szCs w:val="24"/>
          <w:highlight w:val="none"/>
        </w:rPr>
      </w:pPr>
    </w:p>
    <w:p w14:paraId="01AF7CD7">
      <w:pPr>
        <w:spacing w:line="540" w:lineRule="exact"/>
        <w:contextualSpacing/>
        <w:rPr>
          <w:rFonts w:hint="eastAsia" w:ascii="仿宋_GB2312" w:hAnsi="仿宋_GB2312" w:eastAsia="仿宋_GB2312" w:cs="仿宋_GB2312"/>
          <w:color w:val="auto"/>
          <w:sz w:val="24"/>
          <w:szCs w:val="24"/>
          <w:highlight w:val="none"/>
        </w:rPr>
      </w:pPr>
    </w:p>
    <w:p w14:paraId="201EB316">
      <w:pPr>
        <w:spacing w:line="540" w:lineRule="exact"/>
        <w:contextualSpacing/>
        <w:rPr>
          <w:rFonts w:hint="eastAsia" w:ascii="仿宋_GB2312" w:hAnsi="仿宋_GB2312" w:eastAsia="仿宋_GB2312" w:cs="仿宋_GB2312"/>
          <w:color w:val="auto"/>
          <w:sz w:val="24"/>
          <w:szCs w:val="24"/>
          <w:highlight w:val="none"/>
        </w:rPr>
      </w:pPr>
    </w:p>
    <w:p w14:paraId="556B49DA">
      <w:pPr>
        <w:spacing w:line="540" w:lineRule="exact"/>
        <w:contextualSpacing/>
        <w:rPr>
          <w:rFonts w:hint="eastAsia" w:ascii="仿宋_GB2312" w:hAnsi="仿宋_GB2312" w:eastAsia="仿宋_GB2312" w:cs="仿宋_GB2312"/>
          <w:color w:val="auto"/>
          <w:sz w:val="24"/>
          <w:szCs w:val="24"/>
          <w:highlight w:val="none"/>
        </w:rPr>
      </w:pPr>
    </w:p>
    <w:p w14:paraId="432A286C">
      <w:pPr>
        <w:spacing w:line="540" w:lineRule="exact"/>
        <w:contextualSpacing/>
        <w:rPr>
          <w:rFonts w:hint="eastAsia" w:ascii="仿宋_GB2312" w:hAnsi="仿宋_GB2312" w:eastAsia="仿宋_GB2312" w:cs="仿宋_GB2312"/>
          <w:color w:val="auto"/>
          <w:sz w:val="24"/>
          <w:szCs w:val="24"/>
          <w:highlight w:val="none"/>
        </w:rPr>
      </w:pPr>
    </w:p>
    <w:p w14:paraId="56BAD79F">
      <w:pPr>
        <w:spacing w:line="540" w:lineRule="exact"/>
        <w:contextualSpacing/>
        <w:rPr>
          <w:rFonts w:hint="eastAsia" w:ascii="仿宋_GB2312" w:hAnsi="仿宋_GB2312" w:eastAsia="仿宋_GB2312" w:cs="仿宋_GB2312"/>
          <w:color w:val="auto"/>
          <w:sz w:val="24"/>
          <w:szCs w:val="24"/>
          <w:highlight w:val="none"/>
        </w:rPr>
      </w:pPr>
    </w:p>
    <w:p w14:paraId="6B45B3F9">
      <w:pPr>
        <w:spacing w:line="540" w:lineRule="exact"/>
        <w:contextualSpacing/>
        <w:rPr>
          <w:rFonts w:hint="eastAsia" w:ascii="仿宋_GB2312" w:hAnsi="仿宋_GB2312" w:eastAsia="仿宋_GB2312" w:cs="仿宋_GB2312"/>
          <w:color w:val="auto"/>
          <w:sz w:val="24"/>
          <w:szCs w:val="24"/>
          <w:highlight w:val="none"/>
        </w:rPr>
      </w:pPr>
    </w:p>
    <w:p w14:paraId="0D9E8850">
      <w:pPr>
        <w:spacing w:line="540" w:lineRule="exact"/>
        <w:contextualSpacing/>
        <w:rPr>
          <w:rFonts w:hint="eastAsia" w:ascii="仿宋_GB2312" w:hAnsi="仿宋_GB2312" w:eastAsia="仿宋_GB2312" w:cs="仿宋_GB2312"/>
          <w:color w:val="auto"/>
          <w:sz w:val="24"/>
          <w:szCs w:val="24"/>
          <w:highlight w:val="none"/>
        </w:rPr>
      </w:pPr>
    </w:p>
    <w:p w14:paraId="74237328">
      <w:pPr>
        <w:spacing w:line="540" w:lineRule="exact"/>
        <w:contextualSpacing/>
        <w:rPr>
          <w:rFonts w:hint="eastAsia" w:ascii="仿宋_GB2312" w:hAnsi="仿宋_GB2312" w:eastAsia="仿宋_GB2312" w:cs="仿宋_GB2312"/>
          <w:color w:val="auto"/>
          <w:sz w:val="24"/>
          <w:szCs w:val="24"/>
          <w:highlight w:val="none"/>
        </w:rPr>
      </w:pPr>
    </w:p>
    <w:p w14:paraId="0329E6B6">
      <w:pPr>
        <w:spacing w:line="540" w:lineRule="exact"/>
        <w:contextualSpacing/>
        <w:rPr>
          <w:rFonts w:hint="eastAsia" w:ascii="仿宋_GB2312" w:hAnsi="仿宋_GB2312" w:eastAsia="仿宋_GB2312" w:cs="仿宋_GB2312"/>
          <w:color w:val="auto"/>
          <w:sz w:val="24"/>
          <w:szCs w:val="24"/>
          <w:highlight w:val="none"/>
        </w:rPr>
      </w:pPr>
    </w:p>
    <w:p w14:paraId="20742E3A">
      <w:pPr>
        <w:spacing w:line="540" w:lineRule="exact"/>
        <w:contextualSpacing/>
        <w:rPr>
          <w:rFonts w:hint="eastAsia" w:ascii="仿宋_GB2312" w:hAnsi="仿宋_GB2312" w:eastAsia="仿宋_GB2312" w:cs="仿宋_GB2312"/>
          <w:color w:val="auto"/>
          <w:sz w:val="24"/>
          <w:szCs w:val="24"/>
          <w:highlight w:val="none"/>
        </w:rPr>
      </w:pPr>
    </w:p>
    <w:p w14:paraId="193F2BE8">
      <w:pPr>
        <w:spacing w:line="540" w:lineRule="exact"/>
        <w:contextualSpacing/>
        <w:rPr>
          <w:rFonts w:hint="eastAsia" w:ascii="仿宋_GB2312" w:hAnsi="仿宋_GB2312" w:eastAsia="仿宋_GB2312" w:cs="仿宋_GB2312"/>
          <w:color w:val="auto"/>
          <w:sz w:val="24"/>
          <w:szCs w:val="24"/>
          <w:highlight w:val="none"/>
        </w:rPr>
      </w:pPr>
    </w:p>
    <w:p w14:paraId="49A96706">
      <w:pPr>
        <w:spacing w:line="540" w:lineRule="exact"/>
        <w:contextualSpacing/>
        <w:rPr>
          <w:rFonts w:hint="eastAsia" w:ascii="仿宋_GB2312" w:hAnsi="仿宋_GB2312" w:eastAsia="仿宋_GB2312" w:cs="仿宋_GB2312"/>
          <w:color w:val="auto"/>
          <w:sz w:val="24"/>
          <w:szCs w:val="24"/>
          <w:highlight w:val="none"/>
        </w:rPr>
      </w:pPr>
    </w:p>
    <w:p w14:paraId="3271D899">
      <w:pPr>
        <w:spacing w:line="540" w:lineRule="exact"/>
        <w:contextualSpacing/>
        <w:rPr>
          <w:rFonts w:hint="eastAsia" w:ascii="仿宋_GB2312" w:hAnsi="仿宋_GB2312" w:eastAsia="仿宋_GB2312" w:cs="仿宋_GB2312"/>
          <w:color w:val="auto"/>
          <w:sz w:val="24"/>
          <w:szCs w:val="24"/>
          <w:highlight w:val="none"/>
        </w:rPr>
      </w:pPr>
    </w:p>
    <w:p w14:paraId="75B70AC3">
      <w:pPr>
        <w:spacing w:line="540" w:lineRule="exact"/>
        <w:contextualSpacing/>
        <w:rPr>
          <w:rFonts w:hint="eastAsia" w:ascii="仿宋_GB2312" w:hAnsi="仿宋_GB2312" w:eastAsia="仿宋_GB2312" w:cs="仿宋_GB2312"/>
          <w:color w:val="auto"/>
          <w:sz w:val="24"/>
          <w:szCs w:val="24"/>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4937DB4E">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一、开标一览表（报价表）</w:t>
      </w:r>
    </w:p>
    <w:p w14:paraId="720E622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4C43D4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按你方招标文件要求，我们，本投标文件签字方，谨此向你方发出要约如下：如你方接受本投标，我方承诺按照如下开标一览表（报价表）的价格完成（项目名称）【招标编号：（采购编号）】的实施。</w:t>
      </w:r>
    </w:p>
    <w:p w14:paraId="1AD3227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467D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14:paraId="59A9FA2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93" w:type="dxa"/>
            <w:noWrap w:val="0"/>
            <w:vAlign w:val="center"/>
          </w:tcPr>
          <w:p w14:paraId="19CC7AB5">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929" w:type="dxa"/>
            <w:noWrap w:val="0"/>
            <w:vAlign w:val="center"/>
          </w:tcPr>
          <w:p w14:paraId="348F091A">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835" w:type="dxa"/>
            <w:noWrap w:val="0"/>
            <w:vAlign w:val="center"/>
          </w:tcPr>
          <w:p w14:paraId="17264146">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823" w:type="dxa"/>
            <w:noWrap w:val="0"/>
            <w:vAlign w:val="center"/>
          </w:tcPr>
          <w:p w14:paraId="119B0454">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单价</w:t>
            </w:r>
          </w:p>
        </w:tc>
        <w:tc>
          <w:tcPr>
            <w:tcW w:w="1134" w:type="dxa"/>
            <w:noWrap w:val="0"/>
            <w:vAlign w:val="center"/>
          </w:tcPr>
          <w:p w14:paraId="5D17DAD8">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1417" w:type="dxa"/>
            <w:noWrap w:val="0"/>
            <w:vAlign w:val="center"/>
          </w:tcPr>
          <w:p w14:paraId="5EE4F39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总价</w:t>
            </w:r>
          </w:p>
        </w:tc>
        <w:tc>
          <w:tcPr>
            <w:tcW w:w="965" w:type="dxa"/>
            <w:noWrap w:val="0"/>
            <w:vAlign w:val="center"/>
          </w:tcPr>
          <w:p w14:paraId="62A9CD4D">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144B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14:paraId="2318F6AD">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93" w:type="dxa"/>
            <w:noWrap w:val="0"/>
            <w:vAlign w:val="bottom"/>
          </w:tcPr>
          <w:p w14:paraId="2BC50968">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C2D2C51">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F923CAA">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326BFD8C">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1390B6E8">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5FA8AD1">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30F78179">
            <w:pPr>
              <w:spacing w:line="540" w:lineRule="exact"/>
              <w:contextualSpacing/>
              <w:rPr>
                <w:rFonts w:hint="eastAsia" w:ascii="仿宋_GB2312" w:hAnsi="仿宋_GB2312" w:eastAsia="仿宋_GB2312" w:cs="仿宋_GB2312"/>
                <w:color w:val="auto"/>
                <w:sz w:val="24"/>
                <w:szCs w:val="24"/>
                <w:highlight w:val="none"/>
              </w:rPr>
            </w:pPr>
          </w:p>
        </w:tc>
      </w:tr>
      <w:tr w14:paraId="3ACF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14:paraId="336E6BE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93" w:type="dxa"/>
            <w:noWrap w:val="0"/>
            <w:vAlign w:val="bottom"/>
          </w:tcPr>
          <w:p w14:paraId="6CDDAAFA">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70317175">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206E1F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E937B34">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1915E163">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4BD3284">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A1721C2">
            <w:pPr>
              <w:spacing w:line="540" w:lineRule="exact"/>
              <w:contextualSpacing/>
              <w:rPr>
                <w:rFonts w:hint="eastAsia" w:ascii="仿宋_GB2312" w:hAnsi="仿宋_GB2312" w:eastAsia="仿宋_GB2312" w:cs="仿宋_GB2312"/>
                <w:color w:val="auto"/>
                <w:sz w:val="24"/>
                <w:szCs w:val="24"/>
                <w:highlight w:val="none"/>
              </w:rPr>
            </w:pPr>
          </w:p>
        </w:tc>
      </w:tr>
      <w:tr w14:paraId="6FA1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14:paraId="7453B57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93" w:type="dxa"/>
            <w:noWrap w:val="0"/>
            <w:vAlign w:val="bottom"/>
          </w:tcPr>
          <w:p w14:paraId="4C7B2AD6">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3BA2A220">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34869C74">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87D871D">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910A376">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2FF482B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CDD488D">
            <w:pPr>
              <w:spacing w:line="540" w:lineRule="exact"/>
              <w:contextualSpacing/>
              <w:rPr>
                <w:rFonts w:hint="eastAsia" w:ascii="仿宋_GB2312" w:hAnsi="仿宋_GB2312" w:eastAsia="仿宋_GB2312" w:cs="仿宋_GB2312"/>
                <w:color w:val="auto"/>
                <w:sz w:val="24"/>
                <w:szCs w:val="24"/>
                <w:highlight w:val="none"/>
              </w:rPr>
            </w:pPr>
          </w:p>
        </w:tc>
      </w:tr>
      <w:tr w14:paraId="2407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14:paraId="2B9950D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93" w:type="dxa"/>
            <w:noWrap w:val="0"/>
            <w:vAlign w:val="bottom"/>
          </w:tcPr>
          <w:p w14:paraId="4D018607">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0FCD0E20">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DF1E064">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1194EC4">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8A7AE4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612E604B">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1A3678AF">
            <w:pPr>
              <w:spacing w:line="540" w:lineRule="exact"/>
              <w:contextualSpacing/>
              <w:rPr>
                <w:rFonts w:hint="eastAsia" w:ascii="仿宋_GB2312" w:hAnsi="仿宋_GB2312" w:eastAsia="仿宋_GB2312" w:cs="仿宋_GB2312"/>
                <w:color w:val="auto"/>
                <w:sz w:val="24"/>
                <w:szCs w:val="24"/>
                <w:highlight w:val="none"/>
              </w:rPr>
            </w:pPr>
          </w:p>
        </w:tc>
      </w:tr>
      <w:tr w14:paraId="57A6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0341D7C3">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93" w:type="dxa"/>
            <w:noWrap w:val="0"/>
            <w:vAlign w:val="bottom"/>
          </w:tcPr>
          <w:p w14:paraId="3DB283E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1209B329">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17A1A57E">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335E782C">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473B4D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3A5F069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5FBBB25">
            <w:pPr>
              <w:spacing w:line="540" w:lineRule="exact"/>
              <w:contextualSpacing/>
              <w:rPr>
                <w:rFonts w:hint="eastAsia" w:ascii="仿宋_GB2312" w:hAnsi="仿宋_GB2312" w:eastAsia="仿宋_GB2312" w:cs="仿宋_GB2312"/>
                <w:color w:val="auto"/>
                <w:sz w:val="24"/>
                <w:szCs w:val="24"/>
                <w:highlight w:val="none"/>
              </w:rPr>
            </w:pPr>
          </w:p>
        </w:tc>
      </w:tr>
      <w:tr w14:paraId="7304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14:paraId="1458979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93" w:type="dxa"/>
            <w:noWrap w:val="0"/>
            <w:vAlign w:val="bottom"/>
          </w:tcPr>
          <w:p w14:paraId="0B609E02">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A0B9AA8">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51633DCA">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B428E2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244258E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52AC3487">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11B5AEB">
            <w:pPr>
              <w:spacing w:line="540" w:lineRule="exact"/>
              <w:contextualSpacing/>
              <w:rPr>
                <w:rFonts w:hint="eastAsia" w:ascii="仿宋_GB2312" w:hAnsi="仿宋_GB2312" w:eastAsia="仿宋_GB2312" w:cs="仿宋_GB2312"/>
                <w:color w:val="auto"/>
                <w:sz w:val="24"/>
                <w:szCs w:val="24"/>
                <w:highlight w:val="none"/>
              </w:rPr>
            </w:pPr>
          </w:p>
        </w:tc>
      </w:tr>
      <w:tr w14:paraId="2D24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32272EE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93" w:type="dxa"/>
            <w:noWrap w:val="0"/>
            <w:vAlign w:val="center"/>
          </w:tcPr>
          <w:p w14:paraId="3AF5E8A7">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4448F2A6">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DE647B0">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5D96DFFE">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BB1DEA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DD803CE">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A1AFED0">
            <w:pPr>
              <w:spacing w:line="540" w:lineRule="exact"/>
              <w:contextualSpacing/>
              <w:rPr>
                <w:rFonts w:hint="eastAsia" w:ascii="仿宋_GB2312" w:hAnsi="仿宋_GB2312" w:eastAsia="仿宋_GB2312" w:cs="仿宋_GB2312"/>
                <w:color w:val="auto"/>
                <w:sz w:val="24"/>
                <w:szCs w:val="24"/>
                <w:highlight w:val="none"/>
              </w:rPr>
            </w:pPr>
          </w:p>
        </w:tc>
      </w:tr>
      <w:tr w14:paraId="1F2E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501A7BB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93" w:type="dxa"/>
            <w:noWrap w:val="0"/>
            <w:vAlign w:val="center"/>
          </w:tcPr>
          <w:p w14:paraId="1B2F2445">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29D59624">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73987D53">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4A670FA">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8FB7527">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7465730A">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BF713CE">
            <w:pPr>
              <w:spacing w:line="540" w:lineRule="exact"/>
              <w:contextualSpacing/>
              <w:rPr>
                <w:rFonts w:hint="eastAsia" w:ascii="仿宋_GB2312" w:hAnsi="仿宋_GB2312" w:eastAsia="仿宋_GB2312" w:cs="仿宋_GB2312"/>
                <w:color w:val="auto"/>
                <w:sz w:val="24"/>
                <w:szCs w:val="24"/>
                <w:highlight w:val="none"/>
              </w:rPr>
            </w:pPr>
          </w:p>
        </w:tc>
      </w:tr>
      <w:tr w14:paraId="37A0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6E0F2325">
            <w:pPr>
              <w:spacing w:line="540" w:lineRule="exact"/>
              <w:contextualSpacing/>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p>
        </w:tc>
        <w:tc>
          <w:tcPr>
            <w:tcW w:w="1893" w:type="dxa"/>
            <w:noWrap w:val="0"/>
            <w:vAlign w:val="center"/>
          </w:tcPr>
          <w:p w14:paraId="6FD8D8C0">
            <w:pPr>
              <w:spacing w:line="540" w:lineRule="exact"/>
              <w:contextualSpacing/>
              <w:rPr>
                <w:rFonts w:hint="default" w:ascii="仿宋_GB2312" w:hAnsi="仿宋_GB2312" w:eastAsia="仿宋_GB2312" w:cs="仿宋_GB2312"/>
                <w:color w:val="auto"/>
                <w:sz w:val="24"/>
                <w:szCs w:val="24"/>
                <w:highlight w:val="none"/>
                <w:lang w:val="en-US" w:eastAsia="zh-CN"/>
              </w:rPr>
            </w:pPr>
          </w:p>
        </w:tc>
        <w:tc>
          <w:tcPr>
            <w:tcW w:w="929" w:type="dxa"/>
            <w:noWrap w:val="0"/>
            <w:vAlign w:val="center"/>
          </w:tcPr>
          <w:p w14:paraId="66DB77B7">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7A9FCA53">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37A8EFF1">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2328ED0B">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760615B3">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7BD26E25">
            <w:pPr>
              <w:spacing w:line="540" w:lineRule="exact"/>
              <w:contextualSpacing/>
              <w:rPr>
                <w:rFonts w:hint="eastAsia" w:ascii="仿宋_GB2312" w:hAnsi="仿宋_GB2312" w:eastAsia="仿宋_GB2312" w:cs="仿宋_GB2312"/>
                <w:color w:val="auto"/>
                <w:sz w:val="24"/>
                <w:szCs w:val="24"/>
                <w:highlight w:val="none"/>
              </w:rPr>
            </w:pPr>
          </w:p>
        </w:tc>
      </w:tr>
      <w:tr w14:paraId="06C9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14:paraId="43BCE43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投标报价（小写）</w:t>
            </w:r>
          </w:p>
        </w:tc>
        <w:tc>
          <w:tcPr>
            <w:tcW w:w="2382" w:type="dxa"/>
            <w:gridSpan w:val="2"/>
            <w:noWrap w:val="0"/>
            <w:vAlign w:val="top"/>
          </w:tcPr>
          <w:p w14:paraId="6BF44281">
            <w:pPr>
              <w:spacing w:line="540" w:lineRule="exact"/>
              <w:contextualSpacing/>
              <w:rPr>
                <w:rFonts w:hint="eastAsia" w:ascii="仿宋_GB2312" w:hAnsi="仿宋_GB2312" w:eastAsia="仿宋_GB2312" w:cs="仿宋_GB2312"/>
                <w:color w:val="auto"/>
                <w:sz w:val="24"/>
                <w:szCs w:val="24"/>
                <w:highlight w:val="none"/>
              </w:rPr>
            </w:pPr>
          </w:p>
        </w:tc>
      </w:tr>
      <w:tr w14:paraId="2042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14:paraId="0153557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投标报价（大写）</w:t>
            </w:r>
          </w:p>
        </w:tc>
        <w:tc>
          <w:tcPr>
            <w:tcW w:w="2382" w:type="dxa"/>
            <w:gridSpan w:val="2"/>
            <w:noWrap w:val="0"/>
            <w:vAlign w:val="top"/>
          </w:tcPr>
          <w:p w14:paraId="153D811B">
            <w:pPr>
              <w:spacing w:line="540" w:lineRule="exact"/>
              <w:contextualSpacing/>
              <w:rPr>
                <w:rFonts w:hint="eastAsia" w:ascii="仿宋_GB2312" w:hAnsi="仿宋_GB2312" w:eastAsia="仿宋_GB2312" w:cs="仿宋_GB2312"/>
                <w:color w:val="auto"/>
                <w:sz w:val="24"/>
                <w:szCs w:val="24"/>
                <w:highlight w:val="none"/>
              </w:rPr>
            </w:pPr>
          </w:p>
        </w:tc>
      </w:tr>
    </w:tbl>
    <w:p w14:paraId="29A2331B">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注：</w:t>
      </w:r>
    </w:p>
    <w:p w14:paraId="7C4A21EA">
      <w:pPr>
        <w:spacing w:line="54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512DA002">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2.特别提示：采购代理机构将对项目名称和项目编号，中标供应商名称、地址和中标金额，主要中标标的的名称、规格型号、数量、单价、服务要求等予以公示。</w:t>
      </w:r>
    </w:p>
    <w:p w14:paraId="1ED27212">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550FEEB">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4.投标报价一经涂改，应在涂改处加盖单位公章或投标人代表签字（或盖章），否则其投标作无效标处理。</w:t>
      </w:r>
    </w:p>
    <w:p w14:paraId="4DADC11C">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报价应包括产品、产品标准配件、备品备件、专用工具、包装、工时、运输、装卸、保险、税金、设备保护、安装、调试与试运行、培训、保修、售后服务费、工程配套费、以及实施本项目所需的其他一切费用。</w:t>
      </w:r>
    </w:p>
    <w:p w14:paraId="48B9152C">
      <w:pPr>
        <w:spacing w:line="540" w:lineRule="exact"/>
        <w:contextualSpacing/>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106975E9">
      <w:pPr>
        <w:pStyle w:val="25"/>
        <w:rPr>
          <w:rFonts w:hint="eastAsia" w:ascii="仿宋_GB2312" w:hAnsi="仿宋_GB2312" w:eastAsia="仿宋_GB2312" w:cs="仿宋_GB2312"/>
          <w:color w:val="auto"/>
          <w:sz w:val="24"/>
          <w:szCs w:val="24"/>
          <w:highlight w:val="none"/>
        </w:rPr>
      </w:pPr>
    </w:p>
    <w:p w14:paraId="6F8F5D98">
      <w:pPr>
        <w:rPr>
          <w:rFonts w:hint="eastAsia"/>
          <w:color w:val="auto"/>
        </w:rPr>
      </w:pPr>
    </w:p>
    <w:p w14:paraId="207ACF2F">
      <w:pPr>
        <w:spacing w:line="540" w:lineRule="exact"/>
        <w:contextualSpacing/>
        <w:rPr>
          <w:rFonts w:hint="eastAsia" w:ascii="仿宋_GB2312" w:hAnsi="仿宋_GB2312" w:eastAsia="仿宋_GB2312" w:cs="仿宋_GB2312"/>
          <w:color w:val="auto"/>
          <w:sz w:val="24"/>
          <w:szCs w:val="24"/>
          <w:highlight w:val="none"/>
        </w:rPr>
      </w:pPr>
    </w:p>
    <w:p w14:paraId="66850493">
      <w:pPr>
        <w:spacing w:line="540" w:lineRule="exact"/>
        <w:ind w:right="480"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E53AA9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20FAC0DD">
      <w:pPr>
        <w:pStyle w:val="12"/>
        <w:rPr>
          <w:rFonts w:hint="eastAsia" w:ascii="仿宋_GB2312" w:hAnsi="仿宋_GB2312" w:eastAsia="仿宋_GB2312" w:cs="仿宋_GB2312"/>
          <w:color w:val="auto"/>
          <w:highlight w:val="none"/>
        </w:rPr>
      </w:pPr>
    </w:p>
    <w:p w14:paraId="147DC05D">
      <w:pPr>
        <w:pStyle w:val="20"/>
        <w:rPr>
          <w:rFonts w:hint="eastAsia" w:ascii="仿宋_GB2312" w:hAnsi="仿宋_GB2312" w:eastAsia="仿宋_GB2312" w:cs="仿宋_GB2312"/>
          <w:color w:val="auto"/>
          <w:highlight w:val="none"/>
        </w:rPr>
      </w:pPr>
    </w:p>
    <w:p w14:paraId="253E620A">
      <w:pPr>
        <w:rPr>
          <w:rFonts w:hint="eastAsia" w:ascii="仿宋_GB2312" w:hAnsi="仿宋_GB2312" w:eastAsia="仿宋_GB2312" w:cs="仿宋_GB2312"/>
          <w:color w:val="auto"/>
          <w:highlight w:val="none"/>
        </w:rPr>
      </w:pPr>
    </w:p>
    <w:p w14:paraId="42EFFF81">
      <w:pPr>
        <w:pStyle w:val="2"/>
        <w:rPr>
          <w:rFonts w:hint="eastAsia" w:ascii="仿宋_GB2312" w:hAnsi="仿宋_GB2312" w:eastAsia="仿宋_GB2312" w:cs="仿宋_GB2312"/>
          <w:color w:val="auto"/>
          <w:highlight w:val="none"/>
        </w:rPr>
      </w:pPr>
    </w:p>
    <w:p w14:paraId="65DFFB28">
      <w:pPr>
        <w:pStyle w:val="2"/>
        <w:rPr>
          <w:rFonts w:hint="eastAsia" w:ascii="仿宋_GB2312" w:hAnsi="仿宋_GB2312" w:eastAsia="仿宋_GB2312" w:cs="仿宋_GB2312"/>
          <w:color w:val="auto"/>
          <w:highlight w:val="none"/>
        </w:rPr>
      </w:pPr>
    </w:p>
    <w:p w14:paraId="1B92F341">
      <w:pPr>
        <w:pStyle w:val="2"/>
        <w:rPr>
          <w:rFonts w:hint="eastAsia" w:ascii="仿宋_GB2312" w:hAnsi="仿宋_GB2312" w:eastAsia="仿宋_GB2312" w:cs="仿宋_GB2312"/>
          <w:color w:val="auto"/>
          <w:highlight w:val="none"/>
        </w:rPr>
      </w:pPr>
    </w:p>
    <w:p w14:paraId="45B0FC5E">
      <w:pPr>
        <w:pStyle w:val="2"/>
        <w:rPr>
          <w:rFonts w:hint="eastAsia" w:ascii="仿宋_GB2312" w:hAnsi="仿宋_GB2312" w:eastAsia="仿宋_GB2312" w:cs="仿宋_GB2312"/>
          <w:color w:val="auto"/>
          <w:highlight w:val="none"/>
        </w:rPr>
      </w:pPr>
    </w:p>
    <w:p w14:paraId="50BF9F7F">
      <w:pPr>
        <w:pStyle w:val="2"/>
        <w:rPr>
          <w:rFonts w:hint="eastAsia" w:ascii="仿宋_GB2312" w:hAnsi="仿宋_GB2312" w:eastAsia="仿宋_GB2312" w:cs="仿宋_GB2312"/>
          <w:color w:val="auto"/>
          <w:highlight w:val="none"/>
        </w:rPr>
      </w:pPr>
    </w:p>
    <w:p w14:paraId="0E7951F0">
      <w:pPr>
        <w:pStyle w:val="2"/>
        <w:rPr>
          <w:rFonts w:hint="eastAsia" w:ascii="仿宋_GB2312" w:hAnsi="仿宋_GB2312" w:eastAsia="仿宋_GB2312" w:cs="仿宋_GB2312"/>
          <w:color w:val="auto"/>
          <w:highlight w:val="none"/>
        </w:rPr>
      </w:pPr>
    </w:p>
    <w:p w14:paraId="1F11A6B5">
      <w:pPr>
        <w:rPr>
          <w:rFonts w:hint="eastAsia"/>
        </w:rPr>
      </w:pPr>
    </w:p>
    <w:p w14:paraId="482FF9AC">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二、中小企业声明函（如果有）</w:t>
      </w:r>
    </w:p>
    <w:p w14:paraId="7B49494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52663C33">
      <w:pPr>
        <w:spacing w:line="540" w:lineRule="exact"/>
        <w:contextualSpacing/>
        <w:jc w:val="center"/>
        <w:rPr>
          <w:rFonts w:hint="eastAsia" w:ascii="仿宋_GB2312" w:hAnsi="仿宋_GB2312" w:eastAsia="仿宋_GB2312" w:cs="仿宋_GB2312"/>
          <w:b/>
          <w:color w:val="auto"/>
          <w:sz w:val="28"/>
          <w:szCs w:val="28"/>
          <w:highlight w:val="none"/>
        </w:rPr>
      </w:pPr>
    </w:p>
    <w:p w14:paraId="7C79CEE1">
      <w:pPr>
        <w:pStyle w:val="26"/>
        <w:rPr>
          <w:rFonts w:hint="eastAsia" w:ascii="仿宋_GB2312" w:hAnsi="仿宋_GB2312" w:eastAsia="仿宋_GB2312" w:cs="仿宋_GB2312"/>
          <w:b/>
          <w:color w:val="auto"/>
          <w:sz w:val="28"/>
          <w:szCs w:val="28"/>
          <w:highlight w:val="none"/>
        </w:rPr>
      </w:pPr>
    </w:p>
    <w:p w14:paraId="290675B5">
      <w:pPr>
        <w:pStyle w:val="12"/>
        <w:rPr>
          <w:rFonts w:hint="eastAsia" w:ascii="仿宋_GB2312" w:hAnsi="仿宋_GB2312" w:eastAsia="仿宋_GB2312" w:cs="仿宋_GB2312"/>
          <w:b/>
          <w:color w:val="auto"/>
          <w:sz w:val="28"/>
          <w:szCs w:val="28"/>
          <w:highlight w:val="none"/>
        </w:rPr>
      </w:pPr>
    </w:p>
    <w:p w14:paraId="1FFE597D">
      <w:pPr>
        <w:pStyle w:val="25"/>
        <w:rPr>
          <w:rFonts w:hint="eastAsia"/>
          <w:color w:val="auto"/>
          <w:highlight w:val="none"/>
        </w:rPr>
      </w:pPr>
    </w:p>
    <w:p w14:paraId="30FA193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三、关于符合本国产品标准的声明函（如果有）</w:t>
      </w:r>
    </w:p>
    <w:p w14:paraId="3304C77E">
      <w:pPr>
        <w:spacing w:line="54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符合《国务院办公厅关于在政府采购中实施本国产品标准及相关政策的通知》规定的本国产品拟享受价格扣除政策的，需提供关于符合本国产品标准的声明函（附件8）。</w:t>
      </w:r>
    </w:p>
    <w:p w14:paraId="25B169DF">
      <w:pPr>
        <w:pStyle w:val="4"/>
        <w:rPr>
          <w:rFonts w:hint="eastAsia"/>
          <w:lang w:val="en-US" w:eastAsia="zh-CN"/>
        </w:rPr>
      </w:pPr>
    </w:p>
    <w:p w14:paraId="223A8BE9">
      <w:pPr>
        <w:rPr>
          <w:rFonts w:hint="eastAsia"/>
          <w:lang w:val="en-US" w:eastAsia="zh-CN"/>
        </w:rPr>
      </w:pPr>
    </w:p>
    <w:p w14:paraId="7D98F435">
      <w:pPr>
        <w:pStyle w:val="4"/>
        <w:rPr>
          <w:rFonts w:hint="eastAsia"/>
          <w:lang w:val="en-US" w:eastAsia="zh-CN"/>
        </w:rPr>
      </w:pPr>
    </w:p>
    <w:p w14:paraId="361F6B04">
      <w:pPr>
        <w:rPr>
          <w:rFonts w:hint="eastAsia"/>
          <w:lang w:val="en-US" w:eastAsia="zh-CN"/>
        </w:rPr>
      </w:pPr>
    </w:p>
    <w:p w14:paraId="2E59E0B4">
      <w:pPr>
        <w:pStyle w:val="26"/>
        <w:rPr>
          <w:rFonts w:hint="eastAsia" w:eastAsiaTheme="minorEastAsia"/>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eastAsia="zh-CN"/>
        </w:rPr>
        <w:t>四</w:t>
      </w:r>
      <w:r>
        <w:rPr>
          <w:rFonts w:hint="eastAsia" w:ascii="方正仿宋_GB2312" w:hAnsi="方正仿宋_GB2312" w:eastAsia="方正仿宋_GB2312" w:cs="方正仿宋_GB2312"/>
          <w:b/>
          <w:color w:val="auto"/>
          <w:sz w:val="28"/>
          <w:szCs w:val="28"/>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8"/>
          <w:szCs w:val="28"/>
          <w:highlight w:val="none"/>
          <w:lang w:eastAsia="zh-CN"/>
        </w:rPr>
        <w:t>最高限价</w:t>
      </w:r>
      <w:r>
        <w:rPr>
          <w:rFonts w:hint="eastAsia" w:ascii="方正仿宋_GB2312" w:hAnsi="方正仿宋_GB2312" w:eastAsia="方正仿宋_GB2312" w:cs="方正仿宋_GB2312"/>
          <w:b/>
          <w:color w:val="auto"/>
          <w:sz w:val="28"/>
          <w:szCs w:val="28"/>
          <w:highlight w:val="none"/>
          <w:lang w:val="en-US" w:eastAsia="zh-CN"/>
        </w:rPr>
        <w:t>45</w:t>
      </w:r>
      <w:r>
        <w:rPr>
          <w:rFonts w:hint="eastAsia" w:ascii="方正仿宋_GB2312" w:hAnsi="方正仿宋_GB2312" w:eastAsia="方正仿宋_GB2312" w:cs="方正仿宋_GB2312"/>
          <w:b/>
          <w:color w:val="auto"/>
          <w:sz w:val="28"/>
          <w:szCs w:val="28"/>
          <w:highlight w:val="none"/>
        </w:rPr>
        <w:t>%的）</w:t>
      </w:r>
    </w:p>
    <w:p w14:paraId="23CE969C">
      <w:pPr>
        <w:spacing w:line="540" w:lineRule="exact"/>
        <w:ind w:firstLine="470" w:firstLineChars="196"/>
        <w:contextualSpacing/>
        <w:rPr>
          <w:rFonts w:hint="eastAsia" w:ascii="仿宋_GB2312" w:eastAsia="仿宋_GB2312"/>
          <w:b w:val="0"/>
          <w:bCs w:val="0"/>
          <w:color w:val="auto"/>
          <w:sz w:val="24"/>
          <w:szCs w:val="24"/>
          <w:highlight w:val="none"/>
          <w:lang w:eastAsia="zh-CN"/>
        </w:rPr>
      </w:pPr>
      <w:r>
        <w:rPr>
          <w:rFonts w:hint="eastAsia" w:ascii="仿宋_GB2312" w:eastAsia="仿宋_GB2312"/>
          <w:b w:val="0"/>
          <w:bCs w:val="0"/>
          <w:color w:val="auto"/>
          <w:sz w:val="24"/>
          <w:szCs w:val="24"/>
          <w:highlight w:val="none"/>
        </w:rPr>
        <w:t>特别说明：供应商投标报价低于项目</w:t>
      </w:r>
      <w:r>
        <w:rPr>
          <w:rFonts w:hint="eastAsia" w:ascii="仿宋_GB2312" w:hAnsi="仿宋_GB2312" w:eastAsia="仿宋_GB2312" w:cs="仿宋_GB2312"/>
          <w:b w:val="0"/>
          <w:bCs w:val="0"/>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val="0"/>
          <w:bCs w:val="0"/>
          <w:color w:val="auto"/>
          <w:sz w:val="24"/>
          <w:szCs w:val="24"/>
          <w:highlight w:val="none"/>
          <w:lang w:val="en-US" w:eastAsia="zh-CN"/>
        </w:rPr>
        <w:t>45</w:t>
      </w:r>
      <w:r>
        <w:rPr>
          <w:rFonts w:hint="eastAsia" w:ascii="仿宋_GB2312" w:eastAsia="仿宋_GB2312"/>
          <w:b w:val="0"/>
          <w:bCs w:val="0"/>
          <w:color w:val="auto"/>
          <w:sz w:val="24"/>
          <w:szCs w:val="24"/>
          <w:highlight w:val="none"/>
        </w:rPr>
        <w:t>%的，应当在报价文件中</w:t>
      </w:r>
      <w:r>
        <w:rPr>
          <w:rFonts w:hint="eastAsia" w:ascii="仿宋_GB2312" w:eastAsia="仿宋_GB2312"/>
          <w:b w:val="0"/>
          <w:bCs w:val="0"/>
          <w:color w:val="auto"/>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14:paraId="44F3EEC0">
      <w:pPr>
        <w:pStyle w:val="26"/>
        <w:rPr>
          <w:rFonts w:hint="eastAsia"/>
          <w:b w:val="0"/>
          <w:bCs w:val="0"/>
          <w:color w:val="auto"/>
          <w:lang w:val="en-US" w:eastAsia="zh-CN"/>
        </w:rPr>
        <w:sectPr>
          <w:pgSz w:w="11906" w:h="16838"/>
          <w:pgMar w:top="1247" w:right="1418" w:bottom="1276" w:left="1418" w:header="851" w:footer="992" w:gutter="0"/>
          <w:cols w:space="720" w:num="1"/>
          <w:titlePg/>
          <w:docGrid w:linePitch="312" w:charSpace="0"/>
        </w:sectPr>
      </w:pPr>
    </w:p>
    <w:p w14:paraId="06D39EC4">
      <w:pPr>
        <w:spacing w:line="540" w:lineRule="exact"/>
        <w:contextualSpacing/>
        <w:jc w:val="center"/>
        <w:rPr>
          <w:rFonts w:hint="eastAsia" w:ascii="仿宋_GB2312" w:hAnsi="仿宋_GB2312" w:eastAsia="仿宋_GB2312" w:cs="仿宋_GB2312"/>
          <w:b/>
          <w:color w:val="auto"/>
          <w:sz w:val="28"/>
          <w:szCs w:val="28"/>
          <w:highlight w:val="none"/>
        </w:rPr>
      </w:pPr>
      <w:bookmarkStart w:id="503" w:name="_Toc465665161"/>
      <w:r>
        <w:rPr>
          <w:rFonts w:hint="eastAsia" w:ascii="仿宋_GB2312" w:hAnsi="仿宋_GB2312" w:eastAsia="仿宋_GB2312" w:cs="仿宋_GB2312"/>
          <w:b/>
          <w:color w:val="auto"/>
          <w:sz w:val="28"/>
          <w:szCs w:val="28"/>
          <w:highlight w:val="none"/>
        </w:rPr>
        <w:t>附件</w:t>
      </w:r>
      <w:bookmarkEnd w:id="503"/>
    </w:p>
    <w:p w14:paraId="7126BC5A">
      <w:pPr>
        <w:spacing w:line="540" w:lineRule="exact"/>
        <w:contextualSpacing/>
        <w:rPr>
          <w:rFonts w:hint="eastAsia" w:ascii="仿宋_GB2312" w:hAnsi="仿宋_GB2312" w:eastAsia="仿宋_GB2312" w:cs="仿宋_GB2312"/>
          <w:color w:val="auto"/>
          <w:sz w:val="24"/>
          <w:szCs w:val="24"/>
          <w:highlight w:val="none"/>
        </w:rPr>
      </w:pPr>
    </w:p>
    <w:p w14:paraId="6EB84BD6">
      <w:pPr>
        <w:spacing w:line="540" w:lineRule="exact"/>
        <w:contextualSpacing/>
        <w:rPr>
          <w:rFonts w:hint="eastAsia" w:ascii="仿宋_GB2312" w:hAnsi="仿宋_GB2312" w:eastAsia="仿宋_GB2312" w:cs="仿宋_GB2312"/>
          <w:color w:val="auto"/>
          <w:sz w:val="24"/>
          <w:szCs w:val="24"/>
          <w:highlight w:val="none"/>
        </w:rPr>
      </w:pPr>
    </w:p>
    <w:p w14:paraId="0973D599">
      <w:pPr>
        <w:spacing w:line="540" w:lineRule="exact"/>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附件1：</w:t>
      </w:r>
    </w:p>
    <w:p w14:paraId="56698D58">
      <w:pPr>
        <w:spacing w:line="540" w:lineRule="exact"/>
        <w:contextualSpacing/>
        <w:jc w:val="center"/>
        <w:rPr>
          <w:rFonts w:hint="eastAsia" w:ascii="仿宋_GB2312" w:hAnsi="仿宋_GB2312" w:eastAsia="仿宋_GB2312" w:cs="仿宋_GB2312"/>
          <w:color w:val="auto"/>
          <w:sz w:val="24"/>
          <w:szCs w:val="24"/>
          <w:highlight w:val="none"/>
        </w:rPr>
      </w:pPr>
      <w:bookmarkStart w:id="504" w:name="OLE_LINK14"/>
      <w:bookmarkStart w:id="505" w:name="OLE_LINK13"/>
      <w:r>
        <w:rPr>
          <w:rFonts w:hint="eastAsia" w:ascii="仿宋_GB2312" w:hAnsi="仿宋_GB2312" w:eastAsia="仿宋_GB2312" w:cs="仿宋_GB2312"/>
          <w:color w:val="auto"/>
          <w:sz w:val="24"/>
          <w:szCs w:val="24"/>
          <w:highlight w:val="none"/>
        </w:rPr>
        <w:t>残疾人福利性单位声明函</w:t>
      </w:r>
    </w:p>
    <w:bookmarkEnd w:id="504"/>
    <w:bookmarkEnd w:id="505"/>
    <w:p w14:paraId="67C9E677">
      <w:pPr>
        <w:spacing w:line="540" w:lineRule="exact"/>
        <w:contextualSpacing/>
        <w:rPr>
          <w:rFonts w:hint="eastAsia" w:ascii="仿宋_GB2312" w:hAnsi="仿宋_GB2312" w:eastAsia="仿宋_GB2312" w:cs="仿宋_GB2312"/>
          <w:color w:val="auto"/>
          <w:sz w:val="24"/>
          <w:szCs w:val="24"/>
          <w:highlight w:val="none"/>
        </w:rPr>
      </w:pPr>
    </w:p>
    <w:p w14:paraId="38EB34E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auto"/>
          <w:sz w:val="24"/>
          <w:szCs w:val="24"/>
          <w:highlight w:val="none"/>
          <w:u w:val="single"/>
        </w:rPr>
        <w:t>(采购人)</w:t>
      </w:r>
      <w:r>
        <w:rPr>
          <w:rFonts w:hint="eastAsia" w:ascii="仿宋_GB2312" w:hAnsi="仿宋_GB2312" w:eastAsia="仿宋_GB2312" w:cs="仿宋_GB2312"/>
          <w:color w:val="auto"/>
          <w:sz w:val="24"/>
          <w:szCs w:val="24"/>
          <w:highlight w:val="none"/>
        </w:rPr>
        <w:t>单位的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3A96BA6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本单位对上述声明的真实性负责。如有虚假，将依法承担相应责任。</w:t>
      </w:r>
    </w:p>
    <w:p w14:paraId="09AAF152">
      <w:pPr>
        <w:spacing w:line="540" w:lineRule="exact"/>
        <w:contextualSpacing/>
        <w:rPr>
          <w:rFonts w:hint="eastAsia" w:ascii="仿宋_GB2312" w:hAnsi="仿宋_GB2312" w:eastAsia="仿宋_GB2312" w:cs="仿宋_GB2312"/>
          <w:color w:val="auto"/>
          <w:sz w:val="24"/>
          <w:szCs w:val="24"/>
          <w:highlight w:val="none"/>
        </w:rPr>
      </w:pPr>
    </w:p>
    <w:p w14:paraId="54B5D1C7">
      <w:pPr>
        <w:spacing w:line="540" w:lineRule="exact"/>
        <w:contextualSpacing/>
        <w:rPr>
          <w:rFonts w:hint="eastAsia" w:ascii="仿宋_GB2312" w:hAnsi="仿宋_GB2312" w:eastAsia="仿宋_GB2312" w:cs="仿宋_GB2312"/>
          <w:color w:val="auto"/>
          <w:sz w:val="24"/>
          <w:szCs w:val="24"/>
          <w:highlight w:val="none"/>
        </w:rPr>
      </w:pPr>
    </w:p>
    <w:p w14:paraId="1059B613">
      <w:pPr>
        <w:spacing w:line="540" w:lineRule="exact"/>
        <w:contextualSpacing/>
        <w:rPr>
          <w:rFonts w:hint="eastAsia" w:ascii="仿宋_GB2312" w:hAnsi="仿宋_GB2312" w:eastAsia="仿宋_GB2312" w:cs="仿宋_GB2312"/>
          <w:color w:val="auto"/>
          <w:sz w:val="24"/>
          <w:szCs w:val="24"/>
          <w:highlight w:val="none"/>
        </w:rPr>
      </w:pPr>
    </w:p>
    <w:p w14:paraId="255DF146">
      <w:pPr>
        <w:spacing w:line="540" w:lineRule="exact"/>
        <w:contextualSpacing/>
        <w:rPr>
          <w:rFonts w:hint="eastAsia" w:ascii="仿宋_GB2312" w:hAnsi="仿宋_GB2312" w:eastAsia="仿宋_GB2312" w:cs="仿宋_GB2312"/>
          <w:color w:val="auto"/>
          <w:sz w:val="24"/>
          <w:szCs w:val="24"/>
          <w:highlight w:val="none"/>
        </w:rPr>
      </w:pPr>
    </w:p>
    <w:p w14:paraId="0C0C1372">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10A5CAB">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3847CF24">
      <w:pPr>
        <w:spacing w:line="540" w:lineRule="exact"/>
        <w:contextualSpacing/>
        <w:rPr>
          <w:rFonts w:hint="eastAsia" w:ascii="仿宋_GB2312" w:hAnsi="仿宋_GB2312" w:eastAsia="仿宋_GB2312" w:cs="仿宋_GB2312"/>
          <w:color w:val="auto"/>
          <w:sz w:val="24"/>
          <w:szCs w:val="24"/>
          <w:highlight w:val="none"/>
        </w:rPr>
      </w:pPr>
    </w:p>
    <w:p w14:paraId="02733150">
      <w:pPr>
        <w:spacing w:line="540" w:lineRule="exact"/>
        <w:contextualSpacing/>
        <w:rPr>
          <w:rFonts w:hint="eastAsia" w:ascii="仿宋_GB2312" w:hAnsi="仿宋_GB2312" w:eastAsia="仿宋_GB2312" w:cs="仿宋_GB2312"/>
          <w:color w:val="auto"/>
          <w:sz w:val="24"/>
          <w:szCs w:val="24"/>
          <w:highlight w:val="none"/>
        </w:rPr>
      </w:pPr>
    </w:p>
    <w:p w14:paraId="20A14AA1">
      <w:pPr>
        <w:spacing w:line="540" w:lineRule="exact"/>
        <w:contextualSpacing/>
        <w:rPr>
          <w:rFonts w:hint="eastAsia" w:ascii="仿宋_GB2312" w:hAnsi="仿宋_GB2312" w:eastAsia="仿宋_GB2312" w:cs="仿宋_GB2312"/>
          <w:color w:val="auto"/>
          <w:sz w:val="24"/>
          <w:szCs w:val="24"/>
          <w:highlight w:val="none"/>
        </w:rPr>
      </w:pPr>
    </w:p>
    <w:p w14:paraId="60281DB4">
      <w:pPr>
        <w:spacing w:line="540" w:lineRule="exact"/>
        <w:contextualSpacing/>
        <w:rPr>
          <w:rFonts w:hint="eastAsia" w:ascii="仿宋_GB2312" w:hAnsi="仿宋_GB2312" w:eastAsia="仿宋_GB2312" w:cs="仿宋_GB2312"/>
          <w:color w:val="auto"/>
          <w:sz w:val="24"/>
          <w:szCs w:val="24"/>
          <w:highlight w:val="none"/>
        </w:rPr>
      </w:pPr>
    </w:p>
    <w:p w14:paraId="59387697">
      <w:pPr>
        <w:spacing w:line="540" w:lineRule="exact"/>
        <w:contextualSpacing/>
        <w:rPr>
          <w:rFonts w:hint="eastAsia" w:ascii="仿宋_GB2312" w:hAnsi="仿宋_GB2312" w:eastAsia="仿宋_GB2312" w:cs="仿宋_GB2312"/>
          <w:color w:val="auto"/>
          <w:sz w:val="24"/>
          <w:szCs w:val="24"/>
          <w:highlight w:val="none"/>
        </w:rPr>
      </w:pPr>
    </w:p>
    <w:p w14:paraId="60EDA7D2">
      <w:pPr>
        <w:spacing w:line="540" w:lineRule="exact"/>
        <w:contextualSpacing/>
        <w:rPr>
          <w:rFonts w:hint="eastAsia" w:ascii="仿宋_GB2312" w:hAnsi="仿宋_GB2312" w:eastAsia="仿宋_GB2312" w:cs="仿宋_GB2312"/>
          <w:color w:val="auto"/>
          <w:sz w:val="24"/>
          <w:szCs w:val="24"/>
          <w:highlight w:val="none"/>
        </w:rPr>
      </w:pPr>
    </w:p>
    <w:p w14:paraId="5AD08620">
      <w:pPr>
        <w:spacing w:line="540" w:lineRule="exact"/>
        <w:contextualSpacing/>
        <w:rPr>
          <w:rFonts w:hint="eastAsia" w:ascii="仿宋_GB2312" w:hAnsi="仿宋_GB2312" w:eastAsia="仿宋_GB2312" w:cs="仿宋_GB2312"/>
          <w:color w:val="auto"/>
          <w:sz w:val="24"/>
          <w:szCs w:val="24"/>
          <w:highlight w:val="none"/>
        </w:rPr>
      </w:pPr>
    </w:p>
    <w:p w14:paraId="3881BCA7">
      <w:pPr>
        <w:spacing w:line="540" w:lineRule="exact"/>
        <w:contextualSpacing/>
        <w:rPr>
          <w:rFonts w:hint="eastAsia" w:ascii="仿宋_GB2312" w:hAnsi="仿宋_GB2312" w:eastAsia="仿宋_GB2312" w:cs="仿宋_GB2312"/>
          <w:color w:val="auto"/>
          <w:sz w:val="24"/>
          <w:szCs w:val="24"/>
          <w:highlight w:val="none"/>
        </w:rPr>
      </w:pPr>
    </w:p>
    <w:p w14:paraId="13ABA220">
      <w:pPr>
        <w:spacing w:line="540" w:lineRule="exact"/>
        <w:contextualSpacing/>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附件2：</w:t>
      </w:r>
      <w:r>
        <w:rPr>
          <w:rFonts w:hint="eastAsia" w:ascii="仿宋_GB2312" w:hAnsi="仿宋_GB2312" w:eastAsia="仿宋_GB2312" w:cs="仿宋_GB2312"/>
          <w:b/>
          <w:color w:val="auto"/>
          <w:sz w:val="28"/>
          <w:szCs w:val="28"/>
          <w:highlight w:val="none"/>
        </w:rPr>
        <w:t>质疑函范本及制作说明</w:t>
      </w:r>
    </w:p>
    <w:p w14:paraId="65EA91E8">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质疑函范本</w:t>
      </w:r>
    </w:p>
    <w:p w14:paraId="11BEF7F8">
      <w:pPr>
        <w:snapToGrid w:val="0"/>
        <w:spacing w:before="312" w:beforeLines="100"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一、质疑供应商基本信息</w:t>
      </w:r>
    </w:p>
    <w:p w14:paraId="6F33A01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质疑供应商：</w:t>
      </w:r>
    </w:p>
    <w:p w14:paraId="288DA1BC">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552122C7">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联系人：联系电话：</w:t>
      </w:r>
    </w:p>
    <w:p w14:paraId="6768F8A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授权代表：</w:t>
      </w:r>
    </w:p>
    <w:p w14:paraId="4195D02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p w14:paraId="6B7ABC3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086DD7A5">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二、质疑项目基本情况</w:t>
      </w:r>
    </w:p>
    <w:p w14:paraId="23C3AED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质疑项目的名称：</w:t>
      </w:r>
    </w:p>
    <w:p w14:paraId="6CDFCC6F">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质疑项目的编号：包号：</w:t>
      </w:r>
    </w:p>
    <w:p w14:paraId="06446890">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采购人名称：</w:t>
      </w:r>
    </w:p>
    <w:p w14:paraId="7414653C">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采购文件获取日期：</w:t>
      </w:r>
    </w:p>
    <w:p w14:paraId="05A3E128">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三、质疑事项具体内容</w:t>
      </w:r>
    </w:p>
    <w:p w14:paraId="55E4FB0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质疑事项1：</w:t>
      </w:r>
    </w:p>
    <w:p w14:paraId="06125D65">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事实依据：</w:t>
      </w:r>
    </w:p>
    <w:p w14:paraId="0D15C2AB">
      <w:pPr>
        <w:snapToGrid w:val="0"/>
        <w:spacing w:line="360" w:lineRule="auto"/>
        <w:rPr>
          <w:rFonts w:hint="eastAsia" w:ascii="仿宋_GB2312" w:hAnsi="仿宋_GB2312" w:eastAsia="仿宋_GB2312" w:cs="仿宋_GB2312"/>
          <w:color w:val="auto"/>
          <w:sz w:val="24"/>
          <w:highlight w:val="none"/>
        </w:rPr>
      </w:pPr>
    </w:p>
    <w:p w14:paraId="02E8A94E">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法律依据：</w:t>
      </w:r>
    </w:p>
    <w:p w14:paraId="41325DC5">
      <w:pPr>
        <w:snapToGrid w:val="0"/>
        <w:spacing w:line="360" w:lineRule="auto"/>
        <w:rPr>
          <w:rFonts w:hint="eastAsia" w:ascii="仿宋_GB2312" w:hAnsi="仿宋_GB2312" w:eastAsia="仿宋_GB2312" w:cs="仿宋_GB2312"/>
          <w:color w:val="auto"/>
          <w:sz w:val="24"/>
          <w:highlight w:val="none"/>
          <w:u w:val="dotted"/>
        </w:rPr>
      </w:pPr>
    </w:p>
    <w:p w14:paraId="3E60957D">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质疑事项2</w:t>
      </w:r>
    </w:p>
    <w:p w14:paraId="382FAFA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p w14:paraId="6936E283">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四、与质疑事项相关的质疑请求</w:t>
      </w:r>
    </w:p>
    <w:p w14:paraId="71900094">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请求：</w:t>
      </w:r>
    </w:p>
    <w:p w14:paraId="4FF8F6B6">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签字(签章)：公章：</w:t>
      </w:r>
    </w:p>
    <w:p w14:paraId="7CADF9BF">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w:t>
      </w:r>
    </w:p>
    <w:p w14:paraId="78B1A791">
      <w:pPr>
        <w:spacing w:line="360" w:lineRule="auto"/>
        <w:jc w:val="center"/>
        <w:rPr>
          <w:rFonts w:hint="eastAsia" w:ascii="仿宋_GB2312" w:hAnsi="仿宋_GB2312" w:eastAsia="仿宋_GB2312" w:cs="仿宋_GB2312"/>
          <w:b/>
          <w:bCs/>
          <w:color w:val="auto"/>
          <w:sz w:val="24"/>
          <w:highlight w:val="none"/>
        </w:rPr>
      </w:pPr>
    </w:p>
    <w:p w14:paraId="2AD34FA5">
      <w:pPr>
        <w:spacing w:line="360" w:lineRule="auto"/>
        <w:rPr>
          <w:rFonts w:hint="eastAsia" w:ascii="仿宋_GB2312" w:hAnsi="仿宋_GB2312" w:eastAsia="仿宋_GB2312" w:cs="仿宋_GB2312"/>
          <w:b/>
          <w:color w:val="auto"/>
          <w:sz w:val="24"/>
          <w:highlight w:val="none"/>
        </w:rPr>
      </w:pPr>
    </w:p>
    <w:p w14:paraId="40D1E952">
      <w:pPr>
        <w:spacing w:line="360" w:lineRule="auto"/>
        <w:rPr>
          <w:rFonts w:hint="eastAsia" w:ascii="仿宋_GB2312" w:hAnsi="仿宋_GB2312" w:eastAsia="仿宋_GB2312" w:cs="仿宋_GB2312"/>
          <w:b/>
          <w:color w:val="auto"/>
          <w:sz w:val="24"/>
          <w:highlight w:val="none"/>
        </w:rPr>
      </w:pPr>
    </w:p>
    <w:p w14:paraId="0FA36A33">
      <w:pPr>
        <w:spacing w:line="360" w:lineRule="auto"/>
        <w:rPr>
          <w:rFonts w:hint="eastAsia" w:ascii="仿宋_GB2312" w:hAnsi="仿宋_GB2312" w:eastAsia="仿宋_GB2312" w:cs="仿宋_GB2312"/>
          <w:b/>
          <w:color w:val="auto"/>
          <w:sz w:val="24"/>
          <w:highlight w:val="none"/>
        </w:rPr>
      </w:pPr>
    </w:p>
    <w:p w14:paraId="61B67B4B">
      <w:pPr>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质疑函制作说明：</w:t>
      </w:r>
    </w:p>
    <w:p w14:paraId="199C2042">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1.供应商提出质疑时，应提交质疑函和必要的证明材料。</w:t>
      </w:r>
    </w:p>
    <w:p w14:paraId="76986F48">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2.质疑供应商若委托代理人进行质疑的，质疑函应按要求列明“授权代表”的有关内容，并在附件中提交由质疑</w:t>
      </w:r>
      <w:r>
        <w:rPr>
          <w:rFonts w:hint="eastAsia" w:ascii="仿宋_GB2312" w:hAnsi="仿宋_GB2312" w:eastAsia="仿宋_GB2312" w:cs="仿宋_GB2312"/>
          <w:color w:val="auto"/>
          <w:kern w:val="0"/>
          <w:sz w:val="24"/>
          <w:highlight w:val="none"/>
        </w:rPr>
        <w:t>供应商签署的授权委托书。授权委托书应载明代理人的姓名或者名称、代理事项、具体权限、期限和相关事项。</w:t>
      </w:r>
    </w:p>
    <w:p w14:paraId="254DE532">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3.质疑供应商若对项目的某一分包进行质疑，质疑函中应列明具体分包号。</w:t>
      </w:r>
    </w:p>
    <w:p w14:paraId="15DE7E9F">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4.质疑函的质疑事项应具体、明确，并有必要的事实依据和法律依据。</w:t>
      </w:r>
    </w:p>
    <w:p w14:paraId="7B7254B7">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5.质疑函的质疑请求应与质疑事项相关。</w:t>
      </w:r>
    </w:p>
    <w:p w14:paraId="50AB2F96">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6.质疑供应商为自然人的，质疑函应由本人签字；质疑供应商为法人或者其他组织的，质疑函应由法定代表人、主要负责人，或者其授权代表签字或者盖章，并加盖公章。</w:t>
      </w:r>
    </w:p>
    <w:p w14:paraId="40718385">
      <w:pPr>
        <w:spacing w:line="540" w:lineRule="exact"/>
        <w:contextualSpacing/>
        <w:rPr>
          <w:rFonts w:hint="eastAsia" w:ascii="仿宋_GB2312" w:hAnsi="仿宋_GB2312" w:eastAsia="仿宋_GB2312" w:cs="仿宋_GB2312"/>
          <w:color w:val="auto"/>
          <w:sz w:val="24"/>
          <w:szCs w:val="24"/>
          <w:highlight w:val="none"/>
        </w:rPr>
      </w:pPr>
    </w:p>
    <w:p w14:paraId="2467C1C1">
      <w:pPr>
        <w:spacing w:line="540" w:lineRule="exact"/>
        <w:contextualSpacing/>
        <w:rPr>
          <w:rFonts w:hint="eastAsia" w:ascii="仿宋_GB2312" w:hAnsi="仿宋_GB2312" w:eastAsia="仿宋_GB2312" w:cs="仿宋_GB2312"/>
          <w:color w:val="auto"/>
          <w:sz w:val="24"/>
          <w:szCs w:val="24"/>
          <w:highlight w:val="none"/>
        </w:rPr>
      </w:pPr>
    </w:p>
    <w:p w14:paraId="14E5A37F">
      <w:pPr>
        <w:spacing w:line="540" w:lineRule="exact"/>
        <w:contextualSpacing/>
        <w:rPr>
          <w:rFonts w:hint="eastAsia" w:ascii="仿宋_GB2312" w:hAnsi="仿宋_GB2312" w:eastAsia="仿宋_GB2312" w:cs="仿宋_GB2312"/>
          <w:color w:val="auto"/>
          <w:sz w:val="24"/>
          <w:szCs w:val="24"/>
          <w:highlight w:val="none"/>
        </w:rPr>
      </w:pPr>
    </w:p>
    <w:p w14:paraId="5390AFCC">
      <w:pPr>
        <w:spacing w:line="540" w:lineRule="exact"/>
        <w:contextualSpacing/>
        <w:rPr>
          <w:rFonts w:hint="eastAsia" w:ascii="仿宋_GB2312" w:hAnsi="仿宋_GB2312" w:eastAsia="仿宋_GB2312" w:cs="仿宋_GB2312"/>
          <w:color w:val="auto"/>
          <w:sz w:val="24"/>
          <w:szCs w:val="24"/>
          <w:highlight w:val="none"/>
        </w:rPr>
      </w:pPr>
    </w:p>
    <w:p w14:paraId="2A6AD5EC">
      <w:pPr>
        <w:spacing w:line="540" w:lineRule="exact"/>
        <w:contextualSpacing/>
        <w:rPr>
          <w:rFonts w:hint="eastAsia" w:ascii="仿宋_GB2312" w:hAnsi="仿宋_GB2312" w:eastAsia="仿宋_GB2312" w:cs="仿宋_GB2312"/>
          <w:color w:val="auto"/>
          <w:sz w:val="24"/>
          <w:szCs w:val="24"/>
          <w:highlight w:val="none"/>
        </w:rPr>
      </w:pPr>
    </w:p>
    <w:p w14:paraId="73BF8768">
      <w:pPr>
        <w:spacing w:line="540" w:lineRule="exact"/>
        <w:contextualSpacing/>
        <w:rPr>
          <w:rFonts w:hint="eastAsia" w:ascii="仿宋_GB2312" w:hAnsi="仿宋_GB2312" w:eastAsia="仿宋_GB2312" w:cs="仿宋_GB2312"/>
          <w:color w:val="auto"/>
          <w:sz w:val="24"/>
          <w:szCs w:val="24"/>
          <w:highlight w:val="none"/>
        </w:rPr>
      </w:pPr>
    </w:p>
    <w:p w14:paraId="1C11B77F">
      <w:pPr>
        <w:spacing w:line="540" w:lineRule="exact"/>
        <w:contextualSpacing/>
        <w:rPr>
          <w:rFonts w:hint="eastAsia" w:ascii="仿宋_GB2312" w:hAnsi="仿宋_GB2312" w:eastAsia="仿宋_GB2312" w:cs="仿宋_GB2312"/>
          <w:color w:val="auto"/>
          <w:sz w:val="24"/>
          <w:szCs w:val="24"/>
          <w:highlight w:val="none"/>
        </w:rPr>
      </w:pPr>
    </w:p>
    <w:p w14:paraId="669CA5BC">
      <w:pPr>
        <w:spacing w:line="540" w:lineRule="exact"/>
        <w:contextualSpacing/>
        <w:rPr>
          <w:rFonts w:hint="eastAsia" w:ascii="仿宋_GB2312" w:hAnsi="仿宋_GB2312" w:eastAsia="仿宋_GB2312" w:cs="仿宋_GB2312"/>
          <w:color w:val="auto"/>
          <w:sz w:val="24"/>
          <w:szCs w:val="24"/>
          <w:highlight w:val="none"/>
        </w:rPr>
      </w:pPr>
    </w:p>
    <w:p w14:paraId="47CC5FFC">
      <w:pPr>
        <w:spacing w:line="540" w:lineRule="exact"/>
        <w:contextualSpacing/>
        <w:rPr>
          <w:rFonts w:hint="eastAsia" w:ascii="仿宋_GB2312" w:hAnsi="仿宋_GB2312" w:eastAsia="仿宋_GB2312" w:cs="仿宋_GB2312"/>
          <w:color w:val="auto"/>
          <w:sz w:val="24"/>
          <w:szCs w:val="24"/>
          <w:highlight w:val="none"/>
        </w:rPr>
      </w:pPr>
    </w:p>
    <w:p w14:paraId="30ADC056">
      <w:pPr>
        <w:spacing w:line="540" w:lineRule="exact"/>
        <w:contextualSpacing/>
        <w:rPr>
          <w:rFonts w:hint="eastAsia" w:ascii="仿宋_GB2312" w:hAnsi="仿宋_GB2312" w:eastAsia="仿宋_GB2312" w:cs="仿宋_GB2312"/>
          <w:color w:val="auto"/>
          <w:sz w:val="24"/>
          <w:szCs w:val="24"/>
          <w:highlight w:val="none"/>
        </w:rPr>
      </w:pPr>
    </w:p>
    <w:p w14:paraId="16D7FFA6">
      <w:pPr>
        <w:spacing w:line="540" w:lineRule="exact"/>
        <w:contextualSpacing/>
        <w:rPr>
          <w:rFonts w:hint="eastAsia" w:ascii="仿宋_GB2312" w:hAnsi="仿宋_GB2312" w:eastAsia="仿宋_GB2312" w:cs="仿宋_GB2312"/>
          <w:color w:val="auto"/>
          <w:sz w:val="24"/>
          <w:szCs w:val="24"/>
          <w:highlight w:val="none"/>
        </w:rPr>
      </w:pPr>
    </w:p>
    <w:p w14:paraId="04C403D1">
      <w:pPr>
        <w:spacing w:line="540" w:lineRule="exact"/>
        <w:contextualSpacing/>
        <w:rPr>
          <w:rFonts w:hint="eastAsia" w:ascii="仿宋_GB2312" w:hAnsi="仿宋_GB2312" w:eastAsia="仿宋_GB2312" w:cs="仿宋_GB2312"/>
          <w:color w:val="auto"/>
          <w:sz w:val="24"/>
          <w:szCs w:val="24"/>
          <w:highlight w:val="none"/>
        </w:rPr>
      </w:pPr>
    </w:p>
    <w:p w14:paraId="158B8335">
      <w:pPr>
        <w:spacing w:line="540" w:lineRule="exact"/>
        <w:contextualSpacing/>
        <w:rPr>
          <w:rFonts w:hint="eastAsia" w:ascii="仿宋_GB2312" w:hAnsi="仿宋_GB2312" w:eastAsia="仿宋_GB2312" w:cs="仿宋_GB2312"/>
          <w:color w:val="auto"/>
          <w:sz w:val="24"/>
          <w:szCs w:val="24"/>
          <w:highlight w:val="none"/>
        </w:rPr>
      </w:pPr>
    </w:p>
    <w:p w14:paraId="2FFA85CF">
      <w:pPr>
        <w:spacing w:line="540" w:lineRule="exact"/>
        <w:contextualSpacing/>
        <w:rPr>
          <w:rFonts w:hint="eastAsia" w:ascii="仿宋_GB2312" w:hAnsi="仿宋_GB2312" w:eastAsia="仿宋_GB2312" w:cs="仿宋_GB2312"/>
          <w:color w:val="auto"/>
          <w:sz w:val="24"/>
          <w:szCs w:val="24"/>
          <w:highlight w:val="none"/>
        </w:rPr>
      </w:pPr>
    </w:p>
    <w:p w14:paraId="7BA438BE">
      <w:pPr>
        <w:pStyle w:val="12"/>
        <w:rPr>
          <w:rFonts w:hint="eastAsia" w:ascii="仿宋_GB2312" w:hAnsi="仿宋_GB2312" w:eastAsia="仿宋_GB2312" w:cs="仿宋_GB2312"/>
          <w:color w:val="auto"/>
          <w:highlight w:val="none"/>
        </w:rPr>
      </w:pPr>
    </w:p>
    <w:p w14:paraId="77214D14">
      <w:pPr>
        <w:pStyle w:val="20"/>
        <w:rPr>
          <w:rFonts w:hint="eastAsia" w:ascii="仿宋_GB2312" w:hAnsi="仿宋_GB2312" w:eastAsia="仿宋_GB2312" w:cs="仿宋_GB2312"/>
          <w:color w:val="auto"/>
          <w:highlight w:val="none"/>
        </w:rPr>
      </w:pPr>
    </w:p>
    <w:p w14:paraId="4A14BA74">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附件3：</w:t>
      </w:r>
    </w:p>
    <w:p w14:paraId="73AAE90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投诉书范本及制作说明</w:t>
      </w:r>
    </w:p>
    <w:p w14:paraId="7CB1B14A">
      <w:pPr>
        <w:spacing w:line="540" w:lineRule="exact"/>
        <w:contextualSpacing/>
        <w:rPr>
          <w:rFonts w:hint="eastAsia" w:ascii="仿宋_GB2312" w:hAnsi="仿宋_GB2312" w:eastAsia="仿宋_GB2312" w:cs="仿宋_GB2312"/>
          <w:color w:val="auto"/>
          <w:sz w:val="24"/>
          <w:szCs w:val="24"/>
          <w:highlight w:val="none"/>
        </w:rPr>
      </w:pPr>
    </w:p>
    <w:p w14:paraId="36213F12">
      <w:pPr>
        <w:spacing w:line="360" w:lineRule="auto"/>
        <w:jc w:val="center"/>
        <w:rPr>
          <w:rFonts w:hint="eastAsia" w:ascii="仿宋_GB2312" w:hAnsi="仿宋_GB2312" w:eastAsia="仿宋_GB2312" w:cs="仿宋_GB2312"/>
          <w:b/>
          <w:color w:val="auto"/>
          <w:spacing w:val="6"/>
          <w:sz w:val="24"/>
          <w:szCs w:val="24"/>
          <w:highlight w:val="none"/>
        </w:rPr>
      </w:pPr>
      <w:r>
        <w:rPr>
          <w:rFonts w:hint="eastAsia" w:ascii="仿宋_GB2312" w:hAnsi="仿宋_GB2312" w:eastAsia="仿宋_GB2312" w:cs="仿宋_GB2312"/>
          <w:b/>
          <w:color w:val="auto"/>
          <w:spacing w:val="6"/>
          <w:sz w:val="24"/>
          <w:szCs w:val="24"/>
          <w:highlight w:val="none"/>
        </w:rPr>
        <w:t>投诉书范本</w:t>
      </w:r>
    </w:p>
    <w:p w14:paraId="09B3C4B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一、投诉相关主体基本情况</w:t>
      </w:r>
    </w:p>
    <w:p w14:paraId="0CE0C6F2">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w:t>
      </w:r>
    </w:p>
    <w:p w14:paraId="1847028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381C17EF">
      <w:pPr>
        <w:tabs>
          <w:tab w:val="left" w:pos="6510"/>
        </w:tabs>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法定代表人/主要负责人：</w:t>
      </w:r>
    </w:p>
    <w:p w14:paraId="57B5B773">
      <w:pPr>
        <w:tabs>
          <w:tab w:val="left" w:pos="6510"/>
        </w:tabs>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联系电话：</w:t>
      </w:r>
    </w:p>
    <w:p w14:paraId="528C1725">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授权代表：联系电话</w:t>
      </w:r>
      <w:r>
        <w:rPr>
          <w:rFonts w:hint="eastAsia" w:ascii="仿宋_GB2312" w:hAnsi="仿宋_GB2312" w:eastAsia="仿宋_GB2312" w:cs="仿宋_GB2312"/>
          <w:color w:val="auto"/>
          <w:sz w:val="24"/>
          <w:szCs w:val="24"/>
          <w:highlight w:val="none"/>
          <w:u w:val="dotted"/>
        </w:rPr>
        <w:t>：</w:t>
      </w:r>
    </w:p>
    <w:p w14:paraId="598599A8">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地址：邮编：</w:t>
      </w:r>
    </w:p>
    <w:p w14:paraId="50ABC64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被投诉人1：</w:t>
      </w:r>
    </w:p>
    <w:p w14:paraId="7A495111">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1329E63D">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5C07B7BF">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被投诉人2</w:t>
      </w:r>
    </w:p>
    <w:p w14:paraId="38D6436E">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105C28E3">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相关供应商：</w:t>
      </w:r>
    </w:p>
    <w:p w14:paraId="2208EC1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10A49907">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0CE6845E">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二、投诉项目基本情况</w:t>
      </w:r>
    </w:p>
    <w:p w14:paraId="15D36B00">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采购项目名称：</w:t>
      </w:r>
    </w:p>
    <w:p w14:paraId="10B68144">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采购项目编号：包号：</w:t>
      </w:r>
    </w:p>
    <w:p w14:paraId="5AE967E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采购人名称：</w:t>
      </w:r>
    </w:p>
    <w:p w14:paraId="0E6F112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代理机构名称：</w:t>
      </w:r>
    </w:p>
    <w:p w14:paraId="211921D4">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采购文件公告: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5F33E36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采购结果公告: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175C245A">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三、质疑基本情况</w:t>
      </w:r>
    </w:p>
    <w:p w14:paraId="4392303A">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投诉人于年月日,向提出质疑，质疑事项为：</w:t>
      </w:r>
    </w:p>
    <w:p w14:paraId="6087F720">
      <w:pPr>
        <w:spacing w:line="360" w:lineRule="auto"/>
        <w:rPr>
          <w:rFonts w:hint="eastAsia" w:ascii="仿宋_GB2312" w:hAnsi="仿宋_GB2312" w:eastAsia="仿宋_GB2312" w:cs="仿宋_GB2312"/>
          <w:color w:val="auto"/>
          <w:sz w:val="24"/>
          <w:szCs w:val="24"/>
          <w:highlight w:val="none"/>
          <w:u w:val="dotted"/>
        </w:rPr>
      </w:pPr>
    </w:p>
    <w:p w14:paraId="59EC804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dotted"/>
        </w:rPr>
        <w:t>采购人/代理机构</w:t>
      </w:r>
      <w:r>
        <w:rPr>
          <w:rFonts w:hint="eastAsia" w:ascii="仿宋_GB2312" w:hAnsi="仿宋_GB2312" w:eastAsia="仿宋_GB2312" w:cs="仿宋_GB2312"/>
          <w:color w:val="auto"/>
          <w:sz w:val="24"/>
          <w:szCs w:val="24"/>
          <w:highlight w:val="none"/>
        </w:rPr>
        <w:t>于年月日,就质疑事项作出了答复/没有在法定期限内作出答复。</w:t>
      </w:r>
    </w:p>
    <w:p w14:paraId="6642D0C3">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四、投诉事项具体内容</w:t>
      </w:r>
    </w:p>
    <w:p w14:paraId="5C3AF5F3">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投诉事项 1：</w:t>
      </w:r>
    </w:p>
    <w:p w14:paraId="7B8BADBF">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事实依据：</w:t>
      </w:r>
    </w:p>
    <w:p w14:paraId="3934DD94">
      <w:pPr>
        <w:spacing w:line="360" w:lineRule="auto"/>
        <w:rPr>
          <w:rFonts w:hint="eastAsia" w:ascii="仿宋_GB2312" w:hAnsi="仿宋_GB2312" w:eastAsia="仿宋_GB2312" w:cs="仿宋_GB2312"/>
          <w:color w:val="auto"/>
          <w:sz w:val="24"/>
          <w:szCs w:val="24"/>
          <w:highlight w:val="none"/>
          <w:u w:val="dotted"/>
        </w:rPr>
      </w:pPr>
    </w:p>
    <w:p w14:paraId="0C2CDA6C">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法律依据：</w:t>
      </w:r>
    </w:p>
    <w:p w14:paraId="311084F8">
      <w:pPr>
        <w:spacing w:line="360" w:lineRule="auto"/>
        <w:rPr>
          <w:rFonts w:hint="eastAsia" w:ascii="仿宋_GB2312" w:hAnsi="仿宋_GB2312" w:eastAsia="仿宋_GB2312" w:cs="仿宋_GB2312"/>
          <w:color w:val="auto"/>
          <w:sz w:val="24"/>
          <w:szCs w:val="24"/>
          <w:highlight w:val="none"/>
          <w:u w:val="dotted"/>
        </w:rPr>
      </w:pPr>
    </w:p>
    <w:p w14:paraId="3C65EB64">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投诉事项2</w:t>
      </w:r>
    </w:p>
    <w:p w14:paraId="67989967">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5E8C2568">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五、与投诉事项相关的投诉请求</w:t>
      </w:r>
    </w:p>
    <w:p w14:paraId="4723CCA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请求：</w:t>
      </w:r>
    </w:p>
    <w:p w14:paraId="7D2A86E3">
      <w:pPr>
        <w:spacing w:line="360" w:lineRule="auto"/>
        <w:rPr>
          <w:rFonts w:hint="eastAsia" w:ascii="仿宋_GB2312" w:hAnsi="仿宋_GB2312" w:eastAsia="仿宋_GB2312" w:cs="仿宋_GB2312"/>
          <w:color w:val="auto"/>
          <w:sz w:val="24"/>
          <w:szCs w:val="24"/>
          <w:highlight w:val="none"/>
          <w:u w:val="single"/>
        </w:rPr>
      </w:pPr>
    </w:p>
    <w:p w14:paraId="7534B7C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签字(签章)：公章：</w:t>
      </w:r>
    </w:p>
    <w:p w14:paraId="7623ED2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0BB441D1">
      <w:pPr>
        <w:spacing w:line="360" w:lineRule="auto"/>
        <w:rPr>
          <w:rFonts w:hint="eastAsia" w:ascii="仿宋_GB2312" w:hAnsi="仿宋_GB2312" w:eastAsia="仿宋_GB2312" w:cs="仿宋_GB2312"/>
          <w:b/>
          <w:color w:val="auto"/>
          <w:sz w:val="24"/>
          <w:szCs w:val="24"/>
          <w:highlight w:val="none"/>
        </w:rPr>
      </w:pPr>
    </w:p>
    <w:p w14:paraId="16DF6721">
      <w:pPr>
        <w:spacing w:line="360" w:lineRule="auto"/>
        <w:rPr>
          <w:rFonts w:hint="eastAsia" w:ascii="仿宋_GB2312" w:hAnsi="仿宋_GB2312" w:eastAsia="仿宋_GB2312" w:cs="仿宋_GB2312"/>
          <w:b/>
          <w:color w:val="auto"/>
          <w:sz w:val="24"/>
          <w:szCs w:val="24"/>
          <w:highlight w:val="none"/>
        </w:rPr>
      </w:pPr>
    </w:p>
    <w:p w14:paraId="75854A54">
      <w:pPr>
        <w:spacing w:line="360" w:lineRule="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投诉书制作说明：</w:t>
      </w:r>
    </w:p>
    <w:p w14:paraId="21D95CAE">
      <w:pPr>
        <w:widowControl/>
        <w:spacing w:line="360" w:lineRule="auto"/>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1.投诉人提起投诉时，应当提交投诉书和必要的证明材料，并按照被投诉人和与投诉事项有关的供应商数量提供投诉书副本。</w:t>
      </w:r>
    </w:p>
    <w:p w14:paraId="0A4494CF">
      <w:pPr>
        <w:widowControl/>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2.投诉人若委托代理人进行投诉的，投诉书应按照要求列明“授权代表”的有关内容，并在附件中提交由</w:t>
      </w:r>
      <w:r>
        <w:rPr>
          <w:rFonts w:hint="eastAsia" w:ascii="仿宋_GB2312" w:hAnsi="仿宋_GB2312" w:eastAsia="仿宋_GB2312" w:cs="仿宋_GB2312"/>
          <w:color w:val="auto"/>
          <w:kern w:val="0"/>
          <w:sz w:val="24"/>
          <w:szCs w:val="24"/>
          <w:highlight w:val="none"/>
        </w:rPr>
        <w:t>投诉人签署的授权委托书。授权委托书应当载明代理人的姓名或者名称、代理事项、具体权限、期限和相关事项。</w:t>
      </w:r>
    </w:p>
    <w:p w14:paraId="4AEC04B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3.投诉人若对项目的某一分包进行投诉，投诉书应列明具体分包号。</w:t>
      </w:r>
    </w:p>
    <w:p w14:paraId="550AEAB7">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4.投诉书应简要列明质疑事项，质疑函、质疑答复等作为附件材料提供。</w:t>
      </w:r>
    </w:p>
    <w:p w14:paraId="22F72B8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5.投诉书的投诉事项应具体、明确，并有必要的事实依据和法律依据。</w:t>
      </w:r>
    </w:p>
    <w:p w14:paraId="5A15722A">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6.投诉书的投诉请求应与投诉事项相关。</w:t>
      </w:r>
    </w:p>
    <w:p w14:paraId="26BCCAF8">
      <w:pPr>
        <w:spacing w:line="360" w:lineRule="auto"/>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32F5D522">
      <w:pPr>
        <w:spacing w:line="540" w:lineRule="exact"/>
        <w:contextualSpacing/>
        <w:rPr>
          <w:rFonts w:hint="eastAsia" w:ascii="仿宋_GB2312" w:hAnsi="仿宋_GB2312" w:eastAsia="仿宋_GB2312" w:cs="仿宋_GB2312"/>
          <w:color w:val="auto"/>
          <w:sz w:val="28"/>
          <w:szCs w:val="28"/>
          <w:highlight w:val="none"/>
        </w:rPr>
      </w:pPr>
    </w:p>
    <w:p w14:paraId="22CE8D09">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附件4：</w:t>
      </w:r>
    </w:p>
    <w:p w14:paraId="55DA0409">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业务专用章使用说明函</w:t>
      </w:r>
    </w:p>
    <w:p w14:paraId="3666AA26">
      <w:pPr>
        <w:spacing w:line="540" w:lineRule="exact"/>
        <w:contextualSpacing/>
        <w:rPr>
          <w:rFonts w:hint="eastAsia" w:ascii="仿宋_GB2312" w:hAnsi="仿宋_GB2312" w:eastAsia="仿宋_GB2312" w:cs="仿宋_GB2312"/>
          <w:color w:val="auto"/>
          <w:sz w:val="24"/>
          <w:szCs w:val="24"/>
          <w:highlight w:val="none"/>
        </w:rPr>
      </w:pPr>
    </w:p>
    <w:p w14:paraId="58A1B51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1C52C4D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我方(投标人全称)是中华人民共和国依法登记注册的合法企业，在参加你方组织的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】投标活动中作如下说明：我方所使用的“XX专用章”与法定名称章具有同等的法律效力，对使用“XX专用章”的行为予以完全承认，并愿意承担相应责任。</w:t>
      </w:r>
    </w:p>
    <w:p w14:paraId="07D58DF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特此说明。</w:t>
      </w:r>
    </w:p>
    <w:p w14:paraId="608C5F73">
      <w:pPr>
        <w:spacing w:line="540" w:lineRule="exact"/>
        <w:contextualSpacing/>
        <w:rPr>
          <w:rFonts w:hint="eastAsia" w:ascii="仿宋_GB2312" w:hAnsi="仿宋_GB2312" w:eastAsia="仿宋_GB2312" w:cs="仿宋_GB2312"/>
          <w:color w:val="auto"/>
          <w:sz w:val="24"/>
          <w:szCs w:val="24"/>
          <w:highlight w:val="none"/>
        </w:rPr>
      </w:pPr>
    </w:p>
    <w:p w14:paraId="093363B9">
      <w:pPr>
        <w:spacing w:line="540" w:lineRule="exact"/>
        <w:contextualSpacing/>
        <w:rPr>
          <w:rFonts w:hint="eastAsia" w:ascii="仿宋_GB2312" w:hAnsi="仿宋_GB2312" w:eastAsia="仿宋_GB2312" w:cs="仿宋_GB2312"/>
          <w:color w:val="auto"/>
          <w:sz w:val="24"/>
          <w:szCs w:val="24"/>
          <w:highlight w:val="none"/>
        </w:rPr>
      </w:pPr>
    </w:p>
    <w:p w14:paraId="0242E661">
      <w:pPr>
        <w:spacing w:line="540" w:lineRule="exact"/>
        <w:ind w:firstLine="3600" w:firstLineChars="15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w:t>
      </w:r>
    </w:p>
    <w:p w14:paraId="3C296FFA">
      <w:pPr>
        <w:spacing w:line="540" w:lineRule="exact"/>
        <w:ind w:firstLine="5040" w:firstLineChars="21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58DDF7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w:t>
      </w:r>
    </w:p>
    <w:p w14:paraId="5C1D3ADC">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投标单位法定名称章（印模）投标单位“XX专用章”（印模）</w:t>
      </w:r>
    </w:p>
    <w:p w14:paraId="25DC065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14:paraId="6D7D686D">
      <w:pPr>
        <w:spacing w:line="540" w:lineRule="exact"/>
        <w:contextualSpacing/>
        <w:rPr>
          <w:rFonts w:hint="eastAsia" w:ascii="仿宋_GB2312" w:hAnsi="仿宋_GB2312" w:eastAsia="仿宋_GB2312" w:cs="仿宋_GB2312"/>
          <w:color w:val="auto"/>
          <w:sz w:val="24"/>
          <w:szCs w:val="24"/>
          <w:highlight w:val="none"/>
        </w:rPr>
      </w:pPr>
    </w:p>
    <w:p w14:paraId="1942EC1F">
      <w:pPr>
        <w:spacing w:line="540" w:lineRule="exact"/>
        <w:contextualSpacing/>
        <w:rPr>
          <w:rFonts w:hint="eastAsia" w:ascii="仿宋_GB2312" w:hAnsi="仿宋_GB2312" w:eastAsia="仿宋_GB2312" w:cs="仿宋_GB2312"/>
          <w:color w:val="auto"/>
          <w:sz w:val="24"/>
          <w:szCs w:val="24"/>
          <w:highlight w:val="none"/>
        </w:rPr>
      </w:pPr>
    </w:p>
    <w:p w14:paraId="2F3FACEE">
      <w:pPr>
        <w:spacing w:line="540" w:lineRule="exact"/>
        <w:contextualSpacing/>
        <w:rPr>
          <w:rFonts w:hint="eastAsia" w:ascii="仿宋_GB2312" w:hAnsi="仿宋_GB2312" w:eastAsia="仿宋_GB2312" w:cs="仿宋_GB2312"/>
          <w:color w:val="auto"/>
          <w:sz w:val="24"/>
          <w:szCs w:val="24"/>
          <w:highlight w:val="none"/>
        </w:rPr>
      </w:pPr>
    </w:p>
    <w:p w14:paraId="7BAF6239">
      <w:pPr>
        <w:spacing w:line="540" w:lineRule="exact"/>
        <w:contextualSpacing/>
        <w:rPr>
          <w:rFonts w:hint="eastAsia" w:ascii="仿宋_GB2312" w:hAnsi="仿宋_GB2312" w:eastAsia="仿宋_GB2312" w:cs="仿宋_GB2312"/>
          <w:color w:val="auto"/>
          <w:sz w:val="24"/>
          <w:szCs w:val="24"/>
          <w:highlight w:val="none"/>
        </w:rPr>
      </w:pPr>
    </w:p>
    <w:p w14:paraId="36F1E0A5">
      <w:pPr>
        <w:spacing w:line="540" w:lineRule="exact"/>
        <w:contextualSpacing/>
        <w:rPr>
          <w:rFonts w:hint="eastAsia" w:ascii="仿宋_GB2312" w:hAnsi="仿宋_GB2312" w:eastAsia="仿宋_GB2312" w:cs="仿宋_GB2312"/>
          <w:color w:val="auto"/>
          <w:sz w:val="24"/>
          <w:szCs w:val="24"/>
          <w:highlight w:val="none"/>
        </w:rPr>
      </w:pPr>
    </w:p>
    <w:p w14:paraId="3327DA91">
      <w:pPr>
        <w:spacing w:line="540" w:lineRule="exact"/>
        <w:contextualSpacing/>
        <w:rPr>
          <w:rFonts w:hint="eastAsia" w:ascii="仿宋_GB2312" w:hAnsi="仿宋_GB2312" w:eastAsia="仿宋_GB2312" w:cs="仿宋_GB2312"/>
          <w:color w:val="auto"/>
          <w:sz w:val="24"/>
          <w:szCs w:val="24"/>
          <w:highlight w:val="none"/>
        </w:rPr>
      </w:pPr>
    </w:p>
    <w:p w14:paraId="4A255919">
      <w:pPr>
        <w:spacing w:line="540" w:lineRule="exact"/>
        <w:contextualSpacing/>
        <w:rPr>
          <w:rFonts w:hint="eastAsia" w:ascii="仿宋_GB2312" w:hAnsi="仿宋_GB2312" w:eastAsia="仿宋_GB2312" w:cs="仿宋_GB2312"/>
          <w:color w:val="auto"/>
          <w:sz w:val="24"/>
          <w:szCs w:val="24"/>
          <w:highlight w:val="none"/>
        </w:rPr>
      </w:pPr>
    </w:p>
    <w:p w14:paraId="2A8F260A">
      <w:pPr>
        <w:spacing w:line="540" w:lineRule="exact"/>
        <w:contextualSpacing/>
        <w:rPr>
          <w:rFonts w:hint="eastAsia" w:ascii="仿宋_GB2312" w:hAnsi="仿宋_GB2312" w:eastAsia="仿宋_GB2312" w:cs="仿宋_GB2312"/>
          <w:color w:val="auto"/>
          <w:sz w:val="24"/>
          <w:szCs w:val="24"/>
          <w:highlight w:val="none"/>
        </w:rPr>
      </w:pPr>
    </w:p>
    <w:p w14:paraId="4218701E">
      <w:pPr>
        <w:pStyle w:val="2"/>
        <w:rPr>
          <w:rFonts w:hint="eastAsia" w:ascii="仿宋_GB2312" w:hAnsi="仿宋_GB2312" w:eastAsia="仿宋_GB2312" w:cs="仿宋_GB2312"/>
          <w:color w:val="auto"/>
          <w:highlight w:val="none"/>
        </w:rPr>
      </w:pPr>
    </w:p>
    <w:p w14:paraId="10BA994C">
      <w:pPr>
        <w:spacing w:line="540" w:lineRule="exact"/>
        <w:contextualSpacing/>
        <w:rPr>
          <w:rFonts w:hint="eastAsia" w:ascii="仿宋_GB2312" w:hAnsi="仿宋_GB2312" w:eastAsia="仿宋_GB2312" w:cs="仿宋_GB2312"/>
          <w:color w:val="auto"/>
          <w:sz w:val="24"/>
          <w:szCs w:val="24"/>
          <w:highlight w:val="none"/>
        </w:rPr>
      </w:pPr>
    </w:p>
    <w:p w14:paraId="103FAF15">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附件5：</w:t>
      </w:r>
    </w:p>
    <w:p w14:paraId="4618A533">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中小企业声明函（货物）</w:t>
      </w:r>
    </w:p>
    <w:p w14:paraId="105A5D49">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hint="eastAsia" w:ascii="仿宋_GB2312" w:hAnsi="仿宋_GB2312" w:eastAsia="仿宋_GB2312" w:cs="仿宋_GB2312"/>
          <w:color w:val="auto"/>
          <w:sz w:val="24"/>
          <w:szCs w:val="24"/>
          <w:highlight w:val="none"/>
          <w:u w:val="single"/>
          <w:lang w:eastAsia="zh-CN"/>
        </w:rPr>
        <w:t>浙江国际海运职业技术学院</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bCs/>
          <w:color w:val="000000" w:themeColor="text1"/>
          <w:sz w:val="24"/>
          <w:szCs w:val="24"/>
          <w:highlight w:val="none"/>
          <w:u w:val="single"/>
          <w:lang w:eastAsia="zh-CN"/>
          <w14:textFill>
            <w14:solidFill>
              <w14:schemeClr w14:val="tx1"/>
            </w14:solidFill>
          </w14:textFill>
        </w:rPr>
        <w:t>浙江国际海运职业技术学院办公电脑采购项目</w:t>
      </w:r>
      <w:r>
        <w:rPr>
          <w:rFonts w:hint="eastAsia"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14:paraId="22E8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noWrap w:val="0"/>
            <w:vAlign w:val="center"/>
          </w:tcPr>
          <w:p w14:paraId="011A13AA">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标的名称</w:t>
            </w:r>
          </w:p>
          <w:p w14:paraId="33BF5C0E">
            <w:pPr>
              <w:pStyle w:val="71"/>
              <w:ind w:firstLine="0" w:firstLineChars="0"/>
              <w:jc w:val="left"/>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lang w:eastAsia="zh-CN"/>
              </w:rPr>
              <w:t>（请根据采购文件</w:t>
            </w:r>
            <w:r>
              <w:rPr>
                <w:rFonts w:hint="eastAsia" w:ascii="仿宋_GB2312" w:hAnsi="仿宋_GB2312" w:eastAsia="仿宋_GB2312" w:cs="仿宋_GB2312"/>
                <w:color w:val="auto"/>
                <w:kern w:val="0"/>
                <w:szCs w:val="24"/>
                <w:highlight w:val="none"/>
              </w:rPr>
              <w:t>第三部分采购需求</w:t>
            </w:r>
            <w:r>
              <w:rPr>
                <w:rFonts w:hint="eastAsia" w:ascii="仿宋_GB2312" w:hAnsi="仿宋_GB2312" w:eastAsia="仿宋_GB2312" w:cs="仿宋_GB2312"/>
                <w:color w:val="auto"/>
                <w:kern w:val="0"/>
                <w:szCs w:val="24"/>
                <w:highlight w:val="none"/>
                <w:lang w:eastAsia="zh-CN"/>
              </w:rPr>
              <w:t>中一、采购设备清单</w:t>
            </w:r>
            <w:r>
              <w:rPr>
                <w:rFonts w:hint="eastAsia" w:ascii="仿宋_GB2312" w:hAnsi="仿宋_GB2312" w:eastAsia="仿宋_GB2312" w:cs="仿宋_GB2312"/>
                <w:color w:val="auto"/>
                <w:kern w:val="0"/>
                <w:szCs w:val="24"/>
                <w:highlight w:val="none"/>
              </w:rPr>
              <w:t>标的名称</w:t>
            </w:r>
            <w:r>
              <w:rPr>
                <w:rFonts w:hint="eastAsia" w:ascii="仿宋_GB2312" w:hAnsi="仿宋_GB2312" w:eastAsia="仿宋_GB2312" w:cs="仿宋_GB2312"/>
                <w:color w:val="auto"/>
                <w:kern w:val="0"/>
                <w:szCs w:val="24"/>
                <w:highlight w:val="none"/>
                <w:lang w:eastAsia="zh-CN"/>
              </w:rPr>
              <w:t>填写）</w:t>
            </w:r>
          </w:p>
        </w:tc>
        <w:tc>
          <w:tcPr>
            <w:tcW w:w="1242" w:type="dxa"/>
            <w:noWrap w:val="0"/>
            <w:vAlign w:val="center"/>
          </w:tcPr>
          <w:p w14:paraId="5D9AB049">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采购文件中明确的所属行业</w:t>
            </w:r>
          </w:p>
        </w:tc>
        <w:tc>
          <w:tcPr>
            <w:tcW w:w="1266" w:type="dxa"/>
            <w:noWrap w:val="0"/>
            <w:vAlign w:val="center"/>
          </w:tcPr>
          <w:p w14:paraId="390D9D13">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制造商</w:t>
            </w:r>
          </w:p>
          <w:p w14:paraId="670D32F4">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（企业名称）</w:t>
            </w:r>
          </w:p>
        </w:tc>
        <w:tc>
          <w:tcPr>
            <w:tcW w:w="936" w:type="dxa"/>
            <w:noWrap w:val="0"/>
            <w:vAlign w:val="center"/>
          </w:tcPr>
          <w:p w14:paraId="1F7029BA">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从业人员（人）</w:t>
            </w:r>
          </w:p>
        </w:tc>
        <w:tc>
          <w:tcPr>
            <w:tcW w:w="1239" w:type="dxa"/>
            <w:noWrap w:val="0"/>
            <w:vAlign w:val="center"/>
          </w:tcPr>
          <w:p w14:paraId="645795E7">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营业收入（万元）</w:t>
            </w:r>
          </w:p>
        </w:tc>
        <w:tc>
          <w:tcPr>
            <w:tcW w:w="1134" w:type="dxa"/>
            <w:noWrap w:val="0"/>
            <w:vAlign w:val="center"/>
          </w:tcPr>
          <w:p w14:paraId="2247AC9A">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资产总额（万元）</w:t>
            </w:r>
          </w:p>
        </w:tc>
        <w:tc>
          <w:tcPr>
            <w:tcW w:w="1824" w:type="dxa"/>
            <w:noWrap w:val="0"/>
            <w:vAlign w:val="center"/>
          </w:tcPr>
          <w:p w14:paraId="0E235AE6">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属于</w:t>
            </w:r>
          </w:p>
          <w:p w14:paraId="5DD29920">
            <w:pPr>
              <w:pStyle w:val="71"/>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 w:val="21"/>
                <w:szCs w:val="21"/>
                <w:highlight w:val="none"/>
              </w:rPr>
              <w:t>（中型企业、小型企业、微型企业）</w:t>
            </w:r>
          </w:p>
        </w:tc>
      </w:tr>
      <w:tr w14:paraId="13588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17C1D697">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eastAsia="zh-CN"/>
              </w:rPr>
              <w:t>办公</w:t>
            </w:r>
            <w:r>
              <w:rPr>
                <w:rFonts w:hint="eastAsia" w:ascii="仿宋_GB2312" w:hAnsi="仿宋_GB2312" w:eastAsia="仿宋_GB2312" w:cs="仿宋_GB2312"/>
                <w:color w:val="000000"/>
                <w:sz w:val="24"/>
                <w:szCs w:val="24"/>
                <w:highlight w:val="none"/>
              </w:rPr>
              <w:t>台式电脑</w:t>
            </w:r>
          </w:p>
        </w:tc>
        <w:tc>
          <w:tcPr>
            <w:tcW w:w="1242" w:type="dxa"/>
            <w:noWrap w:val="0"/>
            <w:vAlign w:val="center"/>
          </w:tcPr>
          <w:p w14:paraId="149A316F">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工业</w:t>
            </w:r>
          </w:p>
        </w:tc>
        <w:tc>
          <w:tcPr>
            <w:tcW w:w="1266" w:type="dxa"/>
            <w:noWrap w:val="0"/>
            <w:vAlign w:val="center"/>
          </w:tcPr>
          <w:p w14:paraId="5821C41C">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4A2ED61C">
            <w:pPr>
              <w:pStyle w:val="71"/>
              <w:rPr>
                <w:rFonts w:hint="eastAsia" w:ascii="仿宋_GB2312" w:hAnsi="仿宋_GB2312" w:eastAsia="仿宋_GB2312" w:cs="仿宋_GB2312"/>
                <w:color w:val="auto"/>
                <w:kern w:val="0"/>
                <w:highlight w:val="none"/>
              </w:rPr>
            </w:pPr>
          </w:p>
        </w:tc>
        <w:tc>
          <w:tcPr>
            <w:tcW w:w="1239" w:type="dxa"/>
            <w:noWrap w:val="0"/>
            <w:vAlign w:val="top"/>
          </w:tcPr>
          <w:p w14:paraId="39631023">
            <w:pPr>
              <w:pStyle w:val="71"/>
              <w:rPr>
                <w:rFonts w:hint="eastAsia" w:ascii="仿宋_GB2312" w:hAnsi="仿宋_GB2312" w:eastAsia="仿宋_GB2312" w:cs="仿宋_GB2312"/>
                <w:color w:val="auto"/>
                <w:kern w:val="0"/>
                <w:highlight w:val="none"/>
              </w:rPr>
            </w:pPr>
          </w:p>
        </w:tc>
        <w:tc>
          <w:tcPr>
            <w:tcW w:w="1134" w:type="dxa"/>
            <w:noWrap w:val="0"/>
            <w:vAlign w:val="top"/>
          </w:tcPr>
          <w:p w14:paraId="2F58A975">
            <w:pPr>
              <w:pStyle w:val="71"/>
              <w:rPr>
                <w:rFonts w:hint="eastAsia" w:ascii="仿宋_GB2312" w:hAnsi="仿宋_GB2312" w:eastAsia="仿宋_GB2312" w:cs="仿宋_GB2312"/>
                <w:color w:val="auto"/>
                <w:kern w:val="0"/>
                <w:highlight w:val="none"/>
              </w:rPr>
            </w:pPr>
          </w:p>
        </w:tc>
        <w:tc>
          <w:tcPr>
            <w:tcW w:w="1824" w:type="dxa"/>
            <w:noWrap w:val="0"/>
            <w:vAlign w:val="top"/>
          </w:tcPr>
          <w:p w14:paraId="08ADB9B5">
            <w:pPr>
              <w:pStyle w:val="71"/>
              <w:ind w:firstLine="0" w:firstLineChars="0"/>
              <w:jc w:val="center"/>
              <w:rPr>
                <w:rFonts w:hint="eastAsia" w:ascii="仿宋_GB2312" w:hAnsi="仿宋_GB2312" w:eastAsia="仿宋_GB2312" w:cs="仿宋_GB2312"/>
                <w:color w:val="auto"/>
                <w:kern w:val="0"/>
                <w:szCs w:val="24"/>
                <w:highlight w:val="none"/>
              </w:rPr>
            </w:pPr>
          </w:p>
        </w:tc>
      </w:tr>
      <w:tr w14:paraId="4C90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24414BA0">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highlight w:val="none"/>
              </w:rPr>
              <w:t>流式软件</w:t>
            </w:r>
          </w:p>
        </w:tc>
        <w:tc>
          <w:tcPr>
            <w:tcW w:w="1242" w:type="dxa"/>
            <w:noWrap w:val="0"/>
            <w:vAlign w:val="center"/>
          </w:tcPr>
          <w:p w14:paraId="2F3187FA">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软件和信息技术服务业</w:t>
            </w:r>
          </w:p>
        </w:tc>
        <w:tc>
          <w:tcPr>
            <w:tcW w:w="1266" w:type="dxa"/>
            <w:noWrap w:val="0"/>
            <w:vAlign w:val="center"/>
          </w:tcPr>
          <w:p w14:paraId="0D1C1558">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7DB3B9A0">
            <w:pPr>
              <w:pStyle w:val="71"/>
              <w:rPr>
                <w:rFonts w:hint="eastAsia" w:ascii="仿宋_GB2312" w:hAnsi="仿宋_GB2312" w:eastAsia="仿宋_GB2312" w:cs="仿宋_GB2312"/>
                <w:color w:val="auto"/>
                <w:kern w:val="0"/>
                <w:highlight w:val="none"/>
              </w:rPr>
            </w:pPr>
          </w:p>
        </w:tc>
        <w:tc>
          <w:tcPr>
            <w:tcW w:w="1239" w:type="dxa"/>
            <w:noWrap w:val="0"/>
            <w:vAlign w:val="top"/>
          </w:tcPr>
          <w:p w14:paraId="325B5D1B">
            <w:pPr>
              <w:pStyle w:val="71"/>
              <w:rPr>
                <w:rFonts w:hint="eastAsia" w:ascii="仿宋_GB2312" w:hAnsi="仿宋_GB2312" w:eastAsia="仿宋_GB2312" w:cs="仿宋_GB2312"/>
                <w:color w:val="auto"/>
                <w:kern w:val="0"/>
                <w:highlight w:val="none"/>
              </w:rPr>
            </w:pPr>
          </w:p>
        </w:tc>
        <w:tc>
          <w:tcPr>
            <w:tcW w:w="1134" w:type="dxa"/>
            <w:noWrap w:val="0"/>
            <w:vAlign w:val="top"/>
          </w:tcPr>
          <w:p w14:paraId="55581701">
            <w:pPr>
              <w:pStyle w:val="71"/>
              <w:rPr>
                <w:rFonts w:hint="eastAsia" w:ascii="仿宋_GB2312" w:hAnsi="仿宋_GB2312" w:eastAsia="仿宋_GB2312" w:cs="仿宋_GB2312"/>
                <w:color w:val="auto"/>
                <w:kern w:val="0"/>
                <w:highlight w:val="none"/>
              </w:rPr>
            </w:pPr>
          </w:p>
        </w:tc>
        <w:tc>
          <w:tcPr>
            <w:tcW w:w="1824" w:type="dxa"/>
            <w:noWrap w:val="0"/>
            <w:vAlign w:val="top"/>
          </w:tcPr>
          <w:p w14:paraId="0D6D4875">
            <w:pPr>
              <w:pStyle w:val="71"/>
              <w:ind w:firstLine="0" w:firstLineChars="0"/>
              <w:jc w:val="center"/>
              <w:rPr>
                <w:rFonts w:hint="eastAsia" w:ascii="仿宋_GB2312" w:hAnsi="仿宋_GB2312" w:eastAsia="仿宋_GB2312" w:cs="仿宋_GB2312"/>
                <w:color w:val="auto"/>
                <w:kern w:val="0"/>
                <w:szCs w:val="24"/>
                <w:highlight w:val="none"/>
              </w:rPr>
            </w:pPr>
          </w:p>
        </w:tc>
      </w:tr>
      <w:tr w14:paraId="233F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6EE6B9BD">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000000"/>
                <w:sz w:val="24"/>
                <w:szCs w:val="24"/>
                <w:highlight w:val="none"/>
              </w:rPr>
              <w:t>版式软件</w:t>
            </w:r>
          </w:p>
        </w:tc>
        <w:tc>
          <w:tcPr>
            <w:tcW w:w="1242" w:type="dxa"/>
            <w:noWrap w:val="0"/>
            <w:vAlign w:val="center"/>
          </w:tcPr>
          <w:p w14:paraId="65D02A1E">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软件和信息技术服务业</w:t>
            </w:r>
          </w:p>
        </w:tc>
        <w:tc>
          <w:tcPr>
            <w:tcW w:w="1266" w:type="dxa"/>
            <w:noWrap w:val="0"/>
            <w:vAlign w:val="center"/>
          </w:tcPr>
          <w:p w14:paraId="0E7F2905">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282429FC">
            <w:pPr>
              <w:pStyle w:val="71"/>
              <w:rPr>
                <w:rFonts w:hint="eastAsia" w:ascii="仿宋_GB2312" w:hAnsi="仿宋_GB2312" w:eastAsia="仿宋_GB2312" w:cs="仿宋_GB2312"/>
                <w:color w:val="auto"/>
                <w:kern w:val="0"/>
                <w:highlight w:val="none"/>
              </w:rPr>
            </w:pPr>
          </w:p>
        </w:tc>
        <w:tc>
          <w:tcPr>
            <w:tcW w:w="1239" w:type="dxa"/>
            <w:noWrap w:val="0"/>
            <w:vAlign w:val="top"/>
          </w:tcPr>
          <w:p w14:paraId="0D1A01F4">
            <w:pPr>
              <w:pStyle w:val="71"/>
              <w:rPr>
                <w:rFonts w:hint="eastAsia" w:ascii="仿宋_GB2312" w:hAnsi="仿宋_GB2312" w:eastAsia="仿宋_GB2312" w:cs="仿宋_GB2312"/>
                <w:color w:val="auto"/>
                <w:kern w:val="0"/>
                <w:highlight w:val="none"/>
              </w:rPr>
            </w:pPr>
          </w:p>
        </w:tc>
        <w:tc>
          <w:tcPr>
            <w:tcW w:w="1134" w:type="dxa"/>
            <w:noWrap w:val="0"/>
            <w:vAlign w:val="top"/>
          </w:tcPr>
          <w:p w14:paraId="532F70EB">
            <w:pPr>
              <w:pStyle w:val="71"/>
              <w:rPr>
                <w:rFonts w:hint="eastAsia" w:ascii="仿宋_GB2312" w:hAnsi="仿宋_GB2312" w:eastAsia="仿宋_GB2312" w:cs="仿宋_GB2312"/>
                <w:color w:val="auto"/>
                <w:kern w:val="0"/>
                <w:highlight w:val="none"/>
              </w:rPr>
            </w:pPr>
          </w:p>
        </w:tc>
        <w:tc>
          <w:tcPr>
            <w:tcW w:w="1824" w:type="dxa"/>
            <w:noWrap w:val="0"/>
            <w:vAlign w:val="top"/>
          </w:tcPr>
          <w:p w14:paraId="29D095E6">
            <w:pPr>
              <w:pStyle w:val="71"/>
              <w:ind w:firstLine="0" w:firstLineChars="0"/>
              <w:jc w:val="center"/>
              <w:rPr>
                <w:rFonts w:hint="eastAsia" w:ascii="仿宋_GB2312" w:hAnsi="仿宋_GB2312" w:eastAsia="仿宋_GB2312" w:cs="仿宋_GB2312"/>
                <w:color w:val="auto"/>
                <w:kern w:val="0"/>
                <w:szCs w:val="24"/>
                <w:highlight w:val="none"/>
              </w:rPr>
            </w:pPr>
          </w:p>
        </w:tc>
      </w:tr>
      <w:tr w14:paraId="13A0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46E4838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sz w:val="24"/>
                <w:szCs w:val="24"/>
                <w:highlight w:val="none"/>
                <w:lang w:val="en-US" w:eastAsia="zh-CN"/>
              </w:rPr>
              <w:t>杀毒软件</w:t>
            </w:r>
          </w:p>
        </w:tc>
        <w:tc>
          <w:tcPr>
            <w:tcW w:w="1242" w:type="dxa"/>
            <w:noWrap w:val="0"/>
            <w:vAlign w:val="center"/>
          </w:tcPr>
          <w:p w14:paraId="573D2514">
            <w:pPr>
              <w:jc w:val="center"/>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color w:val="000000"/>
                <w:sz w:val="24"/>
                <w:szCs w:val="24"/>
                <w:highlight w:val="none"/>
              </w:rPr>
              <w:t>软件和信息技术服务业</w:t>
            </w:r>
          </w:p>
        </w:tc>
        <w:tc>
          <w:tcPr>
            <w:tcW w:w="1266" w:type="dxa"/>
            <w:noWrap w:val="0"/>
            <w:vAlign w:val="center"/>
          </w:tcPr>
          <w:p w14:paraId="19916B5F">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5506E65C">
            <w:pPr>
              <w:pStyle w:val="71"/>
              <w:rPr>
                <w:rFonts w:hint="eastAsia" w:ascii="仿宋_GB2312" w:hAnsi="仿宋_GB2312" w:eastAsia="仿宋_GB2312" w:cs="仿宋_GB2312"/>
                <w:color w:val="auto"/>
                <w:kern w:val="0"/>
                <w:highlight w:val="none"/>
              </w:rPr>
            </w:pPr>
          </w:p>
        </w:tc>
        <w:tc>
          <w:tcPr>
            <w:tcW w:w="1239" w:type="dxa"/>
            <w:noWrap w:val="0"/>
            <w:vAlign w:val="top"/>
          </w:tcPr>
          <w:p w14:paraId="429133F1">
            <w:pPr>
              <w:pStyle w:val="71"/>
              <w:rPr>
                <w:rFonts w:hint="eastAsia" w:ascii="仿宋_GB2312" w:hAnsi="仿宋_GB2312" w:eastAsia="仿宋_GB2312" w:cs="仿宋_GB2312"/>
                <w:color w:val="auto"/>
                <w:kern w:val="0"/>
                <w:highlight w:val="none"/>
              </w:rPr>
            </w:pPr>
          </w:p>
        </w:tc>
        <w:tc>
          <w:tcPr>
            <w:tcW w:w="1134" w:type="dxa"/>
            <w:noWrap w:val="0"/>
            <w:vAlign w:val="top"/>
          </w:tcPr>
          <w:p w14:paraId="7F83E745">
            <w:pPr>
              <w:pStyle w:val="71"/>
              <w:rPr>
                <w:rFonts w:hint="eastAsia" w:ascii="仿宋_GB2312" w:hAnsi="仿宋_GB2312" w:eastAsia="仿宋_GB2312" w:cs="仿宋_GB2312"/>
                <w:color w:val="auto"/>
                <w:kern w:val="0"/>
                <w:highlight w:val="none"/>
              </w:rPr>
            </w:pPr>
          </w:p>
        </w:tc>
        <w:tc>
          <w:tcPr>
            <w:tcW w:w="1824" w:type="dxa"/>
            <w:noWrap w:val="0"/>
            <w:vAlign w:val="top"/>
          </w:tcPr>
          <w:p w14:paraId="13E66DD3">
            <w:pPr>
              <w:pStyle w:val="71"/>
              <w:ind w:firstLine="0" w:firstLineChars="0"/>
              <w:jc w:val="center"/>
              <w:rPr>
                <w:rFonts w:hint="eastAsia" w:ascii="仿宋_GB2312" w:hAnsi="仿宋_GB2312" w:eastAsia="仿宋_GB2312" w:cs="仿宋_GB2312"/>
                <w:color w:val="auto"/>
                <w:kern w:val="0"/>
                <w:szCs w:val="24"/>
                <w:highlight w:val="none"/>
              </w:rPr>
            </w:pPr>
          </w:p>
        </w:tc>
      </w:tr>
    </w:tbl>
    <w:p w14:paraId="2DFEC31A">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2642A849">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本企业对上述声明内容的真实性负责。如有虚假，将依法承担相应责任。</w:t>
      </w:r>
    </w:p>
    <w:p w14:paraId="1B45348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51DB690">
      <w:pPr>
        <w:spacing w:line="50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70B1BCE5">
      <w:pPr>
        <w:spacing w:line="46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09A4AB46">
      <w:pPr>
        <w:spacing w:line="360" w:lineRule="auto"/>
        <w:ind w:right="42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3D89702F">
      <w:pPr>
        <w:pStyle w:val="2"/>
        <w:rPr>
          <w:rFonts w:hint="eastAsia" w:ascii="仿宋_GB2312" w:hAnsi="仿宋_GB2312" w:eastAsia="仿宋_GB2312" w:cs="仿宋_GB2312"/>
          <w:color w:val="auto"/>
          <w:highlight w:val="none"/>
        </w:rPr>
      </w:pPr>
    </w:p>
    <w:p w14:paraId="1813098C">
      <w:pPr>
        <w:pStyle w:val="2"/>
        <w:rPr>
          <w:rFonts w:hint="eastAsia" w:ascii="仿宋_GB2312" w:hAnsi="仿宋_GB2312" w:eastAsia="仿宋_GB2312" w:cs="仿宋_GB2312"/>
          <w:color w:val="auto"/>
          <w:highlight w:val="none"/>
        </w:rPr>
      </w:pPr>
    </w:p>
    <w:p w14:paraId="4E8F4ED0">
      <w:pPr>
        <w:pStyle w:val="2"/>
        <w:rPr>
          <w:rFonts w:hint="eastAsia" w:ascii="仿宋_GB2312" w:hAnsi="仿宋_GB2312" w:eastAsia="仿宋_GB2312" w:cs="仿宋_GB2312"/>
          <w:color w:val="auto"/>
          <w:highlight w:val="none"/>
        </w:rPr>
      </w:pPr>
    </w:p>
    <w:p w14:paraId="32997F3E">
      <w:pPr>
        <w:pStyle w:val="2"/>
        <w:rPr>
          <w:rFonts w:hint="eastAsia" w:ascii="仿宋_GB2312" w:hAnsi="仿宋_GB2312" w:eastAsia="仿宋_GB2312" w:cs="仿宋_GB2312"/>
          <w:color w:val="auto"/>
          <w:highlight w:val="none"/>
        </w:rPr>
      </w:pPr>
    </w:p>
    <w:p w14:paraId="47B548D3">
      <w:pPr>
        <w:pStyle w:val="2"/>
        <w:rPr>
          <w:rFonts w:hint="eastAsia" w:ascii="仿宋_GB2312" w:hAnsi="仿宋_GB2312" w:eastAsia="仿宋_GB2312" w:cs="仿宋_GB2312"/>
          <w:color w:val="auto"/>
          <w:highlight w:val="none"/>
        </w:rPr>
      </w:pPr>
    </w:p>
    <w:p w14:paraId="2FDEE1DC">
      <w:pPr>
        <w:pStyle w:val="2"/>
        <w:rPr>
          <w:rFonts w:hint="eastAsia" w:ascii="仿宋_GB2312" w:hAnsi="仿宋_GB2312" w:eastAsia="仿宋_GB2312" w:cs="仿宋_GB2312"/>
          <w:color w:val="auto"/>
          <w:highlight w:val="none"/>
        </w:rPr>
      </w:pPr>
    </w:p>
    <w:p w14:paraId="2586A59D">
      <w:pPr>
        <w:pStyle w:val="2"/>
        <w:rPr>
          <w:rFonts w:hint="eastAsia" w:ascii="仿宋_GB2312" w:hAnsi="仿宋_GB2312" w:eastAsia="仿宋_GB2312" w:cs="仿宋_GB2312"/>
          <w:color w:val="auto"/>
          <w:highlight w:val="none"/>
        </w:rPr>
      </w:pPr>
    </w:p>
    <w:p w14:paraId="692895ED">
      <w:pPr>
        <w:pStyle w:val="2"/>
        <w:rPr>
          <w:rFonts w:hint="eastAsia" w:ascii="仿宋_GB2312" w:hAnsi="仿宋_GB2312" w:eastAsia="仿宋_GB2312" w:cs="仿宋_GB2312"/>
          <w:color w:val="auto"/>
          <w:highlight w:val="none"/>
        </w:rPr>
      </w:pPr>
    </w:p>
    <w:p w14:paraId="55A3E458">
      <w:pPr>
        <w:pStyle w:val="2"/>
        <w:rPr>
          <w:rFonts w:hint="eastAsia" w:ascii="仿宋_GB2312" w:hAnsi="仿宋_GB2312" w:eastAsia="仿宋_GB2312" w:cs="仿宋_GB2312"/>
          <w:color w:val="auto"/>
          <w:highlight w:val="none"/>
        </w:rPr>
      </w:pPr>
    </w:p>
    <w:p w14:paraId="33A1EDD5">
      <w:pPr>
        <w:pStyle w:val="2"/>
        <w:rPr>
          <w:rFonts w:hint="eastAsia" w:ascii="仿宋_GB2312" w:hAnsi="仿宋_GB2312" w:eastAsia="仿宋_GB2312" w:cs="仿宋_GB2312"/>
          <w:color w:val="auto"/>
          <w:highlight w:val="none"/>
        </w:rPr>
      </w:pPr>
    </w:p>
    <w:p w14:paraId="665C8818">
      <w:pPr>
        <w:pStyle w:val="2"/>
        <w:rPr>
          <w:rFonts w:hint="eastAsia" w:ascii="仿宋_GB2312" w:hAnsi="仿宋_GB2312" w:eastAsia="仿宋_GB2312" w:cs="仿宋_GB2312"/>
          <w:color w:val="auto"/>
          <w:highlight w:val="none"/>
        </w:rPr>
      </w:pPr>
    </w:p>
    <w:p w14:paraId="53536E93">
      <w:pPr>
        <w:pStyle w:val="2"/>
        <w:rPr>
          <w:rFonts w:hint="eastAsia" w:ascii="仿宋_GB2312" w:hAnsi="仿宋_GB2312" w:eastAsia="仿宋_GB2312" w:cs="仿宋_GB2312"/>
          <w:color w:val="auto"/>
          <w:highlight w:val="none"/>
        </w:rPr>
      </w:pPr>
    </w:p>
    <w:p w14:paraId="1F3857D9">
      <w:pPr>
        <w:pStyle w:val="2"/>
        <w:rPr>
          <w:rFonts w:hint="eastAsia" w:ascii="仿宋_GB2312" w:hAnsi="仿宋_GB2312" w:eastAsia="仿宋_GB2312" w:cs="仿宋_GB2312"/>
          <w:color w:val="auto"/>
          <w:highlight w:val="none"/>
        </w:rPr>
      </w:pPr>
    </w:p>
    <w:p w14:paraId="014ABBD1">
      <w:pPr>
        <w:pStyle w:val="2"/>
        <w:rPr>
          <w:rFonts w:hint="eastAsia" w:ascii="仿宋_GB2312" w:hAnsi="仿宋_GB2312" w:eastAsia="仿宋_GB2312" w:cs="仿宋_GB2312"/>
          <w:color w:val="auto"/>
          <w:highlight w:val="none"/>
        </w:rPr>
      </w:pPr>
    </w:p>
    <w:p w14:paraId="5431B8D4">
      <w:pPr>
        <w:pStyle w:val="2"/>
        <w:rPr>
          <w:rFonts w:hint="eastAsia" w:ascii="仿宋_GB2312" w:hAnsi="仿宋_GB2312" w:eastAsia="仿宋_GB2312" w:cs="仿宋_GB2312"/>
          <w:color w:val="auto"/>
          <w:highlight w:val="none"/>
        </w:rPr>
      </w:pPr>
    </w:p>
    <w:p w14:paraId="6BA6919C">
      <w:pPr>
        <w:pStyle w:val="2"/>
        <w:rPr>
          <w:rFonts w:hint="eastAsia" w:ascii="仿宋_GB2312" w:hAnsi="仿宋_GB2312" w:eastAsia="仿宋_GB2312" w:cs="仿宋_GB2312"/>
          <w:color w:val="auto"/>
          <w:highlight w:val="none"/>
        </w:rPr>
      </w:pPr>
    </w:p>
    <w:p w14:paraId="092AF7FC">
      <w:pPr>
        <w:pStyle w:val="2"/>
        <w:rPr>
          <w:rFonts w:hint="eastAsia" w:ascii="仿宋_GB2312" w:hAnsi="仿宋_GB2312" w:eastAsia="仿宋_GB2312" w:cs="仿宋_GB2312"/>
          <w:color w:val="auto"/>
          <w:highlight w:val="none"/>
        </w:rPr>
      </w:pPr>
    </w:p>
    <w:p w14:paraId="521E677C">
      <w:pPr>
        <w:pStyle w:val="2"/>
        <w:rPr>
          <w:rFonts w:hint="eastAsia" w:ascii="仿宋_GB2312" w:hAnsi="仿宋_GB2312" w:eastAsia="仿宋_GB2312" w:cs="仿宋_GB2312"/>
          <w:color w:val="auto"/>
          <w:highlight w:val="none"/>
        </w:rPr>
      </w:pPr>
    </w:p>
    <w:p w14:paraId="09245E21">
      <w:pPr>
        <w:pStyle w:val="2"/>
        <w:rPr>
          <w:rFonts w:hint="eastAsia" w:ascii="仿宋_GB2312" w:hAnsi="仿宋_GB2312" w:eastAsia="仿宋_GB2312" w:cs="仿宋_GB2312"/>
          <w:color w:val="auto"/>
          <w:highlight w:val="none"/>
        </w:rPr>
      </w:pPr>
    </w:p>
    <w:p w14:paraId="7B90FFEF">
      <w:pPr>
        <w:autoSpaceDE w:val="0"/>
        <w:autoSpaceDN w:val="0"/>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附件6：</w:t>
      </w:r>
    </w:p>
    <w:p w14:paraId="10D3ED8F">
      <w:pPr>
        <w:autoSpaceDE w:val="0"/>
        <w:autoSpaceDN w:val="0"/>
        <w:jc w:val="center"/>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联合协议</w:t>
      </w:r>
    </w:p>
    <w:p w14:paraId="64717494">
      <w:pPr>
        <w:widowControl/>
        <w:spacing w:line="360" w:lineRule="auto"/>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（以联合体形式投标的，提供联合协议；本项目不接受联合体投标或者投标人不以联合体形式投标的，则不需要提供）</w:t>
      </w:r>
    </w:p>
    <w:p w14:paraId="180A733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（联合体所有成员名称）</w:t>
      </w:r>
      <w:r>
        <w:rPr>
          <w:rFonts w:hint="eastAsia" w:ascii="仿宋_GB2312" w:hAnsi="仿宋_GB2312" w:eastAsia="仿宋_GB2312" w:cs="仿宋_GB2312"/>
          <w:color w:val="auto"/>
          <w:kern w:val="0"/>
          <w:sz w:val="24"/>
          <w:szCs w:val="24"/>
          <w:highlight w:val="none"/>
        </w:rPr>
        <w:t>自愿</w:t>
      </w:r>
      <w:r>
        <w:rPr>
          <w:rFonts w:hint="eastAsia" w:ascii="仿宋_GB2312" w:hAnsi="仿宋_GB2312" w:eastAsia="仿宋_GB2312" w:cs="仿宋_GB2312"/>
          <w:color w:val="auto"/>
          <w:kern w:val="0"/>
          <w:sz w:val="24"/>
          <w:szCs w:val="24"/>
          <w:highlight w:val="none"/>
          <w:lang w:val="zh-CN"/>
        </w:rPr>
        <w:t>组成一个联合体，以一个投标人的身份</w:t>
      </w:r>
      <w:r>
        <w:rPr>
          <w:rFonts w:hint="eastAsia" w:ascii="仿宋_GB2312" w:hAnsi="仿宋_GB2312" w:eastAsia="仿宋_GB2312" w:cs="仿宋_GB2312"/>
          <w:color w:val="auto"/>
          <w:kern w:val="0"/>
          <w:sz w:val="24"/>
          <w:szCs w:val="24"/>
          <w:highlight w:val="none"/>
        </w:rPr>
        <w:t>参加</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投标。</w:t>
      </w:r>
    </w:p>
    <w:p w14:paraId="18E6E74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一、各方一致决定，</w:t>
      </w:r>
      <w:r>
        <w:rPr>
          <w:rFonts w:hint="eastAsia" w:ascii="仿宋_GB2312" w:hAnsi="仿宋_GB2312" w:eastAsia="仿宋_GB2312" w:cs="仿宋_GB2312"/>
          <w:color w:val="auto"/>
          <w:kern w:val="0"/>
          <w:sz w:val="24"/>
          <w:szCs w:val="24"/>
          <w:highlight w:val="none"/>
          <w:u w:val="single"/>
        </w:rPr>
        <w:t>（某联合体成员名称）</w:t>
      </w:r>
      <w:r>
        <w:rPr>
          <w:rFonts w:hint="eastAsia" w:ascii="仿宋_GB2312" w:hAnsi="仿宋_GB2312" w:eastAsia="仿宋_GB2312" w:cs="仿宋_GB2312"/>
          <w:color w:val="auto"/>
          <w:kern w:val="0"/>
          <w:sz w:val="24"/>
          <w:szCs w:val="24"/>
          <w:highlight w:val="none"/>
        </w:rPr>
        <w:t>为联合体</w:t>
      </w:r>
      <w:r>
        <w:rPr>
          <w:rFonts w:hint="eastAsia" w:ascii="仿宋_GB2312" w:hAnsi="仿宋_GB2312" w:eastAsia="仿宋_GB2312" w:cs="仿宋_GB2312"/>
          <w:color w:val="auto"/>
          <w:kern w:val="0"/>
          <w:sz w:val="24"/>
          <w:szCs w:val="24"/>
          <w:highlight w:val="none"/>
          <w:lang w:val="zh-CN"/>
        </w:rPr>
        <w:t>牵头人</w:t>
      </w:r>
      <w:r>
        <w:rPr>
          <w:rFonts w:hint="eastAsia" w:ascii="仿宋_GB2312" w:hAnsi="仿宋_GB2312" w:eastAsia="仿宋_GB2312" w:cs="仿宋_GB2312"/>
          <w:color w:val="auto"/>
          <w:sz w:val="24"/>
          <w:szCs w:val="24"/>
          <w:highlight w:val="none"/>
        </w:rPr>
        <w:t>，代表所有联合体成员负责投标和合同实施阶段的主办、协调工作</w:t>
      </w:r>
      <w:r>
        <w:rPr>
          <w:rFonts w:hint="eastAsia" w:ascii="仿宋_GB2312" w:hAnsi="仿宋_GB2312" w:eastAsia="仿宋_GB2312" w:cs="仿宋_GB2312"/>
          <w:color w:val="auto"/>
          <w:kern w:val="0"/>
          <w:sz w:val="24"/>
          <w:szCs w:val="24"/>
          <w:highlight w:val="none"/>
          <w:lang w:val="zh-CN"/>
        </w:rPr>
        <w:t>。</w:t>
      </w:r>
    </w:p>
    <w:p w14:paraId="7C6A1F2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w:t>
      </w:r>
      <w:r>
        <w:rPr>
          <w:rFonts w:hint="eastAsia" w:ascii="仿宋_GB2312" w:hAnsi="仿宋_GB2312" w:eastAsia="仿宋_GB2312" w:cs="仿宋_GB2312"/>
          <w:color w:val="auto"/>
          <w:kern w:val="0"/>
          <w:sz w:val="24"/>
          <w:szCs w:val="24"/>
          <w:highlight w:val="none"/>
        </w:rPr>
        <w:t>联合体</w:t>
      </w:r>
      <w:r>
        <w:rPr>
          <w:rFonts w:hint="eastAsia" w:ascii="仿宋_GB2312" w:hAnsi="仿宋_GB2312" w:eastAsia="仿宋_GB2312" w:cs="仿宋_GB2312"/>
          <w:color w:val="auto"/>
          <w:kern w:val="0"/>
          <w:sz w:val="24"/>
          <w:szCs w:val="24"/>
          <w:highlight w:val="none"/>
          <w:lang w:val="zh-CN"/>
        </w:rPr>
        <w:t>牵头人根据招标文件规定及投标内容而对采购人、采购代理机构所作的任何合法承诺，包括书面澄清及响应等均对联合投标各方产生约束力。</w:t>
      </w:r>
    </w:p>
    <w:p w14:paraId="4738E2D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三、本次联合投标中，分工如下：</w:t>
      </w:r>
    </w:p>
    <w:p w14:paraId="032E128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（联合体成员1）</w:t>
      </w:r>
      <w:r>
        <w:rPr>
          <w:rFonts w:hint="eastAsia" w:ascii="仿宋_GB2312" w:hAnsi="仿宋_GB2312" w:eastAsia="仿宋_GB2312" w:cs="仿宋_GB2312"/>
          <w:color w:val="auto"/>
          <w:kern w:val="0"/>
          <w:sz w:val="24"/>
          <w:szCs w:val="24"/>
          <w:highlight w:val="none"/>
          <w:lang w:val="zh-CN"/>
        </w:rPr>
        <w:t>承担的工作和义务为：；</w:t>
      </w:r>
    </w:p>
    <w:p w14:paraId="58ECB0D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（联合体成员2）</w:t>
      </w:r>
      <w:r>
        <w:rPr>
          <w:rFonts w:hint="eastAsia" w:ascii="仿宋_GB2312" w:hAnsi="仿宋_GB2312" w:eastAsia="仿宋_GB2312" w:cs="仿宋_GB2312"/>
          <w:color w:val="auto"/>
          <w:kern w:val="0"/>
          <w:sz w:val="24"/>
          <w:szCs w:val="24"/>
          <w:highlight w:val="none"/>
          <w:lang w:val="zh-CN"/>
        </w:rPr>
        <w:t>承担的工作和义务为：；</w:t>
      </w:r>
    </w:p>
    <w:p w14:paraId="7EB42AE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655B94E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四、联合体成员中小企业合同份额。</w:t>
      </w:r>
    </w:p>
    <w:p w14:paraId="5A920D21">
      <w:pPr>
        <w:snapToGrid w:val="0"/>
        <w:spacing w:line="360" w:lineRule="auto"/>
        <w:ind w:firstLine="576"/>
        <w:rPr>
          <w:rFonts w:hint="eastAsia" w:ascii="仿宋_GB2312" w:hAnsi="仿宋_GB2312" w:eastAsia="仿宋_GB2312" w:cs="仿宋_GB2312"/>
          <w:b/>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w:t>
      </w:r>
      <w:r>
        <w:rPr>
          <w:rFonts w:hint="eastAsia" w:ascii="仿宋_GB2312" w:hAnsi="仿宋_GB2312" w:eastAsia="仿宋_GB2312" w:cs="仿宋_GB2312"/>
          <w:color w:val="auto"/>
          <w:kern w:val="0"/>
          <w:sz w:val="24"/>
          <w:szCs w:val="24"/>
          <w:highlight w:val="none"/>
          <w:u w:val="single"/>
        </w:rPr>
        <w:t>（</w:t>
      </w:r>
      <w:bookmarkStart w:id="506" w:name="_Hlk101131882"/>
      <w:r>
        <w:rPr>
          <w:rFonts w:hint="eastAsia" w:ascii="仿宋_GB2312" w:hAnsi="仿宋_GB2312" w:eastAsia="仿宋_GB2312" w:cs="仿宋_GB2312"/>
          <w:color w:val="auto"/>
          <w:kern w:val="0"/>
          <w:sz w:val="24"/>
          <w:szCs w:val="24"/>
          <w:highlight w:val="none"/>
          <w:u w:val="single"/>
        </w:rPr>
        <w:t>联合体成员X,……</w:t>
      </w:r>
      <w:bookmarkEnd w:id="506"/>
      <w:r>
        <w:rPr>
          <w:rFonts w:hint="eastAsia" w:ascii="仿宋_GB2312" w:hAnsi="仿宋_GB2312" w:eastAsia="仿宋_GB2312" w:cs="仿宋_GB2312"/>
          <w:color w:val="auto"/>
          <w:kern w:val="0"/>
          <w:sz w:val="24"/>
          <w:szCs w:val="24"/>
          <w:highlight w:val="none"/>
          <w:u w:val="single"/>
        </w:rPr>
        <w:t>）</w:t>
      </w:r>
      <w:r>
        <w:rPr>
          <w:rFonts w:hint="eastAsia" w:ascii="仿宋_GB2312" w:hAnsi="仿宋_GB2312" w:eastAsia="仿宋_GB2312" w:cs="仿宋_GB2312"/>
          <w:color w:val="auto"/>
          <w:kern w:val="0"/>
          <w:sz w:val="24"/>
          <w:szCs w:val="24"/>
          <w:highlight w:val="none"/>
        </w:rPr>
        <w:t>提供的</w:t>
      </w:r>
      <w:r>
        <w:rPr>
          <w:rFonts w:hint="eastAsia" w:ascii="仿宋_GB2312" w:eastAsia="仿宋_GB2312"/>
          <w:color w:val="auto"/>
          <w:sz w:val="24"/>
          <w:szCs w:val="24"/>
        </w:rPr>
        <w:t>货物全部由符合政策要求的中小企业制造</w:t>
      </w:r>
      <w:r>
        <w:rPr>
          <w:rFonts w:hint="eastAsia" w:ascii="仿宋_GB2312" w:hAnsi="仿宋_GB2312" w:eastAsia="仿宋_GB2312" w:cs="仿宋_GB2312"/>
          <w:color w:val="auto"/>
          <w:kern w:val="0"/>
          <w:sz w:val="24"/>
          <w:szCs w:val="24"/>
          <w:highlight w:val="none"/>
        </w:rPr>
        <w:t>，其合同份额占到合同总金额%以上</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color w:val="auto"/>
          <w:kern w:val="0"/>
          <w:sz w:val="24"/>
          <w:szCs w:val="24"/>
          <w:highlight w:val="none"/>
          <w:lang w:val="zh-CN"/>
        </w:rPr>
        <w:t>（</w:t>
      </w:r>
      <w:bookmarkStart w:id="507" w:name="_Hlk101133598"/>
      <w:r>
        <w:rPr>
          <w:rFonts w:hint="eastAsia" w:ascii="仿宋_GB2312" w:hAnsi="仿宋_GB2312" w:eastAsia="仿宋_GB2312" w:cs="仿宋_GB2312"/>
          <w:b/>
          <w:color w:val="auto"/>
          <w:kern w:val="0"/>
          <w:sz w:val="24"/>
          <w:szCs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auto"/>
          <w:sz w:val="24"/>
          <w:szCs w:val="24"/>
          <w:highlight w:val="none"/>
        </w:rPr>
        <w:t>拟享受以上价格扣除政策的，填写有关内容。</w:t>
      </w:r>
      <w:bookmarkEnd w:id="507"/>
      <w:r>
        <w:rPr>
          <w:rFonts w:hint="eastAsia" w:ascii="仿宋_GB2312" w:hAnsi="仿宋_GB2312" w:eastAsia="仿宋_GB2312" w:cs="仿宋_GB2312"/>
          <w:b/>
          <w:color w:val="auto"/>
          <w:kern w:val="0"/>
          <w:sz w:val="24"/>
          <w:szCs w:val="24"/>
          <w:highlight w:val="none"/>
          <w:lang w:val="zh-CN"/>
        </w:rPr>
        <w:t>）</w:t>
      </w:r>
    </w:p>
    <w:p w14:paraId="4B32D4A5">
      <w:pPr>
        <w:spacing w:line="360" w:lineRule="auto"/>
        <w:ind w:firstLine="480" w:firstLineChars="200"/>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sz w:val="24"/>
          <w:szCs w:val="24"/>
          <w:highlight w:val="none"/>
        </w:rPr>
        <w:t>2、</w:t>
      </w:r>
      <w:bookmarkStart w:id="508" w:name="_Hlk101133173"/>
      <w:r>
        <w:rPr>
          <w:rFonts w:hint="eastAsia" w:ascii="仿宋_GB2312" w:hAnsi="仿宋_GB2312" w:eastAsia="仿宋_GB2312" w:cs="仿宋_GB2312"/>
          <w:color w:val="auto"/>
          <w:sz w:val="24"/>
          <w:szCs w:val="24"/>
          <w:highlight w:val="none"/>
        </w:rPr>
        <w:t>中小企业合同金额达到%，小微企业合同金额达到%</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bCs/>
          <w:color w:val="auto"/>
          <w:kern w:val="0"/>
          <w:sz w:val="24"/>
          <w:szCs w:val="24"/>
          <w:highlight w:val="none"/>
          <w:lang w:val="zh-CN"/>
        </w:rPr>
        <w:t>（</w:t>
      </w:r>
      <w:r>
        <w:rPr>
          <w:rFonts w:hint="eastAsia" w:ascii="仿宋_GB2312" w:hAnsi="仿宋_GB2312" w:eastAsia="仿宋_GB2312" w:cs="仿宋_GB2312"/>
          <w:b/>
          <w:bCs/>
          <w:color w:val="auto"/>
          <w:sz w:val="24"/>
          <w:szCs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auto"/>
          <w:kern w:val="0"/>
          <w:sz w:val="24"/>
          <w:szCs w:val="24"/>
          <w:highlight w:val="none"/>
          <w:lang w:val="zh-CN"/>
        </w:rPr>
        <w:t>）</w:t>
      </w:r>
      <w:bookmarkEnd w:id="508"/>
    </w:p>
    <w:p w14:paraId="53499B5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五、如果中标，</w:t>
      </w:r>
      <w:r>
        <w:rPr>
          <w:rFonts w:hint="eastAsia" w:ascii="仿宋_GB2312" w:hAnsi="仿宋_GB2312" w:eastAsia="仿宋_GB2312" w:cs="仿宋_GB2312"/>
          <w:color w:val="auto"/>
          <w:sz w:val="24"/>
          <w:szCs w:val="24"/>
          <w:highlight w:val="none"/>
        </w:rPr>
        <w:t>联合体各成员方共同与采购人签订合同，并就采购合同约定的事项对采购人承担连带责任。</w:t>
      </w:r>
    </w:p>
    <w:p w14:paraId="03F9534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六、有关本次联合投标的其他事宜：</w:t>
      </w:r>
    </w:p>
    <w:p w14:paraId="2EE1B09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1、联合体各方不再单独参加或者与其他供应商另外组成联合体参加同一合同项下的政府采购活动。</w:t>
      </w:r>
    </w:p>
    <w:p w14:paraId="76A33A2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2、联合体中有同类资质的各方按照联合体分工承担相同工作的，按照资质等级较低的供应商确定资质等级。</w:t>
      </w:r>
    </w:p>
    <w:p w14:paraId="30C39C1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3、本协议提交采购人、采购代理机构后，联合体各方不得以任何形式对上述内容进行修改或撤销。</w:t>
      </w:r>
    </w:p>
    <w:p w14:paraId="252E2A3A">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7F4D7923">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58095D64">
      <w:pPr>
        <w:snapToGrid w:val="0"/>
        <w:spacing w:line="360" w:lineRule="auto"/>
        <w:ind w:right="960"/>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78FD472F">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76F1C0B1">
      <w:pPr>
        <w:spacing w:line="540" w:lineRule="exact"/>
        <w:contextualSpacing/>
        <w:jc w:val="center"/>
        <w:rPr>
          <w:rFonts w:hint="eastAsia" w:ascii="仿宋_GB2312" w:hAnsi="仿宋_GB2312" w:eastAsia="仿宋_GB2312" w:cs="仿宋_GB2312"/>
          <w:b/>
          <w:color w:val="auto"/>
          <w:sz w:val="24"/>
          <w:szCs w:val="24"/>
          <w:highlight w:val="none"/>
        </w:rPr>
      </w:pPr>
    </w:p>
    <w:p w14:paraId="24F9CAE6">
      <w:pPr>
        <w:pStyle w:val="2"/>
        <w:rPr>
          <w:rFonts w:hint="eastAsia" w:ascii="仿宋_GB2312" w:hAnsi="仿宋_GB2312" w:eastAsia="仿宋_GB2312" w:cs="仿宋_GB2312"/>
          <w:color w:val="auto"/>
          <w:highlight w:val="none"/>
        </w:rPr>
      </w:pPr>
    </w:p>
    <w:p w14:paraId="00E2A700">
      <w:pPr>
        <w:pStyle w:val="2"/>
        <w:rPr>
          <w:rFonts w:hint="eastAsia" w:ascii="仿宋_GB2312" w:hAnsi="仿宋_GB2312" w:eastAsia="仿宋_GB2312" w:cs="仿宋_GB2312"/>
          <w:color w:val="auto"/>
          <w:highlight w:val="none"/>
        </w:rPr>
      </w:pPr>
    </w:p>
    <w:p w14:paraId="02B644A4">
      <w:pPr>
        <w:pStyle w:val="2"/>
        <w:rPr>
          <w:rFonts w:hint="eastAsia" w:ascii="仿宋_GB2312" w:hAnsi="仿宋_GB2312" w:eastAsia="仿宋_GB2312" w:cs="仿宋_GB2312"/>
          <w:color w:val="auto"/>
          <w:highlight w:val="none"/>
        </w:rPr>
      </w:pPr>
    </w:p>
    <w:p w14:paraId="0E54BB09">
      <w:pPr>
        <w:pStyle w:val="2"/>
        <w:rPr>
          <w:rFonts w:hint="eastAsia" w:ascii="仿宋_GB2312" w:hAnsi="仿宋_GB2312" w:eastAsia="仿宋_GB2312" w:cs="仿宋_GB2312"/>
          <w:color w:val="auto"/>
          <w:highlight w:val="none"/>
        </w:rPr>
      </w:pPr>
    </w:p>
    <w:p w14:paraId="7DA542AA">
      <w:pPr>
        <w:pStyle w:val="2"/>
        <w:rPr>
          <w:rFonts w:hint="eastAsia" w:ascii="仿宋_GB2312" w:hAnsi="仿宋_GB2312" w:eastAsia="仿宋_GB2312" w:cs="仿宋_GB2312"/>
          <w:color w:val="auto"/>
          <w:highlight w:val="none"/>
        </w:rPr>
      </w:pPr>
    </w:p>
    <w:p w14:paraId="49D5B2FE">
      <w:pPr>
        <w:pStyle w:val="2"/>
        <w:rPr>
          <w:rFonts w:hint="eastAsia" w:ascii="仿宋_GB2312" w:hAnsi="仿宋_GB2312" w:eastAsia="仿宋_GB2312" w:cs="仿宋_GB2312"/>
          <w:color w:val="auto"/>
          <w:highlight w:val="none"/>
        </w:rPr>
      </w:pPr>
    </w:p>
    <w:p w14:paraId="688FBBDE">
      <w:pPr>
        <w:pStyle w:val="2"/>
        <w:rPr>
          <w:rFonts w:hint="eastAsia" w:ascii="仿宋_GB2312" w:hAnsi="仿宋_GB2312" w:eastAsia="仿宋_GB2312" w:cs="仿宋_GB2312"/>
          <w:color w:val="auto"/>
          <w:highlight w:val="none"/>
        </w:rPr>
      </w:pPr>
    </w:p>
    <w:p w14:paraId="0A077E45">
      <w:pPr>
        <w:pStyle w:val="2"/>
        <w:rPr>
          <w:rFonts w:hint="eastAsia" w:ascii="仿宋_GB2312" w:hAnsi="仿宋_GB2312" w:eastAsia="仿宋_GB2312" w:cs="仿宋_GB2312"/>
          <w:color w:val="auto"/>
          <w:highlight w:val="none"/>
        </w:rPr>
      </w:pPr>
    </w:p>
    <w:p w14:paraId="5FEE7840">
      <w:pPr>
        <w:pStyle w:val="2"/>
        <w:rPr>
          <w:rFonts w:hint="eastAsia" w:ascii="仿宋_GB2312" w:hAnsi="仿宋_GB2312" w:eastAsia="仿宋_GB2312" w:cs="仿宋_GB2312"/>
          <w:color w:val="auto"/>
          <w:highlight w:val="none"/>
        </w:rPr>
      </w:pPr>
    </w:p>
    <w:p w14:paraId="52352E52">
      <w:pPr>
        <w:pStyle w:val="2"/>
        <w:rPr>
          <w:rFonts w:hint="eastAsia" w:ascii="仿宋_GB2312" w:hAnsi="仿宋_GB2312" w:eastAsia="仿宋_GB2312" w:cs="仿宋_GB2312"/>
          <w:color w:val="auto"/>
          <w:highlight w:val="none"/>
        </w:rPr>
      </w:pPr>
    </w:p>
    <w:p w14:paraId="6D87356F">
      <w:pPr>
        <w:pStyle w:val="2"/>
        <w:rPr>
          <w:rFonts w:hint="eastAsia" w:ascii="仿宋_GB2312" w:hAnsi="仿宋_GB2312" w:eastAsia="仿宋_GB2312" w:cs="仿宋_GB2312"/>
          <w:color w:val="auto"/>
          <w:highlight w:val="none"/>
        </w:rPr>
      </w:pPr>
    </w:p>
    <w:p w14:paraId="3754BD75">
      <w:pPr>
        <w:pStyle w:val="2"/>
        <w:rPr>
          <w:rFonts w:hint="eastAsia" w:ascii="仿宋_GB2312" w:hAnsi="仿宋_GB2312" w:eastAsia="仿宋_GB2312" w:cs="仿宋_GB2312"/>
          <w:color w:val="auto"/>
          <w:highlight w:val="none"/>
        </w:rPr>
      </w:pPr>
    </w:p>
    <w:p w14:paraId="4E47F846">
      <w:pPr>
        <w:pStyle w:val="2"/>
        <w:rPr>
          <w:rFonts w:hint="eastAsia" w:ascii="仿宋_GB2312" w:hAnsi="仿宋_GB2312" w:eastAsia="仿宋_GB2312" w:cs="仿宋_GB2312"/>
          <w:color w:val="auto"/>
          <w:highlight w:val="none"/>
        </w:rPr>
      </w:pPr>
    </w:p>
    <w:p w14:paraId="793E3D20">
      <w:pPr>
        <w:rPr>
          <w:rFonts w:hint="eastAsia" w:ascii="仿宋_GB2312" w:hAnsi="仿宋_GB2312" w:eastAsia="仿宋_GB2312" w:cs="仿宋_GB2312"/>
          <w:color w:val="auto"/>
          <w:highlight w:val="none"/>
        </w:rPr>
      </w:pPr>
    </w:p>
    <w:p w14:paraId="64790888">
      <w:pPr>
        <w:pStyle w:val="26"/>
        <w:rPr>
          <w:rFonts w:hint="eastAsia" w:ascii="仿宋_GB2312" w:hAnsi="仿宋_GB2312" w:eastAsia="仿宋_GB2312" w:cs="仿宋_GB2312"/>
          <w:color w:val="auto"/>
          <w:highlight w:val="none"/>
        </w:rPr>
      </w:pPr>
    </w:p>
    <w:p w14:paraId="55615C3A">
      <w:pPr>
        <w:pStyle w:val="12"/>
        <w:rPr>
          <w:rFonts w:hint="eastAsia"/>
        </w:rPr>
      </w:pPr>
    </w:p>
    <w:p w14:paraId="3AD08CA9">
      <w:pPr>
        <w:rPr>
          <w:rFonts w:hint="eastAsia"/>
        </w:rPr>
      </w:pPr>
    </w:p>
    <w:p w14:paraId="19B3E0DB">
      <w:pPr>
        <w:pStyle w:val="2"/>
        <w:rPr>
          <w:rFonts w:hint="eastAsia"/>
        </w:rPr>
      </w:pPr>
    </w:p>
    <w:p w14:paraId="2F44C787">
      <w:pPr>
        <w:rPr>
          <w:rFonts w:hint="eastAsia"/>
        </w:rPr>
      </w:pPr>
    </w:p>
    <w:p w14:paraId="2A95B6E7">
      <w:pPr>
        <w:pStyle w:val="2"/>
        <w:rPr>
          <w:rFonts w:hint="eastAsia" w:ascii="仿宋_GB2312" w:hAnsi="仿宋_GB2312" w:eastAsia="仿宋_GB2312" w:cs="仿宋_GB2312"/>
          <w:color w:val="auto"/>
          <w:highlight w:val="none"/>
        </w:rPr>
      </w:pPr>
    </w:p>
    <w:p w14:paraId="07EF1F9A">
      <w:pPr>
        <w:pStyle w:val="2"/>
        <w:rPr>
          <w:rFonts w:hint="eastAsia" w:ascii="仿宋_GB2312" w:hAnsi="仿宋_GB2312" w:eastAsia="仿宋_GB2312" w:cs="仿宋_GB2312"/>
          <w:color w:val="auto"/>
          <w:highlight w:val="none"/>
        </w:rPr>
      </w:pPr>
    </w:p>
    <w:p w14:paraId="1715212C">
      <w:pPr>
        <w:pStyle w:val="2"/>
        <w:rPr>
          <w:rFonts w:hint="eastAsia" w:ascii="仿宋_GB2312" w:hAnsi="仿宋_GB2312" w:eastAsia="仿宋_GB2312" w:cs="仿宋_GB2312"/>
          <w:color w:val="auto"/>
          <w:highlight w:val="none"/>
        </w:rPr>
      </w:pPr>
    </w:p>
    <w:p w14:paraId="64867BCD">
      <w:pPr>
        <w:snapToGrid w:val="0"/>
        <w:spacing w:line="360" w:lineRule="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附件7：</w:t>
      </w:r>
    </w:p>
    <w:p w14:paraId="287F6550">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分包意向协议</w:t>
      </w:r>
    </w:p>
    <w:p w14:paraId="6DBA266E">
      <w:pPr>
        <w:widowControl/>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color w:val="auto"/>
          <w:sz w:val="24"/>
          <w:szCs w:val="24"/>
          <w:highlight w:val="none"/>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auto"/>
          <w:sz w:val="24"/>
          <w:szCs w:val="24"/>
          <w:highlight w:val="none"/>
        </w:rPr>
        <w:t>）</w:t>
      </w:r>
    </w:p>
    <w:p w14:paraId="15EB1662">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lang w:val="zh-CN"/>
        </w:rPr>
        <w:t>若成为</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的中标供应商，将依法采取分包方式履行合同。</w:t>
      </w: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rPr>
        <w:t>与</w:t>
      </w:r>
      <w:r>
        <w:rPr>
          <w:rFonts w:hint="eastAsia" w:ascii="仿宋_GB2312" w:hAnsi="仿宋_GB2312" w:eastAsia="仿宋_GB2312" w:cs="仿宋_GB2312"/>
          <w:color w:val="auto"/>
          <w:kern w:val="0"/>
          <w:sz w:val="24"/>
          <w:szCs w:val="24"/>
          <w:highlight w:val="none"/>
          <w:u w:val="single"/>
        </w:rPr>
        <w:t>（所有分包供应商名称）</w:t>
      </w:r>
      <w:r>
        <w:rPr>
          <w:rFonts w:hint="eastAsia" w:ascii="仿宋_GB2312" w:hAnsi="仿宋_GB2312" w:eastAsia="仿宋_GB2312" w:cs="仿宋_GB2312"/>
          <w:color w:val="auto"/>
          <w:kern w:val="0"/>
          <w:sz w:val="24"/>
          <w:szCs w:val="24"/>
          <w:highlight w:val="none"/>
        </w:rPr>
        <w:t>达成分包意向协议</w:t>
      </w:r>
      <w:r>
        <w:rPr>
          <w:rFonts w:hint="eastAsia" w:ascii="仿宋_GB2312" w:hAnsi="仿宋_GB2312" w:eastAsia="仿宋_GB2312" w:cs="仿宋_GB2312"/>
          <w:color w:val="auto"/>
          <w:kern w:val="0"/>
          <w:sz w:val="24"/>
          <w:szCs w:val="24"/>
          <w:highlight w:val="none"/>
          <w:lang w:val="zh-CN"/>
        </w:rPr>
        <w:t>。</w:t>
      </w:r>
    </w:p>
    <w:p w14:paraId="42B1EA98">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一、分包标的及数量</w:t>
      </w:r>
    </w:p>
    <w:p w14:paraId="1F6C9EB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（投标人名称）将工作分包如下：</w:t>
      </w:r>
      <w:r>
        <w:rPr>
          <w:rFonts w:hint="eastAsia" w:ascii="仿宋_GB2312" w:hAnsi="仿宋_GB2312" w:eastAsia="仿宋_GB2312" w:cs="仿宋_GB2312"/>
          <w:b/>
          <w:bCs/>
          <w:color w:val="auto"/>
          <w:sz w:val="24"/>
          <w:szCs w:val="24"/>
          <w:highlight w:val="none"/>
        </w:rPr>
        <w:t>（注：投标人只能将招标文件第二部分中“前附表”的“分包”规定的</w:t>
      </w:r>
      <w:r>
        <w:rPr>
          <w:rFonts w:hint="eastAsia" w:ascii="仿宋_GB2312" w:hAnsi="仿宋_GB2312" w:eastAsia="仿宋_GB2312" w:cs="仿宋_GB2312"/>
          <w:b/>
          <w:bCs/>
          <w:color w:val="auto"/>
          <w:sz w:val="24"/>
          <w:szCs w:val="24"/>
          <w:highlight w:val="none"/>
          <w:lang w:eastAsia="zh-CN"/>
        </w:rPr>
        <w:t>采购内容</w:t>
      </w:r>
      <w:r>
        <w:rPr>
          <w:rFonts w:hint="eastAsia" w:ascii="仿宋_GB2312" w:hAnsi="仿宋_GB2312" w:eastAsia="仿宋_GB2312" w:cs="仿宋_GB2312"/>
          <w:b/>
          <w:bCs/>
          <w:color w:val="auto"/>
          <w:sz w:val="24"/>
          <w:szCs w:val="24"/>
          <w:highlight w:val="none"/>
        </w:rPr>
        <w:t>进行分包）</w:t>
      </w:r>
    </w:p>
    <w:p w14:paraId="37F889D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分包给（分包供应商1名称）；</w:t>
      </w:r>
    </w:p>
    <w:p w14:paraId="01414CFD">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分包给（分包供应商2名称）；</w:t>
      </w:r>
    </w:p>
    <w:p w14:paraId="10FD1E3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p w14:paraId="03B2DE72">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rPr>
      </w:pPr>
      <w:r>
        <w:rPr>
          <w:rFonts w:hint="eastAsia" w:ascii="仿宋_GB2312" w:hAnsi="仿宋_GB2312" w:eastAsia="仿宋_GB2312" w:cs="仿宋_GB2312"/>
          <w:color w:val="auto"/>
          <w:sz w:val="24"/>
          <w:szCs w:val="24"/>
          <w:highlight w:val="none"/>
        </w:rPr>
        <w:t>以上分包供应商具备所承担分包工作内容相应的资质条件且不得再次分包。</w:t>
      </w:r>
    </w:p>
    <w:p w14:paraId="5DC09713">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二、分包供应商中小企业合同份额</w:t>
      </w:r>
    </w:p>
    <w:p w14:paraId="2516729E">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1、（分包供应商X,……）提供的货物全部由小微企业制造，其合同份额占到合同总金额     %以上。</w:t>
      </w:r>
      <w:r>
        <w:rPr>
          <w:rFonts w:hint="eastAsia" w:ascii="仿宋_GB2312" w:hAnsi="仿宋_GB2312" w:eastAsia="仿宋_GB2312" w:cs="仿宋_GB2312"/>
          <w:b/>
          <w:bCs/>
          <w:color w:val="auto"/>
          <w:kern w:val="0"/>
          <w:sz w:val="24"/>
          <w:szCs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1F55C981">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2、中小企业合同金额达到  %，其中小微企业合同金额达到 %。</w:t>
      </w:r>
      <w:r>
        <w:rPr>
          <w:rFonts w:hint="eastAsia" w:ascii="仿宋_GB2312" w:hAnsi="仿宋_GB2312" w:eastAsia="仿宋_GB2312" w:cs="仿宋_GB2312"/>
          <w:b/>
          <w:bCs/>
          <w:color w:val="auto"/>
          <w:kern w:val="0"/>
          <w:sz w:val="24"/>
          <w:szCs w:val="24"/>
          <w:highlight w:val="none"/>
          <w:lang w:val="zh-CN"/>
        </w:rPr>
        <w:t>（要求合同分包形式参加的项目或采购包，供应商按招标文件第一部分招标公告申请人的资格要求中规定的分包意向协议中中小企业、小微企业合同金额应当达到的比例要求填写。）</w:t>
      </w:r>
    </w:p>
    <w:p w14:paraId="42A5BAEB">
      <w:pPr>
        <w:snapToGrid w:val="0"/>
        <w:spacing w:line="360" w:lineRule="auto"/>
        <w:ind w:firstLine="576"/>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lang w:val="zh-CN"/>
        </w:rPr>
        <w:t>三、分包工作履行期限、地点、方式</w:t>
      </w:r>
    </w:p>
    <w:p w14:paraId="7A6528AA">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四、质量</w:t>
      </w:r>
    </w:p>
    <w:p w14:paraId="7BA3A46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五、价款或者报酬</w:t>
      </w:r>
    </w:p>
    <w:p w14:paraId="43D6ECF3">
      <w:pPr>
        <w:snapToGrid w:val="0"/>
        <w:spacing w:line="360" w:lineRule="auto"/>
        <w:ind w:left="573" w:leftChars="273"/>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六、违约责任</w:t>
      </w:r>
    </w:p>
    <w:p w14:paraId="5B48EC3A">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七、争议解决的办法</w:t>
      </w:r>
    </w:p>
    <w:p w14:paraId="7A76DE6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八、其他</w:t>
      </w:r>
    </w:p>
    <w:p w14:paraId="647ABAC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p>
    <w:p w14:paraId="2A08E42C">
      <w:pPr>
        <w:snapToGrid w:val="0"/>
        <w:spacing w:line="360" w:lineRule="auto"/>
        <w:ind w:left="5746" w:leftChars="2622" w:hanging="240" w:hangingChars="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投标人名称(电子签名)：</w:t>
      </w:r>
    </w:p>
    <w:p w14:paraId="1983DDAF">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分包供应商名称(电子签名/公章)：</w:t>
      </w:r>
    </w:p>
    <w:p w14:paraId="69278018">
      <w:pPr>
        <w:snapToGrid w:val="0"/>
        <w:spacing w:line="360" w:lineRule="auto"/>
        <w:ind w:firstLine="5760" w:firstLineChars="24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zh-CN"/>
        </w:rPr>
        <w:t>……</w:t>
      </w:r>
    </w:p>
    <w:p w14:paraId="3FD977BC">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1C408279">
      <w:pPr>
        <w:pStyle w:val="25"/>
        <w:ind w:left="0" w:leftChars="0" w:firstLine="0" w:firstLineChars="0"/>
        <w:rPr>
          <w:rFonts w:hint="eastAsia" w:ascii="仿宋_GB2312" w:hAnsi="仿宋_GB2312" w:eastAsia="仿宋_GB2312" w:cs="仿宋_GB2312"/>
          <w:color w:val="auto"/>
          <w:highlight w:val="none"/>
        </w:rPr>
      </w:pPr>
    </w:p>
    <w:p w14:paraId="0C19FE6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A551C02">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17AE9980">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364A79F5">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717ACBF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6E0E092C">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6A9E2D82">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3736A7E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29ADFEE2">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0D047364">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43CA3BFF">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4765E93">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C464BEE">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0D5DB800">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061138A7">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36BA7401">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504C8B7B">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6A7A788A">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4D03F3A8">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4F085211">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7A528BA2">
      <w:pPr>
        <w:pStyle w:val="2"/>
        <w:rPr>
          <w:rFonts w:hint="eastAsia"/>
          <w:lang w:val="en-US" w:eastAsia="zh-CN"/>
        </w:rPr>
      </w:pPr>
    </w:p>
    <w:p w14:paraId="7A4A1A08">
      <w:pPr>
        <w:snapToGrid w:val="0"/>
        <w:spacing w:line="360" w:lineRule="auto"/>
        <w:rPr>
          <w:rFonts w:hint="eastAsia" w:ascii="仿宋_GB2312" w:hAnsi="仿宋_GB2312" w:eastAsia="仿宋_GB2312" w:cs="仿宋_GB2312"/>
          <w:color w:val="auto"/>
          <w:spacing w:val="6"/>
          <w:sz w:val="28"/>
          <w:szCs w:val="28"/>
          <w:highlight w:val="none"/>
          <w:lang w:val="en-US" w:eastAsia="zh-CN"/>
        </w:rPr>
      </w:pPr>
    </w:p>
    <w:p w14:paraId="252C0999">
      <w:pPr>
        <w:snapToGrid w:val="0"/>
        <w:spacing w:line="360" w:lineRule="auto"/>
        <w:rPr>
          <w:rFonts w:hint="eastAsia" w:ascii="仿宋_GB2312" w:hAnsi="仿宋_GB2312" w:eastAsia="仿宋_GB2312" w:cs="仿宋_GB2312"/>
          <w:color w:val="auto"/>
          <w:spacing w:val="6"/>
          <w:sz w:val="28"/>
          <w:szCs w:val="28"/>
          <w:highlight w:val="none"/>
          <w:lang w:val="en-US"/>
        </w:rPr>
      </w:pPr>
      <w:r>
        <w:rPr>
          <w:rFonts w:hint="eastAsia" w:ascii="仿宋_GB2312" w:hAnsi="仿宋_GB2312" w:eastAsia="仿宋_GB2312" w:cs="仿宋_GB2312"/>
          <w:color w:val="auto"/>
          <w:spacing w:val="6"/>
          <w:sz w:val="28"/>
          <w:szCs w:val="28"/>
          <w:highlight w:val="none"/>
          <w:lang w:val="en-US" w:eastAsia="zh-CN"/>
        </w:rPr>
        <w:t xml:space="preserve">附件8 </w:t>
      </w:r>
    </w:p>
    <w:p w14:paraId="2C2867BF">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14:paraId="45B160EB">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28CA40C7">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349E2FE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2A629593">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2.（产品名称2），生产厂为（厂名），厂址为（生产厂址）。（产品名称2）</w:t>
      </w:r>
      <w:r>
        <w:rPr>
          <w:rFonts w:hint="eastAsia" w:ascii="仿宋_GB2312" w:hAnsi="仿宋_GB2312" w:eastAsia="仿宋_GB2312" w:cs="仿宋_GB2312"/>
          <w:color w:val="auto"/>
          <w:kern w:val="0"/>
          <w:sz w:val="24"/>
          <w:szCs w:val="24"/>
          <w:highlight w:val="none"/>
          <w:u w:val="single"/>
          <w:lang w:val="zh-CN"/>
        </w:rPr>
        <w:tab/>
      </w:r>
      <w:r>
        <w:rPr>
          <w:rFonts w:hint="eastAsia" w:ascii="仿宋_GB2312" w:hAnsi="仿宋_GB2312" w:eastAsia="仿宋_GB2312" w:cs="仿宋_GB2312"/>
          <w:color w:val="auto"/>
          <w:kern w:val="0"/>
          <w:sz w:val="24"/>
          <w:szCs w:val="24"/>
          <w:highlight w:val="none"/>
          <w:u w:val="single"/>
          <w:lang w:val="zh-CN"/>
        </w:rPr>
        <w:t xml:space="preserve"> 的中国境内生产的组件成本占比≥（规定比例）。（产品名称2）的（关键组件）在中国境内生产。（产品名称2）的（关键工序）在中国境内完成。</w:t>
      </w:r>
    </w:p>
    <w:p w14:paraId="3EC16FBC">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w:t>
      </w:r>
    </w:p>
    <w:p w14:paraId="40422A9F">
      <w:pPr>
        <w:snapToGrid w:val="0"/>
        <w:spacing w:line="360" w:lineRule="auto"/>
        <w:ind w:firstLine="576"/>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u w:val="none"/>
          <w:lang w:val="zh-CN"/>
        </w:rPr>
        <w:t>二、多个产品的承诺(如有):</w:t>
      </w:r>
    </w:p>
    <w:p w14:paraId="2BAF01E4">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color w:val="auto"/>
          <w:sz w:val="24"/>
          <w:szCs w:val="24"/>
        </w:rPr>
      </w:pPr>
      <w:r>
        <w:rPr>
          <w:rFonts w:ascii="宋体" w:hAnsi="宋体" w:cs="仿宋"/>
          <w:i w:val="0"/>
          <w:iCs w:val="0"/>
          <w:color w:val="auto"/>
          <w:sz w:val="24"/>
          <w:szCs w:val="24"/>
        </w:rPr>
        <w:sym w:font="Wingdings 2" w:char="F0A3"/>
      </w:r>
      <w:r>
        <w:rPr>
          <w:rFonts w:hint="eastAsia" w:ascii="仿宋_GB2312" w:hAnsi="仿宋_GB2312" w:eastAsia="仿宋_GB2312" w:cs="仿宋_GB2312"/>
          <w:color w:val="auto"/>
          <w:kern w:val="0"/>
          <w:sz w:val="24"/>
          <w:szCs w:val="24"/>
          <w:highlight w:val="none"/>
          <w:u w:val="none"/>
          <w:lang w:val="zh-CN"/>
        </w:rPr>
        <w:t>上述提供的符合本国产品标准的所有产品的成本之和，占本次投标全部产品（含本声明所列产品及其他配套产品）成本总和的比例达到80%。</w:t>
      </w:r>
    </w:p>
    <w:p w14:paraId="22A45689">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本公司（单位）对上述声明内容的真实性负责。如有虚假，愿承担相应法律责任。</w:t>
      </w:r>
    </w:p>
    <w:p w14:paraId="00465962">
      <w:pPr>
        <w:rPr>
          <w:rFonts w:hint="eastAsia" w:ascii="仿宋_GB2312" w:hAnsi="仿宋_GB2312" w:eastAsia="仿宋_GB2312" w:cs="仿宋_GB2312"/>
          <w:color w:val="auto"/>
          <w:kern w:val="0"/>
          <w:sz w:val="24"/>
          <w:szCs w:val="24"/>
          <w:highlight w:val="none"/>
          <w:u w:val="none"/>
          <w:lang w:val="zh-CN"/>
        </w:rPr>
      </w:pPr>
    </w:p>
    <w:p w14:paraId="259339D1">
      <w:pPr>
        <w:pStyle w:val="2"/>
        <w:rPr>
          <w:rFonts w:hint="eastAsia"/>
          <w:u w:val="single"/>
          <w:lang w:val="zh-CN"/>
        </w:rPr>
      </w:pPr>
    </w:p>
    <w:p w14:paraId="7B053C50">
      <w:pPr>
        <w:snapToGrid w:val="0"/>
        <w:spacing w:line="360" w:lineRule="auto"/>
        <w:jc w:val="right"/>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lang w:val="zh-CN"/>
        </w:rPr>
        <w:t>投标人名称(电子签名)</w:t>
      </w:r>
      <w:r>
        <w:rPr>
          <w:rFonts w:hint="eastAsia" w:ascii="仿宋_GB2312" w:hAnsi="仿宋_GB2312" w:eastAsia="仿宋_GB2312" w:cs="仿宋_GB2312"/>
          <w:color w:val="auto"/>
          <w:kern w:val="0"/>
          <w:sz w:val="24"/>
          <w:szCs w:val="24"/>
          <w:highlight w:val="none"/>
          <w:u w:val="none"/>
          <w:lang w:val="zh-CN"/>
        </w:rPr>
        <w:t>：</w:t>
      </w:r>
    </w:p>
    <w:p w14:paraId="15B580C6">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17C2F0D6">
      <w:pPr>
        <w:snapToGrid w:val="0"/>
        <w:spacing w:line="360" w:lineRule="auto"/>
        <w:jc w:val="both"/>
        <w:rPr>
          <w:rFonts w:hint="eastAsia" w:ascii="仿宋_GB2312" w:hAnsi="仿宋_GB2312" w:eastAsia="仿宋_GB2312" w:cs="仿宋_GB2312"/>
          <w:color w:val="auto"/>
          <w:kern w:val="0"/>
          <w:sz w:val="24"/>
          <w:szCs w:val="24"/>
          <w:highlight w:val="none"/>
          <w:u w:val="none"/>
          <w:lang w:val="zh-CN"/>
        </w:rPr>
      </w:pPr>
    </w:p>
    <w:p w14:paraId="13796A21">
      <w:pPr>
        <w:snapToGrid w:val="0"/>
        <w:spacing w:line="360" w:lineRule="auto"/>
        <w:ind w:firstLine="480" w:firstLineChars="200"/>
        <w:jc w:val="both"/>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1.产品如有型号，请在“产品名称”栏一并填写。</w:t>
      </w:r>
    </w:p>
    <w:p w14:paraId="745A506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2.生产厂名与厂址应与生产厂营业执照载明的相关信息保持一致。</w:t>
      </w:r>
    </w:p>
    <w:p w14:paraId="18E0512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3.该产品的中国境内生产的组件成本占比相关要求实施前，“规定比例”栏可不填，下同。</w:t>
      </w:r>
    </w:p>
    <w:p w14:paraId="4622B5BE">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4.该产品的关键组件要求实施前，“关键组件”栏可不填，下同。</w:t>
      </w:r>
    </w:p>
    <w:p w14:paraId="4CBC7AF7">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5.该产品的关键工序要求实施前，“关键工序”栏可不填，下同</w:t>
      </w:r>
      <w:r>
        <w:rPr>
          <w:rFonts w:hint="eastAsia" w:ascii="仿宋_GB2312" w:hAnsi="仿宋_GB2312" w:eastAsia="仿宋_GB2312" w:cs="仿宋_GB2312"/>
          <w:color w:val="auto"/>
          <w:kern w:val="0"/>
          <w:sz w:val="24"/>
          <w:szCs w:val="24"/>
          <w:highlight w:val="none"/>
          <w:u w:val="single"/>
          <w:lang w:val="zh-CN" w:eastAsia="zh-CN"/>
        </w:rPr>
        <w:t>。</w:t>
      </w:r>
    </w:p>
    <w:p w14:paraId="332F9176">
      <w:pPr>
        <w:snapToGrid w:val="0"/>
        <w:spacing w:line="360" w:lineRule="auto"/>
        <w:ind w:firstLine="576"/>
        <w:rPr>
          <w:rFonts w:hint="eastAsia" w:ascii="仿宋_GB2312" w:hAnsi="仿宋_GB2312" w:eastAsia="仿宋_GB2312" w:cs="仿宋_GB2312"/>
          <w:b/>
          <w:bCs/>
          <w:color w:val="auto"/>
          <w:kern w:val="0"/>
          <w:sz w:val="24"/>
          <w:szCs w:val="24"/>
          <w:highlight w:val="none"/>
          <w:u w:val="single"/>
          <w:lang w:val="en-US" w:eastAsia="zh-CN"/>
        </w:rPr>
      </w:pPr>
      <w:r>
        <w:rPr>
          <w:rFonts w:hint="eastAsia" w:ascii="仿宋_GB2312" w:hAnsi="仿宋_GB2312" w:eastAsia="仿宋_GB2312" w:cs="仿宋_GB2312"/>
          <w:b/>
          <w:bCs/>
          <w:color w:val="auto"/>
          <w:kern w:val="0"/>
          <w:sz w:val="24"/>
          <w:szCs w:val="24"/>
          <w:highlight w:val="none"/>
          <w:u w:val="single"/>
          <w:lang w:val="en-US" w:eastAsia="zh-CN"/>
        </w:rPr>
        <w:t>6.涉及多个产品的承诺，请予第二项处打勾，否则不予承认。</w:t>
      </w:r>
    </w:p>
    <w:p w14:paraId="75B4B010">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政采贷</w:t>
      </w:r>
    </w:p>
    <w:p w14:paraId="019616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下表：</w:t>
      </w:r>
    </w:p>
    <w:tbl>
      <w:tblPr>
        <w:tblStyle w:val="27"/>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3975"/>
        <w:gridCol w:w="2220"/>
        <w:gridCol w:w="1908"/>
      </w:tblGrid>
      <w:tr w14:paraId="3FBB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63" w:type="dxa"/>
            <w:gridSpan w:val="4"/>
            <w:noWrap w:val="0"/>
            <w:vAlign w:val="center"/>
          </w:tcPr>
          <w:p w14:paraId="680FA61E">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舟山市政府采购信用融资合作银行</w:t>
            </w:r>
          </w:p>
        </w:tc>
      </w:tr>
      <w:tr w14:paraId="0057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60" w:type="dxa"/>
            <w:noWrap w:val="0"/>
            <w:vAlign w:val="center"/>
          </w:tcPr>
          <w:p w14:paraId="70F4BE02">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银行名称</w:t>
            </w:r>
          </w:p>
        </w:tc>
        <w:tc>
          <w:tcPr>
            <w:tcW w:w="3975" w:type="dxa"/>
            <w:noWrap w:val="0"/>
            <w:vAlign w:val="center"/>
          </w:tcPr>
          <w:p w14:paraId="414CF056">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各银行介绍的产品特点</w:t>
            </w:r>
          </w:p>
        </w:tc>
        <w:tc>
          <w:tcPr>
            <w:tcW w:w="2220" w:type="dxa"/>
            <w:noWrap w:val="0"/>
            <w:vAlign w:val="center"/>
          </w:tcPr>
          <w:p w14:paraId="32F2BA07">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经办人</w:t>
            </w:r>
          </w:p>
        </w:tc>
        <w:tc>
          <w:tcPr>
            <w:tcW w:w="1908" w:type="dxa"/>
            <w:noWrap w:val="0"/>
            <w:vAlign w:val="center"/>
          </w:tcPr>
          <w:p w14:paraId="3F09C859">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联系方式</w:t>
            </w:r>
          </w:p>
        </w:tc>
      </w:tr>
      <w:tr w14:paraId="6534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5E9454A8">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中国工商银行股份有限公司舟山分行</w:t>
            </w:r>
          </w:p>
        </w:tc>
        <w:tc>
          <w:tcPr>
            <w:tcW w:w="3975" w:type="dxa"/>
            <w:noWrap w:val="0"/>
            <w:vAlign w:val="top"/>
          </w:tcPr>
          <w:p w14:paraId="2D2DBAB2">
            <w:pPr>
              <w:numPr>
                <w:ilvl w:val="0"/>
                <w:numId w:val="6"/>
              </w:num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融资额度高，融资金额最高可至订单金额70%，线上申请，随借随还。2.融资利率低，最低可至当期LPR利率。</w:t>
            </w:r>
          </w:p>
          <w:p w14:paraId="522F8AA3">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3.担保方式灵活，以政府采购合同进行融资，无需另外抵押。</w:t>
            </w:r>
          </w:p>
        </w:tc>
        <w:tc>
          <w:tcPr>
            <w:tcW w:w="2220" w:type="dxa"/>
            <w:noWrap w:val="0"/>
            <w:vAlign w:val="center"/>
          </w:tcPr>
          <w:p w14:paraId="5ED0D3A8">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柳超颖</w:t>
            </w:r>
          </w:p>
        </w:tc>
        <w:tc>
          <w:tcPr>
            <w:tcW w:w="1908" w:type="dxa"/>
            <w:noWrap w:val="0"/>
            <w:vAlign w:val="center"/>
          </w:tcPr>
          <w:p w14:paraId="73EBDF4D">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0580-2166242, 15858076468</w:t>
            </w:r>
          </w:p>
        </w:tc>
      </w:tr>
      <w:tr w14:paraId="4D15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460" w:type="dxa"/>
            <w:noWrap w:val="0"/>
            <w:vAlign w:val="center"/>
          </w:tcPr>
          <w:p w14:paraId="5899AFB5">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中国建设银行股份有限公司舟山分行</w:t>
            </w:r>
          </w:p>
        </w:tc>
        <w:tc>
          <w:tcPr>
            <w:tcW w:w="3975" w:type="dxa"/>
            <w:noWrap w:val="0"/>
            <w:vAlign w:val="top"/>
          </w:tcPr>
          <w:p w14:paraId="07463A8C">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快速便捷：全流程线上操作，通过浙江省政府采购网数据审核信用额度，建行供应链平台快速放款。</w:t>
            </w:r>
          </w:p>
          <w:p w14:paraId="75CD44B0">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申请额度高：单笔融资额度最高可达政府采购合同金额的90%，单户额度最高可达3000万。</w:t>
            </w:r>
          </w:p>
          <w:p w14:paraId="7F019A8C">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无需额外抵押：以浙江省政府采购网备案公示的政府采购合同进行融资，无需额外抵押担保。</w:t>
            </w:r>
          </w:p>
          <w:p w14:paraId="206C4143">
            <w:pPr>
              <w:numPr>
                <w:ilvl w:val="0"/>
                <w:numId w:val="7"/>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利率优惠：给予流动资金贷款最优惠利率。</w:t>
            </w:r>
          </w:p>
        </w:tc>
        <w:tc>
          <w:tcPr>
            <w:tcW w:w="2220" w:type="dxa"/>
            <w:noWrap w:val="0"/>
            <w:vAlign w:val="center"/>
          </w:tcPr>
          <w:p w14:paraId="73BBE85D">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普陀片区：蔡妮妮</w:t>
            </w:r>
          </w:p>
          <w:p w14:paraId="191A8003">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定海片区：杨莹</w:t>
            </w:r>
          </w:p>
          <w:p w14:paraId="350A1E14">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自贸区片区：方晓</w:t>
            </w:r>
          </w:p>
        </w:tc>
        <w:tc>
          <w:tcPr>
            <w:tcW w:w="1908" w:type="dxa"/>
            <w:noWrap w:val="0"/>
            <w:vAlign w:val="center"/>
          </w:tcPr>
          <w:p w14:paraId="733F6AD9">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普陀片区：13957201791</w:t>
            </w:r>
          </w:p>
          <w:p w14:paraId="2B5F30F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定海片区：13655803997</w:t>
            </w:r>
          </w:p>
          <w:p w14:paraId="700FD7E1">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自贸区片区：13587086324</w:t>
            </w:r>
          </w:p>
        </w:tc>
      </w:tr>
      <w:tr w14:paraId="02E2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17F86852">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杭州银行股份有限公司舟山市分行</w:t>
            </w:r>
          </w:p>
        </w:tc>
        <w:tc>
          <w:tcPr>
            <w:tcW w:w="3975" w:type="dxa"/>
            <w:noWrap w:val="0"/>
            <w:vAlign w:val="top"/>
          </w:tcPr>
          <w:p w14:paraId="30E618BA">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云采贷”是杭州银行为政府采购供应商提供的纯信用贷款产品。客户申请、签约、放款全流程线上化，平台注册入库并取得采购合同即可申请，融资比例最高达采购订单的80%，单户、单笔最高可达3000万，最长期限一年。</w:t>
            </w:r>
          </w:p>
        </w:tc>
        <w:tc>
          <w:tcPr>
            <w:tcW w:w="2220" w:type="dxa"/>
            <w:noWrap w:val="0"/>
            <w:vAlign w:val="center"/>
          </w:tcPr>
          <w:p w14:paraId="7CF6297A">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方经理</w:t>
            </w:r>
          </w:p>
        </w:tc>
        <w:tc>
          <w:tcPr>
            <w:tcW w:w="1908" w:type="dxa"/>
            <w:noWrap w:val="0"/>
            <w:vAlign w:val="center"/>
          </w:tcPr>
          <w:p w14:paraId="4A0D25B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0580-2185201，18205800451</w:t>
            </w:r>
          </w:p>
        </w:tc>
      </w:tr>
      <w:tr w14:paraId="3688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13129580">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招商银行股份有限公司浙江自贸试验区舟山分行</w:t>
            </w:r>
          </w:p>
        </w:tc>
        <w:tc>
          <w:tcPr>
            <w:tcW w:w="3975" w:type="dxa"/>
            <w:noWrap w:val="0"/>
            <w:vAlign w:val="top"/>
          </w:tcPr>
          <w:p w14:paraId="54A37920">
            <w:pPr>
              <w:spacing w:line="400" w:lineRule="exac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小企业政采贷是招商银行为政府采购成交供应商提供的用于履行政府采购合同的专属融资产品。优势：一、额度高。根据企业上一年或近一年获得政府采购成交及成交通知的一定比例给予额度，最高可达3000万元，单笔提款金额最高至合同金额的90%。二、操作简便、模式丰富。客户通过我行一网通等渠道在线申请。支持线上用款，按日计息，随借随还，利率最低至当期LPR。三、担保方式灵活。实际控制人夫妇担保＋融资项下应收账款质押作为辅助，无需抵押，一次性签署合作协议。</w:t>
            </w:r>
          </w:p>
        </w:tc>
        <w:tc>
          <w:tcPr>
            <w:tcW w:w="2220" w:type="dxa"/>
            <w:noWrap w:val="0"/>
            <w:vAlign w:val="center"/>
          </w:tcPr>
          <w:p w14:paraId="1732F228">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李玲</w:t>
            </w:r>
          </w:p>
        </w:tc>
        <w:tc>
          <w:tcPr>
            <w:tcW w:w="1908" w:type="dxa"/>
            <w:noWrap w:val="0"/>
            <w:vAlign w:val="center"/>
          </w:tcPr>
          <w:p w14:paraId="30825FF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0580-2061710，13957227971</w:t>
            </w:r>
          </w:p>
        </w:tc>
      </w:tr>
      <w:tr w14:paraId="5C41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460" w:type="dxa"/>
            <w:noWrap w:val="0"/>
            <w:vAlign w:val="center"/>
          </w:tcPr>
          <w:p w14:paraId="6E1B9729">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温州银行股份有限公司舟山市分行</w:t>
            </w:r>
          </w:p>
        </w:tc>
        <w:tc>
          <w:tcPr>
            <w:tcW w:w="3975" w:type="dxa"/>
            <w:noWrap w:val="0"/>
            <w:vAlign w:val="top"/>
          </w:tcPr>
          <w:p w14:paraId="20B9E300">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单户授信敞口最高不超过1000万元，且最高额度核定一般不超过借款人（含实际控制人控制的其他经营实体）最近13个月合计有效中标合同金额的70%。</w:t>
            </w:r>
          </w:p>
          <w:p w14:paraId="6D8AAD26">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单笔借款额度最高不超过1000万元，单笔业务授信额度不超过“政采云平台”提供的中标通知书承载的中标金额或本次申请授信提供的采购合同金额的80%，且用信金额不超过采购合同未付金额的80%。</w:t>
            </w:r>
          </w:p>
          <w:p w14:paraId="4FEABC2C">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借款人中标采购人自行采购项目并向我行发起授信申请的，单笔业务授信敞口不超500万元，且不超过借款人中标通知书承载的中标金额或本次申请授信提供的采购合同的80%。</w:t>
            </w:r>
          </w:p>
          <w:p w14:paraId="2FE90AA3">
            <w:pPr>
              <w:numPr>
                <w:ilvl w:val="0"/>
                <w:numId w:val="8"/>
              </w:num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符合我行采购人资质的，且负债率不超75%，配合应收账款质押登记确认的，并可出具确认函，单笔借款额度可按不超过采购合同的90%办理。</w:t>
            </w:r>
          </w:p>
        </w:tc>
        <w:tc>
          <w:tcPr>
            <w:tcW w:w="2220" w:type="dxa"/>
            <w:noWrap w:val="0"/>
            <w:vAlign w:val="center"/>
          </w:tcPr>
          <w:p w14:paraId="0E82198F">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郑贤栋</w:t>
            </w:r>
          </w:p>
        </w:tc>
        <w:tc>
          <w:tcPr>
            <w:tcW w:w="1908" w:type="dxa"/>
            <w:noWrap w:val="0"/>
            <w:vAlign w:val="center"/>
          </w:tcPr>
          <w:p w14:paraId="2C6C4259">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0580—8866086</w:t>
            </w:r>
          </w:p>
        </w:tc>
      </w:tr>
      <w:tr w14:paraId="0707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14:paraId="400D76F4">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交通银行股份有限公司舟山分行</w:t>
            </w:r>
          </w:p>
        </w:tc>
        <w:tc>
          <w:tcPr>
            <w:tcW w:w="3975" w:type="dxa"/>
            <w:noWrap w:val="0"/>
            <w:vAlign w:val="top"/>
          </w:tcPr>
          <w:p w14:paraId="5257A5C7">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rPr>
              <w:t>交通银行政采贷，线上版本最长期限1年，融资金额一般不超过1000万；线下版本期限最长两年，额度最高2,000万，单笔提款金额最高至采购合同金额的70%。担保方式为信用（附加该笔业务项下未来应收账款质押、实际控制人及配偶个人保证），随借随还，利率最低至当期L</w:t>
            </w:r>
            <w:r>
              <w:rPr>
                <w:rFonts w:hint="eastAsia" w:ascii="仿宋_GB2312" w:hAnsi="仿宋_GB2312" w:eastAsia="仿宋_GB2312" w:cs="仿宋_GB2312"/>
                <w:color w:val="auto"/>
                <w:highlight w:val="none"/>
              </w:rPr>
              <w:t>PR。</w:t>
            </w:r>
          </w:p>
        </w:tc>
        <w:tc>
          <w:tcPr>
            <w:tcW w:w="2220" w:type="dxa"/>
            <w:noWrap w:val="0"/>
            <w:vAlign w:val="center"/>
          </w:tcPr>
          <w:p w14:paraId="07C64927">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赵争艳</w:t>
            </w:r>
          </w:p>
        </w:tc>
        <w:tc>
          <w:tcPr>
            <w:tcW w:w="1908" w:type="dxa"/>
            <w:noWrap w:val="0"/>
            <w:vAlign w:val="center"/>
          </w:tcPr>
          <w:p w14:paraId="3DFD3DB8">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0580-2260728</w:t>
            </w:r>
          </w:p>
          <w:p w14:paraId="4EF163BB">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13758007280</w:t>
            </w:r>
          </w:p>
        </w:tc>
      </w:tr>
      <w:tr w14:paraId="0851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7D26D68F">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中信银行股份有限公司舟山分行</w:t>
            </w:r>
          </w:p>
        </w:tc>
        <w:tc>
          <w:tcPr>
            <w:tcW w:w="3975" w:type="dxa"/>
            <w:noWrap w:val="0"/>
            <w:vAlign w:val="top"/>
          </w:tcPr>
          <w:p w14:paraId="232DED5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信银行“政采e贷”产品特点：根据政府采购成交通知书或合同，以政府财政支付资金为主要还款来源，为成交小微企业提供流动资金贷款。产品实现预授信、贷款申请、应收账款质押、授信审批、自助提款等环节的线上化、自动化处理，操作便利，授信额度最高不超过1000万元，贷款期限最长1年，利率低。</w:t>
            </w:r>
          </w:p>
        </w:tc>
        <w:tc>
          <w:tcPr>
            <w:tcW w:w="2220" w:type="dxa"/>
            <w:noWrap w:val="0"/>
            <w:vAlign w:val="center"/>
          </w:tcPr>
          <w:p w14:paraId="31538A40">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黄丽</w:t>
            </w:r>
          </w:p>
        </w:tc>
        <w:tc>
          <w:tcPr>
            <w:tcW w:w="1908" w:type="dxa"/>
            <w:noWrap w:val="0"/>
            <w:vAlign w:val="center"/>
          </w:tcPr>
          <w:p w14:paraId="3188EE2A">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13905808032</w:t>
            </w:r>
          </w:p>
        </w:tc>
      </w:tr>
      <w:tr w14:paraId="4A75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016DF8D0">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泰隆银行舟山市分行</w:t>
            </w:r>
          </w:p>
        </w:tc>
        <w:tc>
          <w:tcPr>
            <w:tcW w:w="3975" w:type="dxa"/>
            <w:noWrap w:val="0"/>
            <w:vAlign w:val="top"/>
          </w:tcPr>
          <w:p w14:paraId="74E0293E">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符合我行基本准入，期限对照订单最长不超过1年，额度最高1000万，担保方式享受信用贷款执行，可由成交企业或其实际控制人出面申请，利率最低可至当期LPR ，对于合同期限确实超过一年的，可享受无还本续贷至合同付款日。</w:t>
            </w:r>
          </w:p>
        </w:tc>
        <w:tc>
          <w:tcPr>
            <w:tcW w:w="2220" w:type="dxa"/>
            <w:noWrap w:val="0"/>
            <w:vAlign w:val="center"/>
          </w:tcPr>
          <w:p w14:paraId="129824EA">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胡亢宇</w:t>
            </w:r>
          </w:p>
        </w:tc>
        <w:tc>
          <w:tcPr>
            <w:tcW w:w="1908" w:type="dxa"/>
            <w:noWrap w:val="0"/>
            <w:vAlign w:val="center"/>
          </w:tcPr>
          <w:p w14:paraId="1530C925">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17605868703</w:t>
            </w:r>
          </w:p>
        </w:tc>
      </w:tr>
      <w:tr w14:paraId="6A2C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4A33CE0F">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中国农业银行股份有限公司舟山分行</w:t>
            </w:r>
          </w:p>
        </w:tc>
        <w:tc>
          <w:tcPr>
            <w:tcW w:w="3975" w:type="dxa"/>
            <w:noWrap w:val="0"/>
            <w:vAlign w:val="top"/>
          </w:tcPr>
          <w:p w14:paraId="27B60D84">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政采贷”业务原则上不超过政府采购合同实有金额的80%，单户借款额度不超过500万元。借款到期日不晚于合同约定付款日后90天，原则上不超过1年，最长可放宽至2年。应收账款形成前，可采用信用方式用信并追加供应商法定代表人或实际控制人连带责任保证担保；应收账款形成后，信用方式用信需变更为应收账款质押担保。</w:t>
            </w:r>
          </w:p>
        </w:tc>
        <w:tc>
          <w:tcPr>
            <w:tcW w:w="2220" w:type="dxa"/>
            <w:noWrap w:val="0"/>
            <w:vAlign w:val="center"/>
          </w:tcPr>
          <w:p w14:paraId="79A8BC5A">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苏华瞻</w:t>
            </w:r>
          </w:p>
        </w:tc>
        <w:tc>
          <w:tcPr>
            <w:tcW w:w="1908" w:type="dxa"/>
            <w:noWrap w:val="0"/>
            <w:vAlign w:val="center"/>
          </w:tcPr>
          <w:p w14:paraId="2CDBDB42">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13967228926</w:t>
            </w:r>
          </w:p>
        </w:tc>
      </w:tr>
      <w:tr w14:paraId="1DF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14:paraId="3D4B7DA7">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中国邮政储蓄银行股份有限公司舟山市分行</w:t>
            </w:r>
          </w:p>
        </w:tc>
        <w:tc>
          <w:tcPr>
            <w:tcW w:w="3975" w:type="dxa"/>
            <w:noWrap w:val="0"/>
            <w:vAlign w:val="top"/>
          </w:tcPr>
          <w:p w14:paraId="57FE98C0">
            <w:pPr>
              <w:tabs>
                <w:tab w:val="left" w:pos="0"/>
              </w:tabs>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符合我行基本准入，授信额度使用期最高为2年，单户授信最高为500万，担保方式享受信用贷款执行，利率最低可至当期LPR ，有无还本续贷，12月份线上产品可以自主自贷。</w:t>
            </w:r>
          </w:p>
        </w:tc>
        <w:tc>
          <w:tcPr>
            <w:tcW w:w="2220" w:type="dxa"/>
            <w:noWrap w:val="0"/>
            <w:vAlign w:val="center"/>
          </w:tcPr>
          <w:p w14:paraId="6C1A4D76">
            <w:pPr>
              <w:spacing w:line="400" w:lineRule="exact"/>
              <w:contextualSpacing/>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蒋志燕</w:t>
            </w:r>
          </w:p>
        </w:tc>
        <w:tc>
          <w:tcPr>
            <w:tcW w:w="1908" w:type="dxa"/>
            <w:noWrap w:val="0"/>
            <w:vAlign w:val="center"/>
          </w:tcPr>
          <w:p w14:paraId="3C3A155C">
            <w:pPr>
              <w:spacing w:line="400" w:lineRule="exact"/>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13732527321</w:t>
            </w:r>
          </w:p>
        </w:tc>
      </w:tr>
    </w:tbl>
    <w:p w14:paraId="23244005">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 一般步骤</w:t>
      </w:r>
    </w:p>
    <w:p w14:paraId="50B9B6E7">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（1）供应商先与银行对接，办理融资前期手续；</w:t>
      </w:r>
    </w:p>
    <w:p w14:paraId="0210C6DF">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（2）供应商成交后，凭成交通知书等材料，向相关合作银行发出融资申请；</w:t>
      </w:r>
    </w:p>
    <w:p w14:paraId="7E769D32">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（3）银行、供应商线上办理审批、放贷事宜。</w:t>
      </w:r>
    </w:p>
    <w:p w14:paraId="179551EC">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 注意事项</w:t>
      </w:r>
    </w:p>
    <w:p w14:paraId="7D82AA2D">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（1）成交供应商需确保政府采购合同的收款账户与融资银行开户账户一致。</w:t>
      </w:r>
    </w:p>
    <w:p w14:paraId="2D730CEB">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（2）用于政府采购信用融资的政府采购合同，应当包含如下条款：“第条：</w:t>
      </w:r>
    </w:p>
    <w:p w14:paraId="31B084A2">
      <w:pPr>
        <w:spacing w:line="360" w:lineRule="auto"/>
        <w:contextualSpacing/>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政府采购合同贷款本合同同时用于乙方向银行（金融机构）申请政府采购信用贷款。本合同一经签订，原则上不得更改乙方收款账户信息。确须更改的，乙方应取得原合同收款账户开户银行书面同意，否则修改后的合同不予备案，采购资金不予支付。”</w:t>
      </w:r>
    </w:p>
    <w:p w14:paraId="748C8B7F">
      <w:pPr>
        <w:spacing w:line="540" w:lineRule="exact"/>
        <w:contextualSpacing/>
        <w:rPr>
          <w:rFonts w:hint="eastAsia" w:ascii="仿宋_GB2312" w:hAnsi="仿宋_GB2312" w:eastAsia="仿宋_GB2312" w:cs="仿宋_GB2312"/>
          <w:color w:val="auto"/>
          <w:sz w:val="24"/>
          <w:szCs w:val="24"/>
          <w:highlight w:val="none"/>
        </w:rPr>
      </w:pPr>
    </w:p>
    <w:p w14:paraId="12B68156">
      <w:pPr>
        <w:rPr>
          <w:rFonts w:hint="eastAsia" w:ascii="仿宋_GB2312" w:hAnsi="仿宋_GB2312" w:eastAsia="仿宋_GB2312" w:cs="仿宋_GB2312"/>
          <w:color w:val="auto"/>
          <w:sz w:val="24"/>
          <w:szCs w:val="24"/>
          <w:highlight w:val="none"/>
        </w:rPr>
      </w:pPr>
    </w:p>
    <w:p w14:paraId="18DC3A7A">
      <w:pPr>
        <w:rPr>
          <w:rFonts w:hint="eastAsia" w:ascii="仿宋_GB2312" w:hAnsi="仿宋_GB2312" w:eastAsia="仿宋_GB2312" w:cs="仿宋_GB2312"/>
          <w:color w:val="auto"/>
          <w:highlight w:val="none"/>
        </w:rPr>
      </w:pPr>
    </w:p>
    <w:p w14:paraId="0B739289">
      <w:pPr>
        <w:rPr>
          <w:rFonts w:hint="eastAsia" w:ascii="仿宋_GB2312" w:hAnsi="仿宋_GB2312" w:eastAsia="仿宋_GB2312" w:cs="仿宋_GB2312"/>
          <w:color w:val="auto"/>
          <w:highlight w:val="none"/>
        </w:rPr>
      </w:pPr>
    </w:p>
    <w:p w14:paraId="05891513">
      <w:pPr>
        <w:rPr>
          <w:rFonts w:hint="eastAsia" w:ascii="仿宋_GB2312" w:hAnsi="仿宋_GB2312" w:eastAsia="仿宋_GB2312" w:cs="仿宋_GB2312"/>
          <w:color w:val="auto"/>
          <w:highlight w:val="none"/>
        </w:rPr>
      </w:pPr>
    </w:p>
    <w:p w14:paraId="1D09F0B9">
      <w:pPr>
        <w:rPr>
          <w:rFonts w:hint="eastAsia" w:ascii="仿宋_GB2312" w:hAnsi="仿宋_GB2312" w:eastAsia="仿宋_GB2312" w:cs="仿宋_GB2312"/>
          <w:color w:val="auto"/>
          <w:highlight w:val="none"/>
        </w:rPr>
      </w:pPr>
    </w:p>
    <w:p w14:paraId="31453FF0">
      <w:pPr>
        <w:rPr>
          <w:rFonts w:hint="eastAsia" w:ascii="仿宋_GB2312" w:hAnsi="仿宋_GB2312" w:eastAsia="仿宋_GB2312" w:cs="仿宋_GB2312"/>
          <w:color w:val="auto"/>
          <w:highlight w:val="none"/>
        </w:rPr>
      </w:pPr>
    </w:p>
    <w:p w14:paraId="0FC633C6">
      <w:pPr>
        <w:rPr>
          <w:rFonts w:hint="eastAsia" w:ascii="仿宋_GB2312" w:hAnsi="仿宋_GB2312" w:eastAsia="仿宋_GB2312" w:cs="仿宋_GB2312"/>
          <w:color w:val="auto"/>
          <w:highlight w:val="none"/>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方正楷体_GBK"/>
    <w:panose1 w:val="02010609030101010101"/>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2010600000101010101"/>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Wingdings 2">
    <w:altName w:val="国标宋体-超大字符集扩"/>
    <w:panose1 w:val="05020102010507070707"/>
    <w:charset w:val="02"/>
    <w:family w:val="auto"/>
    <w:pitch w:val="default"/>
    <w:sig w:usb0="00000000" w:usb1="00000000" w:usb2="00000000" w:usb3="00000000" w:csb0="80000000" w:csb1="00000000"/>
  </w:font>
  <w:font w:name="方正仿宋_GB2312">
    <w:altName w:val="方正仿宋_GBK"/>
    <w:panose1 w:val="02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A4624">
    <w:pPr>
      <w:pStyle w:val="18"/>
      <w:jc w:val="center"/>
    </w:pPr>
    <w:r>
      <w:fldChar w:fldCharType="begin"/>
    </w:r>
    <w:r>
      <w:instrText xml:space="preserve"> PAGE   \* MERGEFORMAT </w:instrText>
    </w:r>
    <w:r>
      <w:fldChar w:fldCharType="separate"/>
    </w:r>
    <w:r>
      <w:rPr>
        <w:lang w:val="zh-CN"/>
      </w:rPr>
      <w:t>22</w:t>
    </w:r>
    <w:r>
      <w:rPr>
        <w:lang w:val="zh-CN"/>
      </w:rPr>
      <w:fldChar w:fldCharType="end"/>
    </w:r>
  </w:p>
  <w:p w14:paraId="47A723DE">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DCA2F">
    <w:pPr>
      <w:pStyle w:val="18"/>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FE660">
    <w:r>
      <w:fldChar w:fldCharType="begin"/>
    </w:r>
    <w:r>
      <w:instrText xml:space="preserve">PAGE  </w:instrText>
    </w:r>
    <w:r>
      <w:fldChar w:fldCharType="end"/>
    </w:r>
  </w:p>
  <w:p w14:paraId="6D55908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DBC5F">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296FF">
    <w:pPr>
      <w:pStyle w:val="18"/>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6CA1C">
    <w:pPr>
      <w:pStyle w:val="18"/>
      <w:jc w:val="center"/>
    </w:pPr>
    <w:r>
      <w:fldChar w:fldCharType="begin"/>
    </w:r>
    <w:r>
      <w:instrText xml:space="preserve"> PAGE   \* MERGEFORMAT </w:instrText>
    </w:r>
    <w:r>
      <w:fldChar w:fldCharType="separate"/>
    </w:r>
    <w:r>
      <w:rPr>
        <w:lang w:val="zh-CN"/>
      </w:rPr>
      <w:t>23</w:t>
    </w:r>
    <w:r>
      <w:rPr>
        <w:lang w:val="zh-CN"/>
      </w:rPr>
      <w:fldChar w:fldCharType="end"/>
    </w:r>
  </w:p>
  <w:p w14:paraId="5A8FCFD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97D9F">
    <w:pPr>
      <w:pStyle w:val="18"/>
      <w:jc w:val="center"/>
    </w:pPr>
    <w:r>
      <w:fldChar w:fldCharType="begin"/>
    </w:r>
    <w:r>
      <w:instrText xml:space="preserve"> PAGE   \* MERGEFORMAT </w:instrText>
    </w:r>
    <w:r>
      <w:fldChar w:fldCharType="separate"/>
    </w:r>
    <w:r>
      <w:rPr>
        <w:lang w:val="zh-CN"/>
      </w:rPr>
      <w:t>81</w:t>
    </w:r>
    <w:r>
      <w:rPr>
        <w:lang w:val="zh-CN"/>
      </w:rPr>
      <w:fldChar w:fldCharType="end"/>
    </w:r>
  </w:p>
  <w:p w14:paraId="523629C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6A324">
    <w:pPr>
      <w:pStyle w:val="18"/>
      <w:jc w:val="center"/>
    </w:pPr>
    <w:r>
      <w:fldChar w:fldCharType="begin"/>
    </w:r>
    <w:r>
      <w:instrText xml:space="preserve"> PAGE   \* MERGEFORMAT </w:instrText>
    </w:r>
    <w:r>
      <w:fldChar w:fldCharType="separate"/>
    </w:r>
    <w:r>
      <w:rPr>
        <w:lang w:val="zh-CN"/>
      </w:rPr>
      <w:t>79</w:t>
    </w:r>
    <w:r>
      <w:rPr>
        <w:lang w:val="zh-CN"/>
      </w:rPr>
      <w:fldChar w:fldCharType="end"/>
    </w:r>
  </w:p>
  <w:p w14:paraId="6B84DB9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7F272">
    <w:pPr>
      <w:pStyle w:val="18"/>
      <w:jc w:val="center"/>
    </w:pPr>
    <w:r>
      <w:fldChar w:fldCharType="begin"/>
    </w:r>
    <w:r>
      <w:instrText xml:space="preserve"> PAGE   \* MERGEFORMAT </w:instrText>
    </w:r>
    <w:r>
      <w:fldChar w:fldCharType="separate"/>
    </w:r>
    <w:r>
      <w:rPr>
        <w:lang w:val="zh-CN"/>
      </w:rPr>
      <w:t>97</w:t>
    </w:r>
    <w:r>
      <w:rPr>
        <w:lang w:val="zh-CN"/>
      </w:rPr>
      <w:fldChar w:fldCharType="end"/>
    </w:r>
  </w:p>
  <w:p w14:paraId="5C03372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E45EB">
    <w:r>
      <w:fldChar w:fldCharType="begin"/>
    </w:r>
    <w:r>
      <w:instrText xml:space="preserve">PAGE  </w:instrText>
    </w:r>
    <w:r>
      <w:fldChar w:fldCharType="end"/>
    </w:r>
  </w:p>
  <w:p w14:paraId="53E64B1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CA895">
    <w:r>
      <w:t></w:t>
    </w:r>
  </w:p>
  <w:p w14:paraId="64279A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92FBA">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691D2">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C104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08ED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FFE60">
    <w:pPr>
      <w:pStyle w:val="19"/>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01F5C">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2"/>
    <w:multiLevelType w:val="multilevel"/>
    <w:tmpl w:val="00000002"/>
    <w:lvl w:ilvl="0" w:tentative="0">
      <w:start w:val="1"/>
      <w:numFmt w:val="chineseCountingThousand"/>
      <w:pStyle w:val="81"/>
      <w:suff w:val="space"/>
      <w:lvlText w:val="%1. "/>
      <w:lvlJc w:val="left"/>
      <w:pPr>
        <w:ind w:left="1179" w:hanging="907"/>
      </w:pPr>
    </w:lvl>
    <w:lvl w:ilvl="1" w:tentative="0">
      <w:start w:val="1"/>
      <w:numFmt w:val="decimal"/>
      <w:pStyle w:val="82"/>
      <w:isLgl/>
      <w:suff w:val="space"/>
      <w:lvlText w:val="%1.%2 "/>
      <w:lvlJc w:val="left"/>
      <w:pPr>
        <w:ind w:left="1362" w:hanging="794"/>
      </w:pPr>
    </w:lvl>
    <w:lvl w:ilvl="2" w:tentative="0">
      <w:start w:val="1"/>
      <w:numFmt w:val="decimal"/>
      <w:pStyle w:val="83"/>
      <w:isLgl/>
      <w:suff w:val="space"/>
      <w:lvlText w:val="%1.%2.%3 "/>
      <w:lvlJc w:val="left"/>
      <w:pPr>
        <w:ind w:left="907" w:hanging="907"/>
      </w:pPr>
    </w:lvl>
    <w:lvl w:ilvl="3" w:tentative="0">
      <w:start w:val="1"/>
      <w:numFmt w:val="decimal"/>
      <w:pStyle w:val="85"/>
      <w:isLgl/>
      <w:suff w:val="space"/>
      <w:lvlText w:val="%1.%2.%3.%4 "/>
      <w:lvlJc w:val="left"/>
      <w:pPr>
        <w:ind w:left="1021" w:hanging="1021"/>
      </w:pPr>
    </w:lvl>
    <w:lvl w:ilvl="4" w:tentative="0">
      <w:start w:val="1"/>
      <w:numFmt w:val="decimal"/>
      <w:pStyle w:val="86"/>
      <w:isLgl/>
      <w:suff w:val="space"/>
      <w:lvlText w:val="%1.%2.%3.%4.%5 "/>
      <w:lvlJc w:val="left"/>
      <w:pPr>
        <w:ind w:left="1134" w:hanging="1134"/>
      </w:pPr>
    </w:lvl>
    <w:lvl w:ilvl="5" w:tentative="0">
      <w:start w:val="1"/>
      <w:numFmt w:val="decimal"/>
      <w:pStyle w:val="87"/>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2">
    <w:nsid w:val="00000003"/>
    <w:multiLevelType w:val="multilevel"/>
    <w:tmpl w:val="00000003"/>
    <w:lvl w:ilvl="0" w:tentative="0">
      <w:start w:val="1"/>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4"/>
    <w:multiLevelType w:val="singleLevel"/>
    <w:tmpl w:val="00000004"/>
    <w:lvl w:ilvl="0" w:tentative="0">
      <w:start w:val="3"/>
      <w:numFmt w:val="decimal"/>
      <w:lvlText w:val="%1."/>
      <w:lvlJc w:val="left"/>
      <w:pPr>
        <w:tabs>
          <w:tab w:val="left" w:pos="312"/>
        </w:tabs>
      </w:pPr>
    </w:lvl>
  </w:abstractNum>
  <w:abstractNum w:abstractNumId="4">
    <w:nsid w:val="00000005"/>
    <w:multiLevelType w:val="singleLevel"/>
    <w:tmpl w:val="00000005"/>
    <w:lvl w:ilvl="0" w:tentative="0">
      <w:start w:val="1"/>
      <w:numFmt w:val="decimal"/>
      <w:lvlText w:val="%1."/>
      <w:lvlJc w:val="left"/>
      <w:pPr>
        <w:tabs>
          <w:tab w:val="left" w:pos="312"/>
        </w:tabs>
      </w:pPr>
    </w:lvl>
  </w:abstractNum>
  <w:abstractNum w:abstractNumId="5">
    <w:nsid w:val="3EBB3C91"/>
    <w:multiLevelType w:val="multilevel"/>
    <w:tmpl w:val="3EBB3C91"/>
    <w:lvl w:ilvl="0" w:tentative="0">
      <w:start w:val="1"/>
      <w:numFmt w:val="chineseCountingThousand"/>
      <w:pStyle w:val="99"/>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6">
    <w:nsid w:val="5AE00B6A"/>
    <w:multiLevelType w:val="singleLevel"/>
    <w:tmpl w:val="5AE00B6A"/>
    <w:lvl w:ilvl="0" w:tentative="0">
      <w:start w:val="1"/>
      <w:numFmt w:val="decimal"/>
      <w:suff w:val="nothing"/>
      <w:lvlText w:val="%1、"/>
      <w:lvlJc w:val="left"/>
    </w:lvl>
  </w:abstractNum>
  <w:abstractNum w:abstractNumId="7">
    <w:nsid w:val="7A9B6140"/>
    <w:multiLevelType w:val="singleLevel"/>
    <w:tmpl w:val="7A9B6140"/>
    <w:lvl w:ilvl="0" w:tentative="0">
      <w:start w:val="1"/>
      <w:numFmt w:val="decimal"/>
      <w:lvlText w:val="%1."/>
      <w:lvlJc w:val="left"/>
      <w:pPr>
        <w:tabs>
          <w:tab w:val="left" w:pos="312"/>
        </w:tabs>
      </w:pPr>
    </w:lvl>
  </w:abstractNum>
  <w:num w:numId="1">
    <w:abstractNumId w:val="1"/>
  </w:num>
  <w:num w:numId="2">
    <w:abstractNumId w:val="5"/>
  </w:num>
  <w:num w:numId="3">
    <w:abstractNumId w:val="3"/>
  </w:num>
  <w:num w:numId="4">
    <w:abstractNumId w:val="6"/>
  </w:num>
  <w:num w:numId="5">
    <w:abstractNumId w:val="0"/>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695C5A"/>
    <w:rsid w:val="02417606"/>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825F0E"/>
    <w:rsid w:val="07A330EF"/>
    <w:rsid w:val="085B1D6F"/>
    <w:rsid w:val="08CC04B1"/>
    <w:rsid w:val="08DA6189"/>
    <w:rsid w:val="090A22D0"/>
    <w:rsid w:val="099B2368"/>
    <w:rsid w:val="0ACD72E3"/>
    <w:rsid w:val="0ADE7138"/>
    <w:rsid w:val="0AE162B1"/>
    <w:rsid w:val="0B120B26"/>
    <w:rsid w:val="0B74712A"/>
    <w:rsid w:val="0B754EF6"/>
    <w:rsid w:val="0CB06C4E"/>
    <w:rsid w:val="0CB16402"/>
    <w:rsid w:val="0DBD4932"/>
    <w:rsid w:val="0DF2282E"/>
    <w:rsid w:val="0E20076C"/>
    <w:rsid w:val="0E2C213E"/>
    <w:rsid w:val="0E2E3EEC"/>
    <w:rsid w:val="0E3E1F17"/>
    <w:rsid w:val="0E6179B4"/>
    <w:rsid w:val="0F101810"/>
    <w:rsid w:val="0F876CAA"/>
    <w:rsid w:val="0FC24482"/>
    <w:rsid w:val="1002331F"/>
    <w:rsid w:val="104C72BA"/>
    <w:rsid w:val="10817E99"/>
    <w:rsid w:val="1090605D"/>
    <w:rsid w:val="10D85E5D"/>
    <w:rsid w:val="10FF162B"/>
    <w:rsid w:val="115640DB"/>
    <w:rsid w:val="119B4F8B"/>
    <w:rsid w:val="11DA1F57"/>
    <w:rsid w:val="12FE5795"/>
    <w:rsid w:val="133C3FF8"/>
    <w:rsid w:val="134A0B53"/>
    <w:rsid w:val="136D0AFA"/>
    <w:rsid w:val="13776361"/>
    <w:rsid w:val="13C01A9E"/>
    <w:rsid w:val="14573510"/>
    <w:rsid w:val="14D520BF"/>
    <w:rsid w:val="153D68B5"/>
    <w:rsid w:val="15C96B44"/>
    <w:rsid w:val="15D7016F"/>
    <w:rsid w:val="16893F4C"/>
    <w:rsid w:val="16E830BB"/>
    <w:rsid w:val="16F1160C"/>
    <w:rsid w:val="170665BD"/>
    <w:rsid w:val="17384607"/>
    <w:rsid w:val="1778450C"/>
    <w:rsid w:val="17C00B7E"/>
    <w:rsid w:val="17D62AA1"/>
    <w:rsid w:val="18215DD1"/>
    <w:rsid w:val="1839615F"/>
    <w:rsid w:val="189D47B5"/>
    <w:rsid w:val="18A9070A"/>
    <w:rsid w:val="18C63235"/>
    <w:rsid w:val="190B0C48"/>
    <w:rsid w:val="192C2F88"/>
    <w:rsid w:val="193C265E"/>
    <w:rsid w:val="19745C69"/>
    <w:rsid w:val="19E41BC5"/>
    <w:rsid w:val="1A192F67"/>
    <w:rsid w:val="1A3D12D5"/>
    <w:rsid w:val="1A561332"/>
    <w:rsid w:val="1B0A18B9"/>
    <w:rsid w:val="1B0F4742"/>
    <w:rsid w:val="1B2508D5"/>
    <w:rsid w:val="1BAB6B0C"/>
    <w:rsid w:val="1BB6133F"/>
    <w:rsid w:val="1C98564D"/>
    <w:rsid w:val="1CC7132A"/>
    <w:rsid w:val="1D207125"/>
    <w:rsid w:val="1D303373"/>
    <w:rsid w:val="1D3249F5"/>
    <w:rsid w:val="1DC2204A"/>
    <w:rsid w:val="1E1B36DB"/>
    <w:rsid w:val="1E2477C2"/>
    <w:rsid w:val="1E661FAD"/>
    <w:rsid w:val="1E766B63"/>
    <w:rsid w:val="1E7F6837"/>
    <w:rsid w:val="1F3A65D6"/>
    <w:rsid w:val="1FF117D2"/>
    <w:rsid w:val="2043583E"/>
    <w:rsid w:val="20A66E00"/>
    <w:rsid w:val="20A93B08"/>
    <w:rsid w:val="20CF69FF"/>
    <w:rsid w:val="215575AF"/>
    <w:rsid w:val="21D0685C"/>
    <w:rsid w:val="21FE64EE"/>
    <w:rsid w:val="222B66B5"/>
    <w:rsid w:val="222F040E"/>
    <w:rsid w:val="223B2725"/>
    <w:rsid w:val="22587809"/>
    <w:rsid w:val="2277734E"/>
    <w:rsid w:val="228D5F39"/>
    <w:rsid w:val="22C759AB"/>
    <w:rsid w:val="22CC58EC"/>
    <w:rsid w:val="22ED4CA6"/>
    <w:rsid w:val="231837DC"/>
    <w:rsid w:val="23416C12"/>
    <w:rsid w:val="236C2E3A"/>
    <w:rsid w:val="239105B4"/>
    <w:rsid w:val="23B4085A"/>
    <w:rsid w:val="24D02351"/>
    <w:rsid w:val="2580476C"/>
    <w:rsid w:val="258C1663"/>
    <w:rsid w:val="25A61BFE"/>
    <w:rsid w:val="25FF773D"/>
    <w:rsid w:val="26197BED"/>
    <w:rsid w:val="263D67D5"/>
    <w:rsid w:val="26972C36"/>
    <w:rsid w:val="278506FB"/>
    <w:rsid w:val="27B9546F"/>
    <w:rsid w:val="27ED550F"/>
    <w:rsid w:val="27F51441"/>
    <w:rsid w:val="28153891"/>
    <w:rsid w:val="28DC5E47"/>
    <w:rsid w:val="29233D8C"/>
    <w:rsid w:val="29354CE1"/>
    <w:rsid w:val="2A324DD9"/>
    <w:rsid w:val="2AED63FF"/>
    <w:rsid w:val="2B2F6CA2"/>
    <w:rsid w:val="2B5B5D7C"/>
    <w:rsid w:val="2B6C1A1A"/>
    <w:rsid w:val="2BC37160"/>
    <w:rsid w:val="2C896895"/>
    <w:rsid w:val="2C8C26AF"/>
    <w:rsid w:val="2CC47634"/>
    <w:rsid w:val="2D3A16A4"/>
    <w:rsid w:val="2D4A7B39"/>
    <w:rsid w:val="2D8A43D9"/>
    <w:rsid w:val="2D935D5E"/>
    <w:rsid w:val="2DA46DB0"/>
    <w:rsid w:val="2E1B4B77"/>
    <w:rsid w:val="2F2D3959"/>
    <w:rsid w:val="2F3E011F"/>
    <w:rsid w:val="30041AF2"/>
    <w:rsid w:val="306C1C3E"/>
    <w:rsid w:val="30C43730"/>
    <w:rsid w:val="310F5891"/>
    <w:rsid w:val="313343F4"/>
    <w:rsid w:val="31441B75"/>
    <w:rsid w:val="317727D0"/>
    <w:rsid w:val="31817421"/>
    <w:rsid w:val="31D75850"/>
    <w:rsid w:val="32432DA9"/>
    <w:rsid w:val="326A7D7B"/>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9FF079"/>
    <w:rsid w:val="36A96F67"/>
    <w:rsid w:val="36AC013E"/>
    <w:rsid w:val="373F5BE4"/>
    <w:rsid w:val="374D654E"/>
    <w:rsid w:val="37C36E10"/>
    <w:rsid w:val="37E53299"/>
    <w:rsid w:val="381D59F7"/>
    <w:rsid w:val="383C2774"/>
    <w:rsid w:val="38792D0F"/>
    <w:rsid w:val="38BF191C"/>
    <w:rsid w:val="38F0675A"/>
    <w:rsid w:val="390A7E99"/>
    <w:rsid w:val="392A4AF1"/>
    <w:rsid w:val="39316051"/>
    <w:rsid w:val="397D3044"/>
    <w:rsid w:val="3A0A0D7C"/>
    <w:rsid w:val="3A276198"/>
    <w:rsid w:val="3A8C79E3"/>
    <w:rsid w:val="3AFC4BC0"/>
    <w:rsid w:val="3B04079B"/>
    <w:rsid w:val="3B14DD25"/>
    <w:rsid w:val="3B2935D2"/>
    <w:rsid w:val="3C322BEA"/>
    <w:rsid w:val="3C922FF7"/>
    <w:rsid w:val="3C940DD1"/>
    <w:rsid w:val="3CE82ECA"/>
    <w:rsid w:val="3D017000"/>
    <w:rsid w:val="3D0D4F42"/>
    <w:rsid w:val="3D510A70"/>
    <w:rsid w:val="3D564C7B"/>
    <w:rsid w:val="3D567E34"/>
    <w:rsid w:val="3D7529B0"/>
    <w:rsid w:val="3DA1745A"/>
    <w:rsid w:val="3DD015AE"/>
    <w:rsid w:val="3DD31B91"/>
    <w:rsid w:val="3E007984"/>
    <w:rsid w:val="3ED54C8A"/>
    <w:rsid w:val="3F762A0F"/>
    <w:rsid w:val="3FF4732A"/>
    <w:rsid w:val="3FFFCB76"/>
    <w:rsid w:val="4012405C"/>
    <w:rsid w:val="409F5F96"/>
    <w:rsid w:val="410B7187"/>
    <w:rsid w:val="41175EEF"/>
    <w:rsid w:val="41391777"/>
    <w:rsid w:val="413C1F28"/>
    <w:rsid w:val="41E15A93"/>
    <w:rsid w:val="42916AC5"/>
    <w:rsid w:val="430A16DB"/>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534FEC"/>
    <w:rsid w:val="48577D5B"/>
    <w:rsid w:val="48922EE5"/>
    <w:rsid w:val="48B44D68"/>
    <w:rsid w:val="48B65D2E"/>
    <w:rsid w:val="4911760F"/>
    <w:rsid w:val="492D1D60"/>
    <w:rsid w:val="49872699"/>
    <w:rsid w:val="49AF444A"/>
    <w:rsid w:val="4A056E6A"/>
    <w:rsid w:val="4AC850E1"/>
    <w:rsid w:val="4B1B0B6E"/>
    <w:rsid w:val="4B942086"/>
    <w:rsid w:val="4BBA406B"/>
    <w:rsid w:val="4BCB7C3F"/>
    <w:rsid w:val="4C9C5D5E"/>
    <w:rsid w:val="4DC87745"/>
    <w:rsid w:val="4E332E37"/>
    <w:rsid w:val="4E6A373F"/>
    <w:rsid w:val="4ECE0E1B"/>
    <w:rsid w:val="4F3B50DC"/>
    <w:rsid w:val="4FA80E84"/>
    <w:rsid w:val="4FF24DF2"/>
    <w:rsid w:val="50874A7C"/>
    <w:rsid w:val="508800CA"/>
    <w:rsid w:val="50B639AC"/>
    <w:rsid w:val="50F61095"/>
    <w:rsid w:val="51FE2459"/>
    <w:rsid w:val="52232583"/>
    <w:rsid w:val="523F1387"/>
    <w:rsid w:val="52636E23"/>
    <w:rsid w:val="52D774F2"/>
    <w:rsid w:val="535350EA"/>
    <w:rsid w:val="53B316E5"/>
    <w:rsid w:val="53E14128"/>
    <w:rsid w:val="53EA7771"/>
    <w:rsid w:val="54650160"/>
    <w:rsid w:val="548265AD"/>
    <w:rsid w:val="54D940C9"/>
    <w:rsid w:val="551C2433"/>
    <w:rsid w:val="55964B44"/>
    <w:rsid w:val="56073F6A"/>
    <w:rsid w:val="56693205"/>
    <w:rsid w:val="56D41610"/>
    <w:rsid w:val="56F9318A"/>
    <w:rsid w:val="57517B92"/>
    <w:rsid w:val="58562F86"/>
    <w:rsid w:val="5866597E"/>
    <w:rsid w:val="58E654C7"/>
    <w:rsid w:val="599A1430"/>
    <w:rsid w:val="59DA5D72"/>
    <w:rsid w:val="5B647768"/>
    <w:rsid w:val="5B9E120E"/>
    <w:rsid w:val="5BA109BC"/>
    <w:rsid w:val="5BE7117C"/>
    <w:rsid w:val="5C000168"/>
    <w:rsid w:val="5C180C7F"/>
    <w:rsid w:val="5C2E2841"/>
    <w:rsid w:val="5C700ABB"/>
    <w:rsid w:val="5C8F4399"/>
    <w:rsid w:val="5CCA3EEF"/>
    <w:rsid w:val="5D32630C"/>
    <w:rsid w:val="5D5C2DED"/>
    <w:rsid w:val="5DF70396"/>
    <w:rsid w:val="5EB44D5F"/>
    <w:rsid w:val="5EEF35D7"/>
    <w:rsid w:val="5F0E6369"/>
    <w:rsid w:val="5F7EEC0A"/>
    <w:rsid w:val="5F9E50E6"/>
    <w:rsid w:val="5FB73A8B"/>
    <w:rsid w:val="5FBA587D"/>
    <w:rsid w:val="60332E9C"/>
    <w:rsid w:val="608C7E04"/>
    <w:rsid w:val="609E09A0"/>
    <w:rsid w:val="60D24480"/>
    <w:rsid w:val="60E76189"/>
    <w:rsid w:val="610F5818"/>
    <w:rsid w:val="61503E28"/>
    <w:rsid w:val="617939F4"/>
    <w:rsid w:val="61992383"/>
    <w:rsid w:val="62363C23"/>
    <w:rsid w:val="62734E40"/>
    <w:rsid w:val="62A52B40"/>
    <w:rsid w:val="62B03DB0"/>
    <w:rsid w:val="62C03E1E"/>
    <w:rsid w:val="62D73E37"/>
    <w:rsid w:val="62F87114"/>
    <w:rsid w:val="633C786A"/>
    <w:rsid w:val="6359415A"/>
    <w:rsid w:val="63844E4C"/>
    <w:rsid w:val="643F5A4B"/>
    <w:rsid w:val="64406728"/>
    <w:rsid w:val="648B4026"/>
    <w:rsid w:val="64D67364"/>
    <w:rsid w:val="65247DF1"/>
    <w:rsid w:val="65402FF4"/>
    <w:rsid w:val="66AF3A48"/>
    <w:rsid w:val="66EA6A5C"/>
    <w:rsid w:val="67136ED0"/>
    <w:rsid w:val="674E4A5E"/>
    <w:rsid w:val="67746F85"/>
    <w:rsid w:val="67947E23"/>
    <w:rsid w:val="67E908AD"/>
    <w:rsid w:val="68103D7E"/>
    <w:rsid w:val="68106CAE"/>
    <w:rsid w:val="68515FB2"/>
    <w:rsid w:val="68955405"/>
    <w:rsid w:val="68B7181F"/>
    <w:rsid w:val="69042303"/>
    <w:rsid w:val="699B6A4B"/>
    <w:rsid w:val="69B00DA5"/>
    <w:rsid w:val="69C77DFE"/>
    <w:rsid w:val="69CB37D4"/>
    <w:rsid w:val="6A2C4F62"/>
    <w:rsid w:val="6A7A2B04"/>
    <w:rsid w:val="6ACE4BFE"/>
    <w:rsid w:val="6ADB15C1"/>
    <w:rsid w:val="6B4D72A6"/>
    <w:rsid w:val="6BD46218"/>
    <w:rsid w:val="6C5940BA"/>
    <w:rsid w:val="6C7C7008"/>
    <w:rsid w:val="6CC83AE0"/>
    <w:rsid w:val="6CDE126B"/>
    <w:rsid w:val="6E0A419F"/>
    <w:rsid w:val="6E55586F"/>
    <w:rsid w:val="6EE42C42"/>
    <w:rsid w:val="6F6C53DE"/>
    <w:rsid w:val="6F777D7A"/>
    <w:rsid w:val="6FBA7A41"/>
    <w:rsid w:val="6FDD600F"/>
    <w:rsid w:val="6FF84BF7"/>
    <w:rsid w:val="70157D3D"/>
    <w:rsid w:val="70831F71"/>
    <w:rsid w:val="70EE2D4A"/>
    <w:rsid w:val="712A7399"/>
    <w:rsid w:val="73490637"/>
    <w:rsid w:val="737A1DC7"/>
    <w:rsid w:val="74841862"/>
    <w:rsid w:val="748B42AD"/>
    <w:rsid w:val="74D07320"/>
    <w:rsid w:val="74EE0377"/>
    <w:rsid w:val="750C3FCB"/>
    <w:rsid w:val="75A938A5"/>
    <w:rsid w:val="760805F4"/>
    <w:rsid w:val="76790114"/>
    <w:rsid w:val="769E013D"/>
    <w:rsid w:val="77146957"/>
    <w:rsid w:val="777F0DB7"/>
    <w:rsid w:val="778C10EB"/>
    <w:rsid w:val="77F77772"/>
    <w:rsid w:val="78061E7B"/>
    <w:rsid w:val="782E5EC7"/>
    <w:rsid w:val="785B5D23"/>
    <w:rsid w:val="78A815FE"/>
    <w:rsid w:val="78AB106D"/>
    <w:rsid w:val="79A16740"/>
    <w:rsid w:val="7A0F1171"/>
    <w:rsid w:val="7A5F3C76"/>
    <w:rsid w:val="7AA1E5A1"/>
    <w:rsid w:val="7AE565A4"/>
    <w:rsid w:val="7B1F5CAB"/>
    <w:rsid w:val="7B4C229B"/>
    <w:rsid w:val="7B5F93FC"/>
    <w:rsid w:val="7B905F16"/>
    <w:rsid w:val="7BBC3169"/>
    <w:rsid w:val="7BFC0690"/>
    <w:rsid w:val="7BFE1317"/>
    <w:rsid w:val="7C084414"/>
    <w:rsid w:val="7C3005B5"/>
    <w:rsid w:val="7C8D2C1A"/>
    <w:rsid w:val="7CD423B9"/>
    <w:rsid w:val="7CFB03C1"/>
    <w:rsid w:val="7D221505"/>
    <w:rsid w:val="7D247ECA"/>
    <w:rsid w:val="7D424115"/>
    <w:rsid w:val="7D754069"/>
    <w:rsid w:val="7DD56578"/>
    <w:rsid w:val="7DE245E8"/>
    <w:rsid w:val="7DEA2FEE"/>
    <w:rsid w:val="7E2412AD"/>
    <w:rsid w:val="7FD33494"/>
    <w:rsid w:val="7FEFF4CE"/>
    <w:rsid w:val="7FF01447"/>
    <w:rsid w:val="9FE761C8"/>
    <w:rsid w:val="CFE9DE61"/>
    <w:rsid w:val="D3FD5689"/>
    <w:rsid w:val="D9E7D366"/>
    <w:rsid w:val="DDBFF338"/>
    <w:rsid w:val="E8B5CCBE"/>
    <w:rsid w:val="EEBF8930"/>
    <w:rsid w:val="F0CFCDD4"/>
    <w:rsid w:val="F3D19FAD"/>
    <w:rsid w:val="F75B92BE"/>
    <w:rsid w:val="FED728FC"/>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qFormat/>
    <w:uiPriority w:val="99"/>
    <w:pPr>
      <w:keepNext/>
      <w:keepLines/>
      <w:spacing w:before="260" w:after="260" w:line="412" w:lineRule="auto"/>
      <w:outlineLvl w:val="1"/>
    </w:pPr>
    <w:rPr>
      <w:rFonts w:ascii="Arial" w:hAnsi="Arial" w:cs="Times New Roman"/>
      <w:b/>
      <w:sz w:val="32"/>
      <w:szCs w:val="28"/>
    </w:rPr>
  </w:style>
  <w:style w:type="paragraph" w:styleId="5">
    <w:name w:val="heading 3"/>
    <w:basedOn w:val="1"/>
    <w:next w:val="1"/>
    <w:link w:val="41"/>
    <w:qFormat/>
    <w:uiPriority w:val="9"/>
    <w:pPr>
      <w:keepNext/>
      <w:keepLines/>
      <w:spacing w:before="260" w:after="260" w:line="416" w:lineRule="auto"/>
      <w:outlineLvl w:val="2"/>
    </w:pPr>
    <w:rPr>
      <w:b/>
      <w:bCs/>
      <w:sz w:val="32"/>
      <w:szCs w:val="32"/>
    </w:rPr>
  </w:style>
  <w:style w:type="paragraph" w:styleId="6">
    <w:name w:val="heading 4"/>
    <w:basedOn w:val="1"/>
    <w:next w:val="1"/>
    <w:link w:val="42"/>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Indent"/>
    <w:basedOn w:val="1"/>
    <w:next w:val="1"/>
    <w:link w:val="46"/>
    <w:qFormat/>
    <w:uiPriority w:val="0"/>
    <w:pPr>
      <w:spacing w:line="480" w:lineRule="exact"/>
      <w:ind w:firstLine="480" w:firstLineChars="200"/>
    </w:pPr>
    <w:rPr>
      <w:rFonts w:ascii="宋体" w:hAnsi="宋体"/>
      <w:sz w:val="24"/>
    </w:rPr>
  </w:style>
  <w:style w:type="paragraph" w:styleId="7">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8">
    <w:name w:val="Normal Indent"/>
    <w:basedOn w:val="1"/>
    <w:next w:val="9"/>
    <w:link w:val="43"/>
    <w:qFormat/>
    <w:uiPriority w:val="0"/>
    <w:pPr>
      <w:ind w:firstLine="420"/>
    </w:pPr>
  </w:style>
  <w:style w:type="paragraph" w:styleId="9">
    <w:name w:val="toc 4"/>
    <w:basedOn w:val="1"/>
    <w:next w:val="1"/>
    <w:qFormat/>
    <w:uiPriority w:val="0"/>
    <w:pPr>
      <w:ind w:left="600" w:leftChars="600"/>
    </w:pPr>
  </w:style>
  <w:style w:type="paragraph" w:styleId="10">
    <w:name w:val="Document Map"/>
    <w:basedOn w:val="1"/>
    <w:link w:val="44"/>
    <w:qFormat/>
    <w:uiPriority w:val="99"/>
    <w:rPr>
      <w:rFonts w:ascii="宋体"/>
      <w:sz w:val="18"/>
      <w:szCs w:val="18"/>
    </w:rPr>
  </w:style>
  <w:style w:type="paragraph" w:styleId="11">
    <w:name w:val="annotation text"/>
    <w:basedOn w:val="1"/>
    <w:link w:val="45"/>
    <w:qFormat/>
    <w:uiPriority w:val="0"/>
    <w:pPr>
      <w:jc w:val="left"/>
    </w:pPr>
  </w:style>
  <w:style w:type="paragraph" w:styleId="12">
    <w:name w:val="Body Text"/>
    <w:basedOn w:val="1"/>
    <w:next w:val="1"/>
    <w:link w:val="37"/>
    <w:qFormat/>
    <w:uiPriority w:val="99"/>
    <w:pPr>
      <w:spacing w:after="120"/>
    </w:pPr>
  </w:style>
  <w:style w:type="paragraph" w:styleId="13">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4">
    <w:name w:val="Plain Text"/>
    <w:basedOn w:val="1"/>
    <w:link w:val="47"/>
    <w:qFormat/>
    <w:uiPriority w:val="0"/>
    <w:pPr>
      <w:snapToGrid w:val="0"/>
      <w:spacing w:line="440" w:lineRule="exact"/>
      <w:jc w:val="left"/>
    </w:pPr>
    <w:rPr>
      <w:rFonts w:ascii="仿宋_GB2312" w:hAnsi="Courier New" w:eastAsia="仿宋_GB2312"/>
      <w:sz w:val="24"/>
      <w:szCs w:val="24"/>
    </w:rPr>
  </w:style>
  <w:style w:type="paragraph" w:styleId="15">
    <w:name w:val="Date"/>
    <w:basedOn w:val="1"/>
    <w:next w:val="1"/>
    <w:link w:val="48"/>
    <w:qFormat/>
    <w:uiPriority w:val="99"/>
    <w:pPr>
      <w:ind w:left="100" w:leftChars="2500"/>
    </w:pPr>
  </w:style>
  <w:style w:type="paragraph" w:styleId="16">
    <w:name w:val="Body Text Indent 2"/>
    <w:basedOn w:val="1"/>
    <w:link w:val="49"/>
    <w:qFormat/>
    <w:uiPriority w:val="99"/>
    <w:pPr>
      <w:spacing w:after="120" w:line="480" w:lineRule="auto"/>
      <w:ind w:left="420" w:leftChars="200"/>
    </w:pPr>
    <w:rPr>
      <w:rFonts w:ascii="Times New Roman" w:hAnsi="Times New Roman" w:cs="Times New Roman"/>
    </w:rPr>
  </w:style>
  <w:style w:type="paragraph" w:styleId="17">
    <w:name w:val="Balloon Text"/>
    <w:basedOn w:val="1"/>
    <w:link w:val="50"/>
    <w:qFormat/>
    <w:uiPriority w:val="99"/>
    <w:rPr>
      <w:sz w:val="18"/>
      <w:szCs w:val="18"/>
    </w:rPr>
  </w:style>
  <w:style w:type="paragraph" w:styleId="18">
    <w:name w:val="footer"/>
    <w:basedOn w:val="1"/>
    <w:link w:val="51"/>
    <w:qFormat/>
    <w:uiPriority w:val="0"/>
    <w:pPr>
      <w:tabs>
        <w:tab w:val="center" w:pos="4153"/>
        <w:tab w:val="right" w:pos="8306"/>
      </w:tabs>
      <w:snapToGrid w:val="0"/>
      <w:jc w:val="left"/>
    </w:pPr>
    <w:rPr>
      <w:sz w:val="18"/>
      <w:szCs w:val="18"/>
    </w:rPr>
  </w:style>
  <w:style w:type="paragraph" w:styleId="19">
    <w:name w:val="header"/>
    <w:basedOn w:val="1"/>
    <w:link w:val="52"/>
    <w:qFormat/>
    <w:uiPriority w:val="99"/>
    <w:pPr>
      <w:pBdr>
        <w:bottom w:val="single" w:color="auto" w:sz="6" w:space="1"/>
      </w:pBdr>
      <w:tabs>
        <w:tab w:val="center" w:pos="4153"/>
        <w:tab w:val="right" w:pos="8306"/>
      </w:tabs>
      <w:snapToGrid w:val="0"/>
      <w:jc w:val="center"/>
    </w:pPr>
    <w:rPr>
      <w:sz w:val="18"/>
      <w:szCs w:val="18"/>
    </w:rPr>
  </w:style>
  <w:style w:type="paragraph" w:styleId="20">
    <w:name w:val="Subtitle"/>
    <w:basedOn w:val="1"/>
    <w:next w:val="1"/>
    <w:link w:val="53"/>
    <w:qFormat/>
    <w:uiPriority w:val="11"/>
    <w:pPr>
      <w:adjustRightInd w:val="0"/>
      <w:snapToGrid w:val="0"/>
      <w:spacing w:before="240" w:after="480"/>
      <w:jc w:val="center"/>
    </w:pPr>
    <w:rPr>
      <w:rFonts w:ascii="Arial" w:hAnsi="Arial" w:eastAsia="隶书"/>
      <w:b/>
      <w:bCs/>
      <w:kern w:val="28"/>
      <w:sz w:val="44"/>
      <w:szCs w:val="32"/>
    </w:rPr>
  </w:style>
  <w:style w:type="paragraph" w:styleId="21">
    <w:name w:val="toc 2"/>
    <w:basedOn w:val="1"/>
    <w:next w:val="1"/>
    <w:qFormat/>
    <w:uiPriority w:val="0"/>
    <w:pPr>
      <w:widowControl/>
      <w:spacing w:before="120"/>
      <w:ind w:left="240"/>
      <w:jc w:val="left"/>
    </w:pPr>
    <w:rPr>
      <w:b/>
      <w:bCs/>
      <w:kern w:val="0"/>
      <w:sz w:val="22"/>
    </w:rPr>
  </w:style>
  <w:style w:type="paragraph" w:styleId="22">
    <w:name w:val="Normal (Web)"/>
    <w:basedOn w:val="1"/>
    <w:qFormat/>
    <w:uiPriority w:val="99"/>
    <w:pPr>
      <w:spacing w:beforeAutospacing="1" w:afterAutospacing="1"/>
      <w:jc w:val="left"/>
    </w:pPr>
    <w:rPr>
      <w:rFonts w:cs="Times New Roman"/>
      <w:kern w:val="0"/>
      <w:sz w:val="24"/>
    </w:rPr>
  </w:style>
  <w:style w:type="paragraph" w:styleId="23">
    <w:name w:val="Title"/>
    <w:basedOn w:val="1"/>
    <w:next w:val="1"/>
    <w:link w:val="54"/>
    <w:qFormat/>
    <w:uiPriority w:val="0"/>
    <w:pPr>
      <w:widowControl/>
      <w:spacing w:before="240" w:after="60"/>
      <w:jc w:val="center"/>
      <w:outlineLvl w:val="0"/>
    </w:pPr>
    <w:rPr>
      <w:rFonts w:ascii="Cambria" w:hAnsi="Cambria"/>
      <w:b/>
      <w:bCs/>
      <w:kern w:val="28"/>
      <w:sz w:val="32"/>
      <w:szCs w:val="32"/>
      <w:lang w:eastAsia="en-US" w:bidi="en-US"/>
    </w:rPr>
  </w:style>
  <w:style w:type="paragraph" w:styleId="24">
    <w:name w:val="annotation subject"/>
    <w:basedOn w:val="11"/>
    <w:next w:val="11"/>
    <w:link w:val="55"/>
    <w:qFormat/>
    <w:uiPriority w:val="99"/>
    <w:rPr>
      <w:b/>
      <w:bCs/>
    </w:rPr>
  </w:style>
  <w:style w:type="paragraph" w:styleId="25">
    <w:name w:val="Body Text First Indent"/>
    <w:basedOn w:val="12"/>
    <w:link w:val="38"/>
    <w:qFormat/>
    <w:uiPriority w:val="0"/>
    <w:pPr>
      <w:widowControl/>
      <w:ind w:firstLine="420" w:firstLineChars="100"/>
      <w:jc w:val="left"/>
    </w:pPr>
    <w:rPr>
      <w:rFonts w:ascii="Times New Roman" w:cs="Times New Roman"/>
      <w:kern w:val="0"/>
      <w:sz w:val="24"/>
      <w:szCs w:val="24"/>
      <w:lang w:eastAsia="en-US" w:bidi="en-US"/>
    </w:rPr>
  </w:style>
  <w:style w:type="paragraph" w:styleId="26">
    <w:name w:val="Body Text First Indent 2"/>
    <w:basedOn w:val="2"/>
    <w:next w:val="12"/>
    <w:link w:val="56"/>
    <w:qFormat/>
    <w:uiPriority w:val="99"/>
    <w:pPr>
      <w:spacing w:after="120" w:line="240" w:lineRule="auto"/>
      <w:ind w:left="420" w:leftChars="200" w:firstLine="420"/>
    </w:pPr>
    <w:rPr>
      <w:rFonts w:ascii="Calibri" w:hAnsi="Calibri"/>
      <w:sz w:val="21"/>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Hyperlink"/>
    <w:basedOn w:val="29"/>
    <w:qFormat/>
    <w:uiPriority w:val="99"/>
    <w:rPr>
      <w:color w:val="0000FF"/>
      <w:u w:val="single"/>
    </w:rPr>
  </w:style>
  <w:style w:type="character" w:styleId="33">
    <w:name w:val="annotation reference"/>
    <w:basedOn w:val="29"/>
    <w:qFormat/>
    <w:uiPriority w:val="0"/>
    <w:rPr>
      <w:sz w:val="21"/>
      <w:szCs w:val="21"/>
    </w:rPr>
  </w:style>
  <w:style w:type="paragraph" w:customStyle="1" w:styleId="3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6">
    <w:name w:val="表格文字"/>
    <w:basedOn w:val="14"/>
    <w:next w:val="12"/>
    <w:qFormat/>
    <w:uiPriority w:val="0"/>
    <w:pPr>
      <w:ind w:firstLine="200" w:firstLineChars="200"/>
    </w:pPr>
    <w:rPr>
      <w:rFonts w:ascii="Arial" w:hAnsi="Arial" w:cs="Times New Roman"/>
      <w:spacing w:val="-5"/>
      <w:kern w:val="0"/>
      <w:sz w:val="24"/>
      <w:szCs w:val="20"/>
    </w:rPr>
  </w:style>
  <w:style w:type="character" w:customStyle="1" w:styleId="37">
    <w:name w:val="正文文本 Char"/>
    <w:basedOn w:val="29"/>
    <w:link w:val="12"/>
    <w:qFormat/>
    <w:uiPriority w:val="99"/>
  </w:style>
  <w:style w:type="character" w:customStyle="1" w:styleId="38">
    <w:name w:val="正文首行缩进 Char"/>
    <w:basedOn w:val="37"/>
    <w:link w:val="25"/>
    <w:qFormat/>
    <w:uiPriority w:val="0"/>
    <w:rPr>
      <w:rFonts w:ascii="Times New Roman" w:cs="Times New Roman"/>
      <w:kern w:val="0"/>
      <w:sz w:val="24"/>
      <w:szCs w:val="24"/>
      <w:lang w:eastAsia="en-US" w:bidi="en-US"/>
    </w:rPr>
  </w:style>
  <w:style w:type="character" w:customStyle="1" w:styleId="39">
    <w:name w:val="标题 1 Char"/>
    <w:basedOn w:val="29"/>
    <w:link w:val="3"/>
    <w:qFormat/>
    <w:uiPriority w:val="9"/>
    <w:rPr>
      <w:b/>
      <w:bCs/>
      <w:kern w:val="44"/>
      <w:sz w:val="44"/>
      <w:szCs w:val="44"/>
    </w:rPr>
  </w:style>
  <w:style w:type="character" w:customStyle="1" w:styleId="40">
    <w:name w:val="标题 2 Char"/>
    <w:basedOn w:val="29"/>
    <w:link w:val="4"/>
    <w:qFormat/>
    <w:uiPriority w:val="99"/>
    <w:rPr>
      <w:rFonts w:ascii="Arial" w:hAnsi="Arial" w:eastAsia="宋体" w:cs="Times New Roman"/>
      <w:b/>
      <w:sz w:val="32"/>
      <w:szCs w:val="28"/>
    </w:rPr>
  </w:style>
  <w:style w:type="character" w:customStyle="1" w:styleId="41">
    <w:name w:val="标题 3 Char"/>
    <w:basedOn w:val="29"/>
    <w:link w:val="5"/>
    <w:qFormat/>
    <w:uiPriority w:val="9"/>
    <w:rPr>
      <w:b/>
      <w:bCs/>
      <w:sz w:val="32"/>
      <w:szCs w:val="32"/>
    </w:rPr>
  </w:style>
  <w:style w:type="character" w:customStyle="1" w:styleId="42">
    <w:name w:val="标题 4 Char"/>
    <w:basedOn w:val="29"/>
    <w:link w:val="6"/>
    <w:qFormat/>
    <w:uiPriority w:val="9"/>
    <w:rPr>
      <w:rFonts w:ascii="Cambria" w:hAnsi="Cambria" w:eastAsia="宋体" w:cs="宋体"/>
      <w:b/>
      <w:bCs/>
      <w:sz w:val="28"/>
      <w:szCs w:val="28"/>
    </w:rPr>
  </w:style>
  <w:style w:type="character" w:customStyle="1" w:styleId="43">
    <w:name w:val="正文缩进 Char"/>
    <w:link w:val="8"/>
    <w:qFormat/>
    <w:uiPriority w:val="0"/>
    <w:rPr>
      <w:rFonts w:eastAsia="宋体"/>
    </w:rPr>
  </w:style>
  <w:style w:type="character" w:customStyle="1" w:styleId="44">
    <w:name w:val="文档结构图 Char"/>
    <w:basedOn w:val="29"/>
    <w:link w:val="10"/>
    <w:qFormat/>
    <w:uiPriority w:val="99"/>
    <w:rPr>
      <w:rFonts w:ascii="宋体" w:eastAsia="宋体"/>
      <w:sz w:val="18"/>
      <w:szCs w:val="18"/>
    </w:rPr>
  </w:style>
  <w:style w:type="character" w:customStyle="1" w:styleId="45">
    <w:name w:val="批注文字 Char1"/>
    <w:basedOn w:val="29"/>
    <w:link w:val="11"/>
    <w:qFormat/>
    <w:uiPriority w:val="0"/>
  </w:style>
  <w:style w:type="character" w:customStyle="1" w:styleId="46">
    <w:name w:val="正文文本缩进 Char"/>
    <w:basedOn w:val="29"/>
    <w:link w:val="2"/>
    <w:qFormat/>
    <w:uiPriority w:val="0"/>
    <w:rPr>
      <w:rFonts w:ascii="宋体" w:hAnsi="宋体"/>
      <w:sz w:val="24"/>
    </w:rPr>
  </w:style>
  <w:style w:type="character" w:customStyle="1" w:styleId="47">
    <w:name w:val="纯文本 Char"/>
    <w:basedOn w:val="29"/>
    <w:link w:val="14"/>
    <w:qFormat/>
    <w:uiPriority w:val="0"/>
    <w:rPr>
      <w:rFonts w:ascii="仿宋_GB2312" w:hAnsi="Courier New" w:eastAsia="仿宋_GB2312" w:cs="宋体"/>
      <w:kern w:val="2"/>
      <w:sz w:val="24"/>
      <w:szCs w:val="24"/>
    </w:rPr>
  </w:style>
  <w:style w:type="character" w:customStyle="1" w:styleId="48">
    <w:name w:val="日期 Char1"/>
    <w:basedOn w:val="29"/>
    <w:link w:val="15"/>
    <w:qFormat/>
    <w:uiPriority w:val="99"/>
  </w:style>
  <w:style w:type="character" w:customStyle="1" w:styleId="49">
    <w:name w:val="正文文本缩进 2 Char"/>
    <w:basedOn w:val="29"/>
    <w:link w:val="16"/>
    <w:qFormat/>
    <w:uiPriority w:val="99"/>
    <w:rPr>
      <w:kern w:val="2"/>
      <w:sz w:val="21"/>
      <w:szCs w:val="22"/>
    </w:rPr>
  </w:style>
  <w:style w:type="character" w:customStyle="1" w:styleId="50">
    <w:name w:val="批注框文本 Char"/>
    <w:basedOn w:val="29"/>
    <w:link w:val="17"/>
    <w:qFormat/>
    <w:uiPriority w:val="99"/>
    <w:rPr>
      <w:sz w:val="18"/>
      <w:szCs w:val="18"/>
    </w:rPr>
  </w:style>
  <w:style w:type="character" w:customStyle="1" w:styleId="51">
    <w:name w:val="页脚 Char"/>
    <w:basedOn w:val="29"/>
    <w:link w:val="18"/>
    <w:qFormat/>
    <w:uiPriority w:val="0"/>
    <w:rPr>
      <w:sz w:val="18"/>
      <w:szCs w:val="18"/>
    </w:rPr>
  </w:style>
  <w:style w:type="character" w:customStyle="1" w:styleId="52">
    <w:name w:val="页眉 Char"/>
    <w:basedOn w:val="29"/>
    <w:link w:val="19"/>
    <w:qFormat/>
    <w:uiPriority w:val="99"/>
    <w:rPr>
      <w:sz w:val="18"/>
      <w:szCs w:val="18"/>
    </w:rPr>
  </w:style>
  <w:style w:type="character" w:customStyle="1" w:styleId="53">
    <w:name w:val="副标题 Char"/>
    <w:basedOn w:val="29"/>
    <w:link w:val="20"/>
    <w:qFormat/>
    <w:uiPriority w:val="11"/>
    <w:rPr>
      <w:rFonts w:ascii="Arial" w:hAnsi="Arial" w:eastAsia="隶书"/>
      <w:b/>
      <w:bCs/>
      <w:kern w:val="28"/>
      <w:sz w:val="44"/>
      <w:szCs w:val="32"/>
    </w:rPr>
  </w:style>
  <w:style w:type="character" w:customStyle="1" w:styleId="54">
    <w:name w:val="标题 Char"/>
    <w:basedOn w:val="29"/>
    <w:link w:val="23"/>
    <w:qFormat/>
    <w:uiPriority w:val="0"/>
    <w:rPr>
      <w:rFonts w:ascii="Cambria" w:hAnsi="Cambria" w:eastAsia="宋体" w:cs="宋体"/>
      <w:b/>
      <w:bCs/>
      <w:kern w:val="28"/>
      <w:sz w:val="32"/>
      <w:szCs w:val="32"/>
      <w:lang w:eastAsia="en-US" w:bidi="en-US"/>
    </w:rPr>
  </w:style>
  <w:style w:type="character" w:customStyle="1" w:styleId="55">
    <w:name w:val="批注主题 Char1"/>
    <w:basedOn w:val="45"/>
    <w:link w:val="24"/>
    <w:qFormat/>
    <w:uiPriority w:val="99"/>
    <w:rPr>
      <w:b/>
      <w:bCs/>
    </w:rPr>
  </w:style>
  <w:style w:type="character" w:customStyle="1" w:styleId="56">
    <w:name w:val="正文首行缩进 2 Char"/>
    <w:basedOn w:val="46"/>
    <w:link w:val="26"/>
    <w:qFormat/>
    <w:uiPriority w:val="99"/>
    <w:rPr>
      <w:rFonts w:ascii="宋体" w:hAnsi="宋体"/>
      <w:sz w:val="24"/>
    </w:rPr>
  </w:style>
  <w:style w:type="character" w:customStyle="1" w:styleId="57">
    <w:name w:val="批注文字 Char"/>
    <w:basedOn w:val="29"/>
    <w:qFormat/>
    <w:uiPriority w:val="0"/>
  </w:style>
  <w:style w:type="character" w:customStyle="1" w:styleId="58">
    <w:name w:val="日期 Char"/>
    <w:basedOn w:val="29"/>
    <w:qFormat/>
    <w:uiPriority w:val="99"/>
  </w:style>
  <w:style w:type="character" w:customStyle="1" w:styleId="59">
    <w:name w:val="批注主题 Char"/>
    <w:basedOn w:val="57"/>
    <w:qFormat/>
    <w:uiPriority w:val="99"/>
    <w:rPr>
      <w:b/>
      <w:bCs/>
    </w:rPr>
  </w:style>
  <w:style w:type="paragraph" w:customStyle="1" w:styleId="60">
    <w:name w:val="[Normal]"/>
    <w:qFormat/>
    <w:uiPriority w:val="0"/>
    <w:rPr>
      <w:rFonts w:ascii="宋体" w:hAnsi="宋体" w:eastAsia="宋体" w:cs="Times New Roman"/>
      <w:sz w:val="24"/>
      <w:szCs w:val="22"/>
      <w:lang w:val="zh-CN" w:eastAsia="zh-CN" w:bidi="ar-SA"/>
    </w:rPr>
  </w:style>
  <w:style w:type="paragraph" w:customStyle="1" w:styleId="61">
    <w:name w:val="列出段落1"/>
    <w:basedOn w:val="1"/>
    <w:qFormat/>
    <w:uiPriority w:val="34"/>
    <w:pPr>
      <w:ind w:firstLine="420" w:firstLineChars="200"/>
    </w:pPr>
  </w:style>
  <w:style w:type="paragraph" w:customStyle="1" w:styleId="62">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3">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4">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5">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6">
    <w:name w:val="正文缩进 Char2"/>
    <w:qFormat/>
    <w:uiPriority w:val="0"/>
    <w:rPr>
      <w:rFonts w:ascii="宋体" w:eastAsia="宋体"/>
      <w:snapToGrid w:val="0"/>
      <w:color w:val="000000"/>
      <w:kern w:val="28"/>
      <w:sz w:val="28"/>
      <w:lang w:val="en-US" w:eastAsia="zh-CN" w:bidi="ar-SA"/>
    </w:rPr>
  </w:style>
  <w:style w:type="character" w:customStyle="1" w:styleId="67">
    <w:name w:val="纯文本 Char1"/>
    <w:link w:val="68"/>
    <w:qFormat/>
    <w:uiPriority w:val="0"/>
    <w:rPr>
      <w:rFonts w:ascii="宋体" w:hAnsi="Courier New"/>
    </w:rPr>
  </w:style>
  <w:style w:type="paragraph" w:customStyle="1" w:styleId="68">
    <w:name w:val="纯文本1"/>
    <w:basedOn w:val="1"/>
    <w:link w:val="67"/>
    <w:qFormat/>
    <w:uiPriority w:val="0"/>
    <w:rPr>
      <w:rFonts w:ascii="宋体" w:hAnsi="Courier New"/>
    </w:rPr>
  </w:style>
  <w:style w:type="paragraph" w:customStyle="1" w:styleId="69">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0">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1">
    <w:name w:val="首行缩进"/>
    <w:basedOn w:val="1"/>
    <w:next w:val="1"/>
    <w:qFormat/>
    <w:uiPriority w:val="0"/>
    <w:pPr>
      <w:spacing w:line="360" w:lineRule="auto"/>
      <w:ind w:firstLine="480" w:firstLineChars="200"/>
    </w:pPr>
    <w:rPr>
      <w:rFonts w:ascii="宋体"/>
      <w:sz w:val="24"/>
      <w:szCs w:val="20"/>
    </w:rPr>
  </w:style>
  <w:style w:type="paragraph" w:customStyle="1" w:styleId="72">
    <w:name w:val="表格"/>
    <w:basedOn w:val="1"/>
    <w:qFormat/>
    <w:uiPriority w:val="0"/>
    <w:rPr>
      <w:rFonts w:ascii="Times New Roman" w:hAnsi="Times New Roman" w:cs="Times New Roman"/>
    </w:rPr>
  </w:style>
  <w:style w:type="paragraph" w:customStyle="1" w:styleId="73">
    <w:name w:val="List Paragraph1"/>
    <w:basedOn w:val="1"/>
    <w:qFormat/>
    <w:uiPriority w:val="99"/>
    <w:pPr>
      <w:ind w:firstLine="420" w:firstLineChars="200"/>
    </w:pPr>
    <w:rPr>
      <w:rFonts w:ascii="等线" w:hAnsi="等线" w:eastAsia="等线"/>
      <w:szCs w:val="24"/>
    </w:rPr>
  </w:style>
  <w:style w:type="paragraph" w:customStyle="1" w:styleId="74">
    <w:name w:val="纯文本111"/>
    <w:basedOn w:val="1"/>
    <w:qFormat/>
    <w:uiPriority w:val="0"/>
    <w:pPr>
      <w:adjustRightInd w:val="0"/>
    </w:pPr>
    <w:rPr>
      <w:rFonts w:hint="eastAsia" w:ascii="宋体" w:hAnsi="Courier New" w:eastAsia="楷体_GB2312" w:cs="Times New Roman"/>
      <w:sz w:val="28"/>
      <w:szCs w:val="20"/>
    </w:rPr>
  </w:style>
  <w:style w:type="paragraph" w:customStyle="1" w:styleId="75">
    <w:name w:val="文档正文"/>
    <w:basedOn w:val="1"/>
    <w:qFormat/>
    <w:uiPriority w:val="0"/>
    <w:rPr>
      <w:rFonts w:ascii="宋体" w:cs="Arial"/>
      <w:bCs/>
      <w:szCs w:val="21"/>
    </w:rPr>
  </w:style>
  <w:style w:type="paragraph" w:customStyle="1" w:styleId="76">
    <w:name w:val="列出段落2"/>
    <w:basedOn w:val="1"/>
    <w:qFormat/>
    <w:uiPriority w:val="34"/>
    <w:pPr>
      <w:ind w:firstLine="420" w:firstLineChars="200"/>
    </w:pPr>
    <w:rPr>
      <w:rFonts w:ascii="Times New Roman" w:hAnsi="Times New Roman" w:cs="Times New Roman"/>
      <w:szCs w:val="20"/>
    </w:rPr>
  </w:style>
  <w:style w:type="character" w:customStyle="1" w:styleId="77">
    <w:name w:val="正文2 Char Char"/>
    <w:link w:val="78"/>
    <w:qFormat/>
    <w:uiPriority w:val="0"/>
    <w:rPr>
      <w:rFonts w:ascii="仿宋_GB2312" w:hAnsi="宋体" w:eastAsia="仿宋_GB2312"/>
      <w:color w:val="000000"/>
      <w:sz w:val="24"/>
      <w:szCs w:val="24"/>
    </w:rPr>
  </w:style>
  <w:style w:type="paragraph" w:customStyle="1" w:styleId="78">
    <w:name w:val="正文2"/>
    <w:basedOn w:val="1"/>
    <w:link w:val="77"/>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79">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纯文本 Char3"/>
    <w:qFormat/>
    <w:uiPriority w:val="99"/>
    <w:rPr>
      <w:rFonts w:ascii="宋体" w:hAnsi="Courier New" w:eastAsia="黑体" w:cs="Times New Roman"/>
      <w:snapToGrid w:val="0"/>
      <w:szCs w:val="21"/>
    </w:rPr>
  </w:style>
  <w:style w:type="paragraph" w:customStyle="1" w:styleId="81">
    <w:name w:val="标题 1（洛）"/>
    <w:basedOn w:val="3"/>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2">
    <w:name w:val="标题 2（洛）"/>
    <w:basedOn w:val="4"/>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3">
    <w:name w:val="标题 3（洛）"/>
    <w:basedOn w:val="5"/>
    <w:next w:val="1"/>
    <w:link w:val="84"/>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4">
    <w:name w:val="标题 3（洛） Char"/>
    <w:link w:val="83"/>
    <w:qFormat/>
    <w:uiPriority w:val="0"/>
    <w:rPr>
      <w:rFonts w:ascii="Arial" w:hAnsi="Arial" w:eastAsia="黑体" w:cs="Times New Roman"/>
      <w:b/>
      <w:kern w:val="0"/>
      <w:sz w:val="30"/>
      <w:szCs w:val="30"/>
    </w:rPr>
  </w:style>
  <w:style w:type="paragraph" w:customStyle="1" w:styleId="85">
    <w:name w:val="标题 4（洛）"/>
    <w:basedOn w:val="6"/>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6">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7">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8">
    <w:name w:val="图表（洛）"/>
    <w:basedOn w:val="1"/>
    <w:link w:val="89"/>
    <w:qFormat/>
    <w:uiPriority w:val="0"/>
    <w:pPr>
      <w:jc w:val="left"/>
    </w:pPr>
    <w:rPr>
      <w:sz w:val="18"/>
      <w:szCs w:val="18"/>
    </w:rPr>
  </w:style>
  <w:style w:type="character" w:customStyle="1" w:styleId="89">
    <w:name w:val="图表（洛） Char"/>
    <w:basedOn w:val="29"/>
    <w:link w:val="88"/>
    <w:qFormat/>
    <w:uiPriority w:val="0"/>
    <w:rPr>
      <w:rFonts w:cs="宋体"/>
      <w:sz w:val="18"/>
      <w:szCs w:val="18"/>
    </w:rPr>
  </w:style>
  <w:style w:type="paragraph" w:customStyle="1" w:styleId="90">
    <w:name w:val="修订1"/>
    <w:qFormat/>
    <w:uiPriority w:val="99"/>
    <w:rPr>
      <w:rFonts w:ascii="Calibri" w:hAnsi="Calibri" w:eastAsia="宋体" w:cs="宋体"/>
      <w:kern w:val="2"/>
      <w:sz w:val="21"/>
      <w:szCs w:val="22"/>
      <w:lang w:val="en-US" w:eastAsia="zh-CN" w:bidi="ar-SA"/>
    </w:rPr>
  </w:style>
  <w:style w:type="paragraph" w:customStyle="1" w:styleId="91">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2">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3">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4">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5">
    <w:name w:val="修订2"/>
    <w:unhideWhenUsed/>
    <w:qFormat/>
    <w:uiPriority w:val="99"/>
    <w:rPr>
      <w:rFonts w:ascii="Calibri" w:hAnsi="Calibri" w:eastAsia="宋体" w:cs="宋体"/>
      <w:kern w:val="2"/>
      <w:sz w:val="21"/>
      <w:szCs w:val="22"/>
      <w:lang w:val="en-US" w:eastAsia="zh-CN" w:bidi="ar-SA"/>
    </w:rPr>
  </w:style>
  <w:style w:type="paragraph" w:styleId="96">
    <w:name w:val="List Paragraph"/>
    <w:basedOn w:val="1"/>
    <w:unhideWhenUsed/>
    <w:qFormat/>
    <w:uiPriority w:val="34"/>
    <w:pPr>
      <w:ind w:firstLine="420" w:firstLineChars="200"/>
    </w:pPr>
    <w:rPr>
      <w:rFonts w:ascii="Calibri" w:hAnsi="Calibri" w:eastAsia="宋体" w:cs="Times New Roman"/>
      <w:szCs w:val="24"/>
    </w:rPr>
  </w:style>
  <w:style w:type="paragraph" w:customStyle="1" w:styleId="97">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8">
    <w:name w:val="Table Normal"/>
    <w:semiHidden/>
    <w:unhideWhenUsed/>
    <w:qFormat/>
    <w:uiPriority w:val="0"/>
    <w:tblPr>
      <w:tblCellMar>
        <w:top w:w="0" w:type="dxa"/>
        <w:left w:w="0" w:type="dxa"/>
        <w:bottom w:w="0" w:type="dxa"/>
        <w:right w:w="0" w:type="dxa"/>
      </w:tblCellMar>
    </w:tblPr>
  </w:style>
  <w:style w:type="paragraph" w:customStyle="1" w:styleId="99">
    <w:name w:val="标1洛"/>
    <w:basedOn w:val="3"/>
    <w:next w:val="100"/>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100">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1">
    <w:name w:val="font21"/>
    <w:basedOn w:val="29"/>
    <w:qFormat/>
    <w:uiPriority w:val="0"/>
    <w:rPr>
      <w:rFonts w:hint="eastAsia" w:ascii="宋体" w:hAnsi="宋体" w:eastAsia="宋体" w:cs="宋体"/>
      <w:color w:val="FF0000"/>
      <w:sz w:val="22"/>
      <w:szCs w:val="22"/>
      <w:u w:val="none"/>
    </w:rPr>
  </w:style>
  <w:style w:type="paragraph" w:customStyle="1" w:styleId="102">
    <w:name w:val="正文_1_0"/>
    <w:basedOn w:val="103"/>
    <w:qFormat/>
    <w:uiPriority w:val="0"/>
  </w:style>
  <w:style w:type="paragraph" w:customStyle="1" w:styleId="10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4">
    <w:name w:val="_Style 14"/>
    <w:basedOn w:val="1"/>
    <w:next w:val="96"/>
    <w:qFormat/>
    <w:uiPriority w:val="34"/>
    <w:pPr>
      <w:widowControl/>
      <w:ind w:firstLine="420" w:firstLineChars="200"/>
      <w:jc w:val="left"/>
    </w:pPr>
    <w:rPr>
      <w:rFonts w:ascii="宋体" w:hAnsi="宋体" w:eastAsia="宋体" w:cs="Times New Roman"/>
      <w:kern w:val="0"/>
      <w:sz w:val="24"/>
      <w:szCs w:val="24"/>
      <w:lang w:val="zh-CN"/>
    </w:rPr>
  </w:style>
  <w:style w:type="paragraph" w:styleId="10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6">
    <w:name w:val="正文空2字"/>
    <w:basedOn w:val="107"/>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7">
    <w:name w:val="左对齐正文"/>
    <w:qFormat/>
    <w:uiPriority w:val="99"/>
    <w:rPr>
      <w:rFonts w:ascii="Calibri" w:hAnsi="Calibri" w:eastAsia="仿宋_GB2312" w:cs="Calibri"/>
      <w:kern w:val="2"/>
      <w:sz w:val="32"/>
      <w:szCs w:val="32"/>
      <w:lang w:val="en-US" w:eastAsia="zh-CN" w:bidi="ar-SA"/>
    </w:rPr>
  </w:style>
  <w:style w:type="character" w:customStyle="1" w:styleId="108">
    <w:name w:val="font11"/>
    <w:basedOn w:val="2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88</Pages>
  <Words>4005</Words>
  <Characters>4442</Characters>
  <Lines>445</Lines>
  <Paragraphs>125</Paragraphs>
  <TotalTime>30</TotalTime>
  <ScaleCrop>false</ScaleCrop>
  <LinksUpToDate>false</LinksUpToDate>
  <CharactersWithSpaces>4508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2024-03-10T00:21:00Z</dcterms:created>
  <dc:creator>NTKO</dc:creator>
  <cp:lastModifiedBy>user</cp:lastModifiedBy>
  <cp:lastPrinted>2026-04-18T10:52:00Z</cp:lastPrinted>
  <dcterms:modified xsi:type="dcterms:W3CDTF">2026-07-10T10:15:26Z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324E2B236B1E405391A551BFDA7C780B</vt:lpwstr>
  </property>
  <property fmtid="{D5CDD505-2E9C-101B-9397-08002B2CF9AE}" pid="3" name="KSOProductBuildVer">
    <vt:lpwstr>2052-12.1.2.25882</vt:lpwstr>
  </property>
  <property fmtid="{D5CDD505-2E9C-101B-9397-08002B2CF9AE}" pid="4" name="KSOTemplateDocerSaveRecord">
    <vt:lpwstr>eyJoZGlkIjoiODIwY2ZmYzVlZjU0MmRjNTM2NjM4ZjRhZGVjMGY5M2EiLCJ1c2VySWQiOiI5MzA4MzY1OTQifQ==</vt:lpwstr>
  </property>
</Properties>
</file>