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27367B">
      <w:pPr>
        <w:wordWrap w:val="0"/>
        <w:jc w:val="center"/>
        <w:rPr>
          <w:rFonts w:hint="eastAsia" w:ascii="宋体" w:hAnsi="宋体" w:eastAsia="宋体" w:cs="宋体"/>
          <w:b/>
          <w:bCs/>
          <w:sz w:val="30"/>
          <w:szCs w:val="30"/>
          <w:highlight w:val="none"/>
        </w:rPr>
      </w:pPr>
      <w:bookmarkStart w:id="0" w:name="_Toc523398546"/>
      <w:r>
        <w:rPr>
          <w:rFonts w:hint="eastAsia" w:ascii="宋体" w:hAnsi="宋体" w:eastAsia="宋体" w:cs="宋体"/>
          <w:b/>
          <w:bCs/>
          <w:sz w:val="30"/>
          <w:szCs w:val="30"/>
          <w:highlight w:val="none"/>
        </w:rPr>
        <w:t>中标（成交）供应商公告内容</w:t>
      </w:r>
      <w:bookmarkEnd w:id="0"/>
    </w:p>
    <w:p w14:paraId="26D3CF83">
      <w:pPr>
        <w:wordWrap w:val="0"/>
        <w:spacing w:line="360" w:lineRule="auto"/>
        <w:rPr>
          <w:rFonts w:hint="eastAsia" w:ascii="宋体" w:hAnsi="宋体" w:eastAsia="宋体" w:cs="宋体"/>
          <w:sz w:val="24"/>
          <w:highlight w:val="none"/>
        </w:rPr>
      </w:pPr>
      <w:r>
        <w:rPr>
          <w:rFonts w:hint="eastAsia" w:ascii="宋体" w:hAnsi="宋体" w:eastAsia="宋体" w:cs="宋体"/>
          <w:sz w:val="24"/>
          <w:highlight w:val="none"/>
        </w:rPr>
        <w:t>项目编号：331124263030010000010-SYZCGZ2026-008</w:t>
      </w:r>
    </w:p>
    <w:p w14:paraId="434114F7">
      <w:pPr>
        <w:wordWrap w:val="0"/>
        <w:spacing w:line="360" w:lineRule="auto"/>
        <w:rPr>
          <w:rFonts w:hint="eastAsia" w:ascii="宋体" w:hAnsi="宋体" w:eastAsia="宋体" w:cs="宋体"/>
          <w:sz w:val="24"/>
          <w:highlight w:val="none"/>
        </w:rPr>
      </w:pPr>
      <w:r>
        <w:rPr>
          <w:rFonts w:hint="eastAsia" w:ascii="宋体" w:hAnsi="宋体" w:eastAsia="宋体" w:cs="宋体"/>
          <w:sz w:val="24"/>
          <w:highlight w:val="none"/>
        </w:rPr>
        <w:t>项目名称：松阳县职业教育中心计算机实验中心（松阳校区）实验设备采购</w:t>
      </w:r>
    </w:p>
    <w:tbl>
      <w:tblPr>
        <w:tblW w:w="103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688"/>
        <w:gridCol w:w="3131"/>
        <w:gridCol w:w="1837"/>
        <w:gridCol w:w="1275"/>
        <w:gridCol w:w="1375"/>
      </w:tblGrid>
      <w:tr w14:paraId="60B9E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2688" w:type="dxa"/>
            <w:tcBorders>
              <w:top w:val="single" w:color="000000" w:sz="4" w:space="0"/>
              <w:left w:val="single" w:color="000000" w:sz="4" w:space="0"/>
              <w:bottom w:val="single" w:color="000000" w:sz="4" w:space="0"/>
              <w:right w:val="single" w:color="000000" w:sz="4" w:space="0"/>
            </w:tcBorders>
            <w:shd w:val="clear"/>
            <w:noWrap/>
            <w:vAlign w:val="center"/>
          </w:tcPr>
          <w:p w14:paraId="7E89E3AB">
            <w:pPr>
              <w:keepNext w:val="0"/>
              <w:keepLines w:val="0"/>
              <w:widowControl/>
              <w:suppressLineNumbers w:val="0"/>
              <w:spacing w:line="24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供应商名称</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777F1E43">
            <w:pPr>
              <w:keepNext w:val="0"/>
              <w:keepLines w:val="0"/>
              <w:widowControl/>
              <w:suppressLineNumbers w:val="0"/>
              <w:spacing w:line="24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浙江移动数智科技有限公司</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05F6E023">
            <w:pPr>
              <w:keepNext w:val="0"/>
              <w:keepLines w:val="0"/>
              <w:widowControl/>
              <w:suppressLineNumbers w:val="0"/>
              <w:spacing w:line="24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供应商负责人</w:t>
            </w:r>
          </w:p>
        </w:tc>
        <w:tc>
          <w:tcPr>
            <w:tcW w:w="2650" w:type="dxa"/>
            <w:gridSpan w:val="2"/>
            <w:tcBorders>
              <w:top w:val="single" w:color="000000" w:sz="4" w:space="0"/>
              <w:left w:val="single" w:color="000000" w:sz="4" w:space="0"/>
              <w:bottom w:val="single" w:color="000000" w:sz="4" w:space="0"/>
              <w:right w:val="single" w:color="000000" w:sz="4" w:space="0"/>
            </w:tcBorders>
            <w:shd w:val="clear"/>
            <w:noWrap/>
            <w:vAlign w:val="center"/>
          </w:tcPr>
          <w:p w14:paraId="234D981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屠宇飞</w:t>
            </w:r>
          </w:p>
        </w:tc>
      </w:tr>
      <w:tr w14:paraId="226B0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8" w:hRule="atLeast"/>
          <w:jc w:val="center"/>
        </w:trPr>
        <w:tc>
          <w:tcPr>
            <w:tcW w:w="2688" w:type="dxa"/>
            <w:tcBorders>
              <w:top w:val="single" w:color="000000" w:sz="4" w:space="0"/>
              <w:left w:val="single" w:color="000000" w:sz="4" w:space="0"/>
              <w:bottom w:val="single" w:color="000000" w:sz="4" w:space="0"/>
              <w:right w:val="single" w:color="000000" w:sz="4" w:space="0"/>
            </w:tcBorders>
            <w:shd w:val="clear"/>
            <w:noWrap/>
            <w:vAlign w:val="center"/>
          </w:tcPr>
          <w:p w14:paraId="51D3EA09">
            <w:pPr>
              <w:keepNext w:val="0"/>
              <w:keepLines w:val="0"/>
              <w:widowControl/>
              <w:suppressLineNumbers w:val="0"/>
              <w:spacing w:line="24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供应商地址</w:t>
            </w:r>
          </w:p>
        </w:tc>
        <w:tc>
          <w:tcPr>
            <w:tcW w:w="7618" w:type="dxa"/>
            <w:gridSpan w:val="4"/>
            <w:tcBorders>
              <w:top w:val="single" w:color="000000" w:sz="4" w:space="0"/>
              <w:left w:val="single" w:color="000000" w:sz="4" w:space="0"/>
              <w:bottom w:val="single" w:color="000000" w:sz="4" w:space="0"/>
              <w:right w:val="single" w:color="000000" w:sz="4" w:space="0"/>
            </w:tcBorders>
            <w:shd w:val="clear"/>
            <w:noWrap/>
            <w:vAlign w:val="center"/>
          </w:tcPr>
          <w:p w14:paraId="2E3167C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杭州市</w:t>
            </w:r>
            <w:bookmarkStart w:id="1" w:name="_GoBack"/>
            <w:bookmarkEnd w:id="1"/>
            <w:r>
              <w:rPr>
                <w:rFonts w:hint="eastAsia" w:ascii="宋体" w:hAnsi="宋体" w:eastAsia="宋体" w:cs="宋体"/>
                <w:i w:val="0"/>
                <w:iCs w:val="0"/>
                <w:color w:val="000000"/>
                <w:kern w:val="0"/>
                <w:sz w:val="24"/>
                <w:szCs w:val="24"/>
                <w:u w:val="none"/>
                <w:bdr w:val="none" w:color="auto" w:sz="0" w:space="0"/>
                <w:lang w:val="en-US" w:eastAsia="zh-CN" w:bidi="ar"/>
              </w:rPr>
              <w:t>萧山区萧山经济技术开发区桥南区块高新七路77号5幢3层</w:t>
            </w:r>
          </w:p>
        </w:tc>
      </w:tr>
      <w:tr w14:paraId="6DBEE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10306" w:type="dxa"/>
            <w:gridSpan w:val="5"/>
            <w:tcBorders>
              <w:top w:val="single" w:color="000000" w:sz="4" w:space="0"/>
              <w:left w:val="single" w:color="000000" w:sz="4" w:space="0"/>
              <w:bottom w:val="single" w:color="000000" w:sz="4" w:space="0"/>
              <w:right w:val="single" w:color="000000" w:sz="4" w:space="0"/>
            </w:tcBorders>
            <w:shd w:val="clear"/>
            <w:noWrap/>
            <w:vAlign w:val="center"/>
          </w:tcPr>
          <w:p w14:paraId="3822926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中标（成交）标的</w:t>
            </w:r>
          </w:p>
        </w:tc>
      </w:tr>
      <w:tr w14:paraId="177E8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A61AD0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产品名称（或服务名称）</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1EDCCAA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规格型号（或服务标准）</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08FC6E3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CE3FD5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单价</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（元）</w:t>
            </w:r>
          </w:p>
        </w:tc>
        <w:tc>
          <w:tcPr>
            <w:tcW w:w="1375" w:type="dxa"/>
            <w:tcBorders>
              <w:top w:val="single" w:color="000000" w:sz="4" w:space="0"/>
              <w:left w:val="single" w:color="000000" w:sz="4" w:space="0"/>
              <w:bottom w:val="single" w:color="000000" w:sz="4" w:space="0"/>
              <w:right w:val="single" w:color="000000" w:sz="4" w:space="0"/>
            </w:tcBorders>
            <w:shd w:val="clear"/>
            <w:vAlign w:val="center"/>
          </w:tcPr>
          <w:p w14:paraId="2C4825A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合价</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（元）</w:t>
            </w:r>
          </w:p>
        </w:tc>
      </w:tr>
      <w:tr w14:paraId="200F5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4E9D6ED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键鼠</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2E7200A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RG-CPK1000-G2</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3A88D9F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153</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CFE4EF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3EB15C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15300</w:t>
            </w:r>
          </w:p>
        </w:tc>
      </w:tr>
      <w:tr w14:paraId="69DAD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086ED2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48口万兆交换机</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4A899A7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RG-S5000-48GT4XS</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3BA0E14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6DA1B67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708471F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13500</w:t>
            </w:r>
          </w:p>
        </w:tc>
      </w:tr>
      <w:tr w14:paraId="38A07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7E26BE2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万兆光模块</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5EFE6E2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XG-SFP-LR-SM1310-I</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0E5A767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31A2A47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36723C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w:t>
            </w:r>
          </w:p>
        </w:tc>
      </w:tr>
      <w:tr w14:paraId="7E1D9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032FA88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24口万兆交换机</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787B2E6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RG-S5000-24GT4XS</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59A35F3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D27FF7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A6E566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7500</w:t>
            </w:r>
          </w:p>
        </w:tc>
      </w:tr>
      <w:tr w14:paraId="2ECA0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3DC3E8B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万兆光模块</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3BFED64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XG-SFP-LR-SM1310-I</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01941EF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E6B84B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01A01C2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w:t>
            </w:r>
          </w:p>
        </w:tc>
      </w:tr>
      <w:tr w14:paraId="28CA0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6E14724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通晓开发套件</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6ADDBEB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JY-XC-QL-01A</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5B50410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3EFCBA3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281AE6A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40800</w:t>
            </w:r>
          </w:p>
        </w:tc>
      </w:tr>
      <w:tr w14:paraId="7C535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4222FE6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星闪套件</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65F37BB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JY-XC-XS-01A</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0B01DA6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4EF34C4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26EB858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20400</w:t>
            </w:r>
          </w:p>
        </w:tc>
      </w:tr>
      <w:tr w14:paraId="728F6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23CA298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OpenHarmony全场景实验箱</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452A454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JY-XC-CJ-01A</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74EBDB0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09C7382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763FA94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340000</w:t>
            </w:r>
          </w:p>
        </w:tc>
      </w:tr>
      <w:tr w14:paraId="7C1ED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6695C5C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课程学习模块</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0D34C1E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JY-PT-EDU01</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551A70E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0217FA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0C912F7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70000</w:t>
            </w:r>
          </w:p>
        </w:tc>
      </w:tr>
      <w:tr w14:paraId="7A411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0B2AE28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项目实训模块</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1D5490F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JY-PT-EDU02</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5E6DBF9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43CCE4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0FC0DBF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70000</w:t>
            </w:r>
          </w:p>
        </w:tc>
      </w:tr>
      <w:tr w14:paraId="32BE3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4D2A38A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能力评测模块</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44F86D7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JY-PT-EDU03</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49AF1F9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0E2BA0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0867906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70000</w:t>
            </w:r>
          </w:p>
        </w:tc>
      </w:tr>
      <w:tr w14:paraId="1B5D9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3113888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平台基础管理模块</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24302C9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JY-PT-EDU04</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58106FB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F4CA52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47A1AC4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70000</w:t>
            </w:r>
          </w:p>
        </w:tc>
      </w:tr>
      <w:tr w14:paraId="4E0BC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75CD4CF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物联网云平台</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0E9454C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JY-IOT-Cloud</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72DE3E6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2A1CE25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81500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78CE1B6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81500</w:t>
            </w:r>
          </w:p>
        </w:tc>
      </w:tr>
      <w:tr w14:paraId="19992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63F6107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物联数字服务平台</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31B179F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JY-IOT-Service</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05685A0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6D47ECE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85000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6AF24D1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85000</w:t>
            </w:r>
          </w:p>
        </w:tc>
      </w:tr>
      <w:tr w14:paraId="09084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1CDEC26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数字管家</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59FF14F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JY-IOT-HSKP</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3B3C7FF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7E354FF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D1AA5F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90000</w:t>
            </w:r>
          </w:p>
        </w:tc>
      </w:tr>
      <w:tr w14:paraId="7D3EF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3887315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ECMAScript 6 程序设计</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3AFCBD1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JY-EDU-ZY-01</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071F843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5562FD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79146B7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20000</w:t>
            </w:r>
          </w:p>
        </w:tc>
      </w:tr>
      <w:tr w14:paraId="3D439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7B908A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TypeScript程序设计</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4C277A7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JY-EDU-ZY-02</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5B1DA24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7C8F10E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0042022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20000</w:t>
            </w:r>
          </w:p>
        </w:tc>
      </w:tr>
      <w:tr w14:paraId="4B361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32D0A61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鸿蒙北向应用开发基础</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18D8E22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JY-EDU-ZY-03</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485BE20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7566296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4369F38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20000</w:t>
            </w:r>
          </w:p>
        </w:tc>
      </w:tr>
      <w:tr w14:paraId="3A1ED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04A2B2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鸿蒙北向应用开发高级</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6030432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JY-EDU-ZY-04</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5704D4D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04A174F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1598981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30000</w:t>
            </w:r>
          </w:p>
        </w:tc>
      </w:tr>
      <w:tr w14:paraId="72FD5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0A99EA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智能应用创新实践</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60FDFD7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JY-EDU-ZY-05</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03D63F1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7F477E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4366C75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20000</w:t>
            </w:r>
          </w:p>
        </w:tc>
      </w:tr>
      <w:tr w14:paraId="741B7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1C44C20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鸿蒙操作系统</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0705432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JY-EDU-ZY-06</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2974DC9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4412FD4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2206D6B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40000</w:t>
            </w:r>
          </w:p>
        </w:tc>
      </w:tr>
      <w:tr w14:paraId="29C20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3BC609D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鸿蒙南向设备开发</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0DDA111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JY-EDU-ZY-07</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152EDF3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5C6DFD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F7C1F9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40000</w:t>
            </w:r>
          </w:p>
        </w:tc>
      </w:tr>
      <w:tr w14:paraId="16E4E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F0B615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智能设备创新实践</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47CD990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JY-EDU-ZY-08</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7D94A64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84E750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0E5A8C9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30000</w:t>
            </w:r>
          </w:p>
        </w:tc>
      </w:tr>
      <w:tr w14:paraId="4AA2A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6BD0594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通鸿云课堂APP</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60F0974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JY-EDU-SX-01</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01C0596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114A68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64C2C4A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30000</w:t>
            </w:r>
          </w:p>
        </w:tc>
      </w:tr>
      <w:tr w14:paraId="0AD5B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797339D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微习惯养成APP</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43FEF92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JY-EDU-SX-02</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1840E54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2B32A1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36AC191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30000</w:t>
            </w:r>
          </w:p>
        </w:tc>
      </w:tr>
      <w:tr w14:paraId="12361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C34290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通鸿智能家居</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0ACCDC1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JY-EDU-SX-03</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4BCAF7D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4690005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A252B1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40000</w:t>
            </w:r>
          </w:p>
        </w:tc>
      </w:tr>
      <w:tr w14:paraId="5183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030DCC4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智慧农业</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71F6001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JY-EDU-SX-04</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73C175F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6A9B850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0A747C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40000</w:t>
            </w:r>
          </w:p>
        </w:tc>
      </w:tr>
      <w:tr w14:paraId="1FE1A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6E7E472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智慧工厂</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59EE220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JY-EDU-SX-05</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45E9254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7CA5C6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1EE0E2E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40000</w:t>
            </w:r>
          </w:p>
        </w:tc>
      </w:tr>
      <w:tr w14:paraId="0E573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0625BA1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智慧配送</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622F837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JY-EDU-SX-06</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1758F84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399438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46CB103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40000</w:t>
            </w:r>
          </w:p>
        </w:tc>
      </w:tr>
      <w:tr w14:paraId="76467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3EB8651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智慧商超</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7CD2A75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JY-EDU-SX-07</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78E934E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3DA00FE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11AE5D2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40000</w:t>
            </w:r>
          </w:p>
        </w:tc>
      </w:tr>
      <w:tr w14:paraId="58B0E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0F15E7F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以太网数据中心交换机</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4994DB4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S6520X-26C-SI</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4713968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432CC9D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71FA0D9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24000</w:t>
            </w:r>
          </w:p>
        </w:tc>
      </w:tr>
      <w:tr w14:paraId="51A25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07155F2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万兆多模光模块</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005A1B9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SFP-XG-SX-MM850-D</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4989A29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0A3DF57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41A6E27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8000</w:t>
            </w:r>
          </w:p>
        </w:tc>
      </w:tr>
      <w:tr w14:paraId="2BC9F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38C6B9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UPS及配套</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69AF3D3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GT3120XL/GT100-12/C16</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35DC1E2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243B570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27B340C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60000</w:t>
            </w:r>
          </w:p>
        </w:tc>
      </w:tr>
      <w:tr w14:paraId="21F88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66C9A6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lED支架</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5CA00CB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定制</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13533BD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18.48</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62307BA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9DB19D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22176</w:t>
            </w:r>
          </w:p>
        </w:tc>
      </w:tr>
      <w:tr w14:paraId="3D759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25B4935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LED控制器</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10EA685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DS-DT60V-03HDI12NO/U</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268B495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239170F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1636E57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9500</w:t>
            </w:r>
          </w:p>
        </w:tc>
      </w:tr>
      <w:tr w14:paraId="72EB2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61B80A4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LED配电柜</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68E74EC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DS-D40D20</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5A8D86B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1BBB25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233E37A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5000</w:t>
            </w:r>
          </w:p>
        </w:tc>
      </w:tr>
      <w:tr w14:paraId="27C53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6B29E36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lED支架</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26E19A5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定制</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2547FF1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18.48</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3325475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256487F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22176</w:t>
            </w:r>
          </w:p>
        </w:tc>
      </w:tr>
      <w:tr w14:paraId="04179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1D02340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LED控制器</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0D1A15B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DS-DT60V-03HDI12NO/U</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464C2FE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3178916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64B23F3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9500</w:t>
            </w:r>
          </w:p>
        </w:tc>
      </w:tr>
      <w:tr w14:paraId="37C4F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23D753E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LED配电柜</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2DE3D59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DS-D40D20</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5707BD0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4870E5A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20BE956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5000</w:t>
            </w:r>
          </w:p>
        </w:tc>
      </w:tr>
      <w:tr w14:paraId="1E49C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76353DC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环绕均衡无源音箱</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6AFE530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SPK-25E</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44EB5B8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24</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33AB2B7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1067DD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24000</w:t>
            </w:r>
          </w:p>
        </w:tc>
      </w:tr>
      <w:tr w14:paraId="47FB5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678541C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无线麦克风</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02B42C9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OS-600D</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597F04B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FBD000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2659CC5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15000</w:t>
            </w:r>
          </w:p>
        </w:tc>
      </w:tr>
      <w:tr w14:paraId="6CA79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7146445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红外对频数字功放一体机</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360534C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OS-620FC-PJ</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4BAB9D0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0E21162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3799B18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9000</w:t>
            </w:r>
          </w:p>
        </w:tc>
      </w:tr>
      <w:tr w14:paraId="464A7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334DA7A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专业音箱</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43D573E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TS-608</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422AC8F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6B9B4AF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6669E95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6400</w:t>
            </w:r>
          </w:p>
        </w:tc>
      </w:tr>
      <w:tr w14:paraId="25255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0A4D14B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支架</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373241A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TS-02A</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4D7F2EE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F303E6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169A081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600</w:t>
            </w:r>
          </w:p>
        </w:tc>
      </w:tr>
      <w:tr w14:paraId="5CFC3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39AE58C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专业功放</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4D9E6F7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TC-2350B</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72B8C95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123111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41BADB2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6000</w:t>
            </w:r>
          </w:p>
        </w:tc>
      </w:tr>
      <w:tr w14:paraId="363F9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033A854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专业音箱</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57F14FF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TS-608A</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63FEAA8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745FA0F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3A18AAE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6000</w:t>
            </w:r>
          </w:p>
        </w:tc>
      </w:tr>
      <w:tr w14:paraId="5992F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47CF889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支架</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17C2AFC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TS-02A</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194F087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7772A3B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30E1699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600</w:t>
            </w:r>
          </w:p>
        </w:tc>
      </w:tr>
      <w:tr w14:paraId="452B5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288E66F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专业功放</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7386733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TC-2200B</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194EFEC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0D14BA5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8813B2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5000</w:t>
            </w:r>
          </w:p>
        </w:tc>
      </w:tr>
      <w:tr w14:paraId="00579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4191AD6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调音台</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43D9ED0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TS-14PFX-4</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255FB80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06B4778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4200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7F034D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8400</w:t>
            </w:r>
          </w:p>
        </w:tc>
      </w:tr>
      <w:tr w14:paraId="68810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07E27DB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音频处理器</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40FFDF1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TS-AI440</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116CB04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62405D8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7AB88A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7000</w:t>
            </w:r>
          </w:p>
        </w:tc>
      </w:tr>
      <w:tr w14:paraId="4C6F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1093E34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无线话筒</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005BFF5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T-592UH</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07B9886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4F6D842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3200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7EC1792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6400</w:t>
            </w:r>
          </w:p>
        </w:tc>
      </w:tr>
      <w:tr w14:paraId="2EC53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2EB4D8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话筒</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0040CFF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TS-338</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3954A0E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7FC6D2D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350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3897E94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700</w:t>
            </w:r>
          </w:p>
        </w:tc>
      </w:tr>
      <w:tr w14:paraId="61A86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2E443B4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电源管理器</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3493D07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TS-820</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5BDA254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4CE4AAA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309F629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1600</w:t>
            </w:r>
          </w:p>
        </w:tc>
      </w:tr>
      <w:tr w14:paraId="115C3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3FF0B4C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电源时序器</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3E9516E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GCS-P16S</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1FC631F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60A9C56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3F3B74C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1200</w:t>
            </w:r>
          </w:p>
        </w:tc>
      </w:tr>
      <w:tr w14:paraId="7882D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1E6EFC8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交换机</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7C6E044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RG-S5300-48GT4XS-P-L</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524FFD1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3F3666C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6BD7048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5500</w:t>
            </w:r>
          </w:p>
        </w:tc>
      </w:tr>
      <w:tr w14:paraId="5CADC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62D90AD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★AI微格录播工作站</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22FC038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JP100HDV</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0E7C931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2CFC0B3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52000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0477841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104000</w:t>
            </w:r>
          </w:p>
        </w:tc>
      </w:tr>
      <w:tr w14:paraId="47478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6E2B72F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高清摄像机</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5922EA3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ZQ-HDC8A</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05FEFAA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F9186A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6E5A9F1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22000</w:t>
            </w:r>
          </w:p>
        </w:tc>
      </w:tr>
      <w:tr w14:paraId="0BBD2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BF9216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数字阵列拾音系统</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122829A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MK700</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2E655DE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6DD566C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5200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0E88DDD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10400</w:t>
            </w:r>
          </w:p>
        </w:tc>
      </w:tr>
      <w:tr w14:paraId="4176C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3CE9A74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音箱</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1B186D3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T-7707</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3096402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37390B0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1A970E5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6000</w:t>
            </w:r>
          </w:p>
        </w:tc>
      </w:tr>
      <w:tr w14:paraId="1A029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37D94FE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柔性屏P1.5</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1C722E2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DS-D4115CA-1GS</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0AC4DDF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24.37</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3B7554A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0585C1B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219330</w:t>
            </w:r>
          </w:p>
        </w:tc>
      </w:tr>
      <w:tr w14:paraId="2A542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AF272C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LED室内焊接支架</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35D95EE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定制</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501F1D9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24.37</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0D4AA8D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2E5C3A6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29244</w:t>
            </w:r>
          </w:p>
        </w:tc>
      </w:tr>
      <w:tr w14:paraId="0E927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64D917C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柔性屏定制钣金箱体</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4FE0459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定制</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32F2604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24.37</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45AEBEF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7978EA2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34118</w:t>
            </w:r>
          </w:p>
        </w:tc>
      </w:tr>
      <w:tr w14:paraId="48CF5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212195D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2路4K HDMI输入板</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509D45F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DS-C33S-02HI/4K</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1BA900A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A77177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6C0A2AE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8000</w:t>
            </w:r>
          </w:p>
        </w:tc>
      </w:tr>
      <w:tr w14:paraId="60911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7EBB867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4路HDMI输入板</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39F9DC0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DS-C33S-04HI</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56A93C1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056A6A1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16880CF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6000</w:t>
            </w:r>
          </w:p>
        </w:tc>
      </w:tr>
      <w:tr w14:paraId="5BFD9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6D7F84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2路DP 4K输入板</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595E94E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DS-C33S-02DPI/4K</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2728D8B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32643D8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8700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3D3535E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8700</w:t>
            </w:r>
          </w:p>
        </w:tc>
      </w:tr>
      <w:tr w14:paraId="70357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75DFB8E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二合一输出板</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4E9FA73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DS-C33S-10NO</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4A16209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64A1D86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03DEC3E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9000</w:t>
            </w:r>
          </w:p>
        </w:tc>
      </w:tr>
      <w:tr w14:paraId="280C8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4F3AA0D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视频处理器机箱</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6B79E58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DS-C33S-S6</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29CC286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2D5C0FF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3F907BC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8000</w:t>
            </w:r>
          </w:p>
        </w:tc>
      </w:tr>
      <w:tr w14:paraId="010A1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39E22D8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配电柜产品</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511B598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DS-D40D20</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158D459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691A297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68287D2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3500</w:t>
            </w:r>
          </w:p>
        </w:tc>
      </w:tr>
      <w:tr w14:paraId="41FA4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700E068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LED显示屏专用真空吸盘</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5D36AEC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DS-D43MT-A</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1AD0DDC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56E5D5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31D407C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2500</w:t>
            </w:r>
          </w:p>
        </w:tc>
      </w:tr>
      <w:tr w14:paraId="2AEB9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69F5076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人脸门禁</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2BCBA52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DS-K1T680M及配套</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0DE6472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3309399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61DCE8C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7000</w:t>
            </w:r>
          </w:p>
        </w:tc>
      </w:tr>
      <w:tr w14:paraId="20DB2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12870FA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智慧讲台</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523D7CE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ELCP-I2S</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4053EF3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2DD9970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2B0661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8000</w:t>
            </w:r>
          </w:p>
        </w:tc>
      </w:tr>
      <w:tr w14:paraId="586D0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130DF50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物联网设备</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66BA577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Hik-Cloud Education及配套</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36925F3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900B78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26BB557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30000</w:t>
            </w:r>
          </w:p>
        </w:tc>
      </w:tr>
      <w:tr w14:paraId="48454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2AC9427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便携式裸眼3D AI终端</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0CD6D7D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G1</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13B1E1E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89A0F5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1BDF6D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100000</w:t>
            </w:r>
          </w:p>
        </w:tc>
      </w:tr>
      <w:tr w14:paraId="6C48B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05B9B5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观察眼镜</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1EAC068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Leolook3D</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56DBDAF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4898EF1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1F11B9A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1500</w:t>
            </w:r>
          </w:p>
        </w:tc>
      </w:tr>
      <w:tr w14:paraId="40848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0D76636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交互硬件</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1BCBA8A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定制</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56E40E6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04EAFB5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724D1B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200000</w:t>
            </w:r>
          </w:p>
        </w:tc>
      </w:tr>
      <w:tr w14:paraId="658A1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0AD5AB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全球教与学一体化平台</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2F2C471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ClassIn</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264B0ED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072D579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8235EC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90000</w:t>
            </w:r>
          </w:p>
        </w:tc>
      </w:tr>
      <w:tr w14:paraId="66B76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12B6869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数字化AI微格实训平台客户端</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48E923B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数字化AI微格实训平台客户端</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669DA97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0D3CF4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3067CAE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26000</w:t>
            </w:r>
          </w:p>
        </w:tc>
      </w:tr>
      <w:tr w14:paraId="5BED8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49FB143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课件实时录制系统</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1C67679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V1.0</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3C4432E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73A215C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6500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3B70B7F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13000</w:t>
            </w:r>
          </w:p>
        </w:tc>
      </w:tr>
      <w:tr w14:paraId="04865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4534693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工业机器人岗位VR实训系统</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0D8288A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V1.0</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3AB0E02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2353061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27200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26DD59F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54400</w:t>
            </w:r>
          </w:p>
        </w:tc>
      </w:tr>
      <w:tr w14:paraId="590AF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6ED2EF9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工业机器人技术应用VR实训软件</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5394234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V1.0</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7E92933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989110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19200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32C3646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38400</w:t>
            </w:r>
          </w:p>
        </w:tc>
      </w:tr>
      <w:tr w14:paraId="5F9CA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6555DD8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工业机器人VR智慧课堂软件</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7A6F6B6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V1.0</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0E94B42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7C19054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19200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44925A0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38400</w:t>
            </w:r>
          </w:p>
        </w:tc>
      </w:tr>
      <w:tr w14:paraId="50D3E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132F851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电气控制技术VR交互式教学软件</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51E2A28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V1.0</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3D9BA6C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6478974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19200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2661769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38400</w:t>
            </w:r>
          </w:p>
        </w:tc>
      </w:tr>
      <w:tr w14:paraId="5DD7E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7F5A65D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机械装调VR智慧课堂软件</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5EF9E59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V1.0</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2268E76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64B083E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27200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32C75D2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54400</w:t>
            </w:r>
          </w:p>
        </w:tc>
      </w:tr>
      <w:tr w14:paraId="72056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2DA73AD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机械基础VR智慧课堂教学软件</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344400D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V1.0</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0808C36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0404FCC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27200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18C2246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54400</w:t>
            </w:r>
          </w:p>
        </w:tc>
      </w:tr>
      <w:tr w14:paraId="39634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3C1C7C2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气动控制技术VR交互式教学软件</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7D5D15F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V1.0</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74FCDC5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461F085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27200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01606B8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54400</w:t>
            </w:r>
          </w:p>
        </w:tc>
      </w:tr>
      <w:tr w14:paraId="29F7A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770D72E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3D视频片源</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0D4CE3D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定制</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379BA2E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5D31217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4AAD9C7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90000</w:t>
            </w:r>
          </w:p>
        </w:tc>
      </w:tr>
      <w:tr w14:paraId="5A4B9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6132B25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交互定制</w:t>
            </w:r>
          </w:p>
        </w:tc>
        <w:tc>
          <w:tcPr>
            <w:tcW w:w="3131" w:type="dxa"/>
            <w:tcBorders>
              <w:top w:val="single" w:color="000000" w:sz="4" w:space="0"/>
              <w:left w:val="single" w:color="000000" w:sz="4" w:space="0"/>
              <w:bottom w:val="single" w:color="000000" w:sz="4" w:space="0"/>
              <w:right w:val="single" w:color="000000" w:sz="4" w:space="0"/>
            </w:tcBorders>
            <w:shd w:val="clear"/>
            <w:noWrap/>
            <w:vAlign w:val="center"/>
          </w:tcPr>
          <w:p w14:paraId="16E89FC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定制</w:t>
            </w:r>
          </w:p>
        </w:tc>
        <w:tc>
          <w:tcPr>
            <w:tcW w:w="1837" w:type="dxa"/>
            <w:tcBorders>
              <w:top w:val="single" w:color="000000" w:sz="4" w:space="0"/>
              <w:left w:val="single" w:color="000000" w:sz="4" w:space="0"/>
              <w:bottom w:val="single" w:color="000000" w:sz="4" w:space="0"/>
              <w:right w:val="single" w:color="000000" w:sz="4" w:space="0"/>
            </w:tcBorders>
            <w:shd w:val="clear"/>
            <w:noWrap/>
            <w:vAlign w:val="center"/>
          </w:tcPr>
          <w:p w14:paraId="3DF1654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0D87550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725A4AD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200000</w:t>
            </w:r>
          </w:p>
        </w:tc>
      </w:tr>
      <w:tr w14:paraId="45788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2DE6724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边缘智能应用实验平台</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103D013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NLE-AI8800</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3707B37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197D037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31000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31C4EE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248000</w:t>
            </w:r>
          </w:p>
        </w:tc>
      </w:tr>
      <w:tr w14:paraId="369F5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0E38991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ROS自动驾驶小车实训平台</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5BE22C5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NLE-AI8309</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3BB9489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22CE68C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25000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D95755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100000</w:t>
            </w:r>
          </w:p>
        </w:tc>
      </w:tr>
      <w:tr w14:paraId="363EC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857A7D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ROS自动驾驶小车实验平台（机械臂版）</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681DC95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NLE-AI8306</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3B531B8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35F293C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41000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1217249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123000</w:t>
            </w:r>
          </w:p>
        </w:tc>
      </w:tr>
      <w:tr w14:paraId="6C3EE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5E2E573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无人驾驶座舱车载套件</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696D571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NLE-AI-B6120</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3497C23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205DEE2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96000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45C9381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96000</w:t>
            </w:r>
          </w:p>
        </w:tc>
      </w:tr>
      <w:tr w14:paraId="24C3A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0BB467F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ROS自动驾驶小车仿真系统</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5F48DE3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NLE-AI8302</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7C897C1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21FDF6A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3800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6EB4007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60800</w:t>
            </w:r>
          </w:p>
        </w:tc>
      </w:tr>
      <w:tr w14:paraId="6A251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20ABAF9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四足机器人</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290C5EA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go2edu智能版</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38A9943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68FA56C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4FE391D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70000</w:t>
            </w:r>
          </w:p>
        </w:tc>
      </w:tr>
      <w:tr w14:paraId="78152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6216DF2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四足机器人</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2715F21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go2edu智能版</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092A348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6938957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2FED641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50000</w:t>
            </w:r>
          </w:p>
        </w:tc>
      </w:tr>
      <w:tr w14:paraId="4EF35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4CFDFF5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环境改造</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39D5546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定制</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678AA72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37E90D0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4883EF6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80000</w:t>
            </w:r>
          </w:p>
        </w:tc>
      </w:tr>
      <w:tr w14:paraId="17925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10E958D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培训</w:t>
            </w:r>
          </w:p>
        </w:tc>
        <w:tc>
          <w:tcPr>
            <w:tcW w:w="3131" w:type="dxa"/>
            <w:tcBorders>
              <w:top w:val="single" w:color="000000" w:sz="4" w:space="0"/>
              <w:left w:val="single" w:color="000000" w:sz="4" w:space="0"/>
              <w:bottom w:val="single" w:color="000000" w:sz="4" w:space="0"/>
              <w:right w:val="single" w:color="000000" w:sz="4" w:space="0"/>
            </w:tcBorders>
            <w:shd w:val="clear"/>
            <w:vAlign w:val="center"/>
          </w:tcPr>
          <w:p w14:paraId="4CE02EB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定制</w:t>
            </w:r>
          </w:p>
        </w:tc>
        <w:tc>
          <w:tcPr>
            <w:tcW w:w="1837" w:type="dxa"/>
            <w:tcBorders>
              <w:top w:val="single" w:color="000000" w:sz="4" w:space="0"/>
              <w:left w:val="single" w:color="000000" w:sz="4" w:space="0"/>
              <w:bottom w:val="single" w:color="000000" w:sz="4" w:space="0"/>
              <w:right w:val="single" w:color="000000" w:sz="4" w:space="0"/>
            </w:tcBorders>
            <w:shd w:val="clear"/>
            <w:vAlign w:val="center"/>
          </w:tcPr>
          <w:p w14:paraId="4F76D14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14:paraId="01DEB37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30000</w:t>
            </w:r>
          </w:p>
        </w:tc>
        <w:tc>
          <w:tcPr>
            <w:tcW w:w="1375" w:type="dxa"/>
            <w:tcBorders>
              <w:top w:val="single" w:color="000000" w:sz="4" w:space="0"/>
              <w:left w:val="single" w:color="000000" w:sz="4" w:space="0"/>
              <w:bottom w:val="single" w:color="000000" w:sz="4" w:space="0"/>
              <w:right w:val="single" w:color="000000" w:sz="4" w:space="0"/>
            </w:tcBorders>
            <w:shd w:val="clear"/>
            <w:noWrap/>
            <w:vAlign w:val="center"/>
          </w:tcPr>
          <w:p w14:paraId="5657F41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30000</w:t>
            </w:r>
          </w:p>
        </w:tc>
      </w:tr>
      <w:tr w14:paraId="62394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2688" w:type="dxa"/>
            <w:tcBorders>
              <w:top w:val="single" w:color="000000" w:sz="4" w:space="0"/>
              <w:left w:val="single" w:color="000000" w:sz="4" w:space="0"/>
              <w:bottom w:val="single" w:color="000000" w:sz="4" w:space="0"/>
              <w:right w:val="single" w:color="000000" w:sz="4" w:space="0"/>
            </w:tcBorders>
            <w:shd w:val="clear"/>
            <w:vAlign w:val="center"/>
          </w:tcPr>
          <w:p w14:paraId="3042ACE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总报价</w:t>
            </w:r>
          </w:p>
        </w:tc>
        <w:tc>
          <w:tcPr>
            <w:tcW w:w="7618" w:type="dxa"/>
            <w:gridSpan w:val="4"/>
            <w:tcBorders>
              <w:top w:val="single" w:color="000000" w:sz="4" w:space="0"/>
              <w:left w:val="single" w:color="000000" w:sz="4" w:space="0"/>
              <w:bottom w:val="single" w:color="000000" w:sz="4" w:space="0"/>
              <w:right w:val="single" w:color="000000" w:sz="4" w:space="0"/>
            </w:tcBorders>
            <w:shd w:val="clear"/>
            <w:vAlign w:val="center"/>
          </w:tcPr>
          <w:p w14:paraId="0A6EE02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大写 肆佰壹拾伍万伍仟陆佰肆拾肆万元整（￥4155644）</w:t>
            </w:r>
          </w:p>
        </w:tc>
      </w:tr>
      <w:tr w14:paraId="72A7C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10306" w:type="dxa"/>
            <w:gridSpan w:val="5"/>
            <w:tcBorders>
              <w:top w:val="single" w:color="000000" w:sz="4" w:space="0"/>
              <w:left w:val="single" w:color="000000" w:sz="4" w:space="0"/>
              <w:bottom w:val="single" w:color="000000" w:sz="4" w:space="0"/>
              <w:right w:val="single" w:color="000000" w:sz="4" w:space="0"/>
            </w:tcBorders>
            <w:shd w:val="clear"/>
            <w:vAlign w:val="center"/>
          </w:tcPr>
          <w:p w14:paraId="62F04426">
            <w:pPr>
              <w:keepNext w:val="0"/>
              <w:keepLines w:val="0"/>
              <w:widowControl/>
              <w:suppressLineNumbers w:val="0"/>
              <w:spacing w:line="24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服务要求：</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质量保证：在收到采购人通知后 2 天内应维修或更换有缺陷的货物或部件。</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项目质保期要求：3年。</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售后技术服务要求：</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服务期限：至少2年</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服务效率：故障报修的响应时间为：工作期间（星期一至星期五8:00-18:00）为 1  小时；非工作期间为 2 小时；</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故障报修的到达指定地点时间为：工作期间（星期一至星期五8:00-18:00）为 12 小时；非工作期间为 24 小时；</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付款方式：</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合同签订后7个工作日内支付合同款的40%作为预付款，项目验收合格且出具发票后7个工作日内支付剩余合同金额。</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培训要求：</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现场培训：在所有产品部署现场，成交供应商负责采购人的现场技术培训，包括产品的功能、部署条件、部署步骤和注意事项、产品升级、日常维护事项等方面，使用户达到能独立进行管理、维护测试和故障处理等工作，以便所提供的产品能够正常、安全地运行；</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（2）培训地点：采购人指定地点；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（3）培训人数：按采购人指定人数；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（4）培训完成时间：不少于5天，培训工作直至用户人员能独立并正确操作设备才算完成。具体由采购人与投标人进行协商后确定。</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（5）培训费用：所有培训所涉及的所有费用包含在投标报价中，不得另行向采购人收取。</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备品备件及耗材要求：</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投标时提供备品备件及耗材清单，验收时核对清单上的备品备件及耗材数量。</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其他要求：无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工期及供货地点要求</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工期要求：合同签订之日起60天完成。</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供货（安装）地点要求：松阳县职业教育中心。</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安装、调试、验收要求</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安装要求：符合我国国家有关技术规范要求和技术标准。安装过程中发生的所有费用由投标人负责。投标人应在投标文件中提供其安装调试过程中使用单位需配合的内容。接到采购人交货通知后30日内完成所有设备的安装。</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调试要求：符合我国国家有关技术规范要求和技术标准。</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验收要求：</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本项目安装、调试完成后，由投标人以书面的形式告知采购人，由采购人组织验收小组，  7  天内组织验收。</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本项目完成实施后，根据中华人民共和国现行技术标准，按招标文件以及合同规定的验收评定标准等规范，由采购人组织验收。采购人将按规定对本项目所有设备的品牌、外观、规格、参数配置、数量、配件等使用性能、运行状况、技术资料及其他进行验收，投标人必须在验收现场提供必要的技术支持。</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参加验收的投标人，在签订合同前将参与验收的人员名单、联系方式等相关信息书面告知采购人。采购人在验收二日前告知其参加验收的具体时间和地址，参加验收工作的人员，应提供投标人出具的授权委托书；参加验收投标人应遵守诚实信用、实事求是的原则，在验收期间积极配合采购人组织的验收工作，不得影响或阻挠验收工作的正常进行。</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如发生所供设备与招标文件（或投标承诺）中规定的要求不符，由此产生的一切责任和后果由投标人承担。</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投标人应按采购文件和其投标文件规定的货物性能、技术要求、质量标准向采购人提供未经使用的全新产品。</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由于投标人原因超过时间达不到要求的或验收不能通过的，投标人须退还已付货款，赔偿采购人损失，并报有关部门处理。</w:t>
            </w:r>
          </w:p>
        </w:tc>
      </w:tr>
    </w:tbl>
    <w:p w14:paraId="72165503">
      <w:pPr>
        <w:wordWrap w:val="0"/>
        <w:rPr>
          <w:rFonts w:hint="eastAsia" w:ascii="宋体" w:hAnsi="宋体" w:eastAsia="宋体" w:cs="宋体"/>
          <w:spacing w:val="20"/>
          <w:sz w:val="24"/>
          <w:szCs w:val="24"/>
          <w:highlight w:val="none"/>
        </w:rPr>
      </w:pPr>
    </w:p>
    <w:p w14:paraId="1A331A05">
      <w:pPr>
        <w:wordWrap w:val="0"/>
        <w:rPr>
          <w:rFonts w:hint="eastAsia" w:ascii="宋体" w:hAnsi="宋体" w:eastAsia="宋体" w:cs="宋体"/>
          <w:spacing w:val="20"/>
          <w:sz w:val="24"/>
          <w:szCs w:val="24"/>
          <w:highlight w:val="none"/>
        </w:rPr>
      </w:pPr>
      <w:r>
        <w:rPr>
          <w:rFonts w:hint="eastAsia" w:ascii="宋体" w:hAnsi="宋体" w:eastAsia="宋体" w:cs="宋体"/>
          <w:spacing w:val="20"/>
          <w:sz w:val="24"/>
          <w:szCs w:val="24"/>
          <w:highlight w:val="none"/>
        </w:rPr>
        <w:t>注：1、供应商应根据其响应情况填写该表，并保证其与响应文件内容的一致性、正确性和真实性；</w:t>
      </w:r>
    </w:p>
    <w:p w14:paraId="77ADD74E">
      <w:pPr>
        <w:wordWrap w:val="0"/>
        <w:ind w:firstLine="548" w:firstLineChars="196"/>
        <w:rPr>
          <w:rFonts w:hint="eastAsia" w:ascii="宋体" w:hAnsi="宋体" w:eastAsia="宋体" w:cs="宋体"/>
          <w:spacing w:val="20"/>
          <w:sz w:val="24"/>
          <w:szCs w:val="24"/>
          <w:highlight w:val="none"/>
        </w:rPr>
      </w:pPr>
      <w:r>
        <w:rPr>
          <w:rFonts w:hint="eastAsia" w:ascii="宋体" w:hAnsi="宋体" w:eastAsia="宋体" w:cs="宋体"/>
          <w:spacing w:val="20"/>
          <w:sz w:val="24"/>
          <w:szCs w:val="24"/>
          <w:highlight w:val="none"/>
        </w:rPr>
        <w:t>2、填写该表不代表供应商已具有中标人（成交人）资格。本表只作为中标（成交）结果公告内容的一部分，进行公告使用；</w:t>
      </w:r>
    </w:p>
    <w:p w14:paraId="65004B56">
      <w:pPr>
        <w:wordWrap w:val="0"/>
        <w:ind w:firstLine="548" w:firstLineChars="196"/>
        <w:rPr>
          <w:rFonts w:hint="eastAsia" w:ascii="宋体" w:hAnsi="宋体" w:eastAsia="宋体" w:cs="宋体"/>
          <w:spacing w:val="20"/>
          <w:sz w:val="24"/>
          <w:szCs w:val="24"/>
          <w:highlight w:val="none"/>
        </w:rPr>
      </w:pPr>
      <w:r>
        <w:rPr>
          <w:rFonts w:hint="eastAsia" w:ascii="宋体" w:hAnsi="宋体" w:eastAsia="宋体" w:cs="宋体"/>
          <w:spacing w:val="20"/>
          <w:sz w:val="24"/>
          <w:szCs w:val="24"/>
          <w:highlight w:val="none"/>
        </w:rPr>
        <w:t>3、本表内容涉及较多，供应商可以适当增减表格行数，以保证表格内容的完整；</w:t>
      </w:r>
    </w:p>
    <w:p w14:paraId="717E52DE">
      <w:pPr>
        <w:wordWrap w:val="0"/>
        <w:ind w:firstLine="548" w:firstLineChars="196"/>
        <w:rPr>
          <w:rFonts w:hint="eastAsia" w:ascii="宋体" w:hAnsi="宋体" w:eastAsia="宋体" w:cs="宋体"/>
          <w:spacing w:val="20"/>
          <w:sz w:val="24"/>
          <w:szCs w:val="24"/>
          <w:highlight w:val="none"/>
        </w:rPr>
      </w:pPr>
      <w:r>
        <w:rPr>
          <w:rFonts w:hint="eastAsia" w:ascii="宋体" w:hAnsi="宋体" w:eastAsia="宋体" w:cs="宋体"/>
          <w:spacing w:val="20"/>
          <w:sz w:val="24"/>
          <w:szCs w:val="24"/>
          <w:highlight w:val="none"/>
        </w:rPr>
        <w:fldChar w:fldCharType="begin"/>
      </w:r>
      <w:r>
        <w:rPr>
          <w:rFonts w:hint="eastAsia" w:ascii="宋体" w:hAnsi="宋体" w:eastAsia="宋体" w:cs="宋体"/>
          <w:spacing w:val="20"/>
          <w:sz w:val="24"/>
          <w:szCs w:val="24"/>
          <w:highlight w:val="none"/>
        </w:rPr>
        <w:instrText xml:space="preserve"> HYPERLINK "mailto:4、评审结果排名第一的供应商在评审结束后2个工作日内将该表格提交发送至邮箱\“lssggzyjyzx@163.com\”。" </w:instrText>
      </w:r>
      <w:r>
        <w:rPr>
          <w:rFonts w:hint="eastAsia" w:ascii="宋体" w:hAnsi="宋体" w:eastAsia="宋体" w:cs="宋体"/>
          <w:spacing w:val="20"/>
          <w:sz w:val="24"/>
          <w:szCs w:val="24"/>
          <w:highlight w:val="none"/>
        </w:rPr>
        <w:fldChar w:fldCharType="separate"/>
      </w:r>
      <w:r>
        <w:rPr>
          <w:rFonts w:hint="eastAsia" w:ascii="宋体" w:hAnsi="宋体" w:eastAsia="宋体" w:cs="宋体"/>
          <w:spacing w:val="20"/>
          <w:sz w:val="24"/>
          <w:szCs w:val="24"/>
          <w:highlight w:val="none"/>
        </w:rPr>
        <w:t>4、评审结果排名第一的供应商在评审结束后1个工作日内将该表格提交发送至邮箱“</w:t>
      </w:r>
      <w:r>
        <w:rPr>
          <w:rFonts w:hint="eastAsia" w:ascii="宋体" w:hAnsi="宋体" w:eastAsia="宋体" w:cs="宋体"/>
          <w:spacing w:val="20"/>
          <w:sz w:val="24"/>
          <w:szCs w:val="24"/>
          <w:highlight w:val="none"/>
          <w:lang w:val="en-US" w:eastAsia="zh-CN"/>
        </w:rPr>
        <w:t>745415715@qq</w:t>
      </w:r>
      <w:r>
        <w:rPr>
          <w:rFonts w:hint="eastAsia" w:ascii="宋体" w:hAnsi="宋体" w:eastAsia="宋体" w:cs="宋体"/>
          <w:spacing w:val="20"/>
          <w:sz w:val="24"/>
          <w:szCs w:val="24"/>
          <w:highlight w:val="none"/>
        </w:rPr>
        <w:t>.com”。</w:t>
      </w:r>
      <w:r>
        <w:rPr>
          <w:rFonts w:hint="eastAsia" w:ascii="宋体" w:hAnsi="宋体" w:eastAsia="宋体" w:cs="宋体"/>
          <w:spacing w:val="20"/>
          <w:sz w:val="24"/>
          <w:szCs w:val="24"/>
          <w:highlight w:val="none"/>
        </w:rPr>
        <w:fldChar w:fldCharType="end"/>
      </w:r>
    </w:p>
    <w:p w14:paraId="61F74F34">
      <w:pPr>
        <w:wordWrap w:val="0"/>
        <w:ind w:firstLine="548" w:firstLineChars="196"/>
        <w:rPr>
          <w:rFonts w:hint="eastAsia" w:ascii="宋体" w:hAnsi="宋体" w:eastAsia="宋体" w:cs="宋体"/>
          <w:b/>
          <w:strike/>
        </w:rPr>
      </w:pPr>
      <w:r>
        <w:rPr>
          <w:rFonts w:hint="eastAsia" w:ascii="宋体" w:hAnsi="宋体" w:eastAsia="宋体" w:cs="宋体"/>
          <w:spacing w:val="20"/>
          <w:sz w:val="24"/>
          <w:szCs w:val="24"/>
          <w:highlight w:val="none"/>
        </w:rPr>
        <w:t>5、中标结果公告内容如涉及供应商的商业秘密等法律法规规定可以不予公告的情形，供应商应另附书面说明，如未事前书面说明造成的后果由供应商自行承担。</w:t>
      </w:r>
    </w:p>
    <w:p w14:paraId="2D807C39">
      <w:pPr>
        <w:rPr>
          <w:rFonts w:hint="eastAsia" w:ascii="宋体" w:hAnsi="宋体" w:eastAsia="宋体" w:cs="宋体"/>
          <w:lang w:val="en-US" w:eastAsia="zh-CN"/>
        </w:rPr>
      </w:pPr>
    </w:p>
    <w:p w14:paraId="1575EB80">
      <w:pPr>
        <w:rPr>
          <w:rFonts w:hint="eastAsia" w:ascii="宋体" w:hAnsi="宋体" w:eastAsia="宋体" w:cs="宋体"/>
          <w:lang w:val="en-US" w:eastAsia="zh-CN"/>
        </w:rPr>
      </w:pPr>
    </w:p>
    <w:sectPr>
      <w:headerReference r:id="rId5" w:type="default"/>
      <w:pgSz w:w="11906" w:h="16838"/>
      <w:pgMar w:top="1440" w:right="1800" w:bottom="1440" w:left="1800" w:header="851" w:footer="992" w:gutter="0"/>
      <w:pgNumType w:start="1"/>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4DE">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A6EAE">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D9674C"/>
    <w:multiLevelType w:val="multilevel"/>
    <w:tmpl w:val="E4D9674C"/>
    <w:lvl w:ilvl="0" w:tentative="0">
      <w:start w:val="1"/>
      <w:numFmt w:val="chineseCounting"/>
      <w:pStyle w:val="2"/>
      <w:suff w:val="nothing"/>
      <w:lvlText w:val="第%1章 "/>
      <w:lvlJc w:val="left"/>
      <w:pPr>
        <w:tabs>
          <w:tab w:val="left" w:pos="0"/>
        </w:tabs>
        <w:ind w:left="425" w:hanging="425"/>
      </w:pPr>
      <w:rPr>
        <w:rFonts w:hint="eastAsia" w:ascii="宋体" w:hAnsi="宋体" w:eastAsia="宋体" w:cs="Calibri Light"/>
      </w:rPr>
    </w:lvl>
    <w:lvl w:ilvl="1" w:tentative="0">
      <w:start w:val="1"/>
      <w:numFmt w:val="decimal"/>
      <w:pStyle w:val="3"/>
      <w:isLgl/>
      <w:lvlText w:val="%1.%2."/>
      <w:lvlJc w:val="left"/>
      <w:pPr>
        <w:tabs>
          <w:tab w:val="left" w:pos="420"/>
        </w:tabs>
        <w:ind w:left="567" w:hanging="567"/>
      </w:pPr>
      <w:rPr>
        <w:rFonts w:hint="eastAsia" w:ascii="宋体" w:hAnsi="宋体" w:eastAsia="宋体" w:cs="Calibri Light"/>
        <w:b/>
        <w:sz w:val="32"/>
      </w:rPr>
    </w:lvl>
    <w:lvl w:ilvl="2" w:tentative="0">
      <w:start w:val="1"/>
      <w:numFmt w:val="decimal"/>
      <w:pStyle w:val="4"/>
      <w:isLgl/>
      <w:lvlText w:val="%1.%2.%3."/>
      <w:lvlJc w:val="left"/>
      <w:pPr>
        <w:tabs>
          <w:tab w:val="left" w:pos="420"/>
        </w:tabs>
        <w:ind w:left="709" w:hanging="709"/>
      </w:pPr>
      <w:rPr>
        <w:rFonts w:hint="eastAsia" w:ascii="宋体" w:hAnsi="宋体" w:eastAsia="宋体" w:cs="Calibri Light"/>
        <w:b/>
        <w:sz w:val="30"/>
      </w:rPr>
    </w:lvl>
    <w:lvl w:ilvl="3" w:tentative="0">
      <w:start w:val="1"/>
      <w:numFmt w:val="decimal"/>
      <w:pStyle w:val="5"/>
      <w:isLgl/>
      <w:lvlText w:val="%1.%2.%3.%4."/>
      <w:lvlJc w:val="left"/>
      <w:pPr>
        <w:tabs>
          <w:tab w:val="left" w:pos="420"/>
        </w:tabs>
        <w:ind w:left="850" w:hanging="850"/>
      </w:pPr>
      <w:rPr>
        <w:rFonts w:hint="eastAsia" w:ascii="宋体" w:hAnsi="宋体" w:eastAsia="宋体" w:cs="Calibri Light"/>
        <w:b/>
        <w:sz w:val="28"/>
      </w:rPr>
    </w:lvl>
    <w:lvl w:ilvl="4" w:tentative="0">
      <w:start w:val="1"/>
      <w:numFmt w:val="decimal"/>
      <w:pStyle w:val="6"/>
      <w:isLgl/>
      <w:lvlText w:val="%1.%2.%3.%4.%5."/>
      <w:lvlJc w:val="left"/>
      <w:pPr>
        <w:ind w:left="991" w:hanging="991"/>
      </w:pPr>
      <w:rPr>
        <w:rFonts w:hint="eastAsia" w:ascii="宋体" w:hAnsi="宋体" w:eastAsia="宋体" w:cs="Calibri Light"/>
        <w:b/>
        <w:sz w:val="24"/>
      </w:rPr>
    </w:lvl>
    <w:lvl w:ilvl="5" w:tentative="0">
      <w:start w:val="1"/>
      <w:numFmt w:val="decimal"/>
      <w:pStyle w:val="7"/>
      <w:isLgl/>
      <w:lvlText w:val="%1.%2.%3.%4.%5.%6."/>
      <w:lvlJc w:val="left"/>
      <w:pPr>
        <w:ind w:left="1134" w:hanging="1134"/>
      </w:pPr>
      <w:rPr>
        <w:rFonts w:hint="eastAsia" w:ascii="宋体" w:hAnsi="宋体" w:eastAsia="宋体" w:cs="Calibri Light"/>
        <w:b/>
        <w:sz w:val="24"/>
      </w:rPr>
    </w:lvl>
    <w:lvl w:ilvl="6" w:tentative="0">
      <w:start w:val="1"/>
      <w:numFmt w:val="decimal"/>
      <w:isLgl/>
      <w:lvlText w:val="%1.%2.%3.%4.%5.%6.%7."/>
      <w:lvlJc w:val="left"/>
      <w:pPr>
        <w:ind w:left="1275" w:hanging="1275"/>
      </w:pPr>
      <w:rPr>
        <w:rFonts w:hint="eastAsia"/>
      </w:rPr>
    </w:lvl>
    <w:lvl w:ilvl="7" w:tentative="0">
      <w:start w:val="1"/>
      <w:numFmt w:val="decimal"/>
      <w:isLgl/>
      <w:lvlText w:val="%1.%2.%3.%4.%5.%6.%7.%8."/>
      <w:lvlJc w:val="left"/>
      <w:pPr>
        <w:ind w:left="1418" w:hanging="1418"/>
      </w:pPr>
      <w:rPr>
        <w:rFonts w:hint="eastAsia"/>
      </w:rPr>
    </w:lvl>
    <w:lvl w:ilvl="8" w:tentative="0">
      <w:start w:val="1"/>
      <w:numFmt w:val="decimal"/>
      <w:isLgl/>
      <w:lvlText w:val="%1.%2.%3.%4.%5.%6.%7.%8.%9."/>
      <w:lvlJc w:val="left"/>
      <w:pPr>
        <w:ind w:left="1558" w:hanging="1558"/>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formatting="1"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5OTA4MDdkNjljMzUwNzgwZmNiNzQ5ZmRhODc2YWIifQ=="/>
  </w:docVars>
  <w:rsids>
    <w:rsidRoot w:val="00000000"/>
    <w:rsid w:val="03AD1C7A"/>
    <w:rsid w:val="082425D6"/>
    <w:rsid w:val="0996644E"/>
    <w:rsid w:val="18B532EA"/>
    <w:rsid w:val="1A11228E"/>
    <w:rsid w:val="21F77453"/>
    <w:rsid w:val="28C11127"/>
    <w:rsid w:val="307435A8"/>
    <w:rsid w:val="30E20088"/>
    <w:rsid w:val="34396D2C"/>
    <w:rsid w:val="35142F86"/>
    <w:rsid w:val="354E4516"/>
    <w:rsid w:val="394F5D3F"/>
    <w:rsid w:val="4638544F"/>
    <w:rsid w:val="4B76442C"/>
    <w:rsid w:val="557D29FF"/>
    <w:rsid w:val="584B45E2"/>
    <w:rsid w:val="5864377A"/>
    <w:rsid w:val="5E5E5EA5"/>
    <w:rsid w:val="63F36626"/>
    <w:rsid w:val="6A932D0F"/>
    <w:rsid w:val="6CB65A49"/>
    <w:rsid w:val="72CE1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semiHidden="0" w:name="heading 3" w:locked="1"/>
    <w:lsdException w:qFormat="1" w:uiPriority="0" w:semiHidden="0" w:name="heading 4" w:locked="1"/>
    <w:lsdException w:qFormat="1" w:uiPriority="0" w:semiHidden="0" w:name="heading 5" w:locked="1"/>
    <w:lsdException w:qFormat="1" w:uiPriority="0" w:semiHidden="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iPriority="39" w:semiHidden="0" w:name="toc 4" w:locked="1"/>
    <w:lsdException w:qFormat="1" w:uiPriority="39" w:semiHidden="0" w:name="toc 5" w:locked="1"/>
    <w:lsdException w:qFormat="1" w:uiPriority="39"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unhideWhenUsed="0" w:uiPriority="0" w:semiHidden="0" w:name="annotation text" w:locked="1"/>
    <w:lsdException w:qFormat="1" w:uiPriority="99" w:semiHidden="0" w:name="header" w:locked="1"/>
    <w:lsdException w:qFormat="1" w:uiPriority="99" w:semiHidden="0" w:name="footer" w:locked="1"/>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unhideWhenUsed="0" w:uiPriority="0" w:semiHidden="0" w:name="annotation reference" w:locked="1"/>
    <w:lsdException w:unhideWhenUsed="0" w:uiPriority="0" w:semiHidden="0" w:name="line number" w:locked="1"/>
    <w:lsdException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iPriority="0" w:semiHidden="0" w:name="Body Text" w:locked="1"/>
    <w:lsdException w:qFormat="1" w:unhideWhenUsed="0" w:uiPriority="0" w:semiHidden="0" w:name="Body Text Indent" w:locked="1"/>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unhideWhenUsed="0" w:uiPriority="0" w:semiHidden="0" w:name="Date" w:locked="1"/>
    <w:lsdException w:qFormat="1" w:uiPriority="99" w:semiHidden="0" w:name="Body Text First Indent" w:locked="1"/>
    <w:lsdException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unhideWhenUsed="0" w:uiPriority="0" w:semiHidden="0" w:name="Plain Text" w:locked="1"/>
    <w:lsdException w:unhideWhenUsed="0" w:uiPriority="0" w:semiHidden="0" w:name="E-mail Signature" w:locked="1"/>
    <w:lsdException w:qFormat="1" w:unhideWhenUsed="0" w:uiPriority="99" w:semiHidden="0" w:name="Normal (Web)" w:locked="1"/>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unhideWhenUsed="0" w:uiPriority="0" w:semiHidden="0" w:name="annotation subject" w:locked="1"/>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ocked="1"/>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theme="minorBidi"/>
      <w:kern w:val="2"/>
      <w:sz w:val="24"/>
      <w:szCs w:val="24"/>
      <w:lang w:val="en-US" w:eastAsia="zh-CN" w:bidi="ar-SA"/>
    </w:rPr>
  </w:style>
  <w:style w:type="paragraph" w:styleId="2">
    <w:name w:val="heading 1"/>
    <w:basedOn w:val="1"/>
    <w:next w:val="1"/>
    <w:qFormat/>
    <w:locked/>
    <w:uiPriority w:val="0"/>
    <w:pPr>
      <w:keepNext/>
      <w:keepLines/>
      <w:pageBreakBefore w:val="0"/>
      <w:numPr>
        <w:ilvl w:val="0"/>
        <w:numId w:val="1"/>
      </w:numPr>
      <w:spacing w:before="340" w:beforeLines="0" w:beforeAutospacing="0" w:after="330" w:afterLines="0" w:afterAutospacing="0" w:line="240" w:lineRule="auto"/>
      <w:ind w:left="0" w:firstLine="0"/>
      <w:jc w:val="center"/>
      <w:outlineLvl w:val="0"/>
    </w:pPr>
    <w:rPr>
      <w:b/>
      <w:kern w:val="44"/>
      <w:sz w:val="44"/>
    </w:rPr>
  </w:style>
  <w:style w:type="paragraph" w:styleId="3">
    <w:name w:val="heading 2"/>
    <w:basedOn w:val="1"/>
    <w:next w:val="1"/>
    <w:unhideWhenUsed/>
    <w:qFormat/>
    <w:locked/>
    <w:uiPriority w:val="0"/>
    <w:pPr>
      <w:keepNext/>
      <w:keepLines/>
      <w:numPr>
        <w:ilvl w:val="1"/>
        <w:numId w:val="1"/>
      </w:numPr>
      <w:spacing w:before="260" w:beforeLines="0" w:beforeAutospacing="0" w:after="260" w:afterLines="0" w:afterAutospacing="0" w:line="240" w:lineRule="auto"/>
      <w:ind w:left="0" w:firstLine="0"/>
      <w:outlineLvl w:val="1"/>
    </w:pPr>
    <w:rPr>
      <w:b/>
      <w:sz w:val="36"/>
    </w:rPr>
  </w:style>
  <w:style w:type="paragraph" w:styleId="4">
    <w:name w:val="heading 3"/>
    <w:basedOn w:val="1"/>
    <w:next w:val="1"/>
    <w:unhideWhenUsed/>
    <w:qFormat/>
    <w:locked/>
    <w:uiPriority w:val="0"/>
    <w:pPr>
      <w:keepNext/>
      <w:keepLines/>
      <w:numPr>
        <w:ilvl w:val="2"/>
        <w:numId w:val="1"/>
      </w:numPr>
      <w:spacing w:before="260" w:beforeLines="0" w:beforeAutospacing="0" w:after="260" w:afterLines="0" w:afterAutospacing="0" w:line="240" w:lineRule="auto"/>
      <w:ind w:left="0" w:firstLine="0"/>
      <w:outlineLvl w:val="2"/>
    </w:pPr>
    <w:rPr>
      <w:b/>
      <w:sz w:val="32"/>
    </w:rPr>
  </w:style>
  <w:style w:type="paragraph" w:styleId="5">
    <w:name w:val="heading 4"/>
    <w:basedOn w:val="1"/>
    <w:next w:val="1"/>
    <w:unhideWhenUsed/>
    <w:qFormat/>
    <w:locked/>
    <w:uiPriority w:val="0"/>
    <w:pPr>
      <w:keepNext/>
      <w:keepLines/>
      <w:numPr>
        <w:ilvl w:val="3"/>
        <w:numId w:val="1"/>
      </w:numPr>
      <w:spacing w:before="280" w:beforeLines="0" w:beforeAutospacing="0" w:after="290" w:afterLines="0" w:afterAutospacing="0" w:line="240" w:lineRule="auto"/>
      <w:ind w:left="0" w:firstLine="0"/>
      <w:outlineLvl w:val="3"/>
    </w:pPr>
    <w:rPr>
      <w:b/>
      <w:sz w:val="30"/>
    </w:rPr>
  </w:style>
  <w:style w:type="paragraph" w:styleId="6">
    <w:name w:val="heading 5"/>
    <w:basedOn w:val="1"/>
    <w:next w:val="1"/>
    <w:unhideWhenUsed/>
    <w:qFormat/>
    <w:locked/>
    <w:uiPriority w:val="0"/>
    <w:pPr>
      <w:keepNext/>
      <w:keepLines/>
      <w:numPr>
        <w:ilvl w:val="4"/>
        <w:numId w:val="1"/>
      </w:numPr>
      <w:spacing w:before="280" w:beforeLines="0" w:beforeAutospacing="0" w:after="290" w:afterLines="0" w:afterAutospacing="0" w:line="240" w:lineRule="auto"/>
      <w:ind w:left="0" w:firstLine="0"/>
      <w:outlineLvl w:val="4"/>
    </w:pPr>
    <w:rPr>
      <w:b/>
      <w:sz w:val="28"/>
    </w:rPr>
  </w:style>
  <w:style w:type="paragraph" w:styleId="7">
    <w:name w:val="heading 6"/>
    <w:basedOn w:val="1"/>
    <w:next w:val="1"/>
    <w:unhideWhenUsed/>
    <w:qFormat/>
    <w:locked/>
    <w:uiPriority w:val="0"/>
    <w:pPr>
      <w:keepNext/>
      <w:keepLines/>
      <w:numPr>
        <w:ilvl w:val="5"/>
        <w:numId w:val="1"/>
      </w:numPr>
      <w:spacing w:before="240" w:beforeLines="0" w:beforeAutospacing="0" w:after="240" w:afterLines="0" w:afterAutospacing="0" w:line="240" w:lineRule="auto"/>
      <w:ind w:left="0" w:firstLine="0"/>
      <w:outlineLvl w:val="5"/>
    </w:pPr>
    <w:rPr>
      <w:b/>
    </w:rPr>
  </w:style>
  <w:style w:type="paragraph" w:styleId="8">
    <w:name w:val="heading 7"/>
    <w:basedOn w:val="1"/>
    <w:next w:val="1"/>
    <w:semiHidden/>
    <w:unhideWhenUsed/>
    <w:qFormat/>
    <w:locked/>
    <w:uiPriority w:val="0"/>
    <w:pPr>
      <w:keepNext/>
      <w:keepLines/>
      <w:spacing w:before="240" w:beforeLines="0" w:beforeAutospacing="0" w:after="64" w:afterLines="0" w:afterAutospacing="0" w:line="240" w:lineRule="auto"/>
      <w:outlineLvl w:val="6"/>
    </w:pPr>
    <w:rPr>
      <w:rFonts w:ascii="宋体" w:hAnsi="宋体"/>
      <w:b/>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9">
    <w:name w:val="Normal Indent"/>
    <w:basedOn w:val="1"/>
    <w:next w:val="1"/>
    <w:qFormat/>
    <w:locked/>
    <w:uiPriority w:val="0"/>
    <w:pPr>
      <w:ind w:firstLine="420"/>
    </w:pPr>
    <w:rPr>
      <w:szCs w:val="20"/>
    </w:rPr>
  </w:style>
  <w:style w:type="paragraph" w:styleId="10">
    <w:name w:val="Body Text"/>
    <w:basedOn w:val="1"/>
    <w:next w:val="1"/>
    <w:unhideWhenUsed/>
    <w:qFormat/>
    <w:locked/>
    <w:uiPriority w:val="0"/>
    <w:pPr>
      <w:spacing w:after="120"/>
    </w:pPr>
  </w:style>
  <w:style w:type="paragraph" w:styleId="11">
    <w:name w:val="toc 5"/>
    <w:basedOn w:val="1"/>
    <w:next w:val="1"/>
    <w:unhideWhenUsed/>
    <w:qFormat/>
    <w:locked/>
    <w:uiPriority w:val="39"/>
    <w:pPr>
      <w:ind w:left="840"/>
      <w:jc w:val="left"/>
    </w:pPr>
    <w:rPr>
      <w:rFonts w:cstheme="minorHAnsi"/>
      <w:sz w:val="18"/>
      <w:szCs w:val="18"/>
    </w:rPr>
  </w:style>
  <w:style w:type="paragraph" w:styleId="12">
    <w:name w:val="toc 3"/>
    <w:basedOn w:val="1"/>
    <w:next w:val="1"/>
    <w:qFormat/>
    <w:locked/>
    <w:uiPriority w:val="0"/>
    <w:pPr>
      <w:ind w:left="840" w:leftChars="400"/>
    </w:pPr>
  </w:style>
  <w:style w:type="paragraph" w:styleId="13">
    <w:name w:val="footer"/>
    <w:basedOn w:val="1"/>
    <w:next w:val="14"/>
    <w:unhideWhenUsed/>
    <w:qFormat/>
    <w:locked/>
    <w:uiPriority w:val="99"/>
    <w:pPr>
      <w:tabs>
        <w:tab w:val="center" w:pos="4153"/>
        <w:tab w:val="right" w:pos="8306"/>
      </w:tabs>
      <w:snapToGrid w:val="0"/>
      <w:jc w:val="left"/>
    </w:pPr>
    <w:rPr>
      <w:sz w:val="18"/>
      <w:szCs w:val="18"/>
    </w:rPr>
  </w:style>
  <w:style w:type="paragraph" w:styleId="14">
    <w:name w:val="toc 2"/>
    <w:basedOn w:val="1"/>
    <w:next w:val="1"/>
    <w:qFormat/>
    <w:locked/>
    <w:uiPriority w:val="0"/>
    <w:pPr>
      <w:spacing w:line="360" w:lineRule="auto"/>
      <w:ind w:left="420" w:leftChars="200"/>
    </w:pPr>
    <w:rPr>
      <w:color w:val="000000" w:themeColor="text1"/>
      <w14:textFill>
        <w14:solidFill>
          <w14:schemeClr w14:val="tx1"/>
        </w14:solidFill>
      </w14:textFill>
    </w:rPr>
  </w:style>
  <w:style w:type="paragraph" w:styleId="15">
    <w:name w:val="header"/>
    <w:basedOn w:val="1"/>
    <w:unhideWhenUsed/>
    <w:qFormat/>
    <w:locked/>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locked/>
    <w:uiPriority w:val="0"/>
    <w:pPr>
      <w:spacing w:line="360" w:lineRule="auto"/>
    </w:pPr>
    <w:rPr>
      <w:rFonts w:asciiTheme="minorAscii" w:hAnsiTheme="minorAscii"/>
      <w:color w:val="000000" w:themeColor="text1"/>
      <w14:textFill>
        <w14:solidFill>
          <w14:schemeClr w14:val="tx1"/>
        </w14:solidFill>
      </w14:textFill>
    </w:rPr>
  </w:style>
  <w:style w:type="paragraph" w:styleId="17">
    <w:name w:val="toc 4"/>
    <w:basedOn w:val="1"/>
    <w:next w:val="1"/>
    <w:unhideWhenUsed/>
    <w:qFormat/>
    <w:locked/>
    <w:uiPriority w:val="39"/>
    <w:pPr>
      <w:ind w:left="630"/>
      <w:jc w:val="left"/>
    </w:pPr>
    <w:rPr>
      <w:rFonts w:cstheme="minorHAnsi"/>
      <w:sz w:val="18"/>
      <w:szCs w:val="18"/>
    </w:rPr>
  </w:style>
  <w:style w:type="paragraph" w:styleId="18">
    <w:name w:val="toc 6"/>
    <w:basedOn w:val="1"/>
    <w:next w:val="1"/>
    <w:unhideWhenUsed/>
    <w:qFormat/>
    <w:locked/>
    <w:uiPriority w:val="39"/>
    <w:pPr>
      <w:ind w:left="1050"/>
      <w:jc w:val="left"/>
    </w:pPr>
    <w:rPr>
      <w:rFonts w:cstheme="minorHAnsi"/>
      <w:sz w:val="18"/>
      <w:szCs w:val="18"/>
    </w:rPr>
  </w:style>
  <w:style w:type="paragraph" w:styleId="19">
    <w:name w:val="Body Text First Indent"/>
    <w:basedOn w:val="10"/>
    <w:next w:val="1"/>
    <w:unhideWhenUsed/>
    <w:qFormat/>
    <w:locked/>
    <w:uiPriority w:val="99"/>
    <w:pPr>
      <w:widowControl/>
      <w:spacing w:line="312" w:lineRule="auto"/>
      <w:ind w:firstLine="420" w:firstLineChars="100"/>
      <w:jc w:val="left"/>
    </w:pPr>
    <w:rPr>
      <w:rFonts w:ascii="Times New Roman" w:hAnsi="Times New Roman"/>
      <w:kern w:val="0"/>
      <w:sz w:val="20"/>
      <w:szCs w:val="20"/>
    </w:rPr>
  </w:style>
  <w:style w:type="character" w:styleId="22">
    <w:name w:val="Strong"/>
    <w:basedOn w:val="21"/>
    <w:qFormat/>
    <w:locked/>
    <w:uiPriority w:val="0"/>
    <w:rPr>
      <w:b/>
    </w:rPr>
  </w:style>
  <w:style w:type="paragraph" w:customStyle="1" w:styleId="23">
    <w:name w:val="图片"/>
    <w:basedOn w:val="1"/>
    <w:qFormat/>
    <w:uiPriority w:val="0"/>
    <w:pPr>
      <w:adjustRightInd w:val="0"/>
      <w:snapToGrid w:val="0"/>
      <w:ind w:left="-1800" w:leftChars="-750" w:right="-1757" w:rightChars="-732"/>
      <w:jc w:val="center"/>
    </w:pPr>
    <w:rPr>
      <w:rFonts w:ascii="Times New Roman" w:hAnsi="Times New Roman" w:cs="Times New Roman"/>
      <w:szCs w:val="24"/>
    </w:rPr>
  </w:style>
  <w:style w:type="paragraph" w:customStyle="1" w:styleId="24">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2023-07-31T00:37:00Z</dcterms:created>
  <dc:creator>yuyanchao</dc:creator>
  <cp:lastModifiedBy>预言超</cp:lastModifiedBy>
  <dcterms:modified xsi:type="dcterms:W3CDTF">2026-08-21T08:11:10Z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573033B224ED4E9EB1743FEB827B0D3B_12</vt:lpwstr>
  </property>
  <property fmtid="{D5CDD505-2E9C-101B-9397-08002B2CF9AE}" pid="4" name="KSOTemplateDocerSaveRecord">
    <vt:lpwstr>eyJoZGlkIjoiNjE5OTA4MDdkNjljMzUwNzgwZmNiNzQ5ZmRhODc2YWIiLCJ1c2VySWQiOiIzNzMxMjQ1MDEifQ==</vt:lpwstr>
  </property>
</Properties>
</file>