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版本号：N511124202600003920260728001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井研职中新建计算机机房3个（计算机设备采购）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N5111242026000039</w:t>
      </w:r>
    </w:p>
    <w:p>
      <w:pPr>
        <w:pStyle w:val="null3"/>
        <w:jc w:val="left"/>
        <w:outlineLvl w:val="2"/>
      </w:pPr>
      <w:r>
        <w:rPr>
          <w:rFonts w:ascii="仿宋_GB2312" w:hAnsi="仿宋_GB2312" w:cs="仿宋_GB2312" w:eastAsia="仿宋_GB2312"/>
          <w:sz w:val="28"/>
          <w:b/>
        </w:rPr>
        <w:t>四川省井研县高级职业中学</w:t>
      </w:r>
    </w:p>
    <w:p>
      <w:pPr>
        <w:pStyle w:val="null3"/>
        <w:jc w:val="center"/>
        <w:outlineLvl w:val="2"/>
      </w:pPr>
      <w:r>
        <w:rPr>
          <w:rFonts w:ascii="仿宋_GB2312" w:hAnsi="仿宋_GB2312" w:cs="仿宋_GB2312" w:eastAsia="仿宋_GB2312"/>
          <w:sz w:val="28"/>
          <w:b/>
        </w:rPr>
        <w:t>井研县公共资源交易服务中心（井研县政府采购中心）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四川省井研县高级职业中学</w:t>
      </w:r>
      <w:r>
        <w:rPr>
          <w:rFonts w:ascii="仿宋_GB2312" w:hAnsi="仿宋_GB2312" w:cs="仿宋_GB2312" w:eastAsia="仿宋_GB2312"/>
        </w:rPr>
        <w:t xml:space="preserve"> 委托，拟对 </w:t>
      </w:r>
      <w:r>
        <w:rPr>
          <w:rFonts w:ascii="仿宋_GB2312" w:hAnsi="仿宋_GB2312" w:cs="仿宋_GB2312" w:eastAsia="仿宋_GB2312"/>
        </w:rPr>
        <w:t>井研职中新建计算机机房3个（计算机设备采购）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乐山市井研县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N5111242026000039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井研职中新建计算机机房3个（计算机设备采购）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购置专业计算机125台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四川省井研县高级职业中学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井研县研城镇城西街125号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139 8135 3344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井研县公共资源交易服务中心（井研县政府采购中心）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四川省乐山市井研县井研县千佛镇石家桥村兴盛路12号（井研县公共资源交易服务中心）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交易（袁老师）、评审（李老师）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交易0833-3713930、评审0833-3711023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四川省井研县高级职业中学</w:t>
      </w:r>
      <w:r>
        <w:rPr>
          <w:rFonts w:ascii="仿宋_GB2312" w:hAnsi="仿宋_GB2312" w:cs="仿宋_GB2312" w:eastAsia="仿宋_GB2312"/>
        </w:rPr>
        <w:t xml:space="preserve"> 和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四川省井研县高级职业中学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需求管理办法》〔财库（2021）22号〕及《乐山市财政局关于沿用乐山市政府采购项目需求论证和履约验收管理实施细则的通知》（乐市财政采〔2021〕8号）要求或其他相关政策文件、规程规范，各级政府和职能部门发布执行的成果检查验收规定进行验收。验收时如发现不符合采购合同规定之情形者，采购人应做出详尽的书面记录，或由双方签署备忘录，此记录或备忘录可用作补充、缺失和整改的有效证据，由此产生的时间延误与有关费用由供应商承担，验收期限相应顺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按照采购文件技术要求、供应商响应文件承诺、采购合同内容进行验收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按照采购文件项目服务要求、供应商响应文件承诺、采购合同内容进行验收。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需求管理办法》〔财库（2021）22号〕及《乐山市财政局关于沿用乐山市政府采购项目需求论证和履约验收管理实施细则的通知》（乐市财政采〔2021〕8号）要求或其他相关政策文件、规程规范，各级政府和职能部门发布执行的成果检查验收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其他未尽事宜应严格按照《政府采购需求管理办法》〔财库（2021）22号〕及《乐山市财政局关于沿用乐山市政府采购项目需求论证和履约验收管理实施细则的通知》（乐市财政采〔2021〕8号）要求进行。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四川省井研县高级职业中学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联系人：石老师</w:t>
      </w:r>
    </w:p>
    <w:p>
      <w:pPr>
        <w:pStyle w:val="null3"/>
        <w:jc w:val="left"/>
      </w:pPr>
      <w:r>
        <w:rPr>
          <w:rFonts w:ascii="仿宋_GB2312" w:hAnsi="仿宋_GB2312" w:cs="仿宋_GB2312" w:eastAsia="仿宋_GB2312"/>
        </w:rPr>
        <w:t>联系电话：13981353344</w:t>
      </w:r>
    </w:p>
    <w:p>
      <w:pPr>
        <w:pStyle w:val="null3"/>
        <w:jc w:val="left"/>
      </w:pPr>
      <w:r>
        <w:rPr>
          <w:rFonts w:ascii="仿宋_GB2312" w:hAnsi="仿宋_GB2312" w:cs="仿宋_GB2312" w:eastAsia="仿宋_GB2312"/>
        </w:rPr>
        <w:t>地址：井研县研城镇城西街125号</w:t>
      </w:r>
    </w:p>
    <w:p>
      <w:pPr>
        <w:pStyle w:val="null3"/>
        <w:jc w:val="left"/>
      </w:pPr>
      <w:r>
        <w:rPr>
          <w:rFonts w:ascii="仿宋_GB2312" w:hAnsi="仿宋_GB2312" w:cs="仿宋_GB2312" w:eastAsia="仿宋_GB2312"/>
        </w:rPr>
        <w:t>邮编：613100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联系电话：0833-3711023</w:t>
      </w:r>
    </w:p>
    <w:p>
      <w:pPr>
        <w:pStyle w:val="null3"/>
        <w:jc w:val="left"/>
      </w:pPr>
      <w:r>
        <w:rPr>
          <w:rFonts w:ascii="仿宋_GB2312" w:hAnsi="仿宋_GB2312" w:cs="仿宋_GB2312" w:eastAsia="仿宋_GB2312"/>
        </w:rPr>
        <w:t>地址：四川省乐山市井研县千佛镇石家桥村兴盛路12号（井研县公共资源交易服务中心）</w:t>
      </w:r>
    </w:p>
    <w:p>
      <w:pPr>
        <w:pStyle w:val="null3"/>
        <w:jc w:val="left"/>
      </w:pPr>
      <w:r>
        <w:rPr>
          <w:rFonts w:ascii="仿宋_GB2312" w:hAnsi="仿宋_GB2312" w:cs="仿宋_GB2312" w:eastAsia="仿宋_GB2312"/>
        </w:rPr>
        <w:t>邮编：613100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A02010199 其他计算机</w:t>
            </w:r>
          </w:p>
        </w:tc>
        <w:tc>
          <w:tcPr>
            <w:tcW w:type="dxa" w:w="821"/>
          </w:tcPr>
          <w:p>
            <w:pPr>
              <w:pStyle w:val="null3"/>
              <w:jc w:val="left"/>
            </w:pPr>
            <w:r>
              <w:rPr>
                <w:rFonts w:ascii="仿宋_GB2312" w:hAnsi="仿宋_GB2312" w:cs="仿宋_GB2312" w:eastAsia="仿宋_GB2312"/>
              </w:rPr>
              <w:t>教师机</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A02010199 其他计算机</w:t>
            </w:r>
          </w:p>
        </w:tc>
        <w:tc>
          <w:tcPr>
            <w:tcW w:type="dxa" w:w="821"/>
          </w:tcPr>
          <w:p>
            <w:pPr>
              <w:pStyle w:val="null3"/>
              <w:jc w:val="left"/>
            </w:pPr>
            <w:r>
              <w:rPr>
                <w:rFonts w:ascii="仿宋_GB2312" w:hAnsi="仿宋_GB2312" w:cs="仿宋_GB2312" w:eastAsia="仿宋_GB2312"/>
              </w:rPr>
              <w:t>学生机</w:t>
            </w:r>
          </w:p>
        </w:tc>
        <w:tc>
          <w:tcPr>
            <w:tcW w:type="dxa" w:w="821"/>
          </w:tcPr>
          <w:p>
            <w:pPr>
              <w:pStyle w:val="null3"/>
              <w:jc w:val="right"/>
            </w:pPr>
            <w:r>
              <w:rPr>
                <w:rFonts w:ascii="仿宋_GB2312" w:hAnsi="仿宋_GB2312" w:cs="仿宋_GB2312" w:eastAsia="仿宋_GB2312"/>
              </w:rPr>
              <w:t>122.00（台）</w:t>
            </w:r>
          </w:p>
        </w:tc>
        <w:tc>
          <w:tcPr>
            <w:tcW w:type="dxa" w:w="821"/>
          </w:tcPr>
          <w:p>
            <w:pPr>
              <w:pStyle w:val="null3"/>
              <w:jc w:val="right"/>
            </w:pPr>
            <w:r>
              <w:rPr>
                <w:rFonts w:ascii="仿宋_GB2312" w:hAnsi="仿宋_GB2312" w:cs="仿宋_GB2312" w:eastAsia="仿宋_GB2312"/>
              </w:rPr>
              <w:t>976,000.00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教师机</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学生机</w:t>
            </w:r>
          </w:p>
        </w:tc>
        <w:tc>
          <w:tcPr>
            <w:tcW w:type="dxa" w:w="1138"/>
          </w:tcPr>
          <w:p>
            <w:pPr>
              <w:pStyle w:val="null3"/>
              <w:jc w:val="center"/>
            </w:pPr>
            <w:r>
              <w:rPr>
                <w:rFonts w:ascii="仿宋_GB2312" w:hAnsi="仿宋_GB2312" w:cs="仿宋_GB2312" w:eastAsia="仿宋_GB2312"/>
              </w:rPr>
              <w:t>122.00（台）</w:t>
            </w:r>
          </w:p>
        </w:tc>
        <w:tc>
          <w:tcPr>
            <w:tcW w:type="dxa" w:w="1365"/>
          </w:tcPr>
          <w:p>
            <w:pPr>
              <w:pStyle w:val="null3"/>
              <w:jc w:val="center"/>
            </w:pPr>
            <w:r>
              <w:rPr>
                <w:rFonts w:ascii="仿宋_GB2312" w:hAnsi="仿宋_GB2312" w:cs="仿宋_GB2312" w:eastAsia="仿宋_GB2312"/>
              </w:rPr>
              <w:t>976,000.00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教师机</w:t>
            </w:r>
          </w:p>
        </w:tc>
        <w:tc>
          <w:tcPr>
            <w:tcW w:type="dxa" w:w="2492"/>
          </w:tcPr>
          <w:p>
            <w:pPr>
              <w:pStyle w:val="null3"/>
              <w:jc w:val="left"/>
            </w:pPr>
            <w:r>
              <w:rPr>
                <w:rFonts w:ascii="仿宋_GB2312" w:hAnsi="仿宋_GB2312" w:cs="仿宋_GB2312" w:eastAsia="仿宋_GB2312"/>
              </w:rPr>
              <w:t>教师机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教师机</w:t>
            </w:r>
          </w:p>
        </w:tc>
        <w:tc>
          <w:tcPr>
            <w:tcW w:type="dxa" w:w="2492"/>
          </w:tcPr>
          <w:p>
            <w:pPr>
              <w:pStyle w:val="null3"/>
              <w:jc w:val="left"/>
            </w:pPr>
            <w:r>
              <w:rPr>
                <w:rFonts w:ascii="仿宋_GB2312" w:hAnsi="仿宋_GB2312" w:cs="仿宋_GB2312" w:eastAsia="仿宋_GB2312"/>
              </w:rPr>
              <w:t>教师机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A02010199 其他计算机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关键部件安全要求：CPU关键部件应当符合安全可靠测评要求（安全可靠等级不低于Ⅱ级），详情可在中国信息安全测评中心（www.itsec.gov.cn）或国家保密科技测评中心（www.nsstec.org.cn）测评公告中查询（需提供上述网站网页查询截图）；</w:t>
            </w:r>
          </w:p>
          <w:p>
            <w:pPr>
              <w:pStyle w:val="null3"/>
              <w:jc w:val="both"/>
            </w:pPr>
            <w:r>
              <w:rPr>
                <w:rFonts w:ascii="仿宋_GB2312" w:hAnsi="仿宋_GB2312" w:cs="仿宋_GB2312" w:eastAsia="仿宋_GB2312"/>
                <w:sz w:val="21"/>
              </w:rPr>
              <w:t>2、处理器：最高频率≥2.1GHz，CPU核数≥8，线程数≥12；</w:t>
            </w:r>
          </w:p>
          <w:p>
            <w:pPr>
              <w:pStyle w:val="null3"/>
              <w:jc w:val="both"/>
            </w:pPr>
            <w:r>
              <w:rPr>
                <w:rFonts w:ascii="仿宋_GB2312" w:hAnsi="仿宋_GB2312" w:cs="仿宋_GB2312" w:eastAsia="仿宋_GB2312"/>
                <w:sz w:val="21"/>
              </w:rPr>
              <w:t>3、内存配置容量：≥16GB；</w:t>
            </w:r>
          </w:p>
          <w:p>
            <w:pPr>
              <w:pStyle w:val="null3"/>
              <w:jc w:val="both"/>
            </w:pPr>
            <w:r>
              <w:rPr>
                <w:rFonts w:ascii="仿宋_GB2312" w:hAnsi="仿宋_GB2312" w:cs="仿宋_GB2312" w:eastAsia="仿宋_GB2312"/>
                <w:sz w:val="21"/>
              </w:rPr>
              <w:t>4、存储容量：≥256GB 固态存储,支持UFS/SATA/PCIe/NVMe 等类型接口协议，≥1TB HDD；</w:t>
            </w:r>
          </w:p>
          <w:p>
            <w:pPr>
              <w:pStyle w:val="null3"/>
              <w:jc w:val="both"/>
            </w:pPr>
            <w:r>
              <w:rPr>
                <w:rFonts w:ascii="仿宋_GB2312" w:hAnsi="仿宋_GB2312" w:cs="仿宋_GB2312" w:eastAsia="仿宋_GB2312"/>
                <w:sz w:val="21"/>
              </w:rPr>
              <w:t>5、显卡类型：集成显卡或独立显卡；</w:t>
            </w:r>
          </w:p>
          <w:p>
            <w:pPr>
              <w:pStyle w:val="null3"/>
              <w:jc w:val="both"/>
            </w:pPr>
            <w:r>
              <w:rPr>
                <w:rFonts w:ascii="仿宋_GB2312" w:hAnsi="仿宋_GB2312" w:cs="仿宋_GB2312" w:eastAsia="仿宋_GB2312"/>
                <w:sz w:val="21"/>
              </w:rPr>
              <w:t>6、USB接口数量：USB端口≥6个，其中USB3.0接口≥3个；</w:t>
            </w:r>
          </w:p>
          <w:p>
            <w:pPr>
              <w:pStyle w:val="null3"/>
              <w:jc w:val="both"/>
            </w:pPr>
            <w:r>
              <w:rPr>
                <w:rFonts w:ascii="仿宋_GB2312" w:hAnsi="仿宋_GB2312" w:cs="仿宋_GB2312" w:eastAsia="仿宋_GB2312"/>
                <w:sz w:val="21"/>
              </w:rPr>
              <w:t>7、外部接口 ：至少支持 VGA、HDMI、DVI、DP、Type-C 中 1 种显示接口；</w:t>
            </w:r>
          </w:p>
          <w:p>
            <w:pPr>
              <w:pStyle w:val="null3"/>
              <w:jc w:val="both"/>
            </w:pPr>
            <w:r>
              <w:rPr>
                <w:rFonts w:ascii="仿宋_GB2312" w:hAnsi="仿宋_GB2312" w:cs="仿宋_GB2312" w:eastAsia="仿宋_GB2312"/>
                <w:sz w:val="21"/>
              </w:rPr>
              <w:t>8、显示器：与主机同品牌≥23.8英寸；分辨率≥1920*1080，至少支持VGA、HDMI、DVI、DP、Type-C中1种显示接口；</w:t>
            </w:r>
          </w:p>
          <w:p>
            <w:pPr>
              <w:pStyle w:val="null3"/>
              <w:jc w:val="both"/>
            </w:pPr>
            <w:r>
              <w:rPr>
                <w:rFonts w:ascii="仿宋_GB2312" w:hAnsi="仿宋_GB2312" w:cs="仿宋_GB2312" w:eastAsia="仿宋_GB2312"/>
                <w:sz w:val="21"/>
              </w:rPr>
              <w:t>9、处理器性能：CPU支持的内存最高速率≥6400MT/S（交付时提供第三方检测报告或认证证书等佐证材料，并加盖供应商公章）</w:t>
            </w:r>
          </w:p>
          <w:p>
            <w:pPr>
              <w:pStyle w:val="null3"/>
              <w:jc w:val="both"/>
            </w:pPr>
            <w:r>
              <w:rPr>
                <w:rFonts w:ascii="仿宋_GB2312" w:hAnsi="仿宋_GB2312" w:cs="仿宋_GB2312" w:eastAsia="仿宋_GB2312"/>
                <w:sz w:val="21"/>
              </w:rPr>
              <w:t>10、内存性能：内存读写速率≥6400MT/S（交付时提供第三方检测报告或认证证书等佐证材料，并加盖供应商公章）</w:t>
            </w:r>
          </w:p>
          <w:p>
            <w:pPr>
              <w:pStyle w:val="null3"/>
              <w:jc w:val="both"/>
            </w:pPr>
            <w:r>
              <w:rPr>
                <w:rFonts w:ascii="仿宋_GB2312" w:hAnsi="仿宋_GB2312" w:cs="仿宋_GB2312" w:eastAsia="仿宋_GB2312"/>
                <w:sz w:val="21"/>
              </w:rPr>
              <w:t>11、显示器色准：△E≤4；</w:t>
            </w:r>
          </w:p>
          <w:p>
            <w:pPr>
              <w:pStyle w:val="null3"/>
              <w:jc w:val="both"/>
            </w:pPr>
            <w:r>
              <w:rPr>
                <w:rFonts w:ascii="仿宋_GB2312" w:hAnsi="仿宋_GB2312" w:cs="仿宋_GB2312" w:eastAsia="仿宋_GB2312"/>
                <w:sz w:val="21"/>
              </w:rPr>
              <w:t>12、产品工作在空闲状态下，产品的声功率级应不超过4.5 Bel</w:t>
            </w:r>
          </w:p>
          <w:p>
            <w:pPr>
              <w:pStyle w:val="null3"/>
              <w:jc w:val="both"/>
            </w:pPr>
            <w:r>
              <w:rPr>
                <w:rFonts w:ascii="仿宋_GB2312" w:hAnsi="仿宋_GB2312" w:cs="仿宋_GB2312" w:eastAsia="仿宋_GB2312"/>
                <w:sz w:val="21"/>
              </w:rPr>
              <w:t>13、针对系统或者频道创建多个状态的还原点，恢复还原点、删除还原点。系统维护时，新增软件，软件冲突等软件导致系统损坏，可快速恢复到上一次保存的状态；</w:t>
            </w:r>
          </w:p>
          <w:p>
            <w:pPr>
              <w:pStyle w:val="null3"/>
              <w:jc w:val="both"/>
            </w:pPr>
            <w:r>
              <w:rPr>
                <w:rFonts w:ascii="仿宋_GB2312" w:hAnsi="仿宋_GB2312" w:cs="仿宋_GB2312" w:eastAsia="仿宋_GB2312"/>
                <w:sz w:val="21"/>
              </w:rPr>
              <w:t>14电源：与主机相匹配，电源功率≥180W；</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键盘鼠标：</w:t>
            </w:r>
            <w:r>
              <w:rPr>
                <w:rFonts w:ascii="仿宋_GB2312" w:hAnsi="仿宋_GB2312" w:cs="仿宋_GB2312" w:eastAsia="仿宋_GB2312"/>
                <w:sz w:val="21"/>
              </w:rPr>
              <w:t>USB接口键盘鼠标；</w:t>
            </w:r>
          </w:p>
          <w:p>
            <w:pPr>
              <w:pStyle w:val="null3"/>
              <w:jc w:val="both"/>
            </w:pPr>
            <w:r>
              <w:rPr>
                <w:rFonts w:ascii="仿宋_GB2312" w:hAnsi="仿宋_GB2312" w:cs="仿宋_GB2312" w:eastAsia="仿宋_GB2312"/>
                <w:sz w:val="21"/>
              </w:rPr>
              <w:t>16、需要支持教师机对单台和多台学生机的控制，支持课堂教学展示；</w:t>
            </w:r>
          </w:p>
          <w:p>
            <w:pPr>
              <w:pStyle w:val="null3"/>
              <w:jc w:val="both"/>
            </w:pPr>
            <w:r>
              <w:rPr>
                <w:rFonts w:ascii="仿宋_GB2312" w:hAnsi="仿宋_GB2312" w:cs="仿宋_GB2312" w:eastAsia="仿宋_GB2312"/>
                <w:sz w:val="21"/>
              </w:rPr>
              <w:t>17、操作系统：预装符合桌面操作系统政府采购需求标准的正版操作系统（交付时提供正版授权证书）</w:t>
            </w:r>
            <w:r>
              <w:br/>
            </w:r>
            <w:r>
              <w:rPr>
                <w:rFonts w:ascii="仿宋_GB2312" w:hAnsi="仿宋_GB2312" w:cs="仿宋_GB2312" w:eastAsia="仿宋_GB2312"/>
                <w:sz w:val="21"/>
              </w:rPr>
              <w:t>1</w:t>
            </w:r>
            <w:r>
              <w:rPr>
                <w:rFonts w:ascii="仿宋_GB2312" w:hAnsi="仿宋_GB2312" w:cs="仿宋_GB2312" w:eastAsia="仿宋_GB2312"/>
                <w:sz w:val="21"/>
              </w:rPr>
              <w:t>8、售后服务：提供原厂三年质保、原厂三年上门服务；</w:t>
            </w:r>
          </w:p>
          <w:p>
            <w:pPr>
              <w:pStyle w:val="null3"/>
              <w:jc w:val="left"/>
            </w:pPr>
            <w:r>
              <w:rPr>
                <w:rFonts w:ascii="仿宋_GB2312" w:hAnsi="仿宋_GB2312" w:cs="仿宋_GB2312" w:eastAsia="仿宋_GB2312"/>
                <w:sz w:val="21"/>
              </w:rPr>
              <w:t>19、其他要求：满足财政部制定的《台式计算机政府采购需求标准（2023 年版）》中规定的其他带*的实质性指、标内容。</w:t>
            </w:r>
          </w:p>
        </w:tc>
      </w:tr>
    </w:tbl>
    <w:p>
      <w:pPr>
        <w:pStyle w:val="null3"/>
        <w:jc w:val="left"/>
      </w:pPr>
      <w:r>
        <w:rPr>
          <w:rFonts w:ascii="仿宋_GB2312" w:hAnsi="仿宋_GB2312" w:cs="仿宋_GB2312" w:eastAsia="仿宋_GB2312"/>
        </w:rPr>
        <w:t>标的名称：学生机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关键部件安全要求：CPU关键部件应当符合安全可靠测评要求（安全可靠等级不低于Ⅱ级），详情可在中国信息安全测评中心（www.itsec.gov.cn）或国家保密科技测评中心（www.nsstec.org.cn）测评公告中查询（需提供上述网站网页查询截图）；</w:t>
            </w:r>
          </w:p>
          <w:p>
            <w:pPr>
              <w:pStyle w:val="null3"/>
              <w:jc w:val="both"/>
            </w:pPr>
            <w:r>
              <w:rPr>
                <w:rFonts w:ascii="仿宋_GB2312" w:hAnsi="仿宋_GB2312" w:cs="仿宋_GB2312" w:eastAsia="仿宋_GB2312"/>
                <w:sz w:val="21"/>
              </w:rPr>
              <w:t>2、处理器：最高频率≥2.1GHz，CPU核数≥8，线程数≥12；</w:t>
            </w:r>
          </w:p>
          <w:p>
            <w:pPr>
              <w:pStyle w:val="null3"/>
              <w:jc w:val="both"/>
            </w:pPr>
            <w:r>
              <w:rPr>
                <w:rFonts w:ascii="仿宋_GB2312" w:hAnsi="仿宋_GB2312" w:cs="仿宋_GB2312" w:eastAsia="仿宋_GB2312"/>
                <w:sz w:val="21"/>
              </w:rPr>
              <w:t>3、内存配置容量：≥16GB；</w:t>
            </w:r>
          </w:p>
          <w:p>
            <w:pPr>
              <w:pStyle w:val="null3"/>
              <w:jc w:val="both"/>
            </w:pPr>
            <w:r>
              <w:rPr>
                <w:rFonts w:ascii="仿宋_GB2312" w:hAnsi="仿宋_GB2312" w:cs="仿宋_GB2312" w:eastAsia="仿宋_GB2312"/>
                <w:sz w:val="21"/>
              </w:rPr>
              <w:t>4、存储容量：≥256GB 固态存储,支持UFS/SATA/PCIe/NVMe 等类型接口协议；</w:t>
            </w:r>
          </w:p>
          <w:p>
            <w:pPr>
              <w:pStyle w:val="null3"/>
              <w:jc w:val="both"/>
            </w:pPr>
            <w:r>
              <w:rPr>
                <w:rFonts w:ascii="仿宋_GB2312" w:hAnsi="仿宋_GB2312" w:cs="仿宋_GB2312" w:eastAsia="仿宋_GB2312"/>
                <w:sz w:val="21"/>
              </w:rPr>
              <w:t>5、显卡类型：集成显卡或独立显卡；</w:t>
            </w:r>
          </w:p>
          <w:p>
            <w:pPr>
              <w:pStyle w:val="null3"/>
              <w:jc w:val="both"/>
            </w:pPr>
            <w:r>
              <w:rPr>
                <w:rFonts w:ascii="仿宋_GB2312" w:hAnsi="仿宋_GB2312" w:cs="仿宋_GB2312" w:eastAsia="仿宋_GB2312"/>
                <w:sz w:val="21"/>
              </w:rPr>
              <w:t>6、USB接口数量：USB端口≥6个，其中USB3.0接口≥3个；</w:t>
            </w:r>
          </w:p>
          <w:p>
            <w:pPr>
              <w:pStyle w:val="null3"/>
              <w:jc w:val="both"/>
            </w:pPr>
            <w:r>
              <w:rPr>
                <w:rFonts w:ascii="仿宋_GB2312" w:hAnsi="仿宋_GB2312" w:cs="仿宋_GB2312" w:eastAsia="仿宋_GB2312"/>
                <w:sz w:val="21"/>
              </w:rPr>
              <w:t>7、外部接口 ：至少支持 VGA、HDMI、DVI、DP、Type-C 中 1 种显示接口；</w:t>
            </w:r>
          </w:p>
          <w:p>
            <w:pPr>
              <w:pStyle w:val="null3"/>
              <w:jc w:val="both"/>
            </w:pPr>
            <w:r>
              <w:rPr>
                <w:rFonts w:ascii="仿宋_GB2312" w:hAnsi="仿宋_GB2312" w:cs="仿宋_GB2312" w:eastAsia="仿宋_GB2312"/>
                <w:sz w:val="21"/>
              </w:rPr>
              <w:t>8、显示器：与主机同品牌≥23.8英寸；分辨率≥1920*1080，至少支持VGA、HDMI、DVI、DP、Type-C中1种显示接口；</w:t>
            </w:r>
          </w:p>
          <w:p>
            <w:pPr>
              <w:pStyle w:val="null3"/>
              <w:jc w:val="both"/>
            </w:pPr>
            <w:r>
              <w:rPr>
                <w:rFonts w:ascii="仿宋_GB2312" w:hAnsi="仿宋_GB2312" w:cs="仿宋_GB2312" w:eastAsia="仿宋_GB2312"/>
                <w:sz w:val="21"/>
              </w:rPr>
              <w:t>9、处理器性能：CPU支持的内存最高速率≥6400MT/S（交付时提供第三方检测报告或认证证书等佐证材料，并加盖供应商公章）</w:t>
            </w:r>
          </w:p>
          <w:p>
            <w:pPr>
              <w:pStyle w:val="null3"/>
              <w:jc w:val="both"/>
            </w:pPr>
            <w:r>
              <w:rPr>
                <w:rFonts w:ascii="仿宋_GB2312" w:hAnsi="仿宋_GB2312" w:cs="仿宋_GB2312" w:eastAsia="仿宋_GB2312"/>
                <w:sz w:val="21"/>
              </w:rPr>
              <w:t>10、内存性能：内存读写速率≥6400MT/S（交付时提供第三方检测报告或认证证书等佐证材料，并加盖供应商公章）</w:t>
            </w:r>
          </w:p>
          <w:p>
            <w:pPr>
              <w:pStyle w:val="null3"/>
              <w:jc w:val="both"/>
            </w:pPr>
            <w:r>
              <w:rPr>
                <w:rFonts w:ascii="仿宋_GB2312" w:hAnsi="仿宋_GB2312" w:cs="仿宋_GB2312" w:eastAsia="仿宋_GB2312"/>
                <w:sz w:val="21"/>
              </w:rPr>
              <w:t>11、显示器色准：△E≤4；</w:t>
            </w:r>
          </w:p>
          <w:p>
            <w:pPr>
              <w:pStyle w:val="null3"/>
              <w:jc w:val="both"/>
            </w:pPr>
            <w:r>
              <w:rPr>
                <w:rFonts w:ascii="仿宋_GB2312" w:hAnsi="仿宋_GB2312" w:cs="仿宋_GB2312" w:eastAsia="仿宋_GB2312"/>
                <w:sz w:val="21"/>
              </w:rPr>
              <w:t>12、产品工作在空闲状态下，产品的声功率级应不超过4.5 Bel</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支持对所部署的国产操作系统的系统还原，可设置立即还原、每天还原、每周还原、每月还原等方式，同时支持还原点的创建；（交付时提供第三方检测机构出具的产品功能测试报告复印件）</w:t>
            </w:r>
          </w:p>
          <w:p>
            <w:pPr>
              <w:pStyle w:val="null3"/>
              <w:jc w:val="both"/>
            </w:pPr>
            <w:r>
              <w:rPr>
                <w:rFonts w:ascii="仿宋_GB2312" w:hAnsi="仿宋_GB2312" w:cs="仿宋_GB2312" w:eastAsia="仿宋_GB2312"/>
                <w:sz w:val="21"/>
              </w:rPr>
              <w:t>14、支持国产终端电脑SSD硬盘和机械硬盘双硬盘保护模式和系统同传；（交付时提供第三方检测机构出具的产品功能测试报告复印件）</w:t>
            </w:r>
          </w:p>
          <w:p>
            <w:pPr>
              <w:pStyle w:val="null3"/>
              <w:jc w:val="both"/>
            </w:pPr>
            <w:r>
              <w:rPr>
                <w:rFonts w:ascii="仿宋_GB2312" w:hAnsi="仿宋_GB2312" w:cs="仿宋_GB2312" w:eastAsia="仿宋_GB2312"/>
                <w:sz w:val="21"/>
              </w:rPr>
              <w:t>15、针对系统或者频道创建多个状态的还原点，恢复还原点、删除还原点。系统维护时，新增软件，软件冲突等软件导致系统损坏，可快速恢复到上一次保存的状态；</w:t>
            </w:r>
          </w:p>
          <w:p>
            <w:pPr>
              <w:pStyle w:val="null3"/>
              <w:jc w:val="both"/>
            </w:pPr>
            <w:r>
              <w:rPr>
                <w:rFonts w:ascii="仿宋_GB2312" w:hAnsi="仿宋_GB2312" w:cs="仿宋_GB2312" w:eastAsia="仿宋_GB2312"/>
                <w:sz w:val="21"/>
              </w:rPr>
              <w:t>16电源：与主机相匹配，电源功率≥180W；</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键盘鼠标：</w:t>
            </w:r>
            <w:r>
              <w:rPr>
                <w:rFonts w:ascii="仿宋_GB2312" w:hAnsi="仿宋_GB2312" w:cs="仿宋_GB2312" w:eastAsia="仿宋_GB2312"/>
                <w:sz w:val="21"/>
              </w:rPr>
              <w:t>USB接口键盘鼠标；</w:t>
            </w:r>
          </w:p>
          <w:p>
            <w:pPr>
              <w:pStyle w:val="null3"/>
              <w:jc w:val="both"/>
            </w:pPr>
            <w:r>
              <w:rPr>
                <w:rFonts w:ascii="仿宋_GB2312" w:hAnsi="仿宋_GB2312" w:cs="仿宋_GB2312" w:eastAsia="仿宋_GB2312"/>
                <w:sz w:val="21"/>
              </w:rPr>
              <w:t>18、需要支持教师机对单台和多台学生机的控制，支持课堂教学展示；</w:t>
            </w:r>
          </w:p>
          <w:p>
            <w:pPr>
              <w:pStyle w:val="null3"/>
              <w:jc w:val="both"/>
            </w:pPr>
            <w:r>
              <w:rPr>
                <w:rFonts w:ascii="仿宋_GB2312" w:hAnsi="仿宋_GB2312" w:cs="仿宋_GB2312" w:eastAsia="仿宋_GB2312"/>
                <w:sz w:val="21"/>
              </w:rPr>
              <w:t>19、操作系统：预装符合桌面操作系统政府采购需求标准的正版操作系统（交付时提供正版授权证书）</w:t>
            </w:r>
            <w:r>
              <w:br/>
            </w:r>
            <w:r>
              <w:rPr>
                <w:rFonts w:ascii="仿宋_GB2312" w:hAnsi="仿宋_GB2312" w:cs="仿宋_GB2312" w:eastAsia="仿宋_GB2312"/>
                <w:sz w:val="21"/>
              </w:rPr>
              <w:t>20、售后服务：提供原厂三年质保、原厂三年上门服务；</w:t>
            </w:r>
          </w:p>
          <w:p>
            <w:pPr>
              <w:pStyle w:val="null3"/>
              <w:jc w:val="left"/>
            </w:pPr>
            <w:r>
              <w:rPr>
                <w:rFonts w:ascii="仿宋_GB2312" w:hAnsi="仿宋_GB2312" w:cs="仿宋_GB2312" w:eastAsia="仿宋_GB2312"/>
                <w:sz w:val="21"/>
              </w:rPr>
              <w:t>21、其他要求：满足财政部制定的《台式计算机政府采购需求标准（2023 年版）》中规定的其他带*的实质性指、标内容。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国家强制性产品认证</w:t>
            </w:r>
          </w:p>
        </w:tc>
        <w:tc>
          <w:tcPr>
            <w:tcW w:type="dxa" w:w="5814"/>
          </w:tcPr>
          <w:p>
            <w:pPr>
              <w:pStyle w:val="null3"/>
              <w:jc w:val="left"/>
            </w:pPr>
            <w:r>
              <w:rPr>
                <w:rFonts w:ascii="仿宋_GB2312" w:hAnsi="仿宋_GB2312" w:cs="仿宋_GB2312" w:eastAsia="仿宋_GB2312"/>
              </w:rPr>
              <w:t>所提供的所有货物、辅材中属于《国家强制性产品认证目录》范围内产品的，均通过国家强制性产品认证并取得认证证书。</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井研职中</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1付款条件：签订合同后，收到供应商的有效的税务发票后，达到该付款条件起30个工作日内，支付合同总金额的30.00%</w:t>
            </w:r>
          </w:p>
          <w:p>
            <w:pPr>
              <w:pStyle w:val="null3"/>
              <w:jc w:val="left"/>
            </w:pPr>
            <w:r>
              <w:rPr>
                <w:rFonts w:ascii="仿宋_GB2312" w:hAnsi="仿宋_GB2312" w:cs="仿宋_GB2312" w:eastAsia="仿宋_GB2312"/>
              </w:rPr>
              <w:t>2付款条件：全部货物安装调试完毕并验收合格，收到有效的税务发票后，达到该付款条件起30个工作日内，支付合同总金额的70.00%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成交供应商与采购人应严格按照《采购需求管理办法》（财库〔2021〕22号）及《乐山市财政局关于沿用乐山市政府采购项目需求论证和履约验收管理实施细则的通知》（乐市财政采〔2021〕8号）要求、采购文件规定的要求和响应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1、质保：所有产品必须是正品原装行货，全新未拆封的。质保期≥三年（免费培训、免费更换，免费提供指导和解决常用问题）保证教学正常开展（质保期内不得收取任何费用）。 2、售后服务：接到故障电话后响应时间小于1小时，2小时内到达现场，24小时内解决故障保证运行。24小时内故障不能排除应提供同等的备用设备供采购人使用。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采购人及供应商双方必须遵守采购合同并执行合同中的各项规定，保证采购合同的正常履行。任何一方违约给对方造成的直接损失均负有赔偿责任，对方均有权视情况要求对方继续履行合同或提出解除合同。 （2）如因供应商在履行过程中的疏忽、失职、过错等故意或者过失原因给采购人造成损失或侵害，包括但不限于采购人本身的财产损失、由此而导致的采购人对任何第三方的法律责任等，供应商对此均应承担全部的赔偿责任。 解决争议的方法： （1）在本项目的履行过程中发生的与本项目有关的争议，双方承诺通过友好协商解决。协商不成的，双方同意将争议提交采购人所在地人民法院通过诉讼方式解决。 （2）在诉讼期间，除正在进行诉讼的部分外，合同其他部分继续执行。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 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提供扫描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近两年（2024年或2025年）任一年度经审计的财务报告（包含审计报告和审计报告中所涉及的财务报表和报表附注）；（2）可提供近两年（2024年或2025年）任一年度的全套财务报表（应当包括资产负债表、利润表、现金流量表、所有者权益变动表及其附注）；（3）可提供截至响应文件提交截止日一年内银行出具的资信证明；（4）供应商注册时间截至响应文件提交截止日不足一年的，也可提供供应商营业执照和在相关主管部门备案的公司章程。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w:t>
            </w:r>
          </w:p>
        </w:tc>
        <w:tc>
          <w:tcPr>
            <w:tcW w:type="dxa" w:w="3322"/>
          </w:tcPr>
          <w:p>
            <w:pPr>
              <w:pStyle w:val="null3"/>
              <w:jc w:val="left"/>
            </w:pPr>
            <w:r>
              <w:rPr>
                <w:rFonts w:ascii="仿宋_GB2312" w:hAnsi="仿宋_GB2312" w:cs="仿宋_GB2312" w:eastAsia="仿宋_GB2312"/>
              </w:rPr>
              <w:t>供应商需在项目电子化交易系统中根据“第三章3.2技术要求”响应，并进行电子签章。</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服务要求应答</w:t>
            </w:r>
          </w:p>
        </w:tc>
        <w:tc>
          <w:tcPr>
            <w:tcW w:type="dxa" w:w="3322"/>
          </w:tcPr>
          <w:p>
            <w:pPr>
              <w:pStyle w:val="null3"/>
              <w:jc w:val="left"/>
            </w:pPr>
            <w:r>
              <w:rPr>
                <w:rFonts w:ascii="仿宋_GB2312" w:hAnsi="仿宋_GB2312" w:cs="仿宋_GB2312" w:eastAsia="仿宋_GB2312"/>
              </w:rPr>
              <w:t>供应商需在项目电子化交易系统中根据“第三章3.3服务要求”进行应答，并进行电子签章。</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强制采购节能产品</w:t>
            </w:r>
          </w:p>
        </w:tc>
        <w:tc>
          <w:tcPr>
            <w:tcW w:type="dxa" w:w="3322"/>
          </w:tcPr>
          <w:p>
            <w:pPr>
              <w:pStyle w:val="null3"/>
              <w:jc w:val="left"/>
            </w:pPr>
            <w:r>
              <w:rPr>
                <w:rFonts w:ascii="仿宋_GB2312" w:hAnsi="仿宋_GB2312" w:cs="仿宋_GB2312" w:eastAsia="仿宋_GB2312"/>
              </w:rPr>
              <w:t>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w:t>
            </w:r>
          </w:p>
        </w:tc>
        <w:tc>
          <w:tcPr>
            <w:tcW w:type="dxa" w:w="1661"/>
          </w:tcPr>
          <w:p>
            <w:pPr>
              <w:pStyle w:val="null3"/>
              <w:jc w:val="left"/>
            </w:pPr>
            <w:r>
              <w:rPr>
                <w:rFonts w:ascii="仿宋_GB2312" w:hAnsi="仿宋_GB2312" w:cs="仿宋_GB2312" w:eastAsia="仿宋_GB2312"/>
              </w:rPr>
              <w:t>节能、环保产品认证.docx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报价审查</w:t>
            </w:r>
          </w:p>
        </w:tc>
        <w:tc>
          <w:tcPr>
            <w:tcW w:type="dxa" w:w="3322"/>
          </w:tcPr>
          <w:p>
            <w:pPr>
              <w:pStyle w:val="null3"/>
              <w:jc w:val="left"/>
            </w:pPr>
            <w:r>
              <w:rPr>
                <w:rFonts w:ascii="仿宋_GB2312" w:hAnsi="仿宋_GB2312" w:cs="仿宋_GB2312" w:eastAsia="仿宋_GB2312"/>
              </w:rPr>
              <w:t>供应商需在项目电子化交易系统中按“报价表”要求填报响应价，并逐一据实填写投标产品具体产地、品牌、规格型号、生产厂家等，然后进行电子签章，否则作无效处理。投标产品应指向唯一产品，不能指向唯一产品的，应通过报价表唯一产品说明栏进行说明。</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节能、环保产品认证.docx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详见附件：具有健全的财务会计制度.docx</w:t>
      </w:r>
    </w:p>
    <w:p>
      <w:pPr>
        <w:pStyle w:val="null3"/>
        <w:ind w:firstLine="960"/>
        <w:jc w:val="left"/>
      </w:pPr>
      <w:r>
        <w:rPr>
          <w:rFonts w:ascii="仿宋_GB2312" w:hAnsi="仿宋_GB2312" w:cs="仿宋_GB2312" w:eastAsia="仿宋_GB2312"/>
        </w:rPr>
        <w:t>详见附件：节能、环保产品认证.docx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