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版本号：N510187202600011220260730002</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兴隆学校2026年学校台式计算机采购项目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N5101872026000112</w:t>
      </w:r>
    </w:p>
    <w:p>
      <w:pPr>
        <w:pStyle w:val="null3"/>
        <w:jc w:val="left"/>
        <w:outlineLvl w:val="2"/>
      </w:pPr>
      <w:r>
        <w:rPr>
          <w:rFonts w:ascii="仿宋_GB2312" w:hAnsi="仿宋_GB2312" w:cs="仿宋_GB2312" w:eastAsia="仿宋_GB2312"/>
          <w:sz w:val="28"/>
          <w:b/>
        </w:rPr>
        <w:t>成都东部新区兴隆学校</w:t>
      </w:r>
    </w:p>
    <w:p>
      <w:pPr>
        <w:pStyle w:val="null3"/>
        <w:jc w:val="center"/>
        <w:outlineLvl w:val="2"/>
      </w:pPr>
      <w:r>
        <w:rPr>
          <w:rFonts w:ascii="仿宋_GB2312" w:hAnsi="仿宋_GB2312" w:cs="仿宋_GB2312" w:eastAsia="仿宋_GB2312"/>
          <w:sz w:val="28"/>
          <w:b/>
        </w:rPr>
        <w:t>成都东部新区政府采购中心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成都东部新区政府采购中心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成都东部新区兴隆学校</w:t>
      </w:r>
      <w:r>
        <w:rPr>
          <w:rFonts w:ascii="仿宋_GB2312" w:hAnsi="仿宋_GB2312" w:cs="仿宋_GB2312" w:eastAsia="仿宋_GB2312"/>
        </w:rPr>
        <w:t xml:space="preserve"> 委托，拟对 </w:t>
      </w:r>
      <w:r>
        <w:rPr>
          <w:rFonts w:ascii="仿宋_GB2312" w:hAnsi="仿宋_GB2312" w:cs="仿宋_GB2312" w:eastAsia="仿宋_GB2312"/>
        </w:rPr>
        <w:t>兴隆学校2026年学校台式计算机采购项目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成都市东部新区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N5101872026000112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兴隆学校2026年学校台式计算机采购项目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sz w:val="28"/>
          <w:color w:val="000000"/>
        </w:rPr>
        <w:t>为满足学校计算机教学及日常办公需求，拟采购台式计算机</w:t>
      </w:r>
      <w:r>
        <w:rPr>
          <w:rFonts w:ascii="仿宋_GB2312" w:hAnsi="仿宋_GB2312" w:cs="仿宋_GB2312" w:eastAsia="仿宋_GB2312"/>
          <w:sz w:val="28"/>
          <w:color w:val="000000"/>
        </w:rPr>
        <w:t>140台</w:t>
      </w:r>
      <w:r>
        <w:rPr>
          <w:rFonts w:ascii="仿宋_GB2312" w:hAnsi="仿宋_GB2312" w:cs="仿宋_GB2312" w:eastAsia="仿宋_GB2312"/>
          <w:sz w:val="28"/>
          <w:color w:val="000000"/>
        </w:rPr>
        <w:t>（其中</w:t>
      </w:r>
      <w:r>
        <w:rPr>
          <w:rFonts w:ascii="仿宋_GB2312" w:hAnsi="仿宋_GB2312" w:cs="仿宋_GB2312" w:eastAsia="仿宋_GB2312"/>
          <w:sz w:val="28"/>
          <w:color w:val="000000"/>
        </w:rPr>
        <w:t>102台用于教学，38台用于教职工办公使用</w:t>
      </w:r>
      <w:r>
        <w:rPr>
          <w:rFonts w:ascii="仿宋_GB2312" w:hAnsi="仿宋_GB2312" w:cs="仿宋_GB2312" w:eastAsia="仿宋_GB2312"/>
          <w:sz w:val="28"/>
          <w:color w:val="000000"/>
        </w:rPr>
        <w:t>），计算机教学及管理软件</w:t>
      </w:r>
      <w:r>
        <w:rPr>
          <w:rFonts w:ascii="仿宋_GB2312" w:hAnsi="仿宋_GB2312" w:cs="仿宋_GB2312" w:eastAsia="仿宋_GB2312"/>
          <w:sz w:val="28"/>
          <w:color w:val="000000"/>
        </w:rPr>
        <w:t>2套</w:t>
      </w:r>
      <w:r>
        <w:rPr>
          <w:rFonts w:ascii="仿宋_GB2312" w:hAnsi="仿宋_GB2312" w:cs="仿宋_GB2312" w:eastAsia="仿宋_GB2312"/>
          <w:sz w:val="28"/>
          <w:color w:val="000000"/>
        </w:rPr>
        <w:t>。</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成都东部新区兴隆学校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成都东部新区顺路街741号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马炳兰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15183226681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成都东部新区政府采购中心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成都东部新区三岔街道公园大道2055号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邓涵丹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028-86360238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成都东部新区兴隆学校</w:t>
      </w:r>
      <w:r>
        <w:rPr>
          <w:rFonts w:ascii="仿宋_GB2312" w:hAnsi="仿宋_GB2312" w:cs="仿宋_GB2312" w:eastAsia="仿宋_GB2312"/>
        </w:rPr>
        <w:t xml:space="preserve"> 和 </w:t>
      </w:r>
      <w:r>
        <w:rPr>
          <w:rFonts w:ascii="仿宋_GB2312" w:hAnsi="仿宋_GB2312" w:cs="仿宋_GB2312" w:eastAsia="仿宋_GB2312"/>
        </w:rPr>
        <w:t>成都东部新区政府采购中心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成都东部新区兴隆学校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成都东部新区政府采购中心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项目完成后，采购人在收到中标供应商提出验收申请之日起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（1）中标人按照采购合同要求，完成项目全部货物（服务）的供应、安装、调试及其他等内容建设； （2）中标人所提供的货物（包括服务）实现功能、技术指标、建设质量等符合采购合同、招标文件、投标（响应）文件要求，并进行试运行及用户培训，设备/系统运行正常，无安全隐患等； （3）中标人提供相关检测报告； （4）项目全面完成，由相关学校初验并出具初验报告表。</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按照本项目招标文件要求及中标供应商的投标文件进行验收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按照本项目招标文件要求及中标供应商的投标文件进行验收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严格按照《财政部关于进一步加强政府采购需求和履约验收管理的指导意见》（财库〔2016〕205号）、《政府采购需求管理办法》(财库〔2021〕22号)的要求及国家现行的有关法律法规和合同要求进行验收。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程序：采购人拟定验收方案，组织由政府采购专家和学校代表组成的验收小组进行验收。验收严格按照履约验收标准对每一项技术和商务要求的履约情况进行查验，包括对收货单的检查、产品功能验收及性能验收。验收合格后，经双方确认，出具验收书（签署验收单），验收小组签字生效。</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成都东部新区兴隆学校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成都东部新区政府采购中心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成都东部新区政府采购中心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联系人：马炳兰</w:t>
      </w:r>
    </w:p>
    <w:p>
      <w:pPr>
        <w:pStyle w:val="null3"/>
        <w:jc w:val="left"/>
      </w:pPr>
      <w:r>
        <w:rPr>
          <w:rFonts w:ascii="仿宋_GB2312" w:hAnsi="仿宋_GB2312" w:cs="仿宋_GB2312" w:eastAsia="仿宋_GB2312"/>
        </w:rPr>
        <w:t>联系电话：15183226681</w:t>
      </w:r>
    </w:p>
    <w:p>
      <w:pPr>
        <w:pStyle w:val="null3"/>
        <w:jc w:val="left"/>
      </w:pPr>
      <w:r>
        <w:rPr>
          <w:rFonts w:ascii="仿宋_GB2312" w:hAnsi="仿宋_GB2312" w:cs="仿宋_GB2312" w:eastAsia="仿宋_GB2312"/>
        </w:rPr>
        <w:t>地址：成都东部新区顺路街741号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联系人：邓涵丹</w:t>
      </w:r>
    </w:p>
    <w:p>
      <w:pPr>
        <w:pStyle w:val="null3"/>
        <w:jc w:val="left"/>
      </w:pPr>
      <w:r>
        <w:rPr>
          <w:rFonts w:ascii="仿宋_GB2312" w:hAnsi="仿宋_GB2312" w:cs="仿宋_GB2312" w:eastAsia="仿宋_GB2312"/>
        </w:rPr>
        <w:t>联系电话：028-86360238</w:t>
      </w:r>
    </w:p>
    <w:p>
      <w:pPr>
        <w:pStyle w:val="null3"/>
        <w:jc w:val="left"/>
      </w:pPr>
      <w:r>
        <w:rPr>
          <w:rFonts w:ascii="仿宋_GB2312" w:hAnsi="仿宋_GB2312" w:cs="仿宋_GB2312" w:eastAsia="仿宋_GB2312"/>
        </w:rPr>
        <w:t>地址：成都东部新区三岔街道公园大道2055号</w:t>
      </w:r>
    </w:p>
    <w:p>
      <w:pPr>
        <w:pStyle w:val="null3"/>
        <w:jc w:val="left"/>
      </w:pPr>
      <w:r>
        <w:rPr>
          <w:rFonts w:ascii="仿宋_GB2312" w:hAnsi="仿宋_GB2312" w:cs="仿宋_GB2312" w:eastAsia="仿宋_GB2312"/>
        </w:rPr>
        <w:t>邮编：641400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140.00（台）</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台式计算机（教师终端）</w:t>
            </w:r>
          </w:p>
        </w:tc>
        <w:tc>
          <w:tcPr>
            <w:tcW w:type="dxa" w:w="1138"/>
          </w:tcPr>
          <w:p>
            <w:pPr>
              <w:pStyle w:val="null3"/>
              <w:jc w:val="center"/>
            </w:pPr>
            <w:r>
              <w:rPr>
                <w:rFonts w:ascii="仿宋_GB2312" w:hAnsi="仿宋_GB2312" w:cs="仿宋_GB2312" w:eastAsia="仿宋_GB2312"/>
              </w:rPr>
              <w:t>40.00（台）</w:t>
            </w:r>
          </w:p>
        </w:tc>
        <w:tc>
          <w:tcPr>
            <w:tcW w:type="dxa" w:w="1365"/>
          </w:tcPr>
          <w:p>
            <w:pPr>
              <w:pStyle w:val="null3"/>
              <w:jc w:val="center"/>
            </w:pPr>
            <w:r>
              <w:rPr>
                <w:rFonts w:ascii="仿宋_GB2312" w:hAnsi="仿宋_GB2312" w:cs="仿宋_GB2312" w:eastAsia="仿宋_GB2312"/>
              </w:rPr>
              <w:t>198,000.00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台式计算机（学生终端）</w:t>
            </w:r>
          </w:p>
        </w:tc>
        <w:tc>
          <w:tcPr>
            <w:tcW w:type="dxa" w:w="1138"/>
          </w:tcPr>
          <w:p>
            <w:pPr>
              <w:pStyle w:val="null3"/>
              <w:jc w:val="center"/>
            </w:pPr>
            <w:r>
              <w:rPr>
                <w:rFonts w:ascii="仿宋_GB2312" w:hAnsi="仿宋_GB2312" w:cs="仿宋_GB2312" w:eastAsia="仿宋_GB2312"/>
              </w:rPr>
              <w:t>100.00（台）</w:t>
            </w:r>
          </w:p>
        </w:tc>
        <w:tc>
          <w:tcPr>
            <w:tcW w:type="dxa" w:w="1365"/>
          </w:tcPr>
          <w:p>
            <w:pPr>
              <w:pStyle w:val="null3"/>
              <w:jc w:val="center"/>
            </w:pPr>
            <w:r>
              <w:rPr>
                <w:rFonts w:ascii="仿宋_GB2312" w:hAnsi="仿宋_GB2312" w:cs="仿宋_GB2312" w:eastAsia="仿宋_GB2312"/>
              </w:rPr>
              <w:t>478,000.00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计算机管理及教学软件</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台式计算机（教师终端）</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台式计算机（学生终端）</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台式计算机（学生终端）</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before="225" w:after="105"/>
              <w:ind w:left="165" w:right="75" w:firstLine="628"/>
              <w:jc w:val="both"/>
            </w:pPr>
            <w:r>
              <w:rPr>
                <w:rFonts w:ascii="仿宋_GB2312" w:hAnsi="仿宋_GB2312" w:cs="仿宋_GB2312" w:eastAsia="仿宋_GB2312"/>
                <w:sz w:val="28"/>
                <w:color w:val="000000"/>
              </w:rPr>
              <w:t>台式计算机（教师终端）：</w:t>
            </w:r>
          </w:p>
          <w:p>
            <w:pPr>
              <w:pStyle w:val="null3"/>
              <w:spacing w:before="105" w:after="105"/>
              <w:jc w:val="left"/>
            </w:pPr>
            <w:r>
              <w:rPr>
                <w:rFonts w:ascii="仿宋_GB2312" w:hAnsi="仿宋_GB2312" w:cs="仿宋_GB2312" w:eastAsia="仿宋_GB2312"/>
                <w:sz w:val="28"/>
                <w:color w:val="000000"/>
              </w:rPr>
              <w:t>★1、处理器:CPU物理核心数≥8核，每颗CPU主频≥3.0GHz，所有核心智能频率可提升至≥3.3GHz，三级缓存≥16MB，支持超线程技术，TDP≤65W；支持内存的最高速率≥DDR4</w:t>
            </w:r>
            <w:r>
              <w:rPr>
                <w:rFonts w:ascii="仿宋_GB2312" w:hAnsi="仿宋_GB2312" w:cs="仿宋_GB2312" w:eastAsia="仿宋_GB2312"/>
                <w:sz w:val="24"/>
              </w:rPr>
              <w:t xml:space="preserve"> </w:t>
            </w:r>
            <w:r>
              <w:rPr>
                <w:rFonts w:ascii="仿宋_GB2312" w:hAnsi="仿宋_GB2312" w:cs="仿宋_GB2312" w:eastAsia="仿宋_GB2312"/>
                <w:sz w:val="28"/>
                <w:color w:val="000000"/>
              </w:rPr>
              <w:t>3200MHz、通道数≥2和最大位宽≥128bit（CPU通过中国信息安全测评中心安全可控测评并在公告的名录范围内，安全可靠等级≥Ⅰ级）。【供应商在响应文件中载明台式计算机-主机响应产品的CPU信息，至少包含CPU型号、物理核心数、主频、末级缓存容量、线程数、热设计功耗及支持内存的最高速率、通道数和位宽】</w:t>
            </w:r>
          </w:p>
          <w:p>
            <w:pPr>
              <w:pStyle w:val="null3"/>
              <w:spacing w:before="105" w:after="105"/>
              <w:jc w:val="left"/>
            </w:pPr>
            <w:r>
              <w:rPr>
                <w:rFonts w:ascii="仿宋_GB2312" w:hAnsi="仿宋_GB2312" w:cs="仿宋_GB2312" w:eastAsia="仿宋_GB2312"/>
                <w:sz w:val="28"/>
                <w:color w:val="000000"/>
              </w:rPr>
              <w:t>★2、内存:≥16GB DDR4 内存，配置≥4个内存插槽;。</w:t>
            </w:r>
          </w:p>
          <w:p>
            <w:pPr>
              <w:pStyle w:val="null3"/>
              <w:spacing w:before="105" w:after="105"/>
              <w:jc w:val="left"/>
            </w:pPr>
            <w:r>
              <w:rPr>
                <w:rFonts w:ascii="仿宋_GB2312" w:hAnsi="仿宋_GB2312" w:cs="仿宋_GB2312" w:eastAsia="仿宋_GB2312"/>
                <w:sz w:val="28"/>
                <w:color w:val="000000"/>
              </w:rPr>
              <w:t>★3、显卡:≥2G独立显卡，支持VGA+HDMI视频输出显示。</w:t>
            </w:r>
          </w:p>
          <w:p>
            <w:pPr>
              <w:pStyle w:val="null3"/>
              <w:spacing w:before="105" w:after="105"/>
              <w:jc w:val="left"/>
            </w:pPr>
            <w:r>
              <w:rPr>
                <w:rFonts w:ascii="仿宋_GB2312" w:hAnsi="仿宋_GB2312" w:cs="仿宋_GB2312" w:eastAsia="仿宋_GB2312"/>
                <w:sz w:val="28"/>
                <w:color w:val="000000"/>
              </w:rPr>
              <w:t>★4、硬盘:≥512GB M.2接口NVME协议SSD。</w:t>
            </w:r>
          </w:p>
          <w:p>
            <w:pPr>
              <w:pStyle w:val="null3"/>
              <w:spacing w:before="105" w:after="105"/>
              <w:jc w:val="left"/>
            </w:pPr>
            <w:r>
              <w:rPr>
                <w:rFonts w:ascii="仿宋_GB2312" w:hAnsi="仿宋_GB2312" w:cs="仿宋_GB2312" w:eastAsia="仿宋_GB2312"/>
                <w:sz w:val="28"/>
                <w:color w:val="000000"/>
              </w:rPr>
              <w:t>★5、电源功率：≤200W。</w:t>
            </w:r>
          </w:p>
          <w:p>
            <w:pPr>
              <w:pStyle w:val="null3"/>
              <w:spacing w:before="105" w:after="105"/>
              <w:jc w:val="left"/>
            </w:pPr>
            <w:r>
              <w:rPr>
                <w:rFonts w:ascii="仿宋_GB2312" w:hAnsi="仿宋_GB2312" w:cs="仿宋_GB2312" w:eastAsia="仿宋_GB2312"/>
                <w:sz w:val="28"/>
                <w:color w:val="000000"/>
              </w:rPr>
              <w:t>★6、网络: 1个RJ45 10/100/1000兆自适应以太网口。</w:t>
            </w:r>
          </w:p>
          <w:p>
            <w:pPr>
              <w:pStyle w:val="null3"/>
              <w:spacing w:before="105" w:after="105"/>
              <w:jc w:val="left"/>
            </w:pPr>
            <w:r>
              <w:rPr>
                <w:rFonts w:ascii="仿宋_GB2312" w:hAnsi="仿宋_GB2312" w:cs="仿宋_GB2312" w:eastAsia="仿宋_GB2312"/>
                <w:sz w:val="28"/>
                <w:color w:val="000000"/>
              </w:rPr>
              <w:t>★7、接口扩展:≥1个PCIe x16，≥1个PCIe x8，≥1个PCIe x1扩展槽；USB接口：≥8个（其中前置USB3.0 ≥4个，后置USB3.0接口≥4个）；音频接口：前置麦克风≥1个，耳机≥1个；后端≥3个Audio音频接口；配套鼠标≥1个，键盘≥1个。</w:t>
            </w:r>
          </w:p>
          <w:p>
            <w:pPr>
              <w:pStyle w:val="null3"/>
              <w:spacing w:before="105" w:after="105"/>
              <w:jc w:val="left"/>
            </w:pPr>
            <w:r>
              <w:rPr>
                <w:rFonts w:ascii="仿宋_GB2312" w:hAnsi="仿宋_GB2312" w:cs="仿宋_GB2312" w:eastAsia="仿宋_GB2312"/>
                <w:sz w:val="28"/>
                <w:color w:val="000000"/>
              </w:rPr>
              <w:t>★8、机箱:≥13.6L，支持全高全长扩展卡。</w:t>
            </w:r>
          </w:p>
          <w:p>
            <w:pPr>
              <w:pStyle w:val="null3"/>
              <w:spacing w:before="105" w:after="105"/>
              <w:jc w:val="left"/>
            </w:pPr>
            <w:r>
              <w:rPr>
                <w:rFonts w:ascii="仿宋_GB2312" w:hAnsi="仿宋_GB2312" w:cs="仿宋_GB2312" w:eastAsia="仿宋_GB2312"/>
                <w:sz w:val="28"/>
                <w:color w:val="000000"/>
              </w:rPr>
              <w:t>★9、易用性：免工具拆卸机箱，不接受组装，产品可使用USB键盘组合键开机，产品接口具有功能标识。机箱前面板原生配置防尘网，阻隔灰尘（提供国家认可的第三方检测机构出具的检测报告扫描件并加盖投标人电子签章）。</w:t>
            </w:r>
          </w:p>
          <w:p>
            <w:pPr>
              <w:pStyle w:val="null3"/>
              <w:spacing w:before="105" w:after="105"/>
              <w:jc w:val="left"/>
            </w:pPr>
            <w:r>
              <w:rPr>
                <w:rFonts w:ascii="仿宋_GB2312" w:hAnsi="仿宋_GB2312" w:cs="仿宋_GB2312" w:eastAsia="仿宋_GB2312"/>
                <w:sz w:val="28"/>
                <w:color w:val="000000"/>
              </w:rPr>
              <w:t>★10、数据安全：当硬盘分区遭到破坏(使用fdisk工具删除或破坏分区)，导致系统无法启动情况下，可在不连接网络及外部存储（U盘、移动硬盘）情况下，使用基于安全区特性的备份恢复系统将主机恢复到可用状态；BIOS级USB屏蔽及智能USB数据保护：USB支持BIOS下全部接口一键开关，前后分组开关；针对存储设备支持全部USB接口一键切换禁止访问模式/只读模式（提供此功能截图并加盖投标人电子章）。</w:t>
            </w:r>
          </w:p>
          <w:p>
            <w:pPr>
              <w:pStyle w:val="null3"/>
              <w:spacing w:before="105" w:after="105"/>
              <w:jc w:val="left"/>
            </w:pPr>
            <w:r>
              <w:rPr>
                <w:rFonts w:ascii="仿宋_GB2312" w:hAnsi="仿宋_GB2312" w:cs="仿宋_GB2312" w:eastAsia="仿宋_GB2312"/>
                <w:sz w:val="28"/>
                <w:color w:val="000000"/>
              </w:rPr>
              <w:t>★11、主板规格：主板采用全固态电容，避免爆浆、漏液；（提供相关证明材料并加盖投标人电子章）。</w:t>
            </w:r>
          </w:p>
          <w:p>
            <w:pPr>
              <w:pStyle w:val="null3"/>
              <w:spacing w:before="105" w:after="105"/>
              <w:jc w:val="left"/>
            </w:pPr>
            <w:r>
              <w:rPr>
                <w:rFonts w:ascii="仿宋_GB2312" w:hAnsi="仿宋_GB2312" w:cs="仿宋_GB2312" w:eastAsia="仿宋_GB2312"/>
                <w:sz w:val="28"/>
                <w:color w:val="000000"/>
              </w:rPr>
              <w:t>★12、显示器：≥23.8寸显示器，分辨率≥1920*1080，刷新频率≥100Hz，对比度≥3000:1，接口：VGA≥1个，HDMI≥1个；</w:t>
            </w:r>
          </w:p>
          <w:p>
            <w:pPr>
              <w:pStyle w:val="null3"/>
              <w:spacing w:before="105" w:after="105"/>
              <w:jc w:val="left"/>
            </w:pPr>
            <w:r>
              <w:rPr>
                <w:rFonts w:ascii="仿宋_GB2312" w:hAnsi="仿宋_GB2312" w:cs="仿宋_GB2312" w:eastAsia="仿宋_GB2312"/>
                <w:sz w:val="28"/>
                <w:color w:val="000000"/>
              </w:rPr>
              <w:t>★13、操作系统产品需满足财政部、工业和信息化部发布的《操作系统政府采购需求标准（2023年版）》中对桌面操作系统政府采购需求标准的要求。通过中国信息安全测评中心和国家保密科技测评中心的安全可靠测评。</w:t>
            </w:r>
          </w:p>
          <w:p>
            <w:pPr>
              <w:pStyle w:val="null3"/>
              <w:spacing w:before="105" w:after="105"/>
              <w:jc w:val="left"/>
            </w:pPr>
            <w:r>
              <w:rPr>
                <w:rFonts w:ascii="仿宋_GB2312" w:hAnsi="仿宋_GB2312" w:cs="仿宋_GB2312" w:eastAsia="仿宋_GB2312"/>
                <w:sz w:val="28"/>
                <w:color w:val="000000"/>
              </w:rPr>
              <w:t>★14、其他要求：所投产品应符合财政部、工业和信息化部制定的《台式计算机政府采购需求标准(2023年版)》财库(2023)29号中规定的其他*内容；</w:t>
            </w:r>
          </w:p>
          <w:p>
            <w:pPr>
              <w:pStyle w:val="null3"/>
              <w:spacing w:before="105" w:after="105"/>
              <w:jc w:val="left"/>
            </w:pPr>
            <w:r>
              <w:rPr>
                <w:rFonts w:ascii="仿宋_GB2312" w:hAnsi="仿宋_GB2312" w:cs="仿宋_GB2312" w:eastAsia="仿宋_GB2312"/>
                <w:sz w:val="28"/>
                <w:color w:val="000000"/>
              </w:rPr>
              <w:t>台式计算机（学生终端）：</w:t>
            </w:r>
          </w:p>
          <w:p>
            <w:pPr>
              <w:pStyle w:val="null3"/>
              <w:spacing w:before="225" w:after="105"/>
              <w:ind w:left="165" w:right="75" w:firstLine="628"/>
              <w:jc w:val="both"/>
            </w:pPr>
            <w:r>
              <w:rPr>
                <w:rFonts w:ascii="仿宋_GB2312" w:hAnsi="仿宋_GB2312" w:cs="仿宋_GB2312" w:eastAsia="仿宋_GB2312"/>
                <w:sz w:val="28"/>
                <w:color w:val="000000"/>
              </w:rPr>
              <w:t>★1、处理器:CPU物理核心数≥8核，每颗CPU主频≥3.0GHz，所有核心智能频率可提升至≥3.3GHz，三级缓存≥16MB，支持超线程技术，TDP≤65W；支持内存的最高速率≥DDR4</w:t>
            </w:r>
            <w:r>
              <w:rPr>
                <w:rFonts w:ascii="仿宋_GB2312" w:hAnsi="仿宋_GB2312" w:cs="仿宋_GB2312" w:eastAsia="仿宋_GB2312"/>
                <w:sz w:val="24"/>
              </w:rPr>
              <w:t xml:space="preserve"> </w:t>
            </w:r>
            <w:r>
              <w:rPr>
                <w:rFonts w:ascii="仿宋_GB2312" w:hAnsi="仿宋_GB2312" w:cs="仿宋_GB2312" w:eastAsia="仿宋_GB2312"/>
                <w:sz w:val="28"/>
                <w:color w:val="000000"/>
              </w:rPr>
              <w:t>3200MHz、通道数≥2和最大位宽≥128bit（CPU通过中国信息安全测评中心安全可控测评并在公告的名录范围内，安全可靠等级≥Ⅰ级）；【供应商在响应文件中载明台式计算机-主机响应产品的CPU信息，至少包含CPU型号、物理核心数、主频、末级缓存容量、线程数、热设计功耗及支持内存的最高速率、通道数和位宽】</w:t>
            </w:r>
          </w:p>
          <w:p>
            <w:pPr>
              <w:pStyle w:val="null3"/>
              <w:spacing w:before="225" w:after="105"/>
              <w:ind w:left="165" w:right="75" w:firstLine="628"/>
              <w:jc w:val="both"/>
            </w:pPr>
            <w:r>
              <w:rPr>
                <w:rFonts w:ascii="仿宋_GB2312" w:hAnsi="仿宋_GB2312" w:cs="仿宋_GB2312" w:eastAsia="仿宋_GB2312"/>
                <w:sz w:val="28"/>
                <w:color w:val="000000"/>
              </w:rPr>
              <w:t>★2、内存:≥16GB DDR4内存，配置≥4个内存插槽;</w:t>
            </w:r>
          </w:p>
          <w:p>
            <w:pPr>
              <w:pStyle w:val="null3"/>
              <w:spacing w:before="225" w:after="105"/>
              <w:ind w:left="165" w:right="75" w:firstLine="628"/>
              <w:jc w:val="both"/>
            </w:pPr>
            <w:r>
              <w:rPr>
                <w:rFonts w:ascii="仿宋_GB2312" w:hAnsi="仿宋_GB2312" w:cs="仿宋_GB2312" w:eastAsia="仿宋_GB2312"/>
                <w:sz w:val="28"/>
                <w:color w:val="000000"/>
              </w:rPr>
              <w:t>★3、显卡:≥2G独立显卡，支持VGA+HDMI视频输出显示；</w:t>
            </w:r>
          </w:p>
          <w:p>
            <w:pPr>
              <w:pStyle w:val="null3"/>
              <w:spacing w:before="225" w:after="105"/>
              <w:ind w:left="165" w:right="75" w:firstLine="628"/>
              <w:jc w:val="both"/>
            </w:pPr>
            <w:r>
              <w:rPr>
                <w:rFonts w:ascii="仿宋_GB2312" w:hAnsi="仿宋_GB2312" w:cs="仿宋_GB2312" w:eastAsia="仿宋_GB2312"/>
                <w:sz w:val="28"/>
                <w:color w:val="000000"/>
              </w:rPr>
              <w:t xml:space="preserve">★4、硬盘:≥256GB M.2接口NVME协议SSD；  </w:t>
            </w:r>
          </w:p>
          <w:p>
            <w:pPr>
              <w:pStyle w:val="null3"/>
              <w:spacing w:before="225" w:after="105"/>
              <w:ind w:left="165" w:right="75" w:firstLine="628"/>
              <w:jc w:val="both"/>
            </w:pPr>
            <w:r>
              <w:rPr>
                <w:rFonts w:ascii="仿宋_GB2312" w:hAnsi="仿宋_GB2312" w:cs="仿宋_GB2312" w:eastAsia="仿宋_GB2312"/>
                <w:sz w:val="28"/>
                <w:color w:val="000000"/>
              </w:rPr>
              <w:t>★5、电源功率：≤200W；</w:t>
            </w:r>
          </w:p>
          <w:p>
            <w:pPr>
              <w:pStyle w:val="null3"/>
              <w:spacing w:before="225" w:after="105"/>
              <w:ind w:left="165" w:right="75" w:firstLine="628"/>
              <w:jc w:val="both"/>
            </w:pPr>
            <w:r>
              <w:rPr>
                <w:rFonts w:ascii="仿宋_GB2312" w:hAnsi="仿宋_GB2312" w:cs="仿宋_GB2312" w:eastAsia="仿宋_GB2312"/>
                <w:sz w:val="28"/>
                <w:color w:val="000000"/>
              </w:rPr>
              <w:t xml:space="preserve">★6、网络: 1个RJ45 10/100/1000兆自适应以太网口；  </w:t>
            </w:r>
          </w:p>
          <w:p>
            <w:pPr>
              <w:pStyle w:val="null3"/>
              <w:spacing w:before="225" w:after="105"/>
              <w:ind w:left="165" w:right="75" w:firstLine="628"/>
              <w:jc w:val="both"/>
            </w:pPr>
            <w:r>
              <w:rPr>
                <w:rFonts w:ascii="仿宋_GB2312" w:hAnsi="仿宋_GB2312" w:cs="仿宋_GB2312" w:eastAsia="仿宋_GB2312"/>
                <w:sz w:val="28"/>
                <w:color w:val="000000"/>
              </w:rPr>
              <w:t>★7、接口扩展:≥1个PCIe x16，≥1个PCIe x8，≥1个PCIe x1扩展槽；USB接口：≥8个（其中前置USB3.0 ≥4个，后置USB3.0接口≥4个）；音频接口：前置麦克风≥1个，耳机≥1个；后端≥3个Audio音频接口；配套鼠标≥1个，键盘≥1个；</w:t>
            </w:r>
          </w:p>
          <w:p>
            <w:pPr>
              <w:pStyle w:val="null3"/>
              <w:spacing w:before="225" w:after="105"/>
              <w:ind w:left="165" w:right="75" w:firstLine="628"/>
              <w:jc w:val="both"/>
            </w:pPr>
            <w:r>
              <w:rPr>
                <w:rFonts w:ascii="仿宋_GB2312" w:hAnsi="仿宋_GB2312" w:cs="仿宋_GB2312" w:eastAsia="仿宋_GB2312"/>
                <w:sz w:val="28"/>
                <w:color w:val="000000"/>
              </w:rPr>
              <w:t>★8、机箱:≥13.6L，支持全高全长扩展卡；</w:t>
            </w:r>
          </w:p>
          <w:p>
            <w:pPr>
              <w:pStyle w:val="null3"/>
              <w:spacing w:before="225" w:after="105"/>
              <w:ind w:left="165" w:right="75" w:firstLine="628"/>
              <w:jc w:val="both"/>
            </w:pPr>
            <w:r>
              <w:rPr>
                <w:rFonts w:ascii="仿宋_GB2312" w:hAnsi="仿宋_GB2312" w:cs="仿宋_GB2312" w:eastAsia="仿宋_GB2312"/>
                <w:sz w:val="28"/>
                <w:color w:val="000000"/>
              </w:rPr>
              <w:t>★9、易用性：免工具拆卸机箱，不接受组装，产品可使用USB键盘组合键开机，产品接口具有功能标识。机箱前面板原生配置防尘网，阻隔灰尘（提供国家认可的第三方检测机构出具的检测报告扫描件并加盖投标人电子章）。</w:t>
            </w:r>
          </w:p>
          <w:p>
            <w:pPr>
              <w:pStyle w:val="null3"/>
              <w:spacing w:before="225" w:after="105"/>
              <w:ind w:left="165" w:right="75" w:firstLine="628"/>
              <w:jc w:val="both"/>
            </w:pPr>
            <w:r>
              <w:rPr>
                <w:rFonts w:ascii="仿宋_GB2312" w:hAnsi="仿宋_GB2312" w:cs="仿宋_GB2312" w:eastAsia="仿宋_GB2312"/>
                <w:sz w:val="28"/>
                <w:color w:val="000000"/>
              </w:rPr>
              <w:t>★10、数据安全：当硬盘分区遭到破坏(使用fdisk工具删除或破坏分区)，导致系统无法启动情况下，可在不连接网络及外部存储（U盘、移动硬盘）情况下，使用基于安全区特性的备份恢复系统将主机恢复到可用状态；BIOS级USB屏蔽及智能USB数据保护：USB支持BIOS下全部接口一键开关，前后分组开关；针对存储设备支持全部USB接口一键切换禁止访问模式/只读模式（提供此功能截图并加盖投标人电子章）。</w:t>
            </w:r>
          </w:p>
          <w:p>
            <w:pPr>
              <w:pStyle w:val="null3"/>
              <w:spacing w:before="225" w:after="105"/>
              <w:ind w:left="165" w:right="75" w:firstLine="628"/>
              <w:jc w:val="both"/>
            </w:pPr>
            <w:r>
              <w:rPr>
                <w:rFonts w:ascii="仿宋_GB2312" w:hAnsi="仿宋_GB2312" w:cs="仿宋_GB2312" w:eastAsia="仿宋_GB2312"/>
                <w:sz w:val="28"/>
                <w:color w:val="000000"/>
              </w:rPr>
              <w:t>★11、主板规格：主板采用全固态电容，避免爆浆、漏液；（提供此功能截图并加盖投标人电子章）。</w:t>
            </w:r>
          </w:p>
          <w:p>
            <w:pPr>
              <w:pStyle w:val="null3"/>
              <w:spacing w:before="225" w:after="105"/>
              <w:ind w:left="165" w:right="75" w:firstLine="628"/>
              <w:jc w:val="both"/>
            </w:pPr>
            <w:r>
              <w:rPr>
                <w:rFonts w:ascii="仿宋_GB2312" w:hAnsi="仿宋_GB2312" w:cs="仿宋_GB2312" w:eastAsia="仿宋_GB2312"/>
                <w:sz w:val="28"/>
                <w:color w:val="000000"/>
              </w:rPr>
              <w:t>★12、显示器：≥23.8寸显示器，与主机同品牌，分辨率≥1920*1080，刷新频率≥100Hz，对比度≥3000:1，接口：VGA≥1个，HDMI≥1个；</w:t>
            </w:r>
          </w:p>
          <w:p>
            <w:pPr>
              <w:pStyle w:val="null3"/>
              <w:spacing w:before="225" w:after="105"/>
              <w:ind w:left="165" w:right="75" w:firstLine="628"/>
              <w:jc w:val="both"/>
            </w:pPr>
            <w:r>
              <w:rPr>
                <w:rFonts w:ascii="仿宋_GB2312" w:hAnsi="仿宋_GB2312" w:cs="仿宋_GB2312" w:eastAsia="仿宋_GB2312"/>
                <w:sz w:val="28"/>
                <w:color w:val="000000"/>
              </w:rPr>
              <w:t>★13、操作系统产品需满足财政部、工业和信息化部发布的《操作系统政府采购需求标准（2023年版）》中对桌面操作系统政府采购需求标准的要求。通过中国信息安全测评中心和国家保密科技测评中心的安全可靠测评。</w:t>
            </w:r>
          </w:p>
          <w:p>
            <w:pPr>
              <w:pStyle w:val="null3"/>
              <w:spacing w:before="225" w:after="105"/>
              <w:ind w:left="165" w:right="75" w:firstLine="628"/>
              <w:jc w:val="both"/>
            </w:pPr>
            <w:r>
              <w:rPr>
                <w:rFonts w:ascii="仿宋_GB2312" w:hAnsi="仿宋_GB2312" w:cs="仿宋_GB2312" w:eastAsia="仿宋_GB2312"/>
                <w:sz w:val="28"/>
                <w:color w:val="000000"/>
              </w:rPr>
              <w:t>★14、其他要求：所投产品应符合财政部、工业和信息化部制定的《台式计算机政府采购需求标准(2023年版)》财库(2023)29号中规定的其他*内容；</w:t>
            </w:r>
          </w:p>
          <w:p>
            <w:pPr>
              <w:pStyle w:val="null3"/>
              <w:spacing w:before="105" w:after="105"/>
              <w:jc w:val="left"/>
            </w:pPr>
            <w:r>
              <w:rPr>
                <w:rFonts w:ascii="仿宋_GB2312" w:hAnsi="仿宋_GB2312" w:cs="仿宋_GB2312" w:eastAsia="仿宋_GB2312"/>
                <w:sz w:val="28"/>
                <w:color w:val="000000"/>
              </w:rPr>
              <w:t>计算机管理及教学软件：</w:t>
            </w:r>
          </w:p>
          <w:p>
            <w:pPr>
              <w:pStyle w:val="null3"/>
              <w:spacing w:before="225" w:after="105"/>
              <w:ind w:left="165" w:right="75" w:firstLine="628"/>
              <w:jc w:val="both"/>
            </w:pPr>
            <w:r>
              <w:rPr>
                <w:rFonts w:ascii="仿宋_GB2312" w:hAnsi="仿宋_GB2312" w:cs="仿宋_GB2312" w:eastAsia="仿宋_GB2312"/>
                <w:sz w:val="28"/>
                <w:color w:val="000000"/>
              </w:rPr>
              <w:t>一、管理端：</w:t>
            </w:r>
          </w:p>
          <w:p>
            <w:pPr>
              <w:pStyle w:val="null3"/>
              <w:spacing w:before="225" w:after="105"/>
              <w:ind w:left="165" w:right="75" w:firstLine="628"/>
              <w:jc w:val="both"/>
            </w:pPr>
            <w:r>
              <w:rPr>
                <w:rFonts w:ascii="仿宋_GB2312" w:hAnsi="仿宋_GB2312" w:cs="仿宋_GB2312" w:eastAsia="仿宋_GB2312"/>
                <w:sz w:val="28"/>
                <w:color w:val="000000"/>
              </w:rPr>
              <w:t>★1、服务器端采用全栈国产化适配架构，原生至少支持飞腾、海光、龙芯、申威等CPU 硬件，全面兼容银河麒麟、统信 UOS、中科方德、Loongnix-Server 等国产服务器操作系统，实现从硬件到系统的全链路自主可控，无境外技术依赖风险，适配过程无需二次开发、无需第三方中间件。满足无盘、VOI、IDV、VDI、网盘等统一管理平台。</w:t>
            </w:r>
          </w:p>
          <w:p>
            <w:pPr>
              <w:pStyle w:val="null3"/>
              <w:spacing w:before="225" w:after="105"/>
              <w:ind w:left="165" w:right="75" w:firstLine="628"/>
              <w:jc w:val="both"/>
            </w:pPr>
            <w:r>
              <w:rPr>
                <w:rFonts w:ascii="仿宋_GB2312" w:hAnsi="仿宋_GB2312" w:cs="仿宋_GB2312" w:eastAsia="仿宋_GB2312"/>
                <w:sz w:val="28"/>
                <w:color w:val="000000"/>
              </w:rPr>
              <w:t>★2、云桌面管理平台支持多环境无差别部署，可在虚拟机、物理 PC、物理服务器等任意 x86 / 国产化架构硬件环境中稳定运行，适配项目存量、增量硬件资源，最大化利旧现有设备，降低项目建设成本。</w:t>
            </w:r>
          </w:p>
          <w:p>
            <w:pPr>
              <w:pStyle w:val="null3"/>
              <w:spacing w:before="225" w:after="105"/>
              <w:ind w:left="165" w:right="75" w:firstLine="628"/>
              <w:jc w:val="both"/>
            </w:pPr>
            <w:r>
              <w:rPr>
                <w:rFonts w:ascii="仿宋_GB2312" w:hAnsi="仿宋_GB2312" w:cs="仿宋_GB2312" w:eastAsia="仿宋_GB2312"/>
                <w:sz w:val="28"/>
                <w:color w:val="000000"/>
              </w:rPr>
              <w:t>★3、管理平台采用纯 B/S 架构，无需安装专用客户端；平台具备中 / 英文界面切换、字体大小调整功能，支持账号密码、动态口令多种登录方式，内置密码找回功能。</w:t>
            </w:r>
          </w:p>
          <w:p>
            <w:pPr>
              <w:pStyle w:val="null3"/>
              <w:spacing w:before="225" w:after="105"/>
              <w:ind w:left="165" w:right="75" w:firstLine="628"/>
              <w:jc w:val="both"/>
            </w:pPr>
            <w:r>
              <w:rPr>
                <w:rFonts w:ascii="仿宋_GB2312" w:hAnsi="仿宋_GB2312" w:cs="仿宋_GB2312" w:eastAsia="仿宋_GB2312"/>
                <w:sz w:val="28"/>
                <w:color w:val="000000"/>
              </w:rPr>
              <w:t>★4、平台服务管理，包括启动、重启、停止、定时重启及调试日志下载；支持服务器操作系统版本显示，服务器系统重启、关机及定时重启设置；支持健康检测（服务器、端口、终端、数据库、文件系统、SSD 硬盘性能），可生成检测报告并支持一键修复；支持服务器系统时间设置、NTP 服务器设置，动态口令有效时长设置。</w:t>
            </w:r>
          </w:p>
          <w:p>
            <w:pPr>
              <w:pStyle w:val="null3"/>
              <w:spacing w:before="225" w:after="105"/>
              <w:ind w:left="165" w:right="75" w:firstLine="628"/>
              <w:jc w:val="both"/>
            </w:pPr>
            <w:r>
              <w:rPr>
                <w:rFonts w:ascii="仿宋_GB2312" w:hAnsi="仿宋_GB2312" w:cs="仿宋_GB2312" w:eastAsia="仿宋_GB2312"/>
                <w:sz w:val="28"/>
                <w:color w:val="000000"/>
              </w:rPr>
              <w:t>★5、支持对服务器 CPU（含型号、核数、实时使用率）、内存（含总容量、可用容量、实时使用率）、磁盘（含总容量、可用容量、实时使用率）、网络（含实时上传速率、下载速率）进行全时段实时监控；</w:t>
            </w:r>
          </w:p>
          <w:p>
            <w:pPr>
              <w:pStyle w:val="null3"/>
              <w:spacing w:before="225" w:after="105"/>
              <w:ind w:left="165" w:right="75" w:firstLine="628"/>
              <w:jc w:val="both"/>
            </w:pPr>
            <w:r>
              <w:rPr>
                <w:rFonts w:ascii="仿宋_GB2312" w:hAnsi="仿宋_GB2312" w:cs="仿宋_GB2312" w:eastAsia="仿宋_GB2312"/>
                <w:sz w:val="28"/>
                <w:color w:val="000000"/>
              </w:rPr>
              <w:t>★6、支持基础镜像加子镜像模式，可灵活创建多个子镜像分支，每个子镜像分支支持独立快照管理，支持快照数量不少于50个；每个快照有日期时间，占用大小，备注信息，支持快照删除，应用，合并到默认，修改备注；支持快照的任意前进与后退操作，切换过程中快照数据完整保留不丢失。支持镜像下载，镜像扩容，镜像检测(进度条展示检测进度，数据块总数、已检测数量、已修复数量、)。</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★7、支持实时查看终端状态信息，包括：终端名称、运行状态、MAC 地址、IP 地址、当前桌面、实时流量、累计流量、网卡速率（低于 1000Mbps 时自动红色字体醒目提示）、在线时长、同步进度、操作系统、数据盘使用率、更新速度、策略状态等；支持查看终端硬件信息，包括显示器、鼠标、键盘、摄像头、主板、内存、CPU 等设备信息；支持终端存储使用情况可视化统计，支持对终端批量执行远程开机、关机、重启操作。</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★8、支持客户端内存缓存机制，可自定义配置终端内存缓存大小；支持设置终端显示分辨率、显示缩放比例，支持多显示器工作模式，包括复制屏、扩展屏模式。</w:t>
            </w:r>
          </w:p>
          <w:p>
            <w:pPr>
              <w:pStyle w:val="null3"/>
              <w:spacing w:before="225" w:after="105"/>
              <w:ind w:left="165" w:right="75" w:firstLine="628"/>
              <w:jc w:val="both"/>
            </w:pPr>
            <w:r>
              <w:rPr>
                <w:rFonts w:ascii="仿宋_GB2312" w:hAnsi="仿宋_GB2312" w:cs="仿宋_GB2312" w:eastAsia="仿宋_GB2312"/>
                <w:sz w:val="28"/>
                <w:color w:val="000000"/>
              </w:rPr>
              <w:t>★9、支持向终端远程发送消息及执行远程命令，命令类型涵盖 Windows 系统命令、Linux 系统命令及自定义命令，内置常用远程命令不少于 10 种，可直接调用无需重复输入；支持创建自定义远程命令并保存至命令库，后续可直接调用，提升运维效率。</w:t>
            </w:r>
          </w:p>
          <w:p>
            <w:pPr>
              <w:pStyle w:val="null3"/>
              <w:spacing w:before="225" w:after="105"/>
              <w:ind w:left="165" w:right="75" w:firstLine="628"/>
              <w:jc w:val="both"/>
            </w:pPr>
            <w:r>
              <w:rPr>
                <w:rFonts w:ascii="仿宋_GB2312" w:hAnsi="仿宋_GB2312" w:cs="仿宋_GB2312" w:eastAsia="仿宋_GB2312"/>
                <w:sz w:val="28"/>
                <w:color w:val="000000"/>
              </w:rPr>
              <w:t>★10、支持两种远程协助方式，分别为独立客户端远程控制、Web 远程控制，可实现远程截屏、双向文件传输、远程对话、只读查看模式、Ping 工具、Linux 系统 SSH 远程链接等全功能运维操作；支持在终端 Boot 同步过程中开展远程协助，可实时查看同步进度、更新量、网卡速率（低于 1000Mbps 时自动红色字体提示）及更新速度；终端同步、更新过程中，可远程接入终端查看实时进度；支持通过快捷键快速打开帮助、日志、任务管理器等常用功能菜单，提升远程运维便捷性。</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★11、支持终端资产明细全量查询，查询范围涵盖终端名称、IP 地址、MAC 地址、操作系统类型及版本、CPU 型号、内存容量及品牌、存储容量及 ID号、磁盘分区信息、显示器品牌、主板品牌、网卡品牌、声卡型号及传输速率等核心资产信息。</w:t>
            </w:r>
          </w:p>
          <w:p>
            <w:pPr>
              <w:pStyle w:val="null3"/>
              <w:spacing w:before="225" w:after="105"/>
              <w:ind w:left="165" w:right="75" w:firstLine="628"/>
              <w:jc w:val="both"/>
            </w:pPr>
            <w:r>
              <w:rPr>
                <w:rFonts w:ascii="仿宋_GB2312" w:hAnsi="仿宋_GB2312" w:cs="仿宋_GB2312" w:eastAsia="仿宋_GB2312"/>
                <w:sz w:val="28"/>
                <w:color w:val="000000"/>
              </w:rPr>
              <w:t>★12、支持终端桌面可显示机器名、IP 地址、MAC 地址、分组名、自定义信息等内容；</w:t>
            </w:r>
          </w:p>
          <w:p>
            <w:pPr>
              <w:pStyle w:val="null3"/>
              <w:spacing w:before="225" w:after="105"/>
              <w:ind w:left="165" w:right="75" w:firstLine="628"/>
              <w:jc w:val="both"/>
            </w:pPr>
            <w:r>
              <w:rPr>
                <w:rFonts w:ascii="仿宋_GB2312" w:hAnsi="仿宋_GB2312" w:cs="仿宋_GB2312" w:eastAsia="仿宋_GB2312"/>
                <w:sz w:val="28"/>
                <w:color w:val="000000"/>
              </w:rPr>
              <w:t>二、客户端：</w:t>
            </w:r>
          </w:p>
          <w:p>
            <w:pPr>
              <w:pStyle w:val="null3"/>
              <w:spacing w:before="225" w:after="105"/>
              <w:ind w:left="165" w:right="75" w:firstLine="628"/>
              <w:jc w:val="both"/>
            </w:pPr>
            <w:r>
              <w:rPr>
                <w:rFonts w:ascii="仿宋_GB2312" w:hAnsi="仿宋_GB2312" w:cs="仿宋_GB2312" w:eastAsia="仿宋_GB2312"/>
                <w:sz w:val="28"/>
                <w:color w:val="000000"/>
              </w:rPr>
              <w:t>★1、支持无盘、有盘两种启动方式，两种模式均可配置系统还原 / 不还原属性；无盘启动支持不还原模式，多服务器环境下无盘启动支持负载均衡。</w:t>
            </w:r>
          </w:p>
          <w:p>
            <w:pPr>
              <w:pStyle w:val="null3"/>
              <w:spacing w:before="225" w:after="105"/>
              <w:ind w:left="165" w:right="75" w:firstLine="628"/>
              <w:jc w:val="both"/>
            </w:pPr>
            <w:r>
              <w:rPr>
                <w:rFonts w:ascii="仿宋_GB2312" w:hAnsi="仿宋_GB2312" w:cs="仿宋_GB2312" w:eastAsia="仿宋_GB2312"/>
                <w:sz w:val="28"/>
                <w:color w:val="000000"/>
              </w:rPr>
              <w:t>★2、支持通过 PXE 或 U 盘引导启动，可将终端自动加入管理平台，或选择已有机器名加入设备列表，并自动采集终端硬件信息。</w:t>
            </w:r>
          </w:p>
          <w:p>
            <w:pPr>
              <w:pStyle w:val="null3"/>
              <w:spacing w:before="225" w:after="105"/>
              <w:ind w:left="165" w:right="75" w:firstLine="628"/>
              <w:jc w:val="both"/>
            </w:pPr>
            <w:r>
              <w:rPr>
                <w:rFonts w:ascii="仿宋_GB2312" w:hAnsi="仿宋_GB2312" w:cs="仿宋_GB2312" w:eastAsia="仿宋_GB2312"/>
                <w:sz w:val="28"/>
                <w:color w:val="000000"/>
              </w:rPr>
              <w:t>★3、支持硬盘引导与 PXE 引导配置，可自定义设置服务器及终端本地 IP 地址，实现硬盘引导无盘系统启动。</w:t>
            </w:r>
          </w:p>
          <w:p>
            <w:pPr>
              <w:pStyle w:val="null3"/>
              <w:spacing w:before="225" w:after="105"/>
              <w:ind w:left="165" w:right="75" w:firstLine="628"/>
              <w:jc w:val="both"/>
            </w:pPr>
            <w:r>
              <w:rPr>
                <w:rFonts w:ascii="仿宋_GB2312" w:hAnsi="仿宋_GB2312" w:cs="仿宋_GB2312" w:eastAsia="仿宋_GB2312"/>
                <w:sz w:val="28"/>
                <w:color w:val="000000"/>
              </w:rPr>
              <w:t>★4、支持多种模板更新模式，包括网络更新、本地更新上传、网络镜像映射更新；终端在系统还原及不还原模式下均可实现本地更新上传，并支持创建新快照或与上级快照合并。</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★5、支持在不还原模式下开启独立还原保护模式，可在本地系统单独安装软件或驱动，不影响其他终端系统环境。</w:t>
            </w:r>
          </w:p>
          <w:p>
            <w:pPr>
              <w:pStyle w:val="null3"/>
              <w:spacing w:before="225" w:after="105"/>
              <w:ind w:left="165" w:right="75" w:firstLine="628"/>
              <w:jc w:val="both"/>
            </w:pPr>
            <w:r>
              <w:rPr>
                <w:rFonts w:ascii="仿宋_GB2312" w:hAnsi="仿宋_GB2312" w:cs="仿宋_GB2312" w:eastAsia="仿宋_GB2312"/>
                <w:sz w:val="28"/>
                <w:color w:val="000000"/>
              </w:rPr>
              <w:t>★6、支持 PXE 同步、BOOT 同步、灰度同步多种同步方式，同步过程实时显示进度条、更新量及更新速度。</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★7、支持终端创建多个数据盘，分区数量不少于 4 个，确保系统切换或系统恢复时数据盘内容不丢失。</w:t>
            </w:r>
          </w:p>
          <w:p>
            <w:pPr>
              <w:pStyle w:val="null3"/>
              <w:spacing w:before="225" w:after="105"/>
              <w:ind w:left="165" w:right="75" w:firstLine="628"/>
              <w:jc w:val="both"/>
            </w:pPr>
            <w:r>
              <w:rPr>
                <w:rFonts w:ascii="仿宋_GB2312" w:hAnsi="仿宋_GB2312" w:cs="仿宋_GB2312" w:eastAsia="仿宋_GB2312"/>
                <w:sz w:val="28"/>
                <w:color w:val="000000"/>
              </w:rPr>
              <w:t>★8、支持对局域网内现有 PC 统一纳管，不影响 PC 原有操作系统及个人数据；可查看纳管终端硬件信息（IP 地址、MAC 地址、硬盘信息、CPU 型号、内存容量），并实现外设管控、信息公告集中管理。（需提供产品功能截图,并加盖投标人电子章）</w:t>
            </w:r>
          </w:p>
          <w:p>
            <w:pPr>
              <w:pStyle w:val="null3"/>
              <w:spacing w:before="225" w:after="105"/>
              <w:ind w:left="165" w:right="75" w:firstLine="628"/>
              <w:jc w:val="both"/>
            </w:pPr>
            <w:r>
              <w:rPr>
                <w:rFonts w:ascii="仿宋_GB2312" w:hAnsi="仿宋_GB2312" w:cs="仿宋_GB2312" w:eastAsia="仿宋_GB2312"/>
                <w:sz w:val="28"/>
                <w:color w:val="000000"/>
              </w:rPr>
              <w:t>★9、支持对已部署的桌面系统开启 PXE、BOOT 代理服务，支持跨网络、同网段批量 PXE 部署桌面系统。</w:t>
            </w:r>
          </w:p>
          <w:p>
            <w:pPr>
              <w:pStyle w:val="null3"/>
              <w:spacing w:before="225" w:after="105"/>
              <w:ind w:left="165" w:right="75" w:firstLine="628"/>
              <w:jc w:val="both"/>
            </w:pPr>
            <w:r>
              <w:rPr>
                <w:rFonts w:ascii="仿宋_GB2312" w:hAnsi="仿宋_GB2312" w:cs="仿宋_GB2312" w:eastAsia="仿宋_GB2312"/>
                <w:sz w:val="28"/>
                <w:color w:val="000000"/>
              </w:rPr>
              <w:t>三、教学软件：</w:t>
            </w:r>
          </w:p>
          <w:p>
            <w:pPr>
              <w:pStyle w:val="null3"/>
              <w:spacing w:before="225" w:after="105"/>
              <w:ind w:left="165" w:right="75" w:firstLine="628"/>
              <w:jc w:val="both"/>
            </w:pPr>
            <w:r>
              <w:rPr>
                <w:rFonts w:ascii="仿宋_GB2312" w:hAnsi="仿宋_GB2312" w:cs="仿宋_GB2312" w:eastAsia="仿宋_GB2312"/>
                <w:sz w:val="28"/>
                <w:color w:val="000000"/>
              </w:rPr>
              <w:t>★1、云课堂互动管理软件支持非国产系统、UOS、麒麟等操作系统，支持不同平台教学广播。</w:t>
            </w:r>
          </w:p>
          <w:p>
            <w:pPr>
              <w:pStyle w:val="null3"/>
              <w:spacing w:before="225" w:after="105"/>
              <w:ind w:left="165" w:right="75" w:firstLine="628"/>
              <w:jc w:val="both"/>
            </w:pPr>
            <w:r>
              <w:rPr>
                <w:rFonts w:ascii="仿宋_GB2312" w:hAnsi="仿宋_GB2312" w:cs="仿宋_GB2312" w:eastAsia="仿宋_GB2312"/>
                <w:sz w:val="28"/>
                <w:color w:val="000000"/>
              </w:rPr>
              <w:t>★2、屏幕分享支持全屏分享和窗口分享，可以将老师端电脑画面实时传输到学生端电脑桌面。示范转播会将所选的学生端操作画面实时广播到其它接收演示的学生端电脑屏幕上。</w:t>
            </w:r>
          </w:p>
          <w:p>
            <w:pPr>
              <w:pStyle w:val="null3"/>
              <w:spacing w:before="225" w:after="105"/>
              <w:ind w:left="165" w:right="75" w:firstLine="628"/>
              <w:jc w:val="both"/>
            </w:pPr>
            <w:r>
              <w:rPr>
                <w:rFonts w:ascii="仿宋_GB2312" w:hAnsi="仿宋_GB2312" w:cs="仿宋_GB2312" w:eastAsia="仿宋_GB2312"/>
                <w:sz w:val="28"/>
                <w:color w:val="000000"/>
              </w:rPr>
              <w:t>★3、电子白板可以把电脑桌面变成白板进行标注和讲解，包含多种画板工具包括画笔、毛笔、文字、正方形、三角形、圆形、标记、橡皮擦、前进和后退。支持以桌面画面为背景以及白板、黑板和绿板，支持保存白板图片，支持颜色和字体大小设置。</w:t>
            </w:r>
          </w:p>
          <w:p>
            <w:pPr>
              <w:pStyle w:val="null3"/>
              <w:spacing w:before="225" w:after="105"/>
              <w:ind w:left="165" w:right="75" w:firstLine="628"/>
              <w:jc w:val="both"/>
            </w:pPr>
            <w:r>
              <w:rPr>
                <w:rFonts w:ascii="仿宋_GB2312" w:hAnsi="仿宋_GB2312" w:cs="仿宋_GB2312" w:eastAsia="仿宋_GB2312"/>
                <w:sz w:val="28"/>
                <w:color w:val="000000"/>
              </w:rPr>
              <w:t>★4、视频分享，支持老师端播放视频文件实时分享到学生电脑。现场直播，支持采集老师端USB摄像头画面并直播到学生电脑，支持设置摄像头采集分辨率。</w:t>
            </w:r>
          </w:p>
          <w:p>
            <w:pPr>
              <w:pStyle w:val="null3"/>
              <w:spacing w:before="225" w:after="105"/>
              <w:ind w:left="165" w:right="75" w:firstLine="628"/>
              <w:jc w:val="both"/>
            </w:pPr>
            <w:r>
              <w:rPr>
                <w:rFonts w:ascii="仿宋_GB2312" w:hAnsi="仿宋_GB2312" w:cs="仿宋_GB2312" w:eastAsia="仿宋_GB2312"/>
                <w:sz w:val="28"/>
                <w:color w:val="000000"/>
              </w:rPr>
              <w:t>★5、语音教学可以将老师端电脑的声音采集后实时传输到学生端并进行播放，支持采集管理电脑的麦克风声音和扬声器声音。监听学生，老师端可监听学生端电脑声音，可选择麦克风和扬声器声音。支持老师端和学生端可进行语音通话，可选择通话麦克风设置。</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,并加盖投标人公章）</w:t>
            </w:r>
          </w:p>
          <w:p>
            <w:pPr>
              <w:pStyle w:val="null3"/>
              <w:spacing w:before="225" w:after="105"/>
              <w:ind w:left="165" w:right="75" w:firstLine="628"/>
              <w:jc w:val="both"/>
            </w:pPr>
            <w:r>
              <w:rPr>
                <w:rFonts w:ascii="仿宋_GB2312" w:hAnsi="仿宋_GB2312" w:cs="仿宋_GB2312" w:eastAsia="仿宋_GB2312"/>
                <w:sz w:val="28"/>
                <w:color w:val="000000"/>
              </w:rPr>
              <w:t>★6、屏幕监看，可以监看学生电脑画面，可以同时监控多台电脑，支持同时监看64画面。单个遥控时可以监看单个学生端电脑桌面，同时可以远程操作学生端电脑。</w:t>
            </w:r>
          </w:p>
          <w:p>
            <w:pPr>
              <w:pStyle w:val="null3"/>
              <w:spacing w:before="225" w:after="105"/>
              <w:ind w:left="165" w:right="75" w:firstLine="628"/>
              <w:jc w:val="both"/>
            </w:pPr>
            <w:r>
              <w:rPr>
                <w:rFonts w:ascii="仿宋_GB2312" w:hAnsi="仿宋_GB2312" w:cs="仿宋_GB2312" w:eastAsia="仿宋_GB2312"/>
                <w:sz w:val="28"/>
                <w:color w:val="000000"/>
              </w:rPr>
              <w:t>★7、全体遥控时可以监看一个模板学生端电脑桌面，同时可以远程操作所有学生端电脑。</w:t>
            </w:r>
          </w:p>
          <w:p>
            <w:pPr>
              <w:pStyle w:val="null3"/>
              <w:spacing w:before="225" w:after="105"/>
              <w:ind w:left="165" w:right="75" w:firstLine="628"/>
              <w:jc w:val="both"/>
            </w:pPr>
            <w:r>
              <w:rPr>
                <w:rFonts w:ascii="仿宋_GB2312" w:hAnsi="仿宋_GB2312" w:cs="仿宋_GB2312" w:eastAsia="仿宋_GB2312"/>
                <w:sz w:val="28"/>
                <w:color w:val="000000"/>
              </w:rPr>
              <w:t>★8、随堂考试可以组织小型的课堂练习测试，可以对答题进行统计。在试题框输入试题后，设置题型和答案，学生端进行答题，同时会实时统计学生答题数据。</w:t>
            </w:r>
          </w:p>
          <w:p>
            <w:pPr>
              <w:pStyle w:val="null3"/>
              <w:spacing w:before="225" w:after="105"/>
              <w:ind w:left="165" w:right="75" w:firstLine="628"/>
              <w:jc w:val="both"/>
            </w:pPr>
            <w:r>
              <w:rPr>
                <w:rFonts w:ascii="仿宋_GB2312" w:hAnsi="仿宋_GB2312" w:cs="仿宋_GB2312" w:eastAsia="仿宋_GB2312"/>
                <w:sz w:val="28"/>
                <w:color w:val="000000"/>
              </w:rPr>
              <w:t>★9、作业管理可以管理学生提交作业，打开作业管理点击学生提交，学生电脑会显示提交作业窗口。学生提交作业完成后这里会显示提交记录。老师可以根据时间查询学生提交的作业记录，可导出记录。</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★10、支持击鼓传花游戏，老师端可发起击鼓传花，学生端点击传递。支持选择六种彩球。</w:t>
            </w:r>
          </w:p>
          <w:p>
            <w:pPr>
              <w:pStyle w:val="null3"/>
              <w:spacing w:before="225" w:after="105"/>
              <w:ind w:left="165" w:right="75" w:firstLine="628"/>
              <w:jc w:val="both"/>
            </w:pPr>
            <w:r>
              <w:rPr>
                <w:rFonts w:ascii="仿宋_GB2312" w:hAnsi="仿宋_GB2312" w:cs="仿宋_GB2312" w:eastAsia="仿宋_GB2312"/>
                <w:sz w:val="28"/>
                <w:color w:val="000000"/>
              </w:rPr>
              <w:t>★11、网络监控支持添加六路网络摄像头，支持码流类型选择、设备品牌选择。支持一分屏、四分屏、六分屏显示。</w:t>
            </w:r>
          </w:p>
          <w:p>
            <w:pPr>
              <w:pStyle w:val="null3"/>
              <w:spacing w:before="225" w:after="105"/>
              <w:ind w:left="165" w:right="75" w:firstLine="628"/>
              <w:jc w:val="both"/>
            </w:pPr>
            <w:r>
              <w:rPr>
                <w:rFonts w:ascii="仿宋_GB2312" w:hAnsi="仿宋_GB2312" w:cs="仿宋_GB2312" w:eastAsia="仿宋_GB2312"/>
                <w:sz w:val="28"/>
                <w:color w:val="000000"/>
              </w:rPr>
              <w:t>★12、远程命令中包括启动程序、关闭程序、终端命令、打开网站、打开目录。</w:t>
            </w:r>
          </w:p>
          <w:p>
            <w:pPr>
              <w:pStyle w:val="null3"/>
              <w:spacing w:before="225" w:after="105"/>
              <w:ind w:left="165" w:right="75" w:firstLine="628"/>
              <w:jc w:val="both"/>
            </w:pPr>
            <w:r>
              <w:rPr>
                <w:rFonts w:ascii="仿宋_GB2312" w:hAnsi="仿宋_GB2312" w:cs="仿宋_GB2312" w:eastAsia="仿宋_GB2312"/>
                <w:sz w:val="28"/>
                <w:color w:val="000000"/>
              </w:rPr>
              <w:t>★13、支持外网控制和U盘控制。外网控制可以设置学生端是否可以上外网，支持禁止外网、允许外网、黑名单和白名单。U盘控制可控制学生端是否支持识别U盘。</w:t>
            </w:r>
          </w:p>
          <w:p>
            <w:pPr>
              <w:pStyle w:val="null3"/>
              <w:spacing w:before="225" w:after="105"/>
              <w:ind w:left="165" w:right="75" w:firstLine="628"/>
              <w:jc w:val="both"/>
            </w:pPr>
            <w:r>
              <w:rPr>
                <w:rFonts w:ascii="仿宋_GB2312" w:hAnsi="仿宋_GB2312" w:cs="仿宋_GB2312" w:eastAsia="仿宋_GB2312"/>
                <w:sz w:val="28"/>
                <w:color w:val="000000"/>
              </w:rPr>
              <w:t>★14、学生端支持盘点设备信息，包括电脑型号、BIOS、操作系统、CPU、内存、硬盘、网卡、声卡、显卡、显示器、屏幕尺寸。CPU使用率、内存使用率、系统盘使用率、网络使用率(包括发送使用率和接收使用率)。</w:t>
            </w:r>
          </w:p>
          <w:p>
            <w:pPr>
              <w:pStyle w:val="null3"/>
              <w:spacing w:before="225" w:after="105"/>
              <w:ind w:left="165" w:right="75" w:firstLine="628"/>
              <w:jc w:val="both"/>
            </w:pPr>
            <w:r>
              <w:rPr>
                <w:rFonts w:ascii="仿宋_GB2312" w:hAnsi="仿宋_GB2312" w:cs="仿宋_GB2312" w:eastAsia="仿宋_GB2312"/>
                <w:sz w:val="28"/>
                <w:color w:val="000000"/>
              </w:rPr>
              <w:t>★15、支持题库，题库支持学科分类、支持知识点分类，组卷方式支持按策略随机抽题组卷和自选题目组卷，可设置试卷属性包括考试时间、总分、及格分、支持提前交卷、提交试卷后立即显示分数、提交试卷后可查看考生试卷评析。</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p>
            <w:pPr>
              <w:pStyle w:val="null3"/>
              <w:spacing w:before="105" w:after="105"/>
              <w:ind w:firstLine="480"/>
              <w:jc w:val="left"/>
            </w:pPr>
            <w:r>
              <w:rPr>
                <w:rFonts w:ascii="仿宋_GB2312" w:hAnsi="仿宋_GB2312" w:cs="仿宋_GB2312" w:eastAsia="仿宋_GB2312"/>
                <w:sz w:val="28"/>
                <w:color w:val="000000"/>
              </w:rPr>
              <w:t>1、因系统固化原因，本章“3.1采购内容”中“标的名称”、“数量（计量单位）”不适用于本项目，“标的名称”、“数量（计量单位）”以“采购清单”中“标的名称”、“数量（计量单位）”为准。供应商在编制《中小企业声明函》时须按此章“采购清单”中标的名称进行填写。</w:t>
            </w:r>
          </w:p>
          <w:p>
            <w:pPr>
              <w:pStyle w:val="null3"/>
              <w:spacing w:before="105" w:after="105"/>
              <w:ind w:firstLine="480"/>
              <w:jc w:val="left"/>
            </w:pPr>
            <w:r>
              <w:rPr>
                <w:rFonts w:ascii="仿宋_GB2312" w:hAnsi="仿宋_GB2312" w:cs="仿宋_GB2312" w:eastAsia="仿宋_GB2312"/>
                <w:sz w:val="28"/>
                <w:color w:val="000000"/>
              </w:rPr>
              <w:t>2、因系统固化原因，本章“3.1采购内容”中“是否核心产品”不适用于本采购包，本采购包“核心产品”为：</w:t>
            </w:r>
            <w:r>
              <w:rPr>
                <w:rFonts w:ascii="仿宋_GB2312" w:hAnsi="仿宋_GB2312" w:cs="仿宋_GB2312" w:eastAsia="仿宋_GB2312"/>
                <w:sz w:val="28"/>
                <w:color w:val="000000"/>
              </w:rPr>
              <w:t>台式计算机（教师终端）。</w:t>
            </w:r>
          </w:p>
          <w:tbl>
            <w:tblPr>
              <w:tblInd w:type="dxa" w:w="105"/>
              <w:tblBorders>
                <w:top w:val="none" w:color="000000" w:sz="4"/>
                <w:left w:val="none" w:color="000000" w:sz="4"/>
                <w:bottom w:val="none" w:color="000000" w:sz="4"/>
                <w:right w:val="none" w:color="000000" w:sz="4"/>
                <w:insideH w:val="none"/>
                <w:insideV w:val="none"/>
              </w:tblBorders>
            </w:tblPr>
            <w:tblGrid>
              <w:gridCol w:w="612"/>
              <w:gridCol w:w="2594"/>
              <w:gridCol w:w="1376"/>
              <w:gridCol w:w="1013"/>
            </w:tblGrid>
            <w:tr>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序号</w:t>
                  </w:r>
                </w:p>
              </w:tc>
              <w:tc>
                <w:tcPr>
                  <w:tcW w:type="dxa" w:w="259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标的名称</w:t>
                  </w:r>
                </w:p>
              </w:tc>
              <w:tc>
                <w:tcPr>
                  <w:tcW w:type="dxa" w:w="13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color w:val="000000"/>
                    </w:rPr>
                    <w:t>数量（计量单位）</w:t>
                  </w:r>
                </w:p>
              </w:tc>
              <w:tc>
                <w:tcPr>
                  <w:tcW w:type="dxa" w:w="10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所属行业</w:t>
                  </w:r>
                </w:p>
              </w:tc>
            </w:tr>
            <w:tr>
              <w:tc>
                <w:tcPr>
                  <w:tcW w:type="dxa" w:w="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1</w:t>
                  </w:r>
                </w:p>
              </w:tc>
              <w:tc>
                <w:tcPr>
                  <w:tcW w:type="dxa" w:w="25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8"/>
                    </w:rPr>
                    <w:t>台式计算机（教师终端）</w:t>
                  </w:r>
                </w:p>
              </w:tc>
              <w:tc>
                <w:tcPr>
                  <w:tcW w:type="dxa" w:w="13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40（台）</w:t>
                  </w:r>
                </w:p>
              </w:tc>
              <w:tc>
                <w:tcPr>
                  <w:tcW w:type="dxa" w:w="10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工业</w:t>
                  </w:r>
                </w:p>
              </w:tc>
            </w:tr>
            <w:tr>
              <w:tc>
                <w:tcPr>
                  <w:tcW w:type="dxa" w:w="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2</w:t>
                  </w:r>
                </w:p>
              </w:tc>
              <w:tc>
                <w:tcPr>
                  <w:tcW w:type="dxa" w:w="25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台式计算机（学生终端）</w:t>
                  </w:r>
                </w:p>
              </w:tc>
              <w:tc>
                <w:tcPr>
                  <w:tcW w:type="dxa" w:w="13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100.00 (台）</w:t>
                  </w:r>
                </w:p>
              </w:tc>
              <w:tc>
                <w:tcPr>
                  <w:tcW w:type="dxa" w:w="10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工业</w:t>
                  </w:r>
                </w:p>
              </w:tc>
            </w:tr>
            <w:tr>
              <w:tc>
                <w:tcPr>
                  <w:tcW w:type="dxa" w:w="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3</w:t>
                  </w:r>
                </w:p>
              </w:tc>
              <w:tc>
                <w:tcPr>
                  <w:tcW w:type="dxa" w:w="25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计算机管理及教学软件</w:t>
                  </w:r>
                </w:p>
              </w:tc>
              <w:tc>
                <w:tcPr>
                  <w:tcW w:type="dxa" w:w="13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2.00 (套)</w:t>
                  </w:r>
                </w:p>
              </w:tc>
              <w:tc>
                <w:tcPr>
                  <w:tcW w:type="dxa" w:w="10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工业</w:t>
                  </w:r>
                </w:p>
              </w:tc>
            </w:tr>
          </w:tbl>
          <w:p>
            <w:pPr>
              <w:pStyle w:val="null3"/>
              <w:spacing w:before="105" w:after="105"/>
              <w:jc w:val="left"/>
            </w:pPr>
            <w:r>
              <w:rPr>
                <w:rFonts w:ascii="仿宋_GB2312" w:hAnsi="仿宋_GB2312" w:cs="仿宋_GB2312" w:eastAsia="仿宋_GB2312"/>
                <w:sz w:val="28"/>
              </w:rPr>
              <w:t xml:space="preserve"> </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抽检</w:t>
            </w:r>
          </w:p>
        </w:tc>
        <w:tc>
          <w:tcPr>
            <w:tcW w:type="dxa" w:w="5814"/>
          </w:tcPr>
          <w:p>
            <w:pPr>
              <w:pStyle w:val="null3"/>
              <w:jc w:val="both"/>
            </w:pPr>
            <w:r>
              <w:rPr>
                <w:rFonts w:ascii="仿宋_GB2312" w:hAnsi="仿宋_GB2312" w:cs="仿宋_GB2312" w:eastAsia="仿宋_GB2312"/>
                <w:sz w:val="28"/>
              </w:rPr>
              <w:t>中标人交付的设备、产品参数须与投标文件响应及采购文件要求一致。中标人提交终验申请后，采购人在组织最终履约验收前，有权委托具备资质的第三方检测机构进行专项检测，中标人应予配合。检测结果不符合投标文件承诺及采购文件要求的，检测及复检等全部费用由中标人承担，按验收不合格处理，并作为涉嫌虚假响应线索上报财政监管部门；经认定属提供虚假材料的，按《政府采购法》第七十七条处理。检测结果符合要求的，费用由采购人承担。中标人对检测结果有异议的，可在收到结果之日起</w:t>
            </w:r>
            <w:r>
              <w:rPr>
                <w:rFonts w:ascii="仿宋_GB2312" w:hAnsi="仿宋_GB2312" w:cs="仿宋_GB2312" w:eastAsia="仿宋_GB2312"/>
                <w:sz w:val="28"/>
              </w:rPr>
              <w:t>5 个工作日内申请复验一次，复验结论为最终结论。</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(1)中标人交货及安装期限：签订合同后30个日历日内完成送货、安装、调试，确保货物正常使用。 (2)如因采购人或使用人（学校）的基建或其他原因不能送货安装的，中标人须在获得采购人或使用人（学校）出具的延期收货说明后方可暂缓送货，货物由中标人无偿代为保管，后续按采购人或使用人（学校）通知完成送货、安装、调试，因此产生的仓储、保险等费用由中标人承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兴隆学校新校区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自定义付款条件：所有设备安装调试完成，经采购人验收合格，财政资金拨付到校后，采购人通知供应商开具等额有效发票。达到该付款条件起10个工作日内，支付合同总金额的100.0%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内容详见2.6.6履约验收方案</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量保证期从最终履约验收合格之日起开始计算。本次采购项目所有系统及设备的质保期为36个月。除易耗易损品及人为损坏外，保修期内所有更换零部件、上门服务、维修人员交通食宿等产生的一切费用由中标供应商负责，采购人无需另外支付任何费用。 (2)产品出现的质量问题，如不能通过电话指导解决问题，中标供应商维修人员需在接到采购人或实际使用人（学校）的维修通知后4小时内响应、8小时内到达现场，及时排除故障；如发生安全隐患，必须在4小时内到达现场，24小时内消除隐患。若产品出现问题且在24小时内无法修复，中标供应商须无条件提供不低于原产品性能的备用设备供学校使用，直至原设备修复。 (3)中标供应商须指派专人负责与采购人联系售后服务事宜。若上述人员发生变更，应提前3个工作日书面通知采购人，否则视为未履行相应义务。</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 质量瑕疵的违约责任 （1）供应商提供的货物不符合合同约定的质量标准或存在产品质量缺陷，应在合同工期内免费更换合格的货物，逾期未更换的，视为供应商不能交货，按本条款2.(2)承担违约责任。 （2）供应商货物及配套服务第一次验收不合格的，采购人出具书面整改通知，供应商限期整改；整改后再次验收仍不合格的，采购人有权解除合同，供应商按合同总价20%支付违约金，并全额退还采购人已付货款及利息（按全国银行间同业拆借中心公布的贷款市场报价利率计算）。 2. 迟延交货的违约责任 （1）在履行合同过程中，如果供应商遇到可能影响按时交货和提供服务的情形时，应及时以书面形式将迟延的事实、可能迟延的期限和理由通知采购人。采购人在收到供应商通知后，应尽快对情况进行评价，并确定是否同意延长交货时间或延期提供服务。 （2）如果供应商没有按照合同规定的时间交货和提供相关服务，除应及时交足货物和提供相关服务外，应向采购人偿付逾期交货部分货款总额的万分之五/天的违约金；逾期交货超过30天，采购人有权终止本合同，供应商则应按合同总价的20%向采购人偿付违约金，并须全额退还采购人已支付给供应商的货款及其利息（按全国银行间同业拆借中心公布的贷款市场报价利率计算）。 3. 迟延支付的违约责任 采购人逾期支付货款的，除应及时付足货款外，应向供应商偿付欠款总额万分之五/天的违约金。 4. 其他违约责任 （1）对质量或技术参数要求甲乙双方存在争议的货物，或根据采购文件要求进行检测的货物，经采购人送交具有法定资格条件的质量技术监督机构检测后，如检测结果认定货物质量不符合本合同规定标准的，则视为供应商没有按时交货而违约，供应商须在3天内无条件更换合格的货物，如逾期不能更换合格的货物，采购人有权终止本合同，供应商应另付合同总价的20%的违约金给采购人。检测结果认定货物质量不符合本合同规定标准的，检测费用由供应商承担。 （2）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20%向采购人支付违约金。 （3）供应商偿付的违约金不足以弥补采购人损失的，还应按采购人损失尚未弥补的部分，支付赔偿金给采购人，包括但不限于律师费、诉讼费、公证费、鉴定费、保全费、保全保险费、差旅费等。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1、投标⼈所投产品若涉及国家强制性产品认证（CCC认证）或前置许可认证的，须承诺产品符合国家相关强制认证、前置许可要求；在供货环节，将相关许可 、认证材料⼀并提交采购⼈，确保所供产品的认证⽂件⻬全、有效，符合国家相关规定。（投标⼈提供承诺函，格式⾃拟并加盖投标人电⼦章，否则投标⽆效。） ★2、包1项⽬实施过程中，因供应商⾃⾝原因产⽣的安全事故由供应商负责，采购⼈不承担任何责任。(投标人提供承诺函，格式⾃拟并加盖投标⼈电⼦章，否则投标⽆效。）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①供应商若为企业法人：提供“统一社会信用代码营业执照”；②若为事业法人：提供“统一社会信用代码法人登记证书”；③若为其他组织：提供“对应主管部门颁发的准许执业证明文件或营业执照”；④若为自然人：提供“身份证明文件”。以上提供扫描件。以上材料需在项目电子化交易系统中按要求进行电子签章。 （2）供应商需在使用投标(响应)客户端编制响应文件时，按要求填写《投标（响应）函》完成承诺并进行电子签章。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满足招标文件实质性要求</w:t>
            </w:r>
          </w:p>
        </w:tc>
        <w:tc>
          <w:tcPr>
            <w:tcW w:type="dxa" w:w="3322"/>
          </w:tcPr>
          <w:p>
            <w:pPr>
              <w:pStyle w:val="null3"/>
              <w:jc w:val="left"/>
            </w:pPr>
            <w:r>
              <w:rPr>
                <w:rFonts w:ascii="仿宋_GB2312" w:hAnsi="仿宋_GB2312" w:cs="仿宋_GB2312" w:eastAsia="仿宋_GB2312"/>
              </w:rPr>
              <w:t>提供满足招标文件实质性要求的证明材料。（注：除招标文件中明确要求进行响应或承诺或提供证明材料的实质性要求外，对于其他实质性要求，供应商在《投标（响应）函》中以“我单位完全接受和理解本项目采购文件规定的实质性要求。”进行承诺即视为响应。）</w:t>
            </w:r>
          </w:p>
        </w:tc>
        <w:tc>
          <w:tcPr>
            <w:tcW w:type="dxa" w:w="1661"/>
          </w:tcPr>
          <w:p>
            <w:pPr>
              <w:pStyle w:val="null3"/>
              <w:jc w:val="left"/>
            </w:pPr>
            <w:r>
              <w:rPr>
                <w:rFonts w:ascii="仿宋_GB2312" w:hAnsi="仿宋_GB2312" w:cs="仿宋_GB2312" w:eastAsia="仿宋_GB2312"/>
              </w:rPr>
              <w:t>响应文件封面,产品技术参数响应表,供应商应提交的相关证明材料,服务应答表,报价表,投标（响应）函,技术要求应答表.docx,其他资料及相关说明等.docx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详见附件：其他资料及相关说明等.docx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