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版本号：N510187202600012320260803001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养马高级中学2026年台式计算机采购项目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N5101872026000123</w:t>
      </w:r>
    </w:p>
    <w:p>
      <w:pPr>
        <w:pStyle w:val="null3"/>
        <w:jc w:val="left"/>
        <w:outlineLvl w:val="2"/>
      </w:pPr>
      <w:r>
        <w:rPr>
          <w:rFonts w:ascii="仿宋_GB2312" w:hAnsi="仿宋_GB2312" w:cs="仿宋_GB2312" w:eastAsia="仿宋_GB2312"/>
          <w:sz w:val="28"/>
          <w:b/>
        </w:rPr>
        <w:t>成都东部新区养马高级中学</w:t>
      </w:r>
    </w:p>
    <w:p>
      <w:pPr>
        <w:pStyle w:val="null3"/>
        <w:jc w:val="center"/>
        <w:outlineLvl w:val="2"/>
      </w:pPr>
      <w:r>
        <w:rPr>
          <w:rFonts w:ascii="仿宋_GB2312" w:hAnsi="仿宋_GB2312" w:cs="仿宋_GB2312" w:eastAsia="仿宋_GB2312"/>
          <w:sz w:val="28"/>
          <w:b/>
        </w:rPr>
        <w:t>成都东部新区政府采购中心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成都东部新区政府采购中心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成都东部新区养马高级中学</w:t>
      </w:r>
      <w:r>
        <w:rPr>
          <w:rFonts w:ascii="仿宋_GB2312" w:hAnsi="仿宋_GB2312" w:cs="仿宋_GB2312" w:eastAsia="仿宋_GB2312"/>
        </w:rPr>
        <w:t xml:space="preserve"> 委托，拟对 </w:t>
      </w:r>
      <w:r>
        <w:rPr>
          <w:rFonts w:ascii="仿宋_GB2312" w:hAnsi="仿宋_GB2312" w:cs="仿宋_GB2312" w:eastAsia="仿宋_GB2312"/>
        </w:rPr>
        <w:t>养马高级中学2026年台式计算机采购项目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成都市东部新区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N5101872026000123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养马高级中学2026年台式计算机采购项目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sz w:val="28"/>
        </w:rPr>
        <w:t>成都东部新区养马高级中学</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年新购台式计算机</w:t>
      </w:r>
      <w:r>
        <w:rPr>
          <w:rFonts w:ascii="仿宋_GB2312" w:hAnsi="仿宋_GB2312" w:cs="仿宋_GB2312" w:eastAsia="仿宋_GB2312"/>
          <w:sz w:val="28"/>
        </w:rPr>
        <w:t>178</w:t>
      </w:r>
      <w:r>
        <w:rPr>
          <w:rFonts w:ascii="仿宋_GB2312" w:hAnsi="仿宋_GB2312" w:cs="仿宋_GB2312" w:eastAsia="仿宋_GB2312"/>
          <w:sz w:val="28"/>
        </w:rPr>
        <w:t>台设备的配置。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成都东部新区养马高级中学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成都东部新区洪兴路50号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641402</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周永贵</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18190371318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成都东部新区政府采购中心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成都东部新区三岔街道公园大道2055号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邓涵丹</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028-86360238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采购包1：890,000.00元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成都东部新区养马高级中学</w:t>
      </w:r>
      <w:r>
        <w:rPr>
          <w:rFonts w:ascii="仿宋_GB2312" w:hAnsi="仿宋_GB2312" w:cs="仿宋_GB2312" w:eastAsia="仿宋_GB2312"/>
        </w:rPr>
        <w:t xml:space="preserve"> 和 </w:t>
      </w:r>
      <w:r>
        <w:rPr>
          <w:rFonts w:ascii="仿宋_GB2312" w:hAnsi="仿宋_GB2312" w:cs="仿宋_GB2312" w:eastAsia="仿宋_GB2312"/>
        </w:rPr>
        <w:t>成都东部新区政府采购中心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成都东部新区养马高级中学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成都东部新区政府采购中心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由学校验收组和供应商依据技术要求进行核对验收。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按照招标文件中技术要求进行核对验收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按照招标文件中商务要求进行核对验收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由学校验收组和供应商依据技术要求进行核对验收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成都东部新区养马高级中学</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成都东部新区政府采购中心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成都东部新区政府采购中心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联系人：周永贵</w:t>
      </w:r>
    </w:p>
    <w:p>
      <w:pPr>
        <w:pStyle w:val="null3"/>
        <w:jc w:val="left"/>
      </w:pPr>
      <w:r>
        <w:rPr>
          <w:rFonts w:ascii="仿宋_GB2312" w:hAnsi="仿宋_GB2312" w:cs="仿宋_GB2312" w:eastAsia="仿宋_GB2312"/>
        </w:rPr>
        <w:t>联系电话：18190371318</w:t>
      </w:r>
    </w:p>
    <w:p>
      <w:pPr>
        <w:pStyle w:val="null3"/>
        <w:jc w:val="left"/>
      </w:pPr>
      <w:r>
        <w:rPr>
          <w:rFonts w:ascii="仿宋_GB2312" w:hAnsi="仿宋_GB2312" w:cs="仿宋_GB2312" w:eastAsia="仿宋_GB2312"/>
        </w:rPr>
        <w:t>地址：成都东部新区洪兴路50号</w:t>
      </w:r>
    </w:p>
    <w:p>
      <w:pPr>
        <w:pStyle w:val="null3"/>
        <w:jc w:val="left"/>
      </w:pPr>
      <w:r>
        <w:rPr>
          <w:rFonts w:ascii="仿宋_GB2312" w:hAnsi="仿宋_GB2312" w:cs="仿宋_GB2312" w:eastAsia="仿宋_GB2312"/>
        </w:rPr>
        <w:t>邮编：641402</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联系人：邓涵丹</w:t>
      </w:r>
    </w:p>
    <w:p>
      <w:pPr>
        <w:pStyle w:val="null3"/>
        <w:jc w:val="left"/>
      </w:pPr>
      <w:r>
        <w:rPr>
          <w:rFonts w:ascii="仿宋_GB2312" w:hAnsi="仿宋_GB2312" w:cs="仿宋_GB2312" w:eastAsia="仿宋_GB2312"/>
        </w:rPr>
        <w:t>联系电话：028-86360238</w:t>
      </w:r>
    </w:p>
    <w:p>
      <w:pPr>
        <w:pStyle w:val="null3"/>
        <w:jc w:val="left"/>
      </w:pPr>
      <w:r>
        <w:rPr>
          <w:rFonts w:ascii="仿宋_GB2312" w:hAnsi="仿宋_GB2312" w:cs="仿宋_GB2312" w:eastAsia="仿宋_GB2312"/>
        </w:rPr>
        <w:t>地址：成都东部新区三岔街道公园大道2055号</w:t>
      </w:r>
    </w:p>
    <w:p>
      <w:pPr>
        <w:pStyle w:val="null3"/>
        <w:jc w:val="left"/>
      </w:pPr>
      <w:r>
        <w:rPr>
          <w:rFonts w:ascii="仿宋_GB2312" w:hAnsi="仿宋_GB2312" w:cs="仿宋_GB2312" w:eastAsia="仿宋_GB2312"/>
        </w:rPr>
        <w:t>邮编：641400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890,000.00</w:t>
      </w:r>
    </w:p>
    <w:p>
      <w:pPr>
        <w:pStyle w:val="null3"/>
        <w:jc w:val="left"/>
      </w:pPr>
      <w:r>
        <w:rPr>
          <w:rFonts w:ascii="仿宋_GB2312" w:hAnsi="仿宋_GB2312" w:cs="仿宋_GB2312" w:eastAsia="仿宋_GB2312"/>
        </w:rPr>
        <w:t>采购包最高限价（元）: 890,000.00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养马高级中学2026年台式计算机采购项目</w:t>
            </w:r>
          </w:p>
        </w:tc>
        <w:tc>
          <w:tcPr>
            <w:tcW w:type="dxa" w:w="821"/>
          </w:tcPr>
          <w:p>
            <w:pPr>
              <w:pStyle w:val="null3"/>
              <w:jc w:val="right"/>
            </w:pPr>
            <w:r>
              <w:rPr>
                <w:rFonts w:ascii="仿宋_GB2312" w:hAnsi="仿宋_GB2312" w:cs="仿宋_GB2312" w:eastAsia="仿宋_GB2312"/>
              </w:rPr>
              <w:t>178.00（台）</w:t>
            </w:r>
          </w:p>
        </w:tc>
        <w:tc>
          <w:tcPr>
            <w:tcW w:type="dxa" w:w="821"/>
          </w:tcPr>
          <w:p>
            <w:pPr>
              <w:pStyle w:val="null3"/>
              <w:jc w:val="right"/>
            </w:pPr>
            <w:r>
              <w:rPr>
                <w:rFonts w:ascii="仿宋_GB2312" w:hAnsi="仿宋_GB2312" w:cs="仿宋_GB2312" w:eastAsia="仿宋_GB2312"/>
              </w:rPr>
              <w:t>890,000.00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教师台式计算机</w:t>
            </w:r>
          </w:p>
        </w:tc>
        <w:tc>
          <w:tcPr>
            <w:tcW w:type="dxa" w:w="1138"/>
          </w:tcPr>
          <w:p>
            <w:pPr>
              <w:pStyle w:val="null3"/>
              <w:jc w:val="center"/>
            </w:pPr>
            <w:r>
              <w:rPr>
                <w:rFonts w:ascii="仿宋_GB2312" w:hAnsi="仿宋_GB2312" w:cs="仿宋_GB2312" w:eastAsia="仿宋_GB2312"/>
              </w:rPr>
              <w:t>55.00（台）</w:t>
            </w:r>
          </w:p>
        </w:tc>
        <w:tc>
          <w:tcPr>
            <w:tcW w:type="dxa" w:w="1365"/>
          </w:tcPr>
          <w:p>
            <w:pPr>
              <w:pStyle w:val="null3"/>
              <w:jc w:val="center"/>
            </w:pPr>
            <w:r>
              <w:rPr>
                <w:rFonts w:ascii="仿宋_GB2312" w:hAnsi="仿宋_GB2312" w:cs="仿宋_GB2312" w:eastAsia="仿宋_GB2312"/>
              </w:rPr>
              <w:t>275,000.00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学生台式计算机</w:t>
            </w:r>
          </w:p>
        </w:tc>
        <w:tc>
          <w:tcPr>
            <w:tcW w:type="dxa" w:w="1138"/>
          </w:tcPr>
          <w:p>
            <w:pPr>
              <w:pStyle w:val="null3"/>
              <w:jc w:val="center"/>
            </w:pPr>
            <w:r>
              <w:rPr>
                <w:rFonts w:ascii="仿宋_GB2312" w:hAnsi="仿宋_GB2312" w:cs="仿宋_GB2312" w:eastAsia="仿宋_GB2312"/>
              </w:rPr>
              <w:t>123.00（台）</w:t>
            </w:r>
          </w:p>
        </w:tc>
        <w:tc>
          <w:tcPr>
            <w:tcW w:type="dxa" w:w="1365"/>
          </w:tcPr>
          <w:p>
            <w:pPr>
              <w:pStyle w:val="null3"/>
              <w:jc w:val="center"/>
            </w:pPr>
            <w:r>
              <w:rPr>
                <w:rFonts w:ascii="仿宋_GB2312" w:hAnsi="仿宋_GB2312" w:cs="仿宋_GB2312" w:eastAsia="仿宋_GB2312"/>
              </w:rPr>
              <w:t>615,000.00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养马高级中学2026年台式计算机采购项目</w:t>
            </w:r>
          </w:p>
        </w:tc>
        <w:tc>
          <w:tcPr>
            <w:tcW w:type="dxa" w:w="2492"/>
          </w:tcPr>
          <w:p>
            <w:pPr>
              <w:pStyle w:val="null3"/>
              <w:jc w:val="left"/>
            </w:pPr>
            <w:r>
              <w:rPr>
                <w:rFonts w:ascii="仿宋_GB2312" w:hAnsi="仿宋_GB2312" w:cs="仿宋_GB2312" w:eastAsia="仿宋_GB2312"/>
              </w:rPr>
              <w:t>教师台式计算机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养马高级中学2026年台式计算机采购项目</w:t>
            </w:r>
          </w:p>
        </w:tc>
        <w:tc>
          <w:tcPr>
            <w:tcW w:type="dxa" w:w="2492"/>
          </w:tcPr>
          <w:p>
            <w:pPr>
              <w:pStyle w:val="null3"/>
              <w:jc w:val="left"/>
            </w:pPr>
            <w:r>
              <w:rPr>
                <w:rFonts w:ascii="仿宋_GB2312" w:hAnsi="仿宋_GB2312" w:cs="仿宋_GB2312" w:eastAsia="仿宋_GB2312"/>
              </w:rPr>
              <w:t>学生台式计算机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养马高级中学2026年台式计算机采购项目</w:t>
            </w:r>
          </w:p>
        </w:tc>
        <w:tc>
          <w:tcPr>
            <w:tcW w:type="dxa" w:w="2492"/>
          </w:tcPr>
          <w:p>
            <w:pPr>
              <w:pStyle w:val="null3"/>
              <w:jc w:val="left"/>
            </w:pPr>
            <w:r>
              <w:rPr>
                <w:rFonts w:ascii="仿宋_GB2312" w:hAnsi="仿宋_GB2312" w:cs="仿宋_GB2312" w:eastAsia="仿宋_GB2312"/>
              </w:rPr>
              <w:t>教师台式计算机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养马高级中学2026年台式计算机采购项目</w:t>
            </w:r>
          </w:p>
        </w:tc>
        <w:tc>
          <w:tcPr>
            <w:tcW w:type="dxa" w:w="2492"/>
          </w:tcPr>
          <w:p>
            <w:pPr>
              <w:pStyle w:val="null3"/>
              <w:jc w:val="left"/>
            </w:pPr>
            <w:r>
              <w:rPr>
                <w:rFonts w:ascii="仿宋_GB2312" w:hAnsi="仿宋_GB2312" w:cs="仿宋_GB2312" w:eastAsia="仿宋_GB2312"/>
              </w:rPr>
              <w:t>学生台式计算机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养马高级中学2026年台式计算机采购项目</w:t>
            </w:r>
          </w:p>
        </w:tc>
        <w:tc>
          <w:tcPr>
            <w:tcW w:type="dxa" w:w="2492"/>
          </w:tcPr>
          <w:p>
            <w:pPr>
              <w:pStyle w:val="null3"/>
              <w:jc w:val="left"/>
            </w:pPr>
            <w:r>
              <w:rPr>
                <w:rFonts w:ascii="仿宋_GB2312" w:hAnsi="仿宋_GB2312" w:cs="仿宋_GB2312" w:eastAsia="仿宋_GB2312"/>
              </w:rPr>
              <w:t>教师台式计算机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养马高级中学2026年台式计算机采购项目</w:t>
            </w:r>
          </w:p>
        </w:tc>
        <w:tc>
          <w:tcPr>
            <w:tcW w:type="dxa" w:w="2492"/>
          </w:tcPr>
          <w:p>
            <w:pPr>
              <w:pStyle w:val="null3"/>
              <w:jc w:val="left"/>
            </w:pPr>
            <w:r>
              <w:rPr>
                <w:rFonts w:ascii="仿宋_GB2312" w:hAnsi="仿宋_GB2312" w:cs="仿宋_GB2312" w:eastAsia="仿宋_GB2312"/>
              </w:rPr>
              <w:t>学生台式计算机</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标的名称：养马高级中学2026年台式计算机采购项目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418"/>
              <w:gridCol w:w="306"/>
              <w:gridCol w:w="4485"/>
              <w:gridCol w:w="387"/>
            </w:tblGrid>
            <w:tr>
              <w:tc>
                <w:tcPr>
                  <w:tcW w:type="dxa" w:w="418"/>
                  <w:tcBorders>
                    <w:top w:val="single" w:color="000000" w:sz="4"/>
                    <w:left w:val="single" w:color="000000" w:sz="4"/>
                    <w:bottom w:val="single" w:color="000000" w:sz="4"/>
                    <w:right w:val="single" w:color="000000" w:sz="4"/>
                  </w:tcBorders>
                  <w:shd w:fill="969696"/>
                  <w:tcMar>
                    <w:top w:type="dxa" w:w="0"/>
                    <w:left w:type="dxa" w:w="15"/>
                    <w:bottom w:type="dxa" w:w="0"/>
                    <w:right w:type="dxa" w:w="15"/>
                  </w:tcMar>
                  <w:vAlign w:val="top"/>
                </w:tcPr>
                <w:p>
                  <w:pPr>
                    <w:pStyle w:val="null3"/>
                    <w:jc w:val="center"/>
                  </w:pPr>
                  <w:r>
                    <w:rPr>
                      <w:rFonts w:ascii="仿宋_GB2312" w:hAnsi="仿宋_GB2312" w:cs="仿宋_GB2312" w:eastAsia="仿宋_GB2312"/>
                      <w:sz w:val="28"/>
                      <w:b/>
                      <w:color w:val="000000"/>
                      <w:shd w:fill="969696" w:val="clear"/>
                    </w:rPr>
                    <w:t>序号</w:t>
                  </w:r>
                </w:p>
              </w:tc>
              <w:tc>
                <w:tcPr>
                  <w:tcW w:type="dxa" w:w="306"/>
                  <w:tcBorders>
                    <w:top w:val="single" w:color="000000" w:sz="4"/>
                    <w:left w:val="none" w:color="000000" w:sz="4"/>
                    <w:bottom w:val="single" w:color="000000" w:sz="4"/>
                    <w:right w:val="single" w:color="000000" w:sz="4"/>
                  </w:tcBorders>
                  <w:shd w:fill="969696"/>
                  <w:tcMar>
                    <w:top w:type="dxa" w:w="0"/>
                    <w:left w:type="dxa" w:w="15"/>
                    <w:bottom w:type="dxa" w:w="0"/>
                    <w:right w:type="dxa" w:w="15"/>
                  </w:tcMar>
                  <w:vAlign w:val="top"/>
                </w:tcPr>
                <w:p>
                  <w:pPr>
                    <w:pStyle w:val="null3"/>
                    <w:jc w:val="center"/>
                  </w:pPr>
                  <w:r>
                    <w:rPr>
                      <w:rFonts w:ascii="仿宋_GB2312" w:hAnsi="仿宋_GB2312" w:cs="仿宋_GB2312" w:eastAsia="仿宋_GB2312"/>
                      <w:sz w:val="28"/>
                      <w:b/>
                      <w:color w:val="000000"/>
                      <w:shd w:fill="969696" w:val="clear"/>
                    </w:rPr>
                    <w:t>产品名称</w:t>
                  </w:r>
                </w:p>
              </w:tc>
              <w:tc>
                <w:tcPr>
                  <w:tcW w:type="dxa" w:w="4485"/>
                  <w:tcBorders>
                    <w:top w:val="single" w:color="000000" w:sz="4"/>
                    <w:left w:val="none" w:color="000000" w:sz="4"/>
                    <w:bottom w:val="single" w:color="000000" w:sz="4"/>
                    <w:right w:val="single" w:color="000000" w:sz="4"/>
                  </w:tcBorders>
                  <w:shd w:fill="969696"/>
                  <w:tcMar>
                    <w:top w:type="dxa" w:w="0"/>
                    <w:left w:type="dxa" w:w="15"/>
                    <w:bottom w:type="dxa" w:w="0"/>
                    <w:right w:type="dxa" w:w="15"/>
                  </w:tcMar>
                  <w:vAlign w:val="top"/>
                </w:tcPr>
                <w:p>
                  <w:pPr>
                    <w:pStyle w:val="null3"/>
                    <w:jc w:val="center"/>
                  </w:pPr>
                  <w:r>
                    <w:rPr>
                      <w:rFonts w:ascii="仿宋_GB2312" w:hAnsi="仿宋_GB2312" w:cs="仿宋_GB2312" w:eastAsia="仿宋_GB2312"/>
                      <w:sz w:val="28"/>
                      <w:b/>
                      <w:color w:val="000000"/>
                      <w:shd w:fill="969696" w:val="clear"/>
                    </w:rPr>
                    <w:t>技术参数</w:t>
                  </w:r>
                </w:p>
              </w:tc>
              <w:tc>
                <w:tcPr>
                  <w:tcW w:type="dxa" w:w="387"/>
                  <w:tcBorders>
                    <w:top w:val="single" w:color="000000" w:sz="4"/>
                    <w:left w:val="none" w:color="000000" w:sz="4"/>
                    <w:bottom w:val="single" w:color="000000" w:sz="4"/>
                    <w:right w:val="single" w:color="000000" w:sz="4"/>
                  </w:tcBorders>
                  <w:shd w:fill="969696"/>
                  <w:tcMar>
                    <w:top w:type="dxa" w:w="0"/>
                    <w:left w:type="dxa" w:w="15"/>
                    <w:bottom w:type="dxa" w:w="0"/>
                    <w:right w:type="dxa" w:w="15"/>
                  </w:tcMar>
                  <w:vAlign w:val="top"/>
                </w:tcPr>
                <w:p>
                  <w:pPr>
                    <w:pStyle w:val="null3"/>
                    <w:jc w:val="center"/>
                  </w:pPr>
                  <w:r>
                    <w:rPr>
                      <w:rFonts w:ascii="仿宋_GB2312" w:hAnsi="仿宋_GB2312" w:cs="仿宋_GB2312" w:eastAsia="仿宋_GB2312"/>
                      <w:sz w:val="28"/>
                      <w:b/>
                      <w:color w:val="000000"/>
                      <w:shd w:fill="969696" w:val="clear"/>
                    </w:rPr>
                    <w:t>数量</w:t>
                  </w:r>
                </w:p>
              </w:tc>
            </w:tr>
            <w:tr>
              <w:tc>
                <w:tcPr>
                  <w:tcW w:type="dxa" w:w="4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8"/>
                      <w:color w:val="000000"/>
                    </w:rPr>
                    <w:t>1</w:t>
                  </w:r>
                </w:p>
              </w:tc>
              <w:tc>
                <w:tcPr>
                  <w:tcW w:type="dxa" w:w="3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8"/>
                      <w:color w:val="000000"/>
                    </w:rPr>
                    <w:t>教师</w:t>
                  </w:r>
                  <w:r>
                    <w:rPr>
                      <w:rFonts w:ascii="仿宋_GB2312" w:hAnsi="仿宋_GB2312" w:cs="仿宋_GB2312" w:eastAsia="仿宋_GB2312"/>
                      <w:sz w:val="28"/>
                      <w:color w:val="000000"/>
                    </w:rPr>
                    <w:t>台式计算机</w:t>
                  </w:r>
                </w:p>
              </w:tc>
              <w:tc>
                <w:tcPr>
                  <w:tcW w:type="dxa" w:w="448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8"/>
                      <w:color w:val="000000"/>
                    </w:rPr>
                    <w:t>★1、处理器:CPU物理核心数≥8核，每颗CPU主频≥3.0GHz，所有核心智能频率可提升至≥3.3GHz，三级缓存≥16MB，支持超线程技术，TDP≤65W；支持内存的最高速率≥DDR4 3200MHz、通道数≥2和最大位宽≥128bit（CPU通过中国信息安全测评中心安全可控测评并在公告的名录范围内，安全可靠等级≥Ⅰ级）。【供应商在响应文件中载明台式计算机-主机响应产品的CPU信息，至少包含CPU型号、物理核心数、主频、末级缓存容量、线程数、热设计功耗及支持内存的最高速率、通道数和位宽】</w:t>
                  </w:r>
                </w:p>
                <w:p>
                  <w:pPr>
                    <w:pStyle w:val="null3"/>
                    <w:jc w:val="left"/>
                  </w:pPr>
                  <w:r>
                    <w:rPr>
                      <w:rFonts w:ascii="仿宋_GB2312" w:hAnsi="仿宋_GB2312" w:cs="仿宋_GB2312" w:eastAsia="仿宋_GB2312"/>
                      <w:sz w:val="28"/>
                      <w:color w:val="000000"/>
                    </w:rPr>
                    <w:t>★2、内存:≥16GB DDR4 内存，配置≥4个内存插槽;。</w:t>
                  </w:r>
                </w:p>
                <w:p>
                  <w:pPr>
                    <w:pStyle w:val="null3"/>
                    <w:jc w:val="left"/>
                  </w:pPr>
                  <w:r>
                    <w:rPr>
                      <w:rFonts w:ascii="仿宋_GB2312" w:hAnsi="仿宋_GB2312" w:cs="仿宋_GB2312" w:eastAsia="仿宋_GB2312"/>
                      <w:sz w:val="28"/>
                      <w:color w:val="000000"/>
                    </w:rPr>
                    <w:t>★3、显卡:≥2G独立显卡，支持VGA+HDMI视频输出显示。</w:t>
                  </w:r>
                </w:p>
                <w:p>
                  <w:pPr>
                    <w:pStyle w:val="null3"/>
                    <w:jc w:val="left"/>
                  </w:pPr>
                  <w:r>
                    <w:rPr>
                      <w:rFonts w:ascii="仿宋_GB2312" w:hAnsi="仿宋_GB2312" w:cs="仿宋_GB2312" w:eastAsia="仿宋_GB2312"/>
                      <w:sz w:val="28"/>
                      <w:color w:val="000000"/>
                    </w:rPr>
                    <w:t>★4、硬盘:≥512GB M.2接口NVME协议SSD。</w:t>
                  </w:r>
                </w:p>
                <w:p>
                  <w:pPr>
                    <w:pStyle w:val="null3"/>
                    <w:jc w:val="left"/>
                  </w:pPr>
                  <w:r>
                    <w:rPr>
                      <w:rFonts w:ascii="仿宋_GB2312" w:hAnsi="仿宋_GB2312" w:cs="仿宋_GB2312" w:eastAsia="仿宋_GB2312"/>
                      <w:sz w:val="28"/>
                      <w:color w:val="000000"/>
                    </w:rPr>
                    <w:t>★5、电源功率：≤200W。</w:t>
                  </w:r>
                </w:p>
                <w:p>
                  <w:pPr>
                    <w:pStyle w:val="null3"/>
                    <w:jc w:val="left"/>
                  </w:pPr>
                  <w:r>
                    <w:rPr>
                      <w:rFonts w:ascii="仿宋_GB2312" w:hAnsi="仿宋_GB2312" w:cs="仿宋_GB2312" w:eastAsia="仿宋_GB2312"/>
                      <w:sz w:val="28"/>
                      <w:color w:val="000000"/>
                    </w:rPr>
                    <w:t>★6、网络: 1个RJ45 10/100/1000兆自适应以太网口。</w:t>
                  </w:r>
                </w:p>
                <w:p>
                  <w:pPr>
                    <w:pStyle w:val="null3"/>
                    <w:jc w:val="left"/>
                  </w:pPr>
                  <w:r>
                    <w:rPr>
                      <w:rFonts w:ascii="仿宋_GB2312" w:hAnsi="仿宋_GB2312" w:cs="仿宋_GB2312" w:eastAsia="仿宋_GB2312"/>
                      <w:sz w:val="28"/>
                      <w:color w:val="000000"/>
                    </w:rPr>
                    <w:t>★7、接口扩展:≥1个PCIe x16，≥1个PCIe x8，≥1个PCIe x1扩展槽；USB接口：≥8个（其中前置USB3.0 ≥4个，后置USB3.0接口≥4个）；音频接口：前置麦克风≥1个，耳机≥1个；后端≥3个Audio音频接口；配套鼠标≥1个，键盘≥1个。</w:t>
                  </w:r>
                </w:p>
                <w:p>
                  <w:pPr>
                    <w:pStyle w:val="null3"/>
                    <w:jc w:val="left"/>
                  </w:pPr>
                  <w:r>
                    <w:rPr>
                      <w:rFonts w:ascii="仿宋_GB2312" w:hAnsi="仿宋_GB2312" w:cs="仿宋_GB2312" w:eastAsia="仿宋_GB2312"/>
                      <w:sz w:val="28"/>
                      <w:color w:val="000000"/>
                    </w:rPr>
                    <w:t>★8、机箱:≥13.6L，支持全高全长扩展卡。</w:t>
                  </w:r>
                </w:p>
                <w:p>
                  <w:pPr>
                    <w:pStyle w:val="null3"/>
                    <w:jc w:val="left"/>
                  </w:pPr>
                  <w:r>
                    <w:rPr>
                      <w:rFonts w:ascii="仿宋_GB2312" w:hAnsi="仿宋_GB2312" w:cs="仿宋_GB2312" w:eastAsia="仿宋_GB2312"/>
                      <w:sz w:val="28"/>
                      <w:color w:val="000000"/>
                    </w:rPr>
                    <w:t>★9、易用性：免工具拆卸机箱，不接受组装，产品可使用USB键盘组合键开机，产品接口具有功能标识。机箱前面板原生配置防尘网，阻隔灰尘（提供国家认可的第三方检测机构出具的检测报告扫描件并加盖投标人电子签章）。</w:t>
                  </w:r>
                </w:p>
                <w:p>
                  <w:pPr>
                    <w:pStyle w:val="null3"/>
                    <w:jc w:val="left"/>
                  </w:pPr>
                  <w:r>
                    <w:rPr>
                      <w:rFonts w:ascii="仿宋_GB2312" w:hAnsi="仿宋_GB2312" w:cs="仿宋_GB2312" w:eastAsia="仿宋_GB2312"/>
                      <w:sz w:val="28"/>
                      <w:color w:val="000000"/>
                    </w:rPr>
                    <w:t>★10、数据安全：当硬盘分区遭到破坏(使用fdisk工具删除或破坏分区)，导致系统无法启动情况下，可在不连接网络及外部存储（U盘、移动硬盘）情况下，使用基于安全区特性的备份恢复系统将主机恢复到可用状态；BIOS级USB屏蔽及智能USB数据保护：USB支持BIOS下全部接口一键开关，前后分组开关；针对存储设备支持全部USB接口一键切换禁止访问模式/只读模式（提供此功能截图并加盖投标人电子章）。</w:t>
                  </w:r>
                </w:p>
                <w:p>
                  <w:pPr>
                    <w:pStyle w:val="null3"/>
                    <w:jc w:val="left"/>
                  </w:pPr>
                  <w:r>
                    <w:rPr>
                      <w:rFonts w:ascii="仿宋_GB2312" w:hAnsi="仿宋_GB2312" w:cs="仿宋_GB2312" w:eastAsia="仿宋_GB2312"/>
                      <w:sz w:val="28"/>
                      <w:color w:val="000000"/>
                    </w:rPr>
                    <w:t>★11、主板规格：主板采用全固态电容，避免爆浆、漏液；（提供相关证明材料并加盖投标人电子章）。</w:t>
                  </w:r>
                </w:p>
                <w:p>
                  <w:pPr>
                    <w:pStyle w:val="null3"/>
                    <w:jc w:val="left"/>
                  </w:pPr>
                  <w:r>
                    <w:rPr>
                      <w:rFonts w:ascii="仿宋_GB2312" w:hAnsi="仿宋_GB2312" w:cs="仿宋_GB2312" w:eastAsia="仿宋_GB2312"/>
                      <w:sz w:val="28"/>
                      <w:color w:val="000000"/>
                    </w:rPr>
                    <w:t>★12、显示器：≥23.8寸显示器，分辨率≥1920*1080，刷新频率≥100Hz，对比度≥3000:1，接口：VGA≥1个，HDMI≥1个；</w:t>
                  </w:r>
                </w:p>
                <w:p>
                  <w:pPr>
                    <w:pStyle w:val="null3"/>
                    <w:jc w:val="left"/>
                  </w:pPr>
                  <w:r>
                    <w:rPr>
                      <w:rFonts w:ascii="仿宋_GB2312" w:hAnsi="仿宋_GB2312" w:cs="仿宋_GB2312" w:eastAsia="仿宋_GB2312"/>
                      <w:sz w:val="28"/>
                      <w:color w:val="000000"/>
                    </w:rPr>
                    <w:t>★13、操作系统产品需满足财政部、工业和信息化部发布的《操作系统政府采购需求标准（2023年版）》中对桌面操作系统政府采购需求标准的要求。通过中国信息安全测评中心和国家保密科技测评中心的安全可靠测评。</w:t>
                  </w:r>
                </w:p>
                <w:p>
                  <w:pPr>
                    <w:pStyle w:val="null3"/>
                    <w:jc w:val="left"/>
                  </w:pPr>
                  <w:r>
                    <w:rPr>
                      <w:rFonts w:ascii="仿宋_GB2312" w:hAnsi="仿宋_GB2312" w:cs="仿宋_GB2312" w:eastAsia="仿宋_GB2312"/>
                      <w:sz w:val="28"/>
                      <w:color w:val="000000"/>
                    </w:rPr>
                    <w:t>★14、其他要求：所投产品应符合财政部、工业和信息化部制定的《台式计算机政府采购需求标准(2023年版)》财库(2023)29号中规定的其他*内容；</w:t>
                  </w:r>
                </w:p>
                <w:p>
                  <w:pPr>
                    <w:pStyle w:val="null3"/>
                    <w:jc w:val="left"/>
                  </w:pPr>
                </w:p>
              </w:tc>
              <w:tc>
                <w:tcPr>
                  <w:tcW w:type="dxa" w:w="3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8"/>
                      <w:color w:val="000000"/>
                    </w:rPr>
                    <w:t>55</w:t>
                  </w:r>
                </w:p>
              </w:tc>
            </w:tr>
            <w:tr>
              <w:tc>
                <w:tcPr>
                  <w:tcW w:type="dxa" w:w="4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8"/>
                      <w:color w:val="000000"/>
                    </w:rPr>
                    <w:t>2</w:t>
                  </w:r>
                </w:p>
              </w:tc>
              <w:tc>
                <w:tcPr>
                  <w:tcW w:type="dxa" w:w="30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8"/>
                      <w:color w:val="000000"/>
                    </w:rPr>
                    <w:t>学生</w:t>
                  </w:r>
                  <w:r>
                    <w:rPr>
                      <w:rFonts w:ascii="仿宋_GB2312" w:hAnsi="仿宋_GB2312" w:cs="仿宋_GB2312" w:eastAsia="仿宋_GB2312"/>
                      <w:sz w:val="28"/>
                      <w:color w:val="000000"/>
                    </w:rPr>
                    <w:t>台式计算机</w:t>
                  </w:r>
                </w:p>
              </w:tc>
              <w:tc>
                <w:tcPr>
                  <w:tcW w:type="dxa" w:w="448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spacing w:before="225"/>
                    <w:ind w:right="75"/>
                    <w:jc w:val="both"/>
                  </w:pPr>
                  <w:r>
                    <w:rPr>
                      <w:rFonts w:ascii="仿宋_GB2312" w:hAnsi="仿宋_GB2312" w:cs="仿宋_GB2312" w:eastAsia="仿宋_GB2312"/>
                      <w:sz w:val="28"/>
                      <w:color w:val="000000"/>
                    </w:rPr>
                    <w:t>★1、处理器:CPU物理核心数≥8核，每颗CPU主频≥3.0GHz，所有核心智能频率可提升至≥3.3GHz，三级缓存≥16MB，支持超线程技术，TDP≤65W；支持内存的最高速率≥DDR4 3200MHz、通道数≥2和最大位宽≥128bit（CPU通过中国信息安全测评中心安全可控测评并在公告的名录范围内，安全可靠等级≥Ⅰ级）；【供应商在响应文件中载明台式计算机-主机响应产品的CPU信息，至少包含CPU型号、物理核心数、主频、末级缓存容量、线程数、热设计功耗及支持内存的最高速率、通道数和位宽】</w:t>
                  </w:r>
                </w:p>
                <w:p>
                  <w:pPr>
                    <w:pStyle w:val="null3"/>
                    <w:spacing w:before="225"/>
                    <w:ind w:right="75"/>
                    <w:jc w:val="both"/>
                  </w:pPr>
                  <w:r>
                    <w:rPr>
                      <w:rFonts w:ascii="仿宋_GB2312" w:hAnsi="仿宋_GB2312" w:cs="仿宋_GB2312" w:eastAsia="仿宋_GB2312"/>
                      <w:sz w:val="28"/>
                      <w:color w:val="000000"/>
                    </w:rPr>
                    <w:t>★2、内存:≥16GB DDR4内存，配置≥4个内存插槽;</w:t>
                  </w:r>
                </w:p>
                <w:p>
                  <w:pPr>
                    <w:pStyle w:val="null3"/>
                    <w:spacing w:before="225"/>
                    <w:ind w:right="75"/>
                    <w:jc w:val="both"/>
                  </w:pPr>
                  <w:r>
                    <w:rPr>
                      <w:rFonts w:ascii="仿宋_GB2312" w:hAnsi="仿宋_GB2312" w:cs="仿宋_GB2312" w:eastAsia="仿宋_GB2312"/>
                      <w:sz w:val="28"/>
                      <w:color w:val="000000"/>
                    </w:rPr>
                    <w:t>★3、显卡:≥2G独立显卡，支持VGA+HDMI视频输出显示；</w:t>
                  </w:r>
                </w:p>
                <w:p>
                  <w:pPr>
                    <w:pStyle w:val="null3"/>
                    <w:spacing w:before="225"/>
                    <w:ind w:right="75"/>
                    <w:jc w:val="both"/>
                  </w:pPr>
                  <w:r>
                    <w:rPr>
                      <w:rFonts w:ascii="仿宋_GB2312" w:hAnsi="仿宋_GB2312" w:cs="仿宋_GB2312" w:eastAsia="仿宋_GB2312"/>
                      <w:sz w:val="28"/>
                      <w:color w:val="000000"/>
                    </w:rPr>
                    <w:t xml:space="preserve">★4、硬盘:≥256GB M.2接口NVME协议SSD；  </w:t>
                  </w:r>
                </w:p>
                <w:p>
                  <w:pPr>
                    <w:pStyle w:val="null3"/>
                    <w:spacing w:before="225"/>
                    <w:ind w:right="75"/>
                    <w:jc w:val="both"/>
                  </w:pPr>
                  <w:r>
                    <w:rPr>
                      <w:rFonts w:ascii="仿宋_GB2312" w:hAnsi="仿宋_GB2312" w:cs="仿宋_GB2312" w:eastAsia="仿宋_GB2312"/>
                      <w:sz w:val="28"/>
                      <w:color w:val="000000"/>
                    </w:rPr>
                    <w:t>★5、电源功率：≤200W；</w:t>
                  </w:r>
                </w:p>
                <w:p>
                  <w:pPr>
                    <w:pStyle w:val="null3"/>
                    <w:spacing w:before="225"/>
                    <w:ind w:right="75"/>
                    <w:jc w:val="both"/>
                  </w:pPr>
                  <w:r>
                    <w:rPr>
                      <w:rFonts w:ascii="仿宋_GB2312" w:hAnsi="仿宋_GB2312" w:cs="仿宋_GB2312" w:eastAsia="仿宋_GB2312"/>
                      <w:sz w:val="28"/>
                      <w:color w:val="000000"/>
                    </w:rPr>
                    <w:t xml:space="preserve">★6、网络: 1个RJ45 10/100/1000兆自适应以太网口；  </w:t>
                  </w:r>
                </w:p>
                <w:p>
                  <w:pPr>
                    <w:pStyle w:val="null3"/>
                    <w:spacing w:before="225"/>
                    <w:ind w:right="75"/>
                    <w:jc w:val="both"/>
                  </w:pPr>
                  <w:r>
                    <w:rPr>
                      <w:rFonts w:ascii="仿宋_GB2312" w:hAnsi="仿宋_GB2312" w:cs="仿宋_GB2312" w:eastAsia="仿宋_GB2312"/>
                      <w:sz w:val="28"/>
                      <w:color w:val="000000"/>
                    </w:rPr>
                    <w:t>★7、接口扩展:≥1个PCIe x16，≥1个PCIe x8，≥1个PCIe x1扩展槽；USB接口：≥8个（其中前置USB3.0 ≥4个，后置USB3.0接口≥4个）；音频接口：前置麦克风≥1个，耳机≥1个；后端≥3个Audio音频接口；配套鼠标≥1个，键盘≥1个；</w:t>
                  </w:r>
                </w:p>
                <w:p>
                  <w:pPr>
                    <w:pStyle w:val="null3"/>
                    <w:spacing w:before="225"/>
                    <w:ind w:right="75"/>
                    <w:jc w:val="both"/>
                  </w:pPr>
                  <w:r>
                    <w:rPr>
                      <w:rFonts w:ascii="仿宋_GB2312" w:hAnsi="仿宋_GB2312" w:cs="仿宋_GB2312" w:eastAsia="仿宋_GB2312"/>
                      <w:sz w:val="28"/>
                      <w:color w:val="000000"/>
                    </w:rPr>
                    <w:t>★8、机箱:≥13.6L，支持全高全长扩展卡；</w:t>
                  </w:r>
                  <w:r>
                    <w:rPr>
                      <w:rFonts w:ascii="仿宋_GB2312" w:hAnsi="仿宋_GB2312" w:cs="仿宋_GB2312" w:eastAsia="仿宋_GB2312"/>
                      <w:sz w:val="28"/>
                      <w:color w:val="000000"/>
                    </w:rPr>
                    <w:t>含话筒耳机</w:t>
                  </w:r>
                </w:p>
                <w:p>
                  <w:pPr>
                    <w:pStyle w:val="null3"/>
                    <w:spacing w:before="225"/>
                    <w:ind w:right="75"/>
                    <w:jc w:val="both"/>
                  </w:pPr>
                  <w:r>
                    <w:rPr>
                      <w:rFonts w:ascii="仿宋_GB2312" w:hAnsi="仿宋_GB2312" w:cs="仿宋_GB2312" w:eastAsia="仿宋_GB2312"/>
                      <w:sz w:val="28"/>
                      <w:color w:val="000000"/>
                    </w:rPr>
                    <w:t>★9、易用性：免工具拆卸机箱，不接受组装，产品可使用USB键盘组合键开机，产品接口具有功能标识。机箱前面板原生配置防尘网，阻隔灰尘（提供国家认可的第三方检测机构出具的检测报告扫描件并加盖投标人电子章）。</w:t>
                  </w:r>
                </w:p>
                <w:p>
                  <w:pPr>
                    <w:pStyle w:val="null3"/>
                    <w:spacing w:before="225"/>
                    <w:ind w:right="75"/>
                    <w:jc w:val="both"/>
                  </w:pPr>
                  <w:r>
                    <w:rPr>
                      <w:rFonts w:ascii="仿宋_GB2312" w:hAnsi="仿宋_GB2312" w:cs="仿宋_GB2312" w:eastAsia="仿宋_GB2312"/>
                      <w:sz w:val="28"/>
                      <w:color w:val="000000"/>
                    </w:rPr>
                    <w:t>★10、数据安全：当硬盘分区遭到破坏(使用fdisk工具删除或破坏分区)，导致系统无法启动情况下，可在不连接网络及外部存储（U盘、移动硬盘）情况下，使用基于安全区特性的备份恢复系统将主机恢复到可用状态；BIOS级USB屏蔽及智能USB数据保护：USB支持BIOS下全部接口一键开关，前后分组开关；针对存储设备支持全部USB接口一键切换禁止访问模式/只读模式（提供此功能截图并加盖投标人电子章）。</w:t>
                  </w:r>
                </w:p>
                <w:p>
                  <w:pPr>
                    <w:pStyle w:val="null3"/>
                    <w:spacing w:before="225"/>
                    <w:ind w:right="75"/>
                    <w:jc w:val="both"/>
                  </w:pPr>
                  <w:r>
                    <w:rPr>
                      <w:rFonts w:ascii="仿宋_GB2312" w:hAnsi="仿宋_GB2312" w:cs="仿宋_GB2312" w:eastAsia="仿宋_GB2312"/>
                      <w:sz w:val="28"/>
                      <w:color w:val="000000"/>
                    </w:rPr>
                    <w:t>★11、主板规格：主板采用全固态电容，避免爆浆、漏液；（提供此功能截图并加盖投标人电子章）。</w:t>
                  </w:r>
                </w:p>
                <w:p>
                  <w:pPr>
                    <w:pStyle w:val="null3"/>
                    <w:spacing w:before="225"/>
                    <w:ind w:right="75"/>
                    <w:jc w:val="both"/>
                  </w:pPr>
                  <w:r>
                    <w:rPr>
                      <w:rFonts w:ascii="仿宋_GB2312" w:hAnsi="仿宋_GB2312" w:cs="仿宋_GB2312" w:eastAsia="仿宋_GB2312"/>
                      <w:sz w:val="28"/>
                      <w:color w:val="000000"/>
                    </w:rPr>
                    <w:t>★12、显示器：≥23.8寸显示器，与主机同品牌，分辨率≥1920*1080，刷新频率≥100Hz，对比度≥3000:1，接口：VGA≥1个，HDMI≥1个；</w:t>
                  </w:r>
                </w:p>
                <w:p>
                  <w:pPr>
                    <w:pStyle w:val="null3"/>
                    <w:spacing w:before="225"/>
                    <w:ind w:right="75"/>
                    <w:jc w:val="both"/>
                  </w:pPr>
                  <w:r>
                    <w:rPr>
                      <w:rFonts w:ascii="仿宋_GB2312" w:hAnsi="仿宋_GB2312" w:cs="仿宋_GB2312" w:eastAsia="仿宋_GB2312"/>
                      <w:sz w:val="28"/>
                      <w:color w:val="000000"/>
                    </w:rPr>
                    <w:t>★13、操作系统产品需满足财政部、工业和信息化部发布的《操作系统政府采购需求标准（2023年版）》中对桌面操作系统政府采购需求标准的要求。通过中国信息安全测评中心和国家保密科技测评中心的安全可靠测评。</w:t>
                  </w:r>
                </w:p>
                <w:p>
                  <w:pPr>
                    <w:pStyle w:val="null3"/>
                    <w:spacing w:before="225"/>
                    <w:ind w:right="75"/>
                    <w:jc w:val="both"/>
                  </w:pPr>
                  <w:r>
                    <w:rPr>
                      <w:rFonts w:ascii="仿宋_GB2312" w:hAnsi="仿宋_GB2312" w:cs="仿宋_GB2312" w:eastAsia="仿宋_GB2312"/>
                      <w:sz w:val="28"/>
                      <w:color w:val="000000"/>
                    </w:rPr>
                    <w:t>★14、其他要求：所投产品应符合财政部、工业和信息化部制定的《台式计算机政府采购需求标准(2023年版)》财库(2023)29号中规定的其他*内容；</w:t>
                  </w:r>
                </w:p>
                <w:p>
                  <w:pPr>
                    <w:pStyle w:val="null3"/>
                    <w:jc w:val="left"/>
                  </w:pPr>
                  <w:r>
                    <w:br/>
                  </w:r>
                  <w:r>
                    <w:rPr>
                      <w:rFonts w:ascii="仿宋_GB2312" w:hAnsi="仿宋_GB2312" w:cs="仿宋_GB2312" w:eastAsia="仿宋_GB2312"/>
                      <w:sz w:val="28"/>
                      <w:color w:val="000000"/>
                    </w:rPr>
                    <w:t>★15、机房管理软件：</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支持网络同传功能，可将发送端数据同步到所有接收端，对拷前可预设</w:t>
                  </w:r>
                  <w:r>
                    <w:rPr>
                      <w:rFonts w:ascii="仿宋_GB2312" w:hAnsi="仿宋_GB2312" w:cs="仿宋_GB2312" w:eastAsia="仿宋_GB2312"/>
                      <w:sz w:val="28"/>
                    </w:rPr>
                    <w:t>P2P、广播、组播、单播等对拷数据发送方式，根据网络状况预设全速、高速、快速、流畅等延时时间以及是否启用断点续传、数据加密传输功能，对拷过程中可实时查看当前对拷速度、当前对拷分区及大小、总剩余数据量、已用时间、剩余时间和所有参与对拷终端的详情，支持对终端进行智慧排序、IP分配、参数对拷等操作。（提供此功能操作界面截图并加盖投标人公章）。</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支持电子白板功能，可将教师机画面以全屏广播或窗口广播的方式同步到学生机桌面，白板可选择矩形、椭圆、箭头、直线、画笔等工具且各工具都支持选择不同颜色进行标注，支持插入文本等内容，同时有标注错误的内容可使用橡皮擦或马赛克工具进行抹除，方便教师对授课内容进行举例讲解。（提供此功能操作界面截图并加盖投标人公章）。</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支持网络影院功能，可进行全屏广播或窗口广播，支持等多种不同格式视频文件播放，实现多媒体高清教学，</w:t>
                  </w:r>
                  <w:r>
                    <w:rPr>
                      <w:rFonts w:ascii="仿宋_GB2312" w:hAnsi="仿宋_GB2312" w:cs="仿宋_GB2312" w:eastAsia="仿宋_GB2312"/>
                      <w:sz w:val="28"/>
                    </w:rPr>
                    <w:t>Windows系统下可根据不同的终端硬件配置选择FFMPEG解码器、DXVA2解码器多种不同的解码方式，确保广播效果。（提供此功能操作界面截图并加盖投标人公章）。</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支持收取作业功能，学生提交的作业可直接收取到默认目录或另存为自定义目录，收取成功后以弹窗形式告知老师接收成功，点击查看作业可直接跳转至收取目录下，支持自定义设置收取作业的默认目录，支持开启自动收取作业，开启后学生提交作业后无需老师手动点击收取作业，学生提交作业后将自动收取到指定目录，支持按班级模型收取作业，根据当前班级模型将作业分班级收取并存放在指定目录下。（提供此功能操作界面截图并加盖投标人公章）。</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支持在线考试功能，</w:t>
                  </w:r>
                  <w:r>
                    <w:rPr>
                      <w:rFonts w:ascii="仿宋_GB2312" w:hAnsi="仿宋_GB2312" w:cs="仿宋_GB2312" w:eastAsia="仿宋_GB2312"/>
                      <w:sz w:val="28"/>
                    </w:rPr>
                    <w:t>Windows系统下提供试卷编辑、下发试卷、开始考试、试卷查看、发送答案、试卷导出、停止考试等功能，题型包括选择题、判断题、填空题、问答题，提供平均分配、自定义分配、批量配分、设置考试时长等自定义内容；统信UOS或银河麒麟系统下提供题库管理、扩充题库、生成试卷、开始考试、结束考试、查看试卷等功能，可自定义添加或删除科目，涵盖单选题、多选题、对错题等题型，支持设置分数及试卷导出。（提供此功能操作界面截图并加盖投标人公章）。</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支持远程设置功能，教师可自主对学生端各个分区的还原策略（包括不还原、每次开机、定时、手动还原）、纯净模式（包括隐藏启动界面、隐藏系统信息、隐藏功能按钮）、启动设置（包括默认操作系统及延时）、密码等内容进行设置，</w:t>
                  </w:r>
                  <w:r>
                    <w:rPr>
                      <w:rFonts w:ascii="仿宋_GB2312" w:hAnsi="仿宋_GB2312" w:cs="仿宋_GB2312" w:eastAsia="仿宋_GB2312"/>
                      <w:sz w:val="28"/>
                    </w:rPr>
                    <w:t>Windows系统支持隐藏进度条，无需在终端逐台操作，快速完成桌面环境配置。（提供此功能操作界面截图并加盖投标人公章）。</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支持上课／下课功能，为了规范课堂教学秩序，且方便教师对设备锁定内容一键操作，可提前将学生机的锁定屏幕、锁定键鼠、锁定</w:t>
                  </w:r>
                  <w:r>
                    <w:rPr>
                      <w:rFonts w:ascii="仿宋_GB2312" w:hAnsi="仿宋_GB2312" w:cs="仿宋_GB2312" w:eastAsia="仿宋_GB2312"/>
                      <w:sz w:val="28"/>
                    </w:rPr>
                    <w:t>USB、锁定/禁用网络、黑屏肃静等内容根据所需设置为锁定状态，Windows系统下支持锁定光驱、禁用扬声器，点击上课则一键禁用以上设置的选项内容，进入上课模式确保教学秩序，无需再逐一设置，下课时一键解锁，清空所有预设，学生端恢复到上课前状态。（提供此功能操作界面截图并加盖投标人公章）。</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支持</w:t>
                  </w:r>
                  <w:r>
                    <w:rPr>
                      <w:rFonts w:ascii="仿宋_GB2312" w:hAnsi="仿宋_GB2312" w:cs="仿宋_GB2312" w:eastAsia="仿宋_GB2312"/>
                      <w:sz w:val="28"/>
                    </w:rPr>
                    <w:t>BIOS 底层管理，无需进入系统下即可完成对 硬盘分区新建、删除和编辑维护，及 IP 地址、ID信息、计算机名、管理密码信息的修改和关机重启操作。（提供此功能操作界面截图并加盖投标人公章）。</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9</w:t>
                  </w:r>
                  <w:r>
                    <w:rPr>
                      <w:rFonts w:ascii="仿宋_GB2312" w:hAnsi="仿宋_GB2312" w:cs="仿宋_GB2312" w:eastAsia="仿宋_GB2312"/>
                      <w:sz w:val="28"/>
                    </w:rPr>
                    <w:t>）</w:t>
                  </w:r>
                  <w:r>
                    <w:rPr>
                      <w:rFonts w:ascii="仿宋_GB2312" w:hAnsi="仿宋_GB2312" w:cs="仿宋_GB2312" w:eastAsia="仿宋_GB2312"/>
                      <w:sz w:val="28"/>
                    </w:rPr>
                    <w:t>支持</w:t>
                  </w:r>
                  <w:r>
                    <w:rPr>
                      <w:rFonts w:ascii="仿宋_GB2312" w:hAnsi="仿宋_GB2312" w:cs="仿宋_GB2312" w:eastAsia="仿宋_GB2312"/>
                      <w:sz w:val="28"/>
                    </w:rPr>
                    <w:t>Windows、统信UOS或银河麒麟系统下的广播教学、学生演示、网络影院、打开网页、收取作业、文件分发、电子点名、在线考试、屏幕录制等多种课堂教学功能。（提供此功能操作界面截图并加盖投标人公章）。</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w:t>
                  </w:r>
                  <w:r>
                    <w:rPr>
                      <w:rFonts w:ascii="仿宋_GB2312" w:hAnsi="仿宋_GB2312" w:cs="仿宋_GB2312" w:eastAsia="仿宋_GB2312"/>
                      <w:sz w:val="28"/>
                    </w:rPr>
                    <w:t>支持文件分发功能，可实时查看分发进度，支持自定义设置接收端收取文件的目标路径；在统信</w:t>
                  </w:r>
                  <w:r>
                    <w:rPr>
                      <w:rFonts w:ascii="仿宋_GB2312" w:hAnsi="仿宋_GB2312" w:cs="仿宋_GB2312" w:eastAsia="仿宋_GB2312"/>
                      <w:sz w:val="28"/>
                    </w:rPr>
                    <w:t>UOS或银河麒麟下，教师端可对单个、多个或全部学生端批量下发不同类型的文件，下发时可选择覆盖已存在的文件、仅传输、传输并用关联程序打开、传输并打开目标文件夹、传输并安装程序（软件分发）等不同操作。（提供此功能操作界面截图并加盖投标人公章）。</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11</w:t>
                  </w:r>
                  <w:r>
                    <w:rPr>
                      <w:rFonts w:ascii="仿宋_GB2312" w:hAnsi="仿宋_GB2312" w:cs="仿宋_GB2312" w:eastAsia="仿宋_GB2312"/>
                      <w:sz w:val="28"/>
                    </w:rPr>
                    <w:t>）</w:t>
                  </w:r>
                  <w:r>
                    <w:rPr>
                      <w:rFonts w:ascii="仿宋_GB2312" w:hAnsi="仿宋_GB2312" w:cs="仿宋_GB2312" w:eastAsia="仿宋_GB2312"/>
                      <w:sz w:val="28"/>
                    </w:rPr>
                    <w:t>支持一键抢答功能，抢答界面统计当前在线学生总数、已抢答数、未抢答数，抢答列表可查看学生姓名、</w:t>
                  </w:r>
                  <w:r>
                    <w:rPr>
                      <w:rFonts w:ascii="仿宋_GB2312" w:hAnsi="仿宋_GB2312" w:cs="仿宋_GB2312" w:eastAsia="仿宋_GB2312"/>
                      <w:sz w:val="28"/>
                    </w:rPr>
                    <w:t>IP地址、抢答排序、状态等信息，支持设置抢答倒计时，多个学生抢答时教师可设置允许发言，支持清除当前抢答排序。（提供此功能操作界面截图并加盖投标人公章）。</w:t>
                  </w:r>
                </w:p>
                <w:p>
                  <w:pPr>
                    <w:pStyle w:val="null3"/>
                    <w:jc w:val="left"/>
                  </w:pPr>
                </w:p>
              </w:tc>
              <w:tc>
                <w:tcPr>
                  <w:tcW w:type="dxa" w:w="38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8"/>
                      <w:color w:val="000000"/>
                    </w:rPr>
                    <w:t>123</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p>
            <w:pPr>
              <w:pStyle w:val="null3"/>
              <w:spacing w:before="105" w:after="105"/>
              <w:ind w:firstLine="480"/>
              <w:jc w:val="left"/>
            </w:pPr>
            <w:r>
              <w:rPr>
                <w:rFonts w:ascii="仿宋_GB2312" w:hAnsi="仿宋_GB2312" w:cs="仿宋_GB2312" w:eastAsia="仿宋_GB2312"/>
                <w:sz w:val="28"/>
                <w:color w:val="000000"/>
              </w:rPr>
              <w:t>1、因系统固化原因，本章“3.1采购内容”中“标的名称”、“数量（计量单位）”不适用于本项目，“标的名称”、“数量（计量单位）”以“采购清单”中“标的名称”、“数量（计量单位）”为准。供应商在编制《中小企业声明函》时须按此章“采购清单”中标的名称进行填写。</w:t>
            </w:r>
          </w:p>
          <w:p>
            <w:pPr>
              <w:pStyle w:val="null3"/>
              <w:spacing w:before="105" w:after="105"/>
              <w:ind w:firstLine="480"/>
              <w:jc w:val="left"/>
            </w:pPr>
            <w:r>
              <w:rPr>
                <w:rFonts w:ascii="仿宋_GB2312" w:hAnsi="仿宋_GB2312" w:cs="仿宋_GB2312" w:eastAsia="仿宋_GB2312"/>
                <w:sz w:val="28"/>
                <w:color w:val="000000"/>
              </w:rPr>
              <w:t>2、因系统固化原因，本章“3.1采购内容”中“是否核心产品”不适用于本采购包，本采购包“核心产品”为：</w:t>
            </w:r>
            <w:r>
              <w:rPr>
                <w:rFonts w:ascii="仿宋_GB2312" w:hAnsi="仿宋_GB2312" w:cs="仿宋_GB2312" w:eastAsia="仿宋_GB2312"/>
                <w:sz w:val="28"/>
                <w:color w:val="000000"/>
              </w:rPr>
              <w:t>教师台式计算机</w:t>
            </w:r>
            <w:r>
              <w:rPr>
                <w:rFonts w:ascii="仿宋_GB2312" w:hAnsi="仿宋_GB2312" w:cs="仿宋_GB2312" w:eastAsia="仿宋_GB2312"/>
                <w:sz w:val="28"/>
                <w:color w:val="000000"/>
              </w:rPr>
              <w:t>、学生台式计算机</w:t>
            </w:r>
            <w:r>
              <w:rPr>
                <w:rFonts w:ascii="仿宋_GB2312" w:hAnsi="仿宋_GB2312" w:cs="仿宋_GB2312" w:eastAsia="仿宋_GB2312"/>
                <w:sz w:val="28"/>
                <w:color w:val="000000"/>
              </w:rPr>
              <w:t>。</w:t>
            </w:r>
          </w:p>
          <w:tbl>
            <w:tblPr>
              <w:tblInd w:type="dxa" w:w="210"/>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序号</w:t>
                  </w:r>
                </w:p>
              </w:tc>
              <w:tc>
                <w:tcPr>
                  <w:tcW w:type="dxa" w:w="14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标的名称</w:t>
                  </w:r>
                </w:p>
              </w:tc>
              <w:tc>
                <w:tcPr>
                  <w:tcW w:type="dxa" w:w="14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color w:val="000000"/>
                    </w:rPr>
                    <w:t>数量（计量单位）</w:t>
                  </w:r>
                </w:p>
              </w:tc>
              <w:tc>
                <w:tcPr>
                  <w:tcW w:type="dxa" w:w="14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所属行业</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1</w:t>
                  </w:r>
                </w:p>
              </w:tc>
              <w:tc>
                <w:tcPr>
                  <w:tcW w:type="dxa" w:w="14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8"/>
                      <w:color w:val="000000"/>
                    </w:rPr>
                    <w:t>教师台式计算机</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55</w:t>
                  </w:r>
                  <w:r>
                    <w:rPr>
                      <w:rFonts w:ascii="仿宋_GB2312" w:hAnsi="仿宋_GB2312" w:cs="仿宋_GB2312" w:eastAsia="仿宋_GB2312"/>
                      <w:sz w:val="28"/>
                    </w:rPr>
                    <w:t>（台）</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工业</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2</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br/>
                  </w:r>
                  <w:r>
                    <w:rPr>
                      <w:rFonts w:ascii="仿宋_GB2312" w:hAnsi="仿宋_GB2312" w:cs="仿宋_GB2312" w:eastAsia="仿宋_GB2312"/>
                      <w:sz w:val="28"/>
                    </w:rPr>
                    <w:t>学生台式计算机</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1</w:t>
                  </w:r>
                  <w:r>
                    <w:rPr>
                      <w:rFonts w:ascii="仿宋_GB2312" w:hAnsi="仿宋_GB2312" w:cs="仿宋_GB2312" w:eastAsia="仿宋_GB2312"/>
                      <w:sz w:val="28"/>
                    </w:rPr>
                    <w:t xml:space="preserve">23 </w:t>
                  </w:r>
                  <w:r>
                    <w:rPr>
                      <w:rFonts w:ascii="仿宋_GB2312" w:hAnsi="仿宋_GB2312" w:cs="仿宋_GB2312" w:eastAsia="仿宋_GB2312"/>
                      <w:sz w:val="28"/>
                    </w:rPr>
                    <w:t>(台）</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工业</w:t>
                  </w:r>
                </w:p>
              </w:tc>
            </w:tr>
          </w:tbl>
          <w:p>
            <w:pPr>
              <w:pStyle w:val="null3"/>
              <w:jc w:val="both"/>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自合同签订之日起30个工作日内完成供货及安装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成都东部新区养马高级中学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自定义付款条件：签订合同后，货物安装调试完毕并验收之后。达到该付款条件起7个工作日内，支付合同总金额的100.0%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内容详见2.6.6履约验收方案</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产品质保3年，质保期内提供上门安装、保修服务，同一产品因同一质量问题两次维修仍无法正常使用，需更换新产品。质保期外产品的更换、维修只收取成本费，免收人工技术费用</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1.乙方逾期交付货物的，每逾期一天，应按逾期交货总额的1‰作为违约金支付给甲方，由甲方从待付货款中扣除。逾期超过约定日期30个工作日不能交货的，甲方可解除本合同。乙方因逾期交货或因其他违约行为导致甲方解除合同的，乙方应向甲方支付合同总值10‰的违约金，如造成甲方损失超过违约金的，超出部分由乙方继续承担赔偿责任。 2.乙方所交的货物品种、型号、规格、技术参数、质量不符合合同规定及征集文件规定标准的，甲方有权拒收该货物，乙方愿意更换货物但逾期交货的，按乙方逾期交货处理。乙方拒绝更换货 物的，甲方可单方面解除合同。 3.乙方将货物送达交货地点并安装调试合格后3个工作日内进行验收。甲方无正当理由拒收货物 的，甲方向乙方偿付拒收货款总值10‰的违约金。 4.若甲方未按照合同约定逾期向乙方支付货物费用，每逾期一天，按应支付金额的1‰作为违约 金支付给乙方，直至实际支付之日。 （二）、解决纠纷方式 因本合同引起的争议，甲乙双方应友好协商解决。若甲乙双方不能解决争议，任意一方可发起纠 纷处理流程，由征集人进行协调。协调不能达成一致的，按照民法典规定申请仲裁、诉讼等方式进行处理。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①供应商若为企业法人：提供“统一社会信用代码营业执照”；②若为事业法人：提供“统一社会信用代码法人登记证书”；③若为其他组织：提供“对应主管部门颁发的准许执业证明文件或营业执照”；④若为自然人：提供“身份证明文件”。以上提供扫描件。以上材料需在项目电子化交易系统中按要求进行电子签章。 （2）供应商需在使用投标(响应)客户端编制响应文件时，按要求填写《投标（响应）函》完成承诺并进行电子签章。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满足采购文件实质性要求</w:t>
            </w:r>
          </w:p>
        </w:tc>
        <w:tc>
          <w:tcPr>
            <w:tcW w:type="dxa" w:w="3322"/>
          </w:tcPr>
          <w:p>
            <w:pPr>
              <w:pStyle w:val="null3"/>
              <w:jc w:val="left"/>
            </w:pPr>
            <w:r>
              <w:rPr>
                <w:rFonts w:ascii="仿宋_GB2312" w:hAnsi="仿宋_GB2312" w:cs="仿宋_GB2312" w:eastAsia="仿宋_GB2312"/>
              </w:rPr>
              <w:t>提供满足采购文件实质性要求的证明材料。（注：除采购文件中明确要求进行响应或承诺或提供证明材料的实质性要求外，对于其他实质性要求，供应商在《投标（响应）函》中以“我单位完全接受和理解本项目采购文件规定的实质性要求。”进行承诺即视为响应。）</w:t>
            </w:r>
          </w:p>
        </w:tc>
        <w:tc>
          <w:tcPr>
            <w:tcW w:type="dxa" w:w="1661"/>
          </w:tcPr>
          <w:p>
            <w:pPr>
              <w:pStyle w:val="null3"/>
              <w:jc w:val="left"/>
            </w:pPr>
            <w:r>
              <w:rPr>
                <w:rFonts w:ascii="仿宋_GB2312" w:hAnsi="仿宋_GB2312" w:cs="仿宋_GB2312" w:eastAsia="仿宋_GB2312"/>
              </w:rPr>
              <w:t>响应文件封面,产品技术参数响应表,供应商应提交的相关证明材料,关于符合本国产品标准的声明函,服务应答表,报价表,投标（响应）函,技术要求应答表.docx,其他资料及相关说明等.docx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详见附件：其他资料及相关说明等.docx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