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440001-2026-31698</w:t>
      </w:r>
    </w:p>
    <w:p>
      <w:pPr>
        <w:pStyle w:val="null3"/>
        <w:jc w:val="center"/>
        <w:outlineLvl w:val="3"/>
      </w:pPr>
      <w:r>
        <w:rPr>
          <w:sz w:val="24"/>
          <w:b/>
        </w:rPr>
        <w:t>采购项目编号：</w:t>
      </w:r>
      <w:r>
        <w:rPr>
          <w:sz w:val="24"/>
          <w:b/>
        </w:rPr>
        <w:t>M4400000707539044001</w:t>
      </w:r>
    </w:p>
    <w:p>
      <w:pPr>
        <w:pStyle w:val="null3"/>
        <w:jc w:val="center"/>
        <w:outlineLvl w:val="3"/>
      </w:pPr>
      <w:r>
        <w:rPr>
          <w:sz w:val="24"/>
          <w:b/>
        </w:rPr>
        <w:t>项目名称：</w:t>
      </w:r>
      <w:r>
        <w:rPr>
          <w:sz w:val="24"/>
          <w:b/>
        </w:rPr>
        <w:t>南方医科大学珠江医院计算机网络零星服务项目</w:t>
      </w:r>
    </w:p>
    <w:p>
      <w:pPr>
        <w:pStyle w:val="null3"/>
        <w:jc w:val="center"/>
        <w:outlineLvl w:val="3"/>
      </w:pPr>
      <w:r>
        <w:rPr>
          <w:sz w:val="24"/>
          <w:b/>
        </w:rPr>
        <w:t>采购人：</w:t>
      </w:r>
      <w:r>
        <w:rPr>
          <w:sz w:val="24"/>
          <w:b/>
        </w:rPr>
        <w:t>南方医科大学珠江医院</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广东省机电设备招标有限公司</w:t>
      </w:r>
      <w:r>
        <w:rPr/>
        <w:t>受</w:t>
      </w:r>
      <w:r>
        <w:rPr/>
        <w:t>南方医科大学珠江医院</w:t>
      </w:r>
      <w:r>
        <w:rPr/>
        <w:t>的委托，采用</w:t>
      </w:r>
      <w:r>
        <w:rPr/>
        <w:t>公开招标</w:t>
      </w:r>
      <w:r>
        <w:rPr/>
        <w:t>方式组织采购</w:t>
      </w:r>
      <w:r>
        <w:rPr/>
        <w:t>南方医科大学珠江医院计算机网络零星服务项目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南方医科大学珠江医院计算机网络零星服务项目</w:t>
      </w:r>
    </w:p>
    <w:p>
      <w:pPr>
        <w:pStyle w:val="null3"/>
        <w:ind w:firstLine="480"/>
      </w:pPr>
      <w:r>
        <w:rPr/>
        <w:t>采购计划编号：</w:t>
      </w:r>
      <w:r>
        <w:rPr/>
        <w:t>440001-2026-31698</w:t>
      </w:r>
    </w:p>
    <w:p>
      <w:pPr>
        <w:pStyle w:val="null3"/>
        <w:ind w:firstLine="480"/>
      </w:pPr>
      <w:r>
        <w:rPr/>
        <w:t>采购项目编号：</w:t>
      </w:r>
      <w:r>
        <w:rPr/>
        <w:t>M4400000707539044001</w:t>
      </w:r>
    </w:p>
    <w:p>
      <w:pPr>
        <w:pStyle w:val="null3"/>
        <w:ind w:firstLine="480"/>
      </w:pPr>
      <w:r>
        <w:rPr/>
        <w:t>采购方式：</w:t>
      </w:r>
      <w:r>
        <w:rPr/>
        <w:t>公开招标</w:t>
      </w:r>
    </w:p>
    <w:p>
      <w:pPr>
        <w:pStyle w:val="null3"/>
        <w:ind w:firstLine="480"/>
      </w:pPr>
      <w:r>
        <w:rPr/>
        <w:t>预算金额：</w:t>
      </w:r>
      <w:r>
        <w:rPr/>
        <w:t>2,901,000.00</w:t>
      </w:r>
      <w:r>
        <w:rPr/>
        <w:t>元</w:t>
      </w:r>
    </w:p>
    <w:p>
      <w:pPr>
        <w:pStyle w:val="null3"/>
        <w:outlineLvl w:val="3"/>
      </w:pPr>
      <w:r>
        <w:rPr>
          <w:sz w:val="24"/>
          <w:b/>
        </w:rPr>
        <w:t>2.项目内容及需求情况（采购项目技术规格、参数及要求）</w:t>
      </w:r>
    </w:p>
    <w:p>
      <w:pPr>
        <w:pStyle w:val="null3"/>
      </w:pPr>
      <w:r>
        <w:rPr/>
        <w:t>采购包1(南方医科大学珠江医院计算机网络零星服务项目):</w:t>
      </w:r>
    </w:p>
    <w:p>
      <w:pPr>
        <w:pStyle w:val="null3"/>
      </w:pPr>
      <w:r>
        <w:rPr/>
        <w:t>采购包预算金额：2,901,000.00元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硬件集成实施服务</w:t>
            </w:r>
          </w:p>
        </w:tc>
        <w:tc>
          <w:tcPr>
            <w:tcW w:type="dxa" w:w="2136"/>
          </w:tcPr>
          <w:p>
            <w:pPr>
              <w:pStyle w:val="null3"/>
            </w:pPr>
            <w:r>
              <w:rPr/>
              <w:t>南方医科大学珠江医院计算机网络零星服务项目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或2025年的年度财务报表(新成立不足一年的公司提供成立至今的月或季度财务报表复印件)或由基本开户行出具的资信证明）</w:t>
      </w:r>
    </w:p>
    <w:p>
      <w:pPr>
        <w:pStyle w:val="null3"/>
      </w:pPr>
      <w:r>
        <w:rPr/>
        <w:t>4）履行合同所必需的设备和专业技术能力：提供履行合同所必需的设备和专业技术能力的证明材料或提供承诺函（格式自拟）。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采购包1（南方医科大学珠江医院计算机网络零星服务项目）：</w:t>
      </w:r>
      <w:r>
        <w:rPr/>
        <w:t>本采购包非专门面向中小企业采购。</w:t>
      </w:r>
    </w:p>
    <w:p>
      <w:pPr>
        <w:pStyle w:val="null3"/>
        <w:outlineLvl w:val="3"/>
      </w:pPr>
      <w:r>
        <w:rPr>
          <w:sz w:val="24"/>
          <w:b/>
        </w:rPr>
        <w:t>3.本项目特定的资格要求：</w:t>
      </w:r>
    </w:p>
    <w:p>
      <w:pPr>
        <w:pStyle w:val="null3"/>
      </w:pPr>
      <w:r>
        <w:rPr/>
        <w:t>采购包1（南方医科大学珠江医院计算机网络零星服务项目）：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3)本项目不接受联合投标人投标；不接受投标人项目分包；不接受投标人由外公司挂靠承包（提供承诺函，格式自拟）。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南方医科大学珠江医院</w:t>
      </w:r>
    </w:p>
    <w:p>
      <w:pPr>
        <w:pStyle w:val="null3"/>
        <w:ind w:firstLine="480"/>
      </w:pPr>
      <w:r>
        <w:rPr/>
        <w:t xml:space="preserve"> 地址：</w:t>
      </w:r>
      <w:r>
        <w:rPr/>
        <w:t>广州市工业大道中253号</w:t>
      </w:r>
    </w:p>
    <w:p>
      <w:pPr>
        <w:pStyle w:val="null3"/>
        <w:ind w:firstLine="480"/>
      </w:pPr>
      <w:r>
        <w:rPr/>
        <w:t xml:space="preserve"> 联系方式：</w:t>
      </w:r>
      <w:r>
        <w:rPr/>
        <w:t>020-61643108</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广州市越秀区环市中路316号金鹰大厦9楼</w:t>
      </w:r>
    </w:p>
    <w:p>
      <w:pPr>
        <w:pStyle w:val="null3"/>
        <w:ind w:firstLine="480"/>
      </w:pPr>
      <w:r>
        <w:rPr/>
        <w:t xml:space="preserve"> 联系方式：</w:t>
      </w:r>
      <w:r>
        <w:rPr/>
        <w:t>020-83543065</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020-83543065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21"/>
          <w:b/>
        </w:rPr>
        <w:t>1、项目概述</w:t>
      </w:r>
    </w:p>
    <w:p>
      <w:pPr>
        <w:pStyle w:val="null3"/>
        <w:ind w:firstLine="420"/>
        <w:jc w:val="both"/>
      </w:pPr>
      <w:r>
        <w:rPr>
          <w:sz w:val="21"/>
        </w:rPr>
        <w:t>项目名称：南方医科大学珠江医院计算机网络零星服务项目</w:t>
      </w:r>
    </w:p>
    <w:p>
      <w:pPr>
        <w:pStyle w:val="null3"/>
        <w:ind w:firstLine="420"/>
        <w:jc w:val="both"/>
      </w:pPr>
      <w:r>
        <w:rPr>
          <w:sz w:val="21"/>
        </w:rPr>
        <w:t>项目地点：广州市海珠区工业大道中</w:t>
      </w:r>
      <w:r>
        <w:rPr>
          <w:sz w:val="21"/>
        </w:rPr>
        <w:t>253号珠江医院院区</w:t>
      </w:r>
    </w:p>
    <w:p>
      <w:pPr>
        <w:pStyle w:val="null3"/>
        <w:ind w:firstLine="420"/>
        <w:jc w:val="both"/>
      </w:pPr>
      <w:r>
        <w:rPr>
          <w:sz w:val="21"/>
        </w:rPr>
        <w:t>现场情况：南方医科大学珠江医院院区有门诊楼、住院楼、侨楼、体检楼、旧侨楼、医研综合楼等建筑。其中门诊楼、住院楼和侨楼于</w:t>
      </w:r>
      <w:r>
        <w:rPr>
          <w:sz w:val="21"/>
        </w:rPr>
        <w:t>2007年启用，楼宇规划建设时已经完成信息点的铺设。体检楼、旧侨楼、医研综合楼于1998年完成信息点的铺设。楼层间弱电机房负责各楼层信息点，层间弱电机房铺设光缆至汇聚机房。现有的网络布线是采用康普六类系统，网络设备全线采用锐捷网络产品。</w:t>
      </w:r>
    </w:p>
    <w:p>
      <w:pPr>
        <w:pStyle w:val="null3"/>
        <w:ind w:firstLine="420"/>
        <w:jc w:val="both"/>
      </w:pPr>
      <w:r>
        <w:rPr>
          <w:sz w:val="21"/>
        </w:rPr>
        <w:t>南方医科大学珠江医院随着业务高速发展，带来大量科室用房的调整和装修改建，最近有不少新的改建项目，因此产生大量的线路迁移、新增的网络零星服务需求。现拟选取一家中标公司负责</w:t>
      </w:r>
      <w:r>
        <w:rPr>
          <w:sz w:val="21"/>
        </w:rPr>
        <w:t>提供各类网络设备的安装、集成实施服务、联合运行调试及综合优化</w:t>
      </w:r>
      <w:r>
        <w:rPr>
          <w:sz w:val="21"/>
        </w:rPr>
        <w:t>。</w:t>
      </w:r>
    </w:p>
    <w:p>
      <w:pPr>
        <w:pStyle w:val="null3"/>
        <w:jc w:val="both"/>
        <w:outlineLvl w:val="2"/>
      </w:pPr>
      <w:r>
        <w:rPr>
          <w:sz w:val="21"/>
          <w:b/>
        </w:rPr>
        <w:t>2、网络零星服务内容</w:t>
      </w:r>
    </w:p>
    <w:p>
      <w:pPr>
        <w:pStyle w:val="null3"/>
        <w:jc w:val="both"/>
        <w:outlineLvl w:val="3"/>
      </w:pPr>
      <w:r>
        <w:rPr>
          <w:sz w:val="21"/>
          <w:b/>
          <w:color w:val="000000"/>
        </w:rPr>
        <w:t>2.1网络</w:t>
      </w:r>
      <w:r>
        <w:rPr>
          <w:sz w:val="21"/>
          <w:b/>
          <w:color w:val="000000"/>
        </w:rPr>
        <w:t>零星服务</w:t>
      </w:r>
    </w:p>
    <w:p>
      <w:pPr>
        <w:pStyle w:val="null3"/>
        <w:jc w:val="both"/>
      </w:pPr>
      <w:r>
        <w:rPr>
          <w:sz w:val="21"/>
        </w:rPr>
        <w:t>（</w:t>
      </w:r>
      <w:r>
        <w:rPr>
          <w:sz w:val="21"/>
        </w:rPr>
        <w:t>1）本项目服务期为三年，以结算金额达到合同总金额或服务期达到三年为终止时间。</w:t>
      </w:r>
    </w:p>
    <w:p>
      <w:pPr>
        <w:pStyle w:val="null3"/>
        <w:jc w:val="both"/>
      </w:pPr>
      <w:r>
        <w:rPr>
          <w:sz w:val="21"/>
        </w:rPr>
        <w:t>（</w:t>
      </w:r>
      <w:r>
        <w:rPr>
          <w:sz w:val="21"/>
        </w:rPr>
        <w:t>2）中标公司对医院所有新增或迁移的网络进行现场勘察，合理规划好线路走向和布线方式，提交工程方案、费用预算给医院相应科室审批。</w:t>
      </w:r>
    </w:p>
    <w:p>
      <w:pPr>
        <w:pStyle w:val="null3"/>
        <w:jc w:val="both"/>
      </w:pPr>
      <w:r>
        <w:rPr>
          <w:sz w:val="21"/>
        </w:rPr>
        <w:t>（</w:t>
      </w:r>
      <w:r>
        <w:rPr>
          <w:sz w:val="21"/>
        </w:rPr>
        <w:t>3）医院审批过后，根据工程方案，在不影响医院正常业务的前提下，实施工程。</w:t>
      </w:r>
    </w:p>
    <w:p>
      <w:pPr>
        <w:pStyle w:val="null3"/>
        <w:jc w:val="both"/>
      </w:pPr>
      <w:r>
        <w:rPr>
          <w:sz w:val="21"/>
        </w:rPr>
        <w:t>（</w:t>
      </w:r>
      <w:r>
        <w:rPr>
          <w:sz w:val="21"/>
        </w:rPr>
        <w:t>4）工程实施完成后，提交工程竣工文档，包括竣工图，测试报告，对应表等。</w:t>
      </w:r>
    </w:p>
    <w:p>
      <w:pPr>
        <w:pStyle w:val="null3"/>
        <w:jc w:val="both"/>
        <w:outlineLvl w:val="3"/>
      </w:pPr>
      <w:r>
        <w:rPr>
          <w:sz w:val="21"/>
          <w:b/>
          <w:color w:val="000000"/>
        </w:rPr>
        <w:t>2.2</w:t>
      </w:r>
      <w:r>
        <w:rPr>
          <w:sz w:val="21"/>
          <w:b/>
          <w:color w:val="000000"/>
        </w:rPr>
        <w:t>网络设备接入服务</w:t>
      </w:r>
    </w:p>
    <w:p>
      <w:pPr>
        <w:pStyle w:val="null3"/>
        <w:ind w:firstLine="210"/>
        <w:jc w:val="both"/>
      </w:pPr>
      <w:r>
        <w:rPr>
          <w:sz w:val="21"/>
        </w:rPr>
        <w:t>（</w:t>
      </w:r>
      <w:r>
        <w:rPr>
          <w:sz w:val="21"/>
        </w:rPr>
        <w:t>1）</w:t>
      </w:r>
      <w:r>
        <w:rPr>
          <w:sz w:val="21"/>
        </w:rPr>
        <w:t>中标公司</w:t>
      </w:r>
      <w:r>
        <w:rPr>
          <w:sz w:val="21"/>
        </w:rPr>
        <w:t>对新增或调整网络所需相应增加的接入级网络设备，负责采购、安装及调试开通，并提供相应的设备维保服务。</w:t>
      </w:r>
    </w:p>
    <w:p>
      <w:pPr>
        <w:pStyle w:val="null3"/>
        <w:ind w:firstLine="210"/>
        <w:jc w:val="both"/>
      </w:pPr>
      <w:r>
        <w:rPr>
          <w:sz w:val="21"/>
        </w:rPr>
        <w:t>（</w:t>
      </w:r>
      <w:r>
        <w:rPr>
          <w:sz w:val="21"/>
        </w:rPr>
        <w:t>2）</w:t>
      </w:r>
      <w:r>
        <w:rPr>
          <w:sz w:val="21"/>
        </w:rPr>
        <w:t>主动的预防服务要求</w:t>
      </w:r>
    </w:p>
    <w:p>
      <w:pPr>
        <w:pStyle w:val="null3"/>
        <w:ind w:firstLine="420"/>
        <w:jc w:val="both"/>
      </w:pPr>
      <w:r>
        <w:rPr>
          <w:sz w:val="21"/>
        </w:rPr>
        <w:t>中标公司对接入级设备及网络线路进行安全巡检，提交巡检报告，并对发现的故障隐患提出合理化建议及改进方案。</w:t>
      </w:r>
    </w:p>
    <w:p>
      <w:pPr>
        <w:pStyle w:val="null3"/>
        <w:ind w:firstLine="319"/>
        <w:jc w:val="both"/>
      </w:pPr>
      <w:r>
        <w:rPr>
          <w:sz w:val="21"/>
        </w:rPr>
        <w:t>（</w:t>
      </w:r>
      <w:r>
        <w:rPr>
          <w:sz w:val="21"/>
        </w:rPr>
        <w:t>3）配合处理网络故障</w:t>
      </w:r>
      <w:r>
        <w:rPr>
          <w:sz w:val="21"/>
        </w:rPr>
        <w:t>服务要求</w:t>
      </w:r>
    </w:p>
    <w:p>
      <w:pPr>
        <w:pStyle w:val="null3"/>
        <w:ind w:firstLine="319"/>
        <w:jc w:val="both"/>
      </w:pPr>
      <w:r>
        <w:rPr>
          <w:sz w:val="21"/>
        </w:rPr>
        <w:t xml:space="preserve">  </w:t>
      </w:r>
      <w:r>
        <w:rPr>
          <w:sz w:val="21"/>
        </w:rPr>
        <w:t>中标公司驻场人员需配合信息科工程师处理接入层网络故障，负责辅助排查故障原因及修复工作。</w:t>
      </w:r>
    </w:p>
    <w:p>
      <w:pPr>
        <w:pStyle w:val="null3"/>
        <w:jc w:val="both"/>
        <w:outlineLvl w:val="2"/>
      </w:pPr>
      <w:r>
        <w:rPr>
          <w:sz w:val="21"/>
          <w:b/>
        </w:rPr>
        <w:t>3、网络零星服务需求</w:t>
      </w:r>
    </w:p>
    <w:p>
      <w:pPr>
        <w:pStyle w:val="null3"/>
        <w:ind w:left="420"/>
      </w:pPr>
      <w:r>
        <w:rPr>
          <w:sz w:val="21"/>
          <w:b/>
        </w:rPr>
        <w:t>3、1</w:t>
      </w:r>
      <w:r>
        <w:rPr>
          <w:sz w:val="21"/>
          <w:b/>
        </w:rPr>
        <w:t>网络零星服务清单</w:t>
      </w:r>
    </w:p>
    <w:p>
      <w:pPr>
        <w:pStyle w:val="null3"/>
        <w:ind w:firstLine="420"/>
        <w:jc w:val="both"/>
      </w:pPr>
      <w:r>
        <w:rPr>
          <w:sz w:val="21"/>
        </w:rPr>
        <w:t>网络零星服务清单</w:t>
      </w:r>
    </w:p>
    <w:tbl>
      <w:tblPr>
        <w:tblW w:w="0" w:type="auto"/>
        <w:tblBorders>
          <w:top w:val="none" w:color="000000" w:sz="4"/>
          <w:left w:val="none" w:color="000000" w:sz="4"/>
          <w:bottom w:val="none" w:color="000000" w:sz="4"/>
          <w:right w:val="none" w:color="000000" w:sz="4"/>
          <w:insideH w:val="none"/>
          <w:insideV w:val="none"/>
        </w:tblBorders>
      </w:tblPr>
      <w:tblGrid>
        <w:gridCol w:w="571"/>
        <w:gridCol w:w="3216"/>
        <w:gridCol w:w="700"/>
        <w:gridCol w:w="700"/>
        <w:gridCol w:w="700"/>
        <w:gridCol w:w="1057"/>
        <w:gridCol w:w="1300"/>
      </w:tblGrid>
      <w:tr>
        <w:tc>
          <w:tcPr>
            <w:tcW w:type="dxa" w:w="8244"/>
            <w:gridSpan w:val="7"/>
            <w:tcBorders>
              <w:top w:val="doub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b/>
              </w:rPr>
              <w:t>一、六类布线服务报价（详见</w:t>
            </w:r>
            <w:r>
              <w:rPr>
                <w:sz w:val="21"/>
                <w:b/>
              </w:rPr>
              <w:t>3</w:t>
            </w:r>
            <w:r>
              <w:rPr>
                <w:sz w:val="21"/>
                <w:b/>
              </w:rPr>
              <w:t>.2</w:t>
            </w:r>
            <w:r>
              <w:rPr>
                <w:sz w:val="21"/>
                <w:b/>
              </w:rPr>
              <w:t>技术参数及</w:t>
            </w:r>
            <w:r>
              <w:rPr>
                <w:sz w:val="21"/>
                <w:b/>
              </w:rPr>
              <w:t>3</w:t>
            </w:r>
            <w:r>
              <w:rPr>
                <w:sz w:val="21"/>
                <w:b/>
              </w:rPr>
              <w:t>.3</w:t>
            </w:r>
            <w:r>
              <w:rPr>
                <w:sz w:val="21"/>
                <w:b/>
              </w:rPr>
              <w:t>其他需求）</w:t>
            </w: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 xml:space="preserve">    </w:t>
            </w:r>
            <w:r>
              <w:rPr>
                <w:sz w:val="21"/>
                <w:b/>
              </w:rPr>
              <w:t>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r>
              <w:rPr>
                <w:sz w:val="21"/>
                <w:b/>
              </w:rPr>
              <w:t>量</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w:t>
            </w:r>
            <w:r>
              <w:rPr>
                <w:sz w:val="21"/>
                <w:b/>
              </w:rPr>
              <w:t xml:space="preserve">  </w:t>
            </w:r>
            <w:r>
              <w:rPr>
                <w:sz w:val="21"/>
                <w:b/>
              </w:rPr>
              <w:t>价</w:t>
            </w:r>
            <w:r>
              <w:rPr>
                <w:sz w:val="21"/>
                <w:b/>
              </w:rPr>
              <w:t xml:space="preserve"> </w:t>
            </w:r>
            <w:r>
              <w:rPr>
                <w:sz w:val="21"/>
                <w:b/>
              </w:rPr>
              <w:t>（最高限价）</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金</w:t>
            </w:r>
            <w:r>
              <w:rPr>
                <w:sz w:val="21"/>
                <w:b/>
              </w:rPr>
              <w:t xml:space="preserve">  </w:t>
            </w:r>
            <w:r>
              <w:rPr>
                <w:sz w:val="21"/>
                <w:b/>
              </w:rPr>
              <w:t>额</w:t>
            </w: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六类非屏蔽信息模块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2400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39.00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信息面板，双口</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六类非屏蔽线</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270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六类线配线架（不含模块）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12U网络机柜，挂壁</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42U网络机柜（网格门），落地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1.5米六类跳线</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3米六类跳线</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双绞线铺设人工费</w:t>
            </w:r>
            <w:r>
              <w:rPr>
                <w:sz w:val="21"/>
              </w:rPr>
              <w:t>(每点布线为50米内)</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330.00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righ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双绞线布线附属材料费</w:t>
            </w:r>
            <w:r>
              <w:rPr>
                <w:sz w:val="21"/>
              </w:rPr>
              <w:t>(每点布线为50米内)</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righ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双绞线桌面墙座接口安装、测试费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righ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配线架安装（含线缆上架、标识、测试）</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righ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安装交换机人工费（含安装、开通、测试）</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righ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更换配线架人工费（含旧架拆除、线缆上架、测试）</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righ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更换交换机人工费（含拆除、安装、跳线、测试）</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200.00</w:t>
            </w:r>
            <w:r>
              <w:rPr>
                <w:sz w:val="21"/>
              </w:rPr>
              <w:t xml:space="preserve"> </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righ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交换机除尘人工费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37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六类布线服务合计</w:t>
            </w:r>
            <w:r>
              <w:rPr>
                <w:sz w:val="21"/>
                <w:b/>
              </w:rPr>
              <w:t>:</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8244"/>
            <w:gridSpan w:val="7"/>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b/>
              </w:rPr>
              <w:t>二、光纤服务报价（详见</w:t>
            </w:r>
            <w:r>
              <w:rPr>
                <w:sz w:val="21"/>
                <w:b/>
              </w:rPr>
              <w:t>3</w:t>
            </w:r>
            <w:r>
              <w:rPr>
                <w:sz w:val="21"/>
                <w:b/>
              </w:rPr>
              <w:t>.2</w:t>
            </w:r>
            <w:r>
              <w:rPr>
                <w:sz w:val="21"/>
                <w:b/>
              </w:rPr>
              <w:t>技术参数及</w:t>
            </w:r>
            <w:r>
              <w:rPr>
                <w:sz w:val="21"/>
                <w:b/>
              </w:rPr>
              <w:t>3</w:t>
            </w:r>
            <w:r>
              <w:rPr>
                <w:sz w:val="21"/>
                <w:b/>
              </w:rPr>
              <w:t>.3</w:t>
            </w:r>
            <w:r>
              <w:rPr>
                <w:sz w:val="21"/>
                <w:b/>
              </w:rPr>
              <w:t>其他需求）</w:t>
            </w: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 xml:space="preserve">    </w:t>
            </w:r>
            <w:r>
              <w:rPr>
                <w:sz w:val="21"/>
                <w:b/>
              </w:rPr>
              <w:t>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w:t>
            </w:r>
            <w:r>
              <w:rPr>
                <w:sz w:val="21"/>
                <w:b/>
              </w:rPr>
              <w:t xml:space="preserve">  </w:t>
            </w:r>
            <w:r>
              <w:rPr>
                <w:sz w:val="21"/>
                <w:b/>
              </w:rPr>
              <w:t>价</w:t>
            </w:r>
            <w:r>
              <w:rPr>
                <w:sz w:val="21"/>
                <w:b/>
              </w:rPr>
              <w:t xml:space="preserve"> </w:t>
            </w:r>
            <w:r>
              <w:rPr>
                <w:sz w:val="21"/>
                <w:b/>
              </w:rPr>
              <w:t>（最高限价）</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金额</w:t>
            </w: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12芯室外单模铠装光纤</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4芯室外光电混合光缆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6000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12口机架式光纤盒1U</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LC多模耦合器</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3米LC-LC双芯单模跳线</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5米LC-LC双芯单模跳线</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光纤尾纤（单芯）</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光纤熔接费（单芯）</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光纤施工附属材料费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光纤施工人工费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管道开挖、回填</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c>
          <w:tcPr>
            <w:tcW w:type="dxa" w:w="637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光纤服务合计：</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8244"/>
            <w:gridSpan w:val="7"/>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b/>
              </w:rPr>
              <w:t>三、网络设备（详见</w:t>
            </w:r>
            <w:r>
              <w:rPr>
                <w:sz w:val="21"/>
                <w:b/>
              </w:rPr>
              <w:t>3</w:t>
            </w:r>
            <w:r>
              <w:rPr>
                <w:sz w:val="21"/>
                <w:b/>
              </w:rPr>
              <w:t>.2</w:t>
            </w:r>
            <w:r>
              <w:rPr>
                <w:sz w:val="21"/>
                <w:b/>
              </w:rPr>
              <w:t>技术参数及</w:t>
            </w:r>
            <w:r>
              <w:rPr>
                <w:sz w:val="21"/>
                <w:b/>
              </w:rPr>
              <w:t>3</w:t>
            </w:r>
            <w:r>
              <w:rPr>
                <w:sz w:val="21"/>
                <w:b/>
              </w:rPr>
              <w:t>.3</w:t>
            </w:r>
            <w:r>
              <w:rPr>
                <w:sz w:val="21"/>
                <w:b/>
              </w:rPr>
              <w:t>其他需求）</w:t>
            </w: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 xml:space="preserve">    </w:t>
            </w:r>
            <w:r>
              <w:rPr>
                <w:sz w:val="21"/>
                <w:b/>
              </w:rPr>
              <w:t>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w:t>
            </w:r>
            <w:r>
              <w:rPr>
                <w:sz w:val="21"/>
                <w:b/>
              </w:rPr>
              <w:t xml:space="preserve">  </w:t>
            </w:r>
            <w:r>
              <w:rPr>
                <w:sz w:val="21"/>
                <w:b/>
              </w:rPr>
              <w:t>价</w:t>
            </w:r>
            <w:r>
              <w:rPr>
                <w:sz w:val="21"/>
                <w:b/>
              </w:rPr>
              <w:t xml:space="preserve"> </w:t>
            </w:r>
            <w:r>
              <w:rPr>
                <w:sz w:val="21"/>
                <w:b/>
              </w:rPr>
              <w:t>（最高限价）</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金额</w:t>
            </w: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1G*24电口+1G*4光口交换机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4300.00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1G*48电口+1G*4光口交换机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8300.00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1G*24电口+10G*4光口交换机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1G*48电口+10G*4光口交换机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10500.00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1G*24光口+10G*4光口交换机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7600.00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2.5G*24+10G*8光口+POE供电主机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22500.00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24口POE交换机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7150.00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1G单模双芯光模块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760.00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10G单模双芯光模块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1G单模单芯光模块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760.00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2.5G单模单芯光模块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840.00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无线</w:t>
            </w:r>
            <w:r>
              <w:rPr>
                <w:sz w:val="21"/>
                <w:color w:val="000000"/>
              </w:rPr>
              <w:t>AP（普通）</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无线</w:t>
            </w:r>
            <w:r>
              <w:rPr>
                <w:sz w:val="21"/>
                <w:color w:val="000000"/>
              </w:rPr>
              <w:t>AP（高密）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零漫游</w:t>
            </w:r>
            <w:r>
              <w:rPr>
                <w:sz w:val="21"/>
                <w:color w:val="000000"/>
              </w:rPr>
              <w:t>A</w:t>
            </w:r>
            <w:r>
              <w:rPr>
                <w:sz w:val="21"/>
                <w:color w:val="000000"/>
              </w:rPr>
              <w:t>P</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4200.00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天线</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330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10米馈线</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200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260.00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15米馈线</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340.00</w:t>
            </w:r>
          </w:p>
        </w:tc>
        <w:tc>
          <w:tcPr>
            <w:tcW w:type="dxa" w:w="13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7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8</w:t>
            </w:r>
          </w:p>
        </w:tc>
        <w:tc>
          <w:tcPr>
            <w:tcW w:type="dxa" w:w="637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网络设备合计：</w:t>
            </w:r>
          </w:p>
        </w:tc>
        <w:tc>
          <w:tcPr>
            <w:tcW w:type="dxa" w:w="1300"/>
            <w:tcBorders>
              <w:top w:val="none" w:color="000000" w:sz="4"/>
              <w:left w:val="none" w:color="000000" w:sz="4"/>
              <w:bottom w:val="none" w:color="000000" w:sz="4"/>
              <w:right w:val="double" w:color="000000" w:sz="4"/>
            </w:tcBorders>
            <w:tcMar>
              <w:top w:type="dxa" w:w="0"/>
              <w:left w:type="dxa" w:w="105"/>
              <w:bottom w:type="dxa" w:w="0"/>
              <w:right w:type="dxa" w:w="105"/>
            </w:tcMar>
            <w:vAlign w:val="top"/>
          </w:tcPr>
          <w:p>
            <w:pPr>
              <w:pStyle w:val="null3"/>
              <w:jc w:val="left"/>
            </w:pPr>
          </w:p>
        </w:tc>
      </w:tr>
      <w:tr>
        <w:tc>
          <w:tcPr>
            <w:tcW w:type="dxa" w:w="6944"/>
            <w:gridSpan w:val="6"/>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b/>
              </w:rPr>
              <w:t>四、服务总价</w:t>
            </w:r>
            <w:r>
              <w:rPr>
                <w:sz w:val="21"/>
                <w:b/>
              </w:rPr>
              <w:t>(六类布线服务+光纤服务+网络设备）：</w:t>
            </w:r>
          </w:p>
        </w:tc>
        <w:tc>
          <w:tcPr>
            <w:tcW w:type="dxa" w:w="130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right"/>
            </w:pPr>
          </w:p>
        </w:tc>
      </w:tr>
    </w:tbl>
    <w:p>
      <w:pPr>
        <w:pStyle w:val="null3"/>
      </w:pPr>
      <w:r>
        <w:rPr/>
        <w:t xml:space="preserve"> </w:t>
      </w:r>
    </w:p>
    <w:p>
      <w:pPr>
        <w:pStyle w:val="null3"/>
        <w:ind w:left="420"/>
      </w:pPr>
      <w:r>
        <w:rPr>
          <w:sz w:val="21"/>
          <w:b/>
        </w:rPr>
        <w:t>3、2</w:t>
      </w:r>
      <w:r>
        <w:rPr>
          <w:sz w:val="21"/>
          <w:b/>
        </w:rPr>
        <w:t>技术参数</w:t>
      </w:r>
    </w:p>
    <w:p>
      <w:pPr>
        <w:pStyle w:val="null3"/>
        <w:ind w:left="420"/>
      </w:pPr>
      <w:r>
        <w:rPr>
          <w:sz w:val="21"/>
          <w:b/>
        </w:rPr>
        <w:t>3、2、1</w:t>
      </w:r>
      <w:r>
        <w:rPr>
          <w:sz w:val="21"/>
          <w:b/>
        </w:rPr>
        <w:t>综合布线材料</w:t>
      </w:r>
    </w:p>
    <w:tbl>
      <w:tblPr>
        <w:tblW w:w="0" w:type="auto"/>
        <w:tblBorders>
          <w:top w:val="none" w:color="000000" w:sz="4"/>
          <w:left w:val="none" w:color="000000" w:sz="4"/>
          <w:bottom w:val="none" w:color="000000" w:sz="4"/>
          <w:right w:val="none" w:color="000000" w:sz="4"/>
          <w:insideH w:val="none"/>
          <w:insideV w:val="none"/>
        </w:tblBorders>
      </w:tblPr>
      <w:tblGrid>
        <w:gridCol w:w="1039"/>
        <w:gridCol w:w="7252"/>
      </w:tblGrid>
      <w:tr>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6类双绞线</w:t>
            </w: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符合标准：</w:t>
            </w:r>
            <w:r>
              <w:rPr>
                <w:sz w:val="21"/>
              </w:rPr>
              <w:t>ISO/IEC 11801 Class E 以及 ANSI/TIA 568C  Category 6；</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性能：六类信道支持最高</w:t>
            </w:r>
            <w:r>
              <w:rPr>
                <w:sz w:val="21"/>
              </w:rPr>
              <w:t>6次连接, 电气性能测试提供</w:t>
            </w:r>
            <w:r>
              <w:rPr>
                <w:sz w:val="21"/>
              </w:rPr>
              <w:t>第三方机构</w:t>
            </w:r>
            <w:r>
              <w:rPr>
                <w:sz w:val="21"/>
              </w:rPr>
              <w:t>出具的</w:t>
            </w:r>
            <w:r>
              <w:rPr>
                <w:sz w:val="21"/>
              </w:rPr>
              <w:t>100米6连接信道测试报告、5米超短链路测试报告和六类非屏蔽6连接MPTL链路测试认证报告，并</w:t>
            </w:r>
            <w:r>
              <w:rPr>
                <w:sz w:val="21"/>
              </w:rPr>
              <w:t>加盖投标人公章</w:t>
            </w:r>
            <w:r>
              <w:rPr>
                <w:sz w:val="21"/>
              </w:rPr>
              <w:t>；</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线缆类型：非屏蔽实心</w:t>
            </w:r>
            <w:r>
              <w:rPr>
                <w:sz w:val="21"/>
              </w:rPr>
              <w:t>8芯双绞线；</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最大工作频率：</w:t>
            </w:r>
            <w:r>
              <w:rPr>
                <w:sz w:val="21"/>
              </w:rPr>
              <w:t>300MHz；</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5.</w:t>
            </w:r>
            <w:r>
              <w:rPr>
                <w:sz w:val="21"/>
              </w:rPr>
              <w:t>性能：支持千兆传输</w:t>
            </w:r>
            <w:r>
              <w:rPr>
                <w:sz w:val="21"/>
              </w:rPr>
              <w:t>100米；</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6.</w:t>
            </w:r>
            <w:r>
              <w:rPr>
                <w:sz w:val="21"/>
              </w:rPr>
              <w:t>线规：</w:t>
            </w:r>
            <w:r>
              <w:rPr>
                <w:sz w:val="21"/>
              </w:rPr>
              <w:t>23 AWG，线缆结构：一字骨架分隔，施工方便柔性好；</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7.</w:t>
            </w:r>
            <w:r>
              <w:rPr>
                <w:sz w:val="21"/>
              </w:rPr>
              <w:t>线缆外径：</w:t>
            </w:r>
            <w:r>
              <w:rPr>
                <w:sz w:val="21"/>
              </w:rPr>
              <w:t>≤</w:t>
            </w:r>
            <w:r>
              <w:rPr>
                <w:sz w:val="21"/>
              </w:rPr>
              <w:t>5.9 mm，护套厚度：</w:t>
            </w:r>
            <w:r>
              <w:rPr>
                <w:sz w:val="21"/>
              </w:rPr>
              <w:t>≥</w:t>
            </w:r>
            <w:r>
              <w:rPr>
                <w:sz w:val="21"/>
              </w:rPr>
              <w:t>0.559 mm；</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8.</w:t>
            </w:r>
            <w:r>
              <w:rPr>
                <w:sz w:val="21"/>
              </w:rPr>
              <w:t>工作温度范围：</w:t>
            </w:r>
            <w:r>
              <w:rPr>
                <w:sz w:val="21"/>
              </w:rPr>
              <w:t>至少包含</w:t>
            </w:r>
            <w:r>
              <w:rPr>
                <w:sz w:val="21"/>
              </w:rPr>
              <w:t>-20 至 60度；</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9.</w:t>
            </w:r>
            <w:r>
              <w:rPr>
                <w:sz w:val="21"/>
              </w:rPr>
              <w:t>外皮符合</w:t>
            </w:r>
            <w:r>
              <w:rPr>
                <w:sz w:val="21"/>
              </w:rPr>
              <w:t>UL CMR标准的防火级别，提供</w:t>
            </w:r>
            <w:r>
              <w:rPr>
                <w:sz w:val="21"/>
              </w:rPr>
              <w:t>第三方机构</w:t>
            </w:r>
            <w:r>
              <w:rPr>
                <w:sz w:val="21"/>
              </w:rPr>
              <w:t>出具的</w:t>
            </w:r>
            <w:r>
              <w:rPr>
                <w:sz w:val="21"/>
              </w:rPr>
              <w:t>CMR阻燃性能认证。</w:t>
            </w:r>
          </w:p>
        </w:tc>
      </w:tr>
      <w:tr>
        <w:tc>
          <w:tcPr>
            <w:tcW w:type="dxa" w:w="1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6类 系列非屏蔽模块</w:t>
            </w: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满足或超过如</w:t>
            </w:r>
            <w:r>
              <w:rPr>
                <w:sz w:val="21"/>
              </w:rPr>
              <w:t>TIA/EIA568-C和ISO/IEC 11801:2002第二版中所规定的6类关于传输硬件的传输要求， 向下与5E、5和3类跳线和电缆兼容；</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能够作为模块化配线的选择或作为模块化的电信信息口，带宽不少于</w:t>
            </w:r>
            <w:r>
              <w:rPr>
                <w:sz w:val="21"/>
              </w:rPr>
              <w:t>250Mhz，支持高速、高带宽的应用</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IDC端接采用线对分离设计和更宽的导体导入位置，配有防止污染和确保连接的端接盖帽；</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自带彩色的标识标签以确保准确的安装，达到</w:t>
            </w:r>
            <w:r>
              <w:rPr>
                <w:sz w:val="21"/>
              </w:rPr>
              <w:t>UL94V0的阻燃标准。</w:t>
            </w:r>
          </w:p>
        </w:tc>
      </w:tr>
      <w:tr>
        <w:tc>
          <w:tcPr>
            <w:tcW w:type="dxa" w:w="103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非屏蔽空配线架</w:t>
            </w: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24端口6类非屏蔽配线架，4组6口模块电路板设计，19英寸机架式；</w:t>
            </w:r>
          </w:p>
        </w:tc>
      </w:tr>
      <w:tr>
        <w:tc>
          <w:tcPr>
            <w:tcW w:type="dxa" w:w="1039"/>
            <w:vMerge/>
            <w:tcBorders>
              <w:top w:val="non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模块插座</w:t>
            </w:r>
            <w:r>
              <w:rPr>
                <w:sz w:val="21"/>
              </w:rPr>
              <w:t xml:space="preserve">: </w:t>
            </w:r>
            <w:r>
              <w:rPr>
                <w:sz w:val="21"/>
              </w:rPr>
              <w:t>≥</w:t>
            </w:r>
            <w:r>
              <w:rPr>
                <w:sz w:val="21"/>
              </w:rPr>
              <w:t xml:space="preserve">750 插接，打线端口: </w:t>
            </w:r>
            <w:r>
              <w:rPr>
                <w:sz w:val="21"/>
              </w:rPr>
              <w:t>≥</w:t>
            </w:r>
            <w:r>
              <w:rPr>
                <w:sz w:val="21"/>
              </w:rPr>
              <w:t>200 次端接；</w:t>
            </w:r>
          </w:p>
        </w:tc>
      </w:tr>
      <w:tr>
        <w:tc>
          <w:tcPr>
            <w:tcW w:type="dxa" w:w="1039"/>
            <w:vMerge/>
            <w:tcBorders>
              <w:top w:val="non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后端自带</w:t>
            </w:r>
            <w:r>
              <w:rPr>
                <w:sz w:val="21"/>
              </w:rPr>
              <w:t>≥</w:t>
            </w:r>
            <w:r>
              <w:rPr>
                <w:sz w:val="21"/>
              </w:rPr>
              <w:t>24个线缆端接管理器；</w:t>
            </w:r>
          </w:p>
        </w:tc>
      </w:tr>
      <w:tr>
        <w:tc>
          <w:tcPr>
            <w:tcW w:type="dxa" w:w="1039"/>
            <w:vMerge/>
            <w:tcBorders>
              <w:top w:val="non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钢板，表面有粉末涂层，黑色，后端自带线缆支架</w:t>
            </w:r>
          </w:p>
        </w:tc>
      </w:tr>
      <w:tr>
        <w:tc>
          <w:tcPr>
            <w:tcW w:type="dxa" w:w="1039"/>
            <w:vMerge/>
            <w:tcBorders>
              <w:top w:val="non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5.</w:t>
            </w:r>
            <w:r>
              <w:rPr>
                <w:sz w:val="21"/>
              </w:rPr>
              <w:t>尺寸：深</w:t>
            </w:r>
            <w:r>
              <w:rPr>
                <w:sz w:val="21"/>
              </w:rPr>
              <w:t>≤</w:t>
            </w:r>
            <w:r>
              <w:rPr>
                <w:sz w:val="21"/>
              </w:rPr>
              <w:t>119.38mm，1U</w:t>
            </w:r>
          </w:p>
        </w:tc>
      </w:tr>
      <w:tr>
        <w:tc>
          <w:tcPr>
            <w:tcW w:type="dxa" w:w="1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 类 U/UTP 低烟无卤非屏蔽跳线</w:t>
            </w: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性能超出</w:t>
            </w:r>
            <w:r>
              <w:rPr>
                <w:sz w:val="21"/>
              </w:rPr>
              <w:t>TIA/EIA 以及 ISO/IEC 6类/E级规格要求；</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所有跳线应向后与</w:t>
            </w:r>
            <w:r>
              <w:rPr>
                <w:sz w:val="21"/>
              </w:rPr>
              <w:t>5类及 5E 类系统兼容；</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跳线应包括反阻碍功能，该功能可在移动或重新安装过程中防止阻碍；</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导体线规：</w:t>
            </w:r>
            <w:r>
              <w:rPr>
                <w:sz w:val="21"/>
              </w:rPr>
              <w:t>24AWG,多股铜芯绞合的软跳线设计；</w:t>
            </w:r>
          </w:p>
        </w:tc>
      </w:tr>
      <w:tr>
        <w:tc>
          <w:tcPr>
            <w:tcW w:type="dxa" w:w="1039"/>
            <w:vMerge/>
            <w:tcBorders>
              <w:top w:val="none" w:color="000000" w:sz="4"/>
              <w:left w:val="single" w:color="000000" w:sz="4"/>
              <w:bottom w:val="singl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5.</w:t>
            </w:r>
            <w:r>
              <w:rPr>
                <w:sz w:val="21"/>
              </w:rPr>
              <w:t>支持加装跳线安全锁，加强安全管理，确保敏感业务安全。</w:t>
            </w:r>
          </w:p>
        </w:tc>
      </w:tr>
      <w:tr>
        <w:tc>
          <w:tcPr>
            <w:tcW w:type="dxa" w:w="103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插座面板</w:t>
            </w: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材料符合</w:t>
            </w:r>
            <w:r>
              <w:rPr>
                <w:sz w:val="21"/>
              </w:rPr>
              <w:t>UL 94-V0；</w:t>
            </w:r>
          </w:p>
        </w:tc>
      </w:tr>
      <w:tr>
        <w:tc>
          <w:tcPr>
            <w:tcW w:type="dxa" w:w="1039"/>
            <w:vMerge/>
            <w:tcBorders>
              <w:top w:val="non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86型平面面板，可光铜混用</w:t>
            </w:r>
          </w:p>
        </w:tc>
      </w:tr>
      <w:tr>
        <w:tc>
          <w:tcPr>
            <w:tcW w:type="dxa" w:w="1039"/>
            <w:vMerge/>
            <w:tcBorders>
              <w:top w:val="non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自带弹压式防尘盖，含标签盖板等附件</w:t>
            </w:r>
          </w:p>
        </w:tc>
      </w:tr>
      <w:tr>
        <w:tc>
          <w:tcPr>
            <w:tcW w:type="dxa" w:w="1039"/>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光缆</w:t>
            </w: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满足</w:t>
            </w:r>
            <w:r>
              <w:rPr>
                <w:sz w:val="21"/>
              </w:rPr>
              <w:t>ITU-T.G.652要求的单模光纤</w:t>
            </w:r>
          </w:p>
        </w:tc>
      </w:tr>
      <w:tr>
        <w:tc>
          <w:tcPr>
            <w:tcW w:type="dxa" w:w="1039"/>
            <w:vMerge/>
            <w:tcBorders>
              <w:top w:val="singl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工作波长为</w:t>
            </w:r>
            <w:r>
              <w:rPr>
                <w:sz w:val="21"/>
              </w:rPr>
              <w:t>1310nm(损耗为</w:t>
            </w:r>
            <w:r>
              <w:rPr>
                <w:sz w:val="21"/>
              </w:rPr>
              <w:t>≤</w:t>
            </w:r>
            <w:r>
              <w:rPr>
                <w:sz w:val="21"/>
              </w:rPr>
              <w:t>0.36dB/km)</w:t>
            </w:r>
          </w:p>
        </w:tc>
      </w:tr>
      <w:tr>
        <w:tc>
          <w:tcPr>
            <w:tcW w:type="dxa" w:w="1039"/>
            <w:vMerge/>
            <w:tcBorders>
              <w:top w:val="singl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适用于室外</w:t>
            </w:r>
          </w:p>
        </w:tc>
      </w:tr>
      <w:tr>
        <w:tc>
          <w:tcPr>
            <w:tcW w:type="dxa" w:w="1039"/>
            <w:vMerge/>
            <w:tcBorders>
              <w:top w:val="single" w:color="000000" w:sz="4"/>
              <w:left w:val="single" w:color="000000" w:sz="4"/>
              <w:bottom w:val="none" w:color="000000" w:sz="4"/>
              <w:right w:val="single" w:color="000000" w:sz="4"/>
            </w:tcBorders>
          </w:tcPr>
          <w:p/>
        </w:tc>
        <w:tc>
          <w:tcPr>
            <w:tcW w:type="dxa" w:w="7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纤芯数量为</w:t>
            </w:r>
            <w:r>
              <w:rPr>
                <w:sz w:val="21"/>
              </w:rPr>
              <w:t>≥</w:t>
            </w:r>
            <w:r>
              <w:rPr>
                <w:sz w:val="21"/>
              </w:rPr>
              <w:t>12芯</w:t>
            </w:r>
          </w:p>
        </w:tc>
      </w:tr>
    </w:tbl>
    <w:p>
      <w:pPr>
        <w:pStyle w:val="null3"/>
        <w:ind w:left="315"/>
        <w:jc w:val="both"/>
      </w:pPr>
      <w:r>
        <w:rPr>
          <w:sz w:val="21"/>
          <w:b/>
        </w:rPr>
        <w:t xml:space="preserve">3、2、2 </w:t>
      </w:r>
      <w:r>
        <w:rPr>
          <w:sz w:val="21"/>
          <w:b/>
        </w:rPr>
        <w:t>1G*24电口+1G*4光口交换机</w:t>
      </w:r>
    </w:p>
    <w:tbl>
      <w:tblPr>
        <w:tblW w:w="0" w:type="auto"/>
        <w:tblBorders>
          <w:top w:val="none" w:color="000000" w:sz="4"/>
          <w:left w:val="none" w:color="000000" w:sz="4"/>
          <w:bottom w:val="none" w:color="000000" w:sz="4"/>
          <w:right w:val="none" w:color="000000" w:sz="4"/>
          <w:insideH w:val="none"/>
          <w:insideV w:val="none"/>
        </w:tblBorders>
      </w:tblPr>
      <w:tblGrid>
        <w:gridCol w:w="1061"/>
        <w:gridCol w:w="7230"/>
      </w:tblGrid>
      <w:tr>
        <w:tc>
          <w:tcPr>
            <w:tcW w:type="dxa" w:w="1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0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交换容量</w:t>
            </w:r>
            <w:r>
              <w:rPr>
                <w:sz w:val="21"/>
              </w:rPr>
              <w:t>≥3.36Tbps，转发性能≥126Mpps。</w:t>
            </w:r>
          </w:p>
        </w:tc>
      </w:tr>
      <w:tr>
        <w:tc>
          <w:tcPr>
            <w:tcW w:type="dxa" w:w="1061"/>
            <w:vMerge/>
            <w:tcBorders>
              <w:top w:val="none" w:color="000000" w:sz="4"/>
              <w:left w:val="single" w:color="000000" w:sz="4"/>
              <w:bottom w:val="singl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固化</w:t>
            </w:r>
            <w:r>
              <w:rPr>
                <w:sz w:val="21"/>
              </w:rPr>
              <w:t>10/100/1000M以太网端口≥24，固化1G SFP光接口≥4个；整机最大可用千兆口≥28。</w:t>
            </w:r>
          </w:p>
        </w:tc>
      </w:tr>
      <w:tr>
        <w:tc>
          <w:tcPr>
            <w:tcW w:type="dxa" w:w="1061"/>
            <w:vMerge/>
            <w:tcBorders>
              <w:top w:val="none" w:color="000000" w:sz="4"/>
              <w:left w:val="single" w:color="000000" w:sz="4"/>
              <w:bottom w:val="singl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要求所投设备</w:t>
            </w:r>
            <w:r>
              <w:rPr>
                <w:sz w:val="21"/>
              </w:rPr>
              <w:t>MAC地址≥16K，ARP表项≥1000条,FIB表项≥500。</w:t>
            </w:r>
          </w:p>
        </w:tc>
      </w:tr>
      <w:tr>
        <w:tc>
          <w:tcPr>
            <w:tcW w:type="dxa" w:w="1061"/>
            <w:vMerge/>
            <w:tcBorders>
              <w:top w:val="none" w:color="000000" w:sz="4"/>
              <w:left w:val="single" w:color="000000" w:sz="4"/>
              <w:bottom w:val="singl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要求所投产品支持防雷等级</w:t>
            </w:r>
            <w:r>
              <w:rPr>
                <w:sz w:val="21"/>
              </w:rPr>
              <w:t>≥10KV 。</w:t>
            </w:r>
          </w:p>
        </w:tc>
      </w:tr>
      <w:tr>
        <w:tc>
          <w:tcPr>
            <w:tcW w:type="dxa" w:w="1061"/>
            <w:vMerge/>
            <w:tcBorders>
              <w:top w:val="none" w:color="000000" w:sz="4"/>
              <w:left w:val="single" w:color="000000" w:sz="4"/>
              <w:bottom w:val="singl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5.</w:t>
            </w:r>
            <w:r>
              <w:rPr>
                <w:sz w:val="21"/>
              </w:rPr>
              <w:t>要求设备采用静音无风扇设计。</w:t>
            </w:r>
          </w:p>
        </w:tc>
      </w:tr>
      <w:tr>
        <w:tc>
          <w:tcPr>
            <w:tcW w:type="dxa" w:w="106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功能参数</w:t>
            </w: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6.</w:t>
            </w:r>
            <w:r>
              <w:rPr>
                <w:sz w:val="21"/>
              </w:rPr>
              <w:t>支持静态路由、</w:t>
            </w:r>
            <w:r>
              <w:rPr>
                <w:sz w:val="21"/>
              </w:rPr>
              <w:t>RIP/RIPng、OSPFv2/OSPFv3等三层路由协议。</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7.</w:t>
            </w:r>
            <w:r>
              <w:rPr>
                <w:sz w:val="21"/>
              </w:rPr>
              <w:t>支持</w:t>
            </w:r>
            <w:r>
              <w:rPr>
                <w:sz w:val="21"/>
              </w:rPr>
              <w:t>SNMP、CLI(Telnet/Console)、RMON、SSH、Syslog、NTP/SNTP、FTP、TFTP、Web。</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8.</w:t>
            </w:r>
            <w:r>
              <w:rPr>
                <w:sz w:val="21"/>
              </w:rPr>
              <w:t>要求所投设备支持</w:t>
            </w:r>
            <w:r>
              <w:rPr>
                <w:sz w:val="21"/>
              </w:rPr>
              <w:t>1对1、1对多、多对1和基于流的镜像；且支持RSPAN和ERSPAN。</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9.</w:t>
            </w:r>
            <w:r>
              <w:rPr>
                <w:sz w:val="21"/>
              </w:rPr>
              <w:t>符合国家低碳环保等政策要求，支持</w:t>
            </w:r>
            <w:r>
              <w:rPr>
                <w:sz w:val="21"/>
              </w:rPr>
              <w:t>IEEE 802.3az标准的EEE节能技术。</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10.</w:t>
            </w:r>
            <w:r>
              <w:rPr>
                <w:sz w:val="21"/>
              </w:rPr>
              <w:t>▲支持专门基础网络保护机制的功能，支持多种类型的防护，如ARP防护，当ARP速率超过攻击水线，对有攻击行为的用户进行隔离，保证设备和整网的安全稳定运行，投标时提供第三方检测机构出具的检测报告扫描件【检测依据包括:(1)YD/T1628-2007 《以太网交换机设备安全测试方法》】作为佐证材料并加盖投标人公章或投标专用章。</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11.</w:t>
            </w:r>
            <w:r>
              <w:rPr>
                <w:sz w:val="21"/>
              </w:rPr>
              <w:t>▲支持专门针对CPU保护机制功能，可将送CPU的报文，如ARP报文的速率进行限制，使CPU的使用率降低到10%以内，保障CPU安全；提供第三方检测机构出具的检测报告扫描件【检测依据包括:(1)YD/T1628-2007 《以太网交换机设备安全测试方法》】作为佐证材料并加盖投标人公章或投标专用章。</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12.</w:t>
            </w:r>
            <w:r>
              <w:rPr>
                <w:sz w:val="21"/>
              </w:rPr>
              <w:t>▲要求所投产品支持sFlow网络监测技术，可提供完整的第二层到第四层信息，可以适应超大网络流量环境下的流量分析，让用户详细、实时地分析网络传输流的性能、趋势和存在的问题；提供第三方检测机构出具的检测报告扫描件【检测依据包括:(1)YD/T1628-2007 《以太网交换机设备安全测试方法》】作为佐证材料并加盖投标人公章或投标专用章。</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13.</w:t>
            </w:r>
            <w:r>
              <w:rPr>
                <w:sz w:val="21"/>
              </w:rPr>
              <w:t>支持虚拟化功能，最多可将</w:t>
            </w:r>
            <w:r>
              <w:rPr>
                <w:sz w:val="21"/>
              </w:rPr>
              <w:t>9台物理设备虚拟化为一台逻辑设备统一管理，并且链路故障的收敛时间≤30ms。</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14.</w:t>
            </w:r>
            <w:r>
              <w:rPr>
                <w:sz w:val="21"/>
              </w:rPr>
              <w:t>要求所投产品支持</w:t>
            </w:r>
            <w:r>
              <w:rPr>
                <w:sz w:val="21"/>
              </w:rPr>
              <w:t>ITU-TG.8032国际公有环网协议ERPS,支持相切环和相交环，并且链路故障的收敛时间≤50ms</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15.</w:t>
            </w:r>
            <w:r>
              <w:rPr>
                <w:sz w:val="21"/>
              </w:rPr>
              <w:t>设备自带云管理功能，支持一键设备发现，并在线生成交付验收报告；支持一键全网巡检操作，随时随地掌握网络健康状况，并自动生成巡检报告；支持一键升级、定时升级网络中的网络设备；支持分级分权功能，实现分布区域，统一管理等。</w:t>
            </w:r>
          </w:p>
        </w:tc>
      </w:tr>
      <w:tr>
        <w:tc>
          <w:tcPr>
            <w:tcW w:type="dxa" w:w="1061"/>
            <w:vMerge/>
            <w:tcBorders>
              <w:top w:val="none" w:color="000000" w:sz="4"/>
              <w:left w:val="single" w:color="000000" w:sz="4"/>
              <w:bottom w:val="none" w:color="000000" w:sz="4"/>
              <w:right w:val="single" w:color="000000" w:sz="4"/>
            </w:tcBorders>
          </w:tc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16.</w:t>
            </w:r>
            <w:r>
              <w:rPr>
                <w:sz w:val="21"/>
              </w:rPr>
              <w:t>要求所投产品支持</w:t>
            </w:r>
            <w:r>
              <w:rPr>
                <w:sz w:val="21"/>
              </w:rPr>
              <w:t>openflow 1.3协议，投标时提供承诺书加盖公章（格式自拟），承诺交货时提供出具全球SDN测试认证中心出具的证书和测试报告详情页作为证明，并且在全球SDN测试认证中心官网的测试认证页面可以查询到此产品名称。（http://www.sdnctc.com/index.php/readylogo_search/search/id/10/page/1）。</w:t>
            </w:r>
          </w:p>
        </w:tc>
      </w:tr>
      <w:tr>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w:t>
            </w:r>
            <w:r>
              <w:rPr>
                <w:sz w:val="21"/>
              </w:rPr>
              <w:t>要求所投设备投标时提供承诺书加盖公章（格式自拟），承诺交货时提供支持</w:t>
            </w:r>
            <w:r>
              <w:rPr>
                <w:sz w:val="21"/>
              </w:rPr>
              <w:t>IPv6 Ready第二阶段认证证书，并且在全球IPV6测试中心官网（http://www.ipv6ready.org.cn/index.php/readylogo_search/readylogo_search）上可以查询到此产品名称（非系列名称）。</w:t>
            </w:r>
          </w:p>
        </w:tc>
      </w:tr>
    </w:tbl>
    <w:p>
      <w:pPr>
        <w:pStyle w:val="null3"/>
        <w:jc w:val="both"/>
      </w:pPr>
      <w:r>
        <w:rPr>
          <w:sz w:val="21"/>
          <w:b/>
        </w:rPr>
        <w:t xml:space="preserve">3、2、3  </w:t>
      </w:r>
      <w:r>
        <w:rPr>
          <w:sz w:val="21"/>
          <w:b/>
        </w:rPr>
        <w:t>1G*48电口+1G*4光口交换机</w:t>
      </w:r>
    </w:p>
    <w:tbl>
      <w:tblPr>
        <w:tblW w:w="0" w:type="auto"/>
        <w:tblBorders>
          <w:top w:val="none" w:color="000000" w:sz="4"/>
          <w:left w:val="none" w:color="000000" w:sz="4"/>
          <w:bottom w:val="none" w:color="000000" w:sz="4"/>
          <w:right w:val="none" w:color="000000" w:sz="4"/>
          <w:insideH w:val="none"/>
          <w:insideV w:val="none"/>
        </w:tblBorders>
      </w:tblPr>
      <w:tblGrid>
        <w:gridCol w:w="1048"/>
        <w:gridCol w:w="7243"/>
      </w:tblGrid>
      <w:tr>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0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交换容量</w:t>
            </w:r>
            <w:r>
              <w:rPr>
                <w:sz w:val="21"/>
              </w:rPr>
              <w:t>≥3.36Tbps，转发性能≥126Mpps。</w:t>
            </w:r>
          </w:p>
        </w:tc>
      </w:tr>
      <w:tr>
        <w:tc>
          <w:tcPr>
            <w:tcW w:type="dxa" w:w="1048"/>
            <w:vMerge/>
            <w:tcBorders>
              <w:top w:val="none" w:color="000000" w:sz="4"/>
              <w:left w:val="single" w:color="000000" w:sz="4"/>
              <w:bottom w:val="singl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固化</w:t>
            </w:r>
            <w:r>
              <w:rPr>
                <w:sz w:val="21"/>
              </w:rPr>
              <w:t>10/100/1000M以太网端口≥48，固化1G SFP光接口≥4个；整机最大可用千兆口≥52。</w:t>
            </w:r>
          </w:p>
        </w:tc>
      </w:tr>
      <w:tr>
        <w:tc>
          <w:tcPr>
            <w:tcW w:type="dxa" w:w="1048"/>
            <w:vMerge/>
            <w:tcBorders>
              <w:top w:val="none" w:color="000000" w:sz="4"/>
              <w:left w:val="single" w:color="000000" w:sz="4"/>
              <w:bottom w:val="singl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要求所投设备</w:t>
            </w:r>
            <w:r>
              <w:rPr>
                <w:sz w:val="21"/>
              </w:rPr>
              <w:t>MAC地址≥16K，ARP表项≥1000条,FIB表项≥500。</w:t>
            </w:r>
          </w:p>
        </w:tc>
      </w:tr>
      <w:tr>
        <w:tc>
          <w:tcPr>
            <w:tcW w:type="dxa" w:w="1048"/>
            <w:vMerge/>
            <w:tcBorders>
              <w:top w:val="none" w:color="000000" w:sz="4"/>
              <w:left w:val="single" w:color="000000" w:sz="4"/>
              <w:bottom w:val="singl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要求所投产品支持防雷等级</w:t>
            </w:r>
            <w:r>
              <w:rPr>
                <w:sz w:val="21"/>
              </w:rPr>
              <w:t>≥10KV 。</w:t>
            </w:r>
          </w:p>
        </w:tc>
      </w:tr>
      <w:tr>
        <w:tc>
          <w:tcPr>
            <w:tcW w:type="dxa" w:w="1048"/>
            <w:vMerge/>
            <w:tcBorders>
              <w:top w:val="none" w:color="000000" w:sz="4"/>
              <w:left w:val="single" w:color="000000" w:sz="4"/>
              <w:bottom w:val="singl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5.</w:t>
            </w:r>
            <w:r>
              <w:rPr>
                <w:sz w:val="21"/>
              </w:rPr>
              <w:t>要求设备采用静音无风扇设计。</w:t>
            </w:r>
          </w:p>
        </w:tc>
      </w:tr>
      <w:tr>
        <w:tc>
          <w:tcPr>
            <w:tcW w:type="dxa" w:w="104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功能参数</w:t>
            </w: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6.</w:t>
            </w:r>
            <w:r>
              <w:rPr>
                <w:sz w:val="21"/>
              </w:rPr>
              <w:t>支持静态路由、</w:t>
            </w:r>
            <w:r>
              <w:rPr>
                <w:sz w:val="21"/>
              </w:rPr>
              <w:t>RIP/RIPng、OSPFv2/OSPFv3等三层路由协议。</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7.</w:t>
            </w:r>
            <w:r>
              <w:rPr>
                <w:sz w:val="21"/>
              </w:rPr>
              <w:t>支持</w:t>
            </w:r>
            <w:r>
              <w:rPr>
                <w:sz w:val="21"/>
              </w:rPr>
              <w:t>SNMP、CLI(Telnet/Console)、RMON、SSH、Syslog、NTP/SNTP、FTP、TFTP、Web。</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8.</w:t>
            </w:r>
            <w:r>
              <w:rPr>
                <w:sz w:val="21"/>
              </w:rPr>
              <w:t>要求所投设备支持</w:t>
            </w:r>
            <w:r>
              <w:rPr>
                <w:sz w:val="21"/>
              </w:rPr>
              <w:t>1对1、1对多、多对1和基于流的镜像；且支持RSPAN和ERSPAN。</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9.</w:t>
            </w:r>
            <w:r>
              <w:rPr>
                <w:sz w:val="21"/>
              </w:rPr>
              <w:t>支持专门针对</w:t>
            </w:r>
            <w:r>
              <w:rPr>
                <w:sz w:val="21"/>
              </w:rPr>
              <w:t>CPU的保护机制，能够针对发往CPU处理的各种报文进行流量控制和优先级处理，保护交换机在各种环境下稳定工作。</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10.</w:t>
            </w:r>
            <w:r>
              <w:rPr>
                <w:sz w:val="21"/>
              </w:rPr>
              <w:t>支持专门基础网络保护机制的</w:t>
            </w:r>
            <w:r>
              <w:rPr>
                <w:sz w:val="21"/>
              </w:rPr>
              <w:t>NFPP功能，支持多种类型的防护，如ARP防护，当ARP速率超过攻击水线，对有攻击行为的用户进行隔离，保证设备和整网的安全稳定运行。</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11.</w:t>
            </w:r>
            <w:r>
              <w:rPr>
                <w:sz w:val="21"/>
              </w:rPr>
              <w:t>支持同时开启</w:t>
            </w:r>
            <w:r>
              <w:rPr>
                <w:sz w:val="21"/>
              </w:rPr>
              <w:t>IPv4、IPv6 ACL、802.1X认证、web认证、防ARP欺骗，CPU保护功能同时开启，不会相互冲突、制约。</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12.</w:t>
            </w:r>
            <w:r>
              <w:rPr>
                <w:sz w:val="21"/>
              </w:rPr>
              <w:t>▲要求所投产品支持sFlow网络监测技术，可提供完整的第二层到第四层信息，可以适应超大网络流量环境下的流量分析，让用户详细、实时地分析网络传输流的性能、趋势和存在的问题。投标时提供第三方检测机构出具的检测报告扫描件【检测依据包括:(1)YD/T1628-2007 《以太网交换机设备安全测试方法》】作为佐证材料并加盖投标人公章或投标专用章。</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13.</w:t>
            </w:r>
            <w:r>
              <w:rPr>
                <w:sz w:val="21"/>
              </w:rPr>
              <w:t>支持虚拟化功能，最多可将</w:t>
            </w:r>
            <w:r>
              <w:rPr>
                <w:sz w:val="21"/>
              </w:rPr>
              <w:t>9台物理设备虚拟化为一台逻辑设备统一管理，并且链路故障的收敛时间≤30ms。</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14.</w:t>
            </w:r>
            <w:r>
              <w:rPr>
                <w:sz w:val="21"/>
              </w:rPr>
              <w:t>要求所投产品支持</w:t>
            </w:r>
            <w:r>
              <w:rPr>
                <w:sz w:val="21"/>
              </w:rPr>
              <w:t>ITU-TG.8032国际公有环网协议ERPS,支持相切环和相交环，并且链路故障的收敛时间≤50ms 。</w:t>
            </w:r>
          </w:p>
        </w:tc>
      </w:tr>
      <w:tr>
        <w:tc>
          <w:tcPr>
            <w:tcW w:type="dxa" w:w="1048"/>
            <w:vMerge/>
            <w:tcBorders>
              <w:top w:val="none" w:color="000000" w:sz="4"/>
              <w:left w:val="single" w:color="000000" w:sz="4"/>
              <w:bottom w:val="none" w:color="000000" w:sz="4"/>
              <w:right w:val="single" w:color="000000" w:sz="4"/>
            </w:tcBorders>
          </w:tc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15.</w:t>
            </w:r>
            <w:r>
              <w:rPr>
                <w:sz w:val="21"/>
              </w:rPr>
              <w:t>要求所投产品支持</w:t>
            </w:r>
            <w:r>
              <w:rPr>
                <w:sz w:val="21"/>
              </w:rPr>
              <w:t>openflow 1.3协议，投标时提供承诺书加盖公章（格式自拟），承诺交货时提供出具全球SDN测试认证中心出具的证书和测试报告详情页作为证明，并且在全球SDN测试认证中心官网的测试认证页面可以查询到此产品名称。（http://www.sdnctc.com/index.php/readylogo_search/search/id/10/page/1）。</w:t>
            </w: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w:t>
            </w:r>
            <w:r>
              <w:rPr>
                <w:sz w:val="21"/>
              </w:rPr>
              <w:t>要求所投设备支持</w:t>
            </w:r>
            <w:r>
              <w:rPr>
                <w:sz w:val="21"/>
              </w:rPr>
              <w:t>IPv6 Ready第二阶段认证证书，投标时提供承诺书加盖公章（格式自拟），承诺交货时提供在全球IPV6测试中心官网（http://www.ipv6ready.org.cn/index.php/readylogo_search/readylogo_search）上可以查询到此产品名称（非系列名称）</w:t>
            </w:r>
            <w:r>
              <w:rPr>
                <w:sz w:val="21"/>
              </w:rPr>
              <w:t>。</w:t>
            </w:r>
          </w:p>
        </w:tc>
      </w:tr>
    </w:tbl>
    <w:p>
      <w:pPr>
        <w:pStyle w:val="null3"/>
        <w:jc w:val="both"/>
      </w:pPr>
      <w:r>
        <w:rPr>
          <w:sz w:val="21"/>
          <w:b/>
        </w:rPr>
        <w:t xml:space="preserve">3、2、4  </w:t>
      </w:r>
      <w:r>
        <w:rPr>
          <w:sz w:val="21"/>
          <w:b/>
        </w:rPr>
        <w:t>1G*24电口+10G*4光口交换机</w:t>
      </w:r>
    </w:p>
    <w:tbl>
      <w:tblPr>
        <w:tblW w:w="0" w:type="auto"/>
        <w:tblBorders>
          <w:top w:val="none" w:color="000000" w:sz="4"/>
          <w:left w:val="none" w:color="000000" w:sz="4"/>
          <w:bottom w:val="none" w:color="000000" w:sz="4"/>
          <w:right w:val="none" w:color="000000" w:sz="4"/>
          <w:insideH w:val="none"/>
          <w:insideV w:val="none"/>
        </w:tblBorders>
      </w:tblPr>
      <w:tblGrid>
        <w:gridCol w:w="1118"/>
        <w:gridCol w:w="7173"/>
      </w:tblGrid>
      <w:tr>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1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交换容量</w:t>
            </w:r>
            <w:r>
              <w:rPr>
                <w:sz w:val="21"/>
              </w:rPr>
              <w:t>≥336Gbps，包转发率≥108Mpps，MAC地址≥16K。</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固化</w:t>
            </w:r>
            <w:r>
              <w:rPr>
                <w:sz w:val="21"/>
              </w:rPr>
              <w:t>24个10/100/1000M以太网端口，固化4个1G/10G SFP+万兆光接口；支持48*Gbe+4*10Gbe 100%线速转发。</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要求所投产品具备</w:t>
            </w:r>
            <w:r>
              <w:rPr>
                <w:sz w:val="21"/>
              </w:rPr>
              <w:t>≥10KV的防雷能力。</w:t>
            </w:r>
          </w:p>
        </w:tc>
      </w:tr>
      <w:tr>
        <w:tc>
          <w:tcPr>
            <w:tcW w:type="dxa" w:w="11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功能参数</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要求所投设备支持</w:t>
            </w:r>
            <w:r>
              <w:rPr>
                <w:sz w:val="21"/>
              </w:rPr>
              <w:t>1对1、1对多、多对1和基于流的本地、远程镜像；且支持RSPAN和ERSPAN。</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▲要求所投产品端口的线-接地端子浪涌抗扰度≥10KV，线-线浪涌抗扰度≥0.5KV，（即具备共模10KV，差模0.5KV的防雷能力），提供第三方检测机构出具的检测报告扫描件【检测依据包括:(1)GB/T17626.5-2019 《电磁兼容试验和测量技术浪涌(冲击)抗扰度试验》】作为佐证材料并加盖投标人公章或投标专用章。</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支持专门基础网络保护机制，能够限制用户向网络中发送数据包的速率，对有攻击行为的用户进行隔离，保证设备和整网的安全稳定运行。</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要求所投产品支持</w:t>
            </w:r>
            <w:r>
              <w:rPr>
                <w:sz w:val="21"/>
              </w:rPr>
              <w:t>ITU-TG.8032国际公有环网协议ERPS,并且链路故障的收敛时间≤50ms。</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支持</w:t>
            </w:r>
            <w:r>
              <w:rPr>
                <w:sz w:val="21"/>
              </w:rPr>
              <w:t>IPv4和IPv6的静态路由、RIP/RIPng、OSPFv2/OSPFv3等三层路由协议。</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支持专门针对</w:t>
            </w:r>
            <w:r>
              <w:rPr>
                <w:sz w:val="21"/>
              </w:rPr>
              <w:t>CPU保护机制的CPP功能，可将送CPU的报文，如ARP报文的速率进行限制，使CPU的使用率降低到10%左右，保障了CPU安全。</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设备自带云管理功能，支持设备发现，并在线生成交付验收报告；支持全网巡检操作，随时随地掌握网络健康状况，并自动生成巡检报告；支持升级、定时升级网络中的网络设备；支持分级分权功能，实现分布区域，统一管理等。提供第三方检测机构出具的检测报告扫描件【检测依据包括:(1)YD/T2043-2009 《IPv6网络设备安全测试方法--具有路由功能的以太网交换机》】作为佐证材料并加盖投标人公章或投标专用章。</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支持</w:t>
            </w:r>
            <w:r>
              <w:rPr>
                <w:sz w:val="21"/>
              </w:rPr>
              <w:t>SNMP、CLI(Telnet/Console)、RMON、SSH、Syslog、NTP/SNTP、FTP、TFTP、Web。</w:t>
            </w:r>
          </w:p>
        </w:tc>
      </w:tr>
      <w:tr>
        <w:tc>
          <w:tcPr>
            <w:tcW w:type="dxa" w:w="11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产品资质</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提供工信部进网许可证</w:t>
            </w:r>
            <w:r>
              <w:rPr>
                <w:sz w:val="21"/>
              </w:rPr>
              <w:t>,且提供官网查询结果截图及链接（标明是三层交换机入网证）；</w:t>
            </w:r>
          </w:p>
        </w:tc>
      </w:tr>
      <w:tr>
        <w:tc>
          <w:tcPr>
            <w:tcW w:type="dxa" w:w="1118"/>
            <w:vMerge/>
            <w:tcBorders>
              <w:top w:val="none" w:color="000000" w:sz="4"/>
              <w:left w:val="single" w:color="000000" w:sz="4"/>
              <w:bottom w:val="single" w:color="000000" w:sz="4"/>
              <w:right w:val="single" w:color="000000" w:sz="4"/>
            </w:tcBorders>
          </w:tcP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所投交换机需支持</w:t>
            </w:r>
            <w:r>
              <w:rPr>
                <w:sz w:val="21"/>
              </w:rPr>
              <w:t>OpenFlow 1.3协议，要求投标产品型号与获证产品型号一致。</w:t>
            </w:r>
          </w:p>
        </w:tc>
      </w:tr>
    </w:tbl>
    <w:p>
      <w:pPr>
        <w:pStyle w:val="null3"/>
        <w:jc w:val="both"/>
      </w:pPr>
      <w:r>
        <w:rPr>
          <w:sz w:val="21"/>
          <w:b/>
        </w:rPr>
        <w:t xml:space="preserve">3、2、5  </w:t>
      </w:r>
      <w:r>
        <w:rPr>
          <w:sz w:val="21"/>
          <w:b/>
        </w:rPr>
        <w:t>1G*48电口+10G*4光口交换机</w:t>
      </w:r>
    </w:p>
    <w:tbl>
      <w:tblPr>
        <w:tblW w:w="0" w:type="auto"/>
        <w:tblBorders>
          <w:top w:val="none" w:color="000000" w:sz="4"/>
          <w:left w:val="none" w:color="000000" w:sz="4"/>
          <w:bottom w:val="none" w:color="000000" w:sz="4"/>
          <w:right w:val="none" w:color="000000" w:sz="4"/>
          <w:insideH w:val="none"/>
          <w:insideV w:val="none"/>
        </w:tblBorders>
      </w:tblPr>
      <w:tblGrid>
        <w:gridCol w:w="1104"/>
        <w:gridCol w:w="7187"/>
      </w:tblGrid>
      <w:tr>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交换容量</w:t>
            </w:r>
            <w:r>
              <w:rPr>
                <w:sz w:val="21"/>
              </w:rPr>
              <w:t>≥432Gbps，包转发率≥144Mpps，MAC地址≥16K。</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固化</w:t>
            </w:r>
            <w:r>
              <w:rPr>
                <w:sz w:val="21"/>
              </w:rPr>
              <w:t xml:space="preserve">48个10/100/1000M以太网端口，固化4个万兆SFP+光接口；支持48*Gbe+4*10Gbe 100%线速转发。 </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要求所投产品具备</w:t>
            </w:r>
            <w:r>
              <w:rPr>
                <w:sz w:val="21"/>
              </w:rPr>
              <w:t>10KV的防雷能力，投标时提供第三方机构检验报告证明。</w:t>
            </w:r>
          </w:p>
        </w:tc>
      </w:tr>
      <w:tr>
        <w:tc>
          <w:tcPr>
            <w:tcW w:type="dxa" w:w="1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功能参数</w:t>
            </w: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要求所投设备支持</w:t>
            </w:r>
            <w:r>
              <w:rPr>
                <w:sz w:val="21"/>
              </w:rPr>
              <w:t>1对1、1对多、多对1和基于流的本地、远程镜像；且支持RSPAN和ERSPAN。</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▲要求所投产品端口的线-接地端子浪涌抗扰度≥10KV，线-线浪涌抗扰度≥0.5KV，（即具备共模10KV，差模0.5KV的防雷能力），提供第三方检测机构出具的检测报告扫描件【检测依据包括:(1)GB/T17626.5-2019 《电磁兼容试验和测量技术浪涌(冲击)抗扰度试验》】作为佐证材料并加盖投标人公章或投标专用章。</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支持专门基础网络保护机制，能够限制用户向网络中发送数据包的速率，对有攻击行为的用户进行隔离，保证设备和整网的安全稳定运行。</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要求所投产品支持</w:t>
            </w:r>
            <w:r>
              <w:rPr>
                <w:sz w:val="21"/>
              </w:rPr>
              <w:t>ITU-TG.8032国际公有环网协议ERPS,并且链路故障的收敛时间≤50ms。</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支持</w:t>
            </w:r>
            <w:r>
              <w:rPr>
                <w:sz w:val="21"/>
              </w:rPr>
              <w:t>IPv4和IPv6的静态路由、RIP/RIPng、OSPFv2/OSPFv3等三层路由协议</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支持专门针对</w:t>
            </w:r>
            <w:r>
              <w:rPr>
                <w:sz w:val="21"/>
              </w:rPr>
              <w:t>CPU保护机制的CPP功能，可将送CPU的报文，如ARP报文的速率进行限制，使CPU的使用率降低到10%左右，保障了CPU安全。</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设备自带云管理功能，支持设备发现，并在线生成交付验收报告；支持全网巡检操作，随时随地掌握网络健康状况，并自动生成巡检报告；支持升级、定时升级网络中的网络设备；支持分级分权功能，实现分布区域，统一管理等。提供第三方检测机构出具的检测报告扫描件【检测依据包括:(1)YD/T2043-2009 《IPv6网络设备安全测试方法--具有路由功能的以太网交换机》】作为佐证材料并加盖投标人公章或投标专用章。</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支持</w:t>
            </w:r>
            <w:r>
              <w:rPr>
                <w:sz w:val="21"/>
              </w:rPr>
              <w:t>SNMP、CLI(Telnet/Console)、RMON、SSH、Syslog、NTP/SNTP、FTP、TFTP、Web。</w:t>
            </w:r>
          </w:p>
        </w:tc>
      </w:tr>
      <w:tr>
        <w:tc>
          <w:tcPr>
            <w:tcW w:type="dxa" w:w="1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产品资质</w:t>
            </w: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提供工信部进网许可证</w:t>
            </w:r>
            <w:r>
              <w:rPr>
                <w:sz w:val="21"/>
              </w:rPr>
              <w:t>,且提供官网查询结果截图及链接（标明是三层交换机入网证）。</w:t>
            </w:r>
          </w:p>
        </w:tc>
      </w:tr>
      <w:tr>
        <w:tc>
          <w:tcPr>
            <w:tcW w:type="dxa" w:w="1104"/>
            <w:vMerge/>
            <w:tcBorders>
              <w:top w:val="none" w:color="000000" w:sz="4"/>
              <w:left w:val="single" w:color="000000" w:sz="4"/>
              <w:bottom w:val="single" w:color="000000" w:sz="4"/>
              <w:right w:val="single" w:color="000000" w:sz="4"/>
            </w:tcBorders>
          </w:tcP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所投交换机需支持</w:t>
            </w:r>
            <w:r>
              <w:rPr>
                <w:sz w:val="21"/>
              </w:rPr>
              <w:t>OpenFlow 1.3协议，要求投标产品型号与获证产品型号一致。</w:t>
            </w:r>
          </w:p>
        </w:tc>
      </w:tr>
    </w:tbl>
    <w:p>
      <w:pPr>
        <w:pStyle w:val="null3"/>
        <w:jc w:val="both"/>
      </w:pPr>
      <w:r>
        <w:rPr>
          <w:sz w:val="21"/>
          <w:b/>
          <w:shd w:fill="F2F2F2" w:val="clear"/>
        </w:rPr>
        <w:t xml:space="preserve">3、2、6  </w:t>
      </w:r>
      <w:r>
        <w:rPr>
          <w:sz w:val="21"/>
          <w:b/>
          <w:shd w:fill="F2F2F2" w:val="clear"/>
        </w:rPr>
        <w:t>24口POE交换机</w:t>
      </w:r>
    </w:p>
    <w:tbl>
      <w:tblPr>
        <w:tblW w:w="0" w:type="auto"/>
        <w:tblBorders>
          <w:top w:val="none" w:color="000000" w:sz="4"/>
          <w:left w:val="none" w:color="000000" w:sz="4"/>
          <w:bottom w:val="none" w:color="000000" w:sz="4"/>
          <w:right w:val="none" w:color="000000" w:sz="4"/>
          <w:insideH w:val="none"/>
          <w:insideV w:val="none"/>
        </w:tblBorders>
      </w:tblPr>
      <w:tblGrid>
        <w:gridCol w:w="1090"/>
        <w:gridCol w:w="7201"/>
      </w:tblGrid>
      <w:tr>
        <w:tc>
          <w:tcPr>
            <w:tcW w:type="dxa" w:w="10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0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1.交换容量≥3.36Tbps，转发性能≥125Mpps。</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2.固化10/100/1000M以太网端口≥24，固化SFP非复用口≥4个，所有电口均支持POE和POE+远程供电。</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3.支持POE和POE+,同时可POE供电端口≥24个，整机POE最大输出功率≥370W,支持单端口POE输出功率≥60W。</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投标产品面板自带一键查看PoE供电状态功能的PoE按钮，轻按即可查看设备当前的通信状态和供电状态，投标人须提供投标产品彩页或相应技术参数的厂家技术白皮书（datasheet）、质量认可材料、第三方机构的检测报告等作为技术证明文件，否则评标委员会有权视相应技术参数响应不符合招标要求。</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5.投标产品可通过同一品牌的前端适配器实现常见的AC 24V、DC 12V等规格的非POE终端远程供电。</w:t>
            </w:r>
          </w:p>
        </w:tc>
      </w:tr>
      <w:tr>
        <w:tc>
          <w:tcPr>
            <w:tcW w:type="dxa" w:w="10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功能参数</w:t>
            </w: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6.支持IPv4和IPv6的静态路由、RIP/RIPng、OSPFv2/OSPFv3等三层路由协议</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7.要求所投设备支持1对1、1对多、多对1和基于流的本地、远程镜像；且支持RSPAN和ERSPAN</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8.支持专门针对CPU的保护机制，能限制非法报文对CPU的攻击，保护交换机在各种环境下稳定工作；</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9.支持虚拟化功能，可将多台物理设备虚拟化为一台逻辑设备统一管理，并且链路故障的收敛时间≤50ms。</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10.支持快速链路检测协议，可快速检测链路的通断和光纤链路的单向性，并支持端口下的环路检测功能，防止端口下因私接Hub等设备形成的环路而导致网络故障的现象。</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11.要求所投产品支持ITU-TG.8032国际公有环网协议ERPS,并且链路故障的收敛时间≤50ms。</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12.支持SAVI功能，可防止地址解析欺骗。</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 ▲设备自带云管理功能，支持设备发现，并在线生成交付验收报告；支持全网巡检操作，随时随地掌握网络健康状况，并自动生成巡检报告；支持短信认证、微信认证、web认证，支持认证页面自定义；支持升级、定时升级网络中的网络设备；支持分级分权功能，实现分布区域，统一管理等。提供第三方检测机构出具的检测报告扫描件【检测依据包括:(1)YD/T2043-2009 《IPv6网络设备安全测试方法--具有路由功能的以太网交换机》】作为佐证材料并加盖投标人公章或投标专用章。</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14.所投交换机需支持OpenFlow 1.3协议，要求投标产品型号与获证产品型号一致。</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 支持IEEE 802.3az标准的EEE节能技术。</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 支持SNMP、CLI(Telnet/Console)、RMON、SSH、Syslog、NTP/SNTP、FTP、TFTP、Web。</w:t>
            </w:r>
          </w:p>
        </w:tc>
      </w:tr>
      <w:tr>
        <w:tc>
          <w:tcPr>
            <w:tcW w:type="dxa" w:w="1090"/>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17.要求所投产品支持模块化操作系统，支持针对单一模块打热补丁，故障模块升级中不影响其他进程的正常运行和业务转发</w:t>
            </w:r>
          </w:p>
        </w:tc>
      </w:tr>
    </w:tbl>
    <w:p>
      <w:pPr>
        <w:pStyle w:val="null3"/>
        <w:jc w:val="both"/>
      </w:pPr>
      <w:r>
        <w:rPr>
          <w:sz w:val="21"/>
          <w:b/>
          <w:shd w:fill="F2F2F2" w:val="clear"/>
        </w:rPr>
        <w:t xml:space="preserve">3、2、7  </w:t>
      </w:r>
      <w:r>
        <w:rPr>
          <w:sz w:val="21"/>
          <w:b/>
          <w:shd w:fill="F2F2F2" w:val="clear"/>
        </w:rPr>
        <w:t>1</w:t>
      </w:r>
      <w:r>
        <w:rPr>
          <w:sz w:val="21"/>
          <w:b/>
          <w:shd w:fill="F2F2F2" w:val="clear"/>
        </w:rPr>
        <w:t>G*24+10G*4光口交换机</w:t>
      </w:r>
    </w:p>
    <w:tbl>
      <w:tblPr>
        <w:tblW w:w="0" w:type="auto"/>
        <w:tblBorders>
          <w:top w:val="none" w:color="000000" w:sz="4"/>
          <w:left w:val="none" w:color="000000" w:sz="4"/>
          <w:bottom w:val="none" w:color="000000" w:sz="4"/>
          <w:right w:val="none" w:color="000000" w:sz="4"/>
          <w:insideH w:val="none"/>
          <w:insideV w:val="none"/>
        </w:tblBorders>
      </w:tblPr>
      <w:tblGrid>
        <w:gridCol w:w="1122"/>
        <w:gridCol w:w="7184"/>
      </w:tblGrid>
      <w:tr>
        <w:tc>
          <w:tcPr>
            <w:tcW w:type="dxa" w:w="1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tc>
        <w:tc>
          <w:tcPr>
            <w:tcW w:type="dxa" w:w="7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交换容量</w:t>
            </w:r>
            <w:r>
              <w:rPr>
                <w:sz w:val="21"/>
              </w:rPr>
              <w:t>≥670Gbps，转发性能≥150Mpps。</w:t>
            </w:r>
          </w:p>
        </w:tc>
      </w:tr>
      <w:tr>
        <w:tc>
          <w:tcPr>
            <w:tcW w:type="dxa" w:w="1122"/>
            <w:vMerge/>
            <w:tcBorders>
              <w:top w:val="none" w:color="000000" w:sz="4"/>
              <w:left w:val="single" w:color="000000" w:sz="4"/>
              <w:bottom w:val="single" w:color="000000" w:sz="4"/>
              <w:right w:val="single" w:color="000000" w:sz="4"/>
            </w:tcBorders>
          </w:tcPr>
          <w:p/>
        </w:tc>
        <w:tc>
          <w:tcPr>
            <w:tcW w:type="dxa" w:w="7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固化</w:t>
            </w:r>
            <w:r>
              <w:rPr>
                <w:sz w:val="21"/>
              </w:rPr>
              <w:t>100/1000M SFP光接口≥24，10G/1G SFP+光接口≥4个；每台配置≥2块70W电源模块。</w:t>
            </w:r>
          </w:p>
        </w:tc>
      </w:tr>
      <w:tr>
        <w:tc>
          <w:tcPr>
            <w:tcW w:type="dxa" w:w="1122"/>
            <w:vMerge/>
            <w:tcBorders>
              <w:top w:val="none" w:color="000000" w:sz="4"/>
              <w:left w:val="single" w:color="000000" w:sz="4"/>
              <w:bottom w:val="single" w:color="000000" w:sz="4"/>
              <w:right w:val="single" w:color="000000" w:sz="4"/>
            </w:tcBorders>
          </w:tcPr>
          <w:p/>
        </w:tc>
        <w:tc>
          <w:tcPr>
            <w:tcW w:type="dxa" w:w="7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▲设备支持抗电网波动能力，提供第三方检测机构出具的检测报告扫描件【检测依据包括:(1)GB/T17626.11-2008 《电磁兼容试验和测量技术电压暂降</w:t>
            </w:r>
            <w:r>
              <w:rPr>
                <w:sz w:val="21"/>
              </w:rPr>
              <w:t>､</w:t>
            </w:r>
            <w:r>
              <w:rPr>
                <w:sz w:val="21"/>
              </w:rPr>
              <w:t>短时中断和电压变化的抗扰度试验》】作为佐证材料并加盖投标人公章或投标专用章。</w:t>
            </w:r>
          </w:p>
        </w:tc>
      </w:tr>
      <w:tr>
        <w:tc>
          <w:tcPr>
            <w:tcW w:type="dxa" w:w="1122"/>
            <w:vMerge/>
            <w:tcBorders>
              <w:top w:val="none" w:color="000000" w:sz="4"/>
              <w:left w:val="single" w:color="000000" w:sz="4"/>
              <w:bottom w:val="single" w:color="000000" w:sz="4"/>
              <w:right w:val="single" w:color="000000" w:sz="4"/>
            </w:tcBorders>
          </w:tcPr>
          <w:p/>
        </w:tc>
        <w:tc>
          <w:tcPr>
            <w:tcW w:type="dxa" w:w="7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支持静态路由、</w:t>
            </w:r>
            <w:r>
              <w:rPr>
                <w:sz w:val="21"/>
              </w:rPr>
              <w:t>RIP/RIPng、OSPFv2/OSPFv3等三层路由协议；</w:t>
            </w:r>
          </w:p>
        </w:tc>
      </w:tr>
      <w:tr>
        <w:tc>
          <w:tcPr>
            <w:tcW w:type="dxa" w:w="1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功能参数</w:t>
            </w:r>
          </w:p>
        </w:tc>
        <w:tc>
          <w:tcPr>
            <w:tcW w:type="dxa" w:w="7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5.</w:t>
            </w:r>
            <w:r>
              <w:rPr>
                <w:sz w:val="21"/>
              </w:rPr>
              <w:t>支持</w:t>
            </w:r>
            <w:r>
              <w:rPr>
                <w:sz w:val="21"/>
              </w:rPr>
              <w:t>SAVI功能，可防止地址解析欺骗；</w:t>
            </w:r>
          </w:p>
        </w:tc>
      </w:tr>
      <w:tr>
        <w:tc>
          <w:tcPr>
            <w:tcW w:type="dxa" w:w="1122"/>
            <w:vMerge/>
            <w:tcBorders>
              <w:top w:val="none" w:color="000000" w:sz="4"/>
              <w:left w:val="single" w:color="000000" w:sz="4"/>
              <w:bottom w:val="single" w:color="000000" w:sz="4"/>
              <w:right w:val="single" w:color="000000" w:sz="4"/>
            </w:tcBorders>
          </w:tcPr>
          <w:p/>
        </w:tc>
        <w:tc>
          <w:tcPr>
            <w:tcW w:type="dxa" w:w="7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6.</w:t>
            </w:r>
            <w:r>
              <w:rPr>
                <w:sz w:val="21"/>
              </w:rPr>
              <w:t>支持</w:t>
            </w:r>
            <w:r>
              <w:rPr>
                <w:sz w:val="21"/>
              </w:rPr>
              <w:t>CPU保护功能，支持限制非法报文对CPU的攻击，保护交换机在各种环境下稳定工作；</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产品资质</w:t>
            </w:r>
          </w:p>
        </w:tc>
        <w:tc>
          <w:tcPr>
            <w:tcW w:type="dxa" w:w="7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5"/>
            </w:pPr>
            <w:r>
              <w:rPr>
                <w:sz w:val="21"/>
              </w:rPr>
              <w:t>7.</w:t>
            </w:r>
            <w:r>
              <w:rPr>
                <w:sz w:val="21"/>
              </w:rPr>
              <w:t>▲具备IPv6 Ready Phase2认证证书，要求投标产品型号与获证产品型号一致。</w:t>
            </w:r>
            <w:r>
              <w:rPr>
                <w:sz w:val="21"/>
                <w:b/>
              </w:rPr>
              <w:t>（</w:t>
            </w:r>
            <w:r>
              <w:rPr>
                <w:sz w:val="21"/>
              </w:rPr>
              <w:t>投标时提供承诺书加盖公章（格式自拟），承诺交货时</w:t>
            </w:r>
            <w:r>
              <w:rPr>
                <w:sz w:val="21"/>
                <w:b/>
              </w:rPr>
              <w:t>提供检测证书复印件以及证书查询链接和截图）</w:t>
            </w:r>
          </w:p>
        </w:tc>
      </w:tr>
    </w:tbl>
    <w:p>
      <w:pPr>
        <w:pStyle w:val="null3"/>
        <w:jc w:val="both"/>
      </w:pPr>
      <w:r>
        <w:rPr>
          <w:sz w:val="21"/>
          <w:b/>
          <w:shd w:fill="F2F2F2" w:val="clear"/>
        </w:rPr>
        <w:t xml:space="preserve">3、2、8  </w:t>
      </w:r>
      <w:r>
        <w:rPr>
          <w:sz w:val="21"/>
          <w:b/>
          <w:shd w:fill="F2F2F2" w:val="clear"/>
        </w:rPr>
        <w:t>2.5G*24+10G*8光口POE交换机</w:t>
      </w:r>
    </w:p>
    <w:tbl>
      <w:tblPr>
        <w:tblW w:w="0" w:type="auto"/>
        <w:tblBorders>
          <w:top w:val="none" w:color="000000" w:sz="4"/>
          <w:left w:val="none" w:color="000000" w:sz="4"/>
          <w:bottom w:val="none" w:color="000000" w:sz="4"/>
          <w:right w:val="none" w:color="000000" w:sz="4"/>
          <w:insideH w:val="none"/>
          <w:insideV w:val="none"/>
        </w:tblBorders>
      </w:tblPr>
      <w:tblGrid>
        <w:gridCol w:w="1105"/>
        <w:gridCol w:w="7201"/>
      </w:tblGrid>
      <w:tr>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r>
              <w:rPr>
                <w:sz w:val="21"/>
              </w:rPr>
              <w:t>交换容量</w:t>
            </w:r>
            <w:r>
              <w:rPr>
                <w:sz w:val="21"/>
              </w:rPr>
              <w:t>≥2.4Tbps， 包转发率≥660Mpps。</w:t>
            </w:r>
          </w:p>
        </w:tc>
      </w:tr>
      <w:tr>
        <w:tc>
          <w:tcPr>
            <w:tcW w:type="dxa" w:w="1105"/>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2.</w:t>
            </w:r>
            <w:r>
              <w:rPr>
                <w:sz w:val="21"/>
              </w:rPr>
              <w:t>固化</w:t>
            </w:r>
            <w:r>
              <w:rPr>
                <w:sz w:val="21"/>
              </w:rPr>
              <w:t>SFP+接口≥24个，每台配置≥1块8个1G/10G/25G光口板卡，配置≥2个1000W电源模块，配置≥1套光电混合缆理线盒。</w:t>
            </w:r>
            <w:r>
              <w:rPr>
                <w:sz w:val="19"/>
              </w:rPr>
              <w:t xml:space="preserve"> </w:t>
            </w:r>
          </w:p>
        </w:tc>
      </w:tr>
      <w:tr>
        <w:tc>
          <w:tcPr>
            <w:tcW w:type="dxa" w:w="1105"/>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3.</w:t>
            </w:r>
            <w:r>
              <w:rPr>
                <w:sz w:val="21"/>
              </w:rPr>
              <w:t>▲固化PoE供电接口≥24个（通过DB78接口支持），支持PoE、PoE+、PoE++，每个端口支持最大90W的PoE供电，为了保证设备兼容性，要求供电端口与光口分离设计。</w:t>
            </w:r>
            <w:r>
              <w:rPr>
                <w:sz w:val="21"/>
              </w:rPr>
              <w:t>投标人须提供投标产品彩页或相应技术参数的厂家技术白皮书（</w:t>
            </w:r>
            <w:r>
              <w:rPr>
                <w:sz w:val="21"/>
              </w:rPr>
              <w:t>datasheet</w:t>
            </w:r>
            <w:r>
              <w:rPr>
                <w:sz w:val="21"/>
              </w:rPr>
              <w:t>）、质量认可材料、第三方机构的</w:t>
            </w:r>
            <w:r>
              <w:rPr>
                <w:sz w:val="21"/>
              </w:rPr>
              <w:t>检测</w:t>
            </w:r>
            <w:r>
              <w:rPr>
                <w:sz w:val="21"/>
              </w:rPr>
              <w:t>报告等作为技术证明文件，否则评标委员会有权视相应技术参数响应不符合招标要求。</w:t>
            </w:r>
          </w:p>
        </w:tc>
      </w:tr>
      <w:tr>
        <w:tc>
          <w:tcPr>
            <w:tcW w:type="dxa" w:w="1105"/>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4.</w:t>
            </w:r>
            <w:r>
              <w:rPr>
                <w:sz w:val="21"/>
              </w:rPr>
              <w:t>▲为了方便PoE供电端口与光电混合缆续接，要求主机固化的PoE供电接口采用集中接口方式，单台主机集中接口≤2个。</w:t>
            </w:r>
            <w:r>
              <w:rPr>
                <w:sz w:val="21"/>
              </w:rPr>
              <w:t>投标人须提供投标产品彩页或相应技术参数的厂家技术白皮书（</w:t>
            </w:r>
            <w:r>
              <w:rPr>
                <w:sz w:val="21"/>
              </w:rPr>
              <w:t>datasheet</w:t>
            </w:r>
            <w:r>
              <w:rPr>
                <w:sz w:val="21"/>
              </w:rPr>
              <w:t>）、质量认可材料、第三方机构的</w:t>
            </w:r>
            <w:r>
              <w:rPr>
                <w:sz w:val="21"/>
              </w:rPr>
              <w:t>检测</w:t>
            </w:r>
            <w:r>
              <w:rPr>
                <w:sz w:val="21"/>
              </w:rPr>
              <w:t>报告等作为技术证明文件，否则评标委员会有权视相应技术参数响应不符合招标要求。</w:t>
            </w:r>
          </w:p>
        </w:tc>
      </w:tr>
      <w:tr>
        <w:tc>
          <w:tcPr>
            <w:tcW w:type="dxa" w:w="1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功能参数</w:t>
            </w: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5.</w:t>
            </w:r>
            <w:r>
              <w:rPr>
                <w:sz w:val="21"/>
              </w:rPr>
              <w:t>支持</w:t>
            </w:r>
            <w:r>
              <w:rPr>
                <w:sz w:val="21"/>
              </w:rPr>
              <w:t>RJ45的MGMT接口≥1个，RJ45的Console接口≥1个，USB接口≥1个，为了方便运维要求以上端口固化在设备前面板。</w:t>
            </w:r>
          </w:p>
        </w:tc>
      </w:tr>
      <w:tr>
        <w:tc>
          <w:tcPr>
            <w:tcW w:type="dxa" w:w="1105"/>
            <w:vMerge/>
            <w:tcBorders>
              <w:top w:val="none" w:color="000000" w:sz="4"/>
              <w:left w:val="single" w:color="000000" w:sz="4"/>
              <w:bottom w:val="single" w:color="000000" w:sz="4"/>
              <w:right w:val="single" w:color="000000" w:sz="4"/>
            </w:tcBorders>
          </w:tcPr>
          <w:p/>
        </w:tc>
        <w:tc>
          <w:tcPr>
            <w:tcW w:type="dxa" w:w="7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6.</w:t>
            </w:r>
            <w:r>
              <w:rPr>
                <w:sz w:val="21"/>
              </w:rPr>
              <w:t>支持</w:t>
            </w:r>
            <w:r>
              <w:rPr>
                <w:sz w:val="21"/>
              </w:rPr>
              <w:t>RESET按键≥1个，PoE灯切换按键≥1个。</w:t>
            </w:r>
          </w:p>
        </w:tc>
      </w:tr>
    </w:tbl>
    <w:p>
      <w:pPr>
        <w:pStyle w:val="null3"/>
        <w:jc w:val="both"/>
      </w:pPr>
      <w:r>
        <w:rPr>
          <w:sz w:val="21"/>
          <w:b/>
        </w:rPr>
        <w:t>3、2、9</w:t>
      </w:r>
      <w:r>
        <w:rPr>
          <w:sz w:val="21"/>
          <w:b/>
        </w:rPr>
        <w:t>无线</w:t>
      </w:r>
      <w:r>
        <w:rPr>
          <w:sz w:val="21"/>
          <w:b/>
        </w:rPr>
        <w:t>AP（普通）</w:t>
      </w:r>
    </w:p>
    <w:tbl>
      <w:tblPr>
        <w:tblW w:w="0" w:type="auto"/>
        <w:tblBorders>
          <w:top w:val="none" w:color="000000" w:sz="4"/>
          <w:left w:val="none" w:color="000000" w:sz="4"/>
          <w:bottom w:val="none" w:color="000000" w:sz="4"/>
          <w:right w:val="none" w:color="000000" w:sz="4"/>
          <w:insideH w:val="none"/>
          <w:insideV w:val="none"/>
        </w:tblBorders>
      </w:tblPr>
      <w:tblGrid>
        <w:gridCol w:w="1055"/>
        <w:gridCol w:w="7236"/>
      </w:tblGrid>
      <w:tr>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指标项</w:t>
            </w:r>
          </w:p>
        </w:tc>
        <w:tc>
          <w:tcPr>
            <w:tcW w:type="dxa" w:w="7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参数要求</w:t>
            </w:r>
          </w:p>
        </w:tc>
      </w:tr>
      <w:tr>
        <w:tc>
          <w:tcPr>
            <w:tcW w:type="dxa" w:w="10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硬件规格</w:t>
            </w: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3"/>
              <w:jc w:val="left"/>
            </w:pPr>
            <w:r>
              <w:rPr>
                <w:sz w:val="21"/>
              </w:rPr>
              <w:t>1.</w:t>
            </w:r>
            <w:r>
              <w:rPr>
                <w:sz w:val="21"/>
                <w:color w:val="000000"/>
              </w:rPr>
              <w:t>支持</w:t>
            </w:r>
            <w:r>
              <w:rPr>
                <w:sz w:val="21"/>
                <w:color w:val="000000"/>
              </w:rPr>
              <w:t>802.11ax标准</w:t>
            </w:r>
            <w:r>
              <w:rPr>
                <w:sz w:val="21"/>
                <w:color w:val="000000"/>
              </w:rPr>
              <w:t>，</w:t>
            </w:r>
            <w:r>
              <w:rPr>
                <w:sz w:val="21"/>
                <w:color w:val="000000"/>
              </w:rPr>
              <w:t>支持</w:t>
            </w:r>
            <w:r>
              <w:rPr>
                <w:sz w:val="21"/>
                <w:color w:val="000000"/>
              </w:rPr>
              <w:t>1个2.5G以太网端口；1个千兆SFP口。</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rPr>
              <w:t>2.</w:t>
            </w:r>
            <w:r>
              <w:rPr>
                <w:sz w:val="21"/>
              </w:rPr>
              <w:t>支持至少三张射频卡同时工作在</w:t>
            </w:r>
            <w:r>
              <w:rPr>
                <w:sz w:val="21"/>
              </w:rPr>
              <w:t>5G频段</w:t>
            </w:r>
            <w:r>
              <w:rPr>
                <w:sz w:val="21"/>
                <w:color w:val="000000"/>
              </w:rPr>
              <w:t>。</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rPr>
              <w:t>3.</w:t>
            </w:r>
            <w:r>
              <w:rPr>
                <w:sz w:val="21"/>
                <w:color w:val="000000"/>
              </w:rPr>
              <w:t>所投产品应采用硬件独立的四射频设计。</w:t>
            </w:r>
          </w:p>
        </w:tc>
      </w:tr>
      <w:tr>
        <w:tc>
          <w:tcPr>
            <w:tcW w:type="dxa" w:w="10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功能参数</w:t>
            </w: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rPr>
              <w:t>4.</w:t>
            </w:r>
            <w:r>
              <w:rPr>
                <w:sz w:val="21"/>
                <w:color w:val="000000"/>
              </w:rPr>
              <w:t>整机最大无线速率</w:t>
            </w:r>
            <w:r>
              <w:rPr>
                <w:sz w:val="21"/>
                <w:color w:val="000000"/>
              </w:rPr>
              <w:t>≥4Gbps。</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rPr>
              <w:t>5.</w:t>
            </w:r>
            <w:r>
              <w:rPr>
                <w:sz w:val="21"/>
                <w:color w:val="000000"/>
              </w:rPr>
              <w:t>整机支持</w:t>
            </w:r>
            <w:r>
              <w:rPr>
                <w:sz w:val="21"/>
                <w:color w:val="000000"/>
              </w:rPr>
              <w:t>8条空间流</w:t>
            </w:r>
            <w:r>
              <w:rPr>
                <w:sz w:val="21"/>
                <w:color w:val="000000"/>
              </w:rPr>
              <w:t>。</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rPr>
              <w:t>6.</w:t>
            </w:r>
            <w:r>
              <w:rPr>
                <w:sz w:val="21"/>
                <w:color w:val="000000"/>
              </w:rPr>
              <w:t>支持扩展物联网模块，支持</w:t>
            </w:r>
            <w:r>
              <w:rPr>
                <w:sz w:val="21"/>
                <w:color w:val="000000"/>
              </w:rPr>
              <w:t>1个10/100/1000M自适应以太网端口对外供电。</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rPr>
              <w:t>7.</w:t>
            </w:r>
            <w:r>
              <w:rPr>
                <w:sz w:val="21"/>
                <w:color w:val="000000"/>
              </w:rPr>
              <w:t>整机最大终端接入数</w:t>
            </w:r>
            <w:r>
              <w:rPr>
                <w:sz w:val="21"/>
                <w:color w:val="000000"/>
              </w:rPr>
              <w:t>≥1552个</w:t>
            </w:r>
            <w:r>
              <w:rPr>
                <w:sz w:val="21"/>
                <w:color w:val="FF0000"/>
              </w:rPr>
              <w:t>。</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rPr>
              <w:t>8.</w:t>
            </w:r>
            <w:r>
              <w:rPr>
                <w:sz w:val="21"/>
                <w:color w:val="000000"/>
              </w:rPr>
              <w:t>支持</w:t>
            </w:r>
            <w:r>
              <w:rPr>
                <w:sz w:val="21"/>
                <w:color w:val="000000"/>
              </w:rPr>
              <w:t>USB 2.0，内置蓝牙5.0。</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color w:val="000000"/>
              </w:rPr>
              <w:t>9.</w:t>
            </w:r>
            <w:r>
              <w:rPr>
                <w:sz w:val="21"/>
                <w:color w:val="000000"/>
              </w:rPr>
              <w:t>▲</w:t>
            </w:r>
            <w:r>
              <w:rPr>
                <w:sz w:val="21"/>
                <w:color w:val="000000"/>
              </w:rPr>
              <w:t>为快速建立高度隔离的安全网络，设备应支持实现</w:t>
            </w:r>
            <w:r>
              <w:rPr>
                <w:sz w:val="21"/>
                <w:color w:val="000000"/>
              </w:rPr>
              <w:t>AP虚拟化功能，实现一台AP虚拟为多台AP，分别受不同AC设备独立管理，互不影响。不同虚拟AP之间数据隔离，虚拟AP在AC上不占用AP License</w:t>
            </w:r>
            <w:r>
              <w:rPr>
                <w:sz w:val="21"/>
              </w:rPr>
              <w:t>。提供第三方检测机构出具的检测报告扫描件【检测依据包括</w:t>
            </w:r>
            <w:r>
              <w:rPr>
                <w:sz w:val="21"/>
              </w:rPr>
              <w:t>:(1)GB/T25000.51-2016 《系统与软件工程系统与软件质量要求和评价(SQuaRE)第51部分:就绪可用软件产品(RUSP)的质量要求和测试细则》】作为佐证材料并加盖投标人公章或投标专用章</w:t>
            </w:r>
            <w:r>
              <w:rPr>
                <w:sz w:val="21"/>
                <w:color w:val="000000"/>
              </w:rPr>
              <w:t>。</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color w:val="000000"/>
              </w:rPr>
              <w:t>10.</w:t>
            </w:r>
            <w:r>
              <w:rPr>
                <w:sz w:val="21"/>
                <w:color w:val="000000"/>
              </w:rPr>
              <w:t>防护等级</w:t>
            </w:r>
            <w:r>
              <w:rPr>
                <w:sz w:val="21"/>
                <w:color w:val="000000"/>
              </w:rPr>
              <w:t>≥IP51。</w:t>
            </w:r>
          </w:p>
        </w:tc>
      </w:tr>
      <w:tr>
        <w:tc>
          <w:tcPr>
            <w:tcW w:type="dxa" w:w="10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产品资质</w:t>
            </w: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left"/>
            </w:pPr>
            <w:r>
              <w:rPr>
                <w:sz w:val="21"/>
              </w:rPr>
              <w:t>11.</w:t>
            </w:r>
            <w:r>
              <w:rPr>
                <w:sz w:val="21"/>
                <w:color w:val="000000"/>
              </w:rPr>
              <w:t>需要与医院原有的无线控制器无缝对接统一管理，为满足实际需求，如需要进行测试、接口开发、追加设备或替换现网无线控制器所产生的任何额外费用，由投标人承担。投标时提供兼容性承诺函扫描件并加盖投标人公章。</w:t>
            </w:r>
          </w:p>
        </w:tc>
      </w:tr>
      <w:tr>
        <w:tc>
          <w:tcPr>
            <w:tcW w:type="dxa" w:w="1055"/>
            <w:vMerge/>
            <w:tcBorders>
              <w:top w:val="none" w:color="000000" w:sz="4"/>
              <w:left w:val="single" w:color="000000" w:sz="4"/>
              <w:bottom w:val="none" w:color="000000" w:sz="4"/>
              <w:right w:val="single" w:color="000000" w:sz="4"/>
            </w:tcBorders>
          </w:tcPr>
          <w:p/>
        </w:tc>
        <w:tc>
          <w:tcPr>
            <w:tcW w:type="dxa" w:w="7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firstLine="33"/>
              <w:jc w:val="left"/>
            </w:pPr>
            <w:r>
              <w:rPr>
                <w:sz w:val="21"/>
              </w:rPr>
              <w:t>12.</w:t>
            </w:r>
            <w:r>
              <w:rPr>
                <w:sz w:val="21"/>
                <w:color w:val="000000"/>
              </w:rPr>
              <w:t>为保障设备受到外部机械碰撞仍可以保持结构完整、功能完备，要求所投室内无线接入点防护等级</w:t>
            </w:r>
            <w:r>
              <w:rPr>
                <w:sz w:val="21"/>
                <w:color w:val="000000"/>
              </w:rPr>
              <w:t>≥IK08。</w:t>
            </w:r>
          </w:p>
        </w:tc>
      </w:tr>
    </w:tbl>
    <w:p>
      <w:pPr>
        <w:pStyle w:val="null3"/>
        <w:jc w:val="both"/>
      </w:pPr>
      <w:r>
        <w:rPr>
          <w:sz w:val="21"/>
          <w:b/>
        </w:rPr>
        <w:t>3、2、10</w:t>
      </w:r>
      <w:r>
        <w:rPr>
          <w:sz w:val="21"/>
          <w:b/>
        </w:rPr>
        <w:t>无线</w:t>
      </w:r>
      <w:r>
        <w:rPr>
          <w:sz w:val="21"/>
          <w:b/>
        </w:rPr>
        <w:t xml:space="preserve">AP（普通）  </w:t>
      </w:r>
    </w:p>
    <w:tbl>
      <w:tblPr>
        <w:tblW w:w="0" w:type="auto"/>
        <w:tblBorders>
          <w:top w:val="none" w:color="000000" w:sz="4"/>
          <w:left w:val="none" w:color="000000" w:sz="4"/>
          <w:bottom w:val="none" w:color="000000" w:sz="4"/>
          <w:right w:val="none" w:color="000000" w:sz="4"/>
          <w:insideH w:val="none"/>
          <w:insideV w:val="none"/>
        </w:tblBorders>
      </w:tblPr>
      <w:tblGrid>
        <w:gridCol w:w="1068"/>
        <w:gridCol w:w="7223"/>
      </w:tblGrid>
      <w:tr>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指标项</w:t>
            </w:r>
          </w:p>
        </w:tc>
        <w:tc>
          <w:tcPr>
            <w:tcW w:type="dxa" w:w="7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10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硬件规格</w:t>
            </w: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1.</w:t>
            </w:r>
            <w:r>
              <w:rPr>
                <w:sz w:val="21"/>
              </w:rPr>
              <w:t>▲</w:t>
            </w:r>
            <w:r>
              <w:rPr>
                <w:sz w:val="21"/>
                <w:color w:val="000000"/>
              </w:rPr>
              <w:t>支持</w:t>
            </w:r>
            <w:r>
              <w:rPr>
                <w:sz w:val="21"/>
                <w:color w:val="000000"/>
              </w:rPr>
              <w:t>802.11ac协议,</w:t>
            </w:r>
            <w:r>
              <w:rPr>
                <w:sz w:val="19"/>
              </w:rPr>
              <w:t xml:space="preserve"> </w:t>
            </w:r>
            <w:r>
              <w:rPr>
                <w:sz w:val="21"/>
                <w:color w:val="000000"/>
              </w:rPr>
              <w:t>整机</w:t>
            </w:r>
            <w:r>
              <w:rPr>
                <w:sz w:val="21"/>
                <w:color w:val="000000"/>
              </w:rPr>
              <w:t>≥4条空间流。</w:t>
            </w:r>
            <w:r>
              <w:rPr>
                <w:sz w:val="21"/>
              </w:rPr>
              <w:t>投标人须提供投标产品彩页或相应技术参数的厂家技术白皮书（</w:t>
            </w:r>
            <w:r>
              <w:rPr>
                <w:sz w:val="21"/>
              </w:rPr>
              <w:t>datasheet</w:t>
            </w:r>
            <w:r>
              <w:rPr>
                <w:sz w:val="21"/>
              </w:rPr>
              <w:t>）、质量认可材料、第三方机构的</w:t>
            </w:r>
            <w:r>
              <w:rPr>
                <w:sz w:val="21"/>
              </w:rPr>
              <w:t>检测</w:t>
            </w:r>
            <w:r>
              <w:rPr>
                <w:sz w:val="21"/>
              </w:rPr>
              <w:t>报告等作为技术证明文件，否则评标委员会有权视相应技术参数响应不符合招标要求</w:t>
            </w:r>
            <w:r>
              <w:rPr>
                <w:sz w:val="21"/>
              </w:rPr>
              <w:t>）。</w:t>
            </w:r>
          </w:p>
        </w:tc>
      </w:tr>
      <w:tr>
        <w:tc>
          <w:tcPr>
            <w:tcW w:type="dxa" w:w="1068"/>
            <w:vMerge/>
            <w:tcBorders>
              <w:top w:val="none" w:color="000000" w:sz="4"/>
              <w:left w:val="single" w:color="000000" w:sz="4"/>
              <w:bottom w:val="single" w:color="000000" w:sz="4"/>
              <w:right w:val="single" w:color="000000" w:sz="4"/>
            </w:tcBorders>
          </w:tc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2.</w:t>
            </w:r>
            <w:r>
              <w:rPr>
                <w:sz w:val="21"/>
                <w:color w:val="000000"/>
              </w:rPr>
              <w:t>整机最大无线速率</w:t>
            </w:r>
            <w:r>
              <w:rPr>
                <w:sz w:val="21"/>
                <w:color w:val="000000"/>
              </w:rPr>
              <w:t>≥2.97Gbps。</w:t>
            </w:r>
          </w:p>
        </w:tc>
      </w:tr>
      <w:tr>
        <w:tc>
          <w:tcPr>
            <w:tcW w:type="dxa" w:w="1068"/>
            <w:vMerge/>
            <w:tcBorders>
              <w:top w:val="none" w:color="000000" w:sz="4"/>
              <w:left w:val="single" w:color="000000" w:sz="4"/>
              <w:bottom w:val="single" w:color="000000" w:sz="4"/>
              <w:right w:val="single" w:color="000000" w:sz="4"/>
            </w:tcBorders>
          </w:tc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3.</w:t>
            </w:r>
            <w:r>
              <w:rPr>
                <w:sz w:val="21"/>
                <w:color w:val="000000"/>
              </w:rPr>
              <w:t>1个10/100/1000Base-T以太网口，支持PoE供电</w:t>
            </w:r>
          </w:p>
        </w:tc>
      </w:tr>
      <w:tr>
        <w:tc>
          <w:tcPr>
            <w:tcW w:type="dxa" w:w="10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功能参数</w:t>
            </w:r>
          </w:p>
          <w:p>
            <w:pPr>
              <w:pStyle w:val="null3"/>
              <w:jc w:val="both"/>
            </w:p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w:t>
            </w:r>
            <w:r>
              <w:rPr>
                <w:sz w:val="21"/>
                <w:color w:val="000000"/>
              </w:rPr>
              <w:t>支持</w:t>
            </w:r>
            <w:r>
              <w:rPr>
                <w:sz w:val="21"/>
                <w:color w:val="000000"/>
              </w:rPr>
              <w:t>IP41防护等级。</w:t>
            </w:r>
          </w:p>
        </w:tc>
      </w:tr>
      <w:tr>
        <w:tc>
          <w:tcPr>
            <w:tcW w:type="dxa" w:w="1068"/>
            <w:vMerge/>
            <w:tcBorders>
              <w:top w:val="none" w:color="000000" w:sz="4"/>
              <w:left w:val="single" w:color="000000" w:sz="4"/>
              <w:bottom w:val="single" w:color="000000" w:sz="4"/>
              <w:right w:val="single" w:color="000000" w:sz="4"/>
            </w:tcBorders>
          </w:tc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5.</w:t>
            </w:r>
            <w:r>
              <w:rPr>
                <w:sz w:val="21"/>
                <w:color w:val="000000"/>
              </w:rPr>
              <w:t>设备应支持</w:t>
            </w:r>
            <w:r>
              <w:rPr>
                <w:sz w:val="21"/>
                <w:color w:val="000000"/>
              </w:rPr>
              <w:t>802.11R快速漫游，提升漫游体验</w:t>
            </w:r>
          </w:p>
        </w:tc>
      </w:tr>
      <w:tr>
        <w:tc>
          <w:tcPr>
            <w:tcW w:type="dxa" w:w="1068"/>
            <w:vMerge/>
            <w:tcBorders>
              <w:top w:val="none" w:color="000000" w:sz="4"/>
              <w:left w:val="single" w:color="000000" w:sz="4"/>
              <w:bottom w:val="single" w:color="000000" w:sz="4"/>
              <w:right w:val="single" w:color="000000" w:sz="4"/>
            </w:tcBorders>
          </w:tc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6.</w:t>
            </w:r>
            <w:r>
              <w:rPr>
                <w:sz w:val="21"/>
                <w:color w:val="000000"/>
              </w:rPr>
              <w:t>为快速建立高度隔离的安全网络，设备应支持实现</w:t>
            </w:r>
            <w:r>
              <w:rPr>
                <w:sz w:val="21"/>
                <w:color w:val="000000"/>
              </w:rPr>
              <w:t>AP虚拟化功能，实现一台AP虚拟为多台AP，分别受不同AC设备独立管理，互不影响。不同虚拟 AP之间数据隔离，虚拟AP在AC上不占用AP License。</w:t>
            </w:r>
          </w:p>
        </w:tc>
      </w:tr>
      <w:tr>
        <w:tc>
          <w:tcPr>
            <w:tcW w:type="dxa" w:w="1068"/>
            <w:vMerge/>
            <w:tcBorders>
              <w:top w:val="none" w:color="000000" w:sz="4"/>
              <w:left w:val="single" w:color="000000" w:sz="4"/>
              <w:bottom w:val="single" w:color="000000" w:sz="4"/>
              <w:right w:val="single" w:color="000000" w:sz="4"/>
            </w:tcBorders>
          </w:tc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7.</w:t>
            </w:r>
            <w:r>
              <w:rPr>
                <w:sz w:val="21"/>
              </w:rPr>
              <w:t>▲</w:t>
            </w:r>
            <w:r>
              <w:rPr>
                <w:sz w:val="21"/>
                <w:color w:val="000000"/>
              </w:rPr>
              <w:t>为了降低辐射对人体带来的潜在危害，保证设备电磁辐射对人体安全，所投产品要求满足</w:t>
            </w:r>
            <w:r>
              <w:rPr>
                <w:sz w:val="21"/>
                <w:color w:val="000000"/>
              </w:rPr>
              <w:t>Council Recommendation 1999/519/EC Annex II 的相关要求，SAR值不高于2.0W/kg。</w:t>
            </w:r>
            <w:r>
              <w:rPr>
                <w:sz w:val="21"/>
              </w:rPr>
              <w:t>投标时提供承诺书加盖公章（格式自拟），承诺交货时</w:t>
            </w:r>
            <w:r>
              <w:rPr>
                <w:sz w:val="21"/>
                <w:color w:val="000000"/>
              </w:rPr>
              <w:t>提供</w:t>
            </w:r>
            <w:r>
              <w:rPr>
                <w:sz w:val="21"/>
              </w:rPr>
              <w:t>第三方检测机构</w:t>
            </w:r>
            <w:r>
              <w:rPr>
                <w:sz w:val="21"/>
                <w:color w:val="000000"/>
              </w:rPr>
              <w:t>出具的检测报告复印件。</w:t>
            </w:r>
          </w:p>
        </w:tc>
      </w:tr>
      <w:tr>
        <w:tc>
          <w:tcPr>
            <w:tcW w:type="dxa" w:w="1068"/>
            <w:vMerge/>
            <w:tcBorders>
              <w:top w:val="none" w:color="000000" w:sz="4"/>
              <w:left w:val="single" w:color="000000" w:sz="4"/>
              <w:bottom w:val="single" w:color="000000" w:sz="4"/>
              <w:right w:val="single" w:color="000000" w:sz="4"/>
            </w:tcBorders>
          </w:tc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8.</w:t>
            </w:r>
            <w:r>
              <w:rPr>
                <w:sz w:val="21"/>
                <w:color w:val="000000"/>
              </w:rPr>
              <w:t>支持</w:t>
            </w:r>
            <w:r>
              <w:rPr>
                <w:sz w:val="21"/>
                <w:color w:val="000000"/>
              </w:rPr>
              <w:t>IPv6技术，包括IPv6报文透传 ,IPv6终端接入认证</w:t>
            </w:r>
          </w:p>
        </w:tc>
      </w:tr>
      <w:tr>
        <w:tc>
          <w:tcPr>
            <w:tcW w:type="dxa" w:w="1068"/>
            <w:vMerge/>
            <w:tcBorders>
              <w:top w:val="none" w:color="000000" w:sz="4"/>
              <w:left w:val="single" w:color="000000" w:sz="4"/>
              <w:bottom w:val="single" w:color="000000" w:sz="4"/>
              <w:right w:val="single" w:color="000000" w:sz="4"/>
            </w:tcBorders>
          </w:tc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9.</w:t>
            </w:r>
            <w:r>
              <w:rPr>
                <w:sz w:val="21"/>
                <w:color w:val="000000"/>
              </w:rPr>
              <w:t>支持无线频谱分析</w:t>
            </w:r>
            <w:r>
              <w:rPr>
                <w:sz w:val="21"/>
                <w:color w:val="000000"/>
              </w:rPr>
              <w:t>,可视化射频干扰源对无线局域网的性能的影响</w:t>
            </w:r>
          </w:p>
        </w:tc>
      </w:tr>
      <w:tr>
        <w:tc>
          <w:tcPr>
            <w:tcW w:type="dxa" w:w="1068"/>
            <w:vMerge/>
            <w:tcBorders>
              <w:top w:val="none" w:color="000000" w:sz="4"/>
              <w:left w:val="single" w:color="000000" w:sz="4"/>
              <w:bottom w:val="single" w:color="000000" w:sz="4"/>
              <w:right w:val="single" w:color="000000" w:sz="4"/>
            </w:tcBorders>
          </w:tcPr>
          <w:p/>
        </w:tc>
        <w:tc>
          <w:tcPr>
            <w:tcW w:type="dxa" w:w="7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10.</w:t>
            </w:r>
            <w:r>
              <w:rPr>
                <w:sz w:val="21"/>
                <w:color w:val="000000"/>
              </w:rPr>
              <w:t>为确保网络使用的安全性，要求符合国际</w:t>
            </w:r>
            <w:r>
              <w:rPr>
                <w:sz w:val="21"/>
                <w:color w:val="000000"/>
              </w:rPr>
              <w:t>WiFi联盟规范的WPA3标准</w:t>
            </w:r>
          </w:p>
        </w:tc>
      </w:tr>
    </w:tbl>
    <w:p>
      <w:pPr>
        <w:pStyle w:val="null3"/>
        <w:jc w:val="both"/>
      </w:pPr>
      <w:r>
        <w:rPr>
          <w:sz w:val="21"/>
          <w:b/>
        </w:rPr>
        <w:t>3、2、11</w:t>
      </w:r>
      <w:r>
        <w:rPr>
          <w:sz w:val="24"/>
          <w:b/>
          <w:color w:val="000000"/>
        </w:rPr>
        <w:t>零漫游</w:t>
      </w:r>
      <w:r>
        <w:rPr>
          <w:sz w:val="24"/>
          <w:b/>
          <w:color w:val="000000"/>
        </w:rPr>
        <w:t>A</w:t>
      </w:r>
      <w:r>
        <w:rPr>
          <w:sz w:val="24"/>
          <w:b/>
          <w:color w:val="000000"/>
        </w:rPr>
        <w:t>P</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26"/>
        <w:gridCol w:w="7266"/>
      </w:tblGrid>
      <w:tr>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指标项</w:t>
            </w:r>
          </w:p>
        </w:tc>
        <w:tc>
          <w:tcPr>
            <w:tcW w:type="dxa" w:w="7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10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硬件规格</w:t>
            </w: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w:t>
            </w:r>
            <w:r>
              <w:rPr>
                <w:sz w:val="21"/>
              </w:rPr>
              <w:t>单台</w:t>
            </w:r>
            <w:r>
              <w:rPr>
                <w:sz w:val="21"/>
                <w:color w:val="000000"/>
              </w:rPr>
              <w:t>零漫游</w:t>
            </w:r>
            <w:r>
              <w:rPr>
                <w:sz w:val="21"/>
                <w:color w:val="000000"/>
              </w:rPr>
              <w:t>A</w:t>
            </w:r>
            <w:r>
              <w:rPr>
                <w:sz w:val="21"/>
                <w:color w:val="000000"/>
              </w:rPr>
              <w:t>P</w:t>
            </w:r>
            <w:r>
              <w:rPr>
                <w:sz w:val="21"/>
              </w:rPr>
              <w:t>支持</w:t>
            </w:r>
            <w:r>
              <w:rPr>
                <w:sz w:val="21"/>
              </w:rPr>
              <w:t>802.11a/b/g/n/ac/ax/be协议，需要采用三射频设计，整机支持6条空间流，最大无线接入速率≥5 Gbps。</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w:t>
            </w:r>
            <w:r>
              <w:rPr>
                <w:sz w:val="21"/>
              </w:rPr>
              <w:t>▲</w:t>
            </w:r>
            <w:r>
              <w:rPr>
                <w:sz w:val="21"/>
              </w:rPr>
              <w:t>⽀</w:t>
            </w:r>
            <w:r>
              <w:rPr>
                <w:sz w:val="21"/>
              </w:rPr>
              <w:t>持内</w:t>
            </w:r>
            <w:r>
              <w:rPr>
                <w:sz w:val="21"/>
              </w:rPr>
              <w:t>⽹</w:t>
            </w:r>
            <w:r>
              <w:rPr>
                <w:sz w:val="21"/>
              </w:rPr>
              <w:t>、外</w:t>
            </w:r>
            <w:r>
              <w:rPr>
                <w:sz w:val="21"/>
              </w:rPr>
              <w:t>⽹</w:t>
            </w:r>
            <w:r>
              <w:rPr>
                <w:sz w:val="21"/>
              </w:rPr>
              <w:t>隔离，投标时提供承诺函加盖公章（格式自拟），承诺交货时提供第三方检测机构出具的检测报告。</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w:t>
            </w:r>
            <w:r>
              <w:rPr>
                <w:sz w:val="21"/>
              </w:rPr>
              <w:t>单台</w:t>
            </w:r>
            <w:r>
              <w:rPr>
                <w:sz w:val="21"/>
                <w:color w:val="000000"/>
              </w:rPr>
              <w:t>零漫游</w:t>
            </w:r>
            <w:r>
              <w:rPr>
                <w:sz w:val="21"/>
                <w:color w:val="000000"/>
              </w:rPr>
              <w:t>A</w:t>
            </w:r>
            <w:r>
              <w:rPr>
                <w:sz w:val="21"/>
                <w:color w:val="000000"/>
              </w:rPr>
              <w:t>P</w:t>
            </w:r>
            <w:r>
              <w:rPr>
                <w:sz w:val="21"/>
              </w:rPr>
              <w:t>整机配置（非外接其他设备）上联口：</w:t>
            </w:r>
            <w:r>
              <w:rPr>
                <w:sz w:val="21"/>
              </w:rPr>
              <w:t>≥3个10/100/1000Base-T自适应以太网接口，其中2个支持IEEE 802.3at/bt标准PoE受电，≥2个2.5GE SFP口，SFP2口兼容1GE SFP，SFP1口不支持1GE SFP。下联口：≥1个10/100/1000Base-T自适应以太网电口，支持对物联网单元供电（54V/10W）（物联网扩展应用）。</w:t>
            </w:r>
          </w:p>
        </w:tc>
      </w:tr>
      <w:tr>
        <w:tc>
          <w:tcPr>
            <w:tcW w:type="dxa" w:w="10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功能参数</w:t>
            </w: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r>
              <w:rPr>
                <w:sz w:val="21"/>
              </w:rPr>
              <w:t>.</w:t>
            </w:r>
            <w:r>
              <w:rPr>
                <w:sz w:val="21"/>
              </w:rPr>
              <w:t>▲支持双灵活物联网扩展应用，单台基站含内置标准Mini PCI-e扩展卡插槽为物联网设备供电、传输数据，</w:t>
            </w:r>
            <w:r>
              <w:rPr>
                <w:sz w:val="21"/>
              </w:rPr>
              <w:t>投标人须提供投标产品彩页或相应技术参数的厂家技术白皮书（</w:t>
            </w:r>
            <w:r>
              <w:rPr>
                <w:sz w:val="21"/>
              </w:rPr>
              <w:t>datasheet</w:t>
            </w:r>
            <w:r>
              <w:rPr>
                <w:sz w:val="21"/>
              </w:rPr>
              <w:t>）、质量认可材料、第三方机构的</w:t>
            </w:r>
            <w:r>
              <w:rPr>
                <w:sz w:val="21"/>
              </w:rPr>
              <w:t>检测</w:t>
            </w:r>
            <w:r>
              <w:rPr>
                <w:sz w:val="21"/>
              </w:rPr>
              <w:t>报告等作为技术证明文件，否则评标委员会有权视相应技术参数响应不符合招标要求</w:t>
            </w:r>
            <w:r>
              <w:rPr>
                <w:sz w:val="21"/>
              </w:rPr>
              <w:t>。</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r>
              <w:rPr>
                <w:sz w:val="21"/>
              </w:rPr>
              <w:t>.</w:t>
            </w:r>
            <w:r>
              <w:rPr>
                <w:sz w:val="21"/>
              </w:rPr>
              <w:t>▲Wi-Fi射频信号输出接口：≥8个QMA型射频接口，</w:t>
            </w:r>
            <w:r>
              <w:rPr>
                <w:sz w:val="21"/>
                <w:color w:val="000000"/>
              </w:rPr>
              <w:t>（</w:t>
            </w:r>
            <w:r>
              <w:rPr>
                <w:sz w:val="21"/>
              </w:rPr>
              <w:t>所有投标人须提供投标产品彩页或相应技术参数的厂家技术白皮书（</w:t>
            </w:r>
            <w:r>
              <w:rPr>
                <w:sz w:val="21"/>
              </w:rPr>
              <w:t>datasheet</w:t>
            </w:r>
            <w:r>
              <w:rPr>
                <w:sz w:val="21"/>
              </w:rPr>
              <w:t>）、质量认可材料、第三方机构的</w:t>
            </w:r>
            <w:r>
              <w:rPr>
                <w:sz w:val="21"/>
              </w:rPr>
              <w:t>检测</w:t>
            </w:r>
            <w:r>
              <w:rPr>
                <w:sz w:val="21"/>
              </w:rPr>
              <w:t>报告等作为技术证明文件，否则评标委员会有权视相应技术参数响应不符合招标要求</w:t>
            </w:r>
            <w:r>
              <w:rPr>
                <w:sz w:val="21"/>
              </w:rPr>
              <w:t>）。</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r>
              <w:rPr>
                <w:sz w:val="21"/>
              </w:rPr>
              <w:t>.</w:t>
            </w:r>
            <w:r>
              <w:rPr>
                <w:sz w:val="21"/>
              </w:rPr>
              <w:t>信号强度：在目标区域无遮挡的覆盖范围内，</w:t>
            </w:r>
            <w:r>
              <w:rPr>
                <w:sz w:val="21"/>
              </w:rPr>
              <w:t>WLAN须同时支持2.4GHz和5GHz信号发射，2.4GHz 和5GHz信号强度应始终保持在-65dBm以上；</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r>
              <w:rPr>
                <w:sz w:val="21"/>
              </w:rPr>
              <w:t>.</w:t>
            </w:r>
            <w:r>
              <w:rPr>
                <w:sz w:val="21"/>
              </w:rPr>
              <w:t>支持</w:t>
            </w:r>
            <w:r>
              <w:rPr>
                <w:sz w:val="21"/>
              </w:rPr>
              <w:t>SSID隐藏，支持为每个SSID配置单独的认证方式、加密机制，VLAN属性；</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r>
              <w:rPr>
                <w:sz w:val="21"/>
              </w:rPr>
              <w:t>.</w:t>
            </w:r>
            <w:r>
              <w:rPr>
                <w:sz w:val="21"/>
              </w:rPr>
              <w:t>支持基于</w:t>
            </w:r>
            <w:r>
              <w:rPr>
                <w:sz w:val="21"/>
              </w:rPr>
              <w:t>SSID、射频卡的接入用户数限制；</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9.支持WPA（TKIP）、WPA-PSK、WPA2（AES）、WPA3。</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10.支持QoS 802.11e。</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11.支持终端移动可视化。</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12.支持天馈线可视化。</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13.为保障医院移动医护业务不中断，内网业务需支持冗余备份，内网网络中断后，sta可以快速切换关联到备份网络使用。</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14.支持声音定位功能。</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15.支持基于终端数或流量的智能负载均衡，支持基于STA/SSID/AP的限速；</w:t>
            </w:r>
          </w:p>
        </w:tc>
      </w:tr>
      <w:tr>
        <w:tc>
          <w:tcPr>
            <w:tcW w:type="dxa" w:w="10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产品资质</w:t>
            </w: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16.当AP工作在Fit（瘦）模式时，可通过AC系列无线控制器切换为Fat模式；当AP工作在Fat（胖）模式时，可通过本地控制口、Telnet方式切换为Fit模式；</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17.为避免无线网络中私接非法AP，所投AP应支持非法AP检测及反制功能。具有非法AP的精确反制和模糊反制功能，能够主动识别非法设备并令非法设备不能使用；</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18.漫游切换：2.4GHz或5GHz无线信号可实现单一病区内零漫游、零切换；</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xml:space="preserve"> </w:t>
            </w:r>
            <w:r>
              <w:rPr>
                <w:sz w:val="21"/>
              </w:rPr>
              <w:t>▲每台配置≥</w:t>
            </w:r>
            <w:r>
              <w:rPr>
                <w:sz w:val="21"/>
              </w:rPr>
              <w:t>1</w:t>
            </w:r>
            <w:r>
              <w:rPr>
                <w:sz w:val="21"/>
              </w:rPr>
              <w:t>个</w:t>
            </w:r>
            <w:r>
              <w:rPr>
                <w:sz w:val="21"/>
              </w:rPr>
              <w:t>AP管理授权支持与招标人现有无线控制器(RG-WS系列)对接，可以直接组建CAPWAP隧道实现上线统一管理，为满足实际需求，如需要进行测试、接口开发、追加设备所产生的任何额外费用，由投标人承担；</w:t>
            </w:r>
            <w:r>
              <w:rPr>
                <w:sz w:val="21"/>
                <w:b/>
                <w:u w:val="single"/>
              </w:rPr>
              <w:t>（提供承诺函，格式自拟）</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0.</w:t>
            </w:r>
            <w:r>
              <w:rPr>
                <w:sz w:val="21"/>
              </w:rPr>
              <w:t>为简便招标人信息部门对无线网络的管理和运维以及快速的移动医护业务恢复，支持与招标人现有无线控制器</w:t>
            </w:r>
            <w:r>
              <w:rPr>
                <w:sz w:val="21"/>
              </w:rPr>
              <w:t>(RG-WS</w:t>
            </w:r>
            <w:r>
              <w:rPr>
                <w:sz w:val="21"/>
              </w:rPr>
              <w:t>系列</w:t>
            </w:r>
            <w:r>
              <w:rPr>
                <w:sz w:val="21"/>
              </w:rPr>
              <w:t>)</w:t>
            </w:r>
            <w:r>
              <w:rPr>
                <w:sz w:val="21"/>
              </w:rPr>
              <w:t>对接兼容，实现对终端移动轨迹可视化功能，可直观查看漫游</w:t>
            </w:r>
            <w:r>
              <w:rPr>
                <w:sz w:val="21"/>
              </w:rPr>
              <w:t>“用户总数”、“漫游异常”、“漫游正常”等可视化查看，点击“漫游异常”的用户可快速进入“漫游详情”页面，并看到终端的漫游信息（信号强度、速率、信道等数据）、同时针对漫游异常状态可以分析具体原因，方便管理和维护；</w:t>
            </w:r>
          </w:p>
        </w:tc>
      </w:tr>
      <w:tr>
        <w:tc>
          <w:tcPr>
            <w:tcW w:type="dxa" w:w="1026"/>
            <w:vMerge/>
            <w:tcBorders>
              <w:top w:val="none" w:color="000000" w:sz="4"/>
              <w:left w:val="single" w:color="000000" w:sz="4"/>
              <w:bottom w:val="single" w:color="000000" w:sz="4"/>
              <w:right w:val="single" w:color="000000" w:sz="4"/>
            </w:tcBorders>
          </w:tcPr>
          <w:p/>
        </w:tc>
        <w:tc>
          <w:tcPr>
            <w:tcW w:type="dxa" w:w="7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1.</w:t>
            </w:r>
            <w:r>
              <w:rPr>
                <w:sz w:val="21"/>
              </w:rPr>
              <w:t>支持端口检测功能，可以现场通过指示灯以及远程网管等多种方式进行查看，方便管理和维护。</w:t>
            </w:r>
          </w:p>
        </w:tc>
      </w:tr>
    </w:tbl>
    <w:p>
      <w:pPr>
        <w:pStyle w:val="null3"/>
        <w:jc w:val="both"/>
      </w:pPr>
      <w:r>
        <w:rPr>
          <w:sz w:val="21"/>
          <w:b/>
        </w:rPr>
        <w:t>3、3</w:t>
      </w:r>
      <w:r>
        <w:rPr>
          <w:sz w:val="21"/>
          <w:b/>
        </w:rPr>
        <w:t>其他需求</w:t>
      </w:r>
    </w:p>
    <w:p>
      <w:pPr>
        <w:pStyle w:val="null3"/>
        <w:jc w:val="both"/>
      </w:pPr>
      <w:r>
        <w:rPr>
          <w:sz w:val="21"/>
        </w:rPr>
        <w:t>（</w:t>
      </w:r>
      <w:r>
        <w:rPr>
          <w:sz w:val="21"/>
        </w:rPr>
        <w:t>1）本次报价清单为估算数量，最终以医院需求，按实际完工的数量及报价清单的单价为结算依据，按季度末为结算周期来结算。</w:t>
      </w:r>
    </w:p>
    <w:p>
      <w:pPr>
        <w:pStyle w:val="null3"/>
        <w:jc w:val="both"/>
      </w:pPr>
      <w:r>
        <w:rPr>
          <w:sz w:val="21"/>
        </w:rPr>
        <w:t>（</w:t>
      </w:r>
      <w:r>
        <w:rPr>
          <w:sz w:val="21"/>
        </w:rPr>
        <w:t>2）网络服务信息点铺设费用包括所需的材料费（如：网线、配线架、网络机柜、铺设管线材料、信息面板、底盒和测试等）和施工的人工费。光缆铺设费用包括所需的材料费（如：光缆、光纤盒、 铺设管线材料、熔纤和测试等）和施工的人工费。网络设备所需的费用包括设备费（如：交换机、收发器、光模块、光纤跳线等）和设备的安装调试人工费。</w:t>
      </w:r>
    </w:p>
    <w:p>
      <w:pPr>
        <w:pStyle w:val="null3"/>
        <w:jc w:val="both"/>
      </w:pPr>
      <w:r>
        <w:rPr>
          <w:sz w:val="21"/>
        </w:rPr>
        <w:t>（</w:t>
      </w:r>
      <w:r>
        <w:rPr>
          <w:sz w:val="21"/>
        </w:rPr>
        <w:t>3）本服务材料、设备设定最高限价，投标报价高于限价的视为废标。</w:t>
      </w:r>
    </w:p>
    <w:p>
      <w:pPr>
        <w:pStyle w:val="null3"/>
        <w:jc w:val="both"/>
      </w:pPr>
      <w:r>
        <w:rPr>
          <w:sz w:val="21"/>
        </w:rPr>
        <w:t>（</w:t>
      </w:r>
      <w:r>
        <w:rPr>
          <w:sz w:val="21"/>
        </w:rPr>
        <w:t>4）本服务的维保期为两年，设备维保为原厂三年。</w:t>
      </w:r>
    </w:p>
    <w:p>
      <w:pPr>
        <w:pStyle w:val="null3"/>
        <w:jc w:val="both"/>
      </w:pPr>
      <w:r>
        <w:rPr>
          <w:sz w:val="21"/>
        </w:rPr>
        <w:t>▲（5）布线系统的选型必须符合南方医科大学珠江医院整个布线系统的一致性，保障已有的布线系统投资，使用统一型号的接插件，提高维护的简便性及减少采购难度。网络设备的采购、安装必须符合南方医科大学珠江医院全院网络管理一致性的原则，实现无缝连接。投标人所投无线AP产品，须与南方医科大学珠江医院现使用的无线控制器（型号为：锐捷R</w:t>
      </w:r>
      <w:r>
        <w:rPr>
          <w:sz w:val="21"/>
        </w:rPr>
        <w:t>G-WS6812</w:t>
      </w:r>
      <w:r>
        <w:rPr>
          <w:sz w:val="21"/>
        </w:rPr>
        <w:t>）实现兼容与统一管理。为保证系统的开放性和可扩展性，投标产品须满足以下基于国际标准的技术要求：</w:t>
      </w:r>
    </w:p>
    <w:p>
      <w:pPr>
        <w:pStyle w:val="null3"/>
        <w:jc w:val="both"/>
      </w:pPr>
      <w:r>
        <w:rPr>
          <w:sz w:val="21"/>
        </w:rPr>
        <w:t>1）、硬件接口兼容：投标产品应能通过标准的千兆/万兆以太网接口（符合IEEE 802.3标准）与无线控制器进行物理连接在其之上运行无线协议，无线协议推荐支持但不限于由国际互联网工程任务组（IETF） 发布的开放国际标准 CAPWAP协议（RFC 5415）。</w:t>
      </w:r>
    </w:p>
    <w:p>
      <w:pPr>
        <w:pStyle w:val="null3"/>
        <w:jc w:val="both"/>
      </w:pPr>
      <w:r>
        <w:rPr>
          <w:sz w:val="21"/>
        </w:rPr>
        <w:t>2）、管理协议兼容：投标产品须支持标准的SNMP v1/v2c/v3、RMON及Syslog等网络管理协议，以确保能被纳入现有网络管理系统进行统一监控和管理。</w:t>
      </w:r>
    </w:p>
    <w:p>
      <w:pPr>
        <w:pStyle w:val="null3"/>
        <w:jc w:val="both"/>
      </w:pPr>
      <w:r>
        <w:rPr>
          <w:sz w:val="21"/>
        </w:rPr>
        <w:t>3）、AP控制协议兼容：投标AP产品推荐支持但不限于由国际互联网工程任务组（IETF） 发布的开放国际标准的CAPWAP协议（RFC 5415），以实现无线接入点（AP）的自动发现、固件升级和配置下发。</w:t>
      </w:r>
      <w:r>
        <w:rPr>
          <w:sz w:val="21"/>
          <w:b/>
          <w:u w:val="single"/>
        </w:rPr>
        <w:t>（提供承诺函，格式自拟）</w:t>
      </w:r>
    </w:p>
    <w:p>
      <w:pPr>
        <w:pStyle w:val="null3"/>
        <w:jc w:val="both"/>
      </w:pPr>
      <w:r>
        <w:rPr>
          <w:sz w:val="21"/>
        </w:rPr>
        <w:t>▲（</w:t>
      </w:r>
      <w:r>
        <w:rPr>
          <w:sz w:val="21"/>
        </w:rPr>
        <w:t>6</w:t>
      </w:r>
      <w:r>
        <w:rPr>
          <w:sz w:val="21"/>
        </w:rPr>
        <w:t>）为保证及时快速解决医院网络的故障处理或网络需求，本项目要求中标公司在合同期内提供</w:t>
      </w:r>
      <w:r>
        <w:rPr>
          <w:sz w:val="21"/>
        </w:rPr>
        <w:t>4名实施人员提供日常工作时间内（包括节假日技术保障）驻场服务，驻场人员费用计入投标总价内。驻场人员</w:t>
      </w:r>
      <w:r>
        <w:rPr>
          <w:sz w:val="21"/>
        </w:rPr>
        <w:t>在服务过程中需配备具有相应操作资质的人员进行实施服务，</w:t>
      </w:r>
      <w:r>
        <w:rPr>
          <w:sz w:val="21"/>
        </w:rPr>
        <w:t>如</w:t>
      </w:r>
      <w:r>
        <w:rPr>
          <w:sz w:val="21"/>
        </w:rPr>
        <w:t>信息系统项目管理师</w:t>
      </w:r>
      <w:r>
        <w:rPr>
          <w:sz w:val="21"/>
        </w:rPr>
        <w:t>证、网络</w:t>
      </w:r>
      <w:r>
        <w:rPr>
          <w:sz w:val="21"/>
        </w:rPr>
        <w:t>工程师证、高处作业证、电工证等专业资质。</w:t>
      </w:r>
      <w:r>
        <w:rPr>
          <w:sz w:val="21"/>
          <w:b/>
          <w:u w:val="single"/>
        </w:rPr>
        <w:t>（提供承诺函，格式自拟）</w:t>
      </w:r>
    </w:p>
    <w:p>
      <w:pPr>
        <w:pStyle w:val="null3"/>
        <w:jc w:val="both"/>
      </w:pPr>
      <w:r>
        <w:rPr>
          <w:sz w:val="21"/>
          <w:b/>
        </w:rPr>
        <w:t>（</w:t>
      </w:r>
      <w:r>
        <w:rPr>
          <w:sz w:val="21"/>
          <w:b/>
        </w:rPr>
        <w:t>7）</w:t>
      </w:r>
      <w:r>
        <w:rPr>
          <w:sz w:val="21"/>
        </w:rPr>
        <w:t>为保障网络零星服务的顺利进行，</w:t>
      </w:r>
      <w:r>
        <w:rPr>
          <w:sz w:val="21"/>
        </w:rPr>
        <w:t>本项目要求中标公司在服务期内常备充足的工具，如网络测试仪、笔记本电脑、电钻、冲击钻、铝梯、压线钳、螺丝刀、斜口钳、砂轮机等。</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4153"/>
      </w:tblGrid>
      <w:tr>
        <w:tc>
          <w:tcPr>
            <w:tcW w:type="dxa" w:w="4152"/>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sz w:val="21"/>
                <w:b/>
              </w:rPr>
              <w:t>投标人资质要求</w:t>
            </w:r>
          </w:p>
        </w:tc>
        <w:tc>
          <w:tcPr>
            <w:tcW w:type="dxa" w:w="415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同类项目经验</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投标人</w:t>
            </w:r>
            <w:r>
              <w:rPr>
                <w:sz w:val="19"/>
              </w:rPr>
              <w:t>20</w:t>
            </w:r>
            <w:r>
              <w:rPr>
                <w:sz w:val="19"/>
              </w:rPr>
              <w:t>23</w:t>
            </w:r>
            <w:r>
              <w:rPr>
                <w:sz w:val="19"/>
              </w:rPr>
              <w:t>年以来具有网络服务或建设或维保</w:t>
            </w:r>
            <w:r>
              <w:rPr>
                <w:sz w:val="19"/>
              </w:rPr>
              <w:t>、信息智能化、通信工程类型</w:t>
            </w:r>
            <w:r>
              <w:rPr>
                <w:sz w:val="19"/>
              </w:rPr>
              <w:t>的项目经验，以合同要点或验收报告为准（分公司投标的，总公司业绩不可纳入评审）</w:t>
            </w:r>
            <w:r>
              <w:rPr>
                <w:sz w:val="19"/>
              </w:rPr>
              <w:t>。</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公司管理体系及能力等级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具有：</w:t>
            </w:r>
            <w:r>
              <w:rPr>
                <w:sz w:val="19"/>
              </w:rPr>
              <w:t>ISO9001</w:t>
            </w:r>
            <w:r>
              <w:rPr>
                <w:sz w:val="19"/>
              </w:rPr>
              <w:t>质量管理体系认证</w:t>
            </w:r>
            <w:r>
              <w:rPr>
                <w:sz w:val="19"/>
              </w:rPr>
              <w:t>。</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项目实施团队人员配置要求</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工作模块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项目组人员及数量</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人员具体要求</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项目管理</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项目经理（</w:t>
            </w:r>
            <w:r>
              <w:rPr>
                <w:sz w:val="19"/>
              </w:rPr>
              <w:t>1人）</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具备人社部与工信部颁发的通信工程类相关专业中级或中级以上工程师技术职称的。</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项目实施</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本项目组成员</w:t>
            </w:r>
            <w:r>
              <w:rPr>
                <w:sz w:val="19"/>
              </w:rPr>
              <w:t>(</w:t>
            </w:r>
            <w:r>
              <w:rPr>
                <w:sz w:val="21"/>
              </w:rPr>
              <w:t>≥</w:t>
            </w:r>
            <w:r>
              <w:rPr>
                <w:sz w:val="19"/>
              </w:rPr>
              <w:t>5</w:t>
            </w:r>
            <w:r>
              <w:rPr>
                <w:sz w:val="19"/>
              </w:rPr>
              <w:t>人</w:t>
            </w:r>
            <w:r>
              <w:rPr>
                <w:sz w:val="19"/>
              </w:rPr>
              <w:t>)</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具有人社部与工信部颁发的信息系统项目管理师</w:t>
            </w:r>
            <w:r>
              <w:rPr>
                <w:sz w:val="19"/>
              </w:rPr>
              <w:t>中</w:t>
            </w:r>
            <w:r>
              <w:rPr>
                <w:sz w:val="19"/>
              </w:rPr>
              <w:t>级或</w:t>
            </w:r>
            <w:r>
              <w:rPr>
                <w:sz w:val="19"/>
              </w:rPr>
              <w:t>中级</w:t>
            </w:r>
            <w:r>
              <w:rPr>
                <w:sz w:val="19"/>
              </w:rPr>
              <w:t>以上证书</w:t>
            </w:r>
            <w:r>
              <w:rPr>
                <w:sz w:val="19"/>
              </w:rPr>
              <w:t>的</w:t>
            </w:r>
            <w:r>
              <w:rPr>
                <w:sz w:val="21"/>
              </w:rPr>
              <w:t>≥</w:t>
            </w:r>
            <w:r>
              <w:rPr>
                <w:sz w:val="19"/>
              </w:rPr>
              <w:t>1</w:t>
            </w:r>
            <w:r>
              <w:rPr>
                <w:sz w:val="19"/>
              </w:rPr>
              <w:t>人；</w:t>
            </w:r>
          </w:p>
          <w:p>
            <w:pPr>
              <w:pStyle w:val="null3"/>
            </w:pPr>
            <w:r>
              <w:rPr>
                <w:sz w:val="19"/>
              </w:rPr>
              <w:t>2.</w:t>
            </w:r>
            <w:r>
              <w:rPr>
                <w:sz w:val="19"/>
              </w:rPr>
              <w:t>具有人社部与工信部颁发的</w:t>
            </w:r>
            <w:r>
              <w:rPr>
                <w:sz w:val="19"/>
              </w:rPr>
              <w:t>“计算机技术与软件专业技术资格”专业类别为网络工程师中</w:t>
            </w:r>
            <w:r>
              <w:rPr>
                <w:sz w:val="19"/>
              </w:rPr>
              <w:t>级证书</w:t>
            </w:r>
            <w:r>
              <w:rPr>
                <w:sz w:val="19"/>
              </w:rPr>
              <w:t>的</w:t>
            </w:r>
            <w:r>
              <w:rPr>
                <w:sz w:val="21"/>
              </w:rPr>
              <w:t>≥</w:t>
            </w:r>
            <w:r>
              <w:rPr>
                <w:sz w:val="19"/>
              </w:rPr>
              <w:t>1</w:t>
            </w:r>
            <w:r>
              <w:rPr>
                <w:sz w:val="19"/>
              </w:rPr>
              <w:t>人；</w:t>
            </w:r>
          </w:p>
          <w:p>
            <w:pPr>
              <w:pStyle w:val="null3"/>
            </w:pPr>
            <w:r>
              <w:rPr>
                <w:sz w:val="19"/>
              </w:rPr>
              <w:t>3.</w:t>
            </w:r>
            <w:r>
              <w:rPr>
                <w:sz w:val="19"/>
              </w:rPr>
              <w:t>具有人社部与工信部颁发的</w:t>
            </w:r>
            <w:r>
              <w:rPr>
                <w:sz w:val="19"/>
              </w:rPr>
              <w:t>“通信专业技术人员职业资格”专业类别为传输与接入的中</w:t>
            </w:r>
            <w:r>
              <w:rPr>
                <w:sz w:val="19"/>
              </w:rPr>
              <w:t>级证书或以上证书</w:t>
            </w:r>
            <w:r>
              <w:rPr>
                <w:sz w:val="19"/>
              </w:rPr>
              <w:t>的</w:t>
            </w:r>
            <w:r>
              <w:rPr>
                <w:sz w:val="21"/>
              </w:rPr>
              <w:t>≥</w:t>
            </w:r>
            <w:r>
              <w:rPr>
                <w:sz w:val="19"/>
              </w:rPr>
              <w:t>1</w:t>
            </w:r>
            <w:r>
              <w:rPr>
                <w:sz w:val="19"/>
              </w:rPr>
              <w:t>人；</w:t>
            </w:r>
          </w:p>
          <w:p>
            <w:pPr>
              <w:pStyle w:val="null3"/>
            </w:pPr>
            <w:r>
              <w:rPr>
                <w:sz w:val="19"/>
              </w:rPr>
              <w:t>4</w:t>
            </w:r>
            <w:r>
              <w:rPr>
                <w:sz w:val="19"/>
              </w:rPr>
              <w:t xml:space="preserve">. </w:t>
            </w:r>
            <w:r>
              <w:rPr>
                <w:sz w:val="19"/>
                <w:b/>
              </w:rPr>
              <w:t>★</w:t>
            </w:r>
            <w:r>
              <w:rPr>
                <w:sz w:val="19"/>
              </w:rPr>
              <w:t>具有一个《特种作业操作证》（高处作业）</w:t>
            </w:r>
            <w:r>
              <w:rPr>
                <w:sz w:val="19"/>
              </w:rPr>
              <w:t>证书的</w:t>
            </w:r>
            <w:r>
              <w:rPr>
                <w:sz w:val="21"/>
              </w:rPr>
              <w:t>≥</w:t>
            </w:r>
            <w:r>
              <w:rPr>
                <w:sz w:val="19"/>
              </w:rPr>
              <w:t>1</w:t>
            </w:r>
            <w:r>
              <w:rPr>
                <w:sz w:val="19"/>
              </w:rPr>
              <w:t>人；</w:t>
            </w:r>
          </w:p>
          <w:p>
            <w:pPr>
              <w:pStyle w:val="null3"/>
            </w:pPr>
            <w:r>
              <w:rPr>
                <w:sz w:val="19"/>
              </w:rPr>
              <w:t xml:space="preserve">5. </w:t>
            </w:r>
            <w:r>
              <w:rPr>
                <w:sz w:val="19"/>
                <w:b/>
              </w:rPr>
              <w:t>★</w:t>
            </w:r>
            <w:r>
              <w:rPr>
                <w:sz w:val="19"/>
              </w:rPr>
              <w:t>具有</w:t>
            </w:r>
            <w:r>
              <w:rPr>
                <w:sz w:val="19"/>
              </w:rPr>
              <w:t>《电工证》证书</w:t>
            </w:r>
            <w:r>
              <w:rPr>
                <w:sz w:val="19"/>
              </w:rPr>
              <w:t>的</w:t>
            </w:r>
            <w:r>
              <w:rPr>
                <w:sz w:val="21"/>
              </w:rPr>
              <w:t>≥</w:t>
            </w:r>
            <w:r>
              <w:rPr>
                <w:sz w:val="19"/>
              </w:rPr>
              <w:t>1</w:t>
            </w:r>
            <w:r>
              <w:rPr>
                <w:sz w:val="19"/>
              </w:rPr>
              <w:t>人。</w:t>
            </w:r>
          </w:p>
        </w:tc>
      </w:tr>
    </w:tbl>
    <w:p>
      <w:pPr>
        <w:pStyle w:val="null3"/>
      </w:pPr>
      <w:r>
        <w:rPr/>
        <w:t>采购包1（南方医科大学珠江医院计算机网络零星服务项目）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本项目服务期为三年，以结算金额达到合同总金额或服务期达到三年为终止时间</w:t>
            </w:r>
          </w:p>
        </w:tc>
      </w:tr>
      <w:tr>
        <w:tc>
          <w:tcPr>
            <w:tcW w:type="dxa" w:w="4153"/>
          </w:tcPr>
          <w:p>
            <w:pPr>
              <w:pStyle w:val="null3"/>
            </w:pPr>
            <w:r>
              <w:rPr/>
              <w:t>标的提供的地点</w:t>
            </w:r>
          </w:p>
        </w:tc>
        <w:tc>
          <w:tcPr>
            <w:tcW w:type="dxa" w:w="4153"/>
          </w:tcPr>
          <w:p>
            <w:pPr>
              <w:pStyle w:val="null3"/>
            </w:pPr>
            <w:r>
              <w:rPr/>
              <w:t>南方医科大学珠江医院指定地点</w:t>
            </w:r>
          </w:p>
        </w:tc>
      </w:tr>
      <w:tr>
        <w:tc>
          <w:tcPr>
            <w:tcW w:type="dxa" w:w="4153"/>
          </w:tcPr>
          <w:p>
            <w:pPr>
              <w:pStyle w:val="null3"/>
            </w:pPr>
            <w:r>
              <w:rPr/>
              <w:t>付款方式</w:t>
            </w:r>
          </w:p>
        </w:tc>
        <w:tc>
          <w:tcPr>
            <w:tcW w:type="dxa" w:w="4153"/>
          </w:tcPr>
          <w:p>
            <w:pPr>
              <w:pStyle w:val="null3"/>
            </w:pPr>
            <w:r>
              <w:rPr/>
              <w:t>1期：支付比例100%,合同签订后，按实际完工的数量及结算清单的单价为结算依据，按季度末为结算周期来结算。（若中标人为中小企业，则合同签订后10个工作日内先支付30%预付款）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1期：根据年度考核进行验收，对于合同中约定的工作量和满意度来完成验收。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硬件集成实施服务</w:t>
            </w:r>
          </w:p>
        </w:tc>
        <w:tc>
          <w:tcPr>
            <w:tcW w:type="dxa" w:w="933"/>
          </w:tcPr>
          <w:p>
            <w:pPr>
              <w:pStyle w:val="null3"/>
              <w:jc w:val="left"/>
            </w:pPr>
            <w:r>
              <w:rPr/>
              <w:t>南方医科大学珠江医院计算机网络零星服务项目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2,901,000.00</w:t>
            </w:r>
          </w:p>
        </w:tc>
        <w:tc>
          <w:tcPr>
            <w:tcW w:type="dxa" w:w="933"/>
          </w:tcPr>
          <w:p>
            <w:pPr>
              <w:pStyle w:val="null3"/>
              <w:jc w:val="right"/>
            </w:pPr>
            <w:r>
              <w:rPr/>
              <w:t>2,901,000.00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南方医科大学珠江医院计算机网络零星服务项目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南方医科大学珠江医院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项目招标代理服务费以中标金额按差额定率累进法计算下浮20%向中标人收取：中标金额100万元以下部分费率：1.5%；中标金额100-500万元部分费率：0.8%；中标金额500-1000万元部分费率：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陈工、刘工</w:t>
      </w:r>
    </w:p>
    <w:p>
      <w:pPr>
        <w:pStyle w:val="null3"/>
        <w:ind w:firstLine="480"/>
      </w:pPr>
      <w:r>
        <w:rPr/>
        <w:t>电话：</w:t>
      </w:r>
      <w:r>
        <w:rPr/>
        <w:t>020-83543065</w:t>
      </w:r>
    </w:p>
    <w:p>
      <w:pPr>
        <w:pStyle w:val="null3"/>
        <w:ind w:firstLine="480"/>
      </w:pPr>
      <w:r>
        <w:rPr/>
        <w:t>传真：</w:t>
      </w:r>
      <w:r>
        <w:rPr/>
        <w:t>\</w:t>
      </w:r>
    </w:p>
    <w:p>
      <w:pPr>
        <w:pStyle w:val="null3"/>
        <w:ind w:firstLine="480"/>
      </w:pPr>
      <w:r>
        <w:rPr/>
        <w:t>邮箱：</w:t>
      </w:r>
      <w:r>
        <w:rPr/>
        <w:t>gmetb3@163.com</w:t>
      </w:r>
    </w:p>
    <w:p>
      <w:pPr>
        <w:pStyle w:val="null3"/>
        <w:ind w:firstLine="480"/>
      </w:pPr>
      <w:r>
        <w:rPr/>
        <w:t>地址：</w:t>
      </w:r>
      <w:r>
        <w:rPr/>
        <w:t>广州市越秀区环市中路316号金鹰大厦9楼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方医科大学珠江医院计算机网络零星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采购包1（南方医科大学珠江医院计算机网络零星服务项目）：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采购包1（南方医科大学珠江医院计算机网络零星服务项目）：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供应商必须具有良好的商业信誉和健全的财务会计制度（提供2024年或2025年的年度财务报表(新成立不足一年的公司提供成立至今的月或季度财务报表复印件)或由基本开户行出具的资信证明）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本项目不接受联合投标人投标；不接受投标人项目分包；不接受投标人由外公司挂靠承包（提供承诺函，格式自拟）。</w:t>
            </w:r>
          </w:p>
        </w:tc>
      </w:tr>
      <w:tr>
        <w:tc>
          <w:tcPr>
            <w:tcW w:type="dxa" w:w="890"/>
          </w:tcPr>
          <w:p>
            <w:pPr>
              <w:pStyle w:val="null3"/>
            </w:pPr>
            <w:r>
              <w:rPr/>
              <w:t>9</w:t>
            </w:r>
          </w:p>
        </w:tc>
        <w:tc>
          <w:tcPr>
            <w:tcW w:type="dxa" w:w="3178"/>
          </w:tcPr>
          <w:p>
            <w:pPr>
              <w:pStyle w:val="null3"/>
            </w:pPr>
            <w:r>
              <w:rPr/>
              <w:t>本采购包非专门面向中小企业采购。</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采购包1（南方医科大学珠江医院计算机网络零星服务项目）：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3）如有，对评标委员会按照招标文件规定修正后的投标报价，投标人按规定书面确认；（4）如评标委员会认为投标人的报价明显低于（投标总价、投标单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采购包1(南方医科大学珠江医院计算机网络零星服务项目):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招标文件响应程度 (46.0分)</w:t>
            </w:r>
          </w:p>
        </w:tc>
        <w:tc>
          <w:tcPr>
            <w:tcW w:type="dxa" w:w="5076"/>
          </w:tcPr>
          <w:p>
            <w:pPr>
              <w:pStyle w:val="null3"/>
              <w:jc w:val="left"/>
            </w:pPr>
            <w:r>
              <w:rPr/>
              <w:t>（1）每响应一项“▲”指标得2分，最高得46分； （2）每一项“▲”指标负偏离不得分，如果“▲”指标出具测试报告或者证明材料（含截图）不符合要求或未提供者也将视为负偏离处理；</w:t>
            </w:r>
          </w:p>
        </w:tc>
      </w:tr>
      <w:tr>
        <w:tc>
          <w:tcPr>
            <w:tcW w:type="dxa" w:w="922"/>
            <w:gridSpan w:val="2"/>
            <w:vMerge/>
          </w:tcPr>
          <w:p/>
        </w:tc>
        <w:tc>
          <w:tcPr>
            <w:tcW w:type="dxa" w:w="2307"/>
          </w:tcPr>
          <w:p>
            <w:pPr>
              <w:pStyle w:val="null3"/>
              <w:jc w:val="left"/>
            </w:pPr>
            <w:r>
              <w:rPr/>
              <w:t>整体技术方案情况（包括响应时间、人员安排、服务流程、技术储备、管理制度等） (4.0分)</w:t>
            </w:r>
          </w:p>
        </w:tc>
        <w:tc>
          <w:tcPr>
            <w:tcW w:type="dxa" w:w="5076"/>
          </w:tcPr>
          <w:p>
            <w:pPr>
              <w:pStyle w:val="null3"/>
              <w:jc w:val="left"/>
            </w:pPr>
            <w:r>
              <w:rPr/>
              <w:t>整体技术方案全面合理，完全满足招标文件要求的得4分； 整体技术方案基本完整合理，基本满足招标文件要求的得2分； 整体技术方案合理但不全面，初步满足招标文件要求的得1分； 整体技术方案不合理，未提供整体技术方案不得分得0分；</w:t>
            </w:r>
          </w:p>
        </w:tc>
      </w:tr>
      <w:tr>
        <w:tc>
          <w:tcPr>
            <w:tcW w:type="dxa" w:w="922"/>
            <w:gridSpan w:val="2"/>
            <w:vMerge/>
          </w:tcPr>
          <w:p/>
        </w:tc>
        <w:tc>
          <w:tcPr>
            <w:tcW w:type="dxa" w:w="2307"/>
          </w:tcPr>
          <w:p>
            <w:pPr>
              <w:pStyle w:val="null3"/>
              <w:jc w:val="left"/>
            </w:pPr>
            <w:r>
              <w:rPr/>
              <w:t>维护服务内容响应（是否能正确理解并响应用户需求，对服务要求、服务方式的响应情况） (5.0分)</w:t>
            </w:r>
          </w:p>
        </w:tc>
        <w:tc>
          <w:tcPr>
            <w:tcW w:type="dxa" w:w="5076"/>
          </w:tcPr>
          <w:p>
            <w:pPr>
              <w:pStyle w:val="null3"/>
              <w:jc w:val="left"/>
            </w:pPr>
            <w:r>
              <w:rPr/>
              <w:t>维护服务方案合理、全面、科学，能完全满足要求，得5分； 维护服务方案基本合理、全面，基本能满足要求，得3分； 维护服务方案合理但不全面，初步能满足要求，得1分； 维保方案不合理，未提供维保方案不得分。</w:t>
            </w:r>
          </w:p>
        </w:tc>
      </w:tr>
      <w:tr>
        <w:tc>
          <w:tcPr>
            <w:tcW w:type="dxa" w:w="922"/>
            <w:gridSpan w:val="2"/>
            <w:vMerge/>
          </w:tcPr>
          <w:p/>
        </w:tc>
        <w:tc>
          <w:tcPr>
            <w:tcW w:type="dxa" w:w="2307"/>
          </w:tcPr>
          <w:p>
            <w:pPr>
              <w:pStyle w:val="null3"/>
              <w:jc w:val="left"/>
            </w:pPr>
            <w:r>
              <w:rPr/>
              <w:t>对采购人现状的理解、掌握程度分析 (2.0分)</w:t>
            </w:r>
          </w:p>
        </w:tc>
        <w:tc>
          <w:tcPr>
            <w:tcW w:type="dxa" w:w="5076"/>
          </w:tcPr>
          <w:p>
            <w:pPr>
              <w:pStyle w:val="null3"/>
              <w:jc w:val="left"/>
            </w:pPr>
            <w:r>
              <w:rPr/>
              <w:t>分析完善，贴合项目情况，理解全面的得2分； 分析较完善，项目情况较清晰，理解较全面的得1分； 分析不合理、未提供分析的不得分。</w:t>
            </w:r>
          </w:p>
        </w:tc>
      </w:tr>
      <w:tr>
        <w:tc>
          <w:tcPr>
            <w:tcW w:type="dxa" w:w="922"/>
            <w:gridSpan w:val="2"/>
            <w:vMerge/>
          </w:tcPr>
          <w:p/>
        </w:tc>
        <w:tc>
          <w:tcPr>
            <w:tcW w:type="dxa" w:w="2307"/>
          </w:tcPr>
          <w:p>
            <w:pPr>
              <w:pStyle w:val="null3"/>
              <w:jc w:val="left"/>
            </w:pPr>
            <w:r>
              <w:rPr/>
              <w:t>项目的投入情况，包括软硬件工具 (3.0分)</w:t>
            </w:r>
          </w:p>
        </w:tc>
        <w:tc>
          <w:tcPr>
            <w:tcW w:type="dxa" w:w="5076"/>
          </w:tcPr>
          <w:p>
            <w:pPr>
              <w:pStyle w:val="null3"/>
              <w:jc w:val="left"/>
            </w:pPr>
            <w:r>
              <w:rPr/>
              <w:t>投入工具齐全且充分，优于招标文件要求，能让工程安全高效的完成得3分； 投入工具齐全，满足招标文件要求，基本能让工程完成得1分； 投入工具不足，不满足招标文件要求不得分。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本项目项目经理资质情况 (4.0分)</w:t>
            </w:r>
          </w:p>
        </w:tc>
        <w:tc>
          <w:tcPr>
            <w:tcW w:type="dxa" w:w="5076"/>
          </w:tcPr>
          <w:p>
            <w:pPr>
              <w:pStyle w:val="null3"/>
              <w:jc w:val="left"/>
            </w:pPr>
            <w:r>
              <w:rPr/>
              <w:t>具备人社部与工信部颁发的通信工程类相关专业中级或中级以上工程师技术职称的得4分，无提供证明材料不得分。 提供证书扫描件及在本公司任职的外部证明材料（如具有政府有关部门盖章的打印日期在本项目投标截止日之前六个月以内任意一个月的社保证明或单位代缴个人所得税税单扫描件并加盖公章,不符合或不提供不得分）</w:t>
            </w:r>
          </w:p>
        </w:tc>
      </w:tr>
      <w:tr>
        <w:tc>
          <w:tcPr>
            <w:tcW w:type="dxa" w:w="922"/>
            <w:gridSpan w:val="2"/>
            <w:vMerge/>
          </w:tcPr>
          <w:p/>
        </w:tc>
        <w:tc>
          <w:tcPr>
            <w:tcW w:type="dxa" w:w="2307"/>
          </w:tcPr>
          <w:p>
            <w:pPr>
              <w:pStyle w:val="null3"/>
              <w:jc w:val="left"/>
            </w:pPr>
            <w:r>
              <w:rPr/>
              <w:t>本项目组成员技术实力情况 (12.0分)</w:t>
            </w:r>
          </w:p>
        </w:tc>
        <w:tc>
          <w:tcPr>
            <w:tcW w:type="dxa" w:w="5076"/>
          </w:tcPr>
          <w:p>
            <w:pPr>
              <w:pStyle w:val="null3"/>
              <w:jc w:val="left"/>
            </w:pPr>
            <w:r>
              <w:rPr/>
              <w:t>1. 具有人社部与工信部颁发的信息系统项目管理师中级证书或以上证书得4分，最高得4分，没有不得分； 2.具有人社部与工信部颁发的“计算机技术与软件专业技术资格”专业类别为网络工程师中级证书或以上证书得4分，最高得4分，没有不得分。 3． 具有人社部与工信部颁发的“通信专业技术人员职业资格”专业类别为传输与接入的中级证书或以上证书得4分，最高得4分，没有不得分； 以上证书不能为同一人。 提供技术人员资质证书扫描件及在本公司任职的外部证明材料（如具有政府有关部门盖章的打印日期在本项目投标截止日之前六个月以内任意一个月的社保证明或单位代缴个人所得税税单扫描件并加盖公章,不符合或不提供不得分）</w:t>
            </w:r>
          </w:p>
        </w:tc>
      </w:tr>
      <w:tr>
        <w:tc>
          <w:tcPr>
            <w:tcW w:type="dxa" w:w="922"/>
            <w:gridSpan w:val="2"/>
            <w:vMerge/>
          </w:tcPr>
          <w:p/>
        </w:tc>
        <w:tc>
          <w:tcPr>
            <w:tcW w:type="dxa" w:w="2307"/>
          </w:tcPr>
          <w:p>
            <w:pPr>
              <w:pStyle w:val="null3"/>
              <w:jc w:val="left"/>
            </w:pPr>
            <w:r>
              <w:rPr/>
              <w:t>同类项目经验 (9.0分)</w:t>
            </w:r>
          </w:p>
        </w:tc>
        <w:tc>
          <w:tcPr>
            <w:tcW w:type="dxa" w:w="5076"/>
          </w:tcPr>
          <w:p>
            <w:pPr>
              <w:pStyle w:val="null3"/>
              <w:jc w:val="left"/>
            </w:pPr>
            <w:r>
              <w:rPr/>
              <w:t>投标人2023年以来具有网络服务或建设或维保、信息智能化、通信工程类的项目经验，以合同要点或验收报告为准（分公司投标的，总公司业绩不可纳入评审）：每提供一个同类项目经验得3分，最高得9分。</w:t>
            </w:r>
          </w:p>
        </w:tc>
      </w:tr>
      <w:tr>
        <w:tc>
          <w:tcPr>
            <w:tcW w:type="dxa" w:w="922"/>
            <w:gridSpan w:val="2"/>
            <w:vMerge/>
          </w:tcPr>
          <w:p/>
        </w:tc>
        <w:tc>
          <w:tcPr>
            <w:tcW w:type="dxa" w:w="2307"/>
          </w:tcPr>
          <w:p>
            <w:pPr>
              <w:pStyle w:val="null3"/>
              <w:jc w:val="left"/>
            </w:pPr>
            <w:r>
              <w:rPr/>
              <w:t>管理体系证书 (5.0分)</w:t>
            </w:r>
          </w:p>
        </w:tc>
        <w:tc>
          <w:tcPr>
            <w:tcW w:type="dxa" w:w="5076"/>
          </w:tcPr>
          <w:p>
            <w:pPr>
              <w:pStyle w:val="null3"/>
              <w:jc w:val="left"/>
            </w:pPr>
            <w:r>
              <w:rPr/>
              <w:t>具有ISO9001质量管理体系认证得5分；【注：上述须提供有效期内的相关证书复印件和在全国认证认可信息公共服务平台查询信息截图（http://cx.cnca.cn）并加盖投标人单位公章，否则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第一中标候选人，综合得分排名第二的投标人作第二中标候选人。综合得分相同的，按下列顺序比较确定：（1）投标报价（由低到高）；（2）技术得分（由高到低）；如以上都相同的，名次由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r>
        <w:rPr>
          <w:sz w:val="24"/>
          <w:b/>
        </w:rPr>
        <w:t>（本合同仅为合同的参考文本，合同签订双方可根据项目的具体要求进行修订。）</w:t>
      </w:r>
    </w:p>
    <w:p>
      <w:pPr>
        <w:pStyle w:val="null3"/>
        <w:jc w:val="center"/>
      </w:pPr>
      <w:r>
        <w:rPr/>
        <w:t xml:space="preserve"> </w:t>
      </w:r>
    </w:p>
    <w:p>
      <w:pPr>
        <w:pStyle w:val="null3"/>
        <w:jc w:val="center"/>
      </w:pPr>
      <w:r>
        <w:rPr>
          <w:sz w:val="52"/>
          <w:b/>
        </w:rPr>
        <w:t>南方医科大学珠江医院</w:t>
      </w:r>
    </w:p>
    <w:p>
      <w:pPr>
        <w:pStyle w:val="null3"/>
        <w:jc w:val="center"/>
      </w:pPr>
      <w:r>
        <w:rPr>
          <w:sz w:val="52"/>
          <w:b/>
        </w:rPr>
        <w:t>网络零星</w:t>
      </w:r>
      <w:r>
        <w:rPr>
          <w:sz w:val="52"/>
          <w:b/>
        </w:rPr>
        <w:t>服务</w:t>
      </w:r>
      <w:r>
        <w:rPr>
          <w:sz w:val="52"/>
          <w:b/>
        </w:rPr>
        <w:t>项目合同</w:t>
      </w:r>
    </w:p>
    <w:p>
      <w:pPr>
        <w:pStyle w:val="null3"/>
        <w:jc w:val="center"/>
      </w:pPr>
      <w:r>
        <w:rPr>
          <w:sz w:val="36"/>
          <w:b/>
        </w:rPr>
        <w:t>招标编号：</w:t>
      </w:r>
    </w:p>
    <w:p>
      <w:pPr>
        <w:pStyle w:val="null3"/>
        <w:jc w:val="center"/>
      </w:pPr>
      <w:r>
        <w:rPr>
          <w:sz w:val="21"/>
          <w:b/>
        </w:rPr>
        <w:t xml:space="preserve">  </w:t>
      </w:r>
    </w:p>
    <w:p>
      <w:pPr>
        <w:pStyle w:val="null3"/>
        <w:jc w:val="center"/>
      </w:pPr>
      <w:r>
        <w:rPr>
          <w:sz w:val="36"/>
          <w:b/>
        </w:rPr>
        <w:t>合同编号：</w:t>
      </w:r>
    </w:p>
    <w:p>
      <w:pPr>
        <w:pStyle w:val="null3"/>
        <w:jc w:val="center"/>
      </w:pPr>
      <w:r>
        <w:rPr>
          <w:sz w:val="36"/>
          <w:b/>
        </w:rPr>
        <w:t>甲方：南方医科大学珠江医院</w:t>
      </w:r>
    </w:p>
    <w:p>
      <w:pPr>
        <w:pStyle w:val="null3"/>
        <w:jc w:val="center"/>
      </w:pPr>
      <w:r>
        <w:rPr>
          <w:sz w:val="36"/>
          <w:b/>
        </w:rPr>
        <w:t>乙方：</w:t>
      </w:r>
      <w:r>
        <w:rPr>
          <w:sz w:val="21"/>
          <w:b/>
        </w:rPr>
        <w:t xml:space="preserve"> </w:t>
      </w:r>
      <w:r>
        <w:rPr>
          <w:sz w:val="21"/>
          <w:b/>
        </w:rPr>
        <w:t xml:space="preserve">                          </w:t>
      </w:r>
      <w:r>
        <w:rPr>
          <w:sz w:val="21"/>
          <w:b/>
        </w:rPr>
        <w:t xml:space="preserve">       </w:t>
      </w:r>
    </w:p>
    <w:p>
      <w:pPr>
        <w:pStyle w:val="null3"/>
        <w:jc w:val="center"/>
      </w:pPr>
      <w:r>
        <w:rPr>
          <w:sz w:val="21"/>
        </w:rPr>
        <w:t xml:space="preserve"> </w:t>
      </w:r>
    </w:p>
    <w:p>
      <w:pPr>
        <w:pStyle w:val="null3"/>
        <w:jc w:val="both"/>
      </w:pPr>
      <w:r>
        <w:rPr>
          <w:sz w:val="21"/>
        </w:rPr>
        <w:t>发包方（甲方）：</w:t>
      </w:r>
      <w:r>
        <w:rPr>
          <w:sz w:val="21"/>
          <w:u w:val="single"/>
        </w:rPr>
        <w:t xml:space="preserve"> </w:t>
      </w:r>
      <w:r>
        <w:rPr>
          <w:sz w:val="21"/>
          <w:u w:val="single"/>
        </w:rPr>
        <w:t>南方医科大学珠江医院</w:t>
      </w:r>
      <w:r>
        <w:rPr>
          <w:sz w:val="21"/>
          <w:u w:val="single"/>
        </w:rPr>
        <w:t xml:space="preserve">                            </w:t>
      </w:r>
    </w:p>
    <w:p>
      <w:pPr>
        <w:pStyle w:val="null3"/>
        <w:jc w:val="both"/>
      </w:pPr>
      <w:r>
        <w:rPr>
          <w:sz w:val="21"/>
        </w:rPr>
        <w:t>住所地：</w:t>
      </w:r>
      <w:r>
        <w:rPr>
          <w:sz w:val="21"/>
          <w:u w:val="single"/>
        </w:rPr>
        <w:t xml:space="preserve">  </w:t>
      </w:r>
      <w:r>
        <w:rPr>
          <w:sz w:val="21"/>
          <w:u w:val="single"/>
        </w:rPr>
        <w:t>广州市海珠区工业大道中</w:t>
      </w:r>
      <w:r>
        <w:rPr>
          <w:sz w:val="21"/>
          <w:u w:val="single"/>
        </w:rPr>
        <w:t>253</w:t>
      </w:r>
      <w:r>
        <w:rPr>
          <w:sz w:val="21"/>
          <w:u w:val="single"/>
        </w:rPr>
        <w:t xml:space="preserve">号                           </w:t>
      </w:r>
    </w:p>
    <w:p>
      <w:pPr>
        <w:pStyle w:val="null3"/>
        <w:jc w:val="both"/>
      </w:pPr>
      <w:r>
        <w:rPr>
          <w:sz w:val="21"/>
        </w:rPr>
        <w:t>承包方（乙方）：</w:t>
      </w:r>
      <w:r>
        <w:rPr>
          <w:sz w:val="21"/>
          <w:u w:val="single"/>
        </w:rPr>
        <w:t xml:space="preserve"> </w:t>
      </w:r>
      <w:r>
        <w:rPr>
          <w:sz w:val="21"/>
          <w:u w:val="single"/>
        </w:rPr>
        <w:t xml:space="preserve"> </w:t>
      </w:r>
      <w:r>
        <w:rPr>
          <w:sz w:val="21"/>
          <w:u w:val="single"/>
        </w:rPr>
        <w:t xml:space="preserve">                          </w:t>
      </w:r>
    </w:p>
    <w:p>
      <w:pPr>
        <w:pStyle w:val="null3"/>
        <w:jc w:val="both"/>
      </w:pPr>
      <w:r>
        <w:rPr>
          <w:sz w:val="21"/>
        </w:rPr>
        <w:t>住所地：</w:t>
      </w:r>
      <w:r>
        <w:rPr>
          <w:sz w:val="21"/>
          <w:u w:val="single"/>
        </w:rPr>
        <w:t xml:space="preserve"> </w:t>
      </w:r>
      <w:r>
        <w:rPr>
          <w:sz w:val="21"/>
          <w:u w:val="single"/>
        </w:rPr>
        <w:t xml:space="preserve"> </w:t>
      </w:r>
      <w:r>
        <w:rPr>
          <w:sz w:val="21"/>
          <w:u w:val="single"/>
        </w:rPr>
        <w:t xml:space="preserve">                                 </w:t>
      </w:r>
    </w:p>
    <w:p>
      <w:pPr>
        <w:pStyle w:val="null3"/>
        <w:jc w:val="both"/>
      </w:pPr>
      <w:r>
        <w:rPr>
          <w:sz w:val="21"/>
        </w:rPr>
        <w:t>按照《中华人民共和国民法典》和《中华人民共和国建筑法》及其它有关法律法规的规定，结合本</w:t>
      </w:r>
      <w:r>
        <w:rPr>
          <w:sz w:val="21"/>
        </w:rPr>
        <w:t>服务合同</w:t>
      </w:r>
      <w:r>
        <w:rPr>
          <w:sz w:val="21"/>
        </w:rPr>
        <w:t>的具体情况，甲、乙双方达成如下一致协议，并共同遵守。</w:t>
      </w:r>
    </w:p>
    <w:p>
      <w:pPr>
        <w:pStyle w:val="null3"/>
        <w:numPr>
          <w:ilvl w:val="0"/>
          <w:numId w:val="1"/>
        </w:numPr>
        <w:jc w:val="both"/>
      </w:pPr>
      <w:r>
        <w:rPr>
          <w:sz w:val="21"/>
          <w:b/>
        </w:rPr>
        <w:t xml:space="preserve">   </w:t>
      </w:r>
      <w:r>
        <w:rPr>
          <w:sz w:val="21"/>
          <w:b/>
        </w:rPr>
        <w:t>服务概况</w:t>
      </w:r>
    </w:p>
    <w:p>
      <w:pPr>
        <w:pStyle w:val="null3"/>
        <w:ind w:firstLine="420"/>
        <w:jc w:val="both"/>
      </w:pPr>
      <w:r>
        <w:rPr>
          <w:sz w:val="21"/>
        </w:rPr>
        <w:t>1.1</w:t>
      </w:r>
      <w:r>
        <w:rPr>
          <w:sz w:val="21"/>
        </w:rPr>
        <w:t>服务名称：</w:t>
      </w:r>
      <w:r>
        <w:rPr>
          <w:sz w:val="21"/>
          <w:u w:val="single"/>
        </w:rPr>
        <w:t>南方医科大学珠江医院计算机网络零星</w:t>
      </w:r>
      <w:r>
        <w:rPr>
          <w:sz w:val="21"/>
          <w:u w:val="single"/>
        </w:rPr>
        <w:t>服务</w:t>
      </w:r>
      <w:r>
        <w:rPr>
          <w:sz w:val="21"/>
          <w:u w:val="single"/>
        </w:rPr>
        <w:t xml:space="preserve">     </w:t>
      </w:r>
    </w:p>
    <w:p>
      <w:pPr>
        <w:pStyle w:val="null3"/>
        <w:ind w:firstLine="420"/>
        <w:jc w:val="both"/>
      </w:pPr>
      <w:r>
        <w:rPr>
          <w:sz w:val="21"/>
        </w:rPr>
        <w:t>1.2</w:t>
      </w:r>
      <w:r>
        <w:rPr>
          <w:sz w:val="21"/>
        </w:rPr>
        <w:t>服务地点</w:t>
      </w:r>
      <w:r>
        <w:rPr>
          <w:sz w:val="21"/>
        </w:rPr>
        <w:t>:</w:t>
      </w:r>
      <w:r>
        <w:rPr>
          <w:sz w:val="21"/>
          <w:u w:val="single"/>
        </w:rPr>
        <w:t xml:space="preserve"> </w:t>
      </w:r>
      <w:r>
        <w:rPr>
          <w:sz w:val="21"/>
          <w:u w:val="single"/>
        </w:rPr>
        <w:t>广州市海珠区工业大道中</w:t>
      </w:r>
      <w:r>
        <w:rPr>
          <w:sz w:val="21"/>
          <w:u w:val="single"/>
        </w:rPr>
        <w:t>253</w:t>
      </w:r>
      <w:r>
        <w:rPr>
          <w:sz w:val="21"/>
          <w:u w:val="single"/>
        </w:rPr>
        <w:t xml:space="preserve">号珠江医院院区内    </w:t>
      </w:r>
    </w:p>
    <w:p>
      <w:pPr>
        <w:pStyle w:val="null3"/>
        <w:ind w:firstLine="420"/>
        <w:jc w:val="both"/>
      </w:pPr>
      <w:r>
        <w:rPr>
          <w:sz w:val="21"/>
        </w:rPr>
        <w:t>1.3</w:t>
      </w:r>
      <w:r>
        <w:rPr>
          <w:sz w:val="21"/>
        </w:rPr>
        <w:t>承包范围：</w:t>
      </w:r>
      <w:r>
        <w:rPr>
          <w:sz w:val="21"/>
          <w:u w:val="single"/>
        </w:rPr>
        <w:t>珠江医院院区内的网络</w:t>
      </w:r>
      <w:r>
        <w:rPr>
          <w:sz w:val="21"/>
          <w:u w:val="single"/>
        </w:rPr>
        <w:t>零星服务</w:t>
      </w:r>
    </w:p>
    <w:p>
      <w:pPr>
        <w:pStyle w:val="null3"/>
        <w:ind w:firstLine="420"/>
        <w:jc w:val="both"/>
      </w:pPr>
      <w:r>
        <w:rPr>
          <w:sz w:val="21"/>
        </w:rPr>
        <w:t>1.4</w:t>
      </w:r>
      <w:r>
        <w:rPr>
          <w:sz w:val="21"/>
        </w:rPr>
        <w:t>承包方式：网络布线信息点铺设费用包括所需的材料费（如：网线、配线架、网络机柜、铺设管线材料、信息面板、底盒和测试等）和施工的人工费。光缆铺设费用包括所需的材料费（如：光缆、光纤盒、 铺设管线材料、熔纤和测试等）和施工的人工费。网络设备所需的费用包括设备费（如：交换机、收发器、光模块、光纤跳线等）和设备的安装调试人工费。</w:t>
      </w:r>
    </w:p>
    <w:p>
      <w:pPr>
        <w:pStyle w:val="null3"/>
        <w:ind w:firstLine="420"/>
        <w:jc w:val="both"/>
      </w:pPr>
      <w:r>
        <w:rPr>
          <w:sz w:val="21"/>
        </w:rPr>
        <w:t>1.5</w:t>
      </w:r>
      <w:r>
        <w:rPr>
          <w:sz w:val="21"/>
        </w:rPr>
        <w:t>服务期：</w:t>
      </w:r>
    </w:p>
    <w:p>
      <w:pPr>
        <w:pStyle w:val="null3"/>
        <w:ind w:firstLine="420"/>
        <w:jc w:val="both"/>
      </w:pPr>
      <w:r>
        <w:rPr>
          <w:sz w:val="21"/>
        </w:rPr>
        <w:t>（一）、结算金额未满合同总额时，服务期为</w:t>
      </w:r>
      <w:r>
        <w:rPr>
          <w:sz w:val="21"/>
        </w:rPr>
        <w:t>三</w:t>
      </w:r>
      <w:r>
        <w:rPr>
          <w:sz w:val="21"/>
        </w:rPr>
        <w:t>年，自</w:t>
      </w:r>
      <w:r>
        <w:rPr>
          <w:sz w:val="21"/>
        </w:rPr>
        <w:t xml:space="preserve">   </w:t>
      </w:r>
      <w:r>
        <w:rPr>
          <w:sz w:val="21"/>
        </w:rPr>
        <w:t>年</w:t>
      </w:r>
      <w:r>
        <w:rPr>
          <w:sz w:val="21"/>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0"/>
        <w:jc w:val="both"/>
      </w:pPr>
      <w:r>
        <w:rPr>
          <w:sz w:val="21"/>
        </w:rPr>
        <w:t>（二）、在服务期</w:t>
      </w:r>
      <w:r>
        <w:rPr>
          <w:sz w:val="21"/>
        </w:rPr>
        <w:t>三</w:t>
      </w:r>
      <w:r>
        <w:rPr>
          <w:sz w:val="21"/>
        </w:rPr>
        <w:t>年内，结算金额达到合同总额时，服务期终止。</w:t>
      </w:r>
    </w:p>
    <w:p>
      <w:pPr>
        <w:pStyle w:val="null3"/>
        <w:ind w:firstLine="420"/>
        <w:jc w:val="both"/>
      </w:pPr>
      <w:r>
        <w:rPr>
          <w:sz w:val="21"/>
        </w:rPr>
        <w:t>1.6</w:t>
      </w:r>
      <w:r>
        <w:rPr>
          <w:sz w:val="21"/>
        </w:rPr>
        <w:t>服务</w:t>
      </w:r>
      <w:r>
        <w:rPr>
          <w:sz w:val="21"/>
        </w:rPr>
        <w:t>质量：</w:t>
      </w:r>
      <w:r>
        <w:rPr>
          <w:sz w:val="21"/>
          <w:u w:val="single"/>
        </w:rPr>
        <w:t>按国家相关标准验收合格，经甲方验收达到</w:t>
      </w:r>
      <w:r>
        <w:rPr>
          <w:sz w:val="21"/>
          <w:u w:val="single"/>
        </w:rPr>
        <w:t>“</w:t>
      </w:r>
      <w:r>
        <w:rPr>
          <w:sz w:val="21"/>
          <w:u w:val="single"/>
        </w:rPr>
        <w:t>合格</w:t>
      </w:r>
      <w:r>
        <w:rPr>
          <w:sz w:val="21"/>
          <w:u w:val="single"/>
        </w:rPr>
        <w:t>”</w:t>
      </w:r>
      <w:r>
        <w:rPr>
          <w:sz w:val="21"/>
          <w:u w:val="single"/>
        </w:rPr>
        <w:t>标准。</w:t>
      </w:r>
    </w:p>
    <w:p>
      <w:pPr>
        <w:pStyle w:val="null3"/>
        <w:ind w:firstLine="420"/>
        <w:jc w:val="both"/>
      </w:pPr>
      <w:r>
        <w:rPr>
          <w:sz w:val="21"/>
        </w:rPr>
        <w:t>1.7</w:t>
      </w:r>
      <w:r>
        <w:rPr>
          <w:sz w:val="21"/>
        </w:rPr>
        <w:t>中标价人民币（大写）</w:t>
      </w:r>
      <w:r>
        <w:rPr>
          <w:sz w:val="21"/>
          <w:u w:val="single"/>
        </w:rPr>
        <w:t>，具体以实际发生的</w:t>
      </w:r>
      <w:r>
        <w:rPr>
          <w:sz w:val="21"/>
          <w:u w:val="single"/>
        </w:rPr>
        <w:t>数量</w:t>
      </w:r>
      <w:r>
        <w:rPr>
          <w:sz w:val="21"/>
          <w:u w:val="single"/>
        </w:rPr>
        <w:t>进行结算。</w:t>
      </w:r>
      <w:r>
        <w:rPr>
          <w:sz w:val="21"/>
          <w:u w:val="single"/>
        </w:rPr>
        <w:t xml:space="preserve">         </w:t>
      </w:r>
    </w:p>
    <w:p>
      <w:pPr>
        <w:pStyle w:val="null3"/>
        <w:ind w:firstLine="420"/>
        <w:jc w:val="both"/>
      </w:pPr>
      <w:r>
        <w:rPr>
          <w:sz w:val="21"/>
        </w:rPr>
        <w:t>甲方开户银行名称、地址和帐号为：</w:t>
      </w:r>
    </w:p>
    <w:p>
      <w:pPr>
        <w:pStyle w:val="null3"/>
        <w:ind w:firstLine="420"/>
        <w:jc w:val="both"/>
      </w:pPr>
      <w:r>
        <w:rPr>
          <w:sz w:val="21"/>
        </w:rPr>
        <w:t>开户银行：</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地址：</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帐号：</w:t>
      </w:r>
      <w:r>
        <w:rPr>
          <w:sz w:val="21"/>
          <w:u w:val="single"/>
        </w:rPr>
        <w:t xml:space="preserve">                                              </w:t>
      </w:r>
    </w:p>
    <w:p>
      <w:pPr>
        <w:pStyle w:val="null3"/>
        <w:ind w:firstLine="420"/>
        <w:jc w:val="both"/>
      </w:pPr>
      <w:r>
        <w:rPr>
          <w:sz w:val="21"/>
        </w:rPr>
        <w:t>户名：</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税号：</w:t>
      </w:r>
      <w:r>
        <w:rPr>
          <w:sz w:val="21"/>
          <w:u w:val="single"/>
        </w:rPr>
        <w:t xml:space="preserve">                             </w:t>
      </w:r>
    </w:p>
    <w:p>
      <w:pPr>
        <w:pStyle w:val="null3"/>
        <w:ind w:firstLine="420"/>
        <w:jc w:val="both"/>
      </w:pPr>
      <w:r>
        <w:rPr>
          <w:sz w:val="21"/>
        </w:rPr>
        <w:t>乙方开户银行名称、地址和帐号为：</w:t>
      </w:r>
    </w:p>
    <w:p>
      <w:pPr>
        <w:pStyle w:val="null3"/>
        <w:ind w:firstLine="420"/>
        <w:jc w:val="both"/>
      </w:pPr>
      <w:r>
        <w:rPr>
          <w:sz w:val="21"/>
        </w:rPr>
        <w:t>开户银行：</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地址：</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帐号：</w:t>
      </w:r>
      <w:r>
        <w:rPr>
          <w:sz w:val="21"/>
          <w:u w:val="single"/>
        </w:rPr>
        <w:t xml:space="preserve">               </w:t>
      </w:r>
    </w:p>
    <w:p>
      <w:pPr>
        <w:pStyle w:val="null3"/>
        <w:ind w:firstLine="420"/>
        <w:jc w:val="both"/>
      </w:pPr>
      <w:r>
        <w:rPr>
          <w:sz w:val="21"/>
        </w:rPr>
        <w:t>户名：</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税号：</w:t>
      </w:r>
      <w:r>
        <w:rPr>
          <w:sz w:val="21"/>
          <w:u w:val="single"/>
        </w:rPr>
        <w:t xml:space="preserve">               </w:t>
      </w:r>
    </w:p>
    <w:p>
      <w:pPr>
        <w:pStyle w:val="null3"/>
        <w:ind w:firstLine="422"/>
        <w:jc w:val="both"/>
      </w:pPr>
      <w:r>
        <w:rPr>
          <w:sz w:val="21"/>
          <w:b/>
        </w:rPr>
        <w:t>第二条</w:t>
      </w:r>
      <w:r>
        <w:rPr>
          <w:sz w:val="21"/>
          <w:b/>
        </w:rPr>
        <w:t xml:space="preserve">  </w:t>
      </w:r>
      <w:r>
        <w:rPr>
          <w:sz w:val="21"/>
          <w:b/>
        </w:rPr>
        <w:t>甲方工作</w:t>
      </w:r>
    </w:p>
    <w:p>
      <w:pPr>
        <w:pStyle w:val="null3"/>
        <w:ind w:firstLine="420"/>
        <w:jc w:val="both"/>
      </w:pPr>
      <w:r>
        <w:rPr>
          <w:sz w:val="21"/>
        </w:rPr>
        <w:t>2.1</w:t>
      </w:r>
      <w:r>
        <w:rPr>
          <w:sz w:val="21"/>
        </w:rPr>
        <w:t>开工前由甲方向乙方进行现场交底。就近提供水电接驳点。</w:t>
      </w:r>
    </w:p>
    <w:p>
      <w:pPr>
        <w:pStyle w:val="null3"/>
        <w:ind w:firstLine="420"/>
        <w:jc w:val="both"/>
      </w:pPr>
      <w:r>
        <w:rPr>
          <w:sz w:val="21"/>
        </w:rPr>
        <w:t>2.2</w:t>
      </w:r>
      <w:r>
        <w:rPr>
          <w:sz w:val="21"/>
        </w:rPr>
        <w:t>指派相关负责人为甲方代表（负责人姓名：</w:t>
      </w:r>
      <w:r>
        <w:rPr>
          <w:sz w:val="21"/>
          <w:u w:val="single"/>
        </w:rPr>
        <w:t xml:space="preserve"> </w:t>
      </w:r>
      <w:r>
        <w:rPr>
          <w:sz w:val="21"/>
          <w:u w:val="single"/>
        </w:rPr>
        <w:t xml:space="preserve"> </w:t>
      </w:r>
      <w:r>
        <w:rPr>
          <w:sz w:val="21"/>
          <w:u w:val="single"/>
        </w:rPr>
        <w:t xml:space="preserve">      </w:t>
      </w:r>
      <w:r>
        <w:rPr>
          <w:sz w:val="21"/>
        </w:rPr>
        <w:t>，联系方式：</w:t>
      </w:r>
      <w:r>
        <w:rPr>
          <w:sz w:val="21"/>
          <w:u w:val="single"/>
        </w:rPr>
        <w:t xml:space="preserve">        </w:t>
      </w:r>
      <w:r>
        <w:rPr>
          <w:sz w:val="21"/>
        </w:rPr>
        <w:t>），负责合同履行，协调乙方与甲方各生产部门的工作。对服务质量、进度进行监督检查，办理验收、变更、登记手续和其他事宜。</w:t>
      </w:r>
    </w:p>
    <w:p>
      <w:pPr>
        <w:pStyle w:val="null3"/>
        <w:ind w:firstLine="420"/>
        <w:jc w:val="both"/>
      </w:pPr>
      <w:r>
        <w:rPr>
          <w:sz w:val="21"/>
        </w:rPr>
        <w:t xml:space="preserve">    </w:t>
      </w:r>
    </w:p>
    <w:p>
      <w:pPr>
        <w:pStyle w:val="null3"/>
        <w:ind w:firstLine="422"/>
        <w:jc w:val="both"/>
      </w:pPr>
      <w:r>
        <w:rPr>
          <w:sz w:val="21"/>
          <w:b/>
        </w:rPr>
        <w:t>第三条</w:t>
      </w:r>
      <w:r>
        <w:rPr>
          <w:sz w:val="21"/>
          <w:b/>
        </w:rPr>
        <w:t>乙方工作</w:t>
      </w:r>
    </w:p>
    <w:p>
      <w:pPr>
        <w:pStyle w:val="null3"/>
        <w:ind w:firstLine="420"/>
        <w:jc w:val="both"/>
      </w:pPr>
      <w:r>
        <w:rPr>
          <w:sz w:val="21"/>
        </w:rPr>
        <w:t>3.1</w:t>
      </w:r>
      <w:r>
        <w:rPr>
          <w:sz w:val="21"/>
        </w:rPr>
        <w:t>参加甲方组织的施工图纸或作法说明的现场交底，拟定施工方案和进度计划，交甲方审定。</w:t>
      </w:r>
    </w:p>
    <w:p>
      <w:pPr>
        <w:pStyle w:val="null3"/>
        <w:ind w:firstLine="420"/>
        <w:jc w:val="both"/>
      </w:pPr>
      <w:r>
        <w:rPr>
          <w:sz w:val="21"/>
        </w:rPr>
        <w:t>3.2</w:t>
      </w:r>
      <w:r>
        <w:rPr>
          <w:sz w:val="21"/>
        </w:rPr>
        <w:t>指派</w:t>
      </w:r>
      <w:r>
        <w:rPr>
          <w:sz w:val="21"/>
          <w:u w:val="single"/>
        </w:rPr>
        <w:t xml:space="preserve">  </w:t>
      </w:r>
      <w:r>
        <w:rPr>
          <w:sz w:val="21"/>
          <w:u w:val="single"/>
        </w:rPr>
        <w:t xml:space="preserve"> </w:t>
      </w:r>
      <w:r>
        <w:rPr>
          <w:sz w:val="21"/>
          <w:u w:val="single"/>
        </w:rPr>
        <w:t xml:space="preserve">       </w:t>
      </w:r>
      <w:r>
        <w:rPr>
          <w:sz w:val="21"/>
          <w:u w:val="single"/>
        </w:rPr>
        <w:t>，</w:t>
      </w:r>
      <w:r>
        <w:rPr>
          <w:sz w:val="21"/>
        </w:rPr>
        <w:t>联系电话：</w:t>
      </w:r>
      <w:r>
        <w:rPr>
          <w:sz w:val="21"/>
          <w:u w:val="single"/>
        </w:rPr>
        <w:t xml:space="preserve">          </w:t>
      </w:r>
      <w:r>
        <w:rPr>
          <w:sz w:val="21"/>
        </w:rPr>
        <w:t xml:space="preserve"> </w:t>
      </w:r>
      <w:r>
        <w:rPr>
          <w:sz w:val="21"/>
        </w:rPr>
        <w:t>为乙方驻工地代表，负责合同履行。按要求组织施工，保质、保量、按期完成施工任务，解决由乙方负责的各项事宜。乙方驻工地代表签名后的一切手续文件视为乙方的全面认可。</w:t>
      </w:r>
    </w:p>
    <w:p>
      <w:pPr>
        <w:pStyle w:val="null3"/>
        <w:ind w:firstLine="420"/>
        <w:jc w:val="both"/>
      </w:pPr>
      <w:r>
        <w:rPr>
          <w:sz w:val="21"/>
        </w:rPr>
        <w:t>3.3</w:t>
      </w:r>
      <w:r>
        <w:rPr>
          <w:sz w:val="21"/>
        </w:rPr>
        <w:t>严格执行施工规范、安全操作规程、防火安全规定、环境保护规定。严格按照图纸或作法说明进行施工，做好各项质量检查记录。参加竣工验收，编制服务结算。</w:t>
      </w:r>
    </w:p>
    <w:p>
      <w:pPr>
        <w:pStyle w:val="null3"/>
        <w:ind w:firstLine="420"/>
        <w:jc w:val="both"/>
      </w:pPr>
      <w:r>
        <w:rPr>
          <w:sz w:val="21"/>
        </w:rPr>
        <w:t>3.4</w:t>
      </w:r>
      <w:r>
        <w:rPr>
          <w:sz w:val="21"/>
        </w:rPr>
        <w:t>遵守国家或地方政府及有关部门对施工现场管理的规定，妥善保护好施工现场周围建筑物、设备管线、古树名木不受损坏；如有损坏，应予相应的经济补偿。甲方有权根据损坏的严重程度保留终止合同的权利。</w:t>
      </w:r>
    </w:p>
    <w:p>
      <w:pPr>
        <w:pStyle w:val="null3"/>
        <w:ind w:firstLine="420"/>
        <w:jc w:val="both"/>
      </w:pPr>
      <w:r>
        <w:rPr>
          <w:sz w:val="21"/>
        </w:rPr>
        <w:t>3.5</w:t>
      </w:r>
      <w:r>
        <w:rPr>
          <w:sz w:val="21"/>
        </w:rPr>
        <w:t>施工中未经甲方同意或有关部门批准，不得随意拆改原建筑物结构及各种设备管线；如确实需要拆改原建筑物结构或设备管线，负责到有关部门办理相应审批手续。</w:t>
      </w:r>
    </w:p>
    <w:p>
      <w:pPr>
        <w:pStyle w:val="null3"/>
        <w:ind w:firstLine="420"/>
        <w:jc w:val="both"/>
      </w:pPr>
      <w:r>
        <w:rPr>
          <w:sz w:val="21"/>
        </w:rPr>
        <w:t>3.6</w:t>
      </w:r>
      <w:r>
        <w:rPr>
          <w:sz w:val="21"/>
        </w:rPr>
        <w:t>服务竣工未移交甲方之前，负责对现场的一切设施和服务成品进行保护。</w:t>
      </w:r>
    </w:p>
    <w:p>
      <w:pPr>
        <w:pStyle w:val="null3"/>
        <w:ind w:firstLine="420"/>
        <w:jc w:val="both"/>
      </w:pPr>
      <w:r>
        <w:rPr>
          <w:sz w:val="21"/>
        </w:rPr>
        <w:t>3.7</w:t>
      </w:r>
      <w:r>
        <w:rPr>
          <w:sz w:val="21"/>
        </w:rPr>
        <w:t>协调有关部门做好现场保卫、消防、垃圾处理等工作，并承担相应费用。</w:t>
      </w:r>
    </w:p>
    <w:p>
      <w:pPr>
        <w:pStyle w:val="null3"/>
        <w:ind w:firstLine="420"/>
        <w:jc w:val="both"/>
      </w:pPr>
      <w:r>
        <w:rPr>
          <w:sz w:val="21"/>
        </w:rPr>
        <w:t>3.8</w:t>
      </w:r>
      <w:r>
        <w:rPr>
          <w:sz w:val="21"/>
        </w:rPr>
        <w:t>处理好由于施工带来的扰民问题及周围单位的关系。</w:t>
      </w:r>
    </w:p>
    <w:p>
      <w:pPr>
        <w:pStyle w:val="null3"/>
        <w:ind w:firstLine="420"/>
        <w:jc w:val="both"/>
      </w:pPr>
      <w:r>
        <w:rPr>
          <w:sz w:val="21"/>
        </w:rPr>
        <w:t>3.9</w:t>
      </w:r>
      <w:r>
        <w:rPr>
          <w:sz w:val="21"/>
        </w:rPr>
        <w:t>遵守医院安全生产制度，出入登记制度等，不得进出非施工区域，严禁在医院范围内吸烟、动火；建筑材料需堆放至指定区域，建筑垃圾做到每天完工后清场。</w:t>
      </w:r>
    </w:p>
    <w:p>
      <w:pPr>
        <w:pStyle w:val="null3"/>
        <w:ind w:firstLine="420"/>
        <w:jc w:val="both"/>
      </w:pPr>
      <w:r>
        <w:rPr>
          <w:sz w:val="21"/>
        </w:rPr>
        <w:t>3.10</w:t>
      </w:r>
      <w:r>
        <w:rPr>
          <w:sz w:val="21"/>
        </w:rPr>
        <w:t>制定安全有效的施工作业措施，不得违规作业，确保施工作业安全。特殊岗位（如：电工、焊工等）的人员必须持证上岗（证件必须在有效期内）。自行负责作业工人的安全劳保用品，制定安全的施工作业措施，确保施工作业安全。</w:t>
      </w:r>
    </w:p>
    <w:p>
      <w:pPr>
        <w:pStyle w:val="null3"/>
        <w:ind w:firstLine="420"/>
        <w:jc w:val="both"/>
      </w:pPr>
      <w:r>
        <w:rPr>
          <w:sz w:val="21"/>
        </w:rPr>
        <w:t>3.11</w:t>
      </w:r>
      <w:r>
        <w:rPr>
          <w:sz w:val="21"/>
        </w:rPr>
        <w:t>在施工期间，甲方将会如常运营。乙方在施工时，需制定严谨的施工方案，确保施工作业不影响甲方正常的运营。如因乙方原因影响甲方内部的正常运营，一切损失均由乙方承担。</w:t>
      </w:r>
    </w:p>
    <w:p>
      <w:pPr>
        <w:pStyle w:val="null3"/>
        <w:ind w:firstLine="420"/>
        <w:jc w:val="both"/>
      </w:pPr>
      <w:r>
        <w:rPr>
          <w:sz w:val="21"/>
        </w:rPr>
        <w:t>3.12</w:t>
      </w:r>
      <w:r>
        <w:rPr>
          <w:sz w:val="21"/>
        </w:rPr>
        <w:t>乙方如在施工过程中不严格执行文明施工相关规定，甲方要求整改的，乙方必须立即执行，并承担由此产生的各种费用。如乙方不听从指令，甲方将处以罚款</w:t>
      </w:r>
      <w:r>
        <w:rPr>
          <w:sz w:val="21"/>
        </w:rPr>
        <w:t>1000</w:t>
      </w:r>
      <w:r>
        <w:rPr>
          <w:sz w:val="21"/>
        </w:rPr>
        <w:t>元</w:t>
      </w:r>
      <w:r>
        <w:rPr>
          <w:sz w:val="21"/>
        </w:rPr>
        <w:t>/</w:t>
      </w:r>
      <w:r>
        <w:rPr>
          <w:sz w:val="21"/>
        </w:rPr>
        <w:t>次，款项直接在服务款中扣除。因乙方原因造成甲方损失的，乙方必须赔偿甲方损失。</w:t>
      </w:r>
    </w:p>
    <w:p>
      <w:pPr>
        <w:pStyle w:val="null3"/>
        <w:ind w:firstLine="420"/>
        <w:jc w:val="both"/>
      </w:pPr>
      <w:r>
        <w:rPr>
          <w:sz w:val="21"/>
        </w:rPr>
        <w:t>3.13</w:t>
      </w:r>
      <w:r>
        <w:rPr>
          <w:sz w:val="21"/>
        </w:rPr>
        <w:t>乙方有义务为施工人员购买相关保险，在施工过程中造成的施工人员及第三人的人身、财产损害责任由乙方承担。若因乙方事故造成甲方损失的，应赔偿因事故导致甲方的全部损失。</w:t>
      </w:r>
    </w:p>
    <w:p>
      <w:pPr>
        <w:pStyle w:val="null3"/>
        <w:ind w:firstLine="420"/>
        <w:jc w:val="both"/>
      </w:pPr>
      <w:r>
        <w:rPr>
          <w:sz w:val="21"/>
        </w:rPr>
        <w:t>3.14</w:t>
      </w:r>
      <w:r>
        <w:rPr>
          <w:sz w:val="21"/>
        </w:rPr>
        <w:t>乙方保证具备承包该服务相应的合法资质且该资质在有效期内。乙方不得将本合同项下的权利和义务转移给第三方。</w:t>
      </w:r>
    </w:p>
    <w:p>
      <w:pPr>
        <w:pStyle w:val="null3"/>
        <w:ind w:firstLine="422"/>
        <w:jc w:val="both"/>
      </w:pPr>
      <w:r>
        <w:rPr>
          <w:sz w:val="21"/>
          <w:b/>
        </w:rPr>
        <w:t>第四条</w:t>
      </w:r>
      <w:r>
        <w:rPr>
          <w:sz w:val="21"/>
          <w:b/>
        </w:rPr>
        <w:t xml:space="preserve">  </w:t>
      </w:r>
      <w:r>
        <w:rPr>
          <w:sz w:val="21"/>
          <w:b/>
        </w:rPr>
        <w:t>关于工期的约定</w:t>
      </w:r>
    </w:p>
    <w:p>
      <w:pPr>
        <w:pStyle w:val="null3"/>
        <w:ind w:firstLine="420"/>
        <w:jc w:val="both"/>
      </w:pPr>
      <w:r>
        <w:rPr>
          <w:sz w:val="21"/>
        </w:rPr>
        <w:t>4.1</w:t>
      </w:r>
      <w:r>
        <w:rPr>
          <w:sz w:val="21"/>
        </w:rPr>
        <w:t>甲方要求比合同约定的工期提前竣工时，应征得乙方同意，并支付乙方因赶工采取的措施费用。</w:t>
      </w:r>
    </w:p>
    <w:p>
      <w:pPr>
        <w:pStyle w:val="null3"/>
        <w:ind w:firstLine="420"/>
        <w:jc w:val="both"/>
      </w:pPr>
      <w:r>
        <w:rPr>
          <w:sz w:val="21"/>
        </w:rPr>
        <w:t>4.2</w:t>
      </w:r>
      <w:r>
        <w:rPr>
          <w:sz w:val="21"/>
        </w:rPr>
        <w:t>因甲方未按本合同</w:t>
      </w:r>
      <w:r>
        <w:rPr>
          <w:sz w:val="21"/>
        </w:rPr>
        <w:t>2.1</w:t>
      </w:r>
      <w:r>
        <w:rPr>
          <w:sz w:val="21"/>
        </w:rPr>
        <w:t>的规定完成工作致影响工期的，工期顺延。</w:t>
      </w:r>
    </w:p>
    <w:p>
      <w:pPr>
        <w:pStyle w:val="null3"/>
        <w:ind w:firstLine="420"/>
        <w:jc w:val="both"/>
      </w:pPr>
      <w:r>
        <w:rPr>
          <w:sz w:val="21"/>
        </w:rPr>
        <w:t>4.3</w:t>
      </w:r>
      <w:r>
        <w:rPr>
          <w:sz w:val="21"/>
        </w:rPr>
        <w:t>因乙方责任，不能按期开工或中途无故停工致影响工期的，工期不顺延；如因此出现工期延误的，乙方应向甲方承担违约责任。</w:t>
      </w:r>
    </w:p>
    <w:p>
      <w:pPr>
        <w:pStyle w:val="null3"/>
        <w:ind w:firstLine="420"/>
        <w:jc w:val="both"/>
      </w:pPr>
      <w:r>
        <w:rPr>
          <w:sz w:val="21"/>
        </w:rPr>
        <w:t>4.4</w:t>
      </w:r>
      <w:r>
        <w:rPr>
          <w:sz w:val="21"/>
        </w:rPr>
        <w:t>因设计变更或非乙方原因造成的停电、停水、停气及不可抗力因素影响，导致停工</w:t>
      </w:r>
      <w:r>
        <w:rPr>
          <w:sz w:val="21"/>
        </w:rPr>
        <w:t>8</w:t>
      </w:r>
      <w:r>
        <w:rPr>
          <w:sz w:val="21"/>
        </w:rPr>
        <w:t>小时以上（一周内累计计算），工期相应顺延。</w:t>
      </w:r>
    </w:p>
    <w:p>
      <w:pPr>
        <w:pStyle w:val="null3"/>
        <w:ind w:firstLine="422"/>
        <w:jc w:val="both"/>
      </w:pPr>
      <w:r>
        <w:rPr>
          <w:sz w:val="21"/>
          <w:b/>
        </w:rPr>
        <w:t>第五条</w:t>
      </w:r>
      <w:r>
        <w:rPr>
          <w:sz w:val="21"/>
          <w:b/>
        </w:rPr>
        <w:t xml:space="preserve">  </w:t>
      </w:r>
      <w:r>
        <w:rPr>
          <w:sz w:val="21"/>
          <w:b/>
        </w:rPr>
        <w:t>关于服务质量及验收的约定</w:t>
      </w:r>
    </w:p>
    <w:p>
      <w:pPr>
        <w:pStyle w:val="null3"/>
        <w:ind w:firstLine="420"/>
        <w:jc w:val="both"/>
      </w:pPr>
      <w:r>
        <w:rPr>
          <w:sz w:val="21"/>
        </w:rPr>
        <w:t>5.1</w:t>
      </w:r>
      <w:r>
        <w:rPr>
          <w:sz w:val="21"/>
        </w:rPr>
        <w:t>本服务以施工图纸、作法说明、设计变更和《建筑装饰服务施工及验收规范》（</w:t>
      </w:r>
      <w:r>
        <w:rPr>
          <w:sz w:val="21"/>
        </w:rPr>
        <w:t>JGJ73-91</w:t>
      </w:r>
      <w:r>
        <w:rPr>
          <w:sz w:val="21"/>
        </w:rPr>
        <w:t>）、《建筑安装服务质量检验评定统一标准》（</w:t>
      </w:r>
      <w:r>
        <w:rPr>
          <w:sz w:val="21"/>
        </w:rPr>
        <w:t>GB50300-2001</w:t>
      </w:r>
      <w:r>
        <w:rPr>
          <w:sz w:val="21"/>
        </w:rPr>
        <w:t>）等国家制订的施工及验收规范为质量评定验收标准。</w:t>
      </w:r>
    </w:p>
    <w:p>
      <w:pPr>
        <w:pStyle w:val="null3"/>
        <w:ind w:firstLine="420"/>
        <w:jc w:val="both"/>
      </w:pPr>
      <w:r>
        <w:rPr>
          <w:sz w:val="21"/>
        </w:rPr>
        <w:t>5.2</w:t>
      </w:r>
      <w:r>
        <w:rPr>
          <w:sz w:val="21"/>
        </w:rPr>
        <w:t>甲、乙双方应在施工前明确隐蔽服务和中间服务的检查与验收项目。乙方在施工过程中应提前通知甲方参加服务的检查与验收手续。若甲方要求复验时，乙方应按要求办理复验。若复验合格，甲方应承担复验费用，由此造成停工，工期顺延；若复验不合格，其复验及返工费用由乙方承担，但工期也予顺延。隐蔽验收不合格，乙方应在甲方限定时间内修改后重新申报验收，工期不顺延。隐蔽服务如未通知甲方验收，乙方擅自隐蔽或进入下一道工序，甲方有权要求乙方拆开遮挡部分进行隐蔽验收检查，由此引起的一切费用由乙方负责，且工期不顺延。</w:t>
      </w:r>
    </w:p>
    <w:p>
      <w:pPr>
        <w:pStyle w:val="null3"/>
        <w:ind w:firstLine="420"/>
        <w:jc w:val="both"/>
      </w:pPr>
      <w:r>
        <w:rPr>
          <w:sz w:val="21"/>
        </w:rPr>
        <w:t>5.4</w:t>
      </w:r>
      <w:r>
        <w:rPr>
          <w:sz w:val="21"/>
        </w:rPr>
        <w:t>由于乙方原因造成质量事故，其返工费用由乙方承担，工期不顺延；如因此出现工期延误的，乙方应向甲方承担违约责任。</w:t>
      </w:r>
    </w:p>
    <w:p>
      <w:pPr>
        <w:pStyle w:val="null3"/>
        <w:ind w:firstLine="420"/>
        <w:jc w:val="both"/>
      </w:pPr>
      <w:r>
        <w:rPr>
          <w:sz w:val="21"/>
        </w:rPr>
        <w:t>5.5</w:t>
      </w:r>
      <w:r>
        <w:rPr>
          <w:sz w:val="21"/>
        </w:rPr>
        <w:t>服务竣工后，乙方应通知甲方验收，甲方自接到验收通知之日起</w:t>
      </w:r>
      <w:r>
        <w:rPr>
          <w:sz w:val="21"/>
          <w:u w:val="single"/>
        </w:rPr>
        <w:t xml:space="preserve"> 10</w:t>
      </w:r>
      <w:r>
        <w:rPr>
          <w:sz w:val="21"/>
        </w:rPr>
        <w:t>日内组织验收，并办理验收、移交手续。如甲方在规定时间内未能组织验收，需及时通知乙方，双方协商另定验收日期。但甲方应承认竣工日期，并承担乙方的看管费用和相关费用。</w:t>
      </w:r>
    </w:p>
    <w:p>
      <w:pPr>
        <w:pStyle w:val="null3"/>
        <w:ind w:firstLine="420"/>
        <w:jc w:val="both"/>
      </w:pPr>
      <w:r>
        <w:rPr>
          <w:sz w:val="21"/>
        </w:rPr>
        <w:t>5.6</w:t>
      </w:r>
      <w:r>
        <w:rPr>
          <w:sz w:val="21"/>
        </w:rPr>
        <w:t>服务竣工验收，乙方需提交布线平面图、线路测试报告、需求清单等资料，甲方组织验收通过后，竣工资料存档并作为服务结算依据。</w:t>
      </w:r>
    </w:p>
    <w:p>
      <w:pPr>
        <w:pStyle w:val="null3"/>
        <w:ind w:firstLine="422"/>
        <w:jc w:val="both"/>
      </w:pPr>
      <w:r>
        <w:rPr>
          <w:sz w:val="21"/>
          <w:b/>
        </w:rPr>
        <w:t>第六条</w:t>
      </w:r>
      <w:r>
        <w:rPr>
          <w:sz w:val="21"/>
          <w:b/>
        </w:rPr>
        <w:t xml:space="preserve">  </w:t>
      </w:r>
      <w:r>
        <w:rPr>
          <w:sz w:val="21"/>
          <w:b/>
        </w:rPr>
        <w:t>服务保修期</w:t>
      </w:r>
    </w:p>
    <w:p>
      <w:pPr>
        <w:pStyle w:val="null3"/>
        <w:ind w:firstLine="420"/>
        <w:jc w:val="both"/>
      </w:pPr>
      <w:r>
        <w:rPr>
          <w:sz w:val="21"/>
        </w:rPr>
        <w:t>本服务的维保期为</w:t>
      </w:r>
      <w:r>
        <w:rPr>
          <w:sz w:val="21"/>
        </w:rPr>
        <w:t>三</w:t>
      </w:r>
      <w:r>
        <w:rPr>
          <w:sz w:val="21"/>
        </w:rPr>
        <w:t>年，设备维保为原厂三年。</w:t>
      </w:r>
    </w:p>
    <w:p>
      <w:pPr>
        <w:pStyle w:val="null3"/>
        <w:ind w:firstLine="420"/>
        <w:jc w:val="both"/>
      </w:pPr>
      <w:r>
        <w:rPr>
          <w:sz w:val="21"/>
        </w:rPr>
        <w:t>属于保修范围和内容的项目，乙方应在接到修理通知起，</w:t>
      </w:r>
      <w:r>
        <w:rPr>
          <w:sz w:val="21"/>
        </w:rPr>
        <w:t>24</w:t>
      </w:r>
      <w:r>
        <w:rPr>
          <w:sz w:val="21"/>
        </w:rPr>
        <w:t>小时内内派人到服务所在地修理。维保期内，服务维修所需的材料由乙方负责免费提供，设备发生故障时，由乙方提供备用设备抢修，故障的设备由乙方负责送回设备厂家维修好后，拆除备用件并把修复好的设备安装好</w:t>
      </w:r>
      <w:r>
        <w:rPr>
          <w:sz w:val="21"/>
        </w:rPr>
        <w:t>,</w:t>
      </w:r>
      <w:r>
        <w:rPr>
          <w:sz w:val="21"/>
        </w:rPr>
        <w:t>由乙方承担相关的维修费</w:t>
      </w:r>
      <w:r>
        <w:rPr>
          <w:sz w:val="21"/>
        </w:rPr>
        <w:t>。</w:t>
      </w:r>
    </w:p>
    <w:p>
      <w:pPr>
        <w:pStyle w:val="null3"/>
        <w:ind w:firstLine="422"/>
        <w:jc w:val="both"/>
      </w:pPr>
      <w:r>
        <w:rPr>
          <w:sz w:val="21"/>
          <w:b/>
        </w:rPr>
        <w:t>第七条</w:t>
      </w:r>
      <w:r>
        <w:rPr>
          <w:sz w:val="21"/>
          <w:b/>
        </w:rPr>
        <w:t>关于</w:t>
      </w:r>
      <w:r>
        <w:rPr>
          <w:sz w:val="21"/>
          <w:b/>
        </w:rPr>
        <w:t>合同</w:t>
      </w:r>
      <w:r>
        <w:rPr>
          <w:sz w:val="21"/>
          <w:b/>
        </w:rPr>
        <w:t>价款及结算的约定</w:t>
      </w:r>
    </w:p>
    <w:p>
      <w:pPr>
        <w:pStyle w:val="null3"/>
        <w:ind w:firstLine="420"/>
        <w:jc w:val="both"/>
      </w:pPr>
      <w:r>
        <w:rPr>
          <w:sz w:val="21"/>
        </w:rPr>
        <w:t>7.1</w:t>
      </w:r>
      <w:r>
        <w:rPr>
          <w:sz w:val="21"/>
        </w:rPr>
        <w:t>本</w:t>
      </w:r>
      <w:r>
        <w:rPr>
          <w:sz w:val="21"/>
        </w:rPr>
        <w:t>合同</w:t>
      </w:r>
      <w:r>
        <w:rPr>
          <w:sz w:val="21"/>
        </w:rPr>
        <w:t>价款即为医院方提出的服务需求</w:t>
      </w:r>
      <w:r>
        <w:rPr>
          <w:sz w:val="21"/>
        </w:rPr>
        <w:t>乘以</w:t>
      </w:r>
      <w:r>
        <w:rPr>
          <w:sz w:val="21"/>
        </w:rPr>
        <w:t>本合同附件《投标单价表》所列单价。</w:t>
      </w:r>
    </w:p>
    <w:p>
      <w:pPr>
        <w:pStyle w:val="null3"/>
        <w:ind w:firstLine="420"/>
        <w:jc w:val="both"/>
      </w:pPr>
      <w:r>
        <w:rPr>
          <w:sz w:val="21"/>
        </w:rPr>
        <w:t>7.2</w:t>
      </w:r>
      <w:r>
        <w:rPr>
          <w:sz w:val="21"/>
        </w:rPr>
        <w:t>按季度为结算周期来结算，以单项服务竣工文档内的需求清单为结算依据，每季度服务结算金额</w:t>
      </w:r>
      <w:r>
        <w:rPr>
          <w:sz w:val="21"/>
        </w:rPr>
        <w:t>=</w:t>
      </w:r>
      <w:r>
        <w:rPr>
          <w:sz w:val="21"/>
        </w:rPr>
        <w:t>每个季度内统计已通过验收的单项服务总量</w:t>
      </w:r>
      <w:r>
        <w:rPr>
          <w:sz w:val="21"/>
        </w:rPr>
        <w:t>乘以</w:t>
      </w:r>
      <w:r>
        <w:rPr>
          <w:sz w:val="21"/>
        </w:rPr>
        <w:t>本合同附件《投标单价表》所列单价。</w:t>
      </w:r>
    </w:p>
    <w:p>
      <w:pPr>
        <w:pStyle w:val="null3"/>
        <w:ind w:firstLine="420"/>
        <w:jc w:val="both"/>
      </w:pPr>
      <w:r>
        <w:rPr>
          <w:sz w:val="21"/>
        </w:rPr>
        <w:t>7.3</w:t>
      </w:r>
      <w:r>
        <w:rPr>
          <w:sz w:val="21"/>
        </w:rPr>
        <w:t>乙方提交结算申请给甲方审核，甲方审核通过后在</w:t>
      </w:r>
      <w:r>
        <w:rPr>
          <w:sz w:val="21"/>
        </w:rPr>
        <w:t>30</w:t>
      </w:r>
      <w:r>
        <w:rPr>
          <w:sz w:val="21"/>
        </w:rPr>
        <w:t>天内支付全额季度结算款给乙方。</w:t>
      </w:r>
    </w:p>
    <w:p>
      <w:pPr>
        <w:pStyle w:val="null3"/>
        <w:ind w:firstLine="420"/>
        <w:jc w:val="both"/>
      </w:pPr>
      <w:r>
        <w:rPr>
          <w:sz w:val="21"/>
        </w:rPr>
        <w:t>7.4</w:t>
      </w:r>
      <w:r>
        <w:rPr>
          <w:sz w:val="21"/>
        </w:rPr>
        <w:t>乙方提交结算申请时应提供</w:t>
      </w:r>
      <w:r>
        <w:rPr>
          <w:sz w:val="21"/>
        </w:rPr>
        <w:t>“</w:t>
      </w:r>
      <w:r>
        <w:rPr>
          <w:sz w:val="21"/>
        </w:rPr>
        <w:t>结算付款申请单</w:t>
      </w:r>
      <w:r>
        <w:rPr>
          <w:sz w:val="21"/>
        </w:rPr>
        <w:t>”</w:t>
      </w:r>
      <w:r>
        <w:rPr>
          <w:sz w:val="21"/>
        </w:rPr>
        <w:t>、</w:t>
      </w:r>
      <w:r>
        <w:rPr>
          <w:sz w:val="21"/>
        </w:rPr>
        <w:t>“</w:t>
      </w:r>
      <w:r>
        <w:rPr>
          <w:sz w:val="21"/>
        </w:rPr>
        <w:t>结算服务的验收书</w:t>
      </w:r>
      <w:r>
        <w:rPr>
          <w:sz w:val="21"/>
        </w:rPr>
        <w:t>”</w:t>
      </w:r>
      <w:r>
        <w:rPr>
          <w:sz w:val="21"/>
        </w:rPr>
        <w:t>、</w:t>
      </w:r>
      <w:r>
        <w:rPr>
          <w:sz w:val="21"/>
        </w:rPr>
        <w:t>“</w:t>
      </w:r>
      <w:r>
        <w:rPr>
          <w:sz w:val="21"/>
        </w:rPr>
        <w:t>每季度服务结算金额计算依据</w:t>
      </w:r>
      <w:r>
        <w:rPr>
          <w:sz w:val="21"/>
        </w:rPr>
        <w:t>”</w:t>
      </w:r>
      <w:r>
        <w:rPr>
          <w:sz w:val="21"/>
        </w:rPr>
        <w:t>及相应金额的</w:t>
      </w:r>
      <w:r>
        <w:rPr>
          <w:sz w:val="21"/>
        </w:rPr>
        <w:t>服务</w:t>
      </w:r>
      <w:r>
        <w:rPr>
          <w:sz w:val="21"/>
        </w:rPr>
        <w:t>发票。</w:t>
      </w:r>
    </w:p>
    <w:p>
      <w:pPr>
        <w:pStyle w:val="null3"/>
        <w:ind w:firstLine="422"/>
        <w:jc w:val="both"/>
      </w:pPr>
      <w:r>
        <w:rPr>
          <w:sz w:val="21"/>
          <w:b/>
        </w:rPr>
        <w:t>第八条</w:t>
      </w:r>
      <w:r>
        <w:rPr>
          <w:sz w:val="21"/>
          <w:b/>
        </w:rPr>
        <w:t xml:space="preserve">  </w:t>
      </w:r>
      <w:r>
        <w:rPr>
          <w:sz w:val="21"/>
          <w:b/>
        </w:rPr>
        <w:t>关于材料供应的约定</w:t>
      </w:r>
    </w:p>
    <w:p>
      <w:pPr>
        <w:pStyle w:val="null3"/>
        <w:ind w:firstLine="420"/>
        <w:jc w:val="both"/>
      </w:pPr>
      <w:r>
        <w:rPr>
          <w:sz w:val="21"/>
        </w:rPr>
        <w:t>8.1</w:t>
      </w:r>
      <w:r>
        <w:rPr>
          <w:sz w:val="21"/>
        </w:rPr>
        <w:t>凡由乙方采购的材料、设备，如不符合质量要求或规格有差异，应禁止使用。若已使用，对服务造成的一切损失均由乙方承担。</w:t>
      </w:r>
    </w:p>
    <w:p>
      <w:pPr>
        <w:pStyle w:val="null3"/>
        <w:ind w:firstLine="420"/>
        <w:jc w:val="both"/>
      </w:pPr>
      <w:r>
        <w:rPr>
          <w:sz w:val="21"/>
        </w:rPr>
        <w:t xml:space="preserve">8.2 </w:t>
      </w:r>
      <w:r>
        <w:rPr>
          <w:sz w:val="21"/>
        </w:rPr>
        <w:t>材料进场提供合格证书和材料资料。</w:t>
      </w:r>
    </w:p>
    <w:p>
      <w:pPr>
        <w:pStyle w:val="null3"/>
        <w:ind w:firstLine="422"/>
        <w:jc w:val="both"/>
      </w:pPr>
      <w:r>
        <w:rPr>
          <w:sz w:val="21"/>
          <w:b/>
        </w:rPr>
        <w:t>第九条</w:t>
      </w:r>
      <w:r>
        <w:rPr>
          <w:sz w:val="21"/>
          <w:b/>
        </w:rPr>
        <w:t xml:space="preserve">  </w:t>
      </w:r>
      <w:r>
        <w:rPr>
          <w:sz w:val="21"/>
          <w:b/>
        </w:rPr>
        <w:t>有关安全生产和文明施工的约定</w:t>
      </w:r>
    </w:p>
    <w:p>
      <w:pPr>
        <w:pStyle w:val="null3"/>
        <w:ind w:firstLine="420"/>
        <w:jc w:val="both"/>
      </w:pPr>
      <w:r>
        <w:rPr>
          <w:sz w:val="21"/>
        </w:rPr>
        <w:t>9.1</w:t>
      </w:r>
      <w:r>
        <w:rPr>
          <w:sz w:val="21"/>
        </w:rPr>
        <w:t>乙方在施工期间应严格遵守《中华人民共和国消防法》和其他相关的安全法规、规范。</w:t>
      </w:r>
    </w:p>
    <w:p>
      <w:pPr>
        <w:pStyle w:val="null3"/>
        <w:ind w:firstLine="420"/>
        <w:jc w:val="both"/>
      </w:pPr>
      <w:r>
        <w:rPr>
          <w:sz w:val="21"/>
        </w:rPr>
        <w:t>9.2</w:t>
      </w:r>
      <w:r>
        <w:rPr>
          <w:sz w:val="21"/>
        </w:rPr>
        <w:t>由于甲方确认的图纸或作法说明，违反有关安全操作规程、消防条例和防火设计规范，导致发生安全或火灾事故，甲方应承担由此产生的一切经济损失。</w:t>
      </w:r>
    </w:p>
    <w:p>
      <w:pPr>
        <w:pStyle w:val="null3"/>
        <w:ind w:firstLine="420"/>
        <w:jc w:val="both"/>
      </w:pPr>
      <w:r>
        <w:rPr>
          <w:sz w:val="21"/>
        </w:rPr>
        <w:t>9.3</w:t>
      </w:r>
      <w:r>
        <w:rPr>
          <w:sz w:val="21"/>
        </w:rPr>
        <w:t>由于乙方在施工生产过程中违反有关安全操作规程、消防条例，导致发生安全或火灾事故，乙方应承担由此引发的一切经济损失。</w:t>
      </w:r>
    </w:p>
    <w:p>
      <w:pPr>
        <w:pStyle w:val="null3"/>
        <w:ind w:firstLine="422"/>
        <w:jc w:val="both"/>
      </w:pPr>
      <w:r>
        <w:rPr>
          <w:sz w:val="21"/>
          <w:b/>
        </w:rPr>
        <w:t>第十条</w:t>
      </w:r>
      <w:r>
        <w:rPr>
          <w:sz w:val="21"/>
          <w:b/>
        </w:rPr>
        <w:t>违约责任</w:t>
      </w:r>
    </w:p>
    <w:p>
      <w:pPr>
        <w:pStyle w:val="null3"/>
        <w:ind w:firstLine="420"/>
        <w:jc w:val="both"/>
      </w:pPr>
      <w:r>
        <w:rPr>
          <w:sz w:val="21"/>
        </w:rPr>
        <w:t>10.1</w:t>
      </w:r>
      <w:r>
        <w:rPr>
          <w:sz w:val="21"/>
        </w:rPr>
        <w:t>乙方应妥善保护甲方提供的设备及现场的家具、陈设和服务成品，如造成损失，应照价赔偿。</w:t>
      </w:r>
    </w:p>
    <w:p>
      <w:pPr>
        <w:pStyle w:val="null3"/>
        <w:ind w:firstLine="420"/>
        <w:jc w:val="both"/>
      </w:pPr>
      <w:r>
        <w:rPr>
          <w:sz w:val="21"/>
        </w:rPr>
        <w:t>10.2</w:t>
      </w:r>
      <w:r>
        <w:rPr>
          <w:sz w:val="21"/>
        </w:rPr>
        <w:t>未经甲方书面同意，乙方擅自拆改原建筑物结构或设备管线，由此发生的损失或事故（包括罚款），由乙方负责并承担全部损失。</w:t>
      </w:r>
    </w:p>
    <w:p>
      <w:pPr>
        <w:pStyle w:val="null3"/>
        <w:ind w:firstLine="420"/>
        <w:jc w:val="both"/>
      </w:pPr>
      <w:r>
        <w:rPr>
          <w:sz w:val="21"/>
        </w:rPr>
        <w:t>10.3</w:t>
      </w:r>
      <w:r>
        <w:rPr>
          <w:sz w:val="21"/>
        </w:rPr>
        <w:t>未办理验收手续，甲方提前使用或擅自动用，造成损失由甲方负责。</w:t>
      </w:r>
    </w:p>
    <w:p>
      <w:pPr>
        <w:pStyle w:val="null3"/>
        <w:ind w:firstLine="420"/>
        <w:jc w:val="both"/>
      </w:pPr>
      <w:r>
        <w:rPr>
          <w:sz w:val="21"/>
        </w:rPr>
        <w:t>10.4</w:t>
      </w:r>
      <w:r>
        <w:rPr>
          <w:sz w:val="21"/>
        </w:rPr>
        <w:t>因一方原因，致本合同无法继续履行时，应马上通知对方，终止本合同的履行，并由责任方赔偿对方由此造成的一切经济损失。</w:t>
      </w:r>
    </w:p>
    <w:p>
      <w:pPr>
        <w:pStyle w:val="null3"/>
        <w:ind w:firstLine="420"/>
        <w:jc w:val="both"/>
      </w:pPr>
      <w:r>
        <w:rPr>
          <w:sz w:val="21"/>
        </w:rPr>
        <w:t>10.5</w:t>
      </w:r>
      <w:r>
        <w:rPr>
          <w:sz w:val="21"/>
        </w:rPr>
        <w:t>乙方使用的材料不符合合同及招标文件要求的，一经发现乙方需立即更换合格产品，由此造成的返工等费用由乙方自行承担，造成甲方损失的，还应赔偿甲方的损失。</w:t>
      </w:r>
    </w:p>
    <w:p>
      <w:pPr>
        <w:pStyle w:val="null3"/>
        <w:ind w:firstLine="422"/>
        <w:jc w:val="both"/>
      </w:pPr>
      <w:r>
        <w:rPr>
          <w:sz w:val="21"/>
          <w:b/>
        </w:rPr>
        <w:t>第十一条违约金</w:t>
      </w:r>
    </w:p>
    <w:p>
      <w:pPr>
        <w:pStyle w:val="null3"/>
        <w:ind w:firstLine="420"/>
        <w:jc w:val="both"/>
      </w:pPr>
      <w:r>
        <w:rPr>
          <w:sz w:val="21"/>
        </w:rPr>
        <w:t>11.1</w:t>
      </w:r>
      <w:r>
        <w:rPr>
          <w:sz w:val="21"/>
        </w:rPr>
        <w:t>按时进退场保证：乙方接到甲方的进场通知后，必须按期进场工作，若因乙方原因致进场施工时间推迟的，甲方对乙方处以扣除违约金￥</w:t>
      </w:r>
      <w:r>
        <w:rPr>
          <w:sz w:val="21"/>
        </w:rPr>
        <w:t>1000</w:t>
      </w:r>
      <w:r>
        <w:rPr>
          <w:sz w:val="21"/>
        </w:rPr>
        <w:t>元</w:t>
      </w:r>
      <w:r>
        <w:rPr>
          <w:sz w:val="21"/>
        </w:rPr>
        <w:t>/</w:t>
      </w:r>
      <w:r>
        <w:rPr>
          <w:sz w:val="21"/>
        </w:rPr>
        <w:t>天。乙方应在施工完毕之日起两天内清理好施工现场，费用由乙方承担，否则，甲方将对乙方处以扣除违约金￥</w:t>
      </w:r>
      <w:r>
        <w:rPr>
          <w:sz w:val="21"/>
        </w:rPr>
        <w:t>1000</w:t>
      </w:r>
      <w:r>
        <w:rPr>
          <w:sz w:val="21"/>
        </w:rPr>
        <w:t>元</w:t>
      </w:r>
      <w:r>
        <w:rPr>
          <w:sz w:val="21"/>
        </w:rPr>
        <w:t>/</w:t>
      </w:r>
      <w:r>
        <w:rPr>
          <w:sz w:val="21"/>
        </w:rPr>
        <w:t>天。由于乙方原因，逾期竣工，每逾期一天，乙方按合同约定金额支付甲方</w:t>
      </w:r>
      <w:r>
        <w:rPr>
          <w:sz w:val="21"/>
          <w:u w:val="single"/>
        </w:rPr>
        <w:t>1</w:t>
      </w:r>
      <w:r>
        <w:rPr>
          <w:sz w:val="21"/>
        </w:rPr>
        <w:t>％支付违约金。</w:t>
      </w:r>
    </w:p>
    <w:p>
      <w:pPr>
        <w:pStyle w:val="null3"/>
        <w:ind w:firstLine="420"/>
        <w:jc w:val="both"/>
      </w:pPr>
      <w:r>
        <w:rPr>
          <w:sz w:val="21"/>
        </w:rPr>
        <w:t>11.2</w:t>
      </w:r>
      <w:r>
        <w:rPr>
          <w:sz w:val="21"/>
        </w:rPr>
        <w:t>乙方擅自把</w:t>
      </w:r>
      <w:r>
        <w:rPr>
          <w:sz w:val="21"/>
        </w:rPr>
        <w:t>合同</w:t>
      </w:r>
      <w:r>
        <w:rPr>
          <w:sz w:val="21"/>
        </w:rPr>
        <w:t>分包或转包给其他任何单位或个人的，甲方有权单方解除合同，乙方应按合同约定价款的</w:t>
      </w:r>
      <w:r>
        <w:rPr>
          <w:sz w:val="21"/>
          <w:u w:val="single"/>
        </w:rPr>
        <w:t xml:space="preserve"> 5</w:t>
      </w:r>
      <w:r>
        <w:rPr>
          <w:sz w:val="21"/>
        </w:rPr>
        <w:t>%</w:t>
      </w:r>
      <w:r>
        <w:rPr>
          <w:sz w:val="21"/>
        </w:rPr>
        <w:t>向甲方支付违约金，并赔偿甲方因此造成的其他一切损失。</w:t>
      </w:r>
    </w:p>
    <w:p>
      <w:pPr>
        <w:pStyle w:val="null3"/>
        <w:ind w:firstLine="420"/>
        <w:jc w:val="both"/>
      </w:pPr>
      <w:r>
        <w:rPr>
          <w:sz w:val="21"/>
        </w:rPr>
        <w:t>11.3</w:t>
      </w:r>
      <w:r>
        <w:rPr>
          <w:sz w:val="21"/>
        </w:rPr>
        <w:t>违约金在应付款中扣除。</w:t>
      </w:r>
    </w:p>
    <w:p>
      <w:pPr>
        <w:pStyle w:val="null3"/>
        <w:ind w:firstLine="422"/>
        <w:jc w:val="both"/>
      </w:pPr>
      <w:r>
        <w:rPr>
          <w:sz w:val="21"/>
          <w:b/>
        </w:rPr>
        <w:t>第十二条</w:t>
      </w:r>
      <w:r>
        <w:rPr>
          <w:sz w:val="21"/>
          <w:b/>
        </w:rPr>
        <w:t xml:space="preserve">  </w:t>
      </w:r>
      <w:r>
        <w:rPr>
          <w:sz w:val="21"/>
          <w:b/>
        </w:rPr>
        <w:t>合同争议的解决方式</w:t>
      </w:r>
    </w:p>
    <w:p>
      <w:pPr>
        <w:pStyle w:val="null3"/>
        <w:ind w:firstLine="420"/>
        <w:jc w:val="both"/>
      </w:pPr>
      <w:r>
        <w:rPr>
          <w:sz w:val="21"/>
        </w:rPr>
        <w:t>本合同在履行过程中发生的争议，双方当事人应友好协商解决。如协商不成，任一方可依法向广州市海珠区人民法院提起诉讼解决。</w:t>
      </w:r>
    </w:p>
    <w:p>
      <w:pPr>
        <w:pStyle w:val="null3"/>
        <w:ind w:firstLine="422"/>
        <w:jc w:val="both"/>
      </w:pPr>
      <w:r>
        <w:rPr>
          <w:sz w:val="21"/>
          <w:b/>
        </w:rPr>
        <w:t>第十三条</w:t>
      </w:r>
      <w:r>
        <w:rPr>
          <w:sz w:val="21"/>
          <w:b/>
        </w:rPr>
        <w:t xml:space="preserve">  </w:t>
      </w:r>
      <w:r>
        <w:rPr>
          <w:sz w:val="21"/>
          <w:b/>
        </w:rPr>
        <w:t>附则</w:t>
      </w:r>
    </w:p>
    <w:p>
      <w:pPr>
        <w:pStyle w:val="null3"/>
        <w:ind w:firstLine="420"/>
        <w:jc w:val="both"/>
      </w:pPr>
      <w:r>
        <w:rPr>
          <w:sz w:val="21"/>
        </w:rPr>
        <w:t>13.1</w:t>
      </w:r>
      <w:r>
        <w:rPr>
          <w:sz w:val="21"/>
        </w:rPr>
        <w:t>本合同一式七份，甲方执五份，乙方执两份，均具有同等法律效力。</w:t>
      </w:r>
    </w:p>
    <w:p>
      <w:pPr>
        <w:pStyle w:val="null3"/>
        <w:ind w:firstLine="420"/>
        <w:jc w:val="both"/>
      </w:pPr>
      <w:r>
        <w:rPr>
          <w:sz w:val="21"/>
        </w:rPr>
        <w:t>13.2</w:t>
      </w:r>
      <w:r>
        <w:rPr>
          <w:sz w:val="21"/>
        </w:rPr>
        <w:t>本合同自甲、乙双方签字、盖章之日起生效。</w:t>
      </w:r>
    </w:p>
    <w:p>
      <w:pPr>
        <w:pStyle w:val="null3"/>
        <w:ind w:firstLine="420"/>
        <w:jc w:val="both"/>
      </w:pPr>
      <w:r>
        <w:rPr>
          <w:sz w:val="21"/>
        </w:rPr>
        <w:t>13.3</w:t>
      </w:r>
      <w:r>
        <w:rPr>
          <w:sz w:val="21"/>
        </w:rPr>
        <w:t>附件</w:t>
      </w:r>
    </w:p>
    <w:p>
      <w:pPr>
        <w:pStyle w:val="null3"/>
        <w:ind w:firstLine="420"/>
        <w:jc w:val="both"/>
      </w:pPr>
      <w:r>
        <w:rPr>
          <w:sz w:val="21"/>
          <w:u w:val="single"/>
        </w:rPr>
        <w:t>投标单价表。</w:t>
      </w:r>
      <w:r>
        <w:rPr>
          <w:sz w:val="21"/>
          <w:u w:val="single"/>
        </w:rPr>
        <w:t xml:space="preserve">   </w:t>
      </w:r>
    </w:p>
    <w:p>
      <w:pPr>
        <w:pStyle w:val="null3"/>
        <w:ind w:firstLine="420"/>
        <w:jc w:val="both"/>
      </w:pPr>
      <w:r>
        <w:rPr>
          <w:sz w:val="21"/>
        </w:rPr>
        <w:t xml:space="preserve">13.4 </w:t>
      </w:r>
      <w:r>
        <w:rPr>
          <w:sz w:val="21"/>
        </w:rPr>
        <w:t>本合同的附件是本合同不可分割的组成部分，与本合同具有同等法律效力。</w:t>
      </w:r>
    </w:p>
    <w:p>
      <w:pPr>
        <w:pStyle w:val="null3"/>
        <w:ind w:firstLine="420"/>
        <w:jc w:val="both"/>
      </w:pPr>
      <w:r>
        <w:rPr>
          <w:sz w:val="21"/>
        </w:rPr>
        <w:t xml:space="preserve">13.5 </w:t>
      </w:r>
      <w:r>
        <w:rPr>
          <w:sz w:val="21"/>
        </w:rPr>
        <w:t>本合同共计</w:t>
      </w:r>
      <w:r>
        <w:rPr>
          <w:sz w:val="21"/>
          <w:u w:val="single"/>
        </w:rPr>
        <w:t xml:space="preserve"> 7 </w:t>
      </w:r>
      <w:r>
        <w:rPr>
          <w:sz w:val="21"/>
        </w:rPr>
        <w:t>页，正文</w:t>
      </w:r>
      <w:r>
        <w:rPr>
          <w:sz w:val="21"/>
          <w:u w:val="single"/>
        </w:rPr>
        <w:t xml:space="preserve"> 5 </w:t>
      </w:r>
      <w:r>
        <w:rPr>
          <w:sz w:val="21"/>
        </w:rPr>
        <w:t>页，附件</w:t>
      </w:r>
      <w:r>
        <w:rPr>
          <w:sz w:val="21"/>
          <w:u w:val="single"/>
        </w:rPr>
        <w:t xml:space="preserve"> 2 </w:t>
      </w:r>
      <w:r>
        <w:rPr>
          <w:sz w:val="21"/>
        </w:rPr>
        <w:t>页。</w:t>
      </w:r>
    </w:p>
    <w:p>
      <w:pPr>
        <w:pStyle w:val="null3"/>
        <w:ind w:firstLine="420"/>
        <w:jc w:val="both"/>
      </w:pPr>
      <w:r>
        <w:rPr>
          <w:sz w:val="28"/>
        </w:rPr>
        <w:t>甲方（盖章）：</w:t>
      </w:r>
      <w:r>
        <w:rPr>
          <w:sz w:val="21"/>
          <w:u w:val="single"/>
        </w:rPr>
        <w:t xml:space="preserve"> </w:t>
      </w:r>
      <w:r>
        <w:rPr>
          <w:sz w:val="28"/>
          <w:u w:val="single"/>
        </w:rPr>
        <w:t>南方医科大学珠江医院</w:t>
      </w:r>
      <w:r>
        <w:rPr>
          <w:sz w:val="21"/>
          <w:u w:val="single"/>
        </w:rPr>
        <w:t xml:space="preserve">       </w:t>
      </w:r>
    </w:p>
    <w:p>
      <w:pPr>
        <w:pStyle w:val="null3"/>
        <w:jc w:val="both"/>
      </w:pPr>
      <w:r>
        <w:rPr>
          <w:sz w:val="28"/>
        </w:rPr>
        <w:t>委托代理人（签名）：</w:t>
      </w:r>
      <w:r>
        <w:rPr>
          <w:sz w:val="21"/>
          <w:u w:val="single"/>
        </w:rPr>
        <w:t xml:space="preserve">                       </w:t>
      </w:r>
      <w:r>
        <w:rPr>
          <w:sz w:val="21"/>
        </w:rPr>
        <w:t xml:space="preserve">  </w:t>
      </w:r>
    </w:p>
    <w:p>
      <w:pPr>
        <w:pStyle w:val="null3"/>
        <w:jc w:val="both"/>
      </w:pPr>
      <w:r>
        <w:rPr>
          <w:sz w:val="28"/>
        </w:rPr>
        <w:t>电话：</w:t>
      </w:r>
      <w:r>
        <w:rPr>
          <w:sz w:val="21"/>
          <w:u w:val="single"/>
        </w:rPr>
        <w:t xml:space="preserve">                                 </w:t>
      </w:r>
    </w:p>
    <w:p>
      <w:pPr>
        <w:pStyle w:val="null3"/>
        <w:ind w:firstLine="1120"/>
        <w:jc w:val="both"/>
      </w:pPr>
      <w:r>
        <w:rPr>
          <w:sz w:val="28"/>
        </w:rPr>
        <w:t>年</w:t>
      </w:r>
      <w:r>
        <w:rPr>
          <w:sz w:val="28"/>
        </w:rPr>
        <w:t xml:space="preserve">   </w:t>
      </w:r>
      <w:r>
        <w:rPr>
          <w:sz w:val="28"/>
        </w:rPr>
        <w:t>月</w:t>
      </w:r>
      <w:r>
        <w:rPr>
          <w:sz w:val="28"/>
        </w:rPr>
        <w:t xml:space="preserve">    </w:t>
      </w:r>
      <w:r>
        <w:rPr>
          <w:sz w:val="28"/>
        </w:rPr>
        <w:t>日</w:t>
      </w:r>
    </w:p>
    <w:p>
      <w:pPr>
        <w:pStyle w:val="null3"/>
        <w:jc w:val="both"/>
      </w:pPr>
      <w:r>
        <w:rPr>
          <w:sz w:val="28"/>
        </w:rPr>
        <w:t>乙方（盖章）：</w:t>
      </w:r>
      <w:r>
        <w:rPr>
          <w:sz w:val="21"/>
          <w:u w:val="single"/>
        </w:rPr>
        <w:t xml:space="preserve"> </w:t>
      </w:r>
      <w:r>
        <w:rPr>
          <w:sz w:val="21"/>
          <w:u w:val="single"/>
        </w:rPr>
        <w:t xml:space="preserve">  </w:t>
      </w:r>
    </w:p>
    <w:p>
      <w:pPr>
        <w:pStyle w:val="null3"/>
        <w:jc w:val="both"/>
      </w:pPr>
      <w:r>
        <w:rPr>
          <w:sz w:val="28"/>
        </w:rPr>
        <w:t>委托代理人（签名）：</w:t>
      </w:r>
      <w:r>
        <w:rPr>
          <w:sz w:val="21"/>
          <w:u w:val="single"/>
        </w:rPr>
        <w:t xml:space="preserve">                       </w:t>
      </w:r>
      <w:r>
        <w:rPr>
          <w:sz w:val="21"/>
        </w:rPr>
        <w:t xml:space="preserve">   </w:t>
      </w:r>
    </w:p>
    <w:p>
      <w:pPr>
        <w:pStyle w:val="null3"/>
        <w:jc w:val="both"/>
      </w:pPr>
      <w:r>
        <w:rPr>
          <w:sz w:val="28"/>
        </w:rPr>
        <w:t>电话：</w:t>
      </w:r>
      <w:r>
        <w:rPr>
          <w:sz w:val="21"/>
          <w:u w:val="single"/>
        </w:rPr>
        <w:t xml:space="preserve">                                 </w:t>
      </w:r>
    </w:p>
    <w:p>
      <w:pPr>
        <w:pStyle w:val="null3"/>
        <w:spacing w:before="0" w:after="0"/>
        <w:ind w:left="0" w:right="0"/>
        <w:jc w:val="center"/>
      </w:pPr>
      <w:r>
        <w:rPr>
          <w:sz w:val="28"/>
        </w:rPr>
        <w:t>年</w:t>
      </w:r>
      <w:r>
        <w:rPr>
          <w:sz w:val="28"/>
        </w:rPr>
        <w:t xml:space="preserve">   </w:t>
      </w:r>
      <w:r>
        <w:rPr>
          <w:sz w:val="28"/>
        </w:rPr>
        <w:t>月</w:t>
      </w:r>
      <w:r>
        <w:rPr>
          <w:sz w:val="28"/>
        </w:rPr>
        <w:t xml:space="preserve">    </w:t>
      </w:r>
      <w:r>
        <w:rPr>
          <w:sz w:val="28"/>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440001-2026-31698</w:t>
      </w:r>
    </w:p>
    <w:p>
      <w:pPr>
        <w:pStyle w:val="null3"/>
        <w:jc w:val="center"/>
        <w:outlineLvl w:val="3"/>
      </w:pPr>
      <w:r>
        <w:rPr>
          <w:sz w:val="24"/>
          <w:b/>
        </w:rPr>
        <w:t>采购项目编号：</w:t>
      </w:r>
      <w:r>
        <w:rPr>
          <w:sz w:val="24"/>
          <w:b/>
        </w:rPr>
        <w:t>M4400000707539044001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南方医科大学珠江医院计算机网络零星服务项目</w:t>
      </w:r>
      <w:r>
        <w:rPr>
          <w:u w:val="single"/>
        </w:rPr>
        <w:t>”</w:t>
      </w:r>
      <w:r>
        <w:rPr/>
        <w:t>项目的招标[采购项目编号为：</w:t>
      </w:r>
      <w:r>
        <w:rPr>
          <w:u w:val="single"/>
        </w:rPr>
        <w:t>M4400000707539044001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南方医科大学珠江医院计算机网络零星服务项目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南方医科大学珠江医院计算机网络零星服务项目</w:t>
      </w:r>
      <w:r>
        <w:rPr/>
        <w:t>”项目采购[采购项目编号为</w:t>
      </w:r>
      <w:r>
        <w:rPr/>
        <w:t>M4400000707539044001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南方医科大学珠江医院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南方医科大学珠江医院计算机网络零星服务项目</w:t>
      </w:r>
      <w:r>
        <w:rPr/>
        <w:t>招标中获中标（采购项目编号：</w:t>
      </w:r>
      <w:r>
        <w:rPr/>
        <w:t>M4400000707539044001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南方医科大学珠江医院计算机网络零星服务项目</w:t>
      </w:r>
      <w:r>
        <w:rPr/>
        <w:t>”项目（采购项目编号：</w:t>
      </w:r>
      <w:r>
        <w:rPr/>
        <w:t>M4400000707539044001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