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庆云县第一中学扩建项目云桌面办公系统(二次)</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SDGP371423000202602000053-1</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庆云县第一中学</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山东宝圣建设项目管理有限公司</w:t>
      </w:r>
    </w:p>
    <w:p>
      <w:pPr>
        <w:pStyle w:val="null5"/>
        <w:jc w:val="center"/>
      </w:pPr>
      <w:r>
        <w:rPr>
          <w:rFonts w:ascii="仿宋_GB2312" w:hAnsi="仿宋_GB2312" w:cs="仿宋_GB2312" w:eastAsia="仿宋_GB2312"/>
        </w:rPr>
        <w:t>2026年08月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山东宝圣建设项目管理有限公司</w:t>
      </w:r>
      <w:r>
        <w:rPr>
          <w:rFonts w:ascii="仿宋_GB2312" w:hAnsi="仿宋_GB2312" w:cs="仿宋_GB2312" w:eastAsia="仿宋_GB2312"/>
        </w:rPr>
        <w:t xml:space="preserve"> （以下简称“代理机构”）受</w:t>
      </w:r>
      <w:r>
        <w:rPr>
          <w:rFonts w:ascii="仿宋_GB2312" w:hAnsi="仿宋_GB2312" w:cs="仿宋_GB2312" w:eastAsia="仿宋_GB2312"/>
        </w:rPr>
        <w:t>庆云县第一中学</w:t>
      </w:r>
      <w:r>
        <w:rPr>
          <w:rFonts w:ascii="仿宋_GB2312" w:hAnsi="仿宋_GB2312" w:cs="仿宋_GB2312" w:eastAsia="仿宋_GB2312"/>
        </w:rPr>
        <w:t xml:space="preserve"> （以下简称“采购人”）委托，对</w:t>
      </w:r>
      <w:r>
        <w:rPr>
          <w:rFonts w:ascii="仿宋_GB2312" w:hAnsi="仿宋_GB2312" w:cs="仿宋_GB2312" w:eastAsia="仿宋_GB2312"/>
        </w:rPr>
        <w:t>庆云县第一中学扩建项目云桌面办公系统(二次)</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德州市庆云县</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SDGP371423000202602000053-1</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庆云县第一中学扩建项目云桌面办公系统(二次)</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庆云县第一中学扩建项目云桌面办公系统，预算金额1308955.00元</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1、具有独立承担民事责任的能力：法人或者其他组织的营业执照等证明文件（加盖供应商电子公章，原件扫描件上传至电子响应文件相应位置）；</w:t>
      </w:r>
    </w:p>
    <w:p>
      <w:pPr>
        <w:pStyle w:val="null5"/>
        <w:jc w:val="left"/>
      </w:pPr>
      <w:r>
        <w:rPr>
          <w:rFonts w:ascii="仿宋_GB2312" w:hAnsi="仿宋_GB2312" w:cs="仿宋_GB2312" w:eastAsia="仿宋_GB2312"/>
        </w:rPr>
        <w:t>2、法定代表人身份证明书或法定代表人授权委托书：法定代表人直接参与投标的，须提交法定代表人身份证明书（加盖供应商电子公章）；授权代表参与投标的，须提交法定代表人授权委托书（加盖供应商电子公章及法定代表人电子印章）；</w:t>
      </w:r>
    </w:p>
    <w:p>
      <w:pPr>
        <w:pStyle w:val="null5"/>
        <w:jc w:val="left"/>
      </w:pPr>
      <w:r>
        <w:rPr>
          <w:rFonts w:ascii="仿宋_GB2312" w:hAnsi="仿宋_GB2312" w:cs="仿宋_GB2312" w:eastAsia="仿宋_GB2312"/>
        </w:rPr>
        <w:t>3、具有良好的商业信誉和健全的财务会计制度：2025年度经会计师事务所或审计机构审计的财务报告或基本开户银行出具的资信证明（企业成立时间不足一年的提供自成立至今的）（如资信证明不能体现基本开户银行信息，还需提供基本开户许可证或基本存款账户信息等相关证明资料）；（加盖供应商电子公章，原件扫描件放入电子响应文件相应位置）；</w:t>
      </w:r>
    </w:p>
    <w:p>
      <w:pPr>
        <w:pStyle w:val="null5"/>
        <w:jc w:val="left"/>
      </w:pPr>
      <w:r>
        <w:rPr>
          <w:rFonts w:ascii="仿宋_GB2312" w:hAnsi="仿宋_GB2312" w:cs="仿宋_GB2312" w:eastAsia="仿宋_GB2312"/>
        </w:rPr>
        <w:t>4、具有履行合同所必需的设备和专业技术能力：具有履行合同所必需的设备和专业技术能力的书面声明（加盖供应商电子公章，原件扫描件上传至电子响应文件相应位置）；</w:t>
      </w:r>
    </w:p>
    <w:p>
      <w:pPr>
        <w:pStyle w:val="null5"/>
        <w:jc w:val="left"/>
      </w:pPr>
      <w:r>
        <w:rPr>
          <w:rFonts w:ascii="仿宋_GB2312" w:hAnsi="仿宋_GB2312" w:cs="仿宋_GB2312" w:eastAsia="仿宋_GB2312"/>
        </w:rPr>
        <w:t>5、有依法缴纳税收和社会保障资金的良好记录：1.在山东省内缴纳税收和社会保障资金的，供应商提供以下①或②任意一项即可： ①提供缴纳税收和社会保障资金的相关证明材料（提供 2026年1月至今任意一个月的缴纳税收和社会保障资金的凭据；企业成立时间不足上述要求的，提供自成立以来的）；依法免税或不需要缴纳社会保障资金的，提供相关证明材料（加盖供应商电子公章，原件扫描件放入电子响应文件相应位置）。 ②提供依法缴纳税收和社会保障资金承诺函；（提供承诺函的投标人请确保在“中国山东政府采购网”上能查询到相关信息） 注：供应商可提前在“中国山东政府采购网”查询本单位缴纳税收和社会保障资金情况。在资格审查环节，采购人或采购代理机构登录“中国山东政府采购网”，查询提供《承诺函》的供应商在山东省缴纳税收和社会保障资金情况。对于反馈有税收和社保资金缴费信息的，视为“有依法缴纳税收和社会保障资金的良好记录”；对于反馈无相关信息的，根据供应商响应文件中提供的其他相关证明材料判定是否满足采购文件要求。2.未在山东省内缴纳税收和社会保障资金的提供缴纳税收和社会保障资金的相关证明材料（提供2026年1月至今任意一个月的缴纳税收和社会保障资金的凭据；企业成立时间不足上述要求的，提供自成立以来的）；依法免税或不需要缴纳社会保障资金的，提供相关证明材料（加盖供应商电子公章，原件扫描件放入电子响应文件相应位置）。</w:t>
      </w:r>
    </w:p>
    <w:p>
      <w:pPr>
        <w:pStyle w:val="null5"/>
        <w:jc w:val="left"/>
      </w:pPr>
      <w:r>
        <w:rPr>
          <w:rFonts w:ascii="仿宋_GB2312" w:hAnsi="仿宋_GB2312" w:cs="仿宋_GB2312" w:eastAsia="仿宋_GB2312"/>
        </w:rPr>
        <w:t>6、参加政府采购活动前三年内，在经营活动中没有重大违法记录：参加政府采购活动前3年内在经营活动中没有重大违法记录的书面声明（加盖供应商电子公章，原件扫描件上传至电子响应文件相应位置）</w:t>
      </w:r>
    </w:p>
    <w:p>
      <w:pPr>
        <w:pStyle w:val="null5"/>
        <w:jc w:val="left"/>
      </w:pPr>
      <w:r>
        <w:rPr>
          <w:rFonts w:ascii="仿宋_GB2312" w:hAnsi="仿宋_GB2312" w:cs="仿宋_GB2312" w:eastAsia="仿宋_GB2312"/>
        </w:rPr>
        <w:t>7、信用查询：在“信 用 中国”网站（www.creditchina.gov.cn）、中国政府采购网（www.ccgp.gov.cn）、“信用 山东”网站（credit.shandong.gov.cn）中被列入失信被执行人、重大税收违法失信主体、 政府采购严重违法失信行为记录名单的供应商，不得参加本次政府采购活动。</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庆云县第一中学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庆云县中心街南首</w:t>
      </w:r>
    </w:p>
    <w:p>
      <w:pPr>
        <w:pStyle w:val="null5"/>
      </w:pPr>
      <w:r>
        <w:rPr>
          <w:rFonts w:ascii="仿宋_GB2312" w:hAnsi="仿宋_GB2312" w:cs="仿宋_GB2312" w:eastAsia="仿宋_GB2312"/>
        </w:rPr>
        <w:t xml:space="preserve"> 邮编： </w:t>
      </w:r>
      <w:r>
        <w:rPr>
          <w:rFonts w:ascii="仿宋_GB2312" w:hAnsi="仿宋_GB2312" w:cs="仿宋_GB2312" w:eastAsia="仿宋_GB2312"/>
        </w:rPr>
        <w:t>253700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徐主任</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15905346818</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山东宝圣建设项目管理有限公司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德州市德城区新河路沟盘河小区</w:t>
      </w:r>
    </w:p>
    <w:p>
      <w:pPr>
        <w:pStyle w:val="null5"/>
      </w:pPr>
      <w:r>
        <w:rPr>
          <w:rFonts w:ascii="仿宋_GB2312" w:hAnsi="仿宋_GB2312" w:cs="仿宋_GB2312" w:eastAsia="仿宋_GB2312"/>
        </w:rPr>
        <w:t xml:space="preserve"> 邮编： </w:t>
      </w:r>
      <w:r>
        <w:rPr>
          <w:rFonts w:ascii="仿宋_GB2312" w:hAnsi="仿宋_GB2312" w:cs="仿宋_GB2312" w:eastAsia="仿宋_GB2312"/>
        </w:rPr>
        <w:t>253000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崔经理</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18905344858</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采购包1：1,308,955.00元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自提交首次响应文件截止之日起90日历天</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代理服务费收费标准：18400.00元，成交人在领取成交通知书前，向采购代理机构支付全部代理费用。代理费不单独列支，由供应商在报价时综合考虑。</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本项目共一个标包</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庆云县第一中学</w:t>
      </w:r>
      <w:r>
        <w:rPr>
          <w:rFonts w:ascii="仿宋_GB2312" w:hAnsi="仿宋_GB2312" w:cs="仿宋_GB2312" w:eastAsia="仿宋_GB2312"/>
        </w:rPr>
        <w:t xml:space="preserve"> 和 </w:t>
      </w:r>
      <w:r>
        <w:rPr>
          <w:rFonts w:ascii="仿宋_GB2312" w:hAnsi="仿宋_GB2312" w:cs="仿宋_GB2312" w:eastAsia="仿宋_GB2312"/>
        </w:rPr>
        <w:t>山东宝圣建设项目管理有限公司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庆云县第一中学</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山东宝圣建设项目管理有限公司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二、澄清或者修改的内容为磋商文件的组成部分，采购人或者代理机构将在“中国山东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5"/>
        <w:ind w:firstLine="480"/>
        <w:jc w:val="left"/>
      </w:pPr>
      <w:r>
        <w:rPr>
          <w:rFonts w:ascii="仿宋_GB2312" w:hAnsi="仿宋_GB2312" w:cs="仿宋_GB2312" w:eastAsia="仿宋_GB2312"/>
        </w:rPr>
        <w:t>三、供应商根据更正公告、更正信息要求，下载更正后的磋商文件，进行响应文件编制。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货物交付、安装、调试、根据资金到位情况并经相关部门验收合格后 ，达到验收条件起 10 日内，验收合同总金额的 100%；</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符合磋商文件要求</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符合磋商文件要求</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符合磋商文件要求</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庆云县第一中学</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山东宝圣建设项目管理有限公司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山东宝圣建设项目管理有限公司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答复主体：采购单位</w:t>
      </w:r>
    </w:p>
    <w:p>
      <w:pPr>
        <w:pStyle w:val="null5"/>
        <w:jc w:val="left"/>
      </w:pPr>
      <w:r>
        <w:rPr>
          <w:rFonts w:ascii="仿宋_GB2312" w:hAnsi="仿宋_GB2312" w:cs="仿宋_GB2312" w:eastAsia="仿宋_GB2312"/>
        </w:rPr>
        <w:t>联系人：徐主任</w:t>
      </w:r>
    </w:p>
    <w:p>
      <w:pPr>
        <w:pStyle w:val="null5"/>
        <w:jc w:val="left"/>
      </w:pPr>
      <w:r>
        <w:rPr>
          <w:rFonts w:ascii="仿宋_GB2312" w:hAnsi="仿宋_GB2312" w:cs="仿宋_GB2312" w:eastAsia="仿宋_GB2312"/>
        </w:rPr>
        <w:t>联系电话：15905346818</w:t>
      </w:r>
    </w:p>
    <w:p>
      <w:pPr>
        <w:pStyle w:val="null5"/>
        <w:jc w:val="left"/>
      </w:pPr>
      <w:r>
        <w:rPr>
          <w:rFonts w:ascii="仿宋_GB2312" w:hAnsi="仿宋_GB2312" w:cs="仿宋_GB2312" w:eastAsia="仿宋_GB2312"/>
        </w:rPr>
        <w:t>地址：庆云县中心街南首</w:t>
      </w:r>
    </w:p>
    <w:p>
      <w:pPr>
        <w:pStyle w:val="null5"/>
        <w:jc w:val="left"/>
      </w:pPr>
      <w:r>
        <w:rPr>
          <w:rFonts w:ascii="仿宋_GB2312" w:hAnsi="仿宋_GB2312" w:cs="仿宋_GB2312" w:eastAsia="仿宋_GB2312"/>
        </w:rPr>
        <w:t>邮编：253700</w:t>
      </w:r>
    </w:p>
    <w:p>
      <w:pPr>
        <w:pStyle w:val="null5"/>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联系人：崔经理</w:t>
      </w:r>
    </w:p>
    <w:p>
      <w:pPr>
        <w:pStyle w:val="null5"/>
        <w:jc w:val="left"/>
      </w:pPr>
      <w:r>
        <w:rPr>
          <w:rFonts w:ascii="仿宋_GB2312" w:hAnsi="仿宋_GB2312" w:cs="仿宋_GB2312" w:eastAsia="仿宋_GB2312"/>
        </w:rPr>
        <w:t>联系电话：18905344858</w:t>
      </w:r>
    </w:p>
    <w:p>
      <w:pPr>
        <w:pStyle w:val="null5"/>
        <w:jc w:val="left"/>
      </w:pPr>
      <w:r>
        <w:rPr>
          <w:rFonts w:ascii="仿宋_GB2312" w:hAnsi="仿宋_GB2312" w:cs="仿宋_GB2312" w:eastAsia="仿宋_GB2312"/>
        </w:rPr>
        <w:t>地址：德州市德城区新河路沟盘河小区</w:t>
      </w:r>
    </w:p>
    <w:p>
      <w:pPr>
        <w:pStyle w:val="null5"/>
        <w:jc w:val="left"/>
      </w:pPr>
      <w:r>
        <w:rPr>
          <w:rFonts w:ascii="仿宋_GB2312" w:hAnsi="仿宋_GB2312" w:cs="仿宋_GB2312" w:eastAsia="仿宋_GB2312"/>
        </w:rPr>
        <w:t>邮编：253000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1,308,955.00</w:t>
      </w:r>
    </w:p>
    <w:p>
      <w:pPr>
        <w:pStyle w:val="null5"/>
        <w:jc w:val="left"/>
      </w:pPr>
      <w:r>
        <w:rPr>
          <w:rFonts w:ascii="仿宋_GB2312" w:hAnsi="仿宋_GB2312" w:cs="仿宋_GB2312" w:eastAsia="仿宋_GB2312"/>
        </w:rPr>
        <w:t>采购包最高限价（元）: 1,308,955.00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庆云县第一中学扩建项目云桌面办公系统</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1,308,955.00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庆云县第一中学扩建项目云桌面办公系统</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1,308,955.00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庆云县第一中学扩建项目云桌面办公系统</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国产化云桌面管理主机（数量:3台）</w:t>
            </w:r>
          </w:p>
        </w:tc>
        <w:tc>
          <w:tcPr>
            <w:tcW w:type="dxa" w:w="2076"/>
          </w:tcPr>
          <w:p>
            <w:pPr>
              <w:pStyle w:val="null5"/>
              <w:jc w:val="left"/>
            </w:pPr>
            <w:r>
              <w:rPr>
                <w:rFonts w:ascii="仿宋_GB2312" w:hAnsi="仿宋_GB2312" w:cs="仿宋_GB2312" w:eastAsia="仿宋_GB2312"/>
              </w:rPr>
              <w:t>国产化云桌面管理主机</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国产化云桌面管理主机授权（数量:3台）</w:t>
            </w:r>
          </w:p>
        </w:tc>
        <w:tc>
          <w:tcPr>
            <w:tcW w:type="dxa" w:w="2076"/>
          </w:tcPr>
          <w:p>
            <w:pPr>
              <w:pStyle w:val="null5"/>
              <w:jc w:val="left"/>
            </w:pPr>
            <w:r>
              <w:rPr>
                <w:rFonts w:ascii="仿宋_GB2312" w:hAnsi="仿宋_GB2312" w:cs="仿宋_GB2312" w:eastAsia="仿宋_GB2312"/>
              </w:rPr>
              <w:t>国产化云桌面管理主机授权</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管理模块（数量:3套）</w:t>
            </w:r>
          </w:p>
        </w:tc>
        <w:tc>
          <w:tcPr>
            <w:tcW w:type="dxa" w:w="2076"/>
          </w:tcPr>
          <w:p>
            <w:pPr>
              <w:pStyle w:val="null5"/>
              <w:jc w:val="left"/>
            </w:pPr>
            <w:r>
              <w:rPr>
                <w:rFonts w:ascii="仿宋_GB2312" w:hAnsi="仿宋_GB2312" w:cs="仿宋_GB2312" w:eastAsia="仿宋_GB2312"/>
              </w:rPr>
              <w:t>管理模块</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教师云终端（数量:3台）</w:t>
            </w:r>
          </w:p>
        </w:tc>
        <w:tc>
          <w:tcPr>
            <w:tcW w:type="dxa" w:w="2076"/>
          </w:tcPr>
          <w:p>
            <w:pPr>
              <w:pStyle w:val="null5"/>
              <w:jc w:val="left"/>
            </w:pPr>
            <w:r>
              <w:rPr>
                <w:rFonts w:ascii="仿宋_GB2312" w:hAnsi="仿宋_GB2312" w:cs="仿宋_GB2312" w:eastAsia="仿宋_GB2312"/>
              </w:rPr>
              <w:t>教师云终端</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教师云终端管理授权（数量:3套）</w:t>
            </w:r>
          </w:p>
        </w:tc>
        <w:tc>
          <w:tcPr>
            <w:tcW w:type="dxa" w:w="2076"/>
          </w:tcPr>
          <w:p>
            <w:pPr>
              <w:pStyle w:val="null5"/>
              <w:jc w:val="left"/>
            </w:pPr>
            <w:r>
              <w:rPr>
                <w:rFonts w:ascii="仿宋_GB2312" w:hAnsi="仿宋_GB2312" w:cs="仿宋_GB2312" w:eastAsia="仿宋_GB2312"/>
              </w:rPr>
              <w:t>教师云终端管理授权</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学生云终端（数量:180台）</w:t>
            </w:r>
          </w:p>
        </w:tc>
        <w:tc>
          <w:tcPr>
            <w:tcW w:type="dxa" w:w="2076"/>
          </w:tcPr>
          <w:p>
            <w:pPr>
              <w:pStyle w:val="null5"/>
              <w:jc w:val="left"/>
            </w:pPr>
            <w:r>
              <w:rPr>
                <w:rFonts w:ascii="仿宋_GB2312" w:hAnsi="仿宋_GB2312" w:cs="仿宋_GB2312" w:eastAsia="仿宋_GB2312"/>
              </w:rPr>
              <w:t>学生云终端</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学生云终端管理授权（数量:3套）</w:t>
            </w:r>
          </w:p>
        </w:tc>
        <w:tc>
          <w:tcPr>
            <w:tcW w:type="dxa" w:w="2076"/>
          </w:tcPr>
          <w:p>
            <w:pPr>
              <w:pStyle w:val="null5"/>
              <w:jc w:val="left"/>
            </w:pPr>
            <w:r>
              <w:rPr>
                <w:rFonts w:ascii="仿宋_GB2312" w:hAnsi="仿宋_GB2312" w:cs="仿宋_GB2312" w:eastAsia="仿宋_GB2312"/>
              </w:rPr>
              <w:t>学生云终端管理授权</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耳麦（数量:183套）</w:t>
            </w:r>
          </w:p>
        </w:tc>
        <w:tc>
          <w:tcPr>
            <w:tcW w:type="dxa" w:w="2076"/>
          </w:tcPr>
          <w:p>
            <w:pPr>
              <w:pStyle w:val="null5"/>
              <w:jc w:val="left"/>
            </w:pPr>
            <w:r>
              <w:rPr>
                <w:rFonts w:ascii="仿宋_GB2312" w:hAnsi="仿宋_GB2312" w:cs="仿宋_GB2312" w:eastAsia="仿宋_GB2312"/>
              </w:rPr>
              <w:t>耳麦</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标的名称：庆云县第一中学扩建项目云桌面办公系统</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国产化云桌面管理主机</w:t>
            </w:r>
          </w:p>
        </w:tc>
        <w:tc>
          <w:tcPr>
            <w:tcW w:type="dxa" w:w="2076"/>
          </w:tcPr>
          <w:p>
            <w:pPr>
              <w:pStyle w:val="null5"/>
              <w:jc w:val="left"/>
            </w:pPr>
            <w:r>
              <w:rPr>
                <w:rFonts w:ascii="仿宋_GB2312" w:hAnsi="仿宋_GB2312" w:cs="仿宋_GB2312" w:eastAsia="仿宋_GB2312"/>
                <w:sz w:val="21"/>
                <w:color w:val="000000"/>
              </w:rPr>
              <w:t>1.软硬件一体，包含硬件载体、虚拟化软件及各类功能授权。</w:t>
            </w:r>
          </w:p>
          <w:p>
            <w:pPr>
              <w:pStyle w:val="null5"/>
              <w:jc w:val="left"/>
            </w:pPr>
            <w:r>
              <w:rPr>
                <w:rFonts w:ascii="仿宋_GB2312" w:hAnsi="仿宋_GB2312" w:cs="仿宋_GB2312" w:eastAsia="仿宋_GB2312"/>
                <w:sz w:val="21"/>
                <w:color w:val="000000"/>
              </w:rPr>
              <w:t>2.硬件载体：采用国产处理器性能≥8核16线程，主频≥3.0GHz；主存储器插槽数≥4个，配置主存储器容量≥32GB；S</w:t>
            </w:r>
            <w:r>
              <w:rPr>
                <w:rFonts w:ascii="仿宋_GB2312" w:hAnsi="仿宋_GB2312" w:cs="仿宋_GB2312" w:eastAsia="仿宋_GB2312"/>
                <w:sz w:val="21"/>
                <w:color w:val="000000"/>
              </w:rPr>
              <w:t>SD</w:t>
            </w:r>
            <w:r>
              <w:rPr>
                <w:rFonts w:ascii="仿宋_GB2312" w:hAnsi="仿宋_GB2312" w:cs="仿宋_GB2312" w:eastAsia="仿宋_GB2312"/>
                <w:sz w:val="21"/>
                <w:color w:val="000000"/>
              </w:rPr>
              <w:t>固态硬盘存储容量≥1.</w:t>
            </w:r>
            <w:r>
              <w:rPr>
                <w:rFonts w:ascii="仿宋_GB2312" w:hAnsi="仿宋_GB2312" w:cs="仿宋_GB2312" w:eastAsia="仿宋_GB2312"/>
                <w:sz w:val="21"/>
                <w:color w:val="000000"/>
              </w:rPr>
              <w:t>4T</w:t>
            </w:r>
            <w:r>
              <w:rPr>
                <w:rFonts w:ascii="仿宋_GB2312" w:hAnsi="仿宋_GB2312" w:cs="仿宋_GB2312" w:eastAsia="仿宋_GB2312"/>
                <w:sz w:val="21"/>
                <w:color w:val="000000"/>
              </w:rPr>
              <w:t>B、机械硬盘（转速≥7200转）存储容量≥</w:t>
            </w:r>
            <w:r>
              <w:rPr>
                <w:rFonts w:ascii="仿宋_GB2312" w:hAnsi="仿宋_GB2312" w:cs="仿宋_GB2312" w:eastAsia="仿宋_GB2312"/>
                <w:sz w:val="21"/>
                <w:color w:val="000000"/>
              </w:rPr>
              <w:t>16TB</w:t>
            </w:r>
            <w:r>
              <w:rPr>
                <w:rFonts w:ascii="仿宋_GB2312" w:hAnsi="仿宋_GB2312" w:cs="仿宋_GB2312" w:eastAsia="仿宋_GB2312"/>
                <w:sz w:val="21"/>
                <w:color w:val="000000"/>
              </w:rPr>
              <w:t>；千兆网口≥4个；</w:t>
            </w:r>
          </w:p>
          <w:p>
            <w:pPr>
              <w:pStyle w:val="null5"/>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.提供云服务中心平台，</w:t>
            </w:r>
            <w:r>
              <w:rPr>
                <w:rFonts w:ascii="仿宋_GB2312" w:hAnsi="仿宋_GB2312" w:cs="仿宋_GB2312" w:eastAsia="仿宋_GB2312"/>
                <w:sz w:val="21"/>
                <w:color w:val="000000"/>
              </w:rPr>
              <w:t>平台支持公有云浏览器访问</w:t>
            </w:r>
            <w:r>
              <w:rPr>
                <w:rFonts w:ascii="仿宋_GB2312" w:hAnsi="仿宋_GB2312" w:cs="仿宋_GB2312" w:eastAsia="仿宋_GB2312"/>
                <w:sz w:val="21"/>
                <w:color w:val="000000"/>
              </w:rPr>
              <w:t>，登录后可呈现云</w:t>
            </w:r>
            <w:r>
              <w:rPr>
                <w:rFonts w:ascii="仿宋_GB2312" w:hAnsi="仿宋_GB2312" w:cs="仿宋_GB2312" w:eastAsia="仿宋_GB2312"/>
                <w:sz w:val="21"/>
                <w:color w:val="000000"/>
              </w:rPr>
              <w:t>桌面机房资</w:t>
            </w:r>
            <w:r>
              <w:rPr>
                <w:rFonts w:ascii="仿宋_GB2312" w:hAnsi="仿宋_GB2312" w:cs="仿宋_GB2312" w:eastAsia="仿宋_GB2312"/>
                <w:sz w:val="21"/>
                <w:color w:val="000000"/>
              </w:rPr>
              <w:t>产情况，</w:t>
            </w:r>
            <w:r>
              <w:rPr>
                <w:rFonts w:ascii="仿宋_GB2312" w:hAnsi="仿宋_GB2312" w:cs="仿宋_GB2312" w:eastAsia="仿宋_GB2312"/>
                <w:sz w:val="21"/>
                <w:color w:val="000000"/>
              </w:rPr>
              <w:t>包含不限于</w:t>
            </w:r>
            <w:r>
              <w:rPr>
                <w:rFonts w:ascii="仿宋_GB2312" w:hAnsi="仿宋_GB2312" w:cs="仿宋_GB2312" w:eastAsia="仿宋_GB2312"/>
                <w:sz w:val="21"/>
                <w:color w:val="000000"/>
              </w:rPr>
              <w:t>管理主机台数、</w:t>
            </w:r>
            <w:r>
              <w:rPr>
                <w:rFonts w:ascii="仿宋_GB2312" w:hAnsi="仿宋_GB2312" w:cs="仿宋_GB2312" w:eastAsia="仿宋_GB2312"/>
                <w:sz w:val="21"/>
                <w:color w:val="000000"/>
              </w:rPr>
              <w:t>云终</w:t>
            </w:r>
            <w:r>
              <w:rPr>
                <w:rFonts w:ascii="仿宋_GB2312" w:hAnsi="仿宋_GB2312" w:cs="仿宋_GB2312" w:eastAsia="仿宋_GB2312"/>
                <w:sz w:val="21"/>
                <w:color w:val="000000"/>
              </w:rPr>
              <w:t>端台数等</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支持通过图形化或地图方式查看管理主机、</w:t>
            </w:r>
            <w:r>
              <w:rPr>
                <w:rFonts w:ascii="仿宋_GB2312" w:hAnsi="仿宋_GB2312" w:cs="仿宋_GB2312" w:eastAsia="仿宋_GB2312"/>
                <w:sz w:val="21"/>
                <w:color w:val="000000"/>
              </w:rPr>
              <w:t>云</w:t>
            </w:r>
            <w:r>
              <w:rPr>
                <w:rFonts w:ascii="仿宋_GB2312" w:hAnsi="仿宋_GB2312" w:cs="仿宋_GB2312" w:eastAsia="仿宋_GB2312"/>
                <w:sz w:val="21"/>
                <w:color w:val="000000"/>
              </w:rPr>
              <w:t>终端在线数量、在线率</w:t>
            </w:r>
            <w:r>
              <w:rPr>
                <w:rFonts w:ascii="仿宋_GB2312" w:hAnsi="仿宋_GB2312" w:cs="仿宋_GB2312" w:eastAsia="仿宋_GB2312"/>
                <w:sz w:val="21"/>
                <w:color w:val="000000"/>
              </w:rPr>
              <w:t>、</w:t>
            </w:r>
            <w:r>
              <w:rPr>
                <w:rFonts w:ascii="仿宋_GB2312" w:hAnsi="仿宋_GB2312" w:cs="仿宋_GB2312" w:eastAsia="仿宋_GB2312"/>
                <w:sz w:val="21"/>
                <w:color w:val="000000"/>
              </w:rPr>
              <w:t>使用时长统计、软件使用次数统计</w:t>
            </w:r>
            <w:r>
              <w:rPr>
                <w:rFonts w:ascii="仿宋_GB2312" w:hAnsi="仿宋_GB2312" w:cs="仿宋_GB2312" w:eastAsia="仿宋_GB2312"/>
                <w:sz w:val="21"/>
                <w:color w:val="000000"/>
              </w:rPr>
              <w:t>等。提供佐证材料。</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国产化云桌面管理主机授权</w:t>
            </w:r>
          </w:p>
        </w:tc>
        <w:tc>
          <w:tcPr>
            <w:tcW w:type="dxa" w:w="2076"/>
          </w:tcPr>
          <w:p>
            <w:pPr>
              <w:pStyle w:val="null5"/>
              <w:jc w:val="left"/>
            </w:pPr>
            <w:r>
              <w:rPr>
                <w:rFonts w:ascii="仿宋_GB2312" w:hAnsi="仿宋_GB2312" w:cs="仿宋_GB2312" w:eastAsia="仿宋_GB2312"/>
                <w:sz w:val="21"/>
                <w:color w:val="000000"/>
              </w:rPr>
              <w:t>1.采用超融合架构，在同一管理平台内至少包含计算资源、存储资源、网络资源等功能管理模块。</w:t>
            </w:r>
          </w:p>
          <w:p>
            <w:pPr>
              <w:pStyle w:val="null5"/>
              <w:jc w:val="left"/>
            </w:pPr>
            <w:r>
              <w:rPr>
                <w:rFonts w:ascii="仿宋_GB2312" w:hAnsi="仿宋_GB2312" w:cs="仿宋_GB2312" w:eastAsia="仿宋_GB2312"/>
                <w:sz w:val="21"/>
                <w:color w:val="000000"/>
              </w:rPr>
              <w:t>2.支持在集群中添加、移除主机节点。</w:t>
            </w:r>
          </w:p>
          <w:p>
            <w:pPr>
              <w:pStyle w:val="null5"/>
              <w:jc w:val="left"/>
            </w:pPr>
            <w:r>
              <w:rPr>
                <w:rFonts w:ascii="仿宋_GB2312" w:hAnsi="仿宋_GB2312" w:cs="仿宋_GB2312" w:eastAsia="仿宋_GB2312"/>
                <w:sz w:val="21"/>
                <w:color w:val="000000"/>
              </w:rPr>
              <w:t>3.采用分布式存储架构，具备在线横向扩展能力。</w:t>
            </w:r>
          </w:p>
          <w:p>
            <w:pPr>
              <w:pStyle w:val="null5"/>
              <w:jc w:val="left"/>
            </w:pPr>
            <w:r>
              <w:rPr>
                <w:rFonts w:ascii="仿宋_GB2312" w:hAnsi="仿宋_GB2312" w:cs="仿宋_GB2312" w:eastAsia="仿宋_GB2312"/>
                <w:sz w:val="21"/>
                <w:color w:val="000000"/>
              </w:rPr>
              <w:t>4.支持按需创建多个存储池。</w:t>
            </w:r>
          </w:p>
          <w:p>
            <w:pPr>
              <w:pStyle w:val="null5"/>
              <w:jc w:val="left"/>
            </w:pPr>
            <w:r>
              <w:rPr>
                <w:rFonts w:ascii="仿宋_GB2312" w:hAnsi="仿宋_GB2312" w:cs="仿宋_GB2312" w:eastAsia="仿宋_GB2312"/>
                <w:sz w:val="21"/>
                <w:color w:val="000000"/>
              </w:rPr>
              <w:t>5.存储池可设置的冗余策略包含不限于：单副本、2副本、3副本、纠删码等。</w:t>
            </w:r>
          </w:p>
          <w:p>
            <w:pPr>
              <w:pStyle w:val="null5"/>
              <w:jc w:val="left"/>
            </w:pPr>
            <w:r>
              <w:rPr>
                <w:rFonts w:ascii="仿宋_GB2312" w:hAnsi="仿宋_GB2312" w:cs="仿宋_GB2312" w:eastAsia="仿宋_GB2312"/>
                <w:sz w:val="21"/>
                <w:color w:val="000000"/>
              </w:rPr>
              <w:t>6.支持预先将热点数据从机械盘缓存到SSD中。</w:t>
            </w:r>
          </w:p>
          <w:p>
            <w:pPr>
              <w:pStyle w:val="null5"/>
              <w:jc w:val="left"/>
            </w:pPr>
            <w:r>
              <w:rPr>
                <w:rFonts w:ascii="仿宋_GB2312" w:hAnsi="仿宋_GB2312" w:cs="仿宋_GB2312" w:eastAsia="仿宋_GB2312"/>
                <w:sz w:val="21"/>
                <w:color w:val="000000"/>
              </w:rPr>
              <w:t>▲7.要求三节点主机集群模式下4KB块大小全随机100%读IOPS≥</w:t>
            </w:r>
            <w:r>
              <w:rPr>
                <w:rFonts w:ascii="仿宋_GB2312" w:hAnsi="仿宋_GB2312" w:cs="仿宋_GB2312" w:eastAsia="仿宋_GB2312"/>
                <w:sz w:val="21"/>
                <w:color w:val="000000"/>
              </w:rPr>
              <w:t>9</w:t>
            </w:r>
            <w:r>
              <w:rPr>
                <w:rFonts w:ascii="仿宋_GB2312" w:hAnsi="仿宋_GB2312" w:cs="仿宋_GB2312" w:eastAsia="仿宋_GB2312"/>
                <w:sz w:val="21"/>
                <w:color w:val="000000"/>
              </w:rPr>
              <w:t>0万。提供佐证材料。</w:t>
            </w:r>
          </w:p>
          <w:p>
            <w:pPr>
              <w:pStyle w:val="null5"/>
              <w:jc w:val="left"/>
            </w:pPr>
            <w:r>
              <w:rPr>
                <w:rFonts w:ascii="仿宋_GB2312" w:hAnsi="仿宋_GB2312" w:cs="仿宋_GB2312" w:eastAsia="仿宋_GB2312"/>
                <w:sz w:val="21"/>
                <w:color w:val="000000"/>
              </w:rPr>
              <w:t>8.支持创建虚拟交换机。</w:t>
            </w:r>
          </w:p>
          <w:p>
            <w:pPr>
              <w:pStyle w:val="null5"/>
              <w:jc w:val="left"/>
            </w:pPr>
            <w:r>
              <w:rPr>
                <w:rFonts w:ascii="仿宋_GB2312" w:hAnsi="仿宋_GB2312" w:cs="仿宋_GB2312" w:eastAsia="仿宋_GB2312"/>
                <w:sz w:val="21"/>
                <w:color w:val="000000"/>
              </w:rPr>
              <w:t>▲9.当存储出现故障时，镜像模板和学生作业数据支持快速重构，在1T</w:t>
            </w:r>
            <w:r>
              <w:rPr>
                <w:rFonts w:ascii="仿宋_GB2312" w:hAnsi="仿宋_GB2312" w:cs="仿宋_GB2312" w:eastAsia="仿宋_GB2312"/>
                <w:sz w:val="21"/>
                <w:color w:val="000000"/>
              </w:rPr>
              <w:t>B</w:t>
            </w:r>
            <w:r>
              <w:rPr>
                <w:rFonts w:ascii="仿宋_GB2312" w:hAnsi="仿宋_GB2312" w:cs="仿宋_GB2312" w:eastAsia="仿宋_GB2312"/>
                <w:sz w:val="21"/>
                <w:color w:val="000000"/>
              </w:rPr>
              <w:t>数据量的重构时间≤</w:t>
            </w:r>
            <w:r>
              <w:rPr>
                <w:rFonts w:ascii="仿宋_GB2312" w:hAnsi="仿宋_GB2312" w:cs="仿宋_GB2312" w:eastAsia="仿宋_GB2312"/>
                <w:sz w:val="21"/>
                <w:color w:val="000000"/>
              </w:rPr>
              <w:t>60</w:t>
            </w:r>
            <w:r>
              <w:rPr>
                <w:rFonts w:ascii="仿宋_GB2312" w:hAnsi="仿宋_GB2312" w:cs="仿宋_GB2312" w:eastAsia="仿宋_GB2312"/>
                <w:sz w:val="21"/>
                <w:color w:val="000000"/>
              </w:rPr>
              <w:t>分钟。提供佐证材料。</w:t>
            </w:r>
          </w:p>
          <w:p>
            <w:pPr>
              <w:pStyle w:val="null5"/>
              <w:jc w:val="both"/>
            </w:pPr>
            <w:r>
              <w:rPr>
                <w:rFonts w:ascii="仿宋_GB2312" w:hAnsi="仿宋_GB2312" w:cs="仿宋_GB2312" w:eastAsia="仿宋_GB2312"/>
                <w:sz w:val="21"/>
                <w:color w:val="000000"/>
              </w:rPr>
              <w:t>10.提供计算机软件著作权材料。</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管理模块</w:t>
            </w:r>
          </w:p>
        </w:tc>
        <w:tc>
          <w:tcPr>
            <w:tcW w:type="dxa" w:w="2076"/>
          </w:tcPr>
          <w:p>
            <w:pPr>
              <w:pStyle w:val="null5"/>
              <w:jc w:val="left"/>
            </w:pPr>
            <w:r>
              <w:rPr>
                <w:rFonts w:ascii="仿宋_GB2312" w:hAnsi="仿宋_GB2312" w:cs="仿宋_GB2312" w:eastAsia="仿宋_GB2312"/>
                <w:sz w:val="21"/>
                <w:color w:val="000000"/>
              </w:rPr>
              <w:t>1.采用C/S架构，具备教师端和学生端，支持老师通过管理模块对学生一键切换教学镜像，切换镜像时，学生云终端硬件无需重新启动。</w:t>
            </w:r>
          </w:p>
          <w:p>
            <w:pPr>
              <w:pStyle w:val="null5"/>
              <w:jc w:val="left"/>
            </w:pPr>
            <w:r>
              <w:rPr>
                <w:rFonts w:ascii="仿宋_GB2312" w:hAnsi="仿宋_GB2312" w:cs="仿宋_GB2312" w:eastAsia="仿宋_GB2312"/>
                <w:sz w:val="21"/>
                <w:color w:val="000000"/>
              </w:rPr>
              <w:t>2.支持多种操作系统（包含不限于支持UOS/KOS、Windows等操作系统），支持教师云终端通过管理模块进行多种操作系统切换使用。</w:t>
            </w:r>
          </w:p>
          <w:p>
            <w:pPr>
              <w:pStyle w:val="null5"/>
              <w:jc w:val="left"/>
            </w:pPr>
            <w:r>
              <w:rPr>
                <w:rFonts w:ascii="仿宋_GB2312" w:hAnsi="仿宋_GB2312" w:cs="仿宋_GB2312" w:eastAsia="仿宋_GB2312"/>
                <w:sz w:val="21"/>
                <w:color w:val="000000"/>
              </w:rPr>
              <w:t>3.支持通过管理模块一键开启所有云终端，终端启动后进入对应的课程镜像桌面；提供远程终端编号功能，并与云桌面编号一一对应。</w:t>
            </w:r>
          </w:p>
          <w:p>
            <w:pPr>
              <w:pStyle w:val="null5"/>
              <w:jc w:val="left"/>
            </w:pPr>
            <w:r>
              <w:rPr>
                <w:rFonts w:ascii="仿宋_GB2312" w:hAnsi="仿宋_GB2312" w:cs="仿宋_GB2312" w:eastAsia="仿宋_GB2312"/>
                <w:sz w:val="21"/>
                <w:color w:val="000000"/>
              </w:rPr>
              <w:t>4.支持老师对单一、部分或全体学生进行黑屏操作，黑屏状态下，学生的终端被锁定。</w:t>
            </w:r>
          </w:p>
          <w:p>
            <w:pPr>
              <w:pStyle w:val="null5"/>
              <w:jc w:val="left"/>
            </w:pPr>
            <w:r>
              <w:rPr>
                <w:rFonts w:ascii="仿宋_GB2312" w:hAnsi="仿宋_GB2312" w:cs="仿宋_GB2312" w:eastAsia="仿宋_GB2312"/>
                <w:sz w:val="21"/>
                <w:color w:val="000000"/>
              </w:rPr>
              <w:t>5.支持教师云终端对学生云终端进行屏幕广播，学生可以调整老师广播屏幕大小，老师可以选择是否广播声音给学生。</w:t>
            </w:r>
          </w:p>
          <w:p>
            <w:pPr>
              <w:pStyle w:val="null5"/>
              <w:jc w:val="left"/>
            </w:pPr>
            <w:r>
              <w:rPr>
                <w:rFonts w:ascii="仿宋_GB2312" w:hAnsi="仿宋_GB2312" w:cs="仿宋_GB2312" w:eastAsia="仿宋_GB2312"/>
                <w:sz w:val="21"/>
                <w:color w:val="000000"/>
              </w:rPr>
              <w:t>6.支持一键禁止任意学生上网，禁网后支持屏幕广播、屏幕查看等正常教学应用。</w:t>
            </w:r>
          </w:p>
          <w:p>
            <w:pPr>
              <w:pStyle w:val="null5"/>
              <w:jc w:val="left"/>
            </w:pPr>
            <w:r>
              <w:rPr>
                <w:rFonts w:ascii="仿宋_GB2312" w:hAnsi="仿宋_GB2312" w:cs="仿宋_GB2312" w:eastAsia="仿宋_GB2312"/>
                <w:sz w:val="21"/>
                <w:color w:val="000000"/>
              </w:rPr>
              <w:t>7.提供作业布置、批改、管理和成绩统计功能组件，提供学生作业的归档和下载；支持老师在作业空间为多个或单个班级的学生布置作业，老师可以对作业上交截止时间进行设置。</w:t>
            </w:r>
          </w:p>
          <w:p>
            <w:pPr>
              <w:pStyle w:val="null5"/>
              <w:jc w:val="left"/>
            </w:pPr>
            <w:r>
              <w:rPr>
                <w:rFonts w:ascii="仿宋_GB2312" w:hAnsi="仿宋_GB2312" w:cs="仿宋_GB2312" w:eastAsia="仿宋_GB2312"/>
                <w:sz w:val="21"/>
                <w:color w:val="000000"/>
              </w:rPr>
              <w:t>8.支持老师在线打开学生作业，包含不限于TXT、图片等作业格式。</w:t>
            </w:r>
          </w:p>
          <w:p>
            <w:pPr>
              <w:pStyle w:val="null5"/>
              <w:jc w:val="left"/>
            </w:pPr>
            <w:r>
              <w:rPr>
                <w:rFonts w:ascii="仿宋_GB2312" w:hAnsi="仿宋_GB2312" w:cs="仿宋_GB2312" w:eastAsia="仿宋_GB2312"/>
                <w:sz w:val="21"/>
                <w:color w:val="000000"/>
              </w:rPr>
              <w:t>9.支持老师将学生作业标记为公开作业，支持学生通过学生端软件查看本年级所有老师标记的公开作业。</w:t>
            </w:r>
          </w:p>
          <w:p>
            <w:pPr>
              <w:pStyle w:val="null5"/>
              <w:jc w:val="left"/>
            </w:pPr>
            <w:r>
              <w:rPr>
                <w:rFonts w:ascii="仿宋_GB2312" w:hAnsi="仿宋_GB2312" w:cs="仿宋_GB2312" w:eastAsia="仿宋_GB2312"/>
                <w:sz w:val="21"/>
                <w:color w:val="000000"/>
              </w:rPr>
              <w:t>10.支持老师对学生分组功能；支持根据学生姓名手动分组或随机分组；支持老师和组长对组名重命名功能。</w:t>
            </w:r>
          </w:p>
          <w:p>
            <w:pPr>
              <w:pStyle w:val="null5"/>
              <w:jc w:val="left"/>
            </w:pPr>
            <w:r>
              <w:rPr>
                <w:rFonts w:ascii="仿宋_GB2312" w:hAnsi="仿宋_GB2312" w:cs="仿宋_GB2312" w:eastAsia="仿宋_GB2312"/>
                <w:sz w:val="21"/>
                <w:color w:val="000000"/>
              </w:rPr>
              <w:t>11.支持自主注册账号和管理员统一账号导入功能。</w:t>
            </w:r>
          </w:p>
          <w:p>
            <w:pPr>
              <w:pStyle w:val="null5"/>
              <w:jc w:val="left"/>
            </w:pPr>
            <w:r>
              <w:rPr>
                <w:rFonts w:ascii="仿宋_GB2312" w:hAnsi="仿宋_GB2312" w:cs="仿宋_GB2312" w:eastAsia="仿宋_GB2312"/>
                <w:sz w:val="21"/>
                <w:color w:val="000000"/>
              </w:rPr>
              <w:t>12.支持老师对选中文件的分发和回收；支持老师对文件分发学生范围设置，支持老师根据姓名、小组、班级、年级或全员进行分发；支持考试对单独文件或文件夹形式分发；支持老师设置文件回收截至时间；支持老师设置回收后的文件存储位置。</w:t>
            </w:r>
          </w:p>
          <w:p>
            <w:pPr>
              <w:pStyle w:val="null5"/>
              <w:jc w:val="left"/>
            </w:pPr>
            <w:r>
              <w:rPr>
                <w:rFonts w:ascii="仿宋_GB2312" w:hAnsi="仿宋_GB2312" w:cs="仿宋_GB2312" w:eastAsia="仿宋_GB2312"/>
                <w:sz w:val="21"/>
                <w:color w:val="000000"/>
              </w:rPr>
              <w:t>13.支持个人空间内置网盘功能，学生可通过作业空间账号登录，没有做完的作业或文件可以上传到在作业空间中。</w:t>
            </w:r>
          </w:p>
          <w:p>
            <w:pPr>
              <w:pStyle w:val="null5"/>
              <w:jc w:val="left"/>
            </w:pPr>
            <w:r>
              <w:rPr>
                <w:rFonts w:ascii="仿宋_GB2312" w:hAnsi="仿宋_GB2312" w:cs="仿宋_GB2312" w:eastAsia="仿宋_GB2312"/>
                <w:sz w:val="21"/>
                <w:color w:val="000000"/>
              </w:rPr>
              <w:t>14.支持通过标识码邀请方式来创建班级，即老师通过唯一的标识码邀请学生加入。</w:t>
            </w:r>
          </w:p>
          <w:p>
            <w:pPr>
              <w:pStyle w:val="null5"/>
              <w:jc w:val="left"/>
            </w:pPr>
            <w:r>
              <w:rPr>
                <w:rFonts w:ascii="仿宋_GB2312" w:hAnsi="仿宋_GB2312" w:cs="仿宋_GB2312" w:eastAsia="仿宋_GB2312"/>
                <w:sz w:val="21"/>
                <w:color w:val="000000"/>
              </w:rPr>
              <w:t>15.提供随堂测试功能，支持老师通过教师端导入Word、PDF、TXT等题库文件。</w:t>
            </w:r>
          </w:p>
          <w:p>
            <w:pPr>
              <w:pStyle w:val="null5"/>
              <w:jc w:val="both"/>
            </w:pPr>
            <w:r>
              <w:rPr>
                <w:rFonts w:ascii="仿宋_GB2312" w:hAnsi="仿宋_GB2312" w:cs="仿宋_GB2312" w:eastAsia="仿宋_GB2312"/>
                <w:sz w:val="21"/>
                <w:color w:val="000000"/>
              </w:rPr>
              <w:t>16.提供计算机软件著作权材料</w:t>
            </w:r>
            <w:r>
              <w:rPr>
                <w:rFonts w:ascii="仿宋_GB2312" w:hAnsi="仿宋_GB2312" w:cs="仿宋_GB2312" w:eastAsia="仿宋_GB2312"/>
                <w:sz w:val="21"/>
                <w:color w:val="000000"/>
              </w:rPr>
              <w:t>。</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教师云终端</w:t>
            </w:r>
          </w:p>
        </w:tc>
        <w:tc>
          <w:tcPr>
            <w:tcW w:type="dxa" w:w="2076"/>
          </w:tcPr>
          <w:p>
            <w:pPr>
              <w:pStyle w:val="null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软硬件一体化，</w:t>
            </w:r>
            <w:r>
              <w:rPr>
                <w:rFonts w:ascii="仿宋_GB2312" w:hAnsi="仿宋_GB2312" w:cs="仿宋_GB2312" w:eastAsia="仿宋_GB2312"/>
                <w:sz w:val="21"/>
                <w:color w:val="000000"/>
              </w:rPr>
              <w:t>包含硬件载体、虚拟化软件及各类功能授权；</w:t>
            </w:r>
          </w:p>
          <w:p>
            <w:pPr>
              <w:pStyle w:val="null5"/>
              <w:jc w:val="left"/>
            </w:pPr>
            <w:r>
              <w:rPr>
                <w:rFonts w:ascii="仿宋_GB2312" w:hAnsi="仿宋_GB2312" w:cs="仿宋_GB2312" w:eastAsia="仿宋_GB2312"/>
                <w:sz w:val="21"/>
                <w:color w:val="000000"/>
              </w:rPr>
              <w:t>2.硬件载体：国产处理器性能≥八核十六线程，主频（基础频率）≥3.6GHz。配置主存储器容量≥16GB DDR5，存储配置≥512GB M.2 NVME SSD；：USB</w:t>
            </w:r>
            <w:r>
              <w:rPr>
                <w:rFonts w:ascii="仿宋_GB2312" w:hAnsi="仿宋_GB2312" w:cs="仿宋_GB2312" w:eastAsia="仿宋_GB2312"/>
                <w:sz w:val="21"/>
                <w:color w:val="000000"/>
              </w:rPr>
              <w:t>3.0</w:t>
            </w:r>
            <w:r>
              <w:rPr>
                <w:rFonts w:ascii="仿宋_GB2312" w:hAnsi="仿宋_GB2312" w:cs="仿宋_GB2312" w:eastAsia="仿宋_GB2312"/>
                <w:sz w:val="21"/>
                <w:color w:val="000000"/>
              </w:rPr>
              <w:t>接口≥4个（配置键盘、鼠标1套），</w:t>
            </w:r>
            <w:r>
              <w:rPr>
                <w:rFonts w:ascii="仿宋_GB2312" w:hAnsi="仿宋_GB2312" w:cs="仿宋_GB2312" w:eastAsia="仿宋_GB2312"/>
                <w:sz w:val="21"/>
                <w:color w:val="000000"/>
              </w:rPr>
              <w:t>Type-C接口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个，显示接口≥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个（至少包含HDMI接口1个，</w:t>
            </w:r>
            <w:r>
              <w:rPr>
                <w:rFonts w:ascii="仿宋_GB2312" w:hAnsi="仿宋_GB2312" w:cs="仿宋_GB2312" w:eastAsia="仿宋_GB2312"/>
                <w:sz w:val="21"/>
              </w:rPr>
              <w:t>配套显示</w:t>
            </w:r>
            <w:r>
              <w:rPr>
                <w:rFonts w:ascii="仿宋_GB2312" w:hAnsi="仿宋_GB2312" w:cs="仿宋_GB2312" w:eastAsia="仿宋_GB2312"/>
                <w:sz w:val="21"/>
              </w:rPr>
              <w:t>设备）</w:t>
            </w:r>
            <w:r>
              <w:rPr>
                <w:rFonts w:ascii="仿宋_GB2312" w:hAnsi="仿宋_GB2312" w:cs="仿宋_GB2312" w:eastAsia="仿宋_GB2312"/>
                <w:sz w:val="21"/>
                <w:color w:val="000000"/>
              </w:rPr>
              <w:t>，千兆网口≥1个；在满足以上配置容量的基础上，预留SATA扩展接口≥1个；WiFi插槽数≥1个，可扩展802.11 ax模组；独立显卡显存容量≥2GB；</w:t>
            </w:r>
          </w:p>
          <w:p>
            <w:pPr>
              <w:pStyle w:val="null5"/>
              <w:jc w:val="left"/>
            </w:pPr>
            <w:r>
              <w:rPr>
                <w:rFonts w:ascii="仿宋_GB2312" w:hAnsi="仿宋_GB2312" w:cs="仿宋_GB2312" w:eastAsia="仿宋_GB2312"/>
                <w:sz w:val="21"/>
                <w:color w:val="000000"/>
              </w:rPr>
              <w:t>3.采用虚拟化方式支持多种类型的操作系统，包括且不限于UOS、Kylin等。</w:t>
            </w:r>
          </w:p>
          <w:p>
            <w:pPr>
              <w:pStyle w:val="null5"/>
              <w:jc w:val="both"/>
            </w:pPr>
            <w:r>
              <w:rPr>
                <w:rFonts w:ascii="仿宋_GB2312" w:hAnsi="仿宋_GB2312" w:cs="仿宋_GB2312" w:eastAsia="仿宋_GB2312"/>
                <w:sz w:val="21"/>
                <w:color w:val="000000"/>
              </w:rPr>
              <w:t>4.支持嵌套虚拟化功能，可与在IDV、TCI桌面上均可以正常使用android studio等需要运行虚拟机的软件。</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教师云终端管理授权</w:t>
            </w:r>
          </w:p>
        </w:tc>
        <w:tc>
          <w:tcPr>
            <w:tcW w:type="dxa" w:w="2076"/>
          </w:tcPr>
          <w:p>
            <w:pPr>
              <w:pStyle w:val="null5"/>
              <w:jc w:val="left"/>
            </w:pPr>
            <w:r>
              <w:rPr>
                <w:rFonts w:ascii="仿宋_GB2312" w:hAnsi="仿宋_GB2312" w:cs="仿宋_GB2312" w:eastAsia="仿宋_GB2312"/>
                <w:sz w:val="21"/>
                <w:color w:val="000000"/>
              </w:rPr>
              <w:t>1.教师云终端软件管理平台采用B/S架构，具备镜像管理、教室管理、用户管理等关键功能模块；</w:t>
            </w:r>
          </w:p>
          <w:p>
            <w:pPr>
              <w:pStyle w:val="null5"/>
              <w:jc w:val="left"/>
            </w:pPr>
            <w:r>
              <w:rPr>
                <w:rFonts w:ascii="仿宋_GB2312" w:hAnsi="仿宋_GB2312" w:cs="仿宋_GB2312" w:eastAsia="仿宋_GB2312"/>
                <w:sz w:val="21"/>
                <w:color w:val="000000"/>
              </w:rPr>
              <w:t>2.支持对IDV、TCI、PC等多种终端的统一纳管，在管理页面可查看各类型终端的使用情况；</w:t>
            </w:r>
          </w:p>
          <w:p>
            <w:pPr>
              <w:pStyle w:val="null5"/>
              <w:jc w:val="left"/>
            </w:pPr>
            <w:r>
              <w:rPr>
                <w:rFonts w:ascii="仿宋_GB2312" w:hAnsi="仿宋_GB2312" w:cs="仿宋_GB2312" w:eastAsia="仿宋_GB2312"/>
                <w:sz w:val="21"/>
                <w:color w:val="000000"/>
              </w:rPr>
              <w:t>▲3.要求终端支持IDV、TCI两种云桌面模式切换使用，以兼容更多的操作系统。提供佐证材料；</w:t>
            </w:r>
          </w:p>
          <w:p>
            <w:pPr>
              <w:pStyle w:val="null5"/>
              <w:jc w:val="left"/>
            </w:pPr>
            <w:r>
              <w:rPr>
                <w:rFonts w:ascii="仿宋_GB2312" w:hAnsi="仿宋_GB2312" w:cs="仿宋_GB2312" w:eastAsia="仿宋_GB2312"/>
                <w:sz w:val="21"/>
                <w:color w:val="000000"/>
              </w:rPr>
              <w:t>4.支持镜像模版链接分享功能，管理员可将编辑镜像模板的链接分享给任课老师，在浏览器中直接输入链接地址即可对镜像模板进行编辑，支持分享链接的失效期、分享验证码设置。</w:t>
            </w:r>
          </w:p>
          <w:p>
            <w:pPr>
              <w:pStyle w:val="null5"/>
              <w:jc w:val="left"/>
            </w:pPr>
            <w:r>
              <w:rPr>
                <w:rFonts w:ascii="仿宋_GB2312" w:hAnsi="仿宋_GB2312" w:cs="仿宋_GB2312" w:eastAsia="仿宋_GB2312"/>
                <w:sz w:val="21"/>
                <w:color w:val="000000"/>
              </w:rPr>
              <w:t>▲5.支持教学镜像隐藏功能，可对学生设置隐藏或可见。提供佐证材料；</w:t>
            </w:r>
          </w:p>
          <w:p>
            <w:pPr>
              <w:pStyle w:val="null5"/>
              <w:jc w:val="left"/>
            </w:pPr>
            <w:r>
              <w:rPr>
                <w:rFonts w:ascii="仿宋_GB2312" w:hAnsi="仿宋_GB2312" w:cs="仿宋_GB2312" w:eastAsia="仿宋_GB2312"/>
                <w:sz w:val="21"/>
                <w:color w:val="000000"/>
              </w:rPr>
              <w:t>6.支持通过LDAP协议对接用户的统一身份平台，让用户也可以使用统一身份平台的用户信息；</w:t>
            </w:r>
          </w:p>
          <w:p>
            <w:pPr>
              <w:pStyle w:val="null5"/>
              <w:jc w:val="left"/>
            </w:pPr>
            <w:r>
              <w:rPr>
                <w:rFonts w:ascii="仿宋_GB2312" w:hAnsi="仿宋_GB2312" w:cs="仿宋_GB2312" w:eastAsia="仿宋_GB2312"/>
                <w:sz w:val="21"/>
                <w:color w:val="000000"/>
              </w:rPr>
              <w:t>7.提供分级分权管理，可按需自定义不同角色用户对应的管理权限：包含且不限于镜像管理、教室管理、用户管理、系统设置等权限设置；</w:t>
            </w:r>
          </w:p>
          <w:p>
            <w:pPr>
              <w:pStyle w:val="null5"/>
              <w:jc w:val="left"/>
            </w:pPr>
            <w:r>
              <w:rPr>
                <w:rFonts w:ascii="仿宋_GB2312" w:hAnsi="仿宋_GB2312" w:cs="仿宋_GB2312" w:eastAsia="仿宋_GB2312"/>
                <w:sz w:val="21"/>
                <w:color w:val="000000"/>
              </w:rPr>
              <w:t>8.支持镜像模版自动快照，每次镜像发布时可以自动为镜像模版打快照，支持快照数量≥5个。</w:t>
            </w:r>
          </w:p>
          <w:p>
            <w:pPr>
              <w:pStyle w:val="null5"/>
              <w:jc w:val="left"/>
            </w:pPr>
            <w:r>
              <w:rPr>
                <w:rFonts w:ascii="仿宋_GB2312" w:hAnsi="仿宋_GB2312" w:cs="仿宋_GB2312" w:eastAsia="仿宋_GB2312"/>
                <w:sz w:val="21"/>
                <w:color w:val="000000"/>
              </w:rPr>
              <w:t>9.支持对镜像进行瘦身操作来减少镜像占用空间，降低镜像占用空间。</w:t>
            </w:r>
          </w:p>
          <w:p>
            <w:pPr>
              <w:pStyle w:val="null5"/>
              <w:jc w:val="left"/>
            </w:pPr>
            <w:r>
              <w:rPr>
                <w:rFonts w:ascii="仿宋_GB2312" w:hAnsi="仿宋_GB2312" w:cs="仿宋_GB2312" w:eastAsia="仿宋_GB2312"/>
                <w:sz w:val="21"/>
                <w:color w:val="000000"/>
              </w:rPr>
              <w:t>10.支持管理员在Web管理平台对终端内指定镜像的系统分区、数据分区远程还原操作，快速恢复教学或考试环境；</w:t>
            </w:r>
          </w:p>
          <w:p>
            <w:pPr>
              <w:pStyle w:val="null5"/>
              <w:jc w:val="left"/>
            </w:pPr>
            <w:r>
              <w:rPr>
                <w:rFonts w:ascii="仿宋_GB2312" w:hAnsi="仿宋_GB2312" w:cs="仿宋_GB2312" w:eastAsia="仿宋_GB2312"/>
                <w:sz w:val="21"/>
                <w:color w:val="000000"/>
              </w:rPr>
              <w:t>11.支持管理员通过Web管理平台唤醒远程不同网段的云终端，中间无需使用跳板机转发。提供佐证材料；</w:t>
            </w:r>
          </w:p>
          <w:p>
            <w:pPr>
              <w:pStyle w:val="null5"/>
              <w:jc w:val="left"/>
            </w:pPr>
            <w:r>
              <w:rPr>
                <w:rFonts w:ascii="仿宋_GB2312" w:hAnsi="仿宋_GB2312" w:cs="仿宋_GB2312" w:eastAsia="仿宋_GB2312"/>
                <w:sz w:val="21"/>
                <w:color w:val="000000"/>
              </w:rPr>
              <w:t>12.支持软件安装包以文件、文件夹等形式上传到管理平台，实现镜像软件统一安装功能；</w:t>
            </w:r>
          </w:p>
          <w:p>
            <w:pPr>
              <w:pStyle w:val="null5"/>
              <w:jc w:val="both"/>
            </w:pPr>
            <w:r>
              <w:rPr>
                <w:rFonts w:ascii="仿宋_GB2312" w:hAnsi="仿宋_GB2312" w:cs="仿宋_GB2312" w:eastAsia="仿宋_GB2312"/>
                <w:sz w:val="21"/>
                <w:color w:val="000000"/>
              </w:rPr>
              <w:t>13.提供计算机软件著作权材料</w:t>
            </w:r>
            <w:r>
              <w:rPr>
                <w:rFonts w:ascii="仿宋_GB2312" w:hAnsi="仿宋_GB2312" w:cs="仿宋_GB2312" w:eastAsia="仿宋_GB2312"/>
                <w:sz w:val="21"/>
                <w:color w:val="000000"/>
              </w:rPr>
              <w:t>。</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学生云终端</w:t>
            </w:r>
          </w:p>
        </w:tc>
        <w:tc>
          <w:tcPr>
            <w:tcW w:type="dxa" w:w="2076"/>
          </w:tcPr>
          <w:p>
            <w:pPr>
              <w:pStyle w:val="null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软硬件一体化</w:t>
            </w:r>
            <w:r>
              <w:rPr>
                <w:rFonts w:ascii="仿宋_GB2312" w:hAnsi="仿宋_GB2312" w:cs="仿宋_GB2312" w:eastAsia="仿宋_GB2312"/>
                <w:sz w:val="21"/>
                <w:color w:val="000000"/>
              </w:rPr>
              <w:t>，包含硬件载体、虚拟化软件及各类功能授权。</w:t>
            </w:r>
          </w:p>
          <w:p>
            <w:pPr>
              <w:pStyle w:val="null5"/>
              <w:jc w:val="left"/>
            </w:pPr>
            <w:r>
              <w:rPr>
                <w:rFonts w:ascii="仿宋_GB2312" w:hAnsi="仿宋_GB2312" w:cs="仿宋_GB2312" w:eastAsia="仿宋_GB2312"/>
                <w:sz w:val="21"/>
                <w:color w:val="000000"/>
              </w:rPr>
              <w:t>2.硬件载体：国产处理器性能≥八核十六线程处理器，主频（基础频率）≥3.6GHz；配置主存储器容量≥8GB DDR5，存储配置≥256GB M.2 NVME SSD；USB</w:t>
            </w:r>
            <w:r>
              <w:rPr>
                <w:rFonts w:ascii="仿宋_GB2312" w:hAnsi="仿宋_GB2312" w:cs="仿宋_GB2312" w:eastAsia="仿宋_GB2312"/>
                <w:sz w:val="21"/>
                <w:color w:val="000000"/>
              </w:rPr>
              <w:t>3.0</w:t>
            </w:r>
            <w:r>
              <w:rPr>
                <w:rFonts w:ascii="仿宋_GB2312" w:hAnsi="仿宋_GB2312" w:cs="仿宋_GB2312" w:eastAsia="仿宋_GB2312"/>
                <w:sz w:val="21"/>
                <w:color w:val="000000"/>
              </w:rPr>
              <w:t>接口≥4个（配置键盘、鼠标1套），</w:t>
            </w:r>
            <w:r>
              <w:rPr>
                <w:rFonts w:ascii="仿宋_GB2312" w:hAnsi="仿宋_GB2312" w:cs="仿宋_GB2312" w:eastAsia="仿宋_GB2312"/>
                <w:sz w:val="21"/>
                <w:color w:val="000000"/>
              </w:rPr>
              <w:t>Type-C接口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个，显示接口≥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个（至少包含HDMI接口≥</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rPr>
              <w:t>配套显示</w:t>
            </w:r>
            <w:r>
              <w:rPr>
                <w:rFonts w:ascii="仿宋_GB2312" w:hAnsi="仿宋_GB2312" w:cs="仿宋_GB2312" w:eastAsia="仿宋_GB2312"/>
                <w:sz w:val="21"/>
              </w:rPr>
              <w:t>设备</w:t>
            </w:r>
            <w:r>
              <w:rPr>
                <w:rFonts w:ascii="仿宋_GB2312" w:hAnsi="仿宋_GB2312" w:cs="仿宋_GB2312" w:eastAsia="仿宋_GB2312"/>
                <w:sz w:val="21"/>
                <w:color w:val="000000"/>
              </w:rPr>
              <w:t>），千兆网口≥1个；额外预留可扩展主存储器插槽数≥1个、M.2插槽数≥1个、SATA接口≥1个；WiFi插槽数≥1个，可扩展802.11 ax模组；独立显卡显存容量≥2GB。</w:t>
            </w:r>
          </w:p>
          <w:p>
            <w:pPr>
              <w:pStyle w:val="null5"/>
              <w:jc w:val="left"/>
            </w:pPr>
            <w:r>
              <w:rPr>
                <w:rFonts w:ascii="仿宋_GB2312" w:hAnsi="仿宋_GB2312" w:cs="仿宋_GB2312" w:eastAsia="仿宋_GB2312"/>
                <w:sz w:val="21"/>
                <w:color w:val="000000"/>
              </w:rPr>
              <w:t>3.采用虚拟化方式支持多种类型的操作系统，包括且不限于UOS、Kylin等。</w:t>
            </w:r>
          </w:p>
          <w:p>
            <w:pPr>
              <w:pStyle w:val="null5"/>
              <w:jc w:val="both"/>
            </w:pPr>
            <w:r>
              <w:rPr>
                <w:rFonts w:ascii="仿宋_GB2312" w:hAnsi="仿宋_GB2312" w:cs="仿宋_GB2312" w:eastAsia="仿宋_GB2312"/>
                <w:sz w:val="21"/>
                <w:color w:val="000000"/>
              </w:rPr>
              <w:t>4.支持个性化配置保存功能，可保存软件激活信息。</w:t>
            </w:r>
          </w:p>
        </w:tc>
      </w:tr>
      <w:tr>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学生云终端管理授权</w:t>
            </w:r>
          </w:p>
        </w:tc>
        <w:tc>
          <w:tcPr>
            <w:tcW w:type="dxa" w:w="2076"/>
          </w:tcPr>
          <w:p>
            <w:pPr>
              <w:pStyle w:val="null5"/>
              <w:jc w:val="left"/>
            </w:pPr>
            <w:r>
              <w:rPr>
                <w:rFonts w:ascii="仿宋_GB2312" w:hAnsi="仿宋_GB2312" w:cs="仿宋_GB2312" w:eastAsia="仿宋_GB2312"/>
                <w:sz w:val="21"/>
                <w:color w:val="000000"/>
              </w:rPr>
              <w:t>1.学生云终端软件管理平台采用B/S架构，具备镜像管理、教室管理、用户管理等关键功能模块；</w:t>
            </w:r>
          </w:p>
          <w:p>
            <w:pPr>
              <w:pStyle w:val="null5"/>
              <w:jc w:val="left"/>
            </w:pPr>
            <w:r>
              <w:rPr>
                <w:rFonts w:ascii="仿宋_GB2312" w:hAnsi="仿宋_GB2312" w:cs="仿宋_GB2312" w:eastAsia="仿宋_GB2312"/>
                <w:sz w:val="21"/>
                <w:color w:val="000000"/>
              </w:rPr>
              <w:t>2.支持对IDV、TCI、PC等多种终端的统一纳管，在管理页面可查看各类型终端的使用情况；</w:t>
            </w:r>
          </w:p>
          <w:p>
            <w:pPr>
              <w:pStyle w:val="null5"/>
              <w:jc w:val="left"/>
            </w:pPr>
            <w:r>
              <w:rPr>
                <w:rFonts w:ascii="仿宋_GB2312" w:hAnsi="仿宋_GB2312" w:cs="仿宋_GB2312" w:eastAsia="仿宋_GB2312"/>
                <w:sz w:val="21"/>
                <w:color w:val="000000"/>
              </w:rPr>
              <w:t>3.要求终端支持IDV、TCI两种云桌面模式切换使用，以兼容更多的操作系统。提供佐证材料；</w:t>
            </w:r>
          </w:p>
          <w:p>
            <w:pPr>
              <w:pStyle w:val="null5"/>
              <w:jc w:val="left"/>
            </w:pPr>
            <w:r>
              <w:rPr>
                <w:rFonts w:ascii="仿宋_GB2312" w:hAnsi="仿宋_GB2312" w:cs="仿宋_GB2312" w:eastAsia="仿宋_GB2312"/>
                <w:sz w:val="21"/>
                <w:color w:val="000000"/>
              </w:rPr>
              <w:t>4.支持镜像模版链接分享功能，管理员可将编辑镜像模板的链接分享给任课老师，在浏览器中直接输入链接地址即可对镜像模板进行编辑，支持分享链接的失效期、分享验证码设置。</w:t>
            </w:r>
          </w:p>
          <w:p>
            <w:pPr>
              <w:pStyle w:val="null5"/>
              <w:jc w:val="left"/>
            </w:pPr>
            <w:r>
              <w:rPr>
                <w:rFonts w:ascii="仿宋_GB2312" w:hAnsi="仿宋_GB2312" w:cs="仿宋_GB2312" w:eastAsia="仿宋_GB2312"/>
                <w:sz w:val="21"/>
                <w:color w:val="000000"/>
              </w:rPr>
              <w:t>5.支持教学镜像隐藏功能，可对学生设置隐藏或可见。</w:t>
            </w:r>
          </w:p>
          <w:p>
            <w:pPr>
              <w:pStyle w:val="null5"/>
              <w:jc w:val="left"/>
            </w:pPr>
            <w:r>
              <w:rPr>
                <w:rFonts w:ascii="仿宋_GB2312" w:hAnsi="仿宋_GB2312" w:cs="仿宋_GB2312" w:eastAsia="仿宋_GB2312"/>
                <w:sz w:val="21"/>
                <w:color w:val="000000"/>
              </w:rPr>
              <w:t>6.支持通过LDAP协议对接用户的统一身份平台，让用户也可以使用统一身份平台的用户信息；</w:t>
            </w:r>
          </w:p>
          <w:p>
            <w:pPr>
              <w:pStyle w:val="null5"/>
              <w:jc w:val="left"/>
            </w:pPr>
            <w:r>
              <w:rPr>
                <w:rFonts w:ascii="仿宋_GB2312" w:hAnsi="仿宋_GB2312" w:cs="仿宋_GB2312" w:eastAsia="仿宋_GB2312"/>
                <w:sz w:val="21"/>
                <w:color w:val="000000"/>
              </w:rPr>
              <w:t>7.提供分级分权管理，可按需自定义不同角色用户对应的管理权限：包含且不限于镜像管理、教室管理、用户管理、系统设置等权限设置；</w:t>
            </w:r>
          </w:p>
          <w:p>
            <w:pPr>
              <w:pStyle w:val="null5"/>
              <w:jc w:val="left"/>
            </w:pPr>
            <w:r>
              <w:rPr>
                <w:rFonts w:ascii="仿宋_GB2312" w:hAnsi="仿宋_GB2312" w:cs="仿宋_GB2312" w:eastAsia="仿宋_GB2312"/>
                <w:sz w:val="21"/>
                <w:color w:val="000000"/>
              </w:rPr>
              <w:t>8.支持嵌套虚拟化功能，可与在IDV、TCI桌面上均可以正常使用VMware、android studio等需要运行虚拟机的软件；</w:t>
            </w:r>
          </w:p>
          <w:p>
            <w:pPr>
              <w:pStyle w:val="null5"/>
              <w:jc w:val="left"/>
            </w:pPr>
            <w:r>
              <w:rPr>
                <w:rFonts w:ascii="仿宋_GB2312" w:hAnsi="仿宋_GB2312" w:cs="仿宋_GB2312" w:eastAsia="仿宋_GB2312"/>
                <w:sz w:val="21"/>
                <w:color w:val="000000"/>
              </w:rPr>
              <w:t>▲9.支持镜像模版自动快照，每次镜像发布时可以自动为镜像模版打快照，支持快照数量≥</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个。提供佐证材料；</w:t>
            </w:r>
          </w:p>
          <w:p>
            <w:pPr>
              <w:pStyle w:val="null5"/>
              <w:jc w:val="left"/>
            </w:pPr>
            <w:r>
              <w:rPr>
                <w:rFonts w:ascii="仿宋_GB2312" w:hAnsi="仿宋_GB2312" w:cs="仿宋_GB2312" w:eastAsia="仿宋_GB2312"/>
                <w:sz w:val="21"/>
                <w:color w:val="000000"/>
              </w:rPr>
              <w:t>10.支持对镜像进行瘦身操作来减少镜像占用空间，降低镜像占用空间；</w:t>
            </w:r>
          </w:p>
          <w:p>
            <w:pPr>
              <w:pStyle w:val="null5"/>
              <w:jc w:val="left"/>
            </w:pPr>
            <w:r>
              <w:rPr>
                <w:rFonts w:ascii="仿宋_GB2312" w:hAnsi="仿宋_GB2312" w:cs="仿宋_GB2312" w:eastAsia="仿宋_GB2312"/>
                <w:sz w:val="21"/>
                <w:color w:val="000000"/>
              </w:rPr>
              <w:t>11.支持管理员在Web管理平台对终端内指定镜像的系统分区、数据分区远程还原操作，快速恢复教学环境。提供佐证材料；</w:t>
            </w:r>
          </w:p>
          <w:p>
            <w:pPr>
              <w:pStyle w:val="null5"/>
              <w:jc w:val="left"/>
            </w:pPr>
            <w:r>
              <w:rPr>
                <w:rFonts w:ascii="仿宋_GB2312" w:hAnsi="仿宋_GB2312" w:cs="仿宋_GB2312" w:eastAsia="仿宋_GB2312"/>
                <w:sz w:val="21"/>
                <w:color w:val="000000"/>
              </w:rPr>
              <w:t>12.支持管理员通过Web管理平台唤醒远程不同网段的云终端，中间无需使用跳板机转发。提供佐证材料；</w:t>
            </w:r>
          </w:p>
          <w:p>
            <w:pPr>
              <w:pStyle w:val="null5"/>
              <w:jc w:val="left"/>
            </w:pPr>
            <w:r>
              <w:rPr>
                <w:rFonts w:ascii="仿宋_GB2312" w:hAnsi="仿宋_GB2312" w:cs="仿宋_GB2312" w:eastAsia="仿宋_GB2312"/>
                <w:sz w:val="21"/>
                <w:color w:val="000000"/>
              </w:rPr>
              <w:t>13.支持软件安装包以文件、文件夹等形式上传到管理平台，实现镜像软件统一安装功能；</w:t>
            </w:r>
          </w:p>
          <w:p>
            <w:pPr>
              <w:pStyle w:val="null5"/>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.管理平台可以对传统PC实现轻量级纳管，除本次</w:t>
            </w:r>
            <w:r>
              <w:rPr>
                <w:rFonts w:ascii="仿宋_GB2312" w:hAnsi="仿宋_GB2312" w:cs="仿宋_GB2312" w:eastAsia="仿宋_GB2312"/>
                <w:sz w:val="21"/>
                <w:color w:val="000000"/>
              </w:rPr>
              <w:t>管理学生云</w:t>
            </w:r>
            <w:r>
              <w:rPr>
                <w:rFonts w:ascii="仿宋_GB2312" w:hAnsi="仿宋_GB2312" w:cs="仿宋_GB2312" w:eastAsia="仿宋_GB2312"/>
                <w:sz w:val="21"/>
                <w:color w:val="000000"/>
              </w:rPr>
              <w:t>终端外还可以纳管</w:t>
            </w:r>
            <w:r>
              <w:rPr>
                <w:rFonts w:ascii="仿宋_GB2312" w:hAnsi="仿宋_GB2312" w:cs="仿宋_GB2312" w:eastAsia="仿宋_GB2312"/>
                <w:sz w:val="21"/>
                <w:color w:val="000000"/>
              </w:rPr>
              <w:t>不少于1</w:t>
            </w:r>
            <w:r>
              <w:rPr>
                <w:rFonts w:ascii="仿宋_GB2312" w:hAnsi="仿宋_GB2312" w:cs="仿宋_GB2312" w:eastAsia="仿宋_GB2312"/>
                <w:sz w:val="21"/>
                <w:color w:val="000000"/>
              </w:rPr>
              <w:t>00</w:t>
            </w:r>
            <w:r>
              <w:rPr>
                <w:rFonts w:ascii="仿宋_GB2312" w:hAnsi="仿宋_GB2312" w:cs="仿宋_GB2312" w:eastAsia="仿宋_GB2312"/>
                <w:sz w:val="21"/>
                <w:color w:val="000000"/>
              </w:rPr>
              <w:t>台P</w:t>
            </w:r>
            <w:r>
              <w:rPr>
                <w:rFonts w:ascii="仿宋_GB2312" w:hAnsi="仿宋_GB2312" w:cs="仿宋_GB2312" w:eastAsia="仿宋_GB2312"/>
                <w:sz w:val="21"/>
                <w:color w:val="000000"/>
              </w:rPr>
              <w:t>C</w:t>
            </w:r>
            <w:r>
              <w:rPr>
                <w:rFonts w:ascii="仿宋_GB2312" w:hAnsi="仿宋_GB2312" w:cs="仿宋_GB2312" w:eastAsia="仿宋_GB2312"/>
                <w:sz w:val="21"/>
                <w:color w:val="000000"/>
              </w:rPr>
              <w:t>，可以对P</w:t>
            </w:r>
            <w:r>
              <w:rPr>
                <w:rFonts w:ascii="仿宋_GB2312" w:hAnsi="仿宋_GB2312" w:cs="仿宋_GB2312" w:eastAsia="仿宋_GB2312"/>
                <w:sz w:val="21"/>
                <w:color w:val="000000"/>
              </w:rPr>
              <w:t>C</w:t>
            </w:r>
            <w:r>
              <w:rPr>
                <w:rFonts w:ascii="仿宋_GB2312" w:hAnsi="仿宋_GB2312" w:cs="仿宋_GB2312" w:eastAsia="仿宋_GB2312"/>
                <w:sz w:val="21"/>
                <w:color w:val="000000"/>
              </w:rPr>
              <w:t>实现远程协助、关机、I</w:t>
            </w:r>
            <w:r>
              <w:rPr>
                <w:rFonts w:ascii="仿宋_GB2312" w:hAnsi="仿宋_GB2312" w:cs="仿宋_GB2312" w:eastAsia="仿宋_GB2312"/>
                <w:sz w:val="21"/>
                <w:color w:val="000000"/>
              </w:rPr>
              <w:t>P</w:t>
            </w:r>
            <w:r>
              <w:rPr>
                <w:rFonts w:ascii="仿宋_GB2312" w:hAnsi="仿宋_GB2312" w:cs="仿宋_GB2312" w:eastAsia="仿宋_GB2312"/>
                <w:sz w:val="21"/>
                <w:color w:val="000000"/>
              </w:rPr>
              <w:t>和M</w:t>
            </w:r>
            <w:r>
              <w:rPr>
                <w:rFonts w:ascii="仿宋_GB2312" w:hAnsi="仿宋_GB2312" w:cs="仿宋_GB2312" w:eastAsia="仿宋_GB2312"/>
                <w:sz w:val="21"/>
                <w:color w:val="000000"/>
              </w:rPr>
              <w:t>AC</w:t>
            </w:r>
            <w:r>
              <w:rPr>
                <w:rFonts w:ascii="仿宋_GB2312" w:hAnsi="仿宋_GB2312" w:cs="仿宋_GB2312" w:eastAsia="仿宋_GB2312"/>
                <w:sz w:val="21"/>
                <w:color w:val="000000"/>
              </w:rPr>
              <w:t>地址可视化资产展示等。提供佐证材料；</w:t>
            </w:r>
          </w:p>
          <w:p>
            <w:pPr>
              <w:pStyle w:val="null5"/>
              <w:jc w:val="both"/>
            </w:pPr>
            <w:r>
              <w:rPr>
                <w:rFonts w:ascii="仿宋_GB2312" w:hAnsi="仿宋_GB2312" w:cs="仿宋_GB2312" w:eastAsia="仿宋_GB2312"/>
                <w:sz w:val="21"/>
                <w:color w:val="000000"/>
              </w:rPr>
              <w:t>15.提供计算机软件著作权材料</w:t>
            </w:r>
            <w:r>
              <w:rPr>
                <w:rFonts w:ascii="仿宋_GB2312" w:hAnsi="仿宋_GB2312" w:cs="仿宋_GB2312" w:eastAsia="仿宋_GB2312"/>
                <w:sz w:val="21"/>
                <w:color w:val="000000"/>
              </w:rPr>
              <w:t>。</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耳麦</w:t>
            </w:r>
          </w:p>
        </w:tc>
        <w:tc>
          <w:tcPr>
            <w:tcW w:type="dxa" w:w="2076"/>
          </w:tcPr>
          <w:p>
            <w:pPr>
              <w:pStyle w:val="null5"/>
              <w:jc w:val="left"/>
            </w:pPr>
            <w:r>
              <w:rPr>
                <w:rFonts w:ascii="仿宋_GB2312" w:hAnsi="仿宋_GB2312" w:cs="仿宋_GB2312" w:eastAsia="仿宋_GB2312"/>
                <w:sz w:val="21"/>
                <w:color w:val="000000"/>
              </w:rPr>
              <w:t>频响范围:20Hz-20KHz</w:t>
            </w:r>
          </w:p>
          <w:p>
            <w:pPr>
              <w:pStyle w:val="null5"/>
              <w:jc w:val="left"/>
            </w:pPr>
            <w:r>
              <w:rPr>
                <w:rFonts w:ascii="仿宋_GB2312" w:hAnsi="仿宋_GB2312" w:cs="仿宋_GB2312" w:eastAsia="仿宋_GB2312"/>
                <w:sz w:val="21"/>
                <w:color w:val="000000"/>
              </w:rPr>
              <w:t>喇叭阻抗:32欧</w:t>
            </w:r>
          </w:p>
          <w:p>
            <w:pPr>
              <w:pStyle w:val="null5"/>
              <w:jc w:val="left"/>
            </w:pPr>
            <w:r>
              <w:rPr>
                <w:rFonts w:ascii="仿宋_GB2312" w:hAnsi="仿宋_GB2312" w:cs="仿宋_GB2312" w:eastAsia="仿宋_GB2312"/>
                <w:sz w:val="21"/>
                <w:color w:val="000000"/>
              </w:rPr>
              <w:t>输出声压:91+/-3dB</w:t>
            </w:r>
          </w:p>
          <w:p>
            <w:pPr>
              <w:pStyle w:val="null5"/>
              <w:jc w:val="left"/>
            </w:pPr>
            <w:r>
              <w:rPr>
                <w:rFonts w:ascii="仿宋_GB2312" w:hAnsi="仿宋_GB2312" w:cs="仿宋_GB2312" w:eastAsia="仿宋_GB2312"/>
                <w:sz w:val="21"/>
                <w:color w:val="000000"/>
              </w:rPr>
              <w:t>麦克风灵敏度:-38dB+/-3dB</w:t>
            </w:r>
          </w:p>
          <w:p>
            <w:pPr>
              <w:pStyle w:val="null5"/>
              <w:jc w:val="left"/>
            </w:pPr>
            <w:r>
              <w:rPr>
                <w:rFonts w:ascii="仿宋_GB2312" w:hAnsi="仿宋_GB2312" w:cs="仿宋_GB2312" w:eastAsia="仿宋_GB2312"/>
                <w:sz w:val="21"/>
                <w:color w:val="000000"/>
              </w:rPr>
              <w:t>麦克风指向性:单指向</w:t>
            </w:r>
          </w:p>
          <w:p>
            <w:pPr>
              <w:pStyle w:val="null5"/>
              <w:jc w:val="left"/>
            </w:pPr>
            <w:r>
              <w:rPr>
                <w:rFonts w:ascii="仿宋_GB2312" w:hAnsi="仿宋_GB2312" w:cs="仿宋_GB2312" w:eastAsia="仿宋_GB2312"/>
                <w:sz w:val="21"/>
                <w:color w:val="000000"/>
              </w:rPr>
              <w:t>连接器:USB-A插头</w:t>
            </w:r>
          </w:p>
          <w:p>
            <w:pPr>
              <w:pStyle w:val="null5"/>
              <w:jc w:val="both"/>
            </w:pPr>
            <w:r>
              <w:rPr>
                <w:rFonts w:ascii="仿宋_GB2312" w:hAnsi="仿宋_GB2312" w:cs="仿宋_GB2312" w:eastAsia="仿宋_GB2312"/>
                <w:sz w:val="21"/>
                <w:color w:val="000000"/>
              </w:rPr>
              <w:t>线长:</w:t>
            </w:r>
            <w:r>
              <w:rPr>
                <w:rFonts w:ascii="仿宋_GB2312" w:hAnsi="仿宋_GB2312" w:cs="仿宋_GB2312" w:eastAsia="仿宋_GB2312"/>
                <w:sz w:val="21"/>
              </w:rPr>
              <w:t>≥</w:t>
            </w:r>
            <w:r>
              <w:rPr>
                <w:rFonts w:ascii="仿宋_GB2312" w:hAnsi="仿宋_GB2312" w:cs="仿宋_GB2312" w:eastAsia="仿宋_GB2312"/>
                <w:sz w:val="21"/>
                <w:color w:val="000000"/>
              </w:rPr>
              <w:t>2.8m</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符合磋商文件要求</w:t>
            </w:r>
          </w:p>
        </w:tc>
        <w:tc>
          <w:tcPr>
            <w:tcW w:type="dxa" w:w="4153"/>
          </w:tcPr>
          <w:p>
            <w:pPr>
              <w:pStyle w:val="null5"/>
              <w:jc w:val="left"/>
            </w:pPr>
            <w:r>
              <w:rPr>
                <w:rFonts w:ascii="仿宋_GB2312" w:hAnsi="仿宋_GB2312" w:cs="仿宋_GB2312" w:eastAsia="仿宋_GB2312"/>
              </w:rPr>
              <w:t>符合磋商文件要求</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合同签订之日起30天内供货安装调试完毕</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1、合同签订，乙方供货调试安装并验收合格后，达到付款条件起30日内，支付合同总金额的95.00%</w:t>
            </w:r>
          </w:p>
          <w:p>
            <w:pPr>
              <w:pStyle w:val="null5"/>
              <w:jc w:val="left"/>
            </w:pPr>
            <w:r>
              <w:rPr>
                <w:rFonts w:ascii="仿宋_GB2312" w:hAnsi="仿宋_GB2312" w:cs="仿宋_GB2312" w:eastAsia="仿宋_GB2312"/>
              </w:rPr>
              <w:t>2、质保期到期后无质量问题，达到付款条件起30日内，支付合同总金额的5.00%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质保期：自验收合格之日起2年。</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质保期：自验收合格之日起2年。2.本项目的技术、服务及其他要求中，带“★”的要求为实质性参数，带▲为重要参数：3.本项目采购清单内如含有政府强制采购节能产品，须根据相关要求提供材料，否则按无效投标处理，政府采购强制节能产品根据财政部、发展改革委公布的《节能产品政府采购品目清单》确定。4.供应商应当在响应文件中列出完成本包并通过验收所需的所有各项服务等明细表及全部费用。成交供应商必须确保整体通过用户方及有关主管部门验收，所发生的验收费用由成交供应商承担；供应商应踏勘现场，如供应商因未及时踏勘现场而导致的报价缺项漏项废标、或成交后无法交付，供应商自行承担一切后果。 5.供应商应详细列明投标货物的技术参数、配置及附件，成交人供货后由第三方组织验收，检测结果必须达到相关国家或行业标准要求。验收过程中如发现货物的规格、数量、质量等不符合规定的，供应商应免费退换货，由此产生的费用由供应商承担。6.货物描述部分（技术参数）不针对任何品牌型号，如果涉及到品牌、型号等，并不表明该标的被指定，而是仅供供应商参考，供应商所投报的产品的参数、性能及标准应满足技术参数或高于技术参数均可，对于供应商所投产品不满足技术参数的，由评标委员会根据评分标准要求评审。7.成交人必须保证所提供的产品为全新正品均符合国家标准。如出现与采购文件不符的情况，导致采购人不能正常使用。成交人除更换不符合要求的产品外，还要承担由此给采购人造成的全部损失。8.成交供应商保证提供的货物不侵犯任何第三方的专利、商标或版权。否则，成交供应商须承担对第三方的专利或版权的侵权责任并承担因此而发生的所有费用。9.如对本采购文件有任何疑问或要求澄清，请按本磋商的规定提出，否则视同理解和接受：</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一、第三章“技术、服务及其他要求”中“3.2.技术要求”，“3.3.服务要求 ”：</w:t>
      </w:r>
    </w:p>
    <w:p>
      <w:pPr>
        <w:pStyle w:val="null5"/>
        <w:ind w:firstLine="480"/>
        <w:jc w:val="left"/>
      </w:pP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五、磋商文件将供应商的资格条件列为评分因素的；</w:t>
      </w:r>
    </w:p>
    <w:p>
      <w:pPr>
        <w:pStyle w:val="null5"/>
        <w:ind w:firstLine="480"/>
        <w:jc w:val="left"/>
      </w:pPr>
      <w:r>
        <w:rPr>
          <w:rFonts w:ascii="仿宋_GB2312" w:hAnsi="仿宋_GB2312" w:cs="仿宋_GB2312" w:eastAsia="仿宋_GB2312"/>
        </w:rPr>
        <w:t>六、磋商文件载明的成交原则不合法的；</w:t>
      </w:r>
    </w:p>
    <w:p>
      <w:pPr>
        <w:pStyle w:val="null5"/>
        <w:ind w:firstLine="480"/>
        <w:jc w:val="left"/>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法人或者其他组织的营业执照等证明文件（加盖供应商电子公章，原件扫描件上传至电子响应文件相应位置）；</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法定代表人身份证明书或法定代表人授权委托书</w:t>
            </w:r>
          </w:p>
        </w:tc>
        <w:tc>
          <w:tcPr>
            <w:tcW w:type="dxa" w:w="3322"/>
          </w:tcPr>
          <w:p>
            <w:pPr>
              <w:pStyle w:val="null5"/>
              <w:jc w:val="left"/>
            </w:pPr>
            <w:r>
              <w:rPr>
                <w:rFonts w:ascii="仿宋_GB2312" w:hAnsi="仿宋_GB2312" w:cs="仿宋_GB2312" w:eastAsia="仿宋_GB2312"/>
              </w:rPr>
              <w:t>法定代表人直接参与投标的，须提交法定代表人身份证明书（加盖供应商电子公章）；授权代表参与投标的，须提交法定代表人授权委托书（加盖供应商电子公章及法定代表人电子印章）；</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具有良好的商业信誉和健全的财务会计制度</w:t>
            </w:r>
          </w:p>
        </w:tc>
        <w:tc>
          <w:tcPr>
            <w:tcW w:type="dxa" w:w="3322"/>
          </w:tcPr>
          <w:p>
            <w:pPr>
              <w:pStyle w:val="null5"/>
              <w:jc w:val="left"/>
            </w:pPr>
            <w:r>
              <w:rPr>
                <w:rFonts w:ascii="仿宋_GB2312" w:hAnsi="仿宋_GB2312" w:cs="仿宋_GB2312" w:eastAsia="仿宋_GB2312"/>
              </w:rPr>
              <w:t>2025年度经会计师事务所或审计机构审计的财务报告或基本开户银行出具的资信证明（企业成立时间不足一年的提供自成立至今的）（如资信证明不能体现基本开户银行信息，还需提供基本开户许可证或基本存款账户信息等相关证明资料）；（加盖供应商电子公章，原件扫描件放入电子响应文件相应位置）；</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具有履行合同所必需的设备和专业技术能力的书面声明（加盖供应商电子公章，原件扫描件上传至电子响应文件相应位置）；</w:t>
            </w:r>
          </w:p>
        </w:tc>
        <w:tc>
          <w:tcPr>
            <w:tcW w:type="dxa" w:w="1661"/>
          </w:tcPr>
          <w:p>
            <w:pPr>
              <w:pStyle w:val="null5"/>
              <w:jc w:val="left"/>
            </w:pPr>
            <w:r>
              <w:rPr>
                <w:rFonts w:ascii="仿宋_GB2312" w:hAnsi="仿宋_GB2312" w:cs="仿宋_GB2312" w:eastAsia="仿宋_GB2312"/>
              </w:rPr>
              <w:t>案例一览表及证明材料、供应商应提交的相关证明材料、具备履行合同所必需设备和专业技术能力的声明函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有依法缴纳税收和社会保障资金的良好记录</w:t>
            </w:r>
          </w:p>
        </w:tc>
        <w:tc>
          <w:tcPr>
            <w:tcW w:type="dxa" w:w="3322"/>
          </w:tcPr>
          <w:p>
            <w:pPr>
              <w:pStyle w:val="null5"/>
              <w:jc w:val="left"/>
            </w:pPr>
            <w:r>
              <w:rPr>
                <w:rFonts w:ascii="仿宋_GB2312" w:hAnsi="仿宋_GB2312" w:cs="仿宋_GB2312" w:eastAsia="仿宋_GB2312"/>
              </w:rPr>
              <w:t>1.在山东省内缴纳税收和社会保障资金的，供应商提供以下①或②任意一项即可： ①提供缴纳税收和社会保障资金的相关证明材料（提供 2026年1月至今任意一个月的缴纳税收和社会保障资金的凭据；企业成立时间不足上述要求的，提供自成立以来的）；依法免税或不需要缴纳社会保障资金的，提供相关证明材料（加盖供应商电子公章，原件扫描件放入电子响应文件相应位置）。 ②提供依法缴纳税收和社会保障资金承诺函；（提供承诺函的投标人请确保在“中国山东政府采购网”上能查询到相关信息） 注：供应商可提前在“中国山东政府采购网”查询本单位缴纳税收和社会保障资金情况。在资格审查环节，采购人或采购代理机构登录“中国山东政府采购网”，查询提供《承诺函》的供应商在山东省缴纳税收和社会保障资金情况。对于反馈有税收和社保资金缴费信息的，视为“有依法缴纳税收和社会保障资金的良好记录”；对于反馈无相关信息的，根据供应商响应文件中提供的其他相关证明材料判定是否满足采购文件要求。2.未在山东省内缴纳税收和社会保障资金的提供缴纳税收和社会保障资金的相关证明材料（提供2026年1月至今任意一个月的缴纳税收和社会保障资金的凭据；企业成立时间不足上述要求的，提供自成立以来的）；依法免税或不需要缴纳社会保障资金的，提供相关证明材料（加盖供应商电子公章，原件扫描件放入电子响应文件相应位置）。</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参加政府采购活动前3年内在经营活动中没有重大违法记录的书面声明（加盖供应商电子公章，原件扫描件上传至电子响应文件相应位置）</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信用查询</w:t>
            </w:r>
          </w:p>
        </w:tc>
        <w:tc>
          <w:tcPr>
            <w:tcW w:type="dxa" w:w="3322"/>
          </w:tcPr>
          <w:p>
            <w:pPr>
              <w:pStyle w:val="null5"/>
              <w:jc w:val="left"/>
            </w:pPr>
            <w:r>
              <w:rPr>
                <w:rFonts w:ascii="仿宋_GB2312" w:hAnsi="仿宋_GB2312" w:cs="仿宋_GB2312" w:eastAsia="仿宋_GB2312"/>
              </w:rPr>
              <w:t>在“信 用 中国”网站（www.creditchina.gov.cn）、中国政府采购网（www.ccgp.gov.cn）、“信用 山东”网站（credit.shandong.gov.cn）中被列入失信被执行人、重大税收违法失信主体、 政府采购严重违法失信行为记录名单的供应商，不得参加本次政府采购活动。</w:t>
            </w:r>
          </w:p>
        </w:tc>
        <w:tc>
          <w:tcPr>
            <w:tcW w:type="dxa" w:w="1661"/>
          </w:tcPr>
          <w:p>
            <w:pPr>
              <w:pStyle w:val="null5"/>
              <w:jc w:val="left"/>
            </w:pPr>
            <w:r>
              <w:rPr>
                <w:rFonts w:ascii="仿宋_GB2312" w:hAnsi="仿宋_GB2312" w:cs="仿宋_GB2312" w:eastAsia="仿宋_GB2312"/>
              </w:rPr>
              <w:t>信用查询</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投标人承诺函、自觉抵制政府采购领域商业贿赂行为承诺书、法定代表人资格证明书或法定代表人授权委托书</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政府强制采购节能产品明细表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开标（报价）一览表</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5.3.8.比较与评价</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left"/>
      </w:pPr>
      <w:r>
        <w:rPr>
          <w:rFonts w:ascii="仿宋_GB2312" w:hAnsi="仿宋_GB2312" w:cs="仿宋_GB2312" w:eastAsia="仿宋_GB2312"/>
        </w:rPr>
        <w:t>5.3.9.磋商小组复核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5.3.10.代理机构现场复核评审结果</w:t>
      </w:r>
    </w:p>
    <w:p>
      <w:pPr>
        <w:pStyle w:val="null5"/>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（一）资格审查认定错误的；</w:t>
      </w:r>
    </w:p>
    <w:p>
      <w:pPr>
        <w:pStyle w:val="null5"/>
        <w:ind w:firstLine="480"/>
        <w:jc w:val="left"/>
      </w:pPr>
      <w:r>
        <w:rPr>
          <w:rFonts w:ascii="仿宋_GB2312" w:hAnsi="仿宋_GB2312" w:cs="仿宋_GB2312" w:eastAsia="仿宋_GB2312"/>
        </w:rPr>
        <w:t>（二）分值汇总计算错误的；</w:t>
      </w:r>
    </w:p>
    <w:p>
      <w:pPr>
        <w:pStyle w:val="null5"/>
        <w:ind w:firstLine="480"/>
        <w:jc w:val="left"/>
      </w:pPr>
      <w:r>
        <w:rPr>
          <w:rFonts w:ascii="仿宋_GB2312" w:hAnsi="仿宋_GB2312" w:cs="仿宋_GB2312" w:eastAsia="仿宋_GB2312"/>
        </w:rPr>
        <w:t>（三）分项评分超出评分标准范围的；</w:t>
      </w:r>
    </w:p>
    <w:p>
      <w:pPr>
        <w:pStyle w:val="null5"/>
        <w:ind w:firstLine="480"/>
        <w:jc w:val="left"/>
      </w:pPr>
      <w:r>
        <w:rPr>
          <w:rFonts w:ascii="仿宋_GB2312" w:hAnsi="仿宋_GB2312" w:cs="仿宋_GB2312" w:eastAsia="仿宋_GB2312"/>
        </w:rPr>
        <w:t>（四）客观评分不一致的。</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5.3.12.出具磋商报告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5.3.13.评审争议处理规则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技术部分70.00分</w:t>
            </w:r>
          </w:p>
          <w:p>
            <w:pPr>
              <w:pStyle w:val="null5"/>
            </w:pPr>
            <w:r>
              <w:rPr>
                <w:rFonts w:ascii="仿宋_GB2312" w:hAnsi="仿宋_GB2312" w:cs="仿宋_GB2312" w:eastAsia="仿宋_GB2312"/>
              </w:rPr>
              <w:t>报价得分30.00分</w:t>
            </w:r>
          </w:p>
          <w:p>
            <w:pPr>
              <w:pStyle w:val="null5"/>
            </w:pPr>
            <w:r>
              <w:rPr>
                <w:rFonts w:ascii="仿宋_GB2312" w:hAnsi="仿宋_GB2312" w:cs="仿宋_GB2312" w:eastAsia="仿宋_GB2312"/>
              </w:rPr>
              <w:t>附加分10.00分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技术参数响应情况</w:t>
            </w:r>
          </w:p>
        </w:tc>
        <w:tc>
          <w:tcPr>
            <w:tcW w:type="dxa" w:w="2575"/>
          </w:tcPr>
          <w:p>
            <w:pPr>
              <w:pStyle w:val="null5"/>
            </w:pPr>
            <w:r>
              <w:rPr>
                <w:rFonts w:ascii="仿宋_GB2312" w:hAnsi="仿宋_GB2312" w:cs="仿宋_GB2312" w:eastAsia="仿宋_GB2312"/>
              </w:rPr>
              <w:t>根据投标人针对所投产品的技术参数响应程度进行综合评审，满分20分，重要参数每出现一条负偏离减1分，其他参数每出现一条负偏离减0.5分，扣完为止。 注：（1）重要参数须提供所投产品的技术白皮书或技术说明、使用说明书、产品样本（彩页）、检测报告等材料，相应技术参数须在证明材料中明显标识，未提供或不能满足招标文件要求，按负偏离处理，同一产品如出现负偏离，不重复扣分。 （2）其他技术参数应按照所投产品技术参数逐条如实填写技术偏离表，如有不实承担提供虚假材料谋取中标的法律责任。</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技术参数响应表</w:t>
            </w:r>
          </w:p>
        </w:tc>
      </w:tr>
      <w:tr>
        <w:tc>
          <w:tcPr>
            <w:tcW w:type="dxa" w:w="831"/>
            <w:vMerge/>
          </w:tcPr>
          <w:p/>
        </w:tc>
        <w:tc>
          <w:tcPr>
            <w:tcW w:type="dxa" w:w="1661"/>
          </w:tcPr>
          <w:p>
            <w:pPr>
              <w:pStyle w:val="null5"/>
            </w:pPr>
            <w:r>
              <w:rPr>
                <w:rFonts w:ascii="仿宋_GB2312" w:hAnsi="仿宋_GB2312" w:cs="仿宋_GB2312" w:eastAsia="仿宋_GB2312"/>
              </w:rPr>
              <w:t>质量保障措施</w:t>
            </w:r>
          </w:p>
        </w:tc>
        <w:tc>
          <w:tcPr>
            <w:tcW w:type="dxa" w:w="2575"/>
          </w:tcPr>
          <w:p>
            <w:pPr>
              <w:pStyle w:val="null5"/>
            </w:pPr>
            <w:r>
              <w:rPr>
                <w:rFonts w:ascii="仿宋_GB2312" w:hAnsi="仿宋_GB2312" w:cs="仿宋_GB2312" w:eastAsia="仿宋_GB2312"/>
              </w:rPr>
              <w:t>根据投标人提供的质量保障措施的表述，包括但不限于：质量管理组织机构、质量标准措施、质量关键点分析及应对、产品维修或退换方案、质保期及产品包装运送过程中的质量保证等进行综合评审，满分得9分，每出现一处瑕疵或不足之处减0.5分，扣完为止，未提供不得分。</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技术部分要求的相关文件</w:t>
            </w:r>
          </w:p>
        </w:tc>
      </w:tr>
      <w:tr>
        <w:tc>
          <w:tcPr>
            <w:tcW w:type="dxa" w:w="831"/>
            <w:vMerge/>
          </w:tcPr>
          <w:p/>
        </w:tc>
        <w:tc>
          <w:tcPr>
            <w:tcW w:type="dxa" w:w="1661"/>
          </w:tcPr>
          <w:p>
            <w:pPr>
              <w:pStyle w:val="null5"/>
            </w:pPr>
            <w:r>
              <w:rPr>
                <w:rFonts w:ascii="仿宋_GB2312" w:hAnsi="仿宋_GB2312" w:cs="仿宋_GB2312" w:eastAsia="仿宋_GB2312"/>
              </w:rPr>
              <w:t>供货安装调试方案</w:t>
            </w:r>
          </w:p>
        </w:tc>
        <w:tc>
          <w:tcPr>
            <w:tcW w:type="dxa" w:w="2575"/>
          </w:tcPr>
          <w:p>
            <w:pPr>
              <w:pStyle w:val="null5"/>
            </w:pPr>
            <w:r>
              <w:rPr>
                <w:rFonts w:ascii="仿宋_GB2312" w:hAnsi="仿宋_GB2312" w:cs="仿宋_GB2312" w:eastAsia="仿宋_GB2312"/>
              </w:rPr>
              <w:t>根据投标人提供的针对本项目的供货及安装调试方案、进度计划及保障措施、管理措施（防潮、防湿、防雨、防腐及防碰撞等措施）、应用技术支持进行综合评审，满分得9分，每出现一处瑕疵或不足之处减 0.5分，扣完为止，未提供不得分。</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技术部分要求的相关文件</w:t>
            </w:r>
          </w:p>
        </w:tc>
      </w:tr>
      <w:tr>
        <w:tc>
          <w:tcPr>
            <w:tcW w:type="dxa" w:w="831"/>
            <w:vMerge/>
          </w:tcPr>
          <w:p/>
        </w:tc>
        <w:tc>
          <w:tcPr>
            <w:tcW w:type="dxa" w:w="1661"/>
          </w:tcPr>
          <w:p>
            <w:pPr>
              <w:pStyle w:val="null5"/>
            </w:pPr>
            <w:r>
              <w:rPr>
                <w:rFonts w:ascii="仿宋_GB2312" w:hAnsi="仿宋_GB2312" w:cs="仿宋_GB2312" w:eastAsia="仿宋_GB2312"/>
              </w:rPr>
              <w:t>建设方案</w:t>
            </w:r>
          </w:p>
        </w:tc>
        <w:tc>
          <w:tcPr>
            <w:tcW w:type="dxa" w:w="2575"/>
          </w:tcPr>
          <w:p>
            <w:pPr>
              <w:pStyle w:val="null5"/>
            </w:pPr>
            <w:r>
              <w:rPr>
                <w:rFonts w:ascii="仿宋_GB2312" w:hAnsi="仿宋_GB2312" w:cs="仿宋_GB2312" w:eastAsia="仿宋_GB2312"/>
              </w:rPr>
              <w:t>根据投标人提供的针对本项目的建设方案，包括但不限于：应用场景需求分析、云桌面系统结构图及功能模块、使用风险规避措施、方案优势及未来扩展能力等进行综合评审，满分得8分，每出现一处瑕疵或不足之处减0.5分，扣完为止，未提供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技术部分要求的相关文件</w:t>
            </w:r>
          </w:p>
        </w:tc>
      </w:tr>
      <w:tr>
        <w:tc>
          <w:tcPr>
            <w:tcW w:type="dxa" w:w="831"/>
            <w:vMerge/>
          </w:tcPr>
          <w:p/>
        </w:tc>
        <w:tc>
          <w:tcPr>
            <w:tcW w:type="dxa" w:w="1661"/>
          </w:tcPr>
          <w:p>
            <w:pPr>
              <w:pStyle w:val="null5"/>
            </w:pPr>
            <w:r>
              <w:rPr>
                <w:rFonts w:ascii="仿宋_GB2312" w:hAnsi="仿宋_GB2312" w:cs="仿宋_GB2312" w:eastAsia="仿宋_GB2312"/>
              </w:rPr>
              <w:t>技术支持及售后服务方案1</w:t>
            </w:r>
          </w:p>
        </w:tc>
        <w:tc>
          <w:tcPr>
            <w:tcW w:type="dxa" w:w="2575"/>
          </w:tcPr>
          <w:p>
            <w:pPr>
              <w:pStyle w:val="null5"/>
            </w:pPr>
            <w:r>
              <w:rPr>
                <w:rFonts w:ascii="仿宋_GB2312" w:hAnsi="仿宋_GB2312" w:cs="仿宋_GB2312" w:eastAsia="仿宋_GB2312"/>
              </w:rPr>
              <w:t>根据投标人的售后服务方案进行综合评审： 1.技术支持与售后服务内容及维修保养方案：满分4分， 每出现一处瑕疵或不足之处减 0.5分，扣完为止，未提供不得分；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技术部分要求的相关文件</w:t>
            </w:r>
          </w:p>
        </w:tc>
      </w:tr>
      <w:tr>
        <w:tc>
          <w:tcPr>
            <w:tcW w:type="dxa" w:w="831"/>
            <w:vMerge/>
          </w:tcPr>
          <w:p/>
        </w:tc>
        <w:tc>
          <w:tcPr>
            <w:tcW w:type="dxa" w:w="1661"/>
          </w:tcPr>
          <w:p>
            <w:pPr>
              <w:pStyle w:val="null5"/>
            </w:pPr>
            <w:r>
              <w:rPr>
                <w:rFonts w:ascii="仿宋_GB2312" w:hAnsi="仿宋_GB2312" w:cs="仿宋_GB2312" w:eastAsia="仿宋_GB2312"/>
              </w:rPr>
              <w:t>技术支持及售后服务方案2</w:t>
            </w:r>
          </w:p>
        </w:tc>
        <w:tc>
          <w:tcPr>
            <w:tcW w:type="dxa" w:w="2575"/>
          </w:tcPr>
          <w:p>
            <w:pPr>
              <w:pStyle w:val="null5"/>
            </w:pPr>
            <w:r>
              <w:rPr>
                <w:rFonts w:ascii="仿宋_GB2312" w:hAnsi="仿宋_GB2312" w:cs="仿宋_GB2312" w:eastAsia="仿宋_GB2312"/>
              </w:rPr>
              <w:t>2.售后服务响应时间及响应机制：满分4分，每出现一处瑕疵或不足之处减0.5分，扣完为止，未提供不得分；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技术部分要求的相关文件</w:t>
            </w:r>
          </w:p>
        </w:tc>
      </w:tr>
      <w:tr>
        <w:tc>
          <w:tcPr>
            <w:tcW w:type="dxa" w:w="831"/>
            <w:vMerge/>
          </w:tcPr>
          <w:p/>
        </w:tc>
        <w:tc>
          <w:tcPr>
            <w:tcW w:type="dxa" w:w="1661"/>
          </w:tcPr>
          <w:p>
            <w:pPr>
              <w:pStyle w:val="null5"/>
            </w:pPr>
            <w:r>
              <w:rPr>
                <w:rFonts w:ascii="仿宋_GB2312" w:hAnsi="仿宋_GB2312" w:cs="仿宋_GB2312" w:eastAsia="仿宋_GB2312"/>
              </w:rPr>
              <w:t>技术支持及售后服务方案3</w:t>
            </w:r>
          </w:p>
        </w:tc>
        <w:tc>
          <w:tcPr>
            <w:tcW w:type="dxa" w:w="2575"/>
          </w:tcPr>
          <w:p>
            <w:pPr>
              <w:pStyle w:val="null5"/>
            </w:pPr>
            <w:r>
              <w:rPr>
                <w:rFonts w:ascii="仿宋_GB2312" w:hAnsi="仿宋_GB2312" w:cs="仿宋_GB2312" w:eastAsia="仿宋_GB2312"/>
              </w:rPr>
              <w:t>3.售后服务团队配备情况：满分4分，每出现一处瑕疵或不足之处减 0.5分，扣完为止，未提供不得分。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技术部分要求的相关文件</w:t>
            </w:r>
          </w:p>
        </w:tc>
      </w:tr>
      <w:tr>
        <w:tc>
          <w:tcPr>
            <w:tcW w:type="dxa" w:w="831"/>
            <w:vMerge/>
          </w:tcPr>
          <w:p/>
        </w:tc>
        <w:tc>
          <w:tcPr>
            <w:tcW w:type="dxa" w:w="1661"/>
          </w:tcPr>
          <w:p>
            <w:pPr>
              <w:pStyle w:val="null5"/>
            </w:pPr>
            <w:r>
              <w:rPr>
                <w:rFonts w:ascii="仿宋_GB2312" w:hAnsi="仿宋_GB2312" w:cs="仿宋_GB2312" w:eastAsia="仿宋_GB2312"/>
              </w:rPr>
              <w:t>备品备件</w:t>
            </w:r>
          </w:p>
        </w:tc>
        <w:tc>
          <w:tcPr>
            <w:tcW w:type="dxa" w:w="2575"/>
          </w:tcPr>
          <w:p>
            <w:pPr>
              <w:pStyle w:val="null5"/>
            </w:pPr>
            <w:r>
              <w:rPr>
                <w:rFonts w:ascii="仿宋_GB2312" w:hAnsi="仿宋_GB2312" w:cs="仿宋_GB2312" w:eastAsia="仿宋_GB2312"/>
              </w:rPr>
              <w:t>根据投标人提供的备品备件方案进行综合评审，满分得4分，每出现一处瑕疵或不足之处减0.5分，扣完为止，未提供不得分。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技术部分要求的相关文件</w:t>
            </w:r>
          </w:p>
        </w:tc>
      </w:tr>
      <w:tr>
        <w:tc>
          <w:tcPr>
            <w:tcW w:type="dxa" w:w="831"/>
            <w:vMerge/>
          </w:tcPr>
          <w:p/>
        </w:tc>
        <w:tc>
          <w:tcPr>
            <w:tcW w:type="dxa" w:w="1661"/>
          </w:tcPr>
          <w:p>
            <w:pPr>
              <w:pStyle w:val="null5"/>
            </w:pPr>
            <w:r>
              <w:rPr>
                <w:rFonts w:ascii="仿宋_GB2312" w:hAnsi="仿宋_GB2312" w:cs="仿宋_GB2312" w:eastAsia="仿宋_GB2312"/>
              </w:rPr>
              <w:t>应急方案</w:t>
            </w:r>
          </w:p>
        </w:tc>
        <w:tc>
          <w:tcPr>
            <w:tcW w:type="dxa" w:w="2575"/>
          </w:tcPr>
          <w:p>
            <w:pPr>
              <w:pStyle w:val="null5"/>
            </w:pPr>
            <w:r>
              <w:rPr>
                <w:rFonts w:ascii="仿宋_GB2312" w:hAnsi="仿宋_GB2312" w:cs="仿宋_GB2312" w:eastAsia="仿宋_GB2312"/>
              </w:rPr>
              <w:t>根据投标人提供的应急保障措施、紧急故障处理预案等进行综合评审，满分得4分，每出现一处瑕疵或不足之处减0.5分，扣完为止，未提供不得分。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技术部分要求的相关文件</w:t>
            </w:r>
          </w:p>
        </w:tc>
      </w:tr>
      <w:tr>
        <w:tc>
          <w:tcPr>
            <w:tcW w:type="dxa" w:w="831"/>
            <w:vMerge/>
          </w:tcPr>
          <w:p/>
        </w:tc>
        <w:tc>
          <w:tcPr>
            <w:tcW w:type="dxa" w:w="1661"/>
          </w:tcPr>
          <w:p>
            <w:pPr>
              <w:pStyle w:val="null5"/>
            </w:pPr>
            <w:r>
              <w:rPr>
                <w:rFonts w:ascii="仿宋_GB2312" w:hAnsi="仿宋_GB2312" w:cs="仿宋_GB2312" w:eastAsia="仿宋_GB2312"/>
              </w:rPr>
              <w:t>培训方案</w:t>
            </w:r>
          </w:p>
        </w:tc>
        <w:tc>
          <w:tcPr>
            <w:tcW w:type="dxa" w:w="2575"/>
          </w:tcPr>
          <w:p>
            <w:pPr>
              <w:pStyle w:val="null5"/>
            </w:pPr>
            <w:r>
              <w:rPr>
                <w:rFonts w:ascii="仿宋_GB2312" w:hAnsi="仿宋_GB2312" w:cs="仿宋_GB2312" w:eastAsia="仿宋_GB2312"/>
              </w:rPr>
              <w:t>根据各投标人在投标文件中对采购人的管理人员、操作人员及维护人员进行培训等承诺情况进行综合评审，满分得4分，每出现一处瑕疵或不足之处减0.5分，扣完为止，未提供不得分。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技术部分要求的相关文件</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庆云县第一中学扩建项目云桌面办公系统响应报价低于全部通过符合性审查供应商响应报价平均值50%的，即庆云县第一中学扩建项目云桌面办公系统响应报价&lt;全部通过符合性审查供应商响应报价平均值×50%。 （2）庆云县第一中学扩建项目云桌面办公系统响应报价低于通过符合性审查且报价次低供应商响应报价50%的，即庆云县第一中学扩建项目云桌面办公系统响应报价&lt;通过符合性审查且报价次低供应商响应报价×50%。 （3）庆云县第一中学扩建项目云桌面办公系统响应报价低于最高限价45%的，即庆云县第一中学扩建项目云桌面办公系统响应报价&lt;最高限价×45%。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庆云县第一中学扩建项目云桌面办公系统</w:t>
            </w:r>
          </w:p>
        </w:tc>
        <w:tc>
          <w:tcPr>
            <w:tcW w:type="dxa" w:w="2575"/>
          </w:tcPr>
          <w:p>
            <w:pPr>
              <w:pStyle w:val="null5"/>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vMerge w:val="restart"/>
          </w:tcPr>
          <w:p>
            <w:pPr>
              <w:pStyle w:val="null5"/>
            </w:pPr>
            <w:r>
              <w:rPr>
                <w:rFonts w:ascii="仿宋_GB2312" w:hAnsi="仿宋_GB2312" w:cs="仿宋_GB2312" w:eastAsia="仿宋_GB2312"/>
              </w:rPr>
              <w:t>附加分</w:t>
            </w:r>
          </w:p>
        </w:tc>
        <w:tc>
          <w:tcPr>
            <w:tcW w:type="dxa" w:w="1661"/>
          </w:tcPr>
          <w:p>
            <w:pPr>
              <w:pStyle w:val="null5"/>
            </w:pPr>
            <w:r>
              <w:rPr>
                <w:rFonts w:ascii="仿宋_GB2312" w:hAnsi="仿宋_GB2312" w:cs="仿宋_GB2312" w:eastAsia="仿宋_GB2312"/>
              </w:rPr>
              <w:t>节能产品价格加分</w:t>
            </w:r>
          </w:p>
        </w:tc>
        <w:tc>
          <w:tcPr>
            <w:tcW w:type="dxa" w:w="2575"/>
          </w:tcPr>
          <w:p>
            <w:pPr>
              <w:pStyle w:val="null5"/>
            </w:pPr>
            <w:r>
              <w:rPr>
                <w:rFonts w:ascii="仿宋_GB2312" w:hAnsi="仿宋_GB2312" w:cs="仿宋_GB2312" w:eastAsia="仿宋_GB2312"/>
              </w:rPr>
              <w:t>采用综合评分法评标的项目，在满足基本技术条件的前提下，在价格评标项中，对节能、环保产品分别给予价格评标总分值的5％的加分；在技术评标项中，对节能、环保产品分别给予技术评标总分值的 5％的加分。执行政府采购政策对投标报价进行扣除后的评标价格仅用于评标过程的报价得分计算或评标价格的比较，不作为最终的中标价格。</w:t>
            </w:r>
          </w:p>
        </w:tc>
        <w:tc>
          <w:tcPr>
            <w:tcW w:type="dxa" w:w="831"/>
          </w:tcPr>
          <w:p>
            <w:pPr>
              <w:pStyle w:val="null5"/>
              <w:jc w:val="center"/>
            </w:pPr>
            <w:r>
              <w:rPr>
                <w:rFonts w:ascii="仿宋_GB2312" w:hAnsi="仿宋_GB2312" w:cs="仿宋_GB2312" w:eastAsia="仿宋_GB2312"/>
              </w:rPr>
              <w:t>1.5000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节能产品明细表</w:t>
            </w:r>
          </w:p>
        </w:tc>
      </w:tr>
      <w:tr>
        <w:tc>
          <w:tcPr>
            <w:tcW w:type="dxa" w:w="831"/>
            <w:vMerge/>
          </w:tcPr>
          <w:p/>
        </w:tc>
        <w:tc>
          <w:tcPr>
            <w:tcW w:type="dxa" w:w="1661"/>
          </w:tcPr>
          <w:p>
            <w:pPr>
              <w:pStyle w:val="null5"/>
            </w:pPr>
            <w:r>
              <w:rPr>
                <w:rFonts w:ascii="仿宋_GB2312" w:hAnsi="仿宋_GB2312" w:cs="仿宋_GB2312" w:eastAsia="仿宋_GB2312"/>
              </w:rPr>
              <w:t>节能产品技术加分</w:t>
            </w:r>
          </w:p>
        </w:tc>
        <w:tc>
          <w:tcPr>
            <w:tcW w:type="dxa" w:w="2575"/>
          </w:tcPr>
          <w:p>
            <w:pPr>
              <w:pStyle w:val="null5"/>
            </w:pPr>
            <w:r>
              <w:rPr>
                <w:rFonts w:ascii="仿宋_GB2312" w:hAnsi="仿宋_GB2312" w:cs="仿宋_GB2312" w:eastAsia="仿宋_GB2312"/>
              </w:rPr>
              <w:t>采用综合评分法评标的项目，在满足基本技术条件的前提下，在价格评标项中，对节能、环保产品分别给予价格评标总分值的5％的加分；在技术评标项中，对节能、环保产品分别给予技术评标总分值的 5％的加分。执行政府采购政策对投标报价进行扣除后的评标价格仅用于评标过程的报价得分计算或评标价格的比较，不作为最终的中标价格。</w:t>
            </w:r>
          </w:p>
        </w:tc>
        <w:tc>
          <w:tcPr>
            <w:tcW w:type="dxa" w:w="831"/>
          </w:tcPr>
          <w:p>
            <w:pPr>
              <w:pStyle w:val="null5"/>
              <w:jc w:val="center"/>
            </w:pPr>
            <w:r>
              <w:rPr>
                <w:rFonts w:ascii="仿宋_GB2312" w:hAnsi="仿宋_GB2312" w:cs="仿宋_GB2312" w:eastAsia="仿宋_GB2312"/>
              </w:rPr>
              <w:t>3.5000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节能产品明细表</w:t>
            </w:r>
          </w:p>
        </w:tc>
      </w:tr>
      <w:tr>
        <w:tc>
          <w:tcPr>
            <w:tcW w:type="dxa" w:w="831"/>
            <w:vMerge/>
          </w:tcPr>
          <w:p/>
        </w:tc>
        <w:tc>
          <w:tcPr>
            <w:tcW w:type="dxa" w:w="1661"/>
          </w:tcPr>
          <w:p>
            <w:pPr>
              <w:pStyle w:val="null5"/>
            </w:pPr>
            <w:r>
              <w:rPr>
                <w:rFonts w:ascii="仿宋_GB2312" w:hAnsi="仿宋_GB2312" w:cs="仿宋_GB2312" w:eastAsia="仿宋_GB2312"/>
              </w:rPr>
              <w:t>环境标志产品价格加分</w:t>
            </w:r>
          </w:p>
        </w:tc>
        <w:tc>
          <w:tcPr>
            <w:tcW w:type="dxa" w:w="2575"/>
          </w:tcPr>
          <w:p>
            <w:pPr>
              <w:pStyle w:val="null5"/>
            </w:pPr>
            <w:r>
              <w:rPr>
                <w:rFonts w:ascii="仿宋_GB2312" w:hAnsi="仿宋_GB2312" w:cs="仿宋_GB2312" w:eastAsia="仿宋_GB2312"/>
              </w:rPr>
              <w:t>采用综合评分法评标的项目，在满足基本技术条件的前提下，在价格评标项中，对节能、环保产品分别给予价格评标总分值的5％的加分；在技术评标项中，对节能、环保产品分别给予技术评标总分值的 5％的加分。执行政府采购政策对投标报价进行扣除后的评标价格仅用于评标过程的报价得分计算或评标价格的比较，不作为最终的中标价格。</w:t>
            </w:r>
          </w:p>
        </w:tc>
        <w:tc>
          <w:tcPr>
            <w:tcW w:type="dxa" w:w="831"/>
          </w:tcPr>
          <w:p>
            <w:pPr>
              <w:pStyle w:val="null5"/>
              <w:jc w:val="center"/>
            </w:pPr>
            <w:r>
              <w:rPr>
                <w:rFonts w:ascii="仿宋_GB2312" w:hAnsi="仿宋_GB2312" w:cs="仿宋_GB2312" w:eastAsia="仿宋_GB2312"/>
              </w:rPr>
              <w:t>1.5000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环境标志产品明细表</w:t>
            </w:r>
          </w:p>
        </w:tc>
      </w:tr>
      <w:tr>
        <w:tc>
          <w:tcPr>
            <w:tcW w:type="dxa" w:w="831"/>
            <w:vMerge/>
          </w:tcPr>
          <w:p/>
        </w:tc>
        <w:tc>
          <w:tcPr>
            <w:tcW w:type="dxa" w:w="1661"/>
          </w:tcPr>
          <w:p>
            <w:pPr>
              <w:pStyle w:val="null5"/>
            </w:pPr>
            <w:r>
              <w:rPr>
                <w:rFonts w:ascii="仿宋_GB2312" w:hAnsi="仿宋_GB2312" w:cs="仿宋_GB2312" w:eastAsia="仿宋_GB2312"/>
              </w:rPr>
              <w:t>环境标志产品技术加分</w:t>
            </w:r>
          </w:p>
        </w:tc>
        <w:tc>
          <w:tcPr>
            <w:tcW w:type="dxa" w:w="2575"/>
          </w:tcPr>
          <w:p>
            <w:pPr>
              <w:pStyle w:val="null5"/>
            </w:pPr>
            <w:r>
              <w:rPr>
                <w:rFonts w:ascii="仿宋_GB2312" w:hAnsi="仿宋_GB2312" w:cs="仿宋_GB2312" w:eastAsia="仿宋_GB2312"/>
              </w:rPr>
              <w:t>采用综合评分法评标的项目，在满足基本技术条件的前提下，在价格评标项中，对节能、环保产品分别给予价格评标总分值的5％的加分；在技术评标项中，对节能、环保产品分别给予技术评标总分值的 5％的加分。执行政府采购政策对投标报价进行扣除后的评标价格仅用于评标过程的报价得分计算或评标价格的比较，不作为最终的中标价格。</w:t>
            </w:r>
          </w:p>
        </w:tc>
        <w:tc>
          <w:tcPr>
            <w:tcW w:type="dxa" w:w="831"/>
          </w:tcPr>
          <w:p>
            <w:pPr>
              <w:pStyle w:val="null5"/>
              <w:jc w:val="center"/>
            </w:pPr>
            <w:r>
              <w:rPr>
                <w:rFonts w:ascii="仿宋_GB2312" w:hAnsi="仿宋_GB2312" w:cs="仿宋_GB2312" w:eastAsia="仿宋_GB2312"/>
              </w:rPr>
              <w:t>3.5000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环境标志产品明细表</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中小企业声明函、残疾人福利性单位声明函、小、微型企业产品明细表、监狱企业的证明文件</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5"/>
              <w:jc w:val="left"/>
            </w:pPr>
            <w:r>
              <w:rPr>
                <w:rFonts w:ascii="仿宋_GB2312" w:hAnsi="仿宋_GB2312" w:cs="仿宋_GB2312" w:eastAsia="仿宋_GB2312"/>
              </w:rPr>
              <w:t>关于本国产品成本占比的承诺函、关于符合本国产品标准的声明函</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庆云县第一中学扩建项目云桌面办公系统响应报价低于全部通过符合性审查供应商响应报价平均值50%的，即庆云县第一中学扩建项目云桌面办公系统响应报价&lt;全部通过符合性审查供应商响应报价平均值×50%。</w:t>
              <w:br/>
              <w:t>（2）庆云县第一中学扩建项目云桌面办公系统响应报价低于通过符合性审查且报价次低供应商响应报价50%的，即庆云县第一中学扩建项目云桌面办公系统响应报价&lt;通过符合性审查且报价次低供应商响应报价×50%。</w:t>
              <w:br/>
              <w:t>（3）庆云县第一中学扩建项目云桌面办公系统响应报价低于最高限价45%的，即庆云县第一中学扩建项目云桌面办公系统响应报价&lt;最高限价×45%。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其他计算机软件</w:t>
            </w:r>
          </w:p>
        </w:tc>
        <w:tc>
          <w:tcPr>
            <w:tcW w:type="dxa" w:w="3115"/>
          </w:tcPr>
          <w:p>
            <w:pPr>
              <w:pStyle w:val="null5"/>
              <w:jc w:val="left"/>
            </w:pPr>
            <w:r>
              <w:rPr>
                <w:rFonts w:ascii="仿宋_GB2312" w:hAnsi="仿宋_GB2312" w:cs="仿宋_GB2312" w:eastAsia="仿宋_GB2312"/>
              </w:rPr>
              <w:t>庆云县第一中学扩建项目云桌面办公系统</w:t>
            </w:r>
          </w:p>
        </w:tc>
        <w:tc>
          <w:tcPr>
            <w:tcW w:type="dxa" w:w="2076"/>
          </w:tcPr>
          <w:p>
            <w:pPr>
              <w:pStyle w:val="null5"/>
              <w:jc w:val="left"/>
            </w:pPr>
            <w:r>
              <w:rPr>
                <w:rFonts w:ascii="仿宋_GB2312" w:hAnsi="仿宋_GB2312" w:cs="仿宋_GB2312" w:eastAsia="仿宋_GB2312"/>
              </w:rPr>
              <w:t>庆云县第一中学扩建项目云桌面办公系统</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 、因情况变化，不再符合规定的竞争性磋商采购方式适用情形的；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采购单位应在政府采购招投标管理办法规定的时限内确定中标人。</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详见附件：关于本国产品成本占比的承诺函</w:t>
      </w:r>
    </w:p>
    <w:p>
      <w:pPr>
        <w:pStyle w:val="null5"/>
        <w:ind w:firstLine="960"/>
        <w:jc w:val="left"/>
      </w:pPr>
      <w:r>
        <w:rPr>
          <w:rFonts w:ascii="仿宋_GB2312" w:hAnsi="仿宋_GB2312" w:cs="仿宋_GB2312" w:eastAsia="仿宋_GB2312"/>
        </w:rPr>
        <w:t>详见附件：关于符合本国产品标准的声明函</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详见附件：信用查询</w:t>
      </w:r>
    </w:p>
    <w:p>
      <w:pPr>
        <w:pStyle w:val="null5"/>
        <w:ind w:firstLine="960"/>
        <w:jc w:val="left"/>
      </w:pPr>
      <w:r>
        <w:rPr>
          <w:rFonts w:ascii="仿宋_GB2312" w:hAnsi="仿宋_GB2312" w:cs="仿宋_GB2312" w:eastAsia="仿宋_GB2312"/>
        </w:rPr>
        <w:t>详见附件：技术部分要求的相关文件</w:t>
      </w:r>
    </w:p>
    <w:p>
      <w:pPr>
        <w:pStyle w:val="null5"/>
        <w:ind w:firstLine="960"/>
        <w:jc w:val="left"/>
      </w:pPr>
      <w:r>
        <w:rPr>
          <w:rFonts w:ascii="仿宋_GB2312" w:hAnsi="仿宋_GB2312" w:cs="仿宋_GB2312" w:eastAsia="仿宋_GB2312"/>
        </w:rPr>
        <w:t>详见附件：节能产品明细表</w:t>
      </w:r>
    </w:p>
    <w:p>
      <w:pPr>
        <w:pStyle w:val="null5"/>
        <w:ind w:firstLine="960"/>
        <w:jc w:val="left"/>
      </w:pPr>
      <w:r>
        <w:rPr>
          <w:rFonts w:ascii="仿宋_GB2312" w:hAnsi="仿宋_GB2312" w:cs="仿宋_GB2312" w:eastAsia="仿宋_GB2312"/>
        </w:rPr>
        <w:t>详见附件：环境标志产品明细表</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详见附件：小、微型企业产品明细表</w:t>
      </w:r>
    </w:p>
    <w:p>
      <w:pPr>
        <w:pStyle w:val="null5"/>
        <w:ind w:firstLine="960"/>
        <w:jc w:val="left"/>
      </w:pPr>
      <w:r>
        <w:rPr>
          <w:rFonts w:ascii="仿宋_GB2312" w:hAnsi="仿宋_GB2312" w:cs="仿宋_GB2312" w:eastAsia="仿宋_GB2312"/>
        </w:rPr>
        <w:t>详见附件：政府强制采购节能产品明细表</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详见附件：合同文本.docx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