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F86FB">
      <w:pPr>
        <w:pStyle w:val="3"/>
        <w:spacing w:line="360" w:lineRule="auto"/>
        <w:jc w:val="center"/>
        <w:rPr>
          <w:rFonts w:hint="eastAsia" w:ascii="宋体" w:hAnsi="宋体" w:eastAsia="宋体" w:cs="宋体"/>
          <w:b/>
          <w:bCs w:val="0"/>
          <w:color w:val="auto"/>
          <w:sz w:val="32"/>
          <w:szCs w:val="32"/>
          <w:highlight w:val="none"/>
        </w:rPr>
      </w:pPr>
      <w:r>
        <w:rPr>
          <w:rFonts w:hint="eastAsia" w:ascii="宋体" w:hAnsi="宋体" w:eastAsia="宋体" w:cs="宋体"/>
          <w:b/>
          <w:bCs w:val="0"/>
          <w:color w:val="auto"/>
          <w:sz w:val="32"/>
          <w:szCs w:val="32"/>
          <w:highlight w:val="none"/>
          <w:lang w:val="en-US" w:eastAsia="zh-CN"/>
        </w:rPr>
        <w:t>东营市垦利区职业中等专业学校台式计算机采购项目</w:t>
      </w:r>
      <w:r>
        <w:rPr>
          <w:rFonts w:hint="eastAsia" w:ascii="宋体" w:hAnsi="宋体" w:eastAsia="宋体" w:cs="宋体"/>
          <w:b/>
          <w:bCs w:val="0"/>
          <w:color w:val="auto"/>
          <w:sz w:val="32"/>
          <w:szCs w:val="32"/>
          <w:highlight w:val="none"/>
        </w:rPr>
        <w:t>分项报价明细表</w:t>
      </w:r>
    </w:p>
    <w:tbl>
      <w:tblPr>
        <w:tblStyle w:val="4"/>
        <w:tblW w:w="530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200"/>
        <w:gridCol w:w="1419"/>
        <w:gridCol w:w="6868"/>
        <w:gridCol w:w="855"/>
        <w:gridCol w:w="765"/>
        <w:gridCol w:w="925"/>
        <w:gridCol w:w="1145"/>
        <w:gridCol w:w="975"/>
      </w:tblGrid>
      <w:tr w14:paraId="22065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4" w:type="pct"/>
            <w:noWrap w:val="0"/>
            <w:vAlign w:val="center"/>
          </w:tcPr>
          <w:p w14:paraId="6B997C72">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序号</w:t>
            </w:r>
          </w:p>
        </w:tc>
        <w:tc>
          <w:tcPr>
            <w:tcW w:w="398" w:type="pct"/>
            <w:noWrap w:val="0"/>
            <w:vAlign w:val="center"/>
          </w:tcPr>
          <w:p w14:paraId="5C6C9E7E">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val="en-US" w:eastAsia="zh-CN" w:bidi="ar"/>
              </w:rPr>
              <w:t>设备及产品</w:t>
            </w:r>
            <w:r>
              <w:rPr>
                <w:rFonts w:hint="eastAsia" w:ascii="宋体" w:hAnsi="宋体" w:eastAsia="宋体" w:cs="宋体"/>
                <w:b/>
                <w:bCs/>
                <w:color w:val="000000"/>
                <w:kern w:val="0"/>
                <w:sz w:val="24"/>
                <w:szCs w:val="24"/>
                <w:lang w:bidi="ar"/>
              </w:rPr>
              <w:t>名称</w:t>
            </w:r>
          </w:p>
        </w:tc>
        <w:tc>
          <w:tcPr>
            <w:tcW w:w="471" w:type="pct"/>
            <w:noWrap w:val="0"/>
            <w:vAlign w:val="center"/>
          </w:tcPr>
          <w:p w14:paraId="12476199">
            <w:pPr>
              <w:widowControl/>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品牌型号</w:t>
            </w:r>
          </w:p>
        </w:tc>
        <w:tc>
          <w:tcPr>
            <w:tcW w:w="2283" w:type="pct"/>
            <w:noWrap w:val="0"/>
            <w:vAlign w:val="center"/>
          </w:tcPr>
          <w:p w14:paraId="7E4D8814">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主要技术标准与参数</w:t>
            </w:r>
          </w:p>
        </w:tc>
        <w:tc>
          <w:tcPr>
            <w:tcW w:w="284" w:type="pct"/>
            <w:noWrap w:val="0"/>
            <w:vAlign w:val="center"/>
          </w:tcPr>
          <w:p w14:paraId="23D63C84">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单位</w:t>
            </w:r>
          </w:p>
        </w:tc>
        <w:tc>
          <w:tcPr>
            <w:tcW w:w="254" w:type="pct"/>
            <w:noWrap w:val="0"/>
            <w:vAlign w:val="center"/>
          </w:tcPr>
          <w:p w14:paraId="7E0BAF28">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数量</w:t>
            </w:r>
          </w:p>
        </w:tc>
        <w:tc>
          <w:tcPr>
            <w:tcW w:w="307" w:type="pct"/>
            <w:noWrap w:val="0"/>
            <w:vAlign w:val="center"/>
          </w:tcPr>
          <w:p w14:paraId="20AD4B7B">
            <w:pPr>
              <w:jc w:val="center"/>
              <w:rPr>
                <w:rFonts w:hint="eastAsia" w:ascii="宋体" w:hAnsi="宋体" w:eastAsia="宋体" w:cs="宋体"/>
                <w:b/>
                <w:bCs/>
                <w:color w:val="000000"/>
                <w:kern w:val="0"/>
                <w:sz w:val="24"/>
                <w:szCs w:val="24"/>
                <w:lang w:bidi="ar"/>
              </w:rPr>
            </w:pPr>
            <w:r>
              <w:rPr>
                <w:rFonts w:hint="eastAsia" w:ascii="宋体" w:hAnsi="宋体" w:eastAsia="宋体" w:cs="宋体"/>
                <w:b/>
                <w:bCs/>
                <w:sz w:val="24"/>
                <w:szCs w:val="24"/>
              </w:rPr>
              <w:t>单价 (元)</w:t>
            </w:r>
          </w:p>
        </w:tc>
        <w:tc>
          <w:tcPr>
            <w:tcW w:w="380" w:type="pct"/>
            <w:noWrap w:val="0"/>
            <w:vAlign w:val="center"/>
          </w:tcPr>
          <w:p w14:paraId="1AE8DC66">
            <w:pPr>
              <w:jc w:val="center"/>
              <w:rPr>
                <w:rFonts w:hint="eastAsia" w:ascii="宋体" w:hAnsi="宋体" w:eastAsia="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总价（元）</w:t>
            </w:r>
          </w:p>
        </w:tc>
        <w:tc>
          <w:tcPr>
            <w:tcW w:w="324" w:type="pct"/>
            <w:noWrap w:val="0"/>
            <w:vAlign w:val="center"/>
          </w:tcPr>
          <w:p w14:paraId="5C501285">
            <w:pPr>
              <w:widowControl/>
              <w:jc w:val="center"/>
              <w:textAlignment w:val="center"/>
              <w:rPr>
                <w:rFonts w:hint="eastAsia" w:ascii="宋体" w:hAnsi="宋体" w:eastAsia="宋体" w:cs="宋体"/>
                <w:b/>
                <w:bCs/>
                <w:color w:val="000000"/>
                <w:sz w:val="24"/>
                <w:szCs w:val="24"/>
              </w:rPr>
            </w:pPr>
            <w:r>
              <w:rPr>
                <w:rFonts w:hint="eastAsia" w:ascii="宋体" w:hAnsi="宋体" w:eastAsia="宋体" w:cs="宋体"/>
                <w:b/>
                <w:bCs/>
                <w:color w:val="000000"/>
                <w:kern w:val="0"/>
                <w:sz w:val="24"/>
                <w:szCs w:val="24"/>
                <w:lang w:bidi="ar"/>
              </w:rPr>
              <w:t>备注</w:t>
            </w:r>
          </w:p>
        </w:tc>
      </w:tr>
      <w:tr w14:paraId="2F77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94" w:type="pct"/>
            <w:noWrap w:val="0"/>
            <w:vAlign w:val="center"/>
          </w:tcPr>
          <w:p w14:paraId="574361E8">
            <w:pPr>
              <w:widowControl/>
              <w:jc w:val="center"/>
              <w:textAlignment w:val="center"/>
              <w:rPr>
                <w:rFonts w:hint="eastAsia" w:ascii="宋体" w:hAnsi="宋体" w:eastAsia="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1</w:t>
            </w:r>
          </w:p>
        </w:tc>
        <w:tc>
          <w:tcPr>
            <w:tcW w:w="398" w:type="pct"/>
            <w:noWrap w:val="0"/>
            <w:vAlign w:val="center"/>
          </w:tcPr>
          <w:p w14:paraId="2D101E41">
            <w:pPr>
              <w:widowControl/>
              <w:jc w:val="center"/>
              <w:textAlignment w:val="center"/>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计算机</w:t>
            </w:r>
          </w:p>
        </w:tc>
        <w:tc>
          <w:tcPr>
            <w:tcW w:w="471" w:type="pct"/>
            <w:noWrap w:val="0"/>
            <w:vAlign w:val="center"/>
          </w:tcPr>
          <w:p w14:paraId="7C4EAB5C">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Inspur 浪潮</w:t>
            </w:r>
          </w:p>
          <w:p w14:paraId="2313EA2F">
            <w:pPr>
              <w:bidi w:val="0"/>
              <w:jc w:val="center"/>
              <w:rPr>
                <w:rFonts w:hint="eastAsia"/>
                <w:lang w:val="en-US" w:eastAsia="zh-CN"/>
              </w:rPr>
            </w:pPr>
            <w:r>
              <w:rPr>
                <w:rFonts w:hint="eastAsia" w:ascii="宋体" w:hAnsi="宋体" w:eastAsia="宋体" w:cs="宋体"/>
                <w:sz w:val="24"/>
                <w:szCs w:val="24"/>
                <w:lang w:val="en-US" w:eastAsia="zh-CN"/>
              </w:rPr>
              <w:t>CE530H</w:t>
            </w:r>
          </w:p>
          <w:p w14:paraId="2179AF43">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（显示器：Inspur 浪潮</w:t>
            </w:r>
          </w:p>
          <w:p w14:paraId="41C7005B">
            <w:pPr>
              <w:bidi w:val="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I2460EWH</w:t>
            </w:r>
          </w:p>
          <w:p w14:paraId="04E8F08D">
            <w:pPr>
              <w:bidi w:val="0"/>
              <w:jc w:val="center"/>
              <w:rPr>
                <w:rFonts w:hint="eastAsia"/>
                <w:lang w:val="en-US" w:eastAsia="zh-CN"/>
              </w:rPr>
            </w:pPr>
            <w:r>
              <w:rPr>
                <w:rFonts w:hint="eastAsia" w:ascii="宋体" w:hAnsi="宋体" w:eastAsia="宋体" w:cs="宋体"/>
                <w:sz w:val="24"/>
                <w:szCs w:val="24"/>
                <w:lang w:val="en-US" w:eastAsia="zh-CN"/>
              </w:rPr>
              <w:t>）</w:t>
            </w:r>
          </w:p>
        </w:tc>
        <w:tc>
          <w:tcPr>
            <w:tcW w:w="2283" w:type="pct"/>
            <w:noWrap w:val="0"/>
            <w:vAlign w:val="center"/>
          </w:tcPr>
          <w:p w14:paraId="20F4DCDC">
            <w:pPr>
              <w:keepNext w:val="0"/>
              <w:keepLines w:val="0"/>
              <w:pageBreakBefore w:val="0"/>
              <w:widowControl/>
              <w:kinsoku/>
              <w:wordWrap/>
              <w:overflowPunct/>
              <w:topLinePunct w:val="0"/>
              <w:autoSpaceDE/>
              <w:autoSpaceDN/>
              <w:bidi w:val="0"/>
              <w:adjustRightInd/>
              <w:snapToGrid/>
              <w:ind w:firstLine="480"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w:t>
            </w:r>
            <w:r>
              <w:rPr>
                <w:rFonts w:hint="eastAsia" w:ascii="宋体" w:hAnsi="宋体" w:eastAsia="宋体" w:cs="宋体"/>
                <w:b/>
                <w:bCs/>
                <w:color w:val="000000"/>
                <w:sz w:val="24"/>
                <w:szCs w:val="24"/>
                <w:lang w:val="en-US" w:eastAsia="zh-CN"/>
              </w:rPr>
              <w:t>品牌要求：</w:t>
            </w:r>
            <w:r>
              <w:rPr>
                <w:rFonts w:hint="eastAsia" w:ascii="宋体" w:hAnsi="宋体" w:eastAsia="宋体" w:cs="宋体"/>
                <w:b w:val="0"/>
                <w:bCs w:val="0"/>
                <w:color w:val="000000"/>
                <w:sz w:val="24"/>
                <w:szCs w:val="24"/>
                <w:lang w:val="en-US" w:eastAsia="zh-CN"/>
              </w:rPr>
              <w:t xml:space="preserve">国产自主研发品牌； </w:t>
            </w:r>
          </w:p>
          <w:p w14:paraId="64028160">
            <w:pPr>
              <w:keepNext w:val="0"/>
              <w:keepLines w:val="0"/>
              <w:pageBreakBefore w:val="0"/>
              <w:widowControl/>
              <w:kinsoku/>
              <w:wordWrap/>
              <w:overflowPunct/>
              <w:topLinePunct w:val="0"/>
              <w:autoSpaceDE/>
              <w:autoSpaceDN/>
              <w:bidi w:val="0"/>
              <w:adjustRightInd/>
              <w:snapToGrid/>
              <w:ind w:firstLine="482"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sz w:val="24"/>
                <w:szCs w:val="24"/>
                <w:lang w:val="en-US" w:eastAsia="zh-CN"/>
              </w:rPr>
              <w:t>机型：</w:t>
            </w:r>
            <w:r>
              <w:rPr>
                <w:rFonts w:hint="eastAsia" w:ascii="宋体" w:hAnsi="宋体" w:eastAsia="宋体" w:cs="宋体"/>
                <w:b w:val="0"/>
                <w:bCs w:val="0"/>
                <w:color w:val="000000"/>
                <w:sz w:val="24"/>
                <w:szCs w:val="24"/>
                <w:lang w:val="en-US" w:eastAsia="zh-CN"/>
              </w:rPr>
              <w:t xml:space="preserve">微塔式机箱（M-ATX），机箱≤15L，支持 RESET重启按键，方便使用； </w:t>
            </w:r>
          </w:p>
          <w:p w14:paraId="00DF2637">
            <w:pPr>
              <w:keepNext w:val="0"/>
              <w:keepLines w:val="0"/>
              <w:pageBreakBefore w:val="0"/>
              <w:widowControl/>
              <w:kinsoku/>
              <w:wordWrap/>
              <w:overflowPunct/>
              <w:topLinePunct w:val="0"/>
              <w:autoSpaceDE/>
              <w:autoSpaceDN/>
              <w:bidi w:val="0"/>
              <w:adjustRightInd/>
              <w:snapToGrid/>
              <w:ind w:firstLine="480"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w:t>
            </w:r>
            <w:r>
              <w:rPr>
                <w:rFonts w:hint="eastAsia" w:ascii="宋体" w:hAnsi="宋体" w:eastAsia="宋体" w:cs="宋体"/>
                <w:b/>
                <w:bCs/>
                <w:color w:val="000000"/>
                <w:sz w:val="24"/>
                <w:szCs w:val="24"/>
                <w:lang w:val="en-US" w:eastAsia="zh-CN"/>
              </w:rPr>
              <w:t>处理器：</w:t>
            </w:r>
            <w:r>
              <w:rPr>
                <w:rFonts w:hint="eastAsia" w:ascii="宋体" w:hAnsi="宋体" w:eastAsia="宋体" w:cs="宋体"/>
                <w:b w:val="0"/>
                <w:bCs w:val="0"/>
                <w:color w:val="000000"/>
                <w:sz w:val="24"/>
                <w:szCs w:val="24"/>
                <w:lang w:val="en-US" w:eastAsia="zh-CN"/>
              </w:rPr>
              <w:t xml:space="preserve">配置一颗国产 C86 架构 CPU，每颗 CPU 物理核心数8 核，每颗 CPU 主频3.0GHz，支持超线程技术，线程数量16； </w:t>
            </w:r>
          </w:p>
          <w:p w14:paraId="4695B97D">
            <w:pPr>
              <w:keepNext w:val="0"/>
              <w:keepLines w:val="0"/>
              <w:pageBreakBefore w:val="0"/>
              <w:widowControl/>
              <w:kinsoku/>
              <w:wordWrap/>
              <w:overflowPunct/>
              <w:topLinePunct w:val="0"/>
              <w:autoSpaceDE/>
              <w:autoSpaceDN/>
              <w:bidi w:val="0"/>
              <w:adjustRightInd/>
              <w:snapToGrid/>
              <w:ind w:firstLine="480"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w:t>
            </w:r>
            <w:r>
              <w:rPr>
                <w:rFonts w:hint="eastAsia" w:ascii="宋体" w:hAnsi="宋体" w:eastAsia="宋体" w:cs="宋体"/>
                <w:b/>
                <w:bCs/>
                <w:color w:val="000000"/>
                <w:sz w:val="24"/>
                <w:szCs w:val="24"/>
                <w:lang w:val="en-US" w:eastAsia="zh-CN"/>
              </w:rPr>
              <w:t>内存：</w:t>
            </w:r>
            <w:r>
              <w:rPr>
                <w:rFonts w:hint="eastAsia" w:ascii="宋体" w:hAnsi="宋体" w:eastAsia="宋体" w:cs="宋体"/>
                <w:b w:val="0"/>
                <w:bCs w:val="0"/>
                <w:color w:val="000000"/>
                <w:sz w:val="24"/>
                <w:szCs w:val="24"/>
                <w:lang w:val="en-US" w:eastAsia="zh-CN"/>
              </w:rPr>
              <w:t xml:space="preserve">16GB DDR4 3200MHz，配置4 个内存插槽，最大可支持 128GB 内存容量； </w:t>
            </w:r>
          </w:p>
          <w:p w14:paraId="404CAAD5">
            <w:pPr>
              <w:keepNext w:val="0"/>
              <w:keepLines w:val="0"/>
              <w:pageBreakBefore w:val="0"/>
              <w:widowControl/>
              <w:kinsoku/>
              <w:wordWrap/>
              <w:overflowPunct/>
              <w:topLinePunct w:val="0"/>
              <w:autoSpaceDE/>
              <w:autoSpaceDN/>
              <w:bidi w:val="0"/>
              <w:adjustRightInd/>
              <w:snapToGrid/>
              <w:ind w:firstLine="480"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w:t>
            </w:r>
            <w:r>
              <w:rPr>
                <w:rFonts w:hint="eastAsia" w:ascii="宋体" w:hAnsi="宋体" w:eastAsia="宋体" w:cs="宋体"/>
                <w:b/>
                <w:bCs/>
                <w:color w:val="000000"/>
                <w:sz w:val="24"/>
                <w:szCs w:val="24"/>
                <w:lang w:val="en-US" w:eastAsia="zh-CN"/>
              </w:rPr>
              <w:t>硬盘：</w:t>
            </w:r>
            <w:r>
              <w:rPr>
                <w:rFonts w:hint="eastAsia" w:ascii="宋体" w:hAnsi="宋体" w:eastAsia="宋体" w:cs="宋体"/>
                <w:b w:val="0"/>
                <w:bCs w:val="0"/>
                <w:color w:val="000000"/>
                <w:sz w:val="24"/>
                <w:szCs w:val="24"/>
                <w:lang w:val="en-US" w:eastAsia="zh-CN"/>
              </w:rPr>
              <w:t xml:space="preserve">512GB Nvme M.2 SSD 硬盘；最大扩展 2 个2.5 寸 SATA SSD+1 个 3.5 寸 SATA HDD 硬盘；主板集成 1 个 PCIe/SATA M.2 接口;硬盘最大支持数量3 个； </w:t>
            </w:r>
          </w:p>
          <w:p w14:paraId="083A4ABD">
            <w:pPr>
              <w:keepNext w:val="0"/>
              <w:keepLines w:val="0"/>
              <w:pageBreakBefore w:val="0"/>
              <w:widowControl/>
              <w:kinsoku/>
              <w:wordWrap/>
              <w:overflowPunct/>
              <w:topLinePunct w:val="0"/>
              <w:autoSpaceDE/>
              <w:autoSpaceDN/>
              <w:bidi w:val="0"/>
              <w:adjustRightInd/>
              <w:snapToGrid/>
              <w:ind w:firstLine="482"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sz w:val="24"/>
                <w:szCs w:val="24"/>
                <w:lang w:val="en-US" w:eastAsia="zh-CN"/>
              </w:rPr>
              <w:t>PCI-E 扩展：</w:t>
            </w:r>
            <w:r>
              <w:rPr>
                <w:rFonts w:hint="eastAsia" w:ascii="宋体" w:hAnsi="宋体" w:eastAsia="宋体" w:cs="宋体"/>
                <w:b w:val="0"/>
                <w:bCs w:val="0"/>
                <w:color w:val="000000"/>
                <w:sz w:val="24"/>
                <w:szCs w:val="24"/>
                <w:lang w:val="en-US" w:eastAsia="zh-CN"/>
              </w:rPr>
              <w:t>4 个PCI-E 插槽，其中2个 PCI-E</w:t>
            </w:r>
            <w:r>
              <w:rPr>
                <w:rFonts w:hint="eastAsia" w:ascii="宋体" w:hAnsi="宋体" w:cs="宋体"/>
                <w:b w:val="0"/>
                <w:bCs w:val="0"/>
                <w:color w:val="000000"/>
                <w:sz w:val="24"/>
                <w:szCs w:val="24"/>
                <w:lang w:val="en-US" w:eastAsia="zh-CN"/>
              </w:rPr>
              <w:t xml:space="preserve"> </w:t>
            </w:r>
            <w:r>
              <w:rPr>
                <w:rFonts w:hint="eastAsia" w:ascii="宋体" w:hAnsi="宋体" w:eastAsia="宋体" w:cs="宋体"/>
                <w:b w:val="0"/>
                <w:bCs w:val="0"/>
                <w:color w:val="000000"/>
                <w:sz w:val="24"/>
                <w:szCs w:val="24"/>
                <w:lang w:val="en-US" w:eastAsia="zh-CN"/>
              </w:rPr>
              <w:t xml:space="preserve">3.0＊16，1 个 PCI-E 3.0＊8，1 个 PCI-E 3.0＊1； </w:t>
            </w:r>
          </w:p>
          <w:p w14:paraId="2C246F37">
            <w:pPr>
              <w:keepNext w:val="0"/>
              <w:keepLines w:val="0"/>
              <w:pageBreakBefore w:val="0"/>
              <w:widowControl/>
              <w:kinsoku/>
              <w:wordWrap/>
              <w:overflowPunct/>
              <w:topLinePunct w:val="0"/>
              <w:autoSpaceDE/>
              <w:autoSpaceDN/>
              <w:bidi w:val="0"/>
              <w:adjustRightInd/>
              <w:snapToGrid/>
              <w:ind w:firstLine="480"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w:t>
            </w:r>
            <w:r>
              <w:rPr>
                <w:rFonts w:hint="eastAsia" w:ascii="宋体" w:hAnsi="宋体" w:eastAsia="宋体" w:cs="宋体"/>
                <w:b/>
                <w:bCs/>
                <w:color w:val="000000"/>
                <w:sz w:val="24"/>
                <w:szCs w:val="24"/>
                <w:lang w:val="en-US" w:eastAsia="zh-CN"/>
              </w:rPr>
              <w:t>显卡：</w:t>
            </w:r>
            <w:r>
              <w:rPr>
                <w:rFonts w:hint="eastAsia" w:ascii="宋体" w:hAnsi="宋体" w:eastAsia="宋体" w:cs="宋体"/>
                <w:b w:val="0"/>
                <w:bCs w:val="0"/>
                <w:color w:val="000000"/>
                <w:sz w:val="24"/>
                <w:szCs w:val="24"/>
                <w:lang w:val="en-US" w:eastAsia="zh-CN"/>
              </w:rPr>
              <w:t xml:space="preserve">2GB 独立显卡，支持全高显卡； </w:t>
            </w:r>
          </w:p>
          <w:p w14:paraId="49743F30">
            <w:pPr>
              <w:keepNext w:val="0"/>
              <w:keepLines w:val="0"/>
              <w:pageBreakBefore w:val="0"/>
              <w:widowControl/>
              <w:kinsoku/>
              <w:wordWrap/>
              <w:overflowPunct/>
              <w:topLinePunct w:val="0"/>
              <w:autoSpaceDE/>
              <w:autoSpaceDN/>
              <w:bidi w:val="0"/>
              <w:adjustRightInd/>
              <w:snapToGrid/>
              <w:ind w:firstLine="482"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sz w:val="24"/>
                <w:szCs w:val="24"/>
                <w:lang w:val="en-US" w:eastAsia="zh-CN"/>
              </w:rPr>
              <w:t>网卡：</w:t>
            </w:r>
            <w:r>
              <w:rPr>
                <w:rFonts w:hint="eastAsia" w:ascii="宋体" w:hAnsi="宋体" w:eastAsia="宋体" w:cs="宋体"/>
                <w:b w:val="0"/>
                <w:bCs w:val="0"/>
                <w:color w:val="000000"/>
                <w:sz w:val="24"/>
                <w:szCs w:val="24"/>
                <w:lang w:val="en-US" w:eastAsia="zh-CN"/>
              </w:rPr>
              <w:t xml:space="preserve">板载单口千兆网卡，1000/100M 自适应； </w:t>
            </w:r>
          </w:p>
          <w:p w14:paraId="22BCAD45">
            <w:pPr>
              <w:keepNext w:val="0"/>
              <w:keepLines w:val="0"/>
              <w:pageBreakBefore w:val="0"/>
              <w:widowControl/>
              <w:kinsoku/>
              <w:wordWrap/>
              <w:overflowPunct/>
              <w:topLinePunct w:val="0"/>
              <w:autoSpaceDE/>
              <w:autoSpaceDN/>
              <w:bidi w:val="0"/>
              <w:adjustRightInd/>
              <w:snapToGrid/>
              <w:ind w:firstLine="480"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val="0"/>
                <w:bCs w:val="0"/>
                <w:color w:val="000000"/>
                <w:sz w:val="24"/>
                <w:szCs w:val="24"/>
                <w:lang w:val="en-US" w:eastAsia="zh-CN"/>
              </w:rPr>
              <w:t>★</w:t>
            </w:r>
            <w:r>
              <w:rPr>
                <w:rFonts w:hint="eastAsia" w:ascii="宋体" w:hAnsi="宋体" w:eastAsia="宋体" w:cs="宋体"/>
                <w:b/>
                <w:bCs/>
                <w:color w:val="000000"/>
                <w:sz w:val="24"/>
                <w:szCs w:val="24"/>
                <w:lang w:val="en-US" w:eastAsia="zh-CN"/>
              </w:rPr>
              <w:t>接口：</w:t>
            </w:r>
            <w:r>
              <w:rPr>
                <w:rFonts w:hint="eastAsia" w:ascii="宋体" w:hAnsi="宋体" w:eastAsia="宋体" w:cs="宋体"/>
                <w:b w:val="0"/>
                <w:bCs w:val="0"/>
                <w:color w:val="000000"/>
                <w:sz w:val="24"/>
                <w:szCs w:val="24"/>
                <w:lang w:val="en-US" w:eastAsia="zh-CN"/>
              </w:rPr>
              <w:t xml:space="preserve">11 个 USB 接口，前置2 个 USB3.0，2 个 USB2.0，后置 7 个 USB3.0，1 个 HDMI，1 个 VGA，1 个串口，前后 2 组音频接口； </w:t>
            </w:r>
          </w:p>
          <w:p w14:paraId="1DD397F7">
            <w:pPr>
              <w:keepNext w:val="0"/>
              <w:keepLines w:val="0"/>
              <w:pageBreakBefore w:val="0"/>
              <w:widowControl/>
              <w:kinsoku/>
              <w:wordWrap/>
              <w:overflowPunct/>
              <w:topLinePunct w:val="0"/>
              <w:autoSpaceDE/>
              <w:autoSpaceDN/>
              <w:bidi w:val="0"/>
              <w:adjustRightInd/>
              <w:snapToGrid/>
              <w:ind w:firstLine="482"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sz w:val="24"/>
                <w:szCs w:val="24"/>
                <w:lang w:val="en-US" w:eastAsia="zh-CN"/>
              </w:rPr>
              <w:t>电源：</w:t>
            </w:r>
            <w:r>
              <w:rPr>
                <w:rFonts w:hint="eastAsia" w:ascii="宋体" w:hAnsi="宋体" w:eastAsia="宋体" w:cs="宋体"/>
                <w:b w:val="0"/>
                <w:bCs w:val="0"/>
                <w:color w:val="000000"/>
                <w:sz w:val="24"/>
                <w:szCs w:val="24"/>
                <w:lang w:val="en-US" w:eastAsia="zh-CN"/>
              </w:rPr>
              <w:t xml:space="preserve">200W 静音电源； </w:t>
            </w:r>
          </w:p>
          <w:p w14:paraId="28BE0458">
            <w:pPr>
              <w:keepNext w:val="0"/>
              <w:keepLines w:val="0"/>
              <w:pageBreakBefore w:val="0"/>
              <w:widowControl/>
              <w:kinsoku/>
              <w:wordWrap/>
              <w:overflowPunct/>
              <w:topLinePunct w:val="0"/>
              <w:autoSpaceDE/>
              <w:autoSpaceDN/>
              <w:bidi w:val="0"/>
              <w:adjustRightInd/>
              <w:snapToGrid/>
              <w:ind w:firstLine="482"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sz w:val="24"/>
                <w:szCs w:val="24"/>
                <w:lang w:val="en-US" w:eastAsia="zh-CN"/>
              </w:rPr>
              <w:t>键盘鼠标：</w:t>
            </w:r>
            <w:r>
              <w:rPr>
                <w:rFonts w:hint="eastAsia" w:ascii="宋体" w:hAnsi="宋体" w:eastAsia="宋体" w:cs="宋体"/>
                <w:b w:val="0"/>
                <w:bCs w:val="0"/>
                <w:color w:val="000000"/>
                <w:sz w:val="24"/>
                <w:szCs w:val="24"/>
                <w:lang w:val="en-US" w:eastAsia="zh-CN"/>
              </w:rPr>
              <w:t xml:space="preserve">USB 原厂键盘鼠标； </w:t>
            </w:r>
          </w:p>
          <w:p w14:paraId="06E1912C">
            <w:pPr>
              <w:keepNext w:val="0"/>
              <w:keepLines w:val="0"/>
              <w:pageBreakBefore w:val="0"/>
              <w:widowControl/>
              <w:kinsoku/>
              <w:wordWrap/>
              <w:overflowPunct/>
              <w:topLinePunct w:val="0"/>
              <w:autoSpaceDE/>
              <w:autoSpaceDN/>
              <w:bidi w:val="0"/>
              <w:adjustRightInd/>
              <w:snapToGrid/>
              <w:ind w:firstLine="482"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sz w:val="24"/>
                <w:szCs w:val="24"/>
                <w:lang w:val="en-US" w:eastAsia="zh-CN"/>
              </w:rPr>
              <w:t>显示器：</w:t>
            </w:r>
            <w:r>
              <w:rPr>
                <w:rFonts w:hint="eastAsia" w:ascii="宋体" w:hAnsi="宋体" w:eastAsia="宋体" w:cs="宋体"/>
                <w:b w:val="0"/>
                <w:bCs w:val="0"/>
                <w:color w:val="000000"/>
                <w:sz w:val="24"/>
                <w:szCs w:val="24"/>
                <w:lang w:val="en-US" w:eastAsia="zh-CN"/>
              </w:rPr>
              <w:t>配置一个与主机同品牌 23.8 英寸 IPS 液晶显示器，提供环境、节能、低蓝光认证证书，刷新率</w:t>
            </w:r>
            <w:r>
              <w:rPr>
                <w:rFonts w:hint="eastAsia" w:ascii="宋体" w:hAnsi="宋体" w:cs="宋体"/>
                <w:b w:val="0"/>
                <w:bCs w:val="0"/>
                <w:color w:val="000000"/>
                <w:sz w:val="24"/>
                <w:szCs w:val="24"/>
                <w:lang w:val="en-US" w:eastAsia="zh-CN"/>
              </w:rPr>
              <w:t>100</w:t>
            </w:r>
            <w:r>
              <w:rPr>
                <w:rFonts w:hint="eastAsia" w:ascii="宋体" w:hAnsi="宋体" w:eastAsia="宋体" w:cs="宋体"/>
                <w:b w:val="0"/>
                <w:bCs w:val="0"/>
                <w:color w:val="000000"/>
                <w:sz w:val="24"/>
                <w:szCs w:val="24"/>
                <w:lang w:val="en-US" w:eastAsia="zh-CN"/>
              </w:rPr>
              <w:t xml:space="preserve">Hz，亮度250nit； </w:t>
            </w:r>
          </w:p>
          <w:p w14:paraId="4B84FC14">
            <w:pPr>
              <w:keepNext w:val="0"/>
              <w:keepLines w:val="0"/>
              <w:pageBreakBefore w:val="0"/>
              <w:widowControl/>
              <w:kinsoku/>
              <w:wordWrap/>
              <w:overflowPunct/>
              <w:topLinePunct w:val="0"/>
              <w:autoSpaceDE/>
              <w:autoSpaceDN/>
              <w:bidi w:val="0"/>
              <w:adjustRightInd/>
              <w:snapToGrid/>
              <w:ind w:firstLine="482"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sz w:val="24"/>
                <w:szCs w:val="24"/>
                <w:lang w:val="en-US" w:eastAsia="zh-CN"/>
              </w:rPr>
              <w:t>操作系统：</w:t>
            </w:r>
            <w:r>
              <w:rPr>
                <w:rFonts w:hint="eastAsia" w:ascii="宋体" w:hAnsi="宋体" w:eastAsia="宋体" w:cs="宋体"/>
                <w:b w:val="0"/>
                <w:bCs w:val="0"/>
                <w:color w:val="000000"/>
                <w:sz w:val="24"/>
                <w:szCs w:val="24"/>
                <w:lang w:val="en-US" w:eastAsia="zh-CN"/>
              </w:rPr>
              <w:t xml:space="preserve">支持银河麒麟、UOS、方德等国产桌面操作系统； </w:t>
            </w:r>
          </w:p>
          <w:p w14:paraId="7656715D">
            <w:pPr>
              <w:keepNext w:val="0"/>
              <w:keepLines w:val="0"/>
              <w:pageBreakBefore w:val="0"/>
              <w:widowControl/>
              <w:kinsoku/>
              <w:wordWrap/>
              <w:overflowPunct/>
              <w:topLinePunct w:val="0"/>
              <w:autoSpaceDE/>
              <w:autoSpaceDN/>
              <w:bidi w:val="0"/>
              <w:adjustRightInd/>
              <w:snapToGrid/>
              <w:ind w:firstLine="482"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sz w:val="24"/>
                <w:szCs w:val="24"/>
                <w:lang w:val="en-US" w:eastAsia="zh-CN"/>
              </w:rPr>
              <w:t>静音设计：</w:t>
            </w:r>
            <w:r>
              <w:rPr>
                <w:rFonts w:hint="eastAsia" w:ascii="宋体" w:hAnsi="宋体" w:eastAsia="宋体" w:cs="宋体"/>
                <w:b w:val="0"/>
                <w:bCs w:val="0"/>
                <w:color w:val="000000"/>
                <w:sz w:val="24"/>
                <w:szCs w:val="24"/>
                <w:lang w:val="en-US" w:eastAsia="zh-CN"/>
              </w:rPr>
              <w:t xml:space="preserve">所投产品型号符合低噪音设计，有良好的静音效果，供货时提供第三方测评机构出具的测试报告复印件并加盖生产厂家公章，整机空闲状态声压级22.40dB(A)，空闲状态声功率级3.17Bel(A)，供货时提供证书复印件加盖生产厂家公章； </w:t>
            </w:r>
          </w:p>
          <w:p w14:paraId="751688DF">
            <w:pPr>
              <w:keepNext w:val="0"/>
              <w:keepLines w:val="0"/>
              <w:pageBreakBefore w:val="0"/>
              <w:widowControl/>
              <w:kinsoku/>
              <w:wordWrap/>
              <w:overflowPunct/>
              <w:topLinePunct w:val="0"/>
              <w:autoSpaceDE/>
              <w:autoSpaceDN/>
              <w:bidi w:val="0"/>
              <w:adjustRightInd/>
              <w:snapToGrid/>
              <w:ind w:firstLine="482"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sz w:val="24"/>
                <w:szCs w:val="24"/>
                <w:lang w:val="en-US" w:eastAsia="zh-CN"/>
              </w:rPr>
              <w:t>BIOS：</w:t>
            </w:r>
            <w:r>
              <w:rPr>
                <w:rFonts w:hint="eastAsia" w:ascii="宋体" w:hAnsi="宋体" w:eastAsia="宋体" w:cs="宋体"/>
                <w:b w:val="0"/>
                <w:bCs w:val="0"/>
                <w:color w:val="000000"/>
                <w:sz w:val="24"/>
                <w:szCs w:val="24"/>
                <w:lang w:val="en-US" w:eastAsia="zh-CN"/>
              </w:rPr>
              <w:t xml:space="preserve">为保证用户系统和数据安全，所投产品型号预装同品牌一键备份还原软件，系统崩溃后仍能恢复操作系统，支持热键启动、Grub 引导启动等启动方式。支持出厂备份还原、全盘备份还原和分区备份还原等功能。供货时提供软件著作权证书复印件、使用手册等证明材料。 </w:t>
            </w:r>
          </w:p>
          <w:p w14:paraId="2684DD38">
            <w:pPr>
              <w:keepNext w:val="0"/>
              <w:keepLines w:val="0"/>
              <w:pageBreakBefore w:val="0"/>
              <w:widowControl/>
              <w:kinsoku/>
              <w:wordWrap/>
              <w:overflowPunct/>
              <w:topLinePunct w:val="0"/>
              <w:autoSpaceDE/>
              <w:autoSpaceDN/>
              <w:bidi w:val="0"/>
              <w:adjustRightInd/>
              <w:snapToGrid/>
              <w:ind w:firstLine="482"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sz w:val="24"/>
                <w:szCs w:val="24"/>
                <w:lang w:val="en-US" w:eastAsia="zh-CN"/>
              </w:rPr>
              <w:t>管理软件：</w:t>
            </w:r>
            <w:r>
              <w:rPr>
                <w:rFonts w:hint="eastAsia" w:ascii="宋体" w:hAnsi="宋体" w:eastAsia="宋体" w:cs="宋体"/>
                <w:b w:val="0"/>
                <w:bCs w:val="0"/>
                <w:color w:val="000000"/>
                <w:sz w:val="24"/>
                <w:szCs w:val="24"/>
                <w:lang w:val="en-US" w:eastAsia="zh-CN"/>
              </w:rPr>
              <w:t xml:space="preserve">电脑管家支持本地备份和远程备份，两种备份方式均支持每周、每月、每三个月多种备份设置，远程备份支持设定远程服务器 IP 地址，支持软件内直接连通同品牌一键还原软件。 </w:t>
            </w:r>
          </w:p>
          <w:p w14:paraId="1236CB1B">
            <w:pPr>
              <w:keepNext w:val="0"/>
              <w:keepLines w:val="0"/>
              <w:pageBreakBefore w:val="0"/>
              <w:widowControl/>
              <w:kinsoku/>
              <w:wordWrap/>
              <w:overflowPunct/>
              <w:topLinePunct w:val="0"/>
              <w:autoSpaceDE/>
              <w:autoSpaceDN/>
              <w:bidi w:val="0"/>
              <w:adjustRightInd/>
              <w:snapToGrid/>
              <w:ind w:firstLine="482" w:firstLineChars="200"/>
              <w:jc w:val="both"/>
              <w:textAlignment w:val="center"/>
              <w:rPr>
                <w:rFonts w:hint="eastAsia" w:ascii="宋体" w:hAnsi="宋体" w:eastAsia="宋体" w:cs="宋体"/>
                <w:b w:val="0"/>
                <w:bCs w:val="0"/>
                <w:color w:val="000000"/>
                <w:sz w:val="24"/>
                <w:szCs w:val="24"/>
                <w:lang w:val="en-US" w:eastAsia="zh-CN"/>
              </w:rPr>
            </w:pPr>
            <w:r>
              <w:rPr>
                <w:rFonts w:hint="eastAsia" w:ascii="宋体" w:hAnsi="宋体" w:eastAsia="宋体" w:cs="宋体"/>
                <w:b/>
                <w:bCs/>
                <w:color w:val="000000"/>
                <w:sz w:val="24"/>
                <w:szCs w:val="24"/>
                <w:lang w:val="en-US" w:eastAsia="zh-CN"/>
              </w:rPr>
              <w:t>服务：</w:t>
            </w:r>
            <w:r>
              <w:rPr>
                <w:rFonts w:hint="eastAsia" w:ascii="宋体" w:hAnsi="宋体" w:cs="宋体"/>
                <w:b w:val="0"/>
                <w:bCs w:val="0"/>
                <w:color w:val="000000"/>
                <w:sz w:val="24"/>
                <w:szCs w:val="24"/>
                <w:lang w:val="en-US" w:eastAsia="zh-CN"/>
              </w:rPr>
              <w:t>4</w:t>
            </w:r>
            <w:r>
              <w:rPr>
                <w:rFonts w:hint="eastAsia" w:ascii="宋体" w:hAnsi="宋体" w:eastAsia="宋体" w:cs="宋体"/>
                <w:b w:val="0"/>
                <w:bCs w:val="0"/>
                <w:color w:val="000000"/>
                <w:sz w:val="24"/>
                <w:szCs w:val="24"/>
                <w:lang w:val="en-US" w:eastAsia="zh-CN"/>
              </w:rPr>
              <w:t>年整机质保，</w:t>
            </w:r>
            <w:r>
              <w:rPr>
                <w:rFonts w:hint="eastAsia" w:ascii="宋体" w:hAnsi="宋体" w:cs="宋体"/>
                <w:b w:val="0"/>
                <w:bCs w:val="0"/>
                <w:color w:val="000000"/>
                <w:sz w:val="24"/>
                <w:szCs w:val="24"/>
                <w:lang w:val="en-US" w:eastAsia="zh-CN"/>
              </w:rPr>
              <w:t>4</w:t>
            </w:r>
            <w:r>
              <w:rPr>
                <w:rFonts w:hint="eastAsia" w:ascii="宋体" w:hAnsi="宋体" w:eastAsia="宋体" w:cs="宋体"/>
                <w:b w:val="0"/>
                <w:bCs w:val="0"/>
                <w:color w:val="000000"/>
                <w:sz w:val="24"/>
                <w:szCs w:val="24"/>
                <w:lang w:val="en-US" w:eastAsia="zh-CN"/>
              </w:rPr>
              <w:t>年免费上门服务；</w:t>
            </w:r>
          </w:p>
        </w:tc>
        <w:tc>
          <w:tcPr>
            <w:tcW w:w="284" w:type="pct"/>
            <w:noWrap w:val="0"/>
            <w:vAlign w:val="center"/>
          </w:tcPr>
          <w:p w14:paraId="6C8E9BA6">
            <w:pPr>
              <w:widowControl/>
              <w:jc w:val="center"/>
              <w:textAlignment w:val="center"/>
              <w:rPr>
                <w:rFonts w:hint="eastAsia" w:ascii="宋体" w:hAnsi="宋体" w:eastAsia="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套</w:t>
            </w:r>
          </w:p>
        </w:tc>
        <w:tc>
          <w:tcPr>
            <w:tcW w:w="254" w:type="pct"/>
            <w:noWrap w:val="0"/>
            <w:vAlign w:val="center"/>
          </w:tcPr>
          <w:p w14:paraId="78E3FC21">
            <w:pPr>
              <w:widowControl/>
              <w:jc w:val="center"/>
              <w:textAlignment w:val="center"/>
              <w:rPr>
                <w:rFonts w:hint="default" w:ascii="宋体" w:hAnsi="宋体" w:eastAsia="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70</w:t>
            </w:r>
          </w:p>
        </w:tc>
        <w:tc>
          <w:tcPr>
            <w:tcW w:w="307" w:type="pct"/>
            <w:noWrap w:val="0"/>
            <w:vAlign w:val="center"/>
          </w:tcPr>
          <w:p w14:paraId="4A90A4ED">
            <w:pPr>
              <w:jc w:val="center"/>
              <w:rPr>
                <w:rFonts w:hint="default" w:ascii="宋体" w:hAnsi="宋体" w:eastAsia="宋体" w:cs="宋体"/>
                <w:b w:val="0"/>
                <w:bCs w:val="0"/>
                <w:sz w:val="24"/>
                <w:szCs w:val="24"/>
                <w:lang w:val="en-US" w:eastAsia="zh-CN"/>
              </w:rPr>
            </w:pPr>
            <w:r>
              <w:rPr>
                <w:rFonts w:hint="eastAsia" w:ascii="宋体" w:hAnsi="宋体" w:cs="宋体"/>
                <w:b w:val="0"/>
                <w:bCs w:val="0"/>
                <w:sz w:val="24"/>
                <w:szCs w:val="24"/>
                <w:lang w:val="en-US" w:eastAsia="zh-CN"/>
              </w:rPr>
              <w:t>4930</w:t>
            </w:r>
          </w:p>
        </w:tc>
        <w:tc>
          <w:tcPr>
            <w:tcW w:w="380" w:type="pct"/>
            <w:noWrap w:val="0"/>
            <w:vAlign w:val="center"/>
          </w:tcPr>
          <w:p w14:paraId="032BD4ED">
            <w:pPr>
              <w:jc w:val="center"/>
              <w:rPr>
                <w:rFonts w:hint="default" w:ascii="宋体" w:hAnsi="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345100</w:t>
            </w:r>
          </w:p>
        </w:tc>
        <w:tc>
          <w:tcPr>
            <w:tcW w:w="324" w:type="pct"/>
            <w:noWrap w:val="0"/>
            <w:vAlign w:val="center"/>
          </w:tcPr>
          <w:p w14:paraId="21367F46">
            <w:pPr>
              <w:widowControl/>
              <w:jc w:val="center"/>
              <w:textAlignment w:val="center"/>
              <w:rPr>
                <w:rFonts w:hint="eastAsia" w:ascii="宋体" w:hAnsi="宋体" w:eastAsia="宋体" w:cs="宋体"/>
                <w:b w:val="0"/>
                <w:bCs w:val="0"/>
                <w:color w:val="000000"/>
                <w:kern w:val="0"/>
                <w:sz w:val="24"/>
                <w:szCs w:val="24"/>
                <w:lang w:bidi="ar"/>
              </w:rPr>
            </w:pPr>
            <w:r>
              <w:rPr>
                <w:rFonts w:hint="eastAsia" w:ascii="宋体" w:hAnsi="宋体" w:eastAsia="宋体" w:cs="宋体"/>
                <w:b w:val="0"/>
                <w:bCs w:val="0"/>
                <w:color w:val="000000"/>
                <w:kern w:val="0"/>
                <w:sz w:val="24"/>
                <w:szCs w:val="24"/>
                <w:lang w:bidi="ar"/>
              </w:rPr>
              <w:t>符合具备招标文件要求的质量标准和检测报告等。</w:t>
            </w:r>
          </w:p>
        </w:tc>
      </w:tr>
      <w:tr w14:paraId="1BF73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pct"/>
            <w:gridSpan w:val="2"/>
            <w:noWrap w:val="0"/>
            <w:vAlign w:val="center"/>
          </w:tcPr>
          <w:p w14:paraId="128288A0">
            <w:pPr>
              <w:widowControl/>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其他费用</w:t>
            </w:r>
          </w:p>
        </w:tc>
        <w:tc>
          <w:tcPr>
            <w:tcW w:w="4306" w:type="pct"/>
            <w:gridSpan w:val="7"/>
            <w:noWrap w:val="0"/>
            <w:vAlign w:val="center"/>
          </w:tcPr>
          <w:p w14:paraId="0A484F72">
            <w:pPr>
              <w:widowControl/>
              <w:jc w:val="both"/>
              <w:textAlignment w:val="center"/>
              <w:rPr>
                <w:rFonts w:hint="eastAsia" w:ascii="宋体" w:hAnsi="宋体" w:eastAsia="宋体" w:cs="宋体"/>
                <w:b/>
                <w:bCs/>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无</w:t>
            </w:r>
          </w:p>
        </w:tc>
      </w:tr>
      <w:tr w14:paraId="3C7A7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pct"/>
            <w:gridSpan w:val="2"/>
            <w:vMerge w:val="restart"/>
            <w:noWrap w:val="0"/>
            <w:vAlign w:val="center"/>
          </w:tcPr>
          <w:p w14:paraId="2D3FDE45">
            <w:pPr>
              <w:widowControl/>
              <w:jc w:val="center"/>
              <w:textAlignment w:val="center"/>
              <w:rPr>
                <w:rFonts w:hint="eastAsia" w:ascii="宋体" w:hAnsi="宋体" w:eastAsia="宋体" w:cs="宋体"/>
                <w:b/>
                <w:bCs/>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合计（元）</w:t>
            </w:r>
          </w:p>
        </w:tc>
        <w:tc>
          <w:tcPr>
            <w:tcW w:w="4306" w:type="pct"/>
            <w:gridSpan w:val="7"/>
            <w:noWrap w:val="0"/>
            <w:vAlign w:val="center"/>
          </w:tcPr>
          <w:p w14:paraId="4012DF55">
            <w:pPr>
              <w:widowControl/>
              <w:jc w:val="both"/>
              <w:textAlignment w:val="center"/>
              <w:rPr>
                <w:rFonts w:hint="default" w:ascii="宋体" w:hAnsi="宋体" w:eastAsia="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小写：345100元</w:t>
            </w:r>
          </w:p>
        </w:tc>
      </w:tr>
      <w:tr w14:paraId="1FF7F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3" w:type="pct"/>
            <w:gridSpan w:val="2"/>
            <w:vMerge w:val="continue"/>
            <w:noWrap w:val="0"/>
            <w:vAlign w:val="center"/>
          </w:tcPr>
          <w:p w14:paraId="68E5363D">
            <w:pPr>
              <w:widowControl/>
              <w:jc w:val="center"/>
              <w:textAlignment w:val="center"/>
              <w:rPr>
                <w:rFonts w:hint="eastAsia" w:ascii="宋体" w:hAnsi="宋体" w:eastAsia="宋体" w:cs="宋体"/>
                <w:b/>
                <w:bCs/>
                <w:color w:val="000000"/>
                <w:kern w:val="0"/>
                <w:sz w:val="24"/>
                <w:szCs w:val="24"/>
                <w:lang w:val="en-US" w:eastAsia="zh-CN" w:bidi="ar"/>
              </w:rPr>
            </w:pPr>
          </w:p>
        </w:tc>
        <w:tc>
          <w:tcPr>
            <w:tcW w:w="4306" w:type="pct"/>
            <w:gridSpan w:val="7"/>
            <w:noWrap w:val="0"/>
            <w:vAlign w:val="center"/>
          </w:tcPr>
          <w:p w14:paraId="220AEEF0">
            <w:pPr>
              <w:widowControl/>
              <w:jc w:val="both"/>
              <w:textAlignment w:val="center"/>
              <w:rPr>
                <w:rFonts w:hint="eastAsia" w:ascii="宋体" w:hAnsi="宋体" w:eastAsia="宋体" w:cs="宋体"/>
                <w:b w:val="0"/>
                <w:bCs w:val="0"/>
                <w:color w:val="000000"/>
                <w:kern w:val="0"/>
                <w:sz w:val="24"/>
                <w:szCs w:val="24"/>
                <w:lang w:val="en-US" w:eastAsia="zh-CN" w:bidi="ar"/>
              </w:rPr>
            </w:pPr>
            <w:r>
              <w:rPr>
                <w:rFonts w:hint="eastAsia" w:ascii="宋体" w:hAnsi="宋体" w:cs="宋体"/>
                <w:b w:val="0"/>
                <w:bCs w:val="0"/>
                <w:color w:val="000000"/>
                <w:kern w:val="0"/>
                <w:sz w:val="24"/>
                <w:szCs w:val="24"/>
                <w:lang w:val="en-US" w:eastAsia="zh-CN" w:bidi="ar"/>
              </w:rPr>
              <w:t>大写：</w:t>
            </w:r>
            <w:r>
              <w:rPr>
                <w:rFonts w:hint="eastAsia" w:ascii="宋体" w:hAnsi="宋体" w:cs="宋体"/>
                <w:b w:val="0"/>
                <w:bCs w:val="0"/>
                <w:color w:val="000000"/>
                <w:kern w:val="0"/>
                <w:sz w:val="24"/>
                <w:szCs w:val="24"/>
                <w:lang w:val="en-US" w:eastAsia="zh-CN" w:bidi="ar"/>
              </w:rPr>
              <w:fldChar w:fldCharType="begin"/>
            </w:r>
            <w:r>
              <w:rPr>
                <w:rFonts w:hint="eastAsia" w:ascii="宋体" w:hAnsi="宋体" w:cs="宋体"/>
                <w:b w:val="0"/>
                <w:bCs w:val="0"/>
                <w:color w:val="000000"/>
                <w:kern w:val="0"/>
                <w:sz w:val="24"/>
                <w:szCs w:val="24"/>
                <w:lang w:val="en-US" w:eastAsia="zh-CN" w:bidi="ar"/>
              </w:rPr>
              <w:instrText xml:space="preserve"> = 345100 \* CHINESENUM4 \* MERGEFORMAT </w:instrText>
            </w:r>
            <w:r>
              <w:rPr>
                <w:rFonts w:hint="eastAsia" w:ascii="宋体" w:hAnsi="宋体" w:cs="宋体"/>
                <w:b w:val="0"/>
                <w:bCs w:val="0"/>
                <w:color w:val="000000"/>
                <w:kern w:val="0"/>
                <w:sz w:val="24"/>
                <w:szCs w:val="24"/>
                <w:lang w:val="en-US" w:eastAsia="zh-CN" w:bidi="ar"/>
              </w:rPr>
              <w:fldChar w:fldCharType="separate"/>
            </w:r>
            <w:r>
              <w:rPr>
                <w:rFonts w:hint="eastAsia" w:ascii="宋体" w:hAnsi="宋体" w:cs="宋体"/>
                <w:b w:val="0"/>
                <w:bCs w:val="0"/>
                <w:color w:val="000000"/>
                <w:kern w:val="0"/>
                <w:sz w:val="24"/>
                <w:szCs w:val="24"/>
                <w:lang w:val="en-US" w:eastAsia="zh-CN" w:bidi="ar"/>
              </w:rPr>
              <w:t>叁拾肆万伍仟壹佰元整</w:t>
            </w:r>
            <w:r>
              <w:rPr>
                <w:rFonts w:hint="eastAsia" w:ascii="宋体" w:hAnsi="宋体" w:cs="宋体"/>
                <w:b w:val="0"/>
                <w:bCs w:val="0"/>
                <w:color w:val="000000"/>
                <w:kern w:val="0"/>
                <w:sz w:val="24"/>
                <w:szCs w:val="24"/>
                <w:lang w:val="en-US" w:eastAsia="zh-CN" w:bidi="ar"/>
              </w:rPr>
              <w:fldChar w:fldCharType="end"/>
            </w:r>
          </w:p>
        </w:tc>
      </w:tr>
    </w:tbl>
    <w:p w14:paraId="579F8D38">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DE"/>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F91934"/>
    <w:rsid w:val="01B51431"/>
    <w:rsid w:val="023260AB"/>
    <w:rsid w:val="04234DDC"/>
    <w:rsid w:val="04996E8F"/>
    <w:rsid w:val="07532427"/>
    <w:rsid w:val="08461A52"/>
    <w:rsid w:val="0C045534"/>
    <w:rsid w:val="0F4E7702"/>
    <w:rsid w:val="0F5A325B"/>
    <w:rsid w:val="1084489C"/>
    <w:rsid w:val="109807CB"/>
    <w:rsid w:val="14015A96"/>
    <w:rsid w:val="176F021A"/>
    <w:rsid w:val="19192A1C"/>
    <w:rsid w:val="1A502B09"/>
    <w:rsid w:val="1CFF7842"/>
    <w:rsid w:val="1EDD0274"/>
    <w:rsid w:val="1FEE39F0"/>
    <w:rsid w:val="21F839FA"/>
    <w:rsid w:val="239F701E"/>
    <w:rsid w:val="24C47F75"/>
    <w:rsid w:val="25D25457"/>
    <w:rsid w:val="264446EC"/>
    <w:rsid w:val="27007E05"/>
    <w:rsid w:val="287D420C"/>
    <w:rsid w:val="2B7550A4"/>
    <w:rsid w:val="2CE2489D"/>
    <w:rsid w:val="2DC568B0"/>
    <w:rsid w:val="2E03160D"/>
    <w:rsid w:val="2EE403A6"/>
    <w:rsid w:val="30D372EE"/>
    <w:rsid w:val="334C3CFB"/>
    <w:rsid w:val="3B454972"/>
    <w:rsid w:val="40FE7747"/>
    <w:rsid w:val="41B40CBA"/>
    <w:rsid w:val="44736EDE"/>
    <w:rsid w:val="475D686F"/>
    <w:rsid w:val="4AF91934"/>
    <w:rsid w:val="4C231EFA"/>
    <w:rsid w:val="4D6345F9"/>
    <w:rsid w:val="4FA44283"/>
    <w:rsid w:val="51D50767"/>
    <w:rsid w:val="5648491D"/>
    <w:rsid w:val="585744B7"/>
    <w:rsid w:val="5D763E09"/>
    <w:rsid w:val="5DCA3829"/>
    <w:rsid w:val="5E8601B0"/>
    <w:rsid w:val="624C5B2B"/>
    <w:rsid w:val="62FD1869"/>
    <w:rsid w:val="63E67152"/>
    <w:rsid w:val="6487392C"/>
    <w:rsid w:val="663D3633"/>
    <w:rsid w:val="686748DC"/>
    <w:rsid w:val="68CF47D7"/>
    <w:rsid w:val="6B75048F"/>
    <w:rsid w:val="6C815B57"/>
    <w:rsid w:val="6D210BC3"/>
    <w:rsid w:val="6FBA7528"/>
    <w:rsid w:val="72346A89"/>
    <w:rsid w:val="75D05D5F"/>
    <w:rsid w:val="76BA2369"/>
    <w:rsid w:val="7780693E"/>
    <w:rsid w:val="794817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Normal Indent1"/>
    <w:basedOn w:val="1"/>
    <w:qFormat/>
    <w:uiPriority w:val="0"/>
    <w:pPr>
      <w:ind w:firstLine="420" w:firstLineChars="200"/>
    </w:pPr>
  </w:style>
  <w:style w:type="paragraph" w:styleId="3">
    <w:name w:val="Plain Text"/>
    <w:basedOn w:val="1"/>
    <w:unhideWhenUsed/>
    <w:qFormat/>
    <w:uiPriority w:val="0"/>
    <w:rPr>
      <w:rFonts w:ascii="宋体" w:hAnsi="Courier New"/>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2026-08-07T07:37:00Z</dcterms:created>
  <dc:creator>杨婷</dc:creator>
  <cp:lastModifiedBy>杨婷</cp:lastModifiedBy>
  <dcterms:modified xsi:type="dcterms:W3CDTF">2026-08-07T07:39:03Z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2FB10C8562824EA5A1AAA15D5FBEB3B2_11</vt:lpwstr>
  </property>
  <property fmtid="{D5CDD505-2E9C-101B-9397-08002B2CF9AE}" pid="4" name="KSOTemplateDocerSaveRecord">
    <vt:lpwstr>eyJoZGlkIjoiMWMwMWUxYTU1NzkyNDZlODVlMTU2NTI2ZWFhODBiZjgiLCJ1c2VySWQiOiI2MTk0MDc3NzIifQ==</vt:lpwstr>
  </property>
</Properties>
</file>