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版本号：N511133202600009820260727001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标准化考场学生计算机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N5111332026000098</w:t>
      </w:r>
    </w:p>
    <w:p>
      <w:pPr>
        <w:pStyle w:val="null3"/>
        <w:jc w:val="left"/>
        <w:outlineLvl w:val="2"/>
      </w:pPr>
      <w:r>
        <w:rPr>
          <w:rFonts w:ascii="仿宋_GB2312" w:hAnsi="仿宋_GB2312" w:cs="仿宋_GB2312" w:eastAsia="仿宋_GB2312"/>
          <w:sz w:val="28"/>
          <w:b/>
        </w:rPr>
        <w:t>马边彝族自治县教育局</w:t>
      </w:r>
    </w:p>
    <w:p>
      <w:pPr>
        <w:pStyle w:val="null3"/>
        <w:jc w:val="center"/>
        <w:outlineLvl w:val="2"/>
      </w:pPr>
      <w:r>
        <w:rPr>
          <w:rFonts w:ascii="仿宋_GB2312" w:hAnsi="仿宋_GB2312" w:cs="仿宋_GB2312" w:eastAsia="仿宋_GB2312"/>
          <w:sz w:val="28"/>
          <w:b/>
        </w:rPr>
        <w:t>马边彝族自治县公共资源交易服务中心（马边彝族自治县政府采购中心）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马边彝族自治县公共资源交易服务中心（马边彝族自治县政府采购中心）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马边彝族自治县教育局</w:t>
      </w:r>
      <w:r>
        <w:rPr>
          <w:rFonts w:ascii="仿宋_GB2312" w:hAnsi="仿宋_GB2312" w:cs="仿宋_GB2312" w:eastAsia="仿宋_GB2312"/>
        </w:rPr>
        <w:t xml:space="preserve"> 委托，拟对 </w:t>
      </w:r>
      <w:r>
        <w:rPr>
          <w:rFonts w:ascii="仿宋_GB2312" w:hAnsi="仿宋_GB2312" w:cs="仿宋_GB2312" w:eastAsia="仿宋_GB2312"/>
        </w:rPr>
        <w:t>标准化考场学生计算机</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乐山市马边彝族自治县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N5111332026000098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标准化考场学生计算机</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标准考场学生计算机一批，共1包。本项目中：1.标注“▲”号的参数，投标人须提供相应的证明材料，包括制造厂家公开的产品彩页资料或产品使用说明书或产品功能截图或产品技术白皮书或经由检测机构出具的检测报告证明报价产品符合采购文件要求的证明材料，无有效证明材料或证明材料佐证不全的作为符合性审查不通过处理；参数中有明确的证明材料要求的以具体参数中的要求为准。2.本项目产品所涉及的国家标准或行业标准如有更新，按最新标准执行；本项目产品的技术参数凡未标注年代号的国家或行业标准，均以现行有效的标准执行；3.技术参数清单中产品的技术参数描述如与特定品牌或者型号相匹配，仅作为技术参考，投标人可理解为不低于或优于，不代表特定产品。4.本项目技术参数清单中采购标的名称，因采购人不能穷尽详列或通俗认知等原因，可能投标人提供的产品所对应的证书、证明材料对产品命名存在差别，在满足技术参数要求前提下，本项目予以认可。</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马边彝族自治县教育局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马边彝族自治县民建镇金叶路127号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13330919188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马边彝族自治县公共资源交易服务中心（马边彝族自治县政府采购中心）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四川省乐山市马边彝族自治县红旗大道19号11幢2楼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叶老师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0833-4511305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采购包1：1,020,000.00元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60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马边彝族自治县教育局</w:t>
      </w:r>
      <w:r>
        <w:rPr>
          <w:rFonts w:ascii="仿宋_GB2312" w:hAnsi="仿宋_GB2312" w:cs="仿宋_GB2312" w:eastAsia="仿宋_GB2312"/>
        </w:rPr>
        <w:t xml:space="preserve"> 和 </w:t>
      </w:r>
      <w:r>
        <w:rPr>
          <w:rFonts w:ascii="仿宋_GB2312" w:hAnsi="仿宋_GB2312" w:cs="仿宋_GB2312" w:eastAsia="仿宋_GB2312"/>
        </w:rPr>
        <w:t>马边彝族自治县公共资源交易服务中心（马边彝族自治县政府采购中心）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马边彝族自治县教育局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马边彝族自治县公共资源交易服务中心（马边彝族自治县政府采购中心）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货物供货安装调试完毕 </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按照采购文件要求、供应商响应文件的响应内容以及合同约定的具体事项执行。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按照采购文件要求、供应商响应文件的响应内容以及合同约定的具体事项执行。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按照采购文件要求、供应商响应文件的响应内容以及合同约定的具体事项执行。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按照政府采购相关法律法规、《财政部关于进一步加强政府采购需求和履约验收管理的指导意见》（财库〔2016〕205号）以及《政府采购需求管理办法》（财库〔2021〕22号）的要求进行验收。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按照采购文件要求、供应商响应文件的响应内容以及合同约定的具体事项执行。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马边彝族自治县教育局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马边彝族自治县公共资源交易服务中心（马边彝族自治县政府采购中心）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马边彝族自治县公共资源交易服务中心（马边彝族自治县政府采购中心）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联系电话：13330919188</w:t>
      </w:r>
    </w:p>
    <w:p>
      <w:pPr>
        <w:pStyle w:val="null3"/>
        <w:jc w:val="left"/>
      </w:pPr>
      <w:r>
        <w:rPr>
          <w:rFonts w:ascii="仿宋_GB2312" w:hAnsi="仿宋_GB2312" w:cs="仿宋_GB2312" w:eastAsia="仿宋_GB2312"/>
        </w:rPr>
        <w:t>地址：马边彝族自治县民建镇金叶路127号</w:t>
      </w:r>
    </w:p>
    <w:p>
      <w:pPr>
        <w:pStyle w:val="null3"/>
        <w:jc w:val="left"/>
      </w:pPr>
      <w:r>
        <w:rPr>
          <w:rFonts w:ascii="仿宋_GB2312" w:hAnsi="仿宋_GB2312" w:cs="仿宋_GB2312" w:eastAsia="仿宋_GB2312"/>
        </w:rPr>
        <w:t>邮编：614600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联系电话：0833-4526762</w:t>
      </w:r>
    </w:p>
    <w:p>
      <w:pPr>
        <w:pStyle w:val="null3"/>
        <w:jc w:val="left"/>
      </w:pPr>
      <w:r>
        <w:rPr>
          <w:rFonts w:ascii="仿宋_GB2312" w:hAnsi="仿宋_GB2312" w:cs="仿宋_GB2312" w:eastAsia="仿宋_GB2312"/>
        </w:rPr>
        <w:t>地址：四川省乐山市马边彝族自治县红旗大道19号11幢2楼</w:t>
      </w:r>
    </w:p>
    <w:p>
      <w:pPr>
        <w:pStyle w:val="null3"/>
        <w:jc w:val="left"/>
      </w:pPr>
      <w:r>
        <w:rPr>
          <w:rFonts w:ascii="仿宋_GB2312" w:hAnsi="仿宋_GB2312" w:cs="仿宋_GB2312" w:eastAsia="仿宋_GB2312"/>
        </w:rPr>
        <w:t>邮编：614600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1,020,000.00</w:t>
      </w:r>
    </w:p>
    <w:p>
      <w:pPr>
        <w:pStyle w:val="null3"/>
        <w:jc w:val="left"/>
      </w:pPr>
      <w:r>
        <w:rPr>
          <w:rFonts w:ascii="仿宋_GB2312" w:hAnsi="仿宋_GB2312" w:cs="仿宋_GB2312" w:eastAsia="仿宋_GB2312"/>
        </w:rPr>
        <w:t>采购包最高限价（元）: 1,020,000.00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学生计算机等</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1,020,000.00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学生计算机等</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1,020,000.00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学生计算机等</w:t>
            </w:r>
          </w:p>
        </w:tc>
        <w:tc>
          <w:tcPr>
            <w:tcW w:type="dxa" w:w="2492"/>
          </w:tcPr>
          <w:p>
            <w:pPr>
              <w:pStyle w:val="null3"/>
              <w:jc w:val="left"/>
            </w:pPr>
            <w:r>
              <w:rPr>
                <w:rFonts w:ascii="仿宋_GB2312" w:hAnsi="仿宋_GB2312" w:cs="仿宋_GB2312" w:eastAsia="仿宋_GB2312"/>
              </w:rPr>
              <w:t>学生计算机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学生计算机等</w:t>
            </w:r>
          </w:p>
        </w:tc>
        <w:tc>
          <w:tcPr>
            <w:tcW w:type="dxa" w:w="2492"/>
          </w:tcPr>
          <w:p>
            <w:pPr>
              <w:pStyle w:val="null3"/>
              <w:jc w:val="left"/>
            </w:pPr>
            <w:r>
              <w:rPr>
                <w:rFonts w:ascii="仿宋_GB2312" w:hAnsi="仿宋_GB2312" w:cs="仿宋_GB2312" w:eastAsia="仿宋_GB2312"/>
              </w:rPr>
              <w:t>教师计算机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学生计算机等</w:t>
            </w:r>
          </w:p>
        </w:tc>
        <w:tc>
          <w:tcPr>
            <w:tcW w:type="dxa" w:w="2492"/>
          </w:tcPr>
          <w:p>
            <w:pPr>
              <w:pStyle w:val="null3"/>
              <w:jc w:val="left"/>
            </w:pPr>
            <w:r>
              <w:rPr>
                <w:rFonts w:ascii="仿宋_GB2312" w:hAnsi="仿宋_GB2312" w:cs="仿宋_GB2312" w:eastAsia="仿宋_GB2312"/>
              </w:rPr>
              <w:t>学生计算机</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学生计算机等</w:t>
            </w:r>
          </w:p>
        </w:tc>
        <w:tc>
          <w:tcPr>
            <w:tcW w:type="dxa" w:w="2492"/>
          </w:tcPr>
          <w:p>
            <w:pPr>
              <w:pStyle w:val="null3"/>
              <w:jc w:val="left"/>
            </w:pPr>
            <w:r>
              <w:rPr>
                <w:rFonts w:ascii="仿宋_GB2312" w:hAnsi="仿宋_GB2312" w:cs="仿宋_GB2312" w:eastAsia="仿宋_GB2312"/>
              </w:rPr>
              <w:t>云桌面管理端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学生计算机等</w:t>
            </w:r>
          </w:p>
        </w:tc>
        <w:tc>
          <w:tcPr>
            <w:tcW w:type="dxa" w:w="2492"/>
          </w:tcPr>
          <w:p>
            <w:pPr>
              <w:pStyle w:val="null3"/>
              <w:jc w:val="left"/>
            </w:pPr>
            <w:r>
              <w:rPr>
                <w:rFonts w:ascii="仿宋_GB2312" w:hAnsi="仿宋_GB2312" w:cs="仿宋_GB2312" w:eastAsia="仿宋_GB2312"/>
              </w:rPr>
              <w:t>教师计算机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学生计算机等</w:t>
            </w:r>
          </w:p>
        </w:tc>
        <w:tc>
          <w:tcPr>
            <w:tcW w:type="dxa" w:w="2492"/>
          </w:tcPr>
          <w:p>
            <w:pPr>
              <w:pStyle w:val="null3"/>
              <w:jc w:val="left"/>
            </w:pPr>
            <w:r>
              <w:rPr>
                <w:rFonts w:ascii="仿宋_GB2312" w:hAnsi="仿宋_GB2312" w:cs="仿宋_GB2312" w:eastAsia="仿宋_GB2312"/>
              </w:rPr>
              <w:t>学生计算机</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标的名称：学生计算机等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028"/>
              <w:gridCol w:w="2551"/>
              <w:gridCol w:w="1038"/>
              <w:gridCol w:w="970"/>
            </w:tblGrid>
            <w:tr>
              <w:tc>
                <w:tcPr>
                  <w:tcW w:type="dxa" w:w="10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标的名称</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云桌面管理端</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w:t>
                  </w:r>
                  <w:r>
                    <w:rPr>
                      <w:rFonts w:ascii="仿宋_GB2312" w:hAnsi="仿宋_GB2312" w:cs="仿宋_GB2312" w:eastAsia="仿宋_GB2312"/>
                      <w:sz w:val="24"/>
                    </w:rPr>
                    <w:t>计算机</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w:t>
                  </w:r>
                  <w:r>
                    <w:rPr>
                      <w:rFonts w:ascii="仿宋_GB2312" w:hAnsi="仿宋_GB2312" w:cs="仿宋_GB2312" w:eastAsia="仿宋_GB2312"/>
                      <w:sz w:val="24"/>
                    </w:rPr>
                    <w:t>计算机</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224</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云桌面管理端技术参数</w:t>
            </w:r>
          </w:p>
        </w:tc>
        <w:tc>
          <w:tcPr>
            <w:tcW w:type="dxa" w:w="5814"/>
          </w:tcPr>
          <w:p>
            <w:pPr>
              <w:pStyle w:val="null3"/>
              <w:jc w:val="both"/>
            </w:pPr>
            <w:r>
              <w:rPr>
                <w:rFonts w:ascii="仿宋_GB2312" w:hAnsi="仿宋_GB2312" w:cs="仿宋_GB2312" w:eastAsia="仿宋_GB2312"/>
                <w:sz w:val="21"/>
              </w:rPr>
              <w:t>（一）硬件部分</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处理器</w:t>
            </w:r>
            <w:r>
              <w:rPr>
                <w:rFonts w:ascii="仿宋_GB2312" w:hAnsi="仿宋_GB2312" w:cs="仿宋_GB2312" w:eastAsia="仿宋_GB2312"/>
                <w:sz w:val="21"/>
              </w:rPr>
              <w:t>≥10核、≥16线程、主频≥2.5GHz、动态加速频率≥4.6GHz、L3缓存≥20MB</w:t>
            </w:r>
            <w:r>
              <w:rPr>
                <w:rFonts w:ascii="仿宋_GB2312" w:hAnsi="仿宋_GB2312" w:cs="仿宋_GB2312" w:eastAsia="仿宋_GB2312"/>
                <w:sz w:val="21"/>
              </w:rPr>
              <w:t>。</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≥16G  DDR5  3200MT/s 内存或以上</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≥512GB M.2 SSD + 4T机械硬盘；支持拓展≥2个 M.2，支持拓展≥2个机械硬盘。</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前置面板接口：</w:t>
            </w:r>
            <w:r>
              <w:rPr>
                <w:rFonts w:ascii="仿宋_GB2312" w:hAnsi="仿宋_GB2312" w:cs="仿宋_GB2312" w:eastAsia="仿宋_GB2312"/>
                <w:sz w:val="21"/>
              </w:rPr>
              <w:t>USB3.2接口≥5个，USB2.0接口≥2个（至少包括USB-C接口≥1个；前置面板≥2个USB口支持关机充电，支持关机充电接口包括USB-C接口）；≥2个麦克风接口，其中至少包括1个3.5mm四段式耳麦接口，1个3.5mm三段式麦克风接口。</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后置面板：</w:t>
            </w:r>
            <w:r>
              <w:rPr>
                <w:rFonts w:ascii="仿宋_GB2312" w:hAnsi="仿宋_GB2312" w:cs="仿宋_GB2312" w:eastAsia="仿宋_GB2312"/>
                <w:sz w:val="21"/>
              </w:rPr>
              <w:t>USB3.2≥4个，支持键盘开机；HDMI≥1个；DP≥1个；VGA≥1个；音频输入≥2个；音频输出≥1个；RJ45≥1</w:t>
            </w:r>
            <w:r>
              <w:rPr>
                <w:rFonts w:ascii="仿宋_GB2312" w:hAnsi="仿宋_GB2312" w:cs="仿宋_GB2312" w:eastAsia="仿宋_GB2312"/>
                <w:sz w:val="21"/>
              </w:rPr>
              <w:t>。</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集成标准声卡，可拓展内置扬声器，内置扬声器</w:t>
            </w:r>
            <w:r>
              <w:rPr>
                <w:rFonts w:ascii="仿宋_GB2312" w:hAnsi="仿宋_GB2312" w:cs="仿宋_GB2312" w:eastAsia="仿宋_GB2312"/>
                <w:sz w:val="21"/>
              </w:rPr>
              <w:t>≥1个</w:t>
            </w:r>
            <w:r>
              <w:rPr>
                <w:rFonts w:ascii="仿宋_GB2312" w:hAnsi="仿宋_GB2312" w:cs="仿宋_GB2312" w:eastAsia="仿宋_GB2312"/>
                <w:sz w:val="21"/>
              </w:rPr>
              <w:t>。</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机箱采用免工具维护设计，无需借助工具可实现内存条、固态硬盘、电源等配件的拆装维护。</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机箱配备非后加或非原配件顶置提手。</w:t>
            </w:r>
            <w:r>
              <w:br/>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为方便后期维护，采用可插拔式电源，电源与主板无需线材连接</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具备机箱防尘滤网，防止灰尘吸入机箱，防尘滤网可以在不拆开机箱的情况下便捷拆卸清洗</w:t>
            </w:r>
            <w:r>
              <w:rPr>
                <w:rFonts w:ascii="仿宋_GB2312" w:hAnsi="仿宋_GB2312" w:cs="仿宋_GB2312" w:eastAsia="仿宋_GB2312"/>
                <w:sz w:val="21"/>
              </w:rPr>
              <w:t>。</w:t>
            </w:r>
            <w:r>
              <w:rPr>
                <w:rFonts w:ascii="仿宋_GB2312" w:hAnsi="仿宋_GB2312" w:cs="仿宋_GB2312" w:eastAsia="仿宋_GB2312"/>
                <w:sz w:val="21"/>
              </w:rPr>
              <w:t xml:space="preserve"> </w:t>
            </w:r>
            <w:r>
              <w:br/>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具有一键还原</w:t>
            </w:r>
            <w:r>
              <w:rPr>
                <w:rFonts w:ascii="仿宋_GB2312" w:hAnsi="仿宋_GB2312" w:cs="仿宋_GB2312" w:eastAsia="仿宋_GB2312"/>
                <w:sz w:val="21"/>
              </w:rPr>
              <w:t>功能</w:t>
            </w:r>
            <w:r>
              <w:rPr>
                <w:rFonts w:ascii="仿宋_GB2312" w:hAnsi="仿宋_GB2312" w:cs="仿宋_GB2312" w:eastAsia="仿宋_GB2312"/>
                <w:sz w:val="21"/>
              </w:rPr>
              <w:t>，提供非基于操作系统的一键备份还原的功能</w:t>
            </w:r>
            <w:r>
              <w:rPr>
                <w:rFonts w:ascii="仿宋_GB2312" w:hAnsi="仿宋_GB2312" w:cs="仿宋_GB2312" w:eastAsia="仿宋_GB2312"/>
                <w:sz w:val="21"/>
              </w:rPr>
              <w:t>。</w:t>
            </w:r>
            <w:r>
              <w:br/>
            </w:r>
            <w:r>
              <w:rPr>
                <w:rFonts w:ascii="仿宋_GB2312" w:hAnsi="仿宋_GB2312" w:cs="仿宋_GB2312" w:eastAsia="仿宋_GB2312"/>
                <w:sz w:val="21"/>
              </w:rPr>
              <w:t>（二）软件部分</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C/S架构B/S架构并行管理，中文图形化操作界面；同时支持有服务器和无服务器模式部署；无服务器部署时无需本地额外部署服务器等设备，通过浏览器打开域名即可运维管理云桌面终端设备。</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无需配置服务器，远程访问管理平台域名即可管理；支持基于广域网统一纳管多分支机构云桌面的能力，支持三层网络、多校区等复杂网络环境安装；支持</w:t>
            </w:r>
            <w:r>
              <w:rPr>
                <w:rFonts w:ascii="仿宋_GB2312" w:hAnsi="仿宋_GB2312" w:cs="仿宋_GB2312" w:eastAsia="仿宋_GB2312"/>
                <w:sz w:val="21"/>
              </w:rPr>
              <w:t>PC终端设备与云桌面终端设备统一管理，支持在同一个设备分组中添加不同类型的PC和云桌面设备，并支持对选择的PC和云桌面设备的批量操作。</w:t>
            </w:r>
            <w:r>
              <w:br/>
            </w:r>
            <w:r>
              <w:rPr>
                <w:rFonts w:ascii="仿宋_GB2312" w:hAnsi="仿宋_GB2312" w:cs="仿宋_GB2312" w:eastAsia="仿宋_GB2312"/>
                <w:sz w:val="21"/>
              </w:rPr>
              <w:t>▲3、支持硬件资产管理：收集平台中所有云桌面终端和PC终端的硬件配置与状态信息，包括终端名称、设备型号、CPU型号、内存容量、最近运行时间、硬盘信息等。</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无需配置服务器，远程访问管理平台域名即可管理；支持远程管理终端设备，通过管理平台进行开机、关机、重启、恢复出厂设置、还原、删除、配置更改、切换镜像、</w:t>
            </w:r>
            <w:r>
              <w:rPr>
                <w:rFonts w:ascii="仿宋_GB2312" w:hAnsi="仿宋_GB2312" w:cs="仿宋_GB2312" w:eastAsia="仿宋_GB2312"/>
                <w:sz w:val="21"/>
              </w:rPr>
              <w:t>USB管控、硬件信息查看、桌面运行状态查看。</w:t>
            </w:r>
            <w:r>
              <w:br/>
            </w:r>
            <w:r>
              <w:rPr>
                <w:rFonts w:ascii="仿宋_GB2312" w:hAnsi="仿宋_GB2312" w:cs="仿宋_GB2312" w:eastAsia="仿宋_GB2312"/>
                <w:sz w:val="21"/>
              </w:rPr>
              <w:t>▲5、支持终端设备分组管理，支持手动按照楼栋、楼层、教室、小组等范围进行终端分组划分管理，统一管理多台终端；同时能够实现对独立分组中的学生终端、教师终端分别进行配置和管理。</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支持终端设备分组管理，支持在终端组中添加不同型号的终端设备，支持为分组启用座位编号管理。</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支持终端批量配置，通过管理平台批量修改终端设备的所属组织（学校、校区、租户等）、设备名称、网络</w:t>
            </w:r>
            <w:r>
              <w:rPr>
                <w:rFonts w:ascii="仿宋_GB2312" w:hAnsi="仿宋_GB2312" w:cs="仿宋_GB2312" w:eastAsia="仿宋_GB2312"/>
                <w:sz w:val="21"/>
              </w:rPr>
              <w:t>IP、自动还原系统盘与数据盘等设置。</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支持修改</w:t>
            </w:r>
            <w:r>
              <w:rPr>
                <w:rFonts w:ascii="仿宋_GB2312" w:hAnsi="仿宋_GB2312" w:cs="仿宋_GB2312" w:eastAsia="仿宋_GB2312"/>
                <w:sz w:val="21"/>
              </w:rPr>
              <w:t>BIOS配置来控制设备上电自启动。</w:t>
            </w:r>
            <w:r>
              <w:br/>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支持通过账号登录、手机扫码登录、无账号访客登录启动的云桌面镜像均可访问公共数据分区。</w:t>
            </w:r>
            <w:r>
              <w:br/>
            </w:r>
            <w:r>
              <w:rPr>
                <w:rFonts w:ascii="仿宋_GB2312" w:hAnsi="仿宋_GB2312" w:cs="仿宋_GB2312" w:eastAsia="仿宋_GB2312"/>
                <w:sz w:val="21"/>
              </w:rPr>
              <w:t>▲10、支持远程设置终端默认启动的云桌面镜像，支持同时为批量设备设置默认启动的云桌面镜像。</w:t>
            </w:r>
            <w:r>
              <w:br/>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支持管理平台指定启动镜像且多个镜像系统环境可快速切换，支持为相同分组下或批量选中的不同型号的设备分别指定切换启动的镜像，无镜像切换数量限制。</w:t>
            </w:r>
            <w:r>
              <w:br/>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支持远程还原终端设备，在终端设备在云桌面镜像系统无法启动、系统异常时，可远程操作系统恢复；同时可选清空终端设备的数据分区的数据。</w:t>
            </w:r>
            <w:r>
              <w:br/>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支持配置系统启动模式，可配置成开机自动启动云桌面镜像或进入云桌面系统；支持在配置成开机自动进入云桌面镜像系统时，可以通过托盘程序重启进入云桌面系统进行云桌面镜像切换或终端设置；支持配置使用该功能的鉴权使用方式：无需鉴权即可使用、密码验证后使用、禁用等模式。</w:t>
            </w:r>
            <w:r>
              <w:br/>
            </w:r>
            <w:r>
              <w:rPr>
                <w:rFonts w:ascii="仿宋_GB2312" w:hAnsi="仿宋_GB2312" w:cs="仿宋_GB2312" w:eastAsia="仿宋_GB2312"/>
                <w:sz w:val="21"/>
              </w:rPr>
              <w:t>▲14、支持策略生命周期管理，包括新建、删除、启用、停用。</w:t>
            </w:r>
            <w:r>
              <w:br/>
            </w:r>
            <w:r>
              <w:rPr>
                <w:rFonts w:ascii="仿宋_GB2312" w:hAnsi="仿宋_GB2312" w:cs="仿宋_GB2312" w:eastAsia="仿宋_GB2312"/>
                <w:sz w:val="21"/>
              </w:rPr>
              <w:t>▲15、支持设备计划关机，支持按照全部设备、指定分组、指定设备，设置终端关机操作，并可设置某时间单次执行或周期循环执行。</w:t>
            </w:r>
            <w:r>
              <w:br/>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提供组织管理员管理功能，包括：管理员添加、移除和转让，同时支持设置管理员的管理权限，包括：组织管理，系统管理员管理，角色权限，工作台配置，应用管理和操作日志。</w:t>
            </w:r>
            <w:r>
              <w:br/>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支持管理员手动添加教职工，教职工信息包括：教工号，姓名，手机号码，角色，管理范围；添加方式包括：</w:t>
            </w:r>
            <w:r>
              <w:rPr>
                <w:rFonts w:ascii="仿宋_GB2312" w:hAnsi="仿宋_GB2312" w:cs="仿宋_GB2312" w:eastAsia="仿宋_GB2312"/>
                <w:sz w:val="21"/>
              </w:rPr>
              <w:t>Excel批量导入，手动添加；支持导出，查询，删除教职工；教职工支持设置部门组织架构，支持多级组织架构，支持在组织架构节点上导入用户。</w:t>
            </w:r>
            <w:r>
              <w:br/>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支持学校自定义角色组，针对角色可设置功能权限；支持自定义角色的管理范围。</w:t>
            </w:r>
            <w:r>
              <w:br/>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支持管理多种架构的终端设备，无需部署服务器即可管理；支持受管理的终端启动国产化操作系统且断网可用；支持受管理的终端使用手机扫码登录、网络诊断等功能。</w:t>
            </w:r>
            <w:r>
              <w:br/>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支持同一分组中的不同设备，分别设置不同的登录模式、还原策略、默认镜像、鉴权管理设置。</w:t>
            </w:r>
            <w:r>
              <w:br/>
            </w: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支持下载各机型的</w:t>
            </w:r>
            <w:r>
              <w:rPr>
                <w:rFonts w:ascii="仿宋_GB2312" w:hAnsi="仿宋_GB2312" w:cs="仿宋_GB2312" w:eastAsia="仿宋_GB2312"/>
                <w:sz w:val="21"/>
              </w:rPr>
              <w:t>Windows10、Windows11、统信UOS、银河麒麟等操作系统云桌面镜像；支持下载到访问设备本地、指定终端，或添加到镜像仓库。</w:t>
            </w:r>
            <w:r>
              <w:br/>
            </w:r>
            <w:r>
              <w:rPr>
                <w:rFonts w:ascii="仿宋_GB2312" w:hAnsi="仿宋_GB2312" w:cs="仿宋_GB2312" w:eastAsia="仿宋_GB2312"/>
                <w:sz w:val="21"/>
              </w:rPr>
              <w:t>▲22、支持管控终端设备的USB使用权限无需依赖虚拟化层，支持USB设备策略黑白名单管理，支持查看终端USB设备信息，包括名称、类型、PID、VID与权限状态；支持USB外设策略管理，支持按照全部设备、指定分组、指定设备，设置终端的USB权限，支持设置黑白名单。</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教师计算机技术参数</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屏幕采用</w:t>
            </w:r>
            <w:r>
              <w:rPr>
                <w:rFonts w:ascii="仿宋_GB2312" w:hAnsi="仿宋_GB2312" w:cs="仿宋_GB2312" w:eastAsia="仿宋_GB2312"/>
                <w:sz w:val="21"/>
              </w:rPr>
              <w:t>≥23.8英寸，支持≥10点触控；支持屏幕手动角度调节，可实现与桌面形成20°至80°角度调节。</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屏体侧面具有物理实体快捷按键</w:t>
            </w:r>
            <w:r>
              <w:rPr>
                <w:rFonts w:ascii="仿宋_GB2312" w:hAnsi="仿宋_GB2312" w:cs="仿宋_GB2312" w:eastAsia="仿宋_GB2312"/>
                <w:sz w:val="21"/>
              </w:rPr>
              <w:t>≥6个，按键功能包括：屏幕一键开/关屏幕、对连接的大屏进行一键熄屏以及一键音量加、一键音量减。</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屏体侧边内置接口：</w:t>
            </w:r>
            <w:r>
              <w:rPr>
                <w:rFonts w:ascii="仿宋_GB2312" w:hAnsi="仿宋_GB2312" w:cs="仿宋_GB2312" w:eastAsia="仿宋_GB2312"/>
                <w:sz w:val="21"/>
              </w:rPr>
              <w:t>USB接口≥2路；Type-C接口≥1路；HDMI IN接口≥1个；</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屏体底座内置接口：</w:t>
            </w:r>
            <w:r>
              <w:rPr>
                <w:rFonts w:ascii="仿宋_GB2312" w:hAnsi="仿宋_GB2312" w:cs="仿宋_GB2312" w:eastAsia="仿宋_GB2312"/>
                <w:sz w:val="21"/>
              </w:rPr>
              <w:t>HDMI IN接口≥2个；HDMI OUT接口≥1个；USB接口≥4个；RJ45接口≥1个；AUDIO OUT接口≥1个；RS232接口≥1个。</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屏体侧边内置</w:t>
            </w:r>
            <w:r>
              <w:rPr>
                <w:rFonts w:ascii="仿宋_GB2312" w:hAnsi="仿宋_GB2312" w:cs="仿宋_GB2312" w:eastAsia="仿宋_GB2312"/>
                <w:sz w:val="21"/>
              </w:rPr>
              <w:t>NFC模块；讲台屏至少支持NFC刷卡、二维码2种方式实现设备使用前的用户身份认证。</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内置操作系统版本</w:t>
            </w:r>
            <w:r>
              <w:rPr>
                <w:rFonts w:ascii="仿宋_GB2312" w:hAnsi="仿宋_GB2312" w:cs="仿宋_GB2312" w:eastAsia="仿宋_GB2312"/>
                <w:sz w:val="21"/>
              </w:rPr>
              <w:t>≥Android 11，支持在整机全通道下唤出多功能中控菜单并实现相关操作。</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学生计算机技术参数</w:t>
            </w:r>
          </w:p>
        </w:tc>
        <w:tc>
          <w:tcPr>
            <w:tcW w:type="dxa" w:w="5814"/>
          </w:tcPr>
          <w:p>
            <w:pPr>
              <w:pStyle w:val="null3"/>
              <w:jc w:val="both"/>
            </w:pPr>
            <w:r>
              <w:rPr>
                <w:rFonts w:ascii="仿宋_GB2312" w:hAnsi="仿宋_GB2312" w:cs="仿宋_GB2312" w:eastAsia="仿宋_GB2312"/>
                <w:sz w:val="21"/>
              </w:rPr>
              <w:t>（一）终端硬件配置</w:t>
            </w:r>
            <w:r>
              <w:br/>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处理器核数</w:t>
            </w:r>
            <w:r>
              <w:rPr>
                <w:rFonts w:ascii="仿宋_GB2312" w:hAnsi="仿宋_GB2312" w:cs="仿宋_GB2312" w:eastAsia="仿宋_GB2312"/>
                <w:sz w:val="21"/>
              </w:rPr>
              <w:t>≥8，线程数≥12，主频≥2.0GHz，三级缓存≥12MB</w:t>
            </w:r>
            <w:r>
              <w:rPr>
                <w:rFonts w:ascii="仿宋_GB2312" w:hAnsi="仿宋_GB2312" w:cs="仿宋_GB2312" w:eastAsia="仿宋_GB2312"/>
                <w:sz w:val="21"/>
              </w:rPr>
              <w:t>。</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≥8G DDR4  3200MT/s 内存或以上</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≥256GB M.2 SSD硬盘</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1000Mbps。网口支持wake on LAN。</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采用</w:t>
            </w:r>
            <w:r>
              <w:rPr>
                <w:rFonts w:ascii="仿宋_GB2312" w:hAnsi="仿宋_GB2312" w:cs="仿宋_GB2312" w:eastAsia="仿宋_GB2312"/>
                <w:sz w:val="21"/>
              </w:rPr>
              <w:t>集成标准声卡。</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≥23.8英寸IPS显示屏幕，分辨率≥1920*1080，刷新率≥60Hz，屏幕亮度≥250cd/m</w:t>
            </w:r>
            <w:r>
              <w:rPr>
                <w:rFonts w:ascii="仿宋_GB2312" w:hAnsi="仿宋_GB2312" w:cs="仿宋_GB2312" w:eastAsia="仿宋_GB2312"/>
                <w:sz w:val="21"/>
                <w:vertAlign w:val="superscript"/>
              </w:rPr>
              <w:t>2</w:t>
            </w:r>
            <w:r>
              <w:rPr>
                <w:rFonts w:ascii="仿宋_GB2312" w:hAnsi="仿宋_GB2312" w:cs="仿宋_GB2312" w:eastAsia="仿宋_GB2312"/>
                <w:sz w:val="21"/>
              </w:rPr>
              <w:t>。</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为保证屏幕色彩显示真实度，显示屏幕</w:t>
            </w:r>
            <w:r>
              <w:rPr>
                <w:rFonts w:ascii="仿宋_GB2312" w:hAnsi="仿宋_GB2312" w:cs="仿宋_GB2312" w:eastAsia="仿宋_GB2312"/>
                <w:sz w:val="21"/>
              </w:rPr>
              <w:t>sRGB色域覆盖率≥99%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可通过物理按键实现系统一键还原。</w:t>
            </w:r>
            <w:r>
              <w:br/>
            </w:r>
            <w:r>
              <w:rPr>
                <w:rFonts w:ascii="仿宋_GB2312" w:hAnsi="仿宋_GB2312" w:cs="仿宋_GB2312" w:eastAsia="仿宋_GB2312"/>
                <w:sz w:val="21"/>
              </w:rPr>
              <w:t>（二）终端软件配置</w:t>
            </w:r>
            <w:r>
              <w:br/>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出厂自带网络同传，独立界面操作同传，支持裸机部署模式，支持多硬盘管理，终端设备在部署时指定云桌面系统安装位置，同时支持在现有终端设备上部署利旧使用，可灵活支持</w:t>
            </w:r>
            <w:r>
              <w:rPr>
                <w:rFonts w:ascii="仿宋_GB2312" w:hAnsi="仿宋_GB2312" w:cs="仿宋_GB2312" w:eastAsia="仿宋_GB2312"/>
                <w:sz w:val="21"/>
              </w:rPr>
              <w:t>U盘、网络等多种部署方式此功能支持X86架构PC终端。</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支持在</w:t>
            </w:r>
            <w:r>
              <w:rPr>
                <w:rFonts w:ascii="仿宋_GB2312" w:hAnsi="仿宋_GB2312" w:cs="仿宋_GB2312" w:eastAsia="仿宋_GB2312"/>
                <w:sz w:val="21"/>
              </w:rPr>
              <w:t>X86架构PC中，将Windows10、Windows11、统信UOS、银河麒麟等操作系统的物理机部署成云桌面终端，无需使用USB存储、PXE，仅需在物理机操作系统中运行安装程序即可将设备部署成云桌面终端。</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X86终端支持增量同传，教学环境更新仅传输增量部分，大幅减少网络传输中的重复数据，提高传输效率。</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支持脱网运行，终端可在没有网络连接的情况下可离线运行与在线状态下一致的操作系统及软件，并保证同一桌面环境在线与离线数据一致。</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支持监测网络状态，支持查看当前网络类型，支持查看终端设备</w:t>
            </w:r>
            <w:r>
              <w:rPr>
                <w:rFonts w:ascii="仿宋_GB2312" w:hAnsi="仿宋_GB2312" w:cs="仿宋_GB2312" w:eastAsia="仿宋_GB2312"/>
                <w:sz w:val="21"/>
              </w:rPr>
              <w:t>IP地址，支持查看与管理平台的网络连接质量，支持IP冲突、网关连通状态、互联网连通状态。</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支持查看设备型号、关联学校、镜像数量、网络状态、</w:t>
            </w:r>
            <w:r>
              <w:rPr>
                <w:rFonts w:ascii="仿宋_GB2312" w:hAnsi="仿宋_GB2312" w:cs="仿宋_GB2312" w:eastAsia="仿宋_GB2312"/>
                <w:sz w:val="21"/>
              </w:rPr>
              <w:t>IP地址、掩码、网关、速率、丢包率；支持使用PING进行IP或域名的网络连通性检测，支持导出结果。</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支持系统启动模式配置，可配置成开机自动启动云桌面镜像或进入云桌面系统；支持在配置成开机自动进入云桌面镜像系统时，可以通过托盘程序重启进入云桌面系统进行云桌面镜像切换或终端设置；支持配置使用该功能的鉴权使用方式：无需鉴权即可使用、密码验证后使用、禁止切换等模式。</w:t>
            </w:r>
            <w:r>
              <w:br/>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支持每个云桌面镜像有独立的数据分区，仅当前镜像可见，可跟随镜像同步更新、同传或还原。</w:t>
            </w:r>
            <w:r>
              <w:br/>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为方便正版软件的部署和使用，在还原桌面的情况下，首次完成软件的逐台注册激活后，可以将激活信息保存至个人数据盘中。之后即使更新镜像模版或者恢复系统也不会破坏激活信息，无需重新激活。</w:t>
            </w:r>
            <w:r>
              <w:br/>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支持配置管理平台地址，支持搜索发现网络中的管理平台（不需要手动配置管理服务器</w:t>
            </w:r>
            <w:r>
              <w:rPr>
                <w:rFonts w:ascii="仿宋_GB2312" w:hAnsi="仿宋_GB2312" w:cs="仿宋_GB2312" w:eastAsia="仿宋_GB2312"/>
                <w:sz w:val="21"/>
              </w:rPr>
              <w:t>IP地址），支持检测管理平台的连通性；同时也支持手机扫码进行关联设置。</w:t>
            </w:r>
            <w:r>
              <w:br/>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支持手机扫码配置管理平台绑定，支持手机扫码查看设备</w:t>
            </w:r>
            <w:r>
              <w:rPr>
                <w:rFonts w:ascii="仿宋_GB2312" w:hAnsi="仿宋_GB2312" w:cs="仿宋_GB2312" w:eastAsia="仿宋_GB2312"/>
                <w:sz w:val="21"/>
              </w:rPr>
              <w:t>SN、软件版本、BIOS版本；支持连续扫码多台设备并配置关联学校、分组、编号、设备名称等信息；支持手机扫码多台终端设备后，统一设置IP地址等网络信息，支持动态获取或静态IP，支持静态IP与座位编号关联递增。</w:t>
            </w:r>
            <w:r>
              <w:br/>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支持通用镜像，通过一个标准镜像可以支持多种不同硬件配置，可覆盖不同品牌、跨越不同代的</w:t>
            </w:r>
            <w:r>
              <w:rPr>
                <w:rFonts w:ascii="仿宋_GB2312" w:hAnsi="仿宋_GB2312" w:cs="仿宋_GB2312" w:eastAsia="仿宋_GB2312"/>
                <w:sz w:val="21"/>
              </w:rPr>
              <w:t>CPU。</w:t>
            </w:r>
            <w:r>
              <w:br/>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支持在未连接管理平台与服务器时，任意终端能对教学环境进行镜像管理：查看信息、同传镜像、导入镜像、导出镜像、删除镜像、更新镜像等运维操作。</w:t>
            </w:r>
            <w:r>
              <w:br/>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在配置和不配置管理平台与服务器，均支持更新镜像，支持将差分盘数据更新至原镜像；同时支持在云桌面系统和云桌面镜像中操作镜像更新，无需反复操作设备重启切换并自动化完成；云桌面镜像更新时可提示处于更新状态。</w:t>
            </w:r>
            <w:r>
              <w:br/>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支持使用相同品牌的教学应用工具，支持教学白板软件、学生行为评价软件、视频展台软件、录屏软件、电子教室软件等教学应用工具。</w:t>
            </w:r>
            <w:r>
              <w:br/>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终端设备配置管理平台后，支持多种身份识别方式，支持通过账号登录、手机扫码登录、无账号访客登录。</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rPr>
              <w:t>一、供应商应承诺所提供产品参数、检测报告、功能证明、证书、承诺函内容等佐证材料均真实、有效，采购人有权在中标后签订合同前对中标任所提供的佐证材料进行核查</w:t>
            </w:r>
            <w:r>
              <w:rPr>
                <w:rFonts w:ascii="仿宋_GB2312" w:hAnsi="仿宋_GB2312" w:cs="仿宋_GB2312" w:eastAsia="仿宋_GB2312"/>
                <w:sz w:val="21"/>
              </w:rPr>
              <w:t>(包括但不限于提供证明材料原件、发函向检测机构查询、要求检测机构出具实验检测记录、提供产品实物演示验证功能参数等)，若发现投标人提供的佐证材料存在弄虚作假的情形，将视为投标人虚假响应，并依法上报主管部门,并由投标人自行承担相应法律后果。</w:t>
            </w:r>
            <w:r>
              <w:rPr>
                <w:rFonts w:ascii="仿宋_GB2312" w:hAnsi="仿宋_GB2312" w:cs="仿宋_GB2312" w:eastAsia="仿宋_GB2312"/>
                <w:sz w:val="21"/>
                <w:b/>
              </w:rPr>
              <w:t>（</w:t>
            </w:r>
            <w:r>
              <w:rPr>
                <w:rFonts w:ascii="仿宋_GB2312" w:hAnsi="仿宋_GB2312" w:cs="仿宋_GB2312" w:eastAsia="仿宋_GB2312"/>
                <w:sz w:val="21"/>
                <w:b/>
              </w:rPr>
              <w:t>供应商</w:t>
            </w:r>
            <w:r>
              <w:rPr>
                <w:rFonts w:ascii="仿宋_GB2312" w:hAnsi="仿宋_GB2312" w:cs="仿宋_GB2312" w:eastAsia="仿宋_GB2312"/>
                <w:sz w:val="21"/>
                <w:b/>
              </w:rPr>
              <w:t>须在</w:t>
            </w:r>
            <w:r>
              <w:rPr>
                <w:rFonts w:ascii="仿宋_GB2312" w:hAnsi="仿宋_GB2312" w:cs="仿宋_GB2312" w:eastAsia="仿宋_GB2312"/>
                <w:sz w:val="21"/>
                <w:b/>
              </w:rPr>
              <w:t>投标</w:t>
            </w:r>
            <w:r>
              <w:rPr>
                <w:rFonts w:ascii="仿宋_GB2312" w:hAnsi="仿宋_GB2312" w:cs="仿宋_GB2312" w:eastAsia="仿宋_GB2312"/>
                <w:sz w:val="21"/>
                <w:b/>
              </w:rPr>
              <w:t>文件中单独提供承诺函原件，格式自拟）</w:t>
            </w:r>
          </w:p>
          <w:p>
            <w:pPr>
              <w:pStyle w:val="null3"/>
              <w:jc w:val="left"/>
            </w:pPr>
            <w:r>
              <w:rPr>
                <w:rFonts w:ascii="仿宋_GB2312" w:hAnsi="仿宋_GB2312" w:cs="仿宋_GB2312" w:eastAsia="仿宋_GB2312"/>
                <w:b/>
              </w:rPr>
              <w:t>二、</w:t>
            </w:r>
            <w:r>
              <w:rPr>
                <w:rFonts w:ascii="仿宋_GB2312" w:hAnsi="仿宋_GB2312" w:cs="仿宋_GB2312" w:eastAsia="仿宋_GB2312"/>
                <w:sz w:val="21"/>
              </w:rPr>
              <w:t>采购标的如有涉及国家或行业强制认证、强制许可、强制检测时，所投产品必须满足相应的强制性文件要求，并在签订合同前提供相应的证明材料复印件交由采购人查验。</w:t>
            </w:r>
            <w:r>
              <w:rPr>
                <w:rFonts w:ascii="仿宋_GB2312" w:hAnsi="仿宋_GB2312" w:cs="仿宋_GB2312" w:eastAsia="仿宋_GB2312"/>
                <w:sz w:val="21"/>
                <w:b/>
              </w:rPr>
              <w:t>（</w:t>
            </w:r>
            <w:r>
              <w:rPr>
                <w:rFonts w:ascii="仿宋_GB2312" w:hAnsi="仿宋_GB2312" w:cs="仿宋_GB2312" w:eastAsia="仿宋_GB2312"/>
                <w:sz w:val="21"/>
                <w:b/>
              </w:rPr>
              <w:t>供应商</w:t>
            </w:r>
            <w:r>
              <w:rPr>
                <w:rFonts w:ascii="仿宋_GB2312" w:hAnsi="仿宋_GB2312" w:cs="仿宋_GB2312" w:eastAsia="仿宋_GB2312"/>
                <w:sz w:val="21"/>
                <w:b/>
              </w:rPr>
              <w:t>须在响应文件中单独提供承诺函原件，格式自拟）</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采购清单中凡是涉及3C认证的产品，供应商需在交货时提供产品3C认证证书复印件。（提供承诺函并加盖供应商公章）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培训要求</w:t>
            </w:r>
          </w:p>
        </w:tc>
        <w:tc>
          <w:tcPr>
            <w:tcW w:type="dxa" w:w="5814"/>
          </w:tcPr>
          <w:p>
            <w:pPr>
              <w:pStyle w:val="null3"/>
              <w:jc w:val="both"/>
            </w:pPr>
            <w:r>
              <w:rPr>
                <w:rFonts w:ascii="仿宋_GB2312" w:hAnsi="仿宋_GB2312" w:cs="仿宋_GB2312" w:eastAsia="仿宋_GB2312"/>
                <w:sz w:val="21"/>
              </w:rPr>
              <w:t>中标人为使用单位提供培训服务，直至达到能熟练掌握产品性能、操作技能及能排除一般故障的程度。</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合同签订后30日内将所有货物在采购人指定地点安装调试完毕，验收合格后交付使用。</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马边县境内采购人指定地点。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1付款条件：合同签订后，采购人收到成交人出具的合法票据后，达到该付款条件起15个工作日内，支付合同总金额的30.00%</w:t>
            </w:r>
          </w:p>
          <w:p>
            <w:pPr>
              <w:pStyle w:val="null3"/>
              <w:jc w:val="left"/>
            </w:pPr>
            <w:r>
              <w:rPr>
                <w:rFonts w:ascii="仿宋_GB2312" w:hAnsi="仿宋_GB2312" w:cs="仿宋_GB2312" w:eastAsia="仿宋_GB2312"/>
              </w:rPr>
              <w:t>2付款条件：设备安装调试完成，经采购人验收合格，采购人收到成交人出具的合法票据后，达到该付款条件起15个工作日内，支付合同总金额的70.00%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按照政府采购相关法律法规、《财政部关于进一步加强政府采购需求和履约验收管理的指导意见》（财库〔2016〕205号）以及《政府采购需求管理办法》（财库〔2021〕22号）的要求进行验收。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为验收合格后1年，质保期内出现质量问题，投标人在接到通知后4小时内响应到场，24小时内完成维修或更换，并承担修理调换的费用；如货物经投标人2次维修仍不能达到本合同约定的质量标准，视作投标人未能按时交货，采购人有权退货并追究投标人的违约责任。货到现场后由于采购人保管不当造成的问题，投标人亦应负责修复，但费用由采购人负担。</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采购人和中标人双方一方违约，不执行、不遵守合同约定条款，且在另一方发出通知后的15天内仍未采取弥补措施的，另一方有权单方面解除合同，并要求违约方承担违约金，如违约金金额低于实际损失的，违约方必须另外予以补偿。 2.解决争议的方式：双方协商解决，若未协商一致，向采购人所在地的人民法院提出起诉。</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报价</w:t>
            </w:r>
          </w:p>
        </w:tc>
        <w:tc>
          <w:tcPr>
            <w:tcW w:type="dxa" w:w="3322"/>
          </w:tcPr>
          <w:p>
            <w:pPr>
              <w:pStyle w:val="null3"/>
              <w:jc w:val="left"/>
            </w:pPr>
            <w:r>
              <w:rPr>
                <w:rFonts w:ascii="仿宋_GB2312" w:hAnsi="仿宋_GB2312" w:cs="仿宋_GB2312" w:eastAsia="仿宋_GB2312"/>
              </w:rPr>
              <w:t>不得高于采购预算或最高限价</w:t>
            </w:r>
          </w:p>
        </w:tc>
        <w:tc>
          <w:tcPr>
            <w:tcW w:type="dxa" w:w="1661"/>
          </w:tcPr>
          <w:p>
            <w:pPr>
              <w:pStyle w:val="null3"/>
              <w:jc w:val="left"/>
            </w:pPr>
            <w:r>
              <w:rPr>
                <w:rFonts w:ascii="仿宋_GB2312" w:hAnsi="仿宋_GB2312" w:cs="仿宋_GB2312" w:eastAsia="仿宋_GB2312"/>
              </w:rPr>
              <w:t>报价明细表,报价表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技术要求响应</w:t>
            </w:r>
          </w:p>
        </w:tc>
        <w:tc>
          <w:tcPr>
            <w:tcW w:type="dxa" w:w="3322"/>
          </w:tcPr>
          <w:p>
            <w:pPr>
              <w:pStyle w:val="null3"/>
              <w:jc w:val="left"/>
            </w:pPr>
            <w:r>
              <w:rPr>
                <w:rFonts w:ascii="仿宋_GB2312" w:hAnsi="仿宋_GB2312" w:cs="仿宋_GB2312" w:eastAsia="仿宋_GB2312"/>
              </w:rPr>
              <w:t>按照采购文件技术要求响应</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服务要求响应</w:t>
            </w:r>
          </w:p>
        </w:tc>
        <w:tc>
          <w:tcPr>
            <w:tcW w:type="dxa" w:w="3322"/>
          </w:tcPr>
          <w:p>
            <w:pPr>
              <w:pStyle w:val="null3"/>
              <w:jc w:val="left"/>
            </w:pPr>
            <w:r>
              <w:rPr>
                <w:rFonts w:ascii="仿宋_GB2312" w:hAnsi="仿宋_GB2312" w:cs="仿宋_GB2312" w:eastAsia="仿宋_GB2312"/>
              </w:rPr>
              <w:t>按照采购文件服务要求响应</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强制节能产品</w:t>
            </w:r>
          </w:p>
        </w:tc>
        <w:tc>
          <w:tcPr>
            <w:tcW w:type="dxa" w:w="3322"/>
          </w:tcPr>
          <w:p>
            <w:pPr>
              <w:pStyle w:val="null3"/>
              <w:jc w:val="left"/>
            </w:pPr>
            <w:r>
              <w:rPr>
                <w:rFonts w:ascii="仿宋_GB2312" w:hAnsi="仿宋_GB2312" w:cs="仿宋_GB2312" w:eastAsia="仿宋_GB2312"/>
              </w:rPr>
              <w:t>提供由国家确定的认证机构出具的、处于有效期之内的节能产品认证证书的原件扫描件或“全国认证认可信息公共服务平台”（http://cx.cnca.cn）的认证信息截图</w:t>
            </w:r>
          </w:p>
        </w:tc>
        <w:tc>
          <w:tcPr>
            <w:tcW w:type="dxa" w:w="1661"/>
          </w:tcPr>
          <w:p>
            <w:pPr>
              <w:pStyle w:val="null3"/>
              <w:jc w:val="left"/>
            </w:pPr>
            <w:r>
              <w:rPr>
                <w:rFonts w:ascii="仿宋_GB2312" w:hAnsi="仿宋_GB2312" w:cs="仿宋_GB2312" w:eastAsia="仿宋_GB2312"/>
              </w:rPr>
              <w:t>强制节能产品.docx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环境标志产品.docx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详见附件：强制节能产品.docx</w:t>
      </w:r>
    </w:p>
    <w:p>
      <w:pPr>
        <w:pStyle w:val="null3"/>
        <w:ind w:firstLine="960"/>
        <w:jc w:val="left"/>
      </w:pPr>
      <w:r>
        <w:rPr>
          <w:rFonts w:ascii="仿宋_GB2312" w:hAnsi="仿宋_GB2312" w:cs="仿宋_GB2312" w:eastAsia="仿宋_GB2312"/>
        </w:rPr>
        <w:t>详见附件：环境标志产品.docx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