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b/>
          <w:bCs/>
          <w:color w:val="auto"/>
          <w:kern w:val="0"/>
          <w:sz w:val="48"/>
          <w:szCs w:val="48"/>
          <w:highlight w:val="none"/>
        </w:rPr>
      </w:pPr>
      <w:bookmarkStart w:id="417" w:name="_GoBack"/>
    </w:p>
    <w:p>
      <w:pPr>
        <w:pStyle w:val="19"/>
        <w:spacing w:line="360" w:lineRule="auto"/>
        <w:jc w:val="center"/>
        <w:rPr>
          <w:rFonts w:hint="eastAsia" w:asciiTheme="minorEastAsia" w:hAnsiTheme="minorEastAsia" w:eastAsiaTheme="minorEastAsia"/>
          <w:b/>
          <w:bCs/>
          <w:color w:val="auto"/>
          <w:sz w:val="72"/>
          <w:szCs w:val="72"/>
          <w:highlight w:val="none"/>
        </w:rPr>
      </w:pPr>
      <w:r>
        <w:rPr>
          <w:rFonts w:hint="eastAsia" w:asciiTheme="majorEastAsia" w:hAnsiTheme="majorEastAsia" w:eastAsiaTheme="majorEastAsia"/>
          <w:b/>
          <w:bCs/>
          <w:color w:val="auto"/>
          <w:sz w:val="44"/>
          <w:szCs w:val="44"/>
          <w:highlight w:val="none"/>
        </w:rPr>
        <w:t>楚雄师范学院行政办公设备购置项目（台式计算机）</w:t>
      </w:r>
    </w:p>
    <w:p>
      <w:pPr>
        <w:pStyle w:val="19"/>
        <w:spacing w:line="360" w:lineRule="auto"/>
        <w:jc w:val="center"/>
        <w:rPr>
          <w:rFonts w:hint="eastAsia" w:asciiTheme="majorEastAsia" w:hAnsiTheme="majorEastAsia" w:eastAsiaTheme="majorEastAsia"/>
          <w:b/>
          <w:bCs/>
          <w:color w:val="auto"/>
          <w:sz w:val="72"/>
          <w:szCs w:val="72"/>
          <w:highlight w:val="none"/>
        </w:rPr>
      </w:pPr>
      <w:r>
        <w:rPr>
          <w:rFonts w:hint="eastAsia" w:asciiTheme="majorEastAsia" w:hAnsiTheme="majorEastAsia" w:eastAsiaTheme="majorEastAsia"/>
          <w:b/>
          <w:bCs/>
          <w:color w:val="auto"/>
          <w:sz w:val="44"/>
          <w:szCs w:val="44"/>
          <w:highlight w:val="none"/>
          <w:lang w:val="en-US" w:eastAsia="zh-CN"/>
        </w:rPr>
        <w:t xml:space="preserve">       </w:t>
      </w:r>
    </w:p>
    <w:p>
      <w:pPr>
        <w:pStyle w:val="19"/>
        <w:spacing w:line="360" w:lineRule="auto"/>
        <w:jc w:val="center"/>
        <w:rPr>
          <w:rFonts w:hint="eastAsia" w:asciiTheme="majorEastAsia" w:hAnsiTheme="majorEastAsia" w:eastAsiaTheme="majorEastAsia"/>
          <w:b/>
          <w:bCs/>
          <w:color w:val="auto"/>
          <w:sz w:val="72"/>
          <w:szCs w:val="72"/>
          <w:highlight w:val="none"/>
        </w:rPr>
      </w:pPr>
      <w:r>
        <w:rPr>
          <w:rFonts w:hint="eastAsia" w:asciiTheme="majorEastAsia" w:hAnsiTheme="majorEastAsia" w:eastAsiaTheme="majorEastAsia"/>
          <w:b/>
          <w:bCs/>
          <w:color w:val="auto"/>
          <w:sz w:val="72"/>
          <w:szCs w:val="72"/>
          <w:highlight w:val="none"/>
        </w:rPr>
        <w:t>招标文件</w:t>
      </w:r>
    </w:p>
    <w:p>
      <w:pPr>
        <w:pStyle w:val="19"/>
        <w:spacing w:line="360" w:lineRule="auto"/>
        <w:jc w:val="center"/>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（货物类）</w:t>
      </w:r>
    </w:p>
    <w:p>
      <w:pPr>
        <w:pStyle w:val="19"/>
        <w:spacing w:line="360" w:lineRule="auto"/>
        <w:jc w:val="center"/>
        <w:rPr>
          <w:rFonts w:hint="eastAsia" w:ascii="仿宋" w:hAnsi="仿宋" w:eastAsia="仿宋"/>
          <w:bCs/>
          <w:color w:val="auto"/>
          <w:sz w:val="32"/>
          <w:szCs w:val="32"/>
          <w:highlight w:val="none"/>
        </w:rPr>
      </w:pPr>
    </w:p>
    <w:p>
      <w:pPr>
        <w:pStyle w:val="19"/>
        <w:spacing w:line="360" w:lineRule="auto"/>
        <w:jc w:val="center"/>
        <w:rPr>
          <w:rFonts w:hint="eastAsia" w:ascii="仿宋" w:hAnsi="仿宋" w:eastAsia="仿宋"/>
          <w:bCs/>
          <w:color w:val="auto"/>
          <w:sz w:val="32"/>
          <w:szCs w:val="32"/>
          <w:highlight w:val="none"/>
        </w:rPr>
      </w:pPr>
    </w:p>
    <w:p>
      <w:pPr>
        <w:pStyle w:val="19"/>
        <w:spacing w:line="360" w:lineRule="auto"/>
        <w:jc w:val="center"/>
        <w:rPr>
          <w:rFonts w:hint="eastAsia" w:asciiTheme="minorEastAsia" w:hAnsiTheme="minorEastAsia" w:eastAsiaTheme="minorEastAsia" w:cstheme="minorEastAsia"/>
          <w:b/>
          <w:bCs w:val="0"/>
          <w:color w:val="auto"/>
          <w:sz w:val="36"/>
          <w:szCs w:val="36"/>
          <w:highlight w:val="none"/>
        </w:rPr>
      </w:pPr>
      <w:r>
        <w:rPr>
          <w:rFonts w:hint="eastAsia" w:asciiTheme="minorEastAsia" w:hAnsiTheme="minorEastAsia" w:eastAsiaTheme="minorEastAsia"/>
          <w:b/>
          <w:bCs w:val="0"/>
          <w:color w:val="auto"/>
          <w:sz w:val="36"/>
          <w:szCs w:val="36"/>
          <w:highlight w:val="none"/>
        </w:rPr>
        <w:t>项目编号：</w:t>
      </w:r>
      <w:r>
        <w:rPr>
          <w:rFonts w:hint="eastAsia" w:asciiTheme="minorEastAsia" w:hAnsiTheme="minorEastAsia" w:eastAsiaTheme="minorEastAsia" w:cstheme="minorEastAsia"/>
          <w:b/>
          <w:bCs w:val="0"/>
          <w:i w:val="0"/>
          <w:iCs w:val="0"/>
          <w:caps w:val="0"/>
          <w:color w:val="auto"/>
          <w:spacing w:val="0"/>
          <w:sz w:val="36"/>
          <w:szCs w:val="36"/>
          <w:highlight w:val="none"/>
          <w:shd w:val="clear" w:fill="FFFFFF"/>
        </w:rPr>
        <w:t>YNZC2026-G1-03951-CXYZ-0066</w:t>
      </w:r>
    </w:p>
    <w:p>
      <w:pPr>
        <w:pStyle w:val="19"/>
        <w:spacing w:line="360" w:lineRule="auto"/>
        <w:rPr>
          <w:rFonts w:hint="eastAsia" w:ascii="仿宋" w:hAnsi="仿宋" w:eastAsia="仿宋"/>
          <w:color w:val="auto"/>
          <w:highlight w:val="none"/>
        </w:rPr>
      </w:pPr>
    </w:p>
    <w:p>
      <w:pPr>
        <w:pStyle w:val="19"/>
        <w:spacing w:line="360" w:lineRule="auto"/>
        <w:rPr>
          <w:rFonts w:hint="eastAsia" w:ascii="仿宋" w:hAnsi="仿宋" w:eastAsia="仿宋"/>
          <w:color w:val="auto"/>
          <w:highlight w:val="none"/>
        </w:rPr>
      </w:pPr>
    </w:p>
    <w:p>
      <w:pPr>
        <w:pStyle w:val="19"/>
        <w:spacing w:line="360" w:lineRule="auto"/>
        <w:rPr>
          <w:rFonts w:hint="eastAsia" w:ascii="仿宋" w:hAnsi="仿宋" w:eastAsia="仿宋"/>
          <w:color w:val="auto"/>
          <w:highlight w:val="none"/>
        </w:rPr>
      </w:pPr>
    </w:p>
    <w:p>
      <w:pPr>
        <w:pStyle w:val="19"/>
        <w:spacing w:line="360" w:lineRule="auto"/>
        <w:rPr>
          <w:rFonts w:hint="eastAsia" w:ascii="仿宋" w:hAnsi="仿宋" w:eastAsia="仿宋"/>
          <w:color w:val="auto"/>
          <w:highlight w:val="none"/>
        </w:rPr>
      </w:pPr>
    </w:p>
    <w:p>
      <w:pPr>
        <w:pStyle w:val="19"/>
        <w:spacing w:line="360" w:lineRule="auto"/>
        <w:rPr>
          <w:rFonts w:hint="eastAsia" w:ascii="仿宋" w:hAnsi="仿宋" w:eastAsia="仿宋"/>
          <w:color w:val="auto"/>
          <w:highlight w:val="none"/>
        </w:rPr>
      </w:pPr>
    </w:p>
    <w:p>
      <w:pPr>
        <w:pStyle w:val="19"/>
        <w:spacing w:line="360" w:lineRule="auto"/>
        <w:rPr>
          <w:rFonts w:hint="eastAsia" w:ascii="仿宋" w:hAnsi="仿宋" w:eastAsia="仿宋"/>
          <w:color w:val="auto"/>
          <w:highlight w:val="none"/>
        </w:rPr>
      </w:pPr>
    </w:p>
    <w:p>
      <w:pPr>
        <w:pStyle w:val="19"/>
        <w:spacing w:line="360" w:lineRule="auto"/>
        <w:ind w:firstLine="2249" w:firstLineChars="700"/>
        <w:rPr>
          <w:rFonts w:hint="eastAsia" w:asciiTheme="majorEastAsia" w:hAnsiTheme="majorEastAsia" w:eastAsiaTheme="majorEastAsia"/>
          <w:b/>
          <w:bCs/>
          <w:color w:val="auto"/>
          <w:sz w:val="32"/>
          <w:szCs w:val="32"/>
          <w:highlight w:val="none"/>
          <w:lang w:eastAsia="zh-CN"/>
        </w:rPr>
      </w:pPr>
      <w:r>
        <w:rPr>
          <w:rFonts w:hint="eastAsia" w:asciiTheme="majorEastAsia" w:hAnsiTheme="majorEastAsia" w:eastAsiaTheme="majorEastAsia"/>
          <w:b/>
          <w:bCs/>
          <w:color w:val="auto"/>
          <w:sz w:val="32"/>
          <w:szCs w:val="32"/>
          <w:highlight w:val="none"/>
        </w:rPr>
        <w:t>采 购 人：</w:t>
      </w:r>
      <w:r>
        <w:rPr>
          <w:rFonts w:hint="eastAsia" w:asciiTheme="majorEastAsia" w:hAnsiTheme="majorEastAsia" w:eastAsiaTheme="majorEastAsia"/>
          <w:b/>
          <w:bCs/>
          <w:color w:val="auto"/>
          <w:sz w:val="32"/>
          <w:szCs w:val="32"/>
          <w:highlight w:val="none"/>
          <w:lang w:val="en-US" w:eastAsia="zh-CN"/>
        </w:rPr>
        <w:t>楚雄师范学院</w:t>
      </w:r>
    </w:p>
    <w:p>
      <w:pPr>
        <w:pStyle w:val="19"/>
        <w:spacing w:line="360" w:lineRule="auto"/>
        <w:rPr>
          <w:rFonts w:hint="eastAsia" w:asciiTheme="majorEastAsia" w:hAnsiTheme="majorEastAsia" w:eastAsiaTheme="majorEastAsia"/>
          <w:b/>
          <w:bCs/>
          <w:color w:val="auto"/>
          <w:sz w:val="32"/>
          <w:szCs w:val="32"/>
          <w:highlight w:val="none"/>
        </w:rPr>
      </w:pPr>
    </w:p>
    <w:p>
      <w:pPr>
        <w:pStyle w:val="19"/>
        <w:spacing w:line="360" w:lineRule="auto"/>
        <w:ind w:firstLine="2249" w:firstLineChars="700"/>
        <w:rPr>
          <w:rFonts w:hint="eastAsia" w:asciiTheme="majorEastAsia" w:hAnsiTheme="majorEastAsia" w:eastAsiaTheme="majorEastAsia"/>
          <w:b/>
          <w:bCs/>
          <w:color w:val="auto"/>
          <w:sz w:val="32"/>
          <w:szCs w:val="32"/>
          <w:highlight w:val="none"/>
        </w:rPr>
      </w:pPr>
      <w:r>
        <w:rPr>
          <w:rFonts w:hint="eastAsia" w:asciiTheme="majorEastAsia" w:hAnsiTheme="majorEastAsia" w:eastAsiaTheme="majorEastAsia"/>
          <w:b/>
          <w:bCs/>
          <w:color w:val="auto"/>
          <w:sz w:val="32"/>
          <w:szCs w:val="32"/>
          <w:highlight w:val="none"/>
        </w:rPr>
        <w:t xml:space="preserve">集采机构：楚雄州公共资源交易中心 </w:t>
      </w:r>
    </w:p>
    <w:p>
      <w:pPr>
        <w:pStyle w:val="19"/>
        <w:spacing w:line="360" w:lineRule="auto"/>
        <w:rPr>
          <w:rFonts w:hint="eastAsia" w:ascii="仿宋" w:hAnsi="仿宋" w:eastAsia="仿宋"/>
          <w:b/>
          <w:bCs/>
          <w:color w:val="auto"/>
          <w:sz w:val="32"/>
          <w:szCs w:val="32"/>
          <w:highlight w:val="none"/>
        </w:rPr>
      </w:pPr>
    </w:p>
    <w:p>
      <w:pPr>
        <w:pStyle w:val="19"/>
        <w:spacing w:line="360" w:lineRule="auto"/>
        <w:ind w:firstLine="5461" w:firstLineChars="1700"/>
        <w:rPr>
          <w:rFonts w:hint="eastAsia" w:ascii="仿宋" w:hAnsi="仿宋" w:eastAsia="仿宋"/>
          <w:b/>
          <w:bCs/>
          <w:color w:val="auto"/>
          <w:sz w:val="32"/>
          <w:szCs w:val="32"/>
          <w:highlight w:val="none"/>
        </w:rPr>
        <w:sectPr>
          <w:footerReference r:id="rId3" w:type="default"/>
          <w:footerReference r:id="rId4" w:type="even"/>
          <w:pgSz w:w="11906" w:h="16838"/>
          <w:pgMar w:top="1417" w:right="1417" w:bottom="1417" w:left="1417" w:header="935" w:footer="720" w:gutter="0"/>
          <w:pgNumType w:start="1"/>
          <w:cols w:space="0" w:num="1"/>
          <w:rtlGutter w:val="0"/>
          <w:docGrid w:linePitch="331" w:charSpace="0"/>
        </w:sectPr>
      </w:pPr>
      <w:r>
        <w:rPr>
          <w:rFonts w:hint="eastAsia" w:ascii="仿宋" w:hAnsi="仿宋" w:eastAsia="仿宋"/>
          <w:b/>
          <w:bCs/>
          <w:color w:val="auto"/>
          <w:sz w:val="32"/>
          <w:szCs w:val="32"/>
          <w:highlight w:val="none"/>
        </w:rPr>
        <w:t>2026年</w:t>
      </w:r>
      <w:r>
        <w:rPr>
          <w:rFonts w:hint="eastAsia" w:ascii="仿宋" w:hAnsi="仿宋" w:eastAsia="仿宋"/>
          <w:b/>
          <w:bCs/>
          <w:color w:val="auto"/>
          <w:sz w:val="32"/>
          <w:szCs w:val="32"/>
          <w:highlight w:val="none"/>
          <w:lang w:val="en-US" w:eastAsia="zh-CN"/>
        </w:rPr>
        <w:t>7</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8</w:t>
      </w:r>
      <w:r>
        <w:rPr>
          <w:rFonts w:hint="eastAsia" w:ascii="仿宋" w:hAnsi="仿宋" w:eastAsia="仿宋"/>
          <w:b/>
          <w:bCs/>
          <w:color w:val="auto"/>
          <w:sz w:val="32"/>
          <w:szCs w:val="32"/>
          <w:highlight w:val="none"/>
        </w:rPr>
        <w:t>日</w:t>
      </w:r>
    </w:p>
    <w:p>
      <w:pPr>
        <w:jc w:val="center"/>
        <w:rPr>
          <w:color w:val="auto"/>
          <w:sz w:val="44"/>
          <w:szCs w:val="44"/>
          <w:highlight w:val="none"/>
        </w:rPr>
      </w:pPr>
      <w:bookmarkStart w:id="0" w:name="_Toc60996674"/>
      <w:bookmarkStart w:id="1" w:name="_Toc20587_WPSOffice_Level1"/>
      <w:bookmarkStart w:id="2" w:name="_第一章__招标公告"/>
      <w:r>
        <w:rPr>
          <w:rFonts w:hint="eastAsia" w:ascii="宋体" w:hAnsi="宋体"/>
          <w:color w:val="auto"/>
          <w:sz w:val="44"/>
          <w:szCs w:val="44"/>
          <w:highlight w:val="none"/>
        </w:rPr>
        <w:t>目录</w:t>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05"/>
        <w:textAlignment w:val="auto"/>
        <w:rPr>
          <w:rFonts w:hint="eastAsia" w:ascii="宋体" w:hAnsi="宋体" w:cs="宋体"/>
          <w:color w:val="auto"/>
          <w:sz w:val="24"/>
          <w:szCs w:val="24"/>
          <w:highlight w:val="none"/>
        </w:rPr>
      </w:pPr>
      <w:r>
        <w:rPr>
          <w:rStyle w:val="45"/>
          <w:color w:val="auto"/>
          <w:highlight w:val="none"/>
        </w:rPr>
        <w:fldChar w:fldCharType="begin"/>
      </w:r>
      <w:r>
        <w:rPr>
          <w:rStyle w:val="45"/>
          <w:rFonts w:ascii="仿宋" w:hAnsi="仿宋" w:eastAsia="仿宋"/>
          <w:bCs w:val="0"/>
          <w:caps w:val="0"/>
          <w:smallCaps/>
          <w:color w:val="auto"/>
          <w:highlight w:val="none"/>
        </w:rPr>
        <w:instrText xml:space="preserve"> TOC \o "1-3" \h \z \u </w:instrText>
      </w:r>
      <w:r>
        <w:rPr>
          <w:rStyle w:val="45"/>
          <w:color w:val="auto"/>
          <w:highlight w:val="none"/>
        </w:rPr>
        <w:fldChar w:fldCharType="separate"/>
      </w:r>
      <w:r>
        <w:rPr>
          <w:color w:val="auto"/>
          <w:highlight w:val="none"/>
        </w:rPr>
        <w:fldChar w:fldCharType="begin"/>
      </w:r>
      <w:r>
        <w:rPr>
          <w:color w:val="auto"/>
          <w:highlight w:val="none"/>
        </w:rPr>
        <w:instrText xml:space="preserve"> HYPERLINK \l "_Toc30244" </w:instrText>
      </w:r>
      <w:r>
        <w:rPr>
          <w:color w:val="auto"/>
          <w:highlight w:val="none"/>
        </w:rPr>
        <w:fldChar w:fldCharType="separate"/>
      </w:r>
      <w:r>
        <w:rPr>
          <w:rFonts w:hint="eastAsia" w:ascii="宋体" w:hAnsi="宋体" w:cs="宋体"/>
          <w:color w:val="auto"/>
          <w:sz w:val="24"/>
          <w:szCs w:val="24"/>
          <w:highlight w:val="none"/>
        </w:rPr>
        <w:t xml:space="preserve">第一章 </w:t>
      </w:r>
      <w:r>
        <w:rPr>
          <w:rFonts w:hint="eastAsia" w:ascii="宋体" w:hAnsi="宋体" w:cs="宋体"/>
          <w:bCs w:val="0"/>
          <w:color w:val="auto"/>
          <w:sz w:val="24"/>
          <w:szCs w:val="24"/>
          <w:highlight w:val="none"/>
        </w:rPr>
        <w:t>招标公告</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_Toc30244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"_Toc13356" </w:instrText>
      </w:r>
      <w:r>
        <w:rPr>
          <w:color w:val="auto"/>
          <w:highlight w:val="none"/>
        </w:rPr>
        <w:fldChar w:fldCharType="separate"/>
      </w:r>
      <w:r>
        <w:rPr>
          <w:rFonts w:hint="eastAsia" w:ascii="宋体" w:hAnsi="宋体" w:cs="宋体"/>
          <w:color w:val="auto"/>
          <w:sz w:val="24"/>
          <w:szCs w:val="24"/>
          <w:highlight w:val="none"/>
        </w:rPr>
        <w:t>第二章 投标人须知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_Toc13356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"_Toc20490" </w:instrText>
      </w:r>
      <w:r>
        <w:rPr>
          <w:color w:val="auto"/>
          <w:highlight w:val="none"/>
        </w:rPr>
        <w:fldChar w:fldCharType="separate"/>
      </w:r>
      <w:r>
        <w:rPr>
          <w:rFonts w:hint="eastAsia" w:ascii="宋体" w:hAnsi="宋体" w:cs="宋体"/>
          <w:color w:val="auto"/>
          <w:sz w:val="24"/>
          <w:szCs w:val="24"/>
          <w:highlight w:val="none"/>
        </w:rPr>
        <w:t>投标人须知前附表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_Toc20490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"_Toc24451" </w:instrText>
      </w:r>
      <w:r>
        <w:rPr>
          <w:color w:val="auto"/>
          <w:highlight w:val="none"/>
        </w:rPr>
        <w:fldChar w:fldCharType="separate"/>
      </w:r>
      <w:r>
        <w:rPr>
          <w:rFonts w:hint="eastAsia" w:ascii="宋体" w:hAnsi="宋体" w:cs="宋体"/>
          <w:color w:val="auto"/>
          <w:sz w:val="24"/>
          <w:szCs w:val="24"/>
          <w:highlight w:val="none"/>
        </w:rPr>
        <w:t>一、总则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_Toc24451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"_Toc6415" </w:instrText>
      </w:r>
      <w:r>
        <w:rPr>
          <w:color w:val="auto"/>
          <w:highlight w:val="none"/>
        </w:rPr>
        <w:fldChar w:fldCharType="separate"/>
      </w:r>
      <w:r>
        <w:rPr>
          <w:rFonts w:hint="eastAsia" w:ascii="宋体" w:hAnsi="宋体" w:cs="宋体"/>
          <w:color w:val="auto"/>
          <w:sz w:val="24"/>
          <w:szCs w:val="24"/>
          <w:highlight w:val="none"/>
        </w:rPr>
        <w:t>二、招标文件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_Toc6415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"_Toc16627" </w:instrText>
      </w:r>
      <w:r>
        <w:rPr>
          <w:color w:val="auto"/>
          <w:highlight w:val="none"/>
        </w:rPr>
        <w:fldChar w:fldCharType="separate"/>
      </w:r>
      <w:r>
        <w:rPr>
          <w:rFonts w:hint="eastAsia" w:ascii="宋体" w:hAnsi="宋体" w:cs="宋体"/>
          <w:color w:val="auto"/>
          <w:sz w:val="24"/>
          <w:szCs w:val="24"/>
          <w:highlight w:val="none"/>
        </w:rPr>
        <w:t>三、投标文件的编制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_Toc16627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"_Toc26211" </w:instrText>
      </w:r>
      <w:r>
        <w:rPr>
          <w:color w:val="auto"/>
          <w:highlight w:val="none"/>
        </w:rPr>
        <w:fldChar w:fldCharType="separate"/>
      </w:r>
      <w:r>
        <w:rPr>
          <w:rFonts w:hint="eastAsia" w:ascii="宋体" w:hAnsi="宋体" w:cs="宋体"/>
          <w:color w:val="auto"/>
          <w:sz w:val="24"/>
          <w:szCs w:val="24"/>
          <w:highlight w:val="none"/>
        </w:rPr>
        <w:t>四、投标文件的提交</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_Toc26211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"_Toc3761" </w:instrText>
      </w:r>
      <w:r>
        <w:rPr>
          <w:color w:val="auto"/>
          <w:highlight w:val="none"/>
        </w:rPr>
        <w:fldChar w:fldCharType="separate"/>
      </w:r>
      <w:r>
        <w:rPr>
          <w:rFonts w:hint="eastAsia" w:ascii="宋体" w:hAnsi="宋体" w:cs="宋体"/>
          <w:color w:val="auto"/>
          <w:sz w:val="24"/>
          <w:szCs w:val="24"/>
          <w:highlight w:val="none"/>
        </w:rPr>
        <w:t>五、开标与评标</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_Toc3761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"_Toc15388" </w:instrText>
      </w:r>
      <w:r>
        <w:rPr>
          <w:color w:val="auto"/>
          <w:highlight w:val="none"/>
        </w:rPr>
        <w:fldChar w:fldCharType="separate"/>
      </w:r>
      <w:r>
        <w:rPr>
          <w:rFonts w:hint="eastAsia" w:ascii="宋体" w:hAnsi="宋体" w:cs="宋体"/>
          <w:color w:val="auto"/>
          <w:sz w:val="24"/>
          <w:szCs w:val="24"/>
          <w:highlight w:val="none"/>
        </w:rPr>
        <w:t>六、中标结果</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_Toc15388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"_Toc12363" </w:instrText>
      </w:r>
      <w:r>
        <w:rPr>
          <w:color w:val="auto"/>
          <w:highlight w:val="none"/>
        </w:rPr>
        <w:fldChar w:fldCharType="separate"/>
      </w:r>
      <w:r>
        <w:rPr>
          <w:rFonts w:hint="eastAsia" w:ascii="宋体" w:hAnsi="宋体" w:cs="宋体"/>
          <w:color w:val="auto"/>
          <w:sz w:val="24"/>
          <w:szCs w:val="24"/>
          <w:highlight w:val="none"/>
        </w:rPr>
        <w:t>七、其他规定</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_Toc12363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"_Toc20507" </w:instrText>
      </w:r>
      <w:r>
        <w:rPr>
          <w:color w:val="auto"/>
          <w:highlight w:val="none"/>
        </w:rPr>
        <w:fldChar w:fldCharType="separate"/>
      </w:r>
      <w:r>
        <w:rPr>
          <w:rFonts w:hint="eastAsia" w:ascii="宋体" w:hAnsi="宋体" w:cs="宋体"/>
          <w:bCs w:val="0"/>
          <w:color w:val="auto"/>
          <w:sz w:val="24"/>
          <w:szCs w:val="24"/>
          <w:highlight w:val="none"/>
        </w:rPr>
        <w:t>第三章 技术规格、参数与要求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_Toc20507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"_Toc26240" </w:instrText>
      </w:r>
      <w:r>
        <w:rPr>
          <w:color w:val="auto"/>
          <w:highlight w:val="none"/>
        </w:rPr>
        <w:fldChar w:fldCharType="separate"/>
      </w:r>
      <w:r>
        <w:rPr>
          <w:rFonts w:hint="eastAsia" w:ascii="宋体" w:hAnsi="宋体" w:cs="宋体"/>
          <w:bCs w:val="0"/>
          <w:color w:val="auto"/>
          <w:sz w:val="24"/>
          <w:szCs w:val="24"/>
          <w:highlight w:val="none"/>
        </w:rPr>
        <w:t>第四章 资格审查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_Toc26240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"_Toc16640" </w:instrText>
      </w:r>
      <w:r>
        <w:rPr>
          <w:color w:val="auto"/>
          <w:highlight w:val="none"/>
        </w:rPr>
        <w:fldChar w:fldCharType="separate"/>
      </w:r>
      <w:r>
        <w:rPr>
          <w:rFonts w:hint="eastAsia" w:ascii="宋体" w:hAnsi="宋体" w:cs="宋体"/>
          <w:color w:val="auto"/>
          <w:sz w:val="24"/>
          <w:szCs w:val="24"/>
          <w:highlight w:val="none"/>
        </w:rPr>
        <w:t>资格审查前附表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_Toc16640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"_Toc6886" </w:instrText>
      </w:r>
      <w:r>
        <w:rPr>
          <w:color w:val="auto"/>
          <w:highlight w:val="none"/>
        </w:rPr>
        <w:fldChar w:fldCharType="separate"/>
      </w:r>
      <w:r>
        <w:rPr>
          <w:rFonts w:hint="eastAsia" w:ascii="宋体" w:hAnsi="宋体" w:cs="宋体"/>
          <w:bCs w:val="0"/>
          <w:color w:val="auto"/>
          <w:sz w:val="24"/>
          <w:szCs w:val="24"/>
          <w:highlight w:val="none"/>
        </w:rPr>
        <w:t>第五章 评标办法（综合评分法）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_Toc6886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"_Toc18867" </w:instrText>
      </w:r>
      <w:r>
        <w:rPr>
          <w:color w:val="auto"/>
          <w:highlight w:val="none"/>
        </w:rPr>
        <w:fldChar w:fldCharType="separate"/>
      </w:r>
      <w:r>
        <w:rPr>
          <w:rFonts w:hint="eastAsia" w:ascii="宋体" w:hAnsi="宋体" w:cs="宋体"/>
          <w:color w:val="auto"/>
          <w:sz w:val="24"/>
          <w:szCs w:val="24"/>
          <w:highlight w:val="none"/>
        </w:rPr>
        <w:t>评标办法前附表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_Toc18867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"_Toc24005" </w:instrText>
      </w:r>
      <w:r>
        <w:rPr>
          <w:color w:val="auto"/>
          <w:highlight w:val="none"/>
        </w:rPr>
        <w:fldChar w:fldCharType="separate"/>
      </w:r>
      <w:r>
        <w:rPr>
          <w:rFonts w:hint="eastAsia" w:ascii="宋体" w:hAnsi="宋体" w:cs="宋体"/>
          <w:color w:val="auto"/>
          <w:sz w:val="24"/>
          <w:szCs w:val="24"/>
          <w:highlight w:val="none"/>
        </w:rPr>
        <w:t>第六章 合同书样式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_Toc24005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"_Toc32338" </w:instrText>
      </w:r>
      <w:r>
        <w:rPr>
          <w:color w:val="auto"/>
          <w:highlight w:val="none"/>
        </w:rPr>
        <w:fldChar w:fldCharType="separate"/>
      </w:r>
      <w:r>
        <w:rPr>
          <w:rFonts w:hint="eastAsia" w:ascii="宋体" w:hAnsi="宋体" w:cs="宋体"/>
          <w:bCs w:val="0"/>
          <w:color w:val="auto"/>
          <w:sz w:val="24"/>
          <w:szCs w:val="24"/>
          <w:highlight w:val="none"/>
        </w:rPr>
        <w:t>第七章　投标文件格式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_Toc32338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"_Toc17802" </w:instrText>
      </w:r>
      <w:r>
        <w:rPr>
          <w:color w:val="auto"/>
          <w:highlight w:val="none"/>
        </w:rPr>
        <w:fldChar w:fldCharType="separate"/>
      </w:r>
      <w:r>
        <w:rPr>
          <w:rFonts w:hint="eastAsia" w:ascii="宋体" w:hAnsi="宋体" w:cs="宋体"/>
          <w:color w:val="auto"/>
          <w:sz w:val="24"/>
          <w:szCs w:val="24"/>
          <w:highlight w:val="none"/>
        </w:rPr>
        <w:t>商务文件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_Toc17802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"_Toc8875" </w:instrText>
      </w:r>
      <w:r>
        <w:rPr>
          <w:color w:val="auto"/>
          <w:highlight w:val="none"/>
        </w:rPr>
        <w:fldChar w:fldCharType="separate"/>
      </w:r>
      <w:r>
        <w:rPr>
          <w:rFonts w:hint="eastAsia" w:ascii="宋体" w:hAnsi="宋体" w:cs="宋体"/>
          <w:color w:val="auto"/>
          <w:sz w:val="24"/>
          <w:szCs w:val="24"/>
          <w:highlight w:val="none"/>
        </w:rPr>
        <w:t>格式1：投标函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_Toc8875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"_Toc6554" </w:instrText>
      </w:r>
      <w:r>
        <w:rPr>
          <w:color w:val="auto"/>
          <w:highlight w:val="none"/>
        </w:rPr>
        <w:fldChar w:fldCharType="separate"/>
      </w:r>
      <w:r>
        <w:rPr>
          <w:rFonts w:hint="eastAsia" w:ascii="宋体" w:hAnsi="宋体" w:cs="宋体"/>
          <w:color w:val="auto"/>
          <w:sz w:val="24"/>
          <w:szCs w:val="24"/>
          <w:highlight w:val="none"/>
        </w:rPr>
        <w:t>格式2：开标一览表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_Toc6554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"_Toc16963" </w:instrText>
      </w:r>
      <w:r>
        <w:rPr>
          <w:color w:val="auto"/>
          <w:highlight w:val="none"/>
        </w:rPr>
        <w:fldChar w:fldCharType="separate"/>
      </w:r>
      <w:r>
        <w:rPr>
          <w:rFonts w:hint="eastAsia" w:ascii="宋体" w:hAnsi="宋体" w:cs="宋体"/>
          <w:color w:val="auto"/>
          <w:sz w:val="24"/>
          <w:szCs w:val="24"/>
          <w:highlight w:val="none"/>
        </w:rPr>
        <w:t>格式3：投标分项报价表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_Toc16963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"_Toc13976" </w:instrText>
      </w:r>
      <w:r>
        <w:rPr>
          <w:color w:val="auto"/>
          <w:highlight w:val="none"/>
        </w:rPr>
        <w:fldChar w:fldCharType="separate"/>
      </w:r>
      <w:r>
        <w:rPr>
          <w:rFonts w:hint="eastAsia" w:ascii="宋体" w:hAnsi="宋体" w:cs="宋体"/>
          <w:color w:val="auto"/>
          <w:sz w:val="24"/>
          <w:szCs w:val="24"/>
          <w:highlight w:val="none"/>
        </w:rPr>
        <w:t>格式4：商务条款响应/偏离表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_Toc13976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"_Toc2718" </w:instrText>
      </w:r>
      <w:r>
        <w:rPr>
          <w:color w:val="auto"/>
          <w:highlight w:val="none"/>
        </w:rPr>
        <w:fldChar w:fldCharType="separate"/>
      </w:r>
      <w:r>
        <w:rPr>
          <w:rFonts w:hint="eastAsia" w:ascii="宋体" w:hAnsi="宋体" w:cs="宋体"/>
          <w:color w:val="auto"/>
          <w:sz w:val="24"/>
          <w:szCs w:val="24"/>
          <w:highlight w:val="none"/>
        </w:rPr>
        <w:t>格式5：质量保证和售后服务承诺书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_Toc2718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"_Toc18348" </w:instrText>
      </w:r>
      <w:r>
        <w:rPr>
          <w:color w:val="auto"/>
          <w:highlight w:val="none"/>
        </w:rPr>
        <w:fldChar w:fldCharType="separate"/>
      </w:r>
      <w:r>
        <w:rPr>
          <w:rFonts w:hint="eastAsia" w:ascii="宋体" w:hAnsi="宋体" w:cs="宋体"/>
          <w:color w:val="auto"/>
          <w:sz w:val="24"/>
          <w:szCs w:val="24"/>
          <w:highlight w:val="none"/>
        </w:rPr>
        <w:t>格式6：投标保证金</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_Toc18348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"_Toc16531" </w:instrText>
      </w:r>
      <w:r>
        <w:rPr>
          <w:color w:val="auto"/>
          <w:highlight w:val="none"/>
        </w:rPr>
        <w:fldChar w:fldCharType="separate"/>
      </w:r>
      <w:r>
        <w:rPr>
          <w:rFonts w:hint="eastAsia" w:ascii="宋体" w:hAnsi="宋体" w:cs="宋体"/>
          <w:color w:val="auto"/>
          <w:sz w:val="24"/>
          <w:szCs w:val="24"/>
          <w:highlight w:val="none"/>
        </w:rPr>
        <w:t>格式7：投标人资格证明文件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_Toc16531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"_Toc29534" </w:instrText>
      </w:r>
      <w:r>
        <w:rPr>
          <w:color w:val="auto"/>
          <w:highlight w:val="none"/>
        </w:rPr>
        <w:fldChar w:fldCharType="separate"/>
      </w:r>
      <w:r>
        <w:rPr>
          <w:rFonts w:hint="eastAsia" w:ascii="宋体" w:hAnsi="宋体" w:cs="宋体"/>
          <w:color w:val="auto"/>
          <w:kern w:val="0"/>
          <w:sz w:val="24"/>
          <w:szCs w:val="24"/>
          <w:highlight w:val="none"/>
        </w:rPr>
        <w:t>格式7-1：营业执照</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_Toc29534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"_Toc14696" </w:instrText>
      </w:r>
      <w:r>
        <w:rPr>
          <w:color w:val="auto"/>
          <w:highlight w:val="none"/>
        </w:rPr>
        <w:fldChar w:fldCharType="separate"/>
      </w:r>
      <w:r>
        <w:rPr>
          <w:rFonts w:hint="eastAsia" w:ascii="宋体" w:hAnsi="宋体" w:cs="宋体"/>
          <w:color w:val="auto"/>
          <w:sz w:val="24"/>
          <w:szCs w:val="24"/>
          <w:highlight w:val="none"/>
        </w:rPr>
        <w:t>格式7-2：法定代表人资格证明书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_Toc14696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"_Toc26420" </w:instrText>
      </w:r>
      <w:r>
        <w:rPr>
          <w:color w:val="auto"/>
          <w:highlight w:val="none"/>
        </w:rPr>
        <w:fldChar w:fldCharType="separate"/>
      </w:r>
      <w:r>
        <w:rPr>
          <w:rFonts w:hint="eastAsia" w:ascii="宋体" w:hAnsi="宋体" w:cs="宋体"/>
          <w:color w:val="auto"/>
          <w:sz w:val="24"/>
          <w:szCs w:val="24"/>
          <w:highlight w:val="none"/>
        </w:rPr>
        <w:t>格式7-3：法定代表人授权委托书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_Toc26420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"_Toc19591" </w:instrText>
      </w:r>
      <w:r>
        <w:rPr>
          <w:color w:val="auto"/>
          <w:highlight w:val="none"/>
        </w:rPr>
        <w:fldChar w:fldCharType="separate"/>
      </w:r>
      <w:r>
        <w:rPr>
          <w:rFonts w:hint="eastAsia" w:ascii="宋体" w:hAnsi="宋体" w:cs="宋体"/>
          <w:color w:val="auto"/>
          <w:sz w:val="24"/>
          <w:szCs w:val="24"/>
          <w:highlight w:val="none"/>
        </w:rPr>
        <w:t>格式7-4：投标人基本情况表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_Toc19591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"_Toc17693" </w:instrText>
      </w:r>
      <w:r>
        <w:rPr>
          <w:color w:val="auto"/>
          <w:highlight w:val="none"/>
        </w:rPr>
        <w:fldChar w:fldCharType="separate"/>
      </w:r>
      <w:r>
        <w:rPr>
          <w:rFonts w:hint="eastAsia" w:ascii="宋体" w:hAnsi="宋体" w:cs="宋体"/>
          <w:color w:val="auto"/>
          <w:sz w:val="24"/>
          <w:szCs w:val="24"/>
          <w:highlight w:val="none"/>
        </w:rPr>
        <w:t>格式7-5：投标人特定资格条件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_Toc17693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"_Toc17306" </w:instrText>
      </w:r>
      <w:r>
        <w:rPr>
          <w:color w:val="auto"/>
          <w:highlight w:val="none"/>
        </w:rPr>
        <w:fldChar w:fldCharType="separate"/>
      </w:r>
      <w:r>
        <w:rPr>
          <w:rFonts w:hint="eastAsia" w:ascii="宋体" w:hAnsi="宋体" w:cs="宋体"/>
          <w:color w:val="auto"/>
          <w:sz w:val="24"/>
          <w:szCs w:val="24"/>
          <w:highlight w:val="none"/>
        </w:rPr>
        <w:t>格式7-6：投标人近期财务状况报告</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_Toc17306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"_Toc10641" </w:instrText>
      </w:r>
      <w:r>
        <w:rPr>
          <w:color w:val="auto"/>
          <w:highlight w:val="none"/>
        </w:rPr>
        <w:fldChar w:fldCharType="separate"/>
      </w:r>
      <w:r>
        <w:rPr>
          <w:rFonts w:hint="eastAsia" w:ascii="宋体" w:hAnsi="宋体" w:cs="宋体"/>
          <w:color w:val="auto"/>
          <w:sz w:val="24"/>
          <w:szCs w:val="24"/>
          <w:highlight w:val="none"/>
        </w:rPr>
        <w:t>格式7-7：投标人缴纳税收证明材料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_Toc10641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"_Toc17620" </w:instrText>
      </w:r>
      <w:r>
        <w:rPr>
          <w:color w:val="auto"/>
          <w:highlight w:val="none"/>
        </w:rPr>
        <w:fldChar w:fldCharType="separate"/>
      </w:r>
      <w:r>
        <w:rPr>
          <w:rFonts w:hint="eastAsia" w:ascii="宋体" w:hAnsi="宋体" w:cs="宋体"/>
          <w:color w:val="auto"/>
          <w:sz w:val="24"/>
          <w:szCs w:val="24"/>
          <w:highlight w:val="none"/>
        </w:rPr>
        <w:t>格式7-8：投标人缴纳社保证明材料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_Toc17620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"_Toc30535" </w:instrText>
      </w:r>
      <w:r>
        <w:rPr>
          <w:color w:val="auto"/>
          <w:highlight w:val="none"/>
        </w:rPr>
        <w:fldChar w:fldCharType="separate"/>
      </w:r>
      <w:r>
        <w:rPr>
          <w:rFonts w:hint="eastAsia" w:ascii="宋体" w:hAnsi="宋体" w:cs="宋体"/>
          <w:color w:val="auto"/>
          <w:sz w:val="24"/>
          <w:szCs w:val="24"/>
          <w:highlight w:val="none"/>
        </w:rPr>
        <w:t>格式7-9：参加政府采购活动前三年内在经营活动中没有重大违法记录的书面声明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_Toc30535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"_Toc20526" </w:instrText>
      </w:r>
      <w:r>
        <w:rPr>
          <w:color w:val="auto"/>
          <w:highlight w:val="none"/>
        </w:rPr>
        <w:fldChar w:fldCharType="separate"/>
      </w:r>
      <w:r>
        <w:rPr>
          <w:rFonts w:hint="eastAsia" w:ascii="宋体" w:hAnsi="宋体" w:cs="宋体"/>
          <w:color w:val="auto"/>
          <w:sz w:val="24"/>
          <w:szCs w:val="24"/>
          <w:highlight w:val="none"/>
        </w:rPr>
        <w:t>格式7-10：投标人关于“信用中国”的承诺函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_Toc20526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"_Toc15847" </w:instrText>
      </w:r>
      <w:r>
        <w:rPr>
          <w:color w:val="auto"/>
          <w:highlight w:val="none"/>
        </w:rPr>
        <w:fldChar w:fldCharType="separate"/>
      </w:r>
      <w:r>
        <w:rPr>
          <w:rFonts w:hint="eastAsia" w:ascii="宋体" w:hAnsi="宋体" w:cs="宋体"/>
          <w:color w:val="auto"/>
          <w:sz w:val="24"/>
          <w:szCs w:val="24"/>
          <w:highlight w:val="none"/>
        </w:rPr>
        <w:t>格式8：构成投标文件的其他资料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_Toc15847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"_Toc28641" </w:instrText>
      </w:r>
      <w:r>
        <w:rPr>
          <w:color w:val="auto"/>
          <w:highlight w:val="none"/>
        </w:rPr>
        <w:fldChar w:fldCharType="separate"/>
      </w:r>
      <w:r>
        <w:rPr>
          <w:rFonts w:hint="eastAsia" w:ascii="宋体" w:hAnsi="宋体" w:cs="宋体"/>
          <w:color w:val="auto"/>
          <w:sz w:val="24"/>
          <w:szCs w:val="24"/>
          <w:highlight w:val="none"/>
        </w:rPr>
        <w:t>格式8-1：中小企业声明函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_Toc28641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"_Toc31539" </w:instrText>
      </w:r>
      <w:r>
        <w:rPr>
          <w:color w:val="auto"/>
          <w:highlight w:val="none"/>
        </w:rPr>
        <w:fldChar w:fldCharType="separate"/>
      </w:r>
      <w:r>
        <w:rPr>
          <w:rFonts w:hint="eastAsia" w:ascii="宋体" w:hAnsi="宋体" w:cs="宋体"/>
          <w:color w:val="auto"/>
          <w:sz w:val="24"/>
          <w:szCs w:val="24"/>
          <w:highlight w:val="none"/>
        </w:rPr>
        <w:t>格式8-2：残疾人福利性单位声明函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_Toc31539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"_Toc32106" </w:instrText>
      </w:r>
      <w:r>
        <w:rPr>
          <w:color w:val="auto"/>
          <w:highlight w:val="none"/>
        </w:rPr>
        <w:fldChar w:fldCharType="separate"/>
      </w:r>
      <w:r>
        <w:rPr>
          <w:rFonts w:hint="eastAsia" w:ascii="宋体" w:hAnsi="宋体" w:cs="宋体"/>
          <w:color w:val="auto"/>
          <w:sz w:val="24"/>
          <w:szCs w:val="24"/>
          <w:highlight w:val="none"/>
        </w:rPr>
        <w:t>格式8-3：监狱企业证明文件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_Toc32106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18"/>
        <w:keepNext w:val="0"/>
        <w:keepLines w:val="0"/>
        <w:pageBreakBefore w:val="0"/>
        <w:widowControl w:val="0"/>
        <w:tabs>
          <w:tab w:val="right" w:leader="dot" w:pos="9355"/>
        </w:tabs>
        <w:kinsoku/>
        <w:wordWrap/>
        <w:overflowPunct/>
        <w:topLinePunct w:val="0"/>
        <w:autoSpaceDE/>
        <w:autoSpaceDN/>
        <w:bidi w:val="0"/>
        <w:snapToGrid w:val="0"/>
        <w:spacing w:line="400" w:lineRule="exact"/>
        <w:ind w:left="630"/>
        <w:textAlignment w:val="auto"/>
        <w:rPr>
          <w:rFonts w:hint="eastAsia" w:ascii="宋体" w:hAnsi="宋体" w:eastAsia="宋体" w:cs="宋体"/>
          <w:color w:val="auto"/>
          <w:sz w:val="24"/>
          <w:szCs w:val="24"/>
          <w:highlight w:val="none"/>
          <w:lang w:val="en-US" w:eastAsia="zh-CN"/>
        </w:rPr>
      </w:pPr>
      <w:r>
        <w:rPr>
          <w:color w:val="auto"/>
          <w:highlight w:val="none"/>
        </w:rPr>
        <w:fldChar w:fldCharType="begin"/>
      </w:r>
      <w:r>
        <w:rPr>
          <w:color w:val="auto"/>
          <w:highlight w:val="none"/>
        </w:rPr>
        <w:instrText xml:space="preserve"> HYPERLINK \l "_Toc12911" </w:instrText>
      </w:r>
      <w:r>
        <w:rPr>
          <w:color w:val="auto"/>
          <w:highlight w:val="none"/>
        </w:rPr>
        <w:fldChar w:fldCharType="separate"/>
      </w:r>
      <w:r>
        <w:rPr>
          <w:rFonts w:hint="eastAsia" w:ascii="宋体" w:hAnsi="宋体" w:cs="宋体"/>
          <w:color w:val="auto"/>
          <w:sz w:val="24"/>
          <w:szCs w:val="24"/>
          <w:highlight w:val="none"/>
        </w:rPr>
        <w:t>格式8-4：格式8-4：关于符合本国产品标准的声明函</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9</w:t>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"_Toc10191" </w:instrText>
      </w:r>
      <w:r>
        <w:rPr>
          <w:color w:val="auto"/>
          <w:highlight w:val="none"/>
        </w:rPr>
        <w:fldChar w:fldCharType="separate"/>
      </w:r>
      <w:r>
        <w:rPr>
          <w:rFonts w:hint="eastAsia" w:ascii="宋体" w:hAnsi="宋体" w:cs="宋体"/>
          <w:color w:val="auto"/>
          <w:sz w:val="24"/>
          <w:szCs w:val="24"/>
          <w:highlight w:val="none"/>
        </w:rPr>
        <w:t>技术</w:t>
      </w:r>
      <w:r>
        <w:rPr>
          <w:rFonts w:hint="eastAsia" w:ascii="宋体" w:hAnsi="宋体" w:cs="宋体"/>
          <w:bCs/>
          <w:color w:val="auto"/>
          <w:sz w:val="24"/>
          <w:szCs w:val="24"/>
          <w:highlight w:val="none"/>
        </w:rPr>
        <w:t>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_Toc10191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"_Toc29716" </w:instrText>
      </w:r>
      <w:r>
        <w:rPr>
          <w:color w:val="auto"/>
          <w:highlight w:val="none"/>
        </w:rPr>
        <w:fldChar w:fldCharType="separate"/>
      </w:r>
      <w:r>
        <w:rPr>
          <w:rFonts w:hint="eastAsia" w:ascii="宋体" w:hAnsi="宋体" w:cs="宋体"/>
          <w:color w:val="auto"/>
          <w:sz w:val="24"/>
          <w:szCs w:val="24"/>
          <w:highlight w:val="none"/>
        </w:rPr>
        <w:t>格式 9 :货物说明一览表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_Toc29716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"_Toc3336" </w:instrText>
      </w:r>
      <w:r>
        <w:rPr>
          <w:color w:val="auto"/>
          <w:highlight w:val="none"/>
        </w:rPr>
        <w:fldChar w:fldCharType="separate"/>
      </w:r>
      <w:r>
        <w:rPr>
          <w:rFonts w:hint="eastAsia" w:ascii="宋体" w:hAnsi="宋体" w:cs="宋体"/>
          <w:color w:val="auto"/>
          <w:sz w:val="24"/>
          <w:szCs w:val="24"/>
          <w:highlight w:val="none"/>
        </w:rPr>
        <w:t>格式 10：所投产品品牌及型号</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_Toc3336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"_Toc18" </w:instrText>
      </w:r>
      <w:r>
        <w:rPr>
          <w:color w:val="auto"/>
          <w:highlight w:val="none"/>
        </w:rPr>
        <w:fldChar w:fldCharType="separate"/>
      </w:r>
      <w:r>
        <w:rPr>
          <w:rFonts w:hint="eastAsia" w:ascii="宋体" w:hAnsi="宋体" w:cs="宋体"/>
          <w:color w:val="auto"/>
          <w:sz w:val="24"/>
          <w:szCs w:val="24"/>
          <w:highlight w:val="none"/>
        </w:rPr>
        <w:t>格式 11：技术规格、参数响应/偏离表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"_Toc1975" </w:instrText>
      </w:r>
      <w:r>
        <w:rPr>
          <w:color w:val="auto"/>
          <w:highlight w:val="none"/>
        </w:rPr>
        <w:fldChar w:fldCharType="separate"/>
      </w:r>
      <w:r>
        <w:rPr>
          <w:rFonts w:hint="eastAsia" w:ascii="宋体" w:hAnsi="宋体" w:cs="宋体"/>
          <w:color w:val="auto"/>
          <w:sz w:val="24"/>
          <w:szCs w:val="24"/>
          <w:highlight w:val="none"/>
        </w:rPr>
        <w:t>格式12：实施交货方案及说明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_Toc1975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"_Toc16172" </w:instrText>
      </w:r>
      <w:r>
        <w:rPr>
          <w:color w:val="auto"/>
          <w:highlight w:val="none"/>
        </w:rPr>
        <w:fldChar w:fldCharType="separate"/>
      </w:r>
      <w:r>
        <w:rPr>
          <w:rFonts w:hint="eastAsia" w:ascii="宋体" w:hAnsi="宋体" w:cs="宋体"/>
          <w:color w:val="auto"/>
          <w:sz w:val="24"/>
          <w:szCs w:val="24"/>
          <w:highlight w:val="none"/>
        </w:rPr>
        <w:t>格式13：投标货物符合招标文件规定的证明文件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_Toc16172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"_Toc7059" </w:instrText>
      </w:r>
      <w:r>
        <w:rPr>
          <w:color w:val="auto"/>
          <w:highlight w:val="none"/>
        </w:rPr>
        <w:fldChar w:fldCharType="separate"/>
      </w:r>
      <w:r>
        <w:rPr>
          <w:rFonts w:hint="eastAsia" w:ascii="宋体" w:hAnsi="宋体" w:cs="宋体"/>
          <w:color w:val="auto"/>
          <w:sz w:val="24"/>
          <w:szCs w:val="24"/>
          <w:highlight w:val="none"/>
        </w:rPr>
        <w:t>格式14：2020年至今类似业绩一览表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_Toc7059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33"/>
        <w:keepNext w:val="0"/>
        <w:keepLines w:val="0"/>
        <w:pageBreakBefore w:val="0"/>
        <w:widowControl w:val="0"/>
        <w:tabs>
          <w:tab w:val="right" w:leader="dot" w:pos="9355"/>
          <w:tab w:val="clear" w:pos="9344"/>
        </w:tabs>
        <w:kinsoku/>
        <w:wordWrap/>
        <w:overflowPunct/>
        <w:topLinePunct w:val="0"/>
        <w:autoSpaceDE/>
        <w:autoSpaceDN/>
        <w:bidi w:val="0"/>
        <w:snapToGrid w:val="0"/>
        <w:spacing w:line="400" w:lineRule="exact"/>
        <w:ind w:left="420"/>
        <w:textAlignment w:val="auto"/>
        <w:rPr>
          <w:rFonts w:hint="eastAsia"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"_Toc29751" </w:instrText>
      </w:r>
      <w:r>
        <w:rPr>
          <w:color w:val="auto"/>
          <w:highlight w:val="none"/>
        </w:rPr>
        <w:fldChar w:fldCharType="separate"/>
      </w:r>
      <w:r>
        <w:rPr>
          <w:rFonts w:hint="eastAsia" w:ascii="宋体" w:hAnsi="宋体" w:cs="宋体"/>
          <w:color w:val="auto"/>
          <w:sz w:val="24"/>
          <w:szCs w:val="24"/>
          <w:highlight w:val="none"/>
        </w:rPr>
        <w:t>格式15：其他声明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_Toc29751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pStyle w:val="26"/>
        <w:keepNext w:val="0"/>
        <w:keepLines w:val="0"/>
        <w:pageBreakBefore w:val="0"/>
        <w:widowControl w:val="0"/>
        <w:tabs>
          <w:tab w:val="right" w:leader="dot" w:pos="9355"/>
        </w:tabs>
        <w:kinsoku/>
        <w:wordWrap/>
        <w:overflowPunct/>
        <w:topLinePunct w:val="0"/>
        <w:autoSpaceDE/>
        <w:autoSpaceDN/>
        <w:bidi w:val="0"/>
        <w:snapToGrid w:val="0"/>
        <w:spacing w:before="0" w:after="0" w:line="400" w:lineRule="exact"/>
        <w:ind w:firstLine="120"/>
        <w:textAlignment w:val="auto"/>
        <w:rPr>
          <w:color w:val="auto"/>
          <w:highlight w:val="none"/>
        </w:rPr>
      </w:pPr>
      <w:r>
        <w:rPr>
          <w:color w:val="auto"/>
          <w:highlight w:val="none"/>
        </w:rPr>
        <w:fldChar w:fldCharType="begin"/>
      </w:r>
      <w:r>
        <w:rPr>
          <w:color w:val="auto"/>
          <w:highlight w:val="none"/>
        </w:rPr>
        <w:instrText xml:space="preserve"> HYPERLINK \l "_Toc32306" </w:instrText>
      </w:r>
      <w:r>
        <w:rPr>
          <w:color w:val="auto"/>
          <w:highlight w:val="none"/>
        </w:rPr>
        <w:fldChar w:fldCharType="separate"/>
      </w:r>
      <w:r>
        <w:rPr>
          <w:rFonts w:hint="eastAsia" w:ascii="宋体" w:hAnsi="宋体" w:cs="宋体"/>
          <w:bCs w:val="0"/>
          <w:color w:val="auto"/>
          <w:sz w:val="24"/>
          <w:szCs w:val="24"/>
          <w:highlight w:val="none"/>
        </w:rPr>
        <w:t>第八章　政府采购投标人质疑函范本</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_Toc32306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pPr>
        <w:keepNext w:val="0"/>
        <w:keepLines w:val="0"/>
        <w:pageBreakBefore w:val="0"/>
        <w:widowControl w:val="0"/>
        <w:kinsoku/>
        <w:wordWrap/>
        <w:overflowPunct/>
        <w:topLinePunct w:val="0"/>
        <w:autoSpaceDE/>
        <w:autoSpaceDN/>
        <w:bidi w:val="0"/>
        <w:snapToGrid w:val="0"/>
        <w:spacing w:line="400" w:lineRule="exact"/>
        <w:ind w:firstLine="480"/>
        <w:textAlignment w:val="auto"/>
        <w:rPr>
          <w:rStyle w:val="45"/>
          <w:rFonts w:hint="eastAsia" w:ascii="仿宋" w:hAnsi="仿宋" w:eastAsia="仿宋"/>
          <w:smallCaps/>
          <w:color w:val="auto"/>
          <w:szCs w:val="20"/>
          <w:highlight w:val="none"/>
        </w:rPr>
        <w:sectPr>
          <w:headerReference r:id="rId5" w:type="default"/>
          <w:footerReference r:id="rId6" w:type="default"/>
          <w:pgSz w:w="11906" w:h="16838"/>
          <w:pgMar w:top="1417" w:right="1417" w:bottom="1417" w:left="1417" w:header="935" w:footer="720" w:gutter="0"/>
          <w:pgNumType w:start="1"/>
          <w:cols w:space="0" w:num="1"/>
          <w:rtlGutter w:val="0"/>
          <w:docGrid w:linePitch="331" w:charSpace="0"/>
        </w:sectPr>
      </w:pPr>
      <w:r>
        <w:rPr>
          <w:rFonts w:ascii="仿宋" w:hAnsi="仿宋" w:eastAsia="仿宋"/>
          <w:smallCaps/>
          <w:color w:val="auto"/>
          <w:szCs w:val="20"/>
          <w:highlight w:val="none"/>
        </w:rPr>
        <w:fldChar w:fldCharType="end"/>
      </w:r>
    </w:p>
    <w:p>
      <w:pPr>
        <w:keepNext w:val="0"/>
        <w:keepLines w:val="0"/>
        <w:pageBreakBefore w:val="0"/>
        <w:widowControl w:val="0"/>
        <w:kinsoku/>
        <w:wordWrap/>
        <w:overflowPunct/>
        <w:topLinePunct w:val="0"/>
        <w:autoSpaceDE/>
        <w:autoSpaceDN/>
        <w:bidi w:val="0"/>
        <w:snapToGrid w:val="0"/>
        <w:spacing w:line="360" w:lineRule="exact"/>
        <w:ind w:firstLine="480"/>
        <w:textAlignment w:val="auto"/>
        <w:rPr>
          <w:rStyle w:val="45"/>
          <w:rFonts w:hint="eastAsia" w:ascii="仿宋" w:hAnsi="仿宋" w:eastAsia="仿宋"/>
          <w:smallCaps/>
          <w:color w:val="auto"/>
          <w:szCs w:val="20"/>
          <w:highlight w:val="none"/>
        </w:rPr>
        <w:sectPr>
          <w:type w:val="continuous"/>
          <w:pgSz w:w="11906" w:h="16838"/>
          <w:pgMar w:top="1417" w:right="1417" w:bottom="1417" w:left="1417" w:header="935" w:footer="720" w:gutter="0"/>
          <w:pgNumType w:start="2"/>
          <w:cols w:space="0" w:num="1"/>
          <w:rtlGutter w:val="0"/>
          <w:docGrid w:linePitch="331" w:charSpace="0"/>
        </w:sectPr>
      </w:pPr>
    </w:p>
    <w:p>
      <w:pPr>
        <w:pStyle w:val="3"/>
        <w:ind w:left="0" w:firstLine="0"/>
        <w:jc w:val="center"/>
        <w:rPr>
          <w:rFonts w:hint="eastAsia" w:ascii="仿宋" w:hAnsi="仿宋" w:eastAsia="仿宋"/>
          <w:bCs w:val="0"/>
          <w:color w:val="auto"/>
          <w:highlight w:val="none"/>
        </w:rPr>
      </w:pPr>
      <w:bookmarkStart w:id="3" w:name="_Toc30244"/>
      <w:r>
        <w:rPr>
          <w:rFonts w:hint="eastAsia" w:ascii="仿宋" w:hAnsi="仿宋" w:eastAsia="仿宋"/>
          <w:color w:val="auto"/>
          <w:highlight w:val="none"/>
        </w:rPr>
        <w:t xml:space="preserve">第一章 </w:t>
      </w:r>
      <w:r>
        <w:rPr>
          <w:rFonts w:hint="eastAsia" w:ascii="仿宋" w:hAnsi="仿宋" w:eastAsia="仿宋"/>
          <w:bCs w:val="0"/>
          <w:color w:val="auto"/>
          <w:highlight w:val="none"/>
        </w:rPr>
        <w:t>招标公告</w:t>
      </w:r>
      <w:bookmarkEnd w:id="0"/>
      <w:bookmarkEnd w:id="1"/>
      <w:bookmarkEnd w:id="2"/>
      <w:bookmarkEnd w:id="3"/>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楚雄师范学院行政办公设备购置项目（台式计算机）</w:t>
      </w:r>
      <w:r>
        <w:rPr>
          <w:rFonts w:hint="eastAsia" w:ascii="仿宋" w:hAnsi="仿宋" w:eastAsia="仿宋" w:cs="仿宋"/>
          <w:color w:val="auto"/>
          <w:sz w:val="28"/>
          <w:szCs w:val="28"/>
          <w:highlight w:val="none"/>
        </w:rPr>
        <w:t>的潜在投标人应在</w:t>
      </w:r>
      <w:r>
        <w:rPr>
          <w:rFonts w:hint="eastAsia" w:ascii="仿宋" w:hAnsi="仿宋" w:eastAsia="仿宋" w:cs="仿宋"/>
          <w:color w:val="auto"/>
          <w:sz w:val="28"/>
          <w:szCs w:val="28"/>
          <w:highlight w:val="none"/>
        </w:rPr>
        <w:t>“政府采购云平台（网址入口：https://www.zcygov.cn/）”</w:t>
      </w:r>
      <w:r>
        <w:rPr>
          <w:rFonts w:hint="eastAsia" w:ascii="仿宋" w:hAnsi="仿宋" w:eastAsia="仿宋" w:cs="仿宋"/>
          <w:color w:val="auto"/>
          <w:sz w:val="28"/>
          <w:szCs w:val="28"/>
          <w:highlight w:val="none"/>
        </w:rPr>
        <w:t>获取招标文件，并于</w:t>
      </w:r>
      <w:r>
        <w:rPr>
          <w:rFonts w:ascii="仿宋" w:hAnsi="仿宋" w:eastAsia="仿宋" w:cs="仿宋"/>
          <w:color w:val="auto"/>
          <w:sz w:val="28"/>
          <w:szCs w:val="28"/>
          <w:highlight w:val="none"/>
        </w:rPr>
        <w:t>202</w:t>
      </w:r>
      <w:r>
        <w:rPr>
          <w:rFonts w:hint="eastAsia" w:ascii="仿宋" w:hAnsi="仿宋" w:eastAsia="仿宋" w:cs="仿宋"/>
          <w:color w:val="auto"/>
          <w:sz w:val="28"/>
          <w:szCs w:val="28"/>
          <w:highlight w:val="none"/>
        </w:rPr>
        <w:t>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rPr>
        <w:t>日9</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00</w:t>
      </w:r>
      <w:r>
        <w:rPr>
          <w:rFonts w:hint="eastAsia" w:ascii="仿宋" w:hAnsi="仿宋" w:eastAsia="仿宋" w:cs="仿宋"/>
          <w:color w:val="auto"/>
          <w:sz w:val="28"/>
          <w:szCs w:val="28"/>
          <w:highlight w:val="none"/>
        </w:rPr>
        <w:t>（北京时间）前递交投标文件。</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4" w:name="_Toc28359079"/>
      <w:bookmarkStart w:id="5" w:name="_Toc28359002"/>
      <w:bookmarkStart w:id="6" w:name="_Toc35393790"/>
      <w:bookmarkStart w:id="7" w:name="_Toc35393621"/>
      <w:bookmarkStart w:id="8" w:name="_Toc44621995"/>
      <w:bookmarkStart w:id="9" w:name="_Toc29731_WPSOffice_Level2"/>
      <w:bookmarkStart w:id="10" w:name="_Hlk24379207"/>
      <w:r>
        <w:rPr>
          <w:rFonts w:hint="eastAsia" w:ascii="仿宋" w:hAnsi="仿宋" w:eastAsia="仿宋" w:cs="仿宋"/>
          <w:color w:val="auto"/>
          <w:sz w:val="28"/>
          <w:szCs w:val="28"/>
          <w:highlight w:val="none"/>
        </w:rPr>
        <w:t>一、项目基本情况</w:t>
      </w:r>
      <w:bookmarkEnd w:id="4"/>
      <w:bookmarkEnd w:id="5"/>
      <w:bookmarkEnd w:id="6"/>
      <w:bookmarkEnd w:id="7"/>
      <w:bookmarkEnd w:id="8"/>
      <w:bookmarkEnd w:id="9"/>
    </w:p>
    <w:p>
      <w:pPr>
        <w:pStyle w:val="19"/>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项目编号：</w:t>
      </w:r>
      <w:r>
        <w:rPr>
          <w:rFonts w:hint="eastAsia" w:ascii="仿宋" w:hAnsi="仿宋" w:eastAsia="仿宋" w:cs="仿宋"/>
          <w:b w:val="0"/>
          <w:bCs w:val="0"/>
          <w:i w:val="0"/>
          <w:iCs w:val="0"/>
          <w:caps w:val="0"/>
          <w:color w:val="auto"/>
          <w:spacing w:val="0"/>
          <w:sz w:val="28"/>
          <w:szCs w:val="28"/>
          <w:highlight w:val="none"/>
          <w:shd w:val="clear" w:fill="FFFFFF"/>
        </w:rPr>
        <w:t>YNZC2026-G1-03951-CXYZ-0066</w:t>
      </w:r>
    </w:p>
    <w:p>
      <w:pPr>
        <w:pStyle w:val="19"/>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rPr>
        <w:t>楚雄师范学院行政办公设备购置项目（台式计算机）</w:t>
      </w:r>
    </w:p>
    <w:bookmarkEnd w:id="10"/>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预算金额（万元）：</w:t>
      </w:r>
      <w:r>
        <w:rPr>
          <w:rFonts w:hint="eastAsia" w:ascii="仿宋" w:hAnsi="仿宋" w:eastAsia="仿宋" w:cs="仿宋"/>
          <w:color w:val="auto"/>
          <w:sz w:val="28"/>
          <w:szCs w:val="28"/>
          <w:highlight w:val="none"/>
          <w:lang w:val="en-US" w:eastAsia="zh-CN"/>
        </w:rPr>
        <w:t>60 （大写：陆拾万元整）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最高限价（万元）：</w:t>
      </w:r>
      <w:r>
        <w:rPr>
          <w:rFonts w:hint="eastAsia" w:ascii="仿宋" w:hAnsi="仿宋" w:eastAsia="仿宋" w:cs="仿宋"/>
          <w:color w:val="auto"/>
          <w:sz w:val="28"/>
          <w:szCs w:val="28"/>
          <w:highlight w:val="none"/>
          <w:lang w:val="en-US" w:eastAsia="zh-CN"/>
        </w:rPr>
        <w:t>60 （大写：陆拾万元整）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需求：为满足学校在教学中的常使用需求，提升教学信息化支撑能力，保障课程教学、实验实训、在线学习、文档处理、软件运行等稳定可靠，现需更新一批台式计算机设备，确保设备性能适配教学场景、接口满足教学外设扩展、系统兼容国产操作系统、售后保障教学不间断运行。具体要求等详见本项目招标文件第三章“技术规格、参数与要求”。</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合同履行期限：功能测试通过后所有货物必须在五个工作日内完成安装调试。</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本项目不接受联合体投标。</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11" w:name="_Toc28359080"/>
      <w:bookmarkStart w:id="12" w:name="_Toc44621996"/>
      <w:bookmarkStart w:id="13" w:name="_Toc31955_WPSOffice_Level2"/>
      <w:bookmarkStart w:id="14" w:name="_Toc35393791"/>
      <w:bookmarkStart w:id="15" w:name="_Toc35393622"/>
      <w:bookmarkStart w:id="16" w:name="_Toc28359003"/>
      <w:r>
        <w:rPr>
          <w:rFonts w:hint="eastAsia" w:ascii="仿宋" w:hAnsi="仿宋" w:eastAsia="仿宋" w:cs="仿宋"/>
          <w:color w:val="auto"/>
          <w:sz w:val="28"/>
          <w:szCs w:val="28"/>
          <w:highlight w:val="none"/>
        </w:rPr>
        <w:t>二、申请人的资格要求</w:t>
      </w:r>
      <w:bookmarkEnd w:id="11"/>
      <w:bookmarkEnd w:id="12"/>
      <w:bookmarkEnd w:id="13"/>
      <w:bookmarkEnd w:id="14"/>
      <w:bookmarkEnd w:id="15"/>
      <w:bookmarkEnd w:id="16"/>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17" w:name="_Toc29731_WPSOffice_Level3"/>
      <w:r>
        <w:rPr>
          <w:rFonts w:hint="eastAsia" w:ascii="仿宋" w:hAnsi="仿宋" w:eastAsia="仿宋" w:cs="仿宋"/>
          <w:color w:val="auto"/>
          <w:sz w:val="28"/>
          <w:szCs w:val="28"/>
          <w:highlight w:val="none"/>
        </w:rPr>
        <w:t>1.满足《中华人民共和国政府采购法》第二十二条规定</w:t>
      </w:r>
      <w:bookmarkEnd w:id="17"/>
      <w:r>
        <w:rPr>
          <w:rFonts w:hint="eastAsia" w:ascii="仿宋" w:hAnsi="仿宋" w:eastAsia="仿宋" w:cs="仿宋"/>
          <w:color w:val="auto"/>
          <w:sz w:val="28"/>
          <w:szCs w:val="28"/>
          <w:highlight w:val="none"/>
        </w:rPr>
        <w:t>：</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1）具有独立承担民事责任的能力；</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2）具有良好的商业信誉和健全的财务会计制度；</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3）具有履行合同所必需的设备和专业技术能力；</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4）有依法缴纳税收和社会保障资金的良好记录；</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5）参加政府采购活动前三年内，在经营活动中没有重大违法记录；</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6）法律、行政法规规定的其他条件。</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18" w:name="_Toc31955_WPSOffice_Level3"/>
      <w:bookmarkStart w:id="19" w:name="_Toc28359081"/>
      <w:bookmarkStart w:id="20" w:name="_Toc28359004"/>
      <w:r>
        <w:rPr>
          <w:rFonts w:hint="eastAsia" w:ascii="仿宋" w:hAnsi="仿宋" w:eastAsia="仿宋" w:cs="仿宋"/>
          <w:color w:val="auto"/>
          <w:sz w:val="28"/>
          <w:szCs w:val="28"/>
          <w:highlight w:val="none"/>
        </w:rPr>
        <w:t>2.投标人在投标截止时间前未被列入“信用中国”网站（www.creditchina.gov.cn）失信被执行人、重大税收违法案件当事人名单、政府采购严重违法失信行为记录名单，投标人须提供承诺函并加盖公章。若为失信企业，将取消投标、中标资格。</w:t>
      </w:r>
    </w:p>
    <w:bookmarkEnd w:id="18"/>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3.落实政府采购政策需满足的资格要求：本项目非专门面向中小企业采购，小型、微型企业（残疾人福利性单位、监狱企业视同小微企业）提供的产品价格给予10%的价格扣除。</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支持本国产品：对本国产品的报价给予20%的价格扣除（符合本国产品标准的产品成本之和占该供应商提供的全部产品成本之和的比例达到80%以上）。</w:t>
      </w:r>
    </w:p>
    <w:p>
      <w:pPr>
        <w:keepNext w:val="0"/>
        <w:keepLines w:val="0"/>
        <w:pageBreakBefore w:val="0"/>
        <w:widowControl w:val="0"/>
        <w:tabs>
          <w:tab w:val="left" w:pos="426"/>
        </w:tabs>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21" w:name="_Toc20584_WPSOffice_Level3"/>
      <w:r>
        <w:rPr>
          <w:rFonts w:hint="eastAsia" w:ascii="仿宋" w:hAnsi="仿宋" w:eastAsia="仿宋" w:cs="仿宋"/>
          <w:color w:val="auto"/>
          <w:sz w:val="28"/>
          <w:szCs w:val="28"/>
          <w:highlight w:val="none"/>
        </w:rPr>
        <w:t>4.本项目的特定资格要求：</w:t>
      </w:r>
      <w:bookmarkEnd w:id="21"/>
      <w:r>
        <w:rPr>
          <w:rFonts w:hint="eastAsia" w:ascii="仿宋" w:hAnsi="仿宋" w:eastAsia="仿宋" w:cs="仿宋"/>
          <w:color w:val="auto"/>
          <w:sz w:val="28"/>
          <w:szCs w:val="28"/>
          <w:highlight w:val="none"/>
        </w:rPr>
        <w:t>无</w:t>
      </w:r>
      <w:bookmarkStart w:id="22" w:name="_Toc35393792"/>
      <w:bookmarkStart w:id="23" w:name="_Toc44621997"/>
      <w:bookmarkStart w:id="24" w:name="_Toc20584_WPSOffice_Level2"/>
      <w:bookmarkStart w:id="25" w:name="_Toc35393623"/>
      <w:r>
        <w:rPr>
          <w:rFonts w:hint="eastAsia" w:ascii="仿宋" w:hAnsi="仿宋" w:eastAsia="仿宋" w:cs="仿宋"/>
          <w:color w:val="auto"/>
          <w:sz w:val="28"/>
          <w:szCs w:val="28"/>
          <w:highlight w:val="none"/>
        </w:rPr>
        <w:t>。</w:t>
      </w:r>
    </w:p>
    <w:p>
      <w:pPr>
        <w:keepNext w:val="0"/>
        <w:keepLines w:val="0"/>
        <w:pageBreakBefore w:val="0"/>
        <w:widowControl w:val="0"/>
        <w:tabs>
          <w:tab w:val="left" w:pos="426"/>
        </w:tabs>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三、获取招标文件</w:t>
      </w:r>
      <w:bookmarkEnd w:id="19"/>
      <w:bookmarkEnd w:id="20"/>
      <w:bookmarkEnd w:id="22"/>
      <w:bookmarkEnd w:id="23"/>
      <w:bookmarkEnd w:id="24"/>
      <w:bookmarkEnd w:id="25"/>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时间：</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点00分至2026年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日23点</w:t>
      </w:r>
      <w:r>
        <w:rPr>
          <w:rFonts w:ascii="仿宋" w:hAnsi="仿宋" w:eastAsia="仿宋" w:cs="仿宋"/>
          <w:color w:val="auto"/>
          <w:sz w:val="28"/>
          <w:szCs w:val="28"/>
          <w:highlight w:val="none"/>
          <w:lang w:val="en"/>
        </w:rPr>
        <w:t>59</w:t>
      </w:r>
      <w:r>
        <w:rPr>
          <w:rFonts w:hint="eastAsia" w:ascii="仿宋" w:hAnsi="仿宋" w:eastAsia="仿宋" w:cs="仿宋"/>
          <w:color w:val="auto"/>
          <w:sz w:val="28"/>
          <w:szCs w:val="28"/>
          <w:highlight w:val="none"/>
        </w:rPr>
        <w:t>分</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点：投标人自行在“政府采购云平台（网址入口：https://www.zcygov.cn/）”下载采购文件（操作路径：登录“政采云”平台-项目采购-获取采购文件-找到本项目-点击“申请获取采购文件”），电子响应文件制作需要基于“政府采购云平台（网址入口：https://www.zcygov.cn/）”获取的采购文件编制。</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方式：1.凡有意参加投标者，须在政府采购云平台办理数字证书（CA），CA申领链接：https://middle.zcygov.cn/ca/apply/list?_app_=zcy.sys，并在政采云绑定数字证书（CA）后在网上获取采购文件及其它采购资料，数字证书（CA）详见其办理流程。注：云南本地投标人如之前已在云南CA在线数字证书办理网进行过注册并办理过企业数字证书（CA），直接绑定即可，无需重复办理（2022年1月1日前办理的云南CA需到云南CA办理处进行升级）。外省投标人在政府采购云平台办理的其他CA可直接使用，无需重复办理。</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2.按上述要求获取文件的投标人视为合法获取了本项目采购文件，具备本项目的投标资格。</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售价：0.00元</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26" w:name="_Toc28359005"/>
      <w:bookmarkStart w:id="27" w:name="_Toc28359082"/>
      <w:bookmarkStart w:id="28" w:name="_Toc35393793"/>
      <w:bookmarkStart w:id="29" w:name="_Toc26790_WPSOffice_Level2"/>
      <w:bookmarkStart w:id="30" w:name="_Toc44621998"/>
      <w:bookmarkStart w:id="31" w:name="_Toc35393624"/>
      <w:r>
        <w:rPr>
          <w:rFonts w:hint="eastAsia" w:ascii="仿宋" w:hAnsi="仿宋" w:eastAsia="仿宋" w:cs="仿宋"/>
          <w:color w:val="auto"/>
          <w:sz w:val="28"/>
          <w:szCs w:val="28"/>
          <w:highlight w:val="none"/>
        </w:rPr>
        <w:t>四、提交投标文件</w:t>
      </w:r>
      <w:bookmarkEnd w:id="26"/>
      <w:bookmarkEnd w:id="27"/>
      <w:r>
        <w:rPr>
          <w:rFonts w:hint="eastAsia" w:ascii="仿宋" w:hAnsi="仿宋" w:eastAsia="仿宋" w:cs="仿宋"/>
          <w:color w:val="auto"/>
          <w:sz w:val="28"/>
          <w:szCs w:val="28"/>
          <w:highlight w:val="none"/>
        </w:rPr>
        <w:t>截止时间、开标时间和地点</w:t>
      </w:r>
      <w:bookmarkEnd w:id="28"/>
      <w:bookmarkEnd w:id="29"/>
      <w:bookmarkEnd w:id="30"/>
      <w:bookmarkEnd w:id="31"/>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ascii="仿宋" w:hAnsi="仿宋" w:eastAsia="仿宋" w:cs="仿宋"/>
          <w:color w:val="auto"/>
          <w:sz w:val="28"/>
          <w:szCs w:val="28"/>
          <w:highlight w:val="none"/>
        </w:rPr>
        <w:t>202</w:t>
      </w:r>
      <w:r>
        <w:rPr>
          <w:rFonts w:hint="eastAsia" w:ascii="仿宋" w:hAnsi="仿宋" w:eastAsia="仿宋" w:cs="仿宋"/>
          <w:color w:val="auto"/>
          <w:sz w:val="28"/>
          <w:szCs w:val="28"/>
          <w:highlight w:val="none"/>
        </w:rPr>
        <w:t>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rPr>
        <w:t>日</w:t>
      </w:r>
      <w:r>
        <w:rPr>
          <w:rFonts w:ascii="仿宋" w:hAnsi="仿宋" w:eastAsia="仿宋" w:cs="仿宋"/>
          <w:color w:val="auto"/>
          <w:sz w:val="28"/>
          <w:szCs w:val="28"/>
          <w:highlight w:val="none"/>
        </w:rPr>
        <w:t>09:00</w:t>
      </w:r>
      <w:r>
        <w:rPr>
          <w:rFonts w:hint="eastAsia" w:ascii="仿宋" w:hAnsi="仿宋" w:eastAsia="仿宋" w:cs="仿宋"/>
          <w:color w:val="auto"/>
          <w:sz w:val="28"/>
          <w:szCs w:val="28"/>
          <w:highlight w:val="none"/>
        </w:rPr>
        <w:t>（北京时间）</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点：凡有意参与投标者，请自行前往政府采购云平台“客户端&amp;驱动下载”网页（网址：https://customer.zcygov.cn/CA-driver-download?utm=web-ca-front.3ddc8fbb.0.0.91c6cff0db1311ec8cfbc9f613d30204）下载并安装“政采云投标客户端”。投标人按照招标文件和政府采购云平台（网址：https://www.zcygov.cn/）的要求编制、加密电子投标文件，投标文件在提交截止时间前未完成上传的，视为撤回投标文件。投标人在政府采购云平台提交电子版投标文件时，请填写参与远程开标活动经办人的联系方式。</w:t>
      </w:r>
      <w:r>
        <w:rPr>
          <w:rFonts w:hint="eastAsia" w:ascii="仿宋" w:hAnsi="仿宋" w:eastAsia="仿宋" w:cs="仿宋"/>
          <w:color w:val="auto"/>
          <w:sz w:val="28"/>
          <w:szCs w:val="28"/>
          <w:highlight w:val="none"/>
        </w:rPr>
        <w:t xml:space="preserve"> </w:t>
      </w:r>
    </w:p>
    <w:p>
      <w:pPr>
        <w:pStyle w:val="13"/>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32" w:name="_Toc4901_WPSOffice_Level2"/>
      <w:r>
        <w:rPr>
          <w:rFonts w:hint="eastAsia" w:ascii="仿宋" w:hAnsi="仿宋" w:eastAsia="仿宋" w:cs="仿宋"/>
          <w:color w:val="auto"/>
          <w:sz w:val="28"/>
          <w:szCs w:val="28"/>
          <w:highlight w:val="none"/>
        </w:rPr>
        <w:t>五、公告期限</w:t>
      </w:r>
      <w:bookmarkEnd w:id="32"/>
    </w:p>
    <w:p>
      <w:pPr>
        <w:pStyle w:val="13"/>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xml:space="preserve">    自本公告发布之日起5个工作日</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六、其他补充事宜</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33" w:name="_Toc44622001"/>
      <w:bookmarkStart w:id="34" w:name="_Toc14054_WPSOffice_Level2"/>
      <w:bookmarkStart w:id="35" w:name="_Toc35393796"/>
      <w:bookmarkStart w:id="36" w:name="_Toc28359008"/>
      <w:bookmarkStart w:id="37" w:name="_Toc35393627"/>
      <w:bookmarkStart w:id="38" w:name="_Toc28359085"/>
      <w:r>
        <w:rPr>
          <w:rFonts w:hint="eastAsia" w:ascii="仿宋" w:hAnsi="仿宋" w:eastAsia="仿宋" w:cs="仿宋"/>
          <w:color w:val="auto"/>
          <w:sz w:val="28"/>
          <w:szCs w:val="28"/>
          <w:highlight w:val="none"/>
        </w:rPr>
        <w:t>（一）本项目开标方式采用网上开标远程解密方式进行。</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项目投标文件解密时限为30分钟，投标人未在30分钟内解密成功视为自动放弃本项目投标。</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（二）保证金递交</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保证金金额：</w:t>
      </w:r>
      <w:r>
        <w:rPr>
          <w:rFonts w:hint="eastAsia" w:ascii="仿宋" w:hAnsi="仿宋" w:eastAsia="仿宋" w:cs="仿宋"/>
          <w:color w:val="auto"/>
          <w:sz w:val="28"/>
          <w:szCs w:val="28"/>
          <w:highlight w:val="none"/>
          <w:lang w:val="en-US" w:eastAsia="zh-CN"/>
        </w:rPr>
        <w:t>5800</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lang w:val="en-US" w:eastAsia="zh-CN"/>
        </w:rPr>
        <w:t>伍仟捌佰元整</w:t>
      </w:r>
      <w:r>
        <w:rPr>
          <w:rFonts w:hint="eastAsia" w:ascii="仿宋" w:hAnsi="仿宋" w:eastAsia="仿宋" w:cs="仿宋"/>
          <w:color w:val="auto"/>
          <w:sz w:val="28"/>
          <w:szCs w:val="28"/>
          <w:highlight w:val="none"/>
        </w:rPr>
        <w:t>）</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投标可选择银行转账、支票、汇票、本票、保函等非现金方式任一方式缴纳投标保证金。</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①境内投标人以支票、汇票、本票形式提交的保证金应当从其基本账户转出；②保证金交纳时间以保证金收取账户到账时间为准；③请投标人在汇款时务必注明招标项目的项目编号，否则，因款项用途不明导致投标文件无效等后果由投标人自行承担；④各投标人在投标截止时间前，按招标文件的要求前来办理交纳保证金相关事宜，投标截止时间之后收到的保证金无效。</w:t>
      </w:r>
    </w:p>
    <w:p>
      <w:pPr>
        <w:keepNext w:val="0"/>
        <w:keepLines w:val="0"/>
        <w:pageBreakBefore w:val="0"/>
        <w:widowControl w:val="0"/>
        <w:kinsoku/>
        <w:wordWrap w:val="0"/>
        <w:overflowPunct/>
        <w:topLinePunct w:val="0"/>
        <w:autoSpaceDE/>
        <w:autoSpaceDN/>
        <w:bidi w:val="0"/>
        <w:adjustRightInd w:val="0"/>
        <w:snapToGrid w:val="0"/>
        <w:spacing w:line="360" w:lineRule="auto"/>
        <w:ind w:firstLine="536" w:firstLineChars="200"/>
        <w:jc w:val="both"/>
        <w:textAlignment w:val="auto"/>
        <w:rPr>
          <w:rFonts w:hint="eastAsia"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（三）本次采购公告在云南省政府采购网（www.yngp.com）上发布。采购人及集采机构对其他网站或媒体转载的公告及公告内容不承担任何责任。</w:t>
      </w:r>
    </w:p>
    <w:p>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投标人将政采云电子交易客户端下载、安装完成后，可通过账号密码或CA登录客户端进行响应文件的制作。在使用政采云投标客户端时，建议使用WIN7（64位）及以上操作系统。客户端请至政采云公司网站（https://edu.zcygov.cn/luban/yunnan-dzjy-gys）进行查看下载，如有问题可拨打政采云客户服务热线400-881-7190进行咨询以及云南CA操作问题：请致电云南CA，4006727666。如因投标人自身原因导致在规定时间内无法正常解密的（如：浏览器故障、未安装相关驱动、网络故障、加密CA与解密CA不一致等），视为投标人自动弃标。</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七、对本次招标提出询问，请按以下方式联系。</w:t>
      </w:r>
      <w:bookmarkEnd w:id="33"/>
      <w:bookmarkEnd w:id="34"/>
      <w:bookmarkEnd w:id="35"/>
      <w:bookmarkEnd w:id="36"/>
      <w:bookmarkEnd w:id="37"/>
      <w:bookmarkEnd w:id="38"/>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39" w:name="_Toc26790_WPSOffice_Level3"/>
      <w:r>
        <w:rPr>
          <w:rFonts w:hint="eastAsia" w:ascii="仿宋" w:hAnsi="仿宋" w:eastAsia="仿宋" w:cs="仿宋"/>
          <w:color w:val="auto"/>
          <w:sz w:val="28"/>
          <w:szCs w:val="28"/>
          <w:highlight w:val="none"/>
        </w:rPr>
        <w:t>1.采购人信息</w:t>
      </w:r>
      <w:bookmarkEnd w:id="39"/>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名称：</w:t>
      </w:r>
      <w:bookmarkStart w:id="40" w:name="_Toc4901_WPSOffice_Level3"/>
      <w:bookmarkStart w:id="41" w:name="_Toc28359009"/>
      <w:bookmarkStart w:id="42" w:name="_Toc28359086"/>
      <w:r>
        <w:rPr>
          <w:rFonts w:hint="eastAsia" w:ascii="仿宋" w:hAnsi="仿宋" w:eastAsia="仿宋" w:cs="仿宋"/>
          <w:color w:val="auto"/>
          <w:sz w:val="28"/>
          <w:szCs w:val="28"/>
          <w:highlight w:val="none"/>
          <w:lang w:val="en-US" w:eastAsia="zh-CN"/>
        </w:rPr>
        <w:t>楚雄师范学院</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楚雄市鹿城镇鹿城南路雁塔山461号</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联系方式：0878-</w:t>
      </w:r>
      <w:r>
        <w:rPr>
          <w:rFonts w:hint="eastAsia" w:ascii="仿宋" w:hAnsi="仿宋" w:eastAsia="仿宋" w:cs="仿宋"/>
          <w:color w:val="auto"/>
          <w:sz w:val="28"/>
          <w:szCs w:val="28"/>
          <w:highlight w:val="none"/>
          <w:lang w:val="en-US" w:eastAsia="zh-CN"/>
        </w:rPr>
        <w:t>3013507</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2.采购代理机构信息</w:t>
      </w:r>
      <w:bookmarkEnd w:id="40"/>
      <w:bookmarkEnd w:id="41"/>
      <w:bookmarkEnd w:id="42"/>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名称：楚雄州公共资源交易中心</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地址：楚雄市永安路696号</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w:t>
      </w:r>
      <w:bookmarkStart w:id="43" w:name="_Toc28359087"/>
      <w:bookmarkStart w:id="44" w:name="_Toc28359010"/>
      <w:r>
        <w:rPr>
          <w:rFonts w:hint="eastAsia" w:ascii="仿宋" w:hAnsi="仿宋" w:eastAsia="仿宋" w:cs="仿宋"/>
          <w:color w:val="auto"/>
          <w:sz w:val="28"/>
          <w:szCs w:val="28"/>
          <w:highlight w:val="none"/>
        </w:rPr>
        <w:t>0878-6168885</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bookmarkStart w:id="45" w:name="_Toc30065_WPSOffice_Level3"/>
      <w:r>
        <w:rPr>
          <w:rFonts w:hint="eastAsia" w:ascii="仿宋" w:hAnsi="仿宋" w:eastAsia="仿宋" w:cs="仿宋"/>
          <w:color w:val="auto"/>
          <w:sz w:val="28"/>
          <w:szCs w:val="28"/>
          <w:highlight w:val="none"/>
        </w:rPr>
        <w:t>3.项目联系方式</w:t>
      </w:r>
      <w:bookmarkEnd w:id="43"/>
      <w:bookmarkEnd w:id="44"/>
      <w:bookmarkEnd w:id="45"/>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lang w:val="en-US" w:eastAsia="zh-CN"/>
        </w:rPr>
        <w:t>谭</w:t>
      </w:r>
      <w:r>
        <w:rPr>
          <w:rFonts w:hint="eastAsia" w:ascii="仿宋" w:hAnsi="仿宋" w:eastAsia="仿宋" w:cs="仿宋"/>
          <w:color w:val="auto"/>
          <w:sz w:val="28"/>
          <w:szCs w:val="28"/>
          <w:highlight w:val="none"/>
        </w:rPr>
        <w:t>老师</w:t>
      </w:r>
    </w:p>
    <w:p>
      <w:pPr>
        <w:keepNext w:val="0"/>
        <w:keepLines w:val="0"/>
        <w:pageBreakBefore w:val="0"/>
        <w:widowControl w:val="0"/>
        <w:kinsoku/>
        <w:overflowPunct/>
        <w:topLinePunct w:val="0"/>
        <w:autoSpaceDE/>
        <w:autoSpaceDN/>
        <w:bidi w:val="0"/>
        <w:adjustRightInd w:val="0"/>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电话：0878-</w:t>
      </w:r>
      <w:r>
        <w:rPr>
          <w:rFonts w:hint="eastAsia" w:ascii="仿宋" w:hAnsi="仿宋" w:eastAsia="仿宋" w:cs="仿宋"/>
          <w:color w:val="auto"/>
          <w:sz w:val="28"/>
          <w:szCs w:val="28"/>
          <w:highlight w:val="none"/>
          <w:lang w:val="en-US" w:eastAsia="zh-CN"/>
        </w:rPr>
        <w:t>3013507</w:t>
      </w:r>
    </w:p>
    <w:p>
      <w:pPr>
        <w:pStyle w:val="3"/>
        <w:ind w:left="0" w:firstLine="0"/>
        <w:jc w:val="center"/>
        <w:rPr>
          <w:rFonts w:hint="eastAsia" w:ascii="仿宋" w:hAnsi="仿宋" w:eastAsia="仿宋"/>
          <w:color w:val="auto"/>
          <w:highlight w:val="none"/>
        </w:rPr>
      </w:pPr>
      <w:bookmarkStart w:id="46" w:name="_Toc13356"/>
      <w:bookmarkStart w:id="47" w:name="_Toc25948_WPSOffice_Level1"/>
      <w:bookmarkStart w:id="48" w:name="_Toc60996675"/>
      <w:bookmarkStart w:id="49" w:name="_第二章__投标人须知"/>
      <w:r>
        <w:rPr>
          <w:rFonts w:hint="eastAsia" w:ascii="仿宋" w:hAnsi="仿宋" w:eastAsia="仿宋"/>
          <w:color w:val="auto"/>
          <w:highlight w:val="none"/>
        </w:rPr>
        <w:t>第二章 投标人须知</w:t>
      </w:r>
      <w:bookmarkEnd w:id="46"/>
    </w:p>
    <w:p>
      <w:pPr>
        <w:pStyle w:val="3"/>
        <w:ind w:left="0" w:firstLine="0"/>
        <w:jc w:val="center"/>
        <w:rPr>
          <w:rFonts w:hint="eastAsia" w:ascii="仿宋" w:hAnsi="仿宋" w:eastAsia="仿宋"/>
          <w:color w:val="auto"/>
          <w:sz w:val="36"/>
          <w:szCs w:val="36"/>
          <w:highlight w:val="none"/>
        </w:rPr>
      </w:pPr>
      <w:bookmarkStart w:id="50" w:name="_Toc20490"/>
      <w:r>
        <w:rPr>
          <w:rFonts w:hint="eastAsia" w:ascii="仿宋" w:hAnsi="仿宋" w:eastAsia="仿宋"/>
          <w:color w:val="auto"/>
          <w:sz w:val="36"/>
          <w:szCs w:val="36"/>
          <w:highlight w:val="none"/>
        </w:rPr>
        <w:t>投标人须知</w:t>
      </w:r>
      <w:bookmarkEnd w:id="47"/>
      <w:bookmarkEnd w:id="48"/>
      <w:r>
        <w:rPr>
          <w:rFonts w:hint="eastAsia" w:ascii="仿宋" w:hAnsi="仿宋" w:eastAsia="仿宋"/>
          <w:color w:val="auto"/>
          <w:sz w:val="36"/>
          <w:szCs w:val="36"/>
          <w:highlight w:val="none"/>
        </w:rPr>
        <w:t>前附表</w:t>
      </w:r>
      <w:bookmarkEnd w:id="50"/>
    </w:p>
    <w:bookmarkEnd w:id="49"/>
    <w:tbl>
      <w:tblPr>
        <w:tblStyle w:val="3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2881"/>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
                <w:snapToGrid w:val="0"/>
                <w:color w:val="auto"/>
                <w:kern w:val="0"/>
                <w:sz w:val="28"/>
                <w:szCs w:val="28"/>
                <w:highlight w:val="none"/>
              </w:rPr>
            </w:pPr>
            <w:r>
              <w:rPr>
                <w:rFonts w:hint="eastAsia" w:ascii="仿宋" w:hAnsi="仿宋" w:eastAsia="仿宋" w:cs="仿宋"/>
                <w:b/>
                <w:snapToGrid w:val="0"/>
                <w:color w:val="auto"/>
                <w:kern w:val="0"/>
                <w:sz w:val="28"/>
                <w:szCs w:val="28"/>
                <w:highlight w:val="none"/>
              </w:rPr>
              <w:t>序号</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
                <w:snapToGrid w:val="0"/>
                <w:color w:val="auto"/>
                <w:kern w:val="0"/>
                <w:sz w:val="28"/>
                <w:szCs w:val="28"/>
                <w:highlight w:val="none"/>
              </w:rPr>
            </w:pPr>
            <w:r>
              <w:rPr>
                <w:rFonts w:hint="eastAsia" w:ascii="仿宋" w:hAnsi="仿宋" w:eastAsia="仿宋" w:cs="仿宋"/>
                <w:b/>
                <w:snapToGrid w:val="0"/>
                <w:color w:val="auto"/>
                <w:kern w:val="0"/>
                <w:sz w:val="28"/>
                <w:szCs w:val="28"/>
                <w:highlight w:val="none"/>
              </w:rPr>
              <w:t>条款名称</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
                <w:snapToGrid w:val="0"/>
                <w:color w:val="auto"/>
                <w:kern w:val="0"/>
                <w:sz w:val="28"/>
                <w:szCs w:val="28"/>
                <w:highlight w:val="none"/>
              </w:rPr>
            </w:pPr>
            <w:r>
              <w:rPr>
                <w:rFonts w:hint="eastAsia" w:ascii="仿宋" w:hAnsi="仿宋" w:eastAsia="仿宋" w:cs="仿宋"/>
                <w:b/>
                <w:snapToGrid w:val="0"/>
                <w:color w:val="auto"/>
                <w:kern w:val="0"/>
                <w:sz w:val="28"/>
                <w:szCs w:val="28"/>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9"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u w:val="single"/>
              </w:rPr>
            </w:pPr>
            <w:r>
              <w:rPr>
                <w:rFonts w:hint="eastAsia" w:ascii="仿宋" w:hAnsi="仿宋" w:eastAsia="仿宋" w:cs="仿宋"/>
                <w:bCs/>
                <w:snapToGrid w:val="0"/>
                <w:color w:val="auto"/>
                <w:kern w:val="0"/>
                <w:sz w:val="28"/>
                <w:szCs w:val="28"/>
                <w:highlight w:val="none"/>
              </w:rPr>
              <w:t>采购人</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名称：楚雄师范学院</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地址：</w:t>
            </w:r>
            <w:r>
              <w:rPr>
                <w:rFonts w:hint="eastAsia" w:ascii="仿宋" w:hAnsi="仿宋" w:eastAsia="仿宋" w:cs="仿宋"/>
                <w:snapToGrid w:val="0"/>
                <w:color w:val="auto"/>
                <w:kern w:val="0"/>
                <w:sz w:val="28"/>
                <w:szCs w:val="28"/>
                <w:highlight w:val="none"/>
                <w:lang w:val="en-US" w:eastAsia="zh-CN"/>
              </w:rPr>
              <w:t>楚雄市鹿城镇鹿城南路雁塔山461号</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联系人：</w:t>
            </w:r>
            <w:r>
              <w:rPr>
                <w:rFonts w:hint="eastAsia" w:ascii="仿宋" w:hAnsi="仿宋" w:eastAsia="仿宋" w:cs="仿宋"/>
                <w:bCs/>
                <w:snapToGrid w:val="0"/>
                <w:color w:val="auto"/>
                <w:kern w:val="0"/>
                <w:sz w:val="28"/>
                <w:szCs w:val="28"/>
                <w:highlight w:val="none"/>
                <w:lang w:val="en-US" w:eastAsia="zh-CN"/>
              </w:rPr>
              <w:t>谭</w:t>
            </w:r>
            <w:r>
              <w:rPr>
                <w:rFonts w:hint="eastAsia" w:ascii="仿宋" w:hAnsi="仿宋" w:eastAsia="仿宋" w:cs="仿宋"/>
                <w:bCs/>
                <w:snapToGrid w:val="0"/>
                <w:color w:val="auto"/>
                <w:kern w:val="0"/>
                <w:sz w:val="28"/>
                <w:szCs w:val="28"/>
                <w:highlight w:val="none"/>
              </w:rPr>
              <w:t>老师</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default" w:ascii="仿宋" w:hAnsi="仿宋" w:eastAsia="仿宋" w:cs="仿宋"/>
                <w:bCs/>
                <w:snapToGrid w:val="0"/>
                <w:color w:val="auto"/>
                <w:kern w:val="0"/>
                <w:sz w:val="28"/>
                <w:szCs w:val="28"/>
                <w:highlight w:val="none"/>
                <w:lang w:val="en-US" w:eastAsia="zh-CN"/>
              </w:rPr>
            </w:pPr>
            <w:r>
              <w:rPr>
                <w:rFonts w:hint="eastAsia" w:ascii="仿宋" w:hAnsi="仿宋" w:eastAsia="仿宋" w:cs="仿宋"/>
                <w:bCs/>
                <w:snapToGrid w:val="0"/>
                <w:color w:val="auto"/>
                <w:kern w:val="0"/>
                <w:sz w:val="28"/>
                <w:szCs w:val="28"/>
                <w:highlight w:val="none"/>
              </w:rPr>
              <w:t>电话：</w:t>
            </w:r>
            <w:r>
              <w:rPr>
                <w:rFonts w:hint="eastAsia" w:ascii="仿宋" w:hAnsi="仿宋" w:eastAsia="仿宋" w:cs="仿宋"/>
                <w:bCs/>
                <w:snapToGrid w:val="0"/>
                <w:color w:val="auto"/>
                <w:kern w:val="0"/>
                <w:sz w:val="28"/>
                <w:szCs w:val="28"/>
                <w:highlight w:val="none"/>
                <w:lang w:val="en-US" w:eastAsia="zh-CN"/>
              </w:rPr>
              <w:t>0878-3013507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2" w:hRule="atLeast"/>
          <w:jc w:val="center"/>
        </w:trPr>
        <w:tc>
          <w:tcPr>
            <w:tcW w:w="478"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集采机构</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名称：楚雄州公共资源交易中心</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地址：楚雄市永安路696号</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联系人：普老师</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电话：0878-6168885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478"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3</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行政监督部门</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lang w:eastAsia="zh-CN"/>
              </w:rPr>
            </w:pPr>
            <w:r>
              <w:rPr>
                <w:rFonts w:hint="eastAsia" w:ascii="仿宋" w:hAnsi="仿宋" w:eastAsia="仿宋" w:cs="仿宋"/>
                <w:bCs/>
                <w:snapToGrid w:val="0"/>
                <w:color w:val="auto"/>
                <w:kern w:val="0"/>
                <w:sz w:val="28"/>
                <w:szCs w:val="28"/>
                <w:highlight w:val="none"/>
              </w:rPr>
              <w:t>名称：</w:t>
            </w:r>
            <w:r>
              <w:rPr>
                <w:rFonts w:hint="eastAsia" w:ascii="仿宋" w:hAnsi="仿宋" w:eastAsia="仿宋" w:cs="仿宋"/>
                <w:bCs/>
                <w:snapToGrid w:val="0"/>
                <w:color w:val="auto"/>
                <w:kern w:val="0"/>
                <w:sz w:val="28"/>
                <w:szCs w:val="28"/>
                <w:highlight w:val="none"/>
                <w:lang w:eastAsia="zh-CN"/>
              </w:rPr>
              <w:t>云南省财政厅政府采购管理处</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电话：0871-63956094</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地址：云南省昆明市五华区华山南路130号省财政厅4006办公室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478"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4</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项目名称</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楚雄师范学院行政办公设备购置项目（台式计算机）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78"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5</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项目编号</w:t>
            </w:r>
          </w:p>
        </w:tc>
        <w:tc>
          <w:tcPr>
            <w:tcW w:w="2970" w:type="pct"/>
            <w:vAlign w:val="center"/>
          </w:tcPr>
          <w:p>
            <w:pPr>
              <w:pStyle w:val="19"/>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Cs/>
                <w:snapToGrid w:val="0"/>
                <w:color w:val="auto"/>
                <w:kern w:val="0"/>
                <w:sz w:val="28"/>
                <w:szCs w:val="28"/>
                <w:highlight w:val="none"/>
              </w:rPr>
            </w:pPr>
            <w:r>
              <w:rPr>
                <w:rFonts w:hint="eastAsia" w:ascii="仿宋" w:hAnsi="仿宋" w:eastAsia="仿宋" w:cs="仿宋"/>
                <w:b w:val="0"/>
                <w:bCs w:val="0"/>
                <w:i w:val="0"/>
                <w:iCs w:val="0"/>
                <w:caps w:val="0"/>
                <w:color w:val="auto"/>
                <w:spacing w:val="0"/>
                <w:sz w:val="28"/>
                <w:szCs w:val="28"/>
                <w:highlight w:val="none"/>
                <w:shd w:val="clear" w:fill="FFFFFF"/>
              </w:rPr>
              <w:t>YNZC2026-G1-03951-CXYZ-0066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478"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6</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采购预算（最高限价）</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lang w:val="en-US" w:eastAsia="zh-CN"/>
              </w:rPr>
              <w:t>60</w:t>
            </w:r>
            <w:r>
              <w:rPr>
                <w:rFonts w:hint="eastAsia" w:ascii="仿宋" w:hAnsi="仿宋" w:eastAsia="仿宋" w:cs="仿宋"/>
                <w:bCs/>
                <w:snapToGrid w:val="0"/>
                <w:color w:val="auto"/>
                <w:kern w:val="0"/>
                <w:sz w:val="28"/>
                <w:szCs w:val="28"/>
                <w:highlight w:val="none"/>
              </w:rPr>
              <w:t>万元（大写：</w:t>
            </w:r>
            <w:r>
              <w:rPr>
                <w:rFonts w:hint="eastAsia" w:ascii="仿宋" w:hAnsi="仿宋" w:eastAsia="仿宋" w:cs="仿宋"/>
                <w:bCs/>
                <w:snapToGrid w:val="0"/>
                <w:color w:val="auto"/>
                <w:kern w:val="0"/>
                <w:sz w:val="28"/>
                <w:szCs w:val="28"/>
                <w:highlight w:val="none"/>
                <w:lang w:val="en-US" w:eastAsia="zh-CN"/>
              </w:rPr>
              <w:t>陆拾万</w:t>
            </w:r>
            <w:r>
              <w:rPr>
                <w:rFonts w:hint="eastAsia" w:ascii="仿宋" w:hAnsi="仿宋" w:eastAsia="仿宋" w:cs="仿宋"/>
                <w:bCs/>
                <w:snapToGrid w:val="0"/>
                <w:color w:val="auto"/>
                <w:kern w:val="0"/>
                <w:sz w:val="28"/>
                <w:szCs w:val="28"/>
                <w:highlight w:val="none"/>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7</w:t>
            </w:r>
          </w:p>
        </w:tc>
        <w:tc>
          <w:tcPr>
            <w:tcW w:w="1551"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招标范围</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为满足学校在教学中的常使用需求，提升教学信息化支撑能力，保障课程教学、实验实训、在线学习、文档处理、软件运行等稳定可靠，现需更新一批台式计算机设备，确保设备性能适配教学场景、接口满足教学外设扩展、系统兼容国产操作系统、售后保障教学不间断运行。具体要求等详见本项目招标文件第三章“技术规格、参数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8</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交货期限</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lang w:val="en-US" w:eastAsia="zh-CN"/>
              </w:rPr>
            </w:pPr>
            <w:r>
              <w:rPr>
                <w:rFonts w:hint="eastAsia" w:ascii="仿宋" w:hAnsi="仿宋" w:eastAsia="仿宋" w:cs="仿宋"/>
                <w:color w:val="auto"/>
                <w:sz w:val="28"/>
                <w:szCs w:val="28"/>
                <w:highlight w:val="none"/>
              </w:rPr>
              <w:t>功能测试通过后所有货物必须在五个工作日内完成安装调试。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9</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投标人资格要求</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1.基本资格条件：投标人须具备《中华人民共和国政府采购法》第二十二条规定的基本资格条件，并提供以下资格证明文件：</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（1）法人或者其他组织的营业执照等证明文件，自然人的身份证明；</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（2）财务状况报告，依法缴纳税收和社会保障资金的相关材料；</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（3）具备履行合同所必需的设备和专业技术能力的证明材料；</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（4）参加政府采购活动前3年内在经营活动中没有重大违法记录的书面声明；</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（5）具备法律、行政法规规定的其他条件的证明材料。</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2.落实政府采购政策需满足的资格要求：本项目非专门面向中小企业采购，小型、微型企业（残疾人福利性单位、监狱企业视同小微企业）提供的产品价格给予10%的价格扣除。</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支持本国产品：对本国产品的报价给予20%的价格扣除（符合本国产品标准的产品成本之和占该供应商提供的全部产品成本之和的比例达到80%以上）。</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3.特定资格要求：无</w:t>
            </w:r>
          </w:p>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4.投标人在投标截止时间前未被列入“信用中国”网站（www.creditchina.gov.cn）失信被执行人、重大税收违法案件当事人名单、政府采购严重违法失信行为记录名单，投标人须提供承诺函并加盖公章。若为失信企业，将取消投标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10</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是否接受联合体投标</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11</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是否采购进口产品</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12</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是否提供样品</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13</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是否现场踏勘</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lang w:val="en-US" w:eastAsia="zh-CN"/>
              </w:rPr>
            </w:pPr>
            <w:r>
              <w:rPr>
                <w:rFonts w:hint="eastAsia" w:ascii="仿宋" w:hAnsi="仿宋" w:eastAsia="仿宋" w:cs="仿宋"/>
                <w:snapToGrid w:val="0"/>
                <w:color w:val="auto"/>
                <w:kern w:val="0"/>
                <w:sz w:val="28"/>
                <w:szCs w:val="28"/>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14</w:t>
            </w:r>
          </w:p>
        </w:tc>
        <w:tc>
          <w:tcPr>
            <w:tcW w:w="1551" w:type="pct"/>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bottom"/>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投标人对招标文件询问、质疑截止时间</w:t>
            </w:r>
          </w:p>
        </w:tc>
        <w:tc>
          <w:tcPr>
            <w:tcW w:w="2970" w:type="pct"/>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both"/>
              <w:textAlignment w:val="bottom"/>
              <w:rPr>
                <w:rFonts w:hint="eastAsia" w:ascii="仿宋" w:hAnsi="仿宋" w:eastAsia="仿宋" w:cs="仿宋"/>
                <w:b/>
                <w:bCs/>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提交投标文件的截止日期10日前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15</w:t>
            </w:r>
          </w:p>
        </w:tc>
        <w:tc>
          <w:tcPr>
            <w:tcW w:w="1551" w:type="pct"/>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center"/>
              <w:textAlignment w:val="bottom"/>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投标人对招标文件进行询问、质疑的联系方式</w:t>
            </w:r>
          </w:p>
        </w:tc>
        <w:tc>
          <w:tcPr>
            <w:tcW w:w="2970" w:type="pct"/>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both"/>
              <w:textAlignment w:val="bottom"/>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 xml:space="preserve">联系人：普老师 </w:t>
            </w:r>
            <w:r>
              <w:rPr>
                <w:rFonts w:hint="eastAsia" w:ascii="仿宋" w:hAnsi="仿宋" w:eastAsia="仿宋" w:cs="仿宋"/>
                <w:snapToGrid w:val="0"/>
                <w:color w:val="auto"/>
                <w:kern w:val="0"/>
                <w:sz w:val="28"/>
                <w:szCs w:val="28"/>
                <w:highlight w:val="none"/>
              </w:rPr>
              <w:t>0878-6168885</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1120" w:firstLineChars="400"/>
              <w:jc w:val="both"/>
              <w:textAlignment w:val="bottom"/>
              <w:rPr>
                <w:rFonts w:hint="default" w:ascii="仿宋" w:hAnsi="仿宋" w:eastAsia="仿宋" w:cs="仿宋"/>
                <w:bCs/>
                <w:snapToGrid w:val="0"/>
                <w:color w:val="auto"/>
                <w:kern w:val="0"/>
                <w:sz w:val="28"/>
                <w:szCs w:val="28"/>
                <w:highlight w:val="none"/>
                <w:lang w:val="en-US" w:eastAsia="zh-CN"/>
              </w:rPr>
            </w:pPr>
            <w:r>
              <w:rPr>
                <w:rFonts w:hint="eastAsia" w:ascii="仿宋" w:hAnsi="仿宋" w:eastAsia="仿宋" w:cs="仿宋"/>
                <w:bCs/>
                <w:snapToGrid w:val="0"/>
                <w:color w:val="auto"/>
                <w:kern w:val="0"/>
                <w:sz w:val="28"/>
                <w:szCs w:val="28"/>
                <w:highlight w:val="none"/>
                <w:lang w:val="en-US" w:eastAsia="zh-CN"/>
              </w:rPr>
              <w:t>谭</w:t>
            </w:r>
            <w:r>
              <w:rPr>
                <w:rFonts w:hint="eastAsia" w:ascii="仿宋" w:hAnsi="仿宋" w:eastAsia="仿宋" w:cs="仿宋"/>
                <w:bCs/>
                <w:snapToGrid w:val="0"/>
                <w:color w:val="auto"/>
                <w:kern w:val="0"/>
                <w:sz w:val="28"/>
                <w:szCs w:val="28"/>
                <w:highlight w:val="none"/>
              </w:rPr>
              <w:t>老师 0878-</w:t>
            </w:r>
            <w:r>
              <w:rPr>
                <w:rFonts w:hint="eastAsia" w:ascii="仿宋" w:hAnsi="仿宋" w:eastAsia="仿宋" w:cs="仿宋"/>
                <w:bCs/>
                <w:snapToGrid w:val="0"/>
                <w:color w:val="auto"/>
                <w:kern w:val="0"/>
                <w:sz w:val="28"/>
                <w:szCs w:val="28"/>
                <w:highlight w:val="none"/>
                <w:lang w:val="en-US" w:eastAsia="zh-CN"/>
              </w:rPr>
              <w:t>3013507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16</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投标有效期</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17</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投标保证金</w:t>
            </w:r>
          </w:p>
        </w:tc>
        <w:tc>
          <w:tcPr>
            <w:tcW w:w="2970" w:type="pct"/>
            <w:vAlign w:val="center"/>
          </w:tcPr>
          <w:p>
            <w:pPr>
              <w:pStyle w:val="2"/>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根据《云南省财政厅关于促进政府采购公平竞争优化营商环境的实施意见》（云财规〔2019〕5号），本项目实收保证金：</w:t>
            </w:r>
            <w:r>
              <w:rPr>
                <w:rFonts w:hint="eastAsia" w:ascii="仿宋" w:hAnsi="仿宋" w:eastAsia="仿宋" w:cs="仿宋"/>
                <w:color w:val="auto"/>
                <w:sz w:val="28"/>
                <w:szCs w:val="28"/>
                <w:highlight w:val="none"/>
                <w:lang w:val="en-US" w:eastAsia="zh-CN"/>
              </w:rPr>
              <w:t>5800</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lang w:val="en-US" w:eastAsia="zh-CN"/>
              </w:rPr>
              <w:t>伍仟捌佰元整</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投标可选择银行转账、银行保函、保险保函等任一非现金形式缴纳或提交保证金。</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银行转账。投标保证金应以投标人名义提交，并且必须从投标人基本账户转出，不得以分支机构及其他名义提交（按照规定，投标人可以为自然人的项目除外）。投标人应在投标截止时间前递交保证金，到账时间以实际到达已公布的项目银行账号时间为准，未在投标截止时间前到账的保证金视为未提交。银行转账办理：</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开户名称：楚雄彝族自治州政务服务管理局公共资源交易保证金专户</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开户行：中国工商银行股份有限公司楚雄牡丹支行</w:t>
            </w:r>
          </w:p>
          <w:p>
            <w:pPr>
              <w:pStyle w:val="2"/>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保证金提交账号：2516032429200172093</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投标保证金转账到银行账户后，潜在投标人应将保证金缴纳回执、银行付款回单扫描上传到投标文件中。</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注：属于采购人（采购代理机构）收取投标保证金的项目，按照采购人（采购代理机构）的要求明确。</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银行保函。保函申请人应是投标人，受益人应是招标人，保证人应是投标人基本账号的开户银行。银行保函应正确填写受益人和申请人的全称，并与招标文件规定的项目名称相一致，以免造成投标无效。当投标人违反招标投标法律法规规章等规定且符合保证金不予退回情形的，由银行按照银行保函合同对招标人代偿投标保证金额。潜在投标人应将银行保函扫描上传到投标文件中，在签订合同前中标投标人原件交由采购人核验确认。</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3.保险保函。在投标保证保险中，投标人为投保人，招标人为被保险人。保险保函由潜在投标人扫描上传到投标文件中，当投标人违反法律法规且符合投标保证金不予退回情形的，由保险公司按照保险合同对招标人代偿投标保证金金额。在签合同前，中标投标人原件交由采购人进行核验确认。</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4.未缴纳或按时足额缴纳投标保证金的，其投标将被拒绝。</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5.本项目不接受投标人以现金形式提交保证金；</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6.请投标人在汇款时务必注明采购项目编号，否则，因款项用途不明导致投标无效等后果由投标人自行承担；</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7.保证金有效期与投标有效期一致。</w:t>
            </w:r>
          </w:p>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8.采购项目（标段）有投诉等特殊情况时，在特殊情况处理期间，暂缓退还所有投标人的保证金。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18</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投标文件的递交</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投标人须在投标截止时间前登录“政府采购云平台（网址入口：https://www.zcygov.cn/）”完成所有投标文件的上传。未按要求在投标截止时间前完成投标文件上传的，视为自动放弃投标。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19</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投标文件提交的截止时间</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2026年</w:t>
            </w:r>
            <w:r>
              <w:rPr>
                <w:rFonts w:hint="eastAsia" w:ascii="仿宋" w:hAnsi="仿宋" w:eastAsia="仿宋" w:cs="仿宋"/>
                <w:snapToGrid w:val="0"/>
                <w:color w:val="auto"/>
                <w:kern w:val="0"/>
                <w:sz w:val="28"/>
                <w:szCs w:val="28"/>
                <w:highlight w:val="none"/>
                <w:lang w:val="en-US" w:eastAsia="zh-CN"/>
              </w:rPr>
              <w:t>7</w:t>
            </w:r>
            <w:r>
              <w:rPr>
                <w:rFonts w:hint="eastAsia" w:ascii="仿宋" w:hAnsi="仿宋" w:eastAsia="仿宋" w:cs="仿宋"/>
                <w:snapToGrid w:val="0"/>
                <w:color w:val="auto"/>
                <w:kern w:val="0"/>
                <w:sz w:val="28"/>
                <w:szCs w:val="28"/>
                <w:highlight w:val="none"/>
              </w:rPr>
              <w:t>月</w:t>
            </w:r>
            <w:r>
              <w:rPr>
                <w:rFonts w:hint="eastAsia" w:ascii="仿宋" w:hAnsi="仿宋" w:eastAsia="仿宋" w:cs="仿宋"/>
                <w:snapToGrid w:val="0"/>
                <w:color w:val="auto"/>
                <w:kern w:val="0"/>
                <w:sz w:val="28"/>
                <w:szCs w:val="28"/>
                <w:highlight w:val="none"/>
                <w:lang w:val="en-US" w:eastAsia="zh-CN"/>
              </w:rPr>
              <w:t>31</w:t>
            </w:r>
            <w:r>
              <w:rPr>
                <w:rFonts w:hint="eastAsia" w:ascii="仿宋" w:hAnsi="仿宋" w:eastAsia="仿宋" w:cs="仿宋"/>
                <w:snapToGrid w:val="0"/>
                <w:color w:val="auto"/>
                <w:kern w:val="0"/>
                <w:sz w:val="28"/>
                <w:szCs w:val="28"/>
                <w:highlight w:val="none"/>
              </w:rPr>
              <w:t>日09:00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20</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开标时间</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2026年</w:t>
            </w:r>
            <w:r>
              <w:rPr>
                <w:rFonts w:hint="eastAsia" w:ascii="仿宋" w:hAnsi="仿宋" w:eastAsia="仿宋" w:cs="仿宋"/>
                <w:snapToGrid w:val="0"/>
                <w:color w:val="auto"/>
                <w:kern w:val="0"/>
                <w:sz w:val="28"/>
                <w:szCs w:val="28"/>
                <w:highlight w:val="none"/>
                <w:lang w:val="en-US" w:eastAsia="zh-CN"/>
              </w:rPr>
              <w:t>7</w:t>
            </w:r>
            <w:r>
              <w:rPr>
                <w:rFonts w:hint="eastAsia" w:ascii="仿宋" w:hAnsi="仿宋" w:eastAsia="仿宋" w:cs="仿宋"/>
                <w:snapToGrid w:val="0"/>
                <w:color w:val="auto"/>
                <w:kern w:val="0"/>
                <w:sz w:val="28"/>
                <w:szCs w:val="28"/>
                <w:highlight w:val="none"/>
              </w:rPr>
              <w:t>月</w:t>
            </w:r>
            <w:r>
              <w:rPr>
                <w:rFonts w:hint="eastAsia" w:ascii="仿宋" w:hAnsi="仿宋" w:eastAsia="仿宋" w:cs="仿宋"/>
                <w:snapToGrid w:val="0"/>
                <w:color w:val="auto"/>
                <w:kern w:val="0"/>
                <w:sz w:val="28"/>
                <w:szCs w:val="28"/>
                <w:highlight w:val="none"/>
                <w:lang w:val="en-US" w:eastAsia="zh-CN"/>
              </w:rPr>
              <w:t>31</w:t>
            </w:r>
            <w:r>
              <w:rPr>
                <w:rFonts w:hint="eastAsia" w:ascii="仿宋" w:hAnsi="仿宋" w:eastAsia="仿宋" w:cs="仿宋"/>
                <w:snapToGrid w:val="0"/>
                <w:color w:val="auto"/>
                <w:kern w:val="0"/>
                <w:sz w:val="28"/>
                <w:szCs w:val="28"/>
                <w:highlight w:val="none"/>
              </w:rPr>
              <w:t>日09:00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21</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开标地点</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楚雄州公共资源交易中心（楚雄市永安路696号）六楼开标厅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22</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开标方式</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本项目实行远程解密网上开标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23</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评标办法</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24</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推荐的中标候选人数量</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25</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中标人公示的媒介</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采购人或者集采机构自中标人确定之日起2个工作日内，在云南省政府采购网</w:t>
            </w:r>
            <w:r>
              <w:rPr>
                <w:rFonts w:hint="eastAsia" w:ascii="仿宋" w:hAnsi="仿宋" w:eastAsia="仿宋" w:cs="仿宋"/>
                <w:snapToGrid w:val="0"/>
                <w:color w:val="auto"/>
                <w:kern w:val="0"/>
                <w:sz w:val="28"/>
                <w:szCs w:val="28"/>
                <w:highlight w:val="none"/>
              </w:rPr>
              <w:t>发布中标结果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26</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履约保证金金额</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lang w:eastAsia="zh-CN"/>
              </w:rPr>
            </w:pPr>
            <w:r>
              <w:rPr>
                <w:rFonts w:hint="eastAsia" w:ascii="仿宋" w:hAnsi="仿宋" w:eastAsia="仿宋" w:cs="仿宋"/>
                <w:snapToGrid w:val="0"/>
                <w:color w:val="auto"/>
                <w:kern w:val="0"/>
                <w:sz w:val="28"/>
                <w:szCs w:val="28"/>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27</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政府采购优先采购节能、环境标志产品</w:t>
            </w:r>
          </w:p>
        </w:tc>
        <w:tc>
          <w:tcPr>
            <w:tcW w:w="2970" w:type="pct"/>
            <w:vAlign w:val="center"/>
          </w:tcPr>
          <w:p>
            <w:pPr>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采购的产品属于品目清单范围的，在性能、技术、服务等指标同等条件下，应当依据国家确定的认证机构出具的、处于有效期之内的节能产品、环境标志产品认证证书，对获得证书的产品实施政府优先采购。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snapToGrid w:val="0"/>
                <w:color w:val="auto"/>
                <w:kern w:val="0"/>
                <w:sz w:val="28"/>
                <w:szCs w:val="28"/>
                <w:highlight w:val="none"/>
              </w:rPr>
            </w:pPr>
            <w:r>
              <w:rPr>
                <w:rFonts w:hint="eastAsia" w:ascii="仿宋" w:hAnsi="仿宋" w:eastAsia="仿宋" w:cs="仿宋"/>
                <w:snapToGrid w:val="0"/>
                <w:color w:val="auto"/>
                <w:kern w:val="0"/>
                <w:sz w:val="28"/>
                <w:szCs w:val="28"/>
                <w:highlight w:val="none"/>
              </w:rPr>
              <w:t>28</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涉及政府采购政策优惠的价格扣除</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支持中小企业发展：小型和微型企业价格扣除比例</w:t>
            </w:r>
            <w:r>
              <w:rPr>
                <w:rFonts w:hint="eastAsia" w:ascii="仿宋" w:hAnsi="仿宋" w:eastAsia="仿宋" w:cs="仿宋"/>
                <w:bCs/>
                <w:snapToGrid w:val="0"/>
                <w:color w:val="auto"/>
                <w:kern w:val="0"/>
                <w:sz w:val="28"/>
                <w:szCs w:val="28"/>
                <w:highlight w:val="none"/>
              </w:rPr>
              <w:t>为10％，残</w:t>
            </w:r>
            <w:r>
              <w:rPr>
                <w:rFonts w:hint="eastAsia" w:ascii="仿宋" w:hAnsi="仿宋" w:eastAsia="仿宋" w:cs="仿宋"/>
                <w:bCs/>
                <w:snapToGrid w:val="0"/>
                <w:color w:val="auto"/>
                <w:kern w:val="0"/>
                <w:sz w:val="28"/>
                <w:szCs w:val="28"/>
                <w:highlight w:val="none"/>
              </w:rPr>
              <w:t>疾人福利性单位、监狱企业视同小型、微型企业，享受评审中的价格扣除。</w:t>
            </w:r>
            <w:r>
              <w:rPr>
                <w:rFonts w:hint="eastAsia" w:ascii="仿宋" w:hAnsi="仿宋" w:eastAsia="仿宋" w:cs="仿宋"/>
                <w:snapToGrid w:val="0"/>
                <w:color w:val="auto"/>
                <w:kern w:val="0"/>
                <w:sz w:val="28"/>
                <w:szCs w:val="28"/>
                <w:highlight w:val="none"/>
              </w:rPr>
              <w:t>支持本国产品：</w:t>
            </w:r>
            <w:r>
              <w:rPr>
                <w:rFonts w:hint="eastAsia" w:ascii="仿宋" w:hAnsi="仿宋" w:eastAsia="仿宋" w:cs="仿宋"/>
                <w:snapToGrid w:val="0"/>
                <w:color w:val="auto"/>
                <w:kern w:val="0"/>
                <w:sz w:val="28"/>
                <w:szCs w:val="28"/>
                <w:highlight w:val="none"/>
                <w:shd w:val="clear" w:color="auto" w:fill="FFFFFF"/>
              </w:rPr>
              <w:t>对本国产品的报价给予20%的价格扣除（符合本国产品标准的产品成本之和占该供应商提供的全部产品成本之和的比例达到80%以上）。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478"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29</w:t>
            </w:r>
          </w:p>
        </w:tc>
        <w:tc>
          <w:tcPr>
            <w:tcW w:w="1551"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center"/>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采购标的对应的中小企业划分标准所属行业</w:t>
            </w:r>
          </w:p>
        </w:tc>
        <w:tc>
          <w:tcPr>
            <w:tcW w:w="2970" w:type="pct"/>
            <w:vAlign w:val="center"/>
          </w:tcPr>
          <w:p>
            <w:pPr>
              <w:pStyle w:val="19"/>
              <w:keepNext w:val="0"/>
              <w:keepLines w:val="0"/>
              <w:pageBreakBefore w:val="0"/>
              <w:widowControl w:val="0"/>
              <w:kinsoku/>
              <w:wordWrap/>
              <w:overflowPunct/>
              <w:topLinePunct w:val="0"/>
              <w:bidi w:val="0"/>
              <w:adjustRightInd w:val="0"/>
              <w:snapToGrid w:val="0"/>
              <w:spacing w:line="400" w:lineRule="exact"/>
              <w:ind w:firstLine="0" w:firstLineChars="0"/>
              <w:jc w:val="both"/>
              <w:rPr>
                <w:rFonts w:hint="eastAsia" w:ascii="仿宋" w:hAnsi="仿宋" w:eastAsia="仿宋" w:cs="仿宋"/>
                <w:bCs/>
                <w:snapToGrid w:val="0"/>
                <w:color w:val="auto"/>
                <w:kern w:val="0"/>
                <w:sz w:val="28"/>
                <w:szCs w:val="28"/>
                <w:highlight w:val="none"/>
              </w:rPr>
            </w:pPr>
            <w:r>
              <w:rPr>
                <w:rFonts w:hint="eastAsia" w:ascii="仿宋" w:hAnsi="仿宋" w:eastAsia="仿宋" w:cs="仿宋"/>
                <w:bCs/>
                <w:snapToGrid w:val="0"/>
                <w:color w:val="auto"/>
                <w:kern w:val="0"/>
                <w:sz w:val="28"/>
                <w:szCs w:val="28"/>
                <w:highlight w:val="none"/>
              </w:rPr>
              <w:t>本项目所属行业：工业</w:t>
            </w:r>
          </w:p>
        </w:tc>
      </w:tr>
    </w:tbl>
    <w:p>
      <w:pPr>
        <w:bidi w:val="0"/>
        <w:rPr>
          <w:color w:val="auto"/>
          <w:highlight w:val="none"/>
        </w:rPr>
      </w:pPr>
      <w:bookmarkStart w:id="51" w:name="_Toc60996677"/>
      <w:bookmarkStart w:id="52" w:name="_Toc24244_WPSOffice_Level1"/>
      <w:bookmarkStart w:id="53" w:name="_Toc9300_WPSOffice_Level1"/>
      <w:bookmarkStart w:id="54" w:name="_Toc25948_WPSOffice_Level2"/>
      <w:bookmarkStart w:id="55" w:name="__x000F_一、总__则"/>
    </w:p>
    <w:p>
      <w:pPr>
        <w:bidi w:val="0"/>
        <w:rPr>
          <w:rFonts w:hint="eastAsia"/>
          <w:color w:val="auto"/>
          <w:highlight w:val="none"/>
        </w:rPr>
      </w:pPr>
      <w:bookmarkStart w:id="56" w:name="_Toc24451"/>
    </w:p>
    <w:p>
      <w:pPr>
        <w:pStyle w:val="13"/>
        <w:rPr>
          <w:rFonts w:hint="eastAsia"/>
          <w:color w:val="auto"/>
          <w:highlight w:val="none"/>
        </w:rPr>
      </w:pPr>
    </w:p>
    <w:p>
      <w:pPr>
        <w:pStyle w:val="13"/>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r>
        <w:rPr>
          <w:rFonts w:hint="eastAsia" w:ascii="仿宋" w:hAnsi="仿宋" w:eastAsia="仿宋"/>
          <w:color w:val="auto"/>
          <w:szCs w:val="28"/>
          <w:highlight w:val="none"/>
        </w:rPr>
        <w:t>一、总则</w:t>
      </w:r>
      <w:bookmarkEnd w:id="51"/>
      <w:bookmarkEnd w:id="52"/>
      <w:bookmarkEnd w:id="53"/>
      <w:bookmarkEnd w:id="54"/>
      <w:bookmarkEnd w:id="56"/>
    </w:p>
    <w:bookmarkEnd w:id="55"/>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57" w:name="_Toc28341"/>
      <w:r>
        <w:rPr>
          <w:rFonts w:hint="eastAsia" w:ascii="仿宋" w:hAnsi="仿宋" w:eastAsia="仿宋"/>
          <w:color w:val="auto"/>
          <w:sz w:val="28"/>
          <w:szCs w:val="28"/>
          <w:highlight w:val="none"/>
        </w:rPr>
        <w:t>1.项目概况</w:t>
      </w:r>
      <w:bookmarkEnd w:id="57"/>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根据《中华人民共和国政府采购法》《政府采购货物和服务招标投标管理办法》（财政部令第</w:t>
      </w:r>
      <w:r>
        <w:rPr>
          <w:rFonts w:ascii="仿宋" w:hAnsi="仿宋" w:eastAsia="仿宋"/>
          <w:color w:val="auto"/>
          <w:sz w:val="28"/>
          <w:szCs w:val="28"/>
          <w:highlight w:val="none"/>
        </w:rPr>
        <w:t>87</w:t>
      </w:r>
      <w:r>
        <w:rPr>
          <w:rFonts w:hint="eastAsia" w:ascii="仿宋" w:hAnsi="仿宋" w:eastAsia="仿宋"/>
          <w:color w:val="auto"/>
          <w:sz w:val="28"/>
          <w:szCs w:val="28"/>
          <w:highlight w:val="none"/>
        </w:rPr>
        <w:t>号）等有关法律法规的规定，本招标项目已具备招标条件，现对本次货物采购进行招标。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2.本项目采购人、集采机构、项目名称、项目编号、项目预算及最高限价：见“投标人须知前附表”。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58" w:name="_Toc10402"/>
      <w:bookmarkStart w:id="59" w:name="_Toc468805854"/>
      <w:r>
        <w:rPr>
          <w:rFonts w:hint="eastAsia" w:ascii="仿宋" w:hAnsi="仿宋" w:eastAsia="仿宋"/>
          <w:color w:val="auto"/>
          <w:sz w:val="28"/>
          <w:szCs w:val="28"/>
          <w:highlight w:val="none"/>
        </w:rPr>
        <w:t>3.招标范围及交货期</w:t>
      </w:r>
      <w:bookmarkEnd w:id="58"/>
      <w:r>
        <w:rPr>
          <w:rFonts w:hint="eastAsia" w:ascii="仿宋" w:hAnsi="仿宋" w:eastAsia="仿宋"/>
          <w:color w:val="auto"/>
          <w:sz w:val="28"/>
          <w:szCs w:val="28"/>
          <w:highlight w:val="none"/>
        </w:rPr>
        <w:t>限</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60" w:name="_Toc29818_WPSOffice_Level2"/>
      <w:bookmarkStart w:id="61" w:name="_Toc14054_WPSOffice_Level3"/>
      <w:bookmarkStart w:id="62" w:name="_Toc17687_WPSOffice_Level2"/>
      <w:r>
        <w:rPr>
          <w:rFonts w:ascii="仿宋" w:hAnsi="仿宋" w:eastAsia="仿宋"/>
          <w:color w:val="auto"/>
          <w:sz w:val="28"/>
          <w:szCs w:val="28"/>
          <w:highlight w:val="none"/>
        </w:rPr>
        <w:t>3.1</w:t>
      </w:r>
      <w:r>
        <w:rPr>
          <w:rFonts w:hint="eastAsia" w:ascii="仿宋" w:hAnsi="仿宋" w:eastAsia="仿宋"/>
          <w:color w:val="auto"/>
          <w:sz w:val="28"/>
          <w:szCs w:val="28"/>
          <w:highlight w:val="none"/>
        </w:rPr>
        <w:t>本项目招标范围：见“投标人须知前附表”。</w:t>
      </w:r>
      <w:bookmarkEnd w:id="60"/>
      <w:bookmarkEnd w:id="61"/>
      <w:bookmarkEnd w:id="6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63" w:name="_Toc22352_WPSOffice_Level2"/>
      <w:bookmarkStart w:id="64" w:name="_Toc20587_WPSOffice_Level3"/>
      <w:bookmarkStart w:id="65" w:name="_Toc23972_WPSOffice_Level2"/>
      <w:r>
        <w:rPr>
          <w:rFonts w:ascii="仿宋" w:hAnsi="仿宋" w:eastAsia="仿宋"/>
          <w:color w:val="auto"/>
          <w:sz w:val="28"/>
          <w:szCs w:val="28"/>
          <w:highlight w:val="none"/>
        </w:rPr>
        <w:t>3.2</w:t>
      </w:r>
      <w:r>
        <w:rPr>
          <w:rFonts w:hint="eastAsia" w:ascii="仿宋" w:hAnsi="仿宋" w:eastAsia="仿宋"/>
          <w:color w:val="auto"/>
          <w:sz w:val="28"/>
          <w:szCs w:val="28"/>
          <w:highlight w:val="none"/>
        </w:rPr>
        <w:t>本项目交货期限：见“投标人须知前附表”。</w:t>
      </w:r>
      <w:bookmarkEnd w:id="63"/>
      <w:bookmarkEnd w:id="64"/>
      <w:bookmarkEnd w:id="65"/>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66" w:name="_Toc10248"/>
      <w:r>
        <w:rPr>
          <w:rFonts w:hint="eastAsia" w:ascii="仿宋" w:hAnsi="仿宋" w:eastAsia="仿宋"/>
          <w:color w:val="auto"/>
          <w:sz w:val="28"/>
          <w:szCs w:val="28"/>
          <w:highlight w:val="none"/>
        </w:rPr>
        <w:t>4.投标人资格要求</w:t>
      </w:r>
      <w:bookmarkEnd w:id="66"/>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投标人应当符合《中华人民共和国政府采购法》第二十二条规定的条件。</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4.2落实政府采购政策需满足的资格要求：落实政府采购政策需满足的资格要求：本项目非专门面向中小企业采购，小型、微型企业（残疾人福利性单位、监狱企业视同小微企业）提供的产品价格给予10%的价格扣除。</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支持本国产品：对本国产品的报价给予20%的价格扣除（符合本国产品标准的产品成本之和占该供应商提供的全部产品成本之和的比例达到80%以上）。</w:t>
      </w:r>
    </w:p>
    <w:p>
      <w:pPr>
        <w:keepLines w:val="0"/>
        <w:pageBreakBefore w:val="0"/>
        <w:kinsoku/>
        <w:overflowPunct/>
        <w:topLinePunct w:val="0"/>
        <w:bidi w:val="0"/>
        <w:snapToGrid w:val="0"/>
        <w:spacing w:line="360" w:lineRule="auto"/>
        <w:ind w:firstLine="560" w:firstLineChars="200"/>
        <w:rPr>
          <w:rFonts w:hint="eastAsia" w:ascii="仿宋_GB2312" w:hAnsi="仿宋_GB2312" w:eastAsia="仿宋" w:cs="仿宋_GB2312"/>
          <w:color w:val="auto"/>
          <w:sz w:val="28"/>
          <w:szCs w:val="28"/>
          <w:highlight w:val="none"/>
        </w:rPr>
      </w:pPr>
      <w:r>
        <w:rPr>
          <w:rFonts w:hint="eastAsia" w:ascii="仿宋" w:hAnsi="仿宋" w:eastAsia="仿宋"/>
          <w:color w:val="auto"/>
          <w:sz w:val="28"/>
          <w:szCs w:val="28"/>
          <w:highlight w:val="none"/>
        </w:rPr>
        <w:t>4</w:t>
      </w:r>
      <w:r>
        <w:rPr>
          <w:rFonts w:ascii="仿宋" w:hAnsi="仿宋" w:eastAsia="仿宋"/>
          <w:color w:val="auto"/>
          <w:sz w:val="28"/>
          <w:szCs w:val="28"/>
          <w:highlight w:val="none"/>
        </w:rPr>
        <w:t>.</w:t>
      </w:r>
      <w:r>
        <w:rPr>
          <w:rFonts w:hint="eastAsia" w:ascii="仿宋" w:hAnsi="仿宋" w:eastAsia="仿宋"/>
          <w:color w:val="auto"/>
          <w:sz w:val="28"/>
          <w:szCs w:val="28"/>
          <w:highlight w:val="none"/>
        </w:rPr>
        <w:t>3采购人根据本项目的特殊要求规定投标人应具备的特定条件：</w:t>
      </w:r>
      <w:r>
        <w:rPr>
          <w:rFonts w:hint="eastAsia" w:ascii="仿宋" w:hAnsi="仿宋" w:eastAsia="仿宋"/>
          <w:color w:val="auto"/>
          <w:sz w:val="28"/>
          <w:szCs w:val="28"/>
          <w:highlight w:val="none"/>
        </w:rPr>
        <w:t>无。</w:t>
      </w:r>
    </w:p>
    <w:p>
      <w:pPr>
        <w:keepLines w:val="0"/>
        <w:pageBreakBefore w:val="0"/>
        <w:kinsoku/>
        <w:wordWrap w:val="0"/>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4.4投标人在投标截止时间前未被列入“信用中国”网站（www.creditchina.gov.cn）失信被执行人、重大税收违法案件当事人名单、政府采购严重违法失信行为记录名单，投标人须提供承诺函并加盖公章。若为失信企业，将取消投标中标资格。</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4.5投标人有下列情形之一的不得参与投标：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67" w:name="_Toc29818_WPSOffice_Level3"/>
      <w:bookmarkStart w:id="68" w:name="_Toc17687_WPSOffice_Level3"/>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）与采购人或集采机构存在隶属关系或者其他利害关系；</w:t>
      </w:r>
      <w:bookmarkEnd w:id="67"/>
      <w:bookmarkEnd w:id="68"/>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（2）投标人因违法经营受到刑事处罚或者责令停产停业、吊销许可证或者执照、较大数额罚款等行政处罚；</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（3）投标人在参加政府采购活动前3年内因违法经营被禁止在一定期限内参加政府采购活动，期限未届满的。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4.6单位负责人为同一人或者存在直接控股、管理关系的不同供应商，不得参加同一合同项下的政府采购活动。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5.投标费用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本项目集采机构不收取任何费用。投标人应自行承担所有参与投标的相关费用，不论投标的结果如何，采购人或者集采机构均无义务和责任承担这些费用。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6.联合体投标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本次招标不接受联合体投标。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7.采购进口产品</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本采购项目拒绝进口产品参加投标。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8.现场踏勘</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无</w:t>
      </w:r>
      <w:r>
        <w:rPr>
          <w:rFonts w:hint="eastAsia" w:ascii="仿宋" w:hAnsi="仿宋" w:eastAsia="仿宋"/>
          <w:color w:val="auto"/>
          <w:sz w:val="28"/>
          <w:szCs w:val="28"/>
          <w:highlight w:val="none"/>
        </w:rPr>
        <w:t>。</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69" w:name="_Toc5468"/>
      <w:bookmarkStart w:id="70" w:name="_Toc17687_WPSOffice_Level1"/>
      <w:bookmarkStart w:id="71" w:name="_Toc29818_WPSOffice_Level1"/>
      <w:bookmarkStart w:id="72" w:name="_Toc60996678"/>
      <w:bookmarkStart w:id="73" w:name="_Toc20599_WPSOffice_Level2"/>
      <w:bookmarkStart w:id="74" w:name="_二、招标文件"/>
      <w:r>
        <w:rPr>
          <w:rFonts w:hint="eastAsia" w:ascii="仿宋" w:hAnsi="仿宋" w:eastAsia="仿宋"/>
          <w:bCs/>
          <w:color w:val="auto"/>
          <w:sz w:val="28"/>
          <w:szCs w:val="28"/>
          <w:highlight w:val="none"/>
        </w:rPr>
        <w:t>9</w:t>
      </w:r>
      <w:r>
        <w:rPr>
          <w:rFonts w:hint="eastAsia" w:ascii="仿宋" w:hAnsi="仿宋" w:eastAsia="仿宋"/>
          <w:color w:val="auto"/>
          <w:sz w:val="28"/>
          <w:szCs w:val="28"/>
          <w:highlight w:val="none"/>
        </w:rPr>
        <w:t>.质疑及投诉</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9.1投标人对政府采购活动事项有疑问的，可以向采购人提出疑问。</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投标人认为采购文件、采购过程、中标或者成交结果使自己的合法权益受到损害的，在知道或者应知其权益受到损害之日起7个工作日内，可以向采购人、集采机构提出质疑。</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投标人针对同一采购程序环节的质疑应当在法定质疑期内一次性提出，提出质疑时应当有明确的请求和必要的证明材料（如材料中有外文资料应同时附上中文译本）。质疑函应当包括下列内容：</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（1）投标人的姓名或者名称、地址、邮编、联系人及联系电话；</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（2）质疑项目的名称、编号；</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（3）具体、明确的质疑事项和与质疑事项相关的请求；</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（4）事实依据；</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（5）必要的法律依据；</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（6）提出质疑的日期。</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投标人为自然人的，应当由本人签字；投标人为法人或者其他组织的，应当由法定代表人、主要负责人，或者其授权代表签字或者盖章，并加盖公章。</w:t>
      </w:r>
    </w:p>
    <w:p>
      <w:pPr>
        <w:pStyle w:val="19"/>
        <w:keepNext w:val="0"/>
        <w:keepLines w:val="0"/>
        <w:pageBreakBefore w:val="0"/>
        <w:widowControl w:val="0"/>
        <w:kinsoku/>
        <w:wordWrap/>
        <w:overflowPunct/>
        <w:topLinePunct w:val="0"/>
        <w:bidi w:val="0"/>
        <w:adjustRightInd w:val="0"/>
        <w:snapToGrid w:val="0"/>
        <w:spacing w:line="360" w:lineRule="auto"/>
        <w:ind w:firstLine="0" w:firstLineChars="0"/>
        <w:jc w:val="both"/>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投标人对采购人、集采机构的答复不满意或者采购人、集采机构未在规定的时间内作出答复的，可以在答复期满后15个工作日内向</w:t>
      </w:r>
      <w:r>
        <w:rPr>
          <w:rFonts w:hint="eastAsia" w:ascii="仿宋" w:hAnsi="仿宋" w:eastAsia="仿宋" w:cs="仿宋"/>
          <w:bCs/>
          <w:snapToGrid w:val="0"/>
          <w:color w:val="auto"/>
          <w:kern w:val="0"/>
          <w:sz w:val="28"/>
          <w:szCs w:val="28"/>
          <w:highlight w:val="none"/>
          <w:lang w:eastAsia="zh-CN"/>
        </w:rPr>
        <w:t>云南省财政厅政府采购管理处</w:t>
      </w:r>
      <w:r>
        <w:rPr>
          <w:rFonts w:hint="eastAsia" w:ascii="仿宋" w:hAnsi="仿宋" w:eastAsia="仿宋"/>
          <w:color w:val="auto"/>
          <w:sz w:val="28"/>
          <w:szCs w:val="28"/>
          <w:highlight w:val="none"/>
        </w:rPr>
        <w:t>出投诉，联系电话</w:t>
      </w:r>
      <w:r>
        <w:rPr>
          <w:rFonts w:hint="eastAsia" w:ascii="仿宋" w:hAnsi="仿宋" w:eastAsia="仿宋" w:cs="仿宋"/>
          <w:bCs/>
          <w:snapToGrid w:val="0"/>
          <w:color w:val="auto"/>
          <w:kern w:val="0"/>
          <w:sz w:val="28"/>
          <w:szCs w:val="28"/>
          <w:highlight w:val="none"/>
        </w:rPr>
        <w:t>0871-63956094</w:t>
      </w:r>
      <w:r>
        <w:rPr>
          <w:rFonts w:hint="eastAsia" w:ascii="仿宋" w:hAnsi="仿宋" w:eastAsia="仿宋" w:cs="仿宋"/>
          <w:bCs/>
          <w:snapToGrid w:val="0"/>
          <w:color w:val="auto"/>
          <w:kern w:val="0"/>
          <w:sz w:val="28"/>
          <w:szCs w:val="28"/>
          <w:highlight w:val="none"/>
          <w:lang w:eastAsia="zh-CN"/>
        </w:rPr>
        <w:t>。</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9.2采购人及集采机构和行政监督部门对采用线下询问、质疑及投诉的，采用线下方式进行受理答复。</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诉人不得以投诉为名排挤竞争对手，不得进行虚假、恶意投诉，阻碍政府采购活动的正常进行。投诉人可以直接投诉，也可以委托代理人办理投诉事务。代理人采用纸质方式办理投诉事务的，应将授权委托书连同投诉书一并提交给行政监督部门。授权委托书应当明确有关委托代理权限和事项。</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75" w:name="_Toc6415"/>
      <w:r>
        <w:rPr>
          <w:rFonts w:hint="eastAsia" w:ascii="仿宋" w:hAnsi="仿宋" w:eastAsia="仿宋"/>
          <w:color w:val="auto"/>
          <w:szCs w:val="28"/>
          <w:highlight w:val="none"/>
        </w:rPr>
        <w:t>二、招标文件</w:t>
      </w:r>
      <w:bookmarkEnd w:id="69"/>
      <w:bookmarkEnd w:id="70"/>
      <w:bookmarkEnd w:id="71"/>
      <w:bookmarkEnd w:id="72"/>
      <w:bookmarkEnd w:id="73"/>
      <w:bookmarkEnd w:id="75"/>
    </w:p>
    <w:bookmarkEnd w:id="74"/>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76" w:name="_Toc19852"/>
      <w:r>
        <w:rPr>
          <w:rFonts w:hint="eastAsia" w:ascii="仿宋" w:hAnsi="仿宋" w:eastAsia="仿宋"/>
          <w:color w:val="auto"/>
          <w:sz w:val="28"/>
          <w:szCs w:val="28"/>
          <w:highlight w:val="none"/>
        </w:rPr>
        <w:t>10.招标文件构成</w:t>
      </w:r>
      <w:bookmarkEnd w:id="76"/>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要求提供的货物、采购过程及合同条款在招标文件中均有说明，招标文件共八章，各章的内容如下：</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77" w:name="_Toc19285_WPSOffice_Level2"/>
      <w:bookmarkStart w:id="78" w:name="_Toc17346_WPSOffice_Level2"/>
      <w:bookmarkStart w:id="79" w:name="_Toc20599_WPSOffice_Level1"/>
      <w:r>
        <w:rPr>
          <w:rFonts w:hint="eastAsia" w:ascii="仿宋" w:hAnsi="仿宋" w:eastAsia="仿宋"/>
          <w:color w:val="auto"/>
          <w:sz w:val="28"/>
          <w:szCs w:val="28"/>
          <w:highlight w:val="none"/>
        </w:rPr>
        <w:t>第一章 招标公告</w:t>
      </w:r>
      <w:bookmarkEnd w:id="77"/>
      <w:bookmarkEnd w:id="78"/>
      <w:bookmarkEnd w:id="79"/>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80" w:name="_Toc16744_WPSOffice_Level2"/>
      <w:bookmarkStart w:id="81" w:name="_Toc26127_WPSOffice_Level1"/>
      <w:bookmarkStart w:id="82" w:name="_Toc23365_WPSOffice_Level2"/>
      <w:r>
        <w:rPr>
          <w:rFonts w:hint="eastAsia" w:ascii="仿宋" w:hAnsi="仿宋" w:eastAsia="仿宋"/>
          <w:color w:val="auto"/>
          <w:sz w:val="28"/>
          <w:szCs w:val="28"/>
          <w:highlight w:val="none"/>
        </w:rPr>
        <w:t>第二章 投标人须知</w:t>
      </w:r>
      <w:bookmarkEnd w:id="80"/>
      <w:bookmarkEnd w:id="81"/>
      <w:bookmarkEnd w:id="8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83" w:name="_Toc27417_WPSOffice_Level2"/>
      <w:bookmarkStart w:id="84" w:name="_Toc12853_WPSOffice_Level2"/>
      <w:bookmarkStart w:id="85" w:name="_Toc25217_WPSOffice_Level1"/>
      <w:r>
        <w:rPr>
          <w:rFonts w:hint="eastAsia" w:ascii="仿宋" w:hAnsi="仿宋" w:eastAsia="仿宋"/>
          <w:color w:val="auto"/>
          <w:sz w:val="28"/>
          <w:szCs w:val="28"/>
          <w:highlight w:val="none"/>
        </w:rPr>
        <w:t>第三章 技术规格、参数与要求</w:t>
      </w:r>
      <w:bookmarkEnd w:id="83"/>
      <w:bookmarkEnd w:id="84"/>
      <w:bookmarkEnd w:id="85"/>
      <w:bookmarkStart w:id="86" w:name="_Toc23738_WPSOffice_Level2"/>
      <w:bookmarkStart w:id="87" w:name="_Toc12208_WPSOffice_Level1"/>
      <w:bookmarkStart w:id="88" w:name="_Toc19055_WPSOffice_Level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第四章 资格审查</w:t>
      </w:r>
      <w:bookmarkEnd w:id="86"/>
      <w:bookmarkEnd w:id="87"/>
      <w:bookmarkEnd w:id="88"/>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89" w:name="_Toc22224_WPSOffice_Level2"/>
      <w:bookmarkStart w:id="90" w:name="_Toc20995_WPSOffice_Level1"/>
      <w:bookmarkStart w:id="91" w:name="_Toc30699_WPSOffice_Level2"/>
      <w:r>
        <w:rPr>
          <w:rFonts w:hint="eastAsia" w:ascii="仿宋" w:hAnsi="仿宋" w:eastAsia="仿宋"/>
          <w:color w:val="auto"/>
          <w:sz w:val="28"/>
          <w:szCs w:val="28"/>
          <w:highlight w:val="none"/>
        </w:rPr>
        <w:t xml:space="preserve">第五章 </w:t>
      </w:r>
      <w:bookmarkEnd w:id="89"/>
      <w:bookmarkEnd w:id="90"/>
      <w:bookmarkEnd w:id="91"/>
      <w:r>
        <w:rPr>
          <w:rFonts w:hint="eastAsia" w:ascii="仿宋" w:hAnsi="仿宋" w:eastAsia="仿宋"/>
          <w:color w:val="auto"/>
          <w:sz w:val="28"/>
          <w:szCs w:val="28"/>
          <w:highlight w:val="none"/>
        </w:rPr>
        <w:t>评标办法（综合评标法）</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92" w:name="_Toc7113_WPSOffice_Level2"/>
      <w:bookmarkStart w:id="93" w:name="_Toc6428_WPSOffice_Level1"/>
      <w:bookmarkStart w:id="94" w:name="_Toc13234_WPSOffice_Level2"/>
      <w:r>
        <w:rPr>
          <w:rFonts w:hint="eastAsia" w:ascii="仿宋" w:hAnsi="仿宋" w:eastAsia="仿宋"/>
          <w:color w:val="auto"/>
          <w:sz w:val="28"/>
          <w:szCs w:val="28"/>
          <w:highlight w:val="none"/>
        </w:rPr>
        <w:t xml:space="preserve">第六章 </w:t>
      </w:r>
      <w:bookmarkEnd w:id="92"/>
      <w:bookmarkEnd w:id="93"/>
      <w:bookmarkEnd w:id="94"/>
      <w:r>
        <w:rPr>
          <w:rFonts w:hint="eastAsia" w:ascii="仿宋" w:hAnsi="仿宋" w:eastAsia="仿宋"/>
          <w:color w:val="auto"/>
          <w:sz w:val="28"/>
          <w:szCs w:val="28"/>
          <w:highlight w:val="none"/>
        </w:rPr>
        <w:t>合同书样式</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95" w:name="_Toc5768_WPSOffice_Level1"/>
      <w:bookmarkStart w:id="96" w:name="_Toc21358_WPSOffice_Level2"/>
      <w:bookmarkStart w:id="97" w:name="_Toc16081_WPSOffice_Level2"/>
      <w:r>
        <w:rPr>
          <w:rFonts w:hint="eastAsia" w:ascii="仿宋" w:hAnsi="仿宋" w:eastAsia="仿宋"/>
          <w:color w:val="auto"/>
          <w:sz w:val="28"/>
          <w:szCs w:val="28"/>
          <w:highlight w:val="none"/>
        </w:rPr>
        <w:t xml:space="preserve">第七章 </w:t>
      </w:r>
      <w:bookmarkEnd w:id="95"/>
      <w:bookmarkEnd w:id="96"/>
      <w:bookmarkEnd w:id="97"/>
      <w:r>
        <w:rPr>
          <w:rFonts w:hint="eastAsia" w:ascii="仿宋" w:hAnsi="仿宋" w:eastAsia="仿宋"/>
          <w:color w:val="auto"/>
          <w:sz w:val="28"/>
          <w:szCs w:val="28"/>
          <w:highlight w:val="none"/>
        </w:rPr>
        <w:t>投标文件格式</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第八章 政府采购投标人质疑函范本</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98" w:name="_Toc27416"/>
      <w:r>
        <w:rPr>
          <w:rFonts w:hint="eastAsia" w:ascii="仿宋" w:hAnsi="仿宋" w:eastAsia="仿宋"/>
          <w:color w:val="auto"/>
          <w:sz w:val="28"/>
          <w:szCs w:val="28"/>
          <w:highlight w:val="none"/>
        </w:rPr>
        <w:t>11.招标文件的澄清</w:t>
      </w:r>
      <w:bookmarkEnd w:id="98"/>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11.1 投标人应仔细检查招标文件的全部内容，如发现缺页或附件不全的，应及时向采购人提出，以便补齐。如有疑问，应在“投标人须知前附表”规定截止时间前通过提出，要求采购人或集采机构澄清，截止时间后送达的澄清要求概不接受，由此产生的后果由投标人负责。</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11.2 采购人或集采机构将在云南省政府采购网发布公告形式答复所有潜在的投标人（答复中不包含问题的来源）要求澄清的问题。</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11.3 投标人应在电子响应文件提交截止时间前及时登录政府采购云平台查看有关该项目招标文件的澄清、修改内容。如因投标人自身原因导致未及时查看有关该项目招标文件的澄清、修改内容，由此造成的一切后果由投标人自行承担。</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12.招标文件的修改</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12.1采购人或集采机构对已发出的招标文件进行必要澄清或者修改的，澄清或者修改的内容可能影响投标文件编制的，于招标文件要求提交投标文件截止时间十五日前，在云南省政府采购网以公告形式通知所有获取招标文件的潜在投标人；不足十五日的，顺延提交投标文件的截止时间。该澄清或者修改的内容为招标文件的组成部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12.2采购人或集采机构对招标文件中的采购需求、评标办法、评审项目等重要评审内容做出变更，将同时发布补遗文件进行说明以保证各投标人都能重新下载并用于编制电子投标文件。</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12.3投标人应在截标时间前随时查看云南省政府采购网中有关该项目招标文件的答疑、澄清、补遗内容，采购人或集采机构不承担投标人未及时关注相关信息引发的责任。</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12.4招标文件澄清、招标文件修改文件内容均以网上发布的文件为准，当招标文件、招标文件澄清、招标文件修改文件内容前后相互矛盾时，以最后发出的为准。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12.5对未提出异议又参与本项目投标的投标人视为完全响应。</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13.偏离</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13.1本条所称偏离为投标文件对招标文件的偏离，即超过、不满足、或不响应招标文件的要求。偏离分为对招标文件的实质性要求条款偏离和对招标文件的一般商务和技术条款（参数）偏离；允许正偏离。</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13.2除法律、法规和规章规定外，招标文件中用“拒绝”、“不接受”、“无效”、“不得”等文字规定或标注“★”符号的条款为实质性要求条款（即重要条款），对其中任何一条的偏离，在评审时将其视为无效响应。未用上述文字规定或符号标注的条款为非实质性要求条款(即一般条款)。</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99" w:name="_Toc26127_WPSOffice_Level2"/>
      <w:bookmarkStart w:id="100" w:name="_Toc22352_WPSOffice_Level1"/>
      <w:bookmarkStart w:id="101" w:name="_Toc23972_WPSOffice_Level1"/>
      <w:bookmarkStart w:id="102" w:name="_Toc60996679"/>
      <w:bookmarkStart w:id="103" w:name="_Toc16627"/>
      <w:bookmarkStart w:id="104" w:name="_Toc22665"/>
      <w:bookmarkStart w:id="105" w:name="_三、投标文件的编制"/>
      <w:r>
        <w:rPr>
          <w:rFonts w:hint="eastAsia" w:ascii="仿宋" w:hAnsi="仿宋" w:eastAsia="仿宋"/>
          <w:color w:val="auto"/>
          <w:szCs w:val="28"/>
          <w:highlight w:val="none"/>
        </w:rPr>
        <w:t>三、投标文件的编制</w:t>
      </w:r>
      <w:bookmarkEnd w:id="99"/>
      <w:bookmarkEnd w:id="100"/>
      <w:bookmarkEnd w:id="101"/>
      <w:bookmarkEnd w:id="102"/>
      <w:bookmarkEnd w:id="103"/>
      <w:bookmarkEnd w:id="104"/>
    </w:p>
    <w:bookmarkEnd w:id="105"/>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06" w:name="_Toc112"/>
      <w:r>
        <w:rPr>
          <w:rFonts w:hint="eastAsia" w:ascii="仿宋" w:hAnsi="仿宋" w:eastAsia="仿宋"/>
          <w:color w:val="auto"/>
          <w:sz w:val="28"/>
          <w:szCs w:val="28"/>
          <w:highlight w:val="none"/>
        </w:rPr>
        <w:t>14.投标文件编写注意事项</w:t>
      </w:r>
      <w:bookmarkEnd w:id="106"/>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.1</w:t>
      </w:r>
      <w:r>
        <w:rPr>
          <w:rFonts w:hint="eastAsia" w:ascii="仿宋" w:hAnsi="仿宋" w:eastAsia="仿宋"/>
          <w:color w:val="auto"/>
          <w:sz w:val="28"/>
          <w:szCs w:val="28"/>
          <w:highlight w:val="none"/>
        </w:rPr>
        <w:t>本项目所述的投标文件包含电子投标文件。</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投标人应仔细阅读招标文件，在完全了解采购的内容、技术性能要求（见第三章“技术规格、参数与要求”）和商务条件后，编写投标文件。如果没有按照招标文件要求提交全部投标文件或者资料，没有对招标文件的实质性要求和条件作出响应的可能导致该投标无效。</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.3</w:t>
      </w:r>
      <w:r>
        <w:rPr>
          <w:rFonts w:hint="eastAsia" w:ascii="仿宋" w:hAnsi="仿宋" w:eastAsia="仿宋"/>
          <w:color w:val="auto"/>
          <w:sz w:val="28"/>
          <w:szCs w:val="28"/>
          <w:highlight w:val="none"/>
        </w:rPr>
        <w:t>对招标文件提出的实质性要求和条件作出响应是指投标人必须对招标文件中标明的实质性要求和条件的技术参数及性能配置、数量、售后服务、合同主要条款及其他要求等内容作出满足或者优于原要求和条件的承诺。</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 xml:space="preserve">.4 </w:t>
      </w:r>
      <w:r>
        <w:rPr>
          <w:rFonts w:hint="eastAsia" w:ascii="仿宋" w:hAnsi="仿宋" w:eastAsia="仿宋"/>
          <w:color w:val="auto"/>
          <w:sz w:val="28"/>
          <w:szCs w:val="28"/>
          <w:highlight w:val="none"/>
        </w:rPr>
        <w:t>招标文件中的实质性要求和条件详见“投标人须知前附表”。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.5</w:t>
      </w:r>
      <w:r>
        <w:rPr>
          <w:rFonts w:hint="eastAsia" w:ascii="仿宋" w:hAnsi="仿宋" w:eastAsia="仿宋"/>
          <w:color w:val="auto"/>
          <w:sz w:val="28"/>
          <w:szCs w:val="28"/>
          <w:highlight w:val="none"/>
        </w:rPr>
        <w:t xml:space="preserve"> 电子响应文件应使用政府采购云平台（https://www.zcygov.cn）中下载的政釆云电子投标客户端制作，并进行电子签章及加密后上传至政釆云平台。</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14</w:t>
      </w:r>
      <w:r>
        <w:rPr>
          <w:rFonts w:ascii="仿宋" w:hAnsi="仿宋" w:eastAsia="仿宋"/>
          <w:color w:val="auto"/>
          <w:sz w:val="28"/>
          <w:szCs w:val="28"/>
          <w:highlight w:val="none"/>
        </w:rPr>
        <w:t>.</w:t>
      </w:r>
      <w:r>
        <w:rPr>
          <w:rFonts w:hint="eastAsia" w:ascii="仿宋" w:hAnsi="仿宋" w:eastAsia="仿宋"/>
          <w:color w:val="auto"/>
          <w:sz w:val="28"/>
          <w:szCs w:val="28"/>
          <w:highlight w:val="none"/>
        </w:rPr>
        <w:t>6如投标人提交的电子投标文件不符合14</w:t>
      </w:r>
      <w:r>
        <w:rPr>
          <w:rFonts w:ascii="仿宋" w:hAnsi="仿宋" w:eastAsia="仿宋"/>
          <w:color w:val="auto"/>
          <w:sz w:val="28"/>
          <w:szCs w:val="28"/>
          <w:highlight w:val="none"/>
        </w:rPr>
        <w:t>.5</w:t>
      </w:r>
      <w:r>
        <w:rPr>
          <w:rFonts w:hint="eastAsia" w:ascii="仿宋" w:hAnsi="仿宋" w:eastAsia="仿宋"/>
          <w:color w:val="auto"/>
          <w:sz w:val="28"/>
          <w:szCs w:val="28"/>
          <w:highlight w:val="none"/>
        </w:rPr>
        <w:t>条款要求或开标时无法读取导入或解密，其投标文件视为未按要求提交。</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07" w:name="_Toc20073"/>
      <w:r>
        <w:rPr>
          <w:rFonts w:hint="eastAsia" w:ascii="仿宋" w:hAnsi="仿宋" w:eastAsia="仿宋"/>
          <w:color w:val="auto"/>
          <w:sz w:val="28"/>
          <w:szCs w:val="28"/>
          <w:highlight w:val="none"/>
        </w:rPr>
        <w:t>15.投标的语言及计量单位</w:t>
      </w:r>
      <w:bookmarkEnd w:id="107"/>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15</w:t>
      </w:r>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投标人的投标文件以及投标人与集采机构就有关投标的所有来往函电统一使用中文（特别规定除外）。</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15</w:t>
      </w:r>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投标文件中使用的计量单位除招标文件中有特殊规定外，一律使用中华人民共和国法定计量单位。</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08" w:name="_Toc609"/>
      <w:r>
        <w:rPr>
          <w:rFonts w:hint="eastAsia" w:ascii="仿宋" w:hAnsi="仿宋" w:eastAsia="仿宋"/>
          <w:color w:val="auto"/>
          <w:sz w:val="28"/>
          <w:szCs w:val="28"/>
          <w:highlight w:val="none"/>
        </w:rPr>
        <w:t>16.投标文件构成</w:t>
      </w:r>
      <w:bookmarkEnd w:id="108"/>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投标人同时投多个包（若分包时）的，投标文件应按包分别编制，投标人应按第七章“投标文件格式”要求的格式完整地填写。</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09" w:name="_Toc8444"/>
      <w:r>
        <w:rPr>
          <w:rFonts w:hint="eastAsia" w:ascii="仿宋" w:hAnsi="仿宋" w:eastAsia="仿宋"/>
          <w:color w:val="auto"/>
          <w:sz w:val="28"/>
          <w:szCs w:val="28"/>
          <w:highlight w:val="none"/>
        </w:rPr>
        <w:t>17.投标报价</w:t>
      </w:r>
      <w:bookmarkEnd w:id="109"/>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10" w:name="_Toc32040"/>
      <w:r>
        <w:rPr>
          <w:rFonts w:hint="eastAsia" w:ascii="仿宋" w:hAnsi="仿宋" w:eastAsia="仿宋"/>
          <w:color w:val="auto"/>
          <w:sz w:val="28"/>
          <w:szCs w:val="28"/>
          <w:highlight w:val="none"/>
        </w:rPr>
        <w:t>17.1 投标人应按招标文件文件规定的要求和范围，以人民币进行报价。</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17.2除规定允许提交备选方案外，投标人对每种货物及服务只允许有一个报价，不接受选择性报价，否则，在评审时将其视为无效响应报价。</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17.3投标人的报价不得超过采购项目预算。</w:t>
      </w:r>
    </w:p>
    <w:bookmarkEnd w:id="110"/>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11" w:name="_Toc17723"/>
      <w:r>
        <w:rPr>
          <w:rFonts w:hint="eastAsia" w:ascii="仿宋" w:hAnsi="仿宋" w:eastAsia="仿宋"/>
          <w:color w:val="auto"/>
          <w:sz w:val="28"/>
          <w:szCs w:val="28"/>
          <w:highlight w:val="none"/>
        </w:rPr>
        <w:t>18.投标有效期</w:t>
      </w:r>
      <w:bookmarkEnd w:id="111"/>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18.1 投标文件有效期为60日历天，在此期间投标文件对投标人具有法律约束力，投标文件有效期从规定的递交投标文件截止时间起计算。投标文件有效期不足的将被视为无效投标。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18</w:t>
      </w:r>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因特殊情况需要延长投标有效期的，采购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12" w:name="_Toc18796"/>
      <w:r>
        <w:rPr>
          <w:rFonts w:hint="eastAsia" w:ascii="仿宋" w:hAnsi="仿宋" w:eastAsia="仿宋"/>
          <w:color w:val="auto"/>
          <w:sz w:val="28"/>
          <w:szCs w:val="28"/>
          <w:highlight w:val="none"/>
        </w:rPr>
        <w:t>19.投标文件的签署要求</w:t>
      </w:r>
      <w:bookmarkEnd w:id="11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19</w:t>
      </w:r>
      <w:r>
        <w:rPr>
          <w:rFonts w:ascii="仿宋" w:hAnsi="仿宋" w:eastAsia="仿宋"/>
          <w:color w:val="auto"/>
          <w:sz w:val="28"/>
          <w:szCs w:val="28"/>
          <w:highlight w:val="none"/>
        </w:rPr>
        <w:t>.1</w:t>
      </w:r>
      <w:r>
        <w:rPr>
          <w:rFonts w:hint="eastAsia" w:ascii="仿宋" w:hAnsi="仿宋" w:eastAsia="仿宋"/>
          <w:color w:val="auto"/>
          <w:sz w:val="28"/>
          <w:szCs w:val="28"/>
          <w:highlight w:val="none"/>
        </w:rPr>
        <w:t>电子投标文件的签章和签名要求：按照投标文件格式，采用单位和个人数字证书电子签章及电子签名：投标文件需要企业、法定代表人电子签章及电子签名。</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19</w:t>
      </w:r>
      <w:r>
        <w:rPr>
          <w:rFonts w:ascii="仿宋" w:hAnsi="仿宋" w:eastAsia="仿宋"/>
          <w:color w:val="auto"/>
          <w:sz w:val="28"/>
          <w:szCs w:val="28"/>
          <w:highlight w:val="none"/>
        </w:rPr>
        <w:t>.2</w:t>
      </w:r>
      <w:r>
        <w:rPr>
          <w:rFonts w:hint="eastAsia" w:ascii="仿宋" w:hAnsi="仿宋" w:eastAsia="仿宋"/>
          <w:color w:val="auto"/>
          <w:sz w:val="28"/>
          <w:szCs w:val="28"/>
          <w:highlight w:val="none"/>
        </w:rPr>
        <w:t>因复印、扫描、拍摄模糊，字迹潦草，表达不清，未按要求填写而导致非唯一理解，造成未实质性响应招标文件的投标文件将会被认定为无效的投标。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13" w:name="_Toc4359"/>
      <w:r>
        <w:rPr>
          <w:rFonts w:hint="eastAsia" w:ascii="仿宋" w:hAnsi="仿宋" w:eastAsia="仿宋"/>
          <w:color w:val="auto"/>
          <w:sz w:val="28"/>
          <w:szCs w:val="28"/>
          <w:highlight w:val="none"/>
        </w:rPr>
        <w:t>20.投标保证金</w:t>
      </w:r>
      <w:bookmarkEnd w:id="113"/>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20</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投标人应在递交投标文件截止时间以前按“投标人须知前附表”规定的方式及金额交纳投标保证金，并在投标有效期内保持有效。</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20.2 未中标人的保证金，将在中标通知书发出之日起5个工作日内无息退还至投标人交纳保证金的账户。按电子化收退系统相关要求，中标人的保证金，自采购合同上传后5个工作日内，无息退还至投标人交纳保证金的账户。</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20</w:t>
      </w:r>
      <w:r>
        <w:rPr>
          <w:rFonts w:ascii="仿宋" w:hAnsi="仿宋" w:eastAsia="仿宋"/>
          <w:color w:val="auto"/>
          <w:sz w:val="28"/>
          <w:szCs w:val="28"/>
          <w:highlight w:val="none"/>
        </w:rPr>
        <w:t>.</w:t>
      </w:r>
      <w:r>
        <w:rPr>
          <w:rFonts w:hint="eastAsia" w:ascii="仿宋" w:hAnsi="仿宋" w:eastAsia="仿宋"/>
          <w:color w:val="auto"/>
          <w:sz w:val="28"/>
          <w:szCs w:val="28"/>
          <w:highlight w:val="none"/>
        </w:rPr>
        <w:t>3有下列情形之一的，投标保证金不予退还：</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）投标人在提交投标文件截止时间后撤回投标文件的；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）投标人在投标文件中提供虚假材料的；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）除因不可抗力或招标文件认可的情形以外，中标人无正当理由不与采购人签订合同的；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）投标人与采购人、其他投标人或者集采机构恶意串通的；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5</w:t>
      </w:r>
      <w:r>
        <w:rPr>
          <w:rFonts w:hint="eastAsia" w:ascii="仿宋" w:hAnsi="仿宋" w:eastAsia="仿宋"/>
          <w:color w:val="auto"/>
          <w:sz w:val="28"/>
          <w:szCs w:val="28"/>
          <w:highlight w:val="none"/>
        </w:rPr>
        <w:t>）招标文件规定的其他情形。</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114" w:name="_Toc17346_WPSOffice_Level1"/>
      <w:bookmarkStart w:id="115" w:name="_Toc16736"/>
      <w:bookmarkStart w:id="116" w:name="_Toc25217_WPSOffice_Level2"/>
      <w:bookmarkStart w:id="117" w:name="_Toc19285_WPSOffice_Level1"/>
      <w:bookmarkStart w:id="118" w:name="_Toc26211"/>
      <w:bookmarkStart w:id="119" w:name="_Toc60996680"/>
      <w:bookmarkStart w:id="120" w:name="_四、投标文件的提交"/>
      <w:r>
        <w:rPr>
          <w:rFonts w:hint="eastAsia" w:ascii="仿宋" w:hAnsi="仿宋" w:eastAsia="仿宋"/>
          <w:color w:val="auto"/>
          <w:szCs w:val="28"/>
          <w:highlight w:val="none"/>
        </w:rPr>
        <w:t>四、投标文件的提交</w:t>
      </w:r>
      <w:bookmarkEnd w:id="114"/>
      <w:bookmarkEnd w:id="115"/>
      <w:bookmarkEnd w:id="116"/>
      <w:bookmarkEnd w:id="117"/>
      <w:bookmarkEnd w:id="118"/>
      <w:bookmarkEnd w:id="119"/>
    </w:p>
    <w:bookmarkEnd w:id="120"/>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21" w:name="_Toc20426"/>
      <w:r>
        <w:rPr>
          <w:rFonts w:hint="eastAsia" w:ascii="仿宋" w:hAnsi="仿宋" w:eastAsia="仿宋"/>
          <w:color w:val="auto"/>
          <w:sz w:val="28"/>
          <w:szCs w:val="28"/>
          <w:highlight w:val="none"/>
        </w:rPr>
        <w:t>21.投标文件的密封、标记与提交</w:t>
      </w:r>
      <w:bookmarkEnd w:id="121"/>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21.1网上递交的电子投标文件须对文件进行加密。</w:t>
      </w:r>
    </w:p>
    <w:p>
      <w:pPr>
        <w:keepLines w:val="0"/>
        <w:pageBreakBefore w:val="0"/>
        <w:kinsoku/>
        <w:wordWrap w:val="0"/>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21.2网上递交电子投标文件网址为（https://www.zcygov.cn），投标人须在投标截止时间前完成所有投标文件的上传，网上确认电子签名。未按要求在投标截止时间前完成投标文件上传的，视为自动放弃投标。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注：建议投标人上传完成后，将已上传的电子响应文件重新下载下来，用对应类型的编制工具或标书查看工具进行解密查看，确保上传的文件可以正常解密打开。</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21.3在规定的投标截止时间前，投标人可以修改或撤回已在网上递交的电子投标文件，无须书面形式通知采购人。修改的电子投标文件应按照有关电子投标文件的规定进行编制、密封、标记和递交。</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22" w:name="_Toc26456"/>
      <w:r>
        <w:rPr>
          <w:rFonts w:ascii="仿宋" w:hAnsi="仿宋" w:eastAsia="仿宋"/>
          <w:color w:val="auto"/>
          <w:sz w:val="28"/>
          <w:szCs w:val="28"/>
          <w:highlight w:val="none"/>
        </w:rPr>
        <w:t>2</w:t>
      </w:r>
      <w:r>
        <w:rPr>
          <w:rFonts w:hint="eastAsia" w:ascii="仿宋" w:hAnsi="仿宋" w:eastAsia="仿宋"/>
          <w:color w:val="auto"/>
          <w:sz w:val="28"/>
          <w:szCs w:val="28"/>
          <w:highlight w:val="none"/>
        </w:rPr>
        <w:t>1.4投标文件提交的截止时间</w:t>
      </w:r>
      <w:bookmarkEnd w:id="122"/>
      <w:r>
        <w:rPr>
          <w:rFonts w:hint="eastAsia" w:ascii="仿宋" w:hAnsi="仿宋" w:eastAsia="仿宋"/>
          <w:color w:val="auto"/>
          <w:sz w:val="28"/>
          <w:szCs w:val="28"/>
          <w:highlight w:val="none"/>
        </w:rPr>
        <w:t>（见“投标人须知前附表”）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1</w:t>
      </w:r>
      <w:r>
        <w:rPr>
          <w:rFonts w:ascii="仿宋" w:hAnsi="仿宋" w:eastAsia="仿宋"/>
          <w:color w:val="auto"/>
          <w:sz w:val="28"/>
          <w:szCs w:val="28"/>
          <w:highlight w:val="none"/>
        </w:rPr>
        <w:t>.</w:t>
      </w:r>
      <w:r>
        <w:rPr>
          <w:rFonts w:hint="eastAsia" w:ascii="仿宋" w:hAnsi="仿宋" w:eastAsia="仿宋"/>
          <w:color w:val="auto"/>
          <w:sz w:val="28"/>
          <w:szCs w:val="28"/>
          <w:highlight w:val="none"/>
        </w:rPr>
        <w:t>5除“投标人须知前附表”另有规定外，投标人所递交的投标文件不予退还。</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123" w:name="_Toc3761"/>
      <w:bookmarkStart w:id="124" w:name="_Toc12208_WPSOffice_Level2"/>
      <w:bookmarkStart w:id="125" w:name="_Toc23365_WPSOffice_Level1"/>
      <w:bookmarkStart w:id="126" w:name="_Toc60996681"/>
      <w:bookmarkStart w:id="127" w:name="_Toc16744_WPSOffice_Level1"/>
      <w:bookmarkStart w:id="128" w:name="_Toc13498"/>
      <w:bookmarkStart w:id="129" w:name="_五、开标与评标"/>
      <w:r>
        <w:rPr>
          <w:rFonts w:hint="eastAsia" w:ascii="仿宋" w:hAnsi="仿宋" w:eastAsia="仿宋"/>
          <w:color w:val="auto"/>
          <w:szCs w:val="28"/>
          <w:highlight w:val="none"/>
        </w:rPr>
        <w:t>五、开标与评标</w:t>
      </w:r>
      <w:bookmarkEnd w:id="123"/>
      <w:bookmarkEnd w:id="124"/>
      <w:bookmarkEnd w:id="125"/>
      <w:bookmarkEnd w:id="126"/>
      <w:bookmarkEnd w:id="127"/>
      <w:bookmarkEnd w:id="128"/>
    </w:p>
    <w:bookmarkEnd w:id="129"/>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0" w:name="_Toc15140"/>
      <w:r>
        <w:rPr>
          <w:rFonts w:ascii="仿宋" w:hAnsi="仿宋" w:eastAsia="仿宋"/>
          <w:color w:val="auto"/>
          <w:sz w:val="28"/>
          <w:szCs w:val="28"/>
          <w:highlight w:val="none"/>
        </w:rPr>
        <w:t>2</w:t>
      </w:r>
      <w:r>
        <w:rPr>
          <w:rFonts w:hint="eastAsia" w:ascii="仿宋" w:hAnsi="仿宋" w:eastAsia="仿宋"/>
          <w:color w:val="auto"/>
          <w:sz w:val="28"/>
          <w:szCs w:val="28"/>
          <w:highlight w:val="none"/>
        </w:rPr>
        <w:t>2</w:t>
      </w:r>
      <w:r>
        <w:rPr>
          <w:rFonts w:ascii="仿宋" w:hAnsi="仿宋" w:eastAsia="仿宋"/>
          <w:color w:val="auto"/>
          <w:sz w:val="28"/>
          <w:szCs w:val="28"/>
          <w:highlight w:val="none"/>
        </w:rPr>
        <w:t>.</w:t>
      </w:r>
      <w:r>
        <w:rPr>
          <w:rFonts w:hint="eastAsia" w:ascii="仿宋" w:hAnsi="仿宋" w:eastAsia="仿宋"/>
          <w:color w:val="auto"/>
          <w:sz w:val="28"/>
          <w:szCs w:val="28"/>
          <w:highlight w:val="none"/>
        </w:rPr>
        <w:t>开标</w:t>
      </w:r>
      <w:bookmarkEnd w:id="130"/>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2</w:t>
      </w:r>
      <w:r>
        <w:rPr>
          <w:rFonts w:ascii="仿宋" w:hAnsi="仿宋" w:eastAsia="仿宋"/>
          <w:color w:val="auto"/>
          <w:sz w:val="28"/>
          <w:szCs w:val="28"/>
          <w:highlight w:val="none"/>
        </w:rPr>
        <w:t>.1</w:t>
      </w:r>
      <w:r>
        <w:rPr>
          <w:rFonts w:hint="eastAsia" w:ascii="仿宋" w:hAnsi="仿宋" w:eastAsia="仿宋"/>
          <w:color w:val="auto"/>
          <w:sz w:val="28"/>
          <w:szCs w:val="28"/>
          <w:highlight w:val="none"/>
        </w:rPr>
        <w:t>集采机构将在“投标人须知前附表”规定的时间和地点进行开标。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2</w:t>
      </w:r>
      <w:r>
        <w:rPr>
          <w:rFonts w:ascii="仿宋" w:hAnsi="仿宋" w:eastAsia="仿宋"/>
          <w:color w:val="auto"/>
          <w:sz w:val="28"/>
          <w:szCs w:val="28"/>
          <w:highlight w:val="none"/>
        </w:rPr>
        <w:t>.2</w:t>
      </w:r>
      <w:r>
        <w:rPr>
          <w:rFonts w:hint="eastAsia" w:ascii="仿宋" w:hAnsi="仿宋" w:eastAsia="仿宋"/>
          <w:color w:val="auto"/>
          <w:sz w:val="28"/>
          <w:szCs w:val="28"/>
          <w:highlight w:val="none"/>
        </w:rPr>
        <w:t>开标程序</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（1）开标会由集采机构主持，主持人宣布开标会议开始；</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（2）主持人宣布开标纪律；</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（3）介绍参加开标会的人员名单；</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ascii="仿宋" w:hAnsi="仿宋" w:eastAsia="仿宋"/>
          <w:color w:val="auto"/>
          <w:sz w:val="28"/>
          <w:szCs w:val="28"/>
          <w:highlight w:val="none"/>
        </w:rPr>
        <w:t>开标</w:t>
      </w:r>
      <w:r>
        <w:rPr>
          <w:rFonts w:hint="eastAsia" w:ascii="仿宋" w:hAnsi="仿宋" w:eastAsia="仿宋"/>
          <w:color w:val="auto"/>
          <w:sz w:val="28"/>
          <w:szCs w:val="28"/>
          <w:highlight w:val="none"/>
        </w:rPr>
        <w:t>：按照政府采购云平台自动提取的所有投标人的顺序当众开标。主持人宣布开启电子投标文件后，投标人使用编制投标文件时的加密数字证书对投标文件进行解密；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注：本项目实行远程解密网上开标，投标人可不需到场解密。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（5）唱标：由唱标人宣读投标人在其电子投标文件中承诺的投标总价、服务期限等以及集采机构认为有必要宣读的其他内容；</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（6）宣布评标期间的有关事项；</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（7）开标会议结束。</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技术支持</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系统操作问题：请致电政釆云，4008817190（客服热线）；</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云南CA操作问题：请致电云南CA, 4006727666。</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3.投标文件如果出现计算或表达上的错误，按照下列规定修正：</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）投标文件中开标一览表（报价表）内容与投标文件中相应内容不一致的，以开标一览表（报价表）为准；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）大写金额和小写金额不一致的，以大写金额为准；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）单价金额小数点或者百分比有明显错位的，以开标一览表的总价为准，并修改单价；</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）总价金额与按单价汇总金额不一致的，以单价金额计算结果为准；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5</w:t>
      </w:r>
      <w:r>
        <w:rPr>
          <w:rFonts w:hint="eastAsia" w:ascii="仿宋" w:hAnsi="仿宋" w:eastAsia="仿宋"/>
          <w:color w:val="auto"/>
          <w:sz w:val="28"/>
          <w:szCs w:val="28"/>
          <w:highlight w:val="none"/>
        </w:rPr>
        <w:t>）对不同文字文本投标文件的解释发生异议的，以中文文本为准；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6</w:t>
      </w:r>
      <w:r>
        <w:rPr>
          <w:rFonts w:hint="eastAsia" w:ascii="仿宋" w:hAnsi="仿宋" w:eastAsia="仿宋"/>
          <w:color w:val="auto"/>
          <w:sz w:val="28"/>
          <w:szCs w:val="28"/>
          <w:highlight w:val="none"/>
        </w:rPr>
        <w:t>）同时出现两种以上不一致的，按照前款规定的顺序修正。按上述规定修正后的报价经投标人确认后对投标人起约束作用。如果投标人不确认修正后的报价，则其投标无效。</w:t>
      </w:r>
      <w:bookmarkStart w:id="131" w:name="_Toc7207"/>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24</w:t>
      </w:r>
      <w:r>
        <w:rPr>
          <w:rFonts w:ascii="仿宋" w:hAnsi="仿宋" w:eastAsia="仿宋"/>
          <w:color w:val="auto"/>
          <w:sz w:val="28"/>
          <w:szCs w:val="28"/>
          <w:highlight w:val="none"/>
        </w:rPr>
        <w:t>.</w:t>
      </w:r>
      <w:r>
        <w:rPr>
          <w:rFonts w:hint="eastAsia" w:ascii="仿宋" w:hAnsi="仿宋" w:eastAsia="仿宋"/>
          <w:color w:val="auto"/>
          <w:sz w:val="28"/>
          <w:szCs w:val="28"/>
          <w:highlight w:val="none"/>
        </w:rPr>
        <w:t>资格审查</w:t>
      </w:r>
      <w:bookmarkEnd w:id="131"/>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公开招标采购项目开标结束后，采购人或者集采机构依法对投标人的资格进行审查。</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2" w:name="_Toc7305"/>
      <w:r>
        <w:rPr>
          <w:rFonts w:ascii="仿宋" w:hAnsi="仿宋" w:eastAsia="仿宋"/>
          <w:color w:val="auto"/>
          <w:sz w:val="28"/>
          <w:szCs w:val="28"/>
          <w:highlight w:val="none"/>
        </w:rPr>
        <w:t>2</w:t>
      </w:r>
      <w:r>
        <w:rPr>
          <w:rFonts w:hint="eastAsia" w:ascii="仿宋" w:hAnsi="仿宋" w:eastAsia="仿宋"/>
          <w:color w:val="auto"/>
          <w:sz w:val="28"/>
          <w:szCs w:val="28"/>
          <w:highlight w:val="none"/>
        </w:rPr>
        <w:t>5</w:t>
      </w:r>
      <w:r>
        <w:rPr>
          <w:rFonts w:ascii="仿宋" w:hAnsi="仿宋" w:eastAsia="仿宋"/>
          <w:color w:val="auto"/>
          <w:sz w:val="28"/>
          <w:szCs w:val="28"/>
          <w:highlight w:val="none"/>
        </w:rPr>
        <w:t>.</w:t>
      </w:r>
      <w:r>
        <w:rPr>
          <w:rFonts w:hint="eastAsia" w:ascii="仿宋" w:hAnsi="仿宋" w:eastAsia="仿宋"/>
          <w:color w:val="auto"/>
          <w:sz w:val="28"/>
          <w:szCs w:val="28"/>
          <w:highlight w:val="none"/>
        </w:rPr>
        <w:t>评标</w:t>
      </w:r>
      <w:bookmarkEnd w:id="13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5</w:t>
      </w:r>
      <w:r>
        <w:rPr>
          <w:rFonts w:ascii="仿宋" w:hAnsi="仿宋" w:eastAsia="仿宋"/>
          <w:color w:val="auto"/>
          <w:sz w:val="28"/>
          <w:szCs w:val="28"/>
          <w:highlight w:val="none"/>
        </w:rPr>
        <w:t>.1</w:t>
      </w:r>
      <w:r>
        <w:rPr>
          <w:rFonts w:hint="eastAsia" w:ascii="仿宋" w:hAnsi="仿宋" w:eastAsia="仿宋"/>
          <w:color w:val="auto"/>
          <w:sz w:val="28"/>
          <w:szCs w:val="28"/>
          <w:highlight w:val="none"/>
        </w:rPr>
        <w:t>评标由采购人依法组建的评标委员会负责。评标委员会由采购人熟悉相关业务的代表，以及有关技术、经济等方面的专家组成。其中，技术、经济等方面的专家不得少于成员总数的三分之二。</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25.2评标委员会成员与投标人存在利害关系的，应当回避。</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3" w:name="_Toc191374422"/>
      <w:r>
        <w:rPr>
          <w:rFonts w:ascii="仿宋" w:hAnsi="仿宋" w:eastAsia="仿宋"/>
          <w:color w:val="auto"/>
          <w:sz w:val="28"/>
          <w:szCs w:val="28"/>
          <w:highlight w:val="none"/>
        </w:rPr>
        <w:t>2</w:t>
      </w:r>
      <w:r>
        <w:rPr>
          <w:rFonts w:hint="eastAsia" w:ascii="仿宋" w:hAnsi="仿宋" w:eastAsia="仿宋"/>
          <w:color w:val="auto"/>
          <w:sz w:val="28"/>
          <w:szCs w:val="28"/>
          <w:highlight w:val="none"/>
        </w:rPr>
        <w:t>5</w:t>
      </w:r>
      <w:r>
        <w:rPr>
          <w:rFonts w:ascii="仿宋" w:hAnsi="仿宋" w:eastAsia="仿宋"/>
          <w:color w:val="auto"/>
          <w:sz w:val="28"/>
          <w:szCs w:val="28"/>
          <w:highlight w:val="none"/>
        </w:rPr>
        <w:t>.</w:t>
      </w:r>
      <w:r>
        <w:rPr>
          <w:rFonts w:hint="eastAsia" w:ascii="仿宋" w:hAnsi="仿宋" w:eastAsia="仿宋"/>
          <w:color w:val="auto"/>
          <w:sz w:val="28"/>
          <w:szCs w:val="28"/>
          <w:highlight w:val="none"/>
        </w:rPr>
        <w:t>3评标原则</w:t>
      </w:r>
      <w:bookmarkEnd w:id="133"/>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评标活动遵循公平、公正、科学和择优的原则。</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5</w:t>
      </w:r>
      <w:r>
        <w:rPr>
          <w:rFonts w:ascii="仿宋" w:hAnsi="仿宋" w:eastAsia="仿宋"/>
          <w:color w:val="auto"/>
          <w:sz w:val="28"/>
          <w:szCs w:val="28"/>
          <w:highlight w:val="none"/>
        </w:rPr>
        <w:t>.</w:t>
      </w:r>
      <w:r>
        <w:rPr>
          <w:rFonts w:hint="eastAsia" w:ascii="仿宋" w:hAnsi="仿宋" w:eastAsia="仿宋"/>
          <w:color w:val="auto"/>
          <w:sz w:val="28"/>
          <w:szCs w:val="28"/>
          <w:highlight w:val="none"/>
        </w:rPr>
        <w:t>4评标</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项目采用电子评标，评标委员会按照第五章“评标办法（综合评分法）”规定的方法、评审因素、标准和程序对投标文件进行评审。第五章“评标办法（综合评分法）”没有规定的方法、评审因素和标准，不作为评标依据。</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4" w:name="_Toc28822"/>
      <w:r>
        <w:rPr>
          <w:rFonts w:hint="eastAsia" w:ascii="仿宋" w:hAnsi="仿宋" w:eastAsia="仿宋"/>
          <w:color w:val="auto"/>
          <w:sz w:val="28"/>
          <w:szCs w:val="28"/>
          <w:highlight w:val="none"/>
        </w:rPr>
        <w:t>26</w:t>
      </w:r>
      <w:r>
        <w:rPr>
          <w:rFonts w:ascii="仿宋" w:hAnsi="仿宋" w:eastAsia="仿宋"/>
          <w:color w:val="auto"/>
          <w:sz w:val="28"/>
          <w:szCs w:val="28"/>
          <w:highlight w:val="none"/>
        </w:rPr>
        <w:t>.</w:t>
      </w:r>
      <w:r>
        <w:rPr>
          <w:rFonts w:hint="eastAsia" w:ascii="仿宋" w:hAnsi="仿宋" w:eastAsia="仿宋"/>
          <w:color w:val="auto"/>
          <w:sz w:val="28"/>
          <w:szCs w:val="28"/>
          <w:highlight w:val="none"/>
        </w:rPr>
        <w:t>评标过程的保密</w:t>
      </w:r>
      <w:bookmarkEnd w:id="134"/>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有关人员对评标情况以及在评标过程中获悉的国家秘密、商业秘密负有保密责任。开标后，直到授予中标人合同止，凡是属于审查、澄清、评审和比较的有关资料以及授标建议等均不得向投标人或其他无关的人员透露。</w:t>
      </w:r>
    </w:p>
    <w:p>
      <w:pPr>
        <w:pStyle w:val="48"/>
        <w:keepLines w:val="0"/>
        <w:pageBreakBefore w:val="0"/>
        <w:kinsoku/>
        <w:overflowPunct/>
        <w:topLinePunct w:val="0"/>
        <w:bidi w:val="0"/>
        <w:snapToGrid w:val="0"/>
        <w:spacing w:line="360" w:lineRule="auto"/>
        <w:ind w:firstLine="54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27.评审中出现下列情形之一的，评审委员会应当启动异常低价投标（响应）审查程序：</w:t>
      </w:r>
    </w:p>
    <w:p>
      <w:pPr>
        <w:pStyle w:val="48"/>
        <w:keepLines w:val="0"/>
        <w:pageBreakBefore w:val="0"/>
        <w:kinsoku/>
        <w:overflowPunct/>
        <w:topLinePunct w:val="0"/>
        <w:bidi w:val="0"/>
        <w:snapToGrid w:val="0"/>
        <w:spacing w:line="360" w:lineRule="auto"/>
        <w:ind w:firstLine="54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1.投标（响应）报价低于全部通过符合性审查供应商投标（响应）报价平均值50%的，即投标（响应）报价&lt;全部通过符合性审查供应商投标（响应）报价平均值×50%；</w:t>
      </w:r>
    </w:p>
    <w:p>
      <w:pPr>
        <w:pStyle w:val="48"/>
        <w:keepLines w:val="0"/>
        <w:pageBreakBefore w:val="0"/>
        <w:kinsoku/>
        <w:overflowPunct/>
        <w:topLinePunct w:val="0"/>
        <w:bidi w:val="0"/>
        <w:snapToGrid w:val="0"/>
        <w:spacing w:line="360" w:lineRule="auto"/>
        <w:ind w:firstLine="54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2.投标（响应）报价低于通过符合性审查的次低报价供应商投标（响应）报价50%的，即投标（响应）报价&lt;通过符合性审查的次低报价供应商投标（响应）报价×50%；</w:t>
      </w:r>
    </w:p>
    <w:p>
      <w:pPr>
        <w:pStyle w:val="48"/>
        <w:keepLines w:val="0"/>
        <w:pageBreakBefore w:val="0"/>
        <w:kinsoku/>
        <w:overflowPunct/>
        <w:topLinePunct w:val="0"/>
        <w:bidi w:val="0"/>
        <w:snapToGrid w:val="0"/>
        <w:spacing w:line="360" w:lineRule="auto"/>
        <w:ind w:firstLine="54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3.投标（响应）报价低于采购项目最高限价45%的，即投标（响应）报价&lt;采购项目最高限价×45%；</w:t>
      </w:r>
    </w:p>
    <w:p>
      <w:pPr>
        <w:pStyle w:val="48"/>
        <w:keepLines w:val="0"/>
        <w:pageBreakBefore w:val="0"/>
        <w:kinsoku/>
        <w:overflowPunct/>
        <w:topLinePunct w:val="0"/>
        <w:bidi w:val="0"/>
        <w:snapToGrid w:val="0"/>
        <w:spacing w:line="360" w:lineRule="auto"/>
        <w:ind w:firstLine="547"/>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4.评审委员会基于专业判断，认为供应商报价过低，有可能影响产品质量或者不能诚信履约的其他情形。</w:t>
      </w:r>
    </w:p>
    <w:p>
      <w:pPr>
        <w:pStyle w:val="48"/>
        <w:keepLines w:val="0"/>
        <w:pageBreakBefore w:val="0"/>
        <w:kinsoku/>
        <w:overflowPunct/>
        <w:topLinePunct w:val="0"/>
        <w:bidi w:val="0"/>
        <w:snapToGrid w:val="0"/>
        <w:spacing w:line="360" w:lineRule="auto"/>
        <w:ind w:firstLine="547"/>
        <w:rPr>
          <w:rFonts w:hint="eastAsia"/>
          <w:color w:val="auto"/>
          <w:highlight w:val="none"/>
        </w:rPr>
      </w:pPr>
      <w:r>
        <w:rPr>
          <w:rFonts w:hint="eastAsia" w:ascii="仿宋" w:hAnsi="仿宋" w:eastAsia="仿宋"/>
          <w:color w:val="auto"/>
          <w:sz w:val="28"/>
          <w:szCs w:val="28"/>
          <w:highlight w:val="none"/>
        </w:rPr>
        <w:t>相关供应商在评审现场合理的时间内对投标（响应）价格作出解释，提供项目具体成本测算等与报价合理性相关的书面说明及必要的证明材料，包括但不限于原材料成本、人工成本、制造费用等。</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5" w:name="_Toc30337"/>
      <w:r>
        <w:rPr>
          <w:rFonts w:hint="eastAsia" w:ascii="仿宋" w:hAnsi="仿宋" w:eastAsia="仿宋"/>
          <w:color w:val="auto"/>
          <w:sz w:val="28"/>
          <w:szCs w:val="28"/>
          <w:highlight w:val="none"/>
        </w:rPr>
        <w:t>28</w:t>
      </w:r>
      <w:r>
        <w:rPr>
          <w:rFonts w:ascii="仿宋" w:hAnsi="仿宋" w:eastAsia="仿宋"/>
          <w:color w:val="auto"/>
          <w:sz w:val="28"/>
          <w:szCs w:val="28"/>
          <w:highlight w:val="none"/>
        </w:rPr>
        <w:t>.</w:t>
      </w:r>
      <w:r>
        <w:rPr>
          <w:rFonts w:hint="eastAsia" w:ascii="仿宋" w:hAnsi="仿宋" w:eastAsia="仿宋"/>
          <w:color w:val="auto"/>
          <w:sz w:val="28"/>
          <w:szCs w:val="28"/>
          <w:highlight w:val="none"/>
        </w:rPr>
        <w:t>投标人存在下列情况之一的，投标无效：</w:t>
      </w:r>
      <w:bookmarkEnd w:id="135"/>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6" w:name="_Toc7424_WPSOffice_Level2"/>
      <w:bookmarkStart w:id="137" w:name="_Toc25948_WPSOffice_Level3"/>
      <w:bookmarkStart w:id="138" w:name="_Toc23491_WPSOffice_Level2"/>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）未按照招标文件的规定提交投标保证金的；</w:t>
      </w:r>
      <w:bookmarkEnd w:id="136"/>
      <w:bookmarkEnd w:id="137"/>
      <w:bookmarkEnd w:id="138"/>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39" w:name="_Toc11294_WPSOffice_Level2"/>
      <w:bookmarkStart w:id="140" w:name="_Toc4879_WPSOffice_Level2"/>
      <w:bookmarkStart w:id="141" w:name="_Toc20599_WPSOffice_Level3"/>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）投标文件未按招标文件要求签署、盖章的；</w:t>
      </w:r>
      <w:bookmarkEnd w:id="139"/>
      <w:bookmarkEnd w:id="140"/>
      <w:bookmarkEnd w:id="141"/>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42" w:name="_Toc26127_WPSOffice_Level3"/>
      <w:bookmarkStart w:id="143" w:name="_Toc24366_WPSOffice_Level2"/>
      <w:bookmarkStart w:id="144" w:name="_Toc3007_WPSOffice_Level2"/>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）不具备招标文件中规定的资格要求的；</w:t>
      </w:r>
      <w:bookmarkEnd w:id="142"/>
      <w:bookmarkEnd w:id="143"/>
      <w:bookmarkEnd w:id="144"/>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45" w:name="_Toc30986_WPSOffice_Level2"/>
      <w:bookmarkStart w:id="146" w:name="_Toc25217_WPSOffice_Level3"/>
      <w:bookmarkStart w:id="147" w:name="_Toc11014_WPSOffice_Level2"/>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）报价超过招标文件中规定的预算金额或者最高限价的；</w:t>
      </w:r>
      <w:bookmarkEnd w:id="145"/>
      <w:bookmarkEnd w:id="146"/>
      <w:bookmarkEnd w:id="147"/>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48" w:name="_Toc12208_WPSOffice_Level3"/>
      <w:bookmarkStart w:id="149" w:name="_Toc29695_WPSOffice_Level2"/>
      <w:r>
        <w:rPr>
          <w:rFonts w:hint="eastAsia" w:ascii="仿宋" w:hAnsi="仿宋" w:eastAsia="仿宋"/>
          <w:color w:val="auto"/>
          <w:sz w:val="28"/>
          <w:szCs w:val="28"/>
          <w:highlight w:val="none"/>
        </w:rPr>
        <w:t>（</w:t>
      </w:r>
      <w:r>
        <w:rPr>
          <w:rFonts w:ascii="仿宋" w:hAnsi="仿宋" w:eastAsia="仿宋"/>
          <w:color w:val="auto"/>
          <w:sz w:val="28"/>
          <w:szCs w:val="28"/>
          <w:highlight w:val="none"/>
        </w:rPr>
        <w:t>5</w:t>
      </w:r>
      <w:r>
        <w:rPr>
          <w:rFonts w:hint="eastAsia" w:ascii="仿宋" w:hAnsi="仿宋" w:eastAsia="仿宋"/>
          <w:color w:val="auto"/>
          <w:sz w:val="28"/>
          <w:szCs w:val="28"/>
          <w:highlight w:val="none"/>
        </w:rPr>
        <w:t>）投标文件含有采购人不能接受的附加条件的；</w:t>
      </w:r>
      <w:bookmarkEnd w:id="148"/>
      <w:bookmarkEnd w:id="149"/>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50" w:name="_Toc20995_WPSOffice_Level3"/>
      <w:bookmarkStart w:id="151" w:name="_Toc17522_WPSOffice_Level2"/>
      <w:r>
        <w:rPr>
          <w:rFonts w:hint="eastAsia" w:ascii="仿宋" w:hAnsi="仿宋" w:eastAsia="仿宋"/>
          <w:color w:val="auto"/>
          <w:sz w:val="28"/>
          <w:szCs w:val="28"/>
          <w:highlight w:val="none"/>
        </w:rPr>
        <w:t>（6）法律、法规和招标文件规定的其他无效情形。</w:t>
      </w:r>
      <w:bookmarkEnd w:id="150"/>
      <w:bookmarkEnd w:id="151"/>
    </w:p>
    <w:p>
      <w:pPr>
        <w:keepLines w:val="0"/>
        <w:pageBreakBefore w:val="0"/>
        <w:kinsoku/>
        <w:overflowPunct/>
        <w:topLinePunct w:val="0"/>
        <w:bidi w:val="0"/>
        <w:snapToGrid w:val="0"/>
        <w:spacing w:line="360" w:lineRule="auto"/>
        <w:ind w:firstLine="560" w:firstLineChars="200"/>
        <w:rPr>
          <w:color w:val="auto"/>
          <w:highlight w:val="none"/>
        </w:rPr>
      </w:pPr>
      <w:r>
        <w:rPr>
          <w:rFonts w:hint="eastAsia" w:ascii="仿宋" w:hAnsi="仿宋" w:eastAsia="仿宋"/>
          <w:color w:val="auto"/>
          <w:sz w:val="28"/>
          <w:szCs w:val="28"/>
          <w:highlight w:val="none"/>
        </w:rPr>
        <w:t xml:space="preserve">（7）当启动异常低价投标（响应）审查程序时，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 </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52" w:name="_Toc6522"/>
      <w:r>
        <w:rPr>
          <w:rFonts w:ascii="仿宋" w:hAnsi="仿宋" w:eastAsia="仿宋"/>
          <w:color w:val="auto"/>
          <w:sz w:val="28"/>
          <w:szCs w:val="28"/>
          <w:highlight w:val="none"/>
        </w:rPr>
        <w:t>2</w:t>
      </w:r>
      <w:r>
        <w:rPr>
          <w:rFonts w:hint="eastAsia" w:ascii="仿宋" w:hAnsi="仿宋" w:eastAsia="仿宋"/>
          <w:color w:val="auto"/>
          <w:sz w:val="28"/>
          <w:szCs w:val="28"/>
          <w:highlight w:val="none"/>
        </w:rPr>
        <w:t>9</w:t>
      </w:r>
      <w:r>
        <w:rPr>
          <w:rFonts w:ascii="仿宋" w:hAnsi="仿宋" w:eastAsia="仿宋"/>
          <w:color w:val="auto"/>
          <w:sz w:val="28"/>
          <w:szCs w:val="28"/>
          <w:highlight w:val="none"/>
        </w:rPr>
        <w:t>.</w:t>
      </w:r>
      <w:r>
        <w:rPr>
          <w:rFonts w:hint="eastAsia" w:ascii="仿宋" w:hAnsi="仿宋" w:eastAsia="仿宋"/>
          <w:color w:val="auto"/>
          <w:sz w:val="28"/>
          <w:szCs w:val="28"/>
          <w:highlight w:val="none"/>
        </w:rPr>
        <w:t>有下列情形之一的，视为投标人串通投标，其投标无效：</w:t>
      </w:r>
      <w:bookmarkEnd w:id="15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）不同投标人的投标文件由同一单位或者个人编制；</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）不同投标人委托同一单位或者个人办理投标事宜；</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）不同投标人的投标文件载明的项目管理成员或者联系人员为同一人；</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）不同投标人的投标文件异常一致或者投标报价呈规律性差异；</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5</w:t>
      </w:r>
      <w:r>
        <w:rPr>
          <w:rFonts w:hint="eastAsia" w:ascii="仿宋" w:hAnsi="仿宋" w:eastAsia="仿宋"/>
          <w:color w:val="auto"/>
          <w:sz w:val="28"/>
          <w:szCs w:val="28"/>
          <w:highlight w:val="none"/>
        </w:rPr>
        <w:t>）不同投标人的投标文件相互混装；</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6</w:t>
      </w:r>
      <w:r>
        <w:rPr>
          <w:rFonts w:hint="eastAsia" w:ascii="仿宋" w:hAnsi="仿宋" w:eastAsia="仿宋"/>
          <w:color w:val="auto"/>
          <w:sz w:val="28"/>
          <w:szCs w:val="28"/>
          <w:highlight w:val="none"/>
        </w:rPr>
        <w:t>）不同投标人的投标保证金从同一单位或者个人的账户转出。</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53" w:name="_Toc8592"/>
      <w:r>
        <w:rPr>
          <w:rFonts w:hint="eastAsia" w:ascii="仿宋" w:hAnsi="仿宋" w:eastAsia="仿宋"/>
          <w:color w:val="auto"/>
          <w:sz w:val="28"/>
          <w:szCs w:val="28"/>
          <w:highlight w:val="none"/>
        </w:rPr>
        <w:t>30</w:t>
      </w:r>
      <w:r>
        <w:rPr>
          <w:rFonts w:ascii="仿宋" w:hAnsi="仿宋" w:eastAsia="仿宋"/>
          <w:color w:val="auto"/>
          <w:sz w:val="28"/>
          <w:szCs w:val="28"/>
          <w:highlight w:val="none"/>
        </w:rPr>
        <w:t>.</w:t>
      </w:r>
      <w:r>
        <w:rPr>
          <w:rFonts w:hint="eastAsia" w:ascii="仿宋" w:hAnsi="仿宋" w:eastAsia="仿宋"/>
          <w:color w:val="auto"/>
          <w:sz w:val="28"/>
          <w:szCs w:val="28"/>
          <w:highlight w:val="none"/>
        </w:rPr>
        <w:t>在招标采购中，出现下列情形之一的，应予废标：</w:t>
      </w:r>
      <w:bookmarkEnd w:id="153"/>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）符合专业条件的投标人或者对招标文件作实质响应的投标人不足</w:t>
      </w:r>
      <w:r>
        <w:rPr>
          <w:rFonts w:ascii="仿宋" w:hAnsi="仿宋" w:eastAsia="仿宋"/>
          <w:color w:val="auto"/>
          <w:sz w:val="28"/>
          <w:szCs w:val="28"/>
          <w:highlight w:val="none"/>
        </w:rPr>
        <w:t>3</w:t>
      </w:r>
      <w:r>
        <w:rPr>
          <w:rFonts w:hint="eastAsia" w:ascii="仿宋" w:hAnsi="仿宋" w:eastAsia="仿宋"/>
          <w:color w:val="auto"/>
          <w:sz w:val="28"/>
          <w:szCs w:val="28"/>
          <w:highlight w:val="none"/>
        </w:rPr>
        <w:t>家的；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）出现影响采购公正的违法、违规行为的；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）投标人的报价均超过了采购预算，采购人不能支付的；</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）因重大变故，采购任务取消的。</w:t>
      </w:r>
    </w:p>
    <w:p>
      <w:pPr>
        <w:keepLines w:val="0"/>
        <w:pageBreakBefore w:val="0"/>
        <w:kinsoku/>
        <w:overflowPunct/>
        <w:topLinePunct w:val="0"/>
        <w:bidi w:val="0"/>
        <w:snapToGrid w:val="0"/>
        <w:spacing w:line="360" w:lineRule="auto"/>
        <w:ind w:firstLine="840" w:firstLineChars="3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废标后，采购人应当将废标理由通知所有投标人。</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154" w:name="_Toc12853_WPSOffice_Level1"/>
      <w:bookmarkStart w:id="155" w:name="_Toc20995_WPSOffice_Level2"/>
      <w:bookmarkStart w:id="156" w:name="_Toc15388"/>
      <w:bookmarkStart w:id="157" w:name="_Toc60996682"/>
      <w:bookmarkStart w:id="158" w:name="_Toc18616"/>
      <w:bookmarkStart w:id="159" w:name="_六、中标结果"/>
      <w:r>
        <w:rPr>
          <w:rFonts w:hint="eastAsia" w:ascii="仿宋" w:hAnsi="仿宋" w:eastAsia="仿宋"/>
          <w:color w:val="auto"/>
          <w:szCs w:val="28"/>
          <w:highlight w:val="none"/>
        </w:rPr>
        <w:t>六</w:t>
      </w:r>
      <w:r>
        <w:rPr>
          <w:rFonts w:ascii="仿宋" w:hAnsi="仿宋" w:eastAsia="仿宋"/>
          <w:color w:val="auto"/>
          <w:szCs w:val="28"/>
          <w:highlight w:val="none"/>
        </w:rPr>
        <w:t>、</w:t>
      </w:r>
      <w:r>
        <w:rPr>
          <w:rFonts w:hint="eastAsia" w:ascii="仿宋" w:hAnsi="仿宋" w:eastAsia="仿宋"/>
          <w:color w:val="auto"/>
          <w:szCs w:val="28"/>
          <w:highlight w:val="none"/>
        </w:rPr>
        <w:t>中标结果</w:t>
      </w:r>
      <w:bookmarkEnd w:id="154"/>
      <w:bookmarkEnd w:id="155"/>
      <w:bookmarkEnd w:id="156"/>
      <w:bookmarkEnd w:id="157"/>
      <w:bookmarkEnd w:id="158"/>
    </w:p>
    <w:bookmarkEnd w:id="159"/>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60" w:name="_Toc7601"/>
      <w:r>
        <w:rPr>
          <w:rFonts w:hint="eastAsia" w:ascii="仿宋" w:hAnsi="仿宋" w:eastAsia="仿宋"/>
          <w:color w:val="auto"/>
          <w:sz w:val="28"/>
          <w:szCs w:val="28"/>
          <w:highlight w:val="none"/>
        </w:rPr>
        <w:t>31</w:t>
      </w:r>
      <w:r>
        <w:rPr>
          <w:rFonts w:ascii="仿宋" w:hAnsi="仿宋" w:eastAsia="仿宋"/>
          <w:color w:val="auto"/>
          <w:sz w:val="28"/>
          <w:szCs w:val="28"/>
          <w:highlight w:val="none"/>
        </w:rPr>
        <w:t>.</w:t>
      </w:r>
      <w:r>
        <w:rPr>
          <w:rFonts w:hint="eastAsia" w:ascii="仿宋" w:hAnsi="仿宋" w:eastAsia="仿宋"/>
          <w:color w:val="auto"/>
          <w:sz w:val="28"/>
          <w:szCs w:val="28"/>
          <w:highlight w:val="none"/>
        </w:rPr>
        <w:t>中标人的确定</w:t>
      </w:r>
      <w:bookmarkEnd w:id="160"/>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31.1集采机构应当在评标结束后2个工作日内将评标报告送采购人。</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31.2采购人应当自收到评标报告之日起5个工作日内，在评标报告确定的中标候选人名单中按顺序确定中标人。中标候选人并列的，由采购人按照以下原则确定中标人：（1）得分相同的，按投标报价由低到高顺序排列。（2）得分且投标报价相同的并列。投标文件满足招标文件全部实质性要求，且按照评审因素的量化指标评审得分最高的投标人为排名第一的中标候选人。</w:t>
      </w:r>
      <w:bookmarkStart w:id="161" w:name="_Toc25957"/>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32</w:t>
      </w:r>
      <w:r>
        <w:rPr>
          <w:rFonts w:ascii="仿宋" w:hAnsi="仿宋" w:eastAsia="仿宋"/>
          <w:color w:val="auto"/>
          <w:sz w:val="28"/>
          <w:szCs w:val="28"/>
          <w:highlight w:val="none"/>
        </w:rPr>
        <w:t>.</w:t>
      </w:r>
      <w:r>
        <w:rPr>
          <w:rFonts w:hint="eastAsia" w:ascii="仿宋" w:hAnsi="仿宋" w:eastAsia="仿宋"/>
          <w:color w:val="auto"/>
          <w:sz w:val="28"/>
          <w:szCs w:val="28"/>
          <w:highlight w:val="none"/>
        </w:rPr>
        <w:t>中标通知书</w:t>
      </w:r>
      <w:bookmarkEnd w:id="161"/>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32</w:t>
      </w:r>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采购人或者集采机构应当自中标人确定之日起2个工作日内，在云南省政府采购网上公告中标结果。在公告中标结果的同时，采购人或者集采机构应当向中标人发出中标通知书。中标通知书对采购人和中标人具有同等法律效力。</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32.2中标通知书是合同的一个组成部分。</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62" w:name="_Toc2208"/>
      <w:r>
        <w:rPr>
          <w:rFonts w:ascii="仿宋" w:hAnsi="仿宋" w:eastAsia="仿宋"/>
          <w:color w:val="auto"/>
          <w:sz w:val="28"/>
          <w:szCs w:val="28"/>
          <w:highlight w:val="none"/>
        </w:rPr>
        <w:t>3</w:t>
      </w:r>
      <w:r>
        <w:rPr>
          <w:rFonts w:hint="eastAsia" w:ascii="仿宋" w:hAnsi="仿宋" w:eastAsia="仿宋"/>
          <w:color w:val="auto"/>
          <w:sz w:val="28"/>
          <w:szCs w:val="28"/>
          <w:highlight w:val="none"/>
        </w:rPr>
        <w:t>3</w:t>
      </w:r>
      <w:r>
        <w:rPr>
          <w:rFonts w:ascii="仿宋" w:hAnsi="仿宋" w:eastAsia="仿宋"/>
          <w:color w:val="auto"/>
          <w:sz w:val="28"/>
          <w:szCs w:val="28"/>
          <w:highlight w:val="none"/>
        </w:rPr>
        <w:t>.</w:t>
      </w:r>
      <w:r>
        <w:rPr>
          <w:rFonts w:hint="eastAsia" w:ascii="仿宋" w:hAnsi="仿宋" w:eastAsia="仿宋"/>
          <w:color w:val="auto"/>
          <w:sz w:val="28"/>
          <w:szCs w:val="28"/>
          <w:highlight w:val="none"/>
        </w:rPr>
        <w:t>签订合同</w:t>
      </w:r>
      <w:bookmarkEnd w:id="162"/>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33</w:t>
      </w:r>
      <w:r>
        <w:rPr>
          <w:rFonts w:ascii="仿宋" w:hAnsi="仿宋" w:eastAsia="仿宋"/>
          <w:color w:val="auto"/>
          <w:sz w:val="28"/>
          <w:szCs w:val="28"/>
          <w:highlight w:val="none"/>
        </w:rPr>
        <w:t>.1</w:t>
      </w:r>
      <w:r>
        <w:rPr>
          <w:rFonts w:hint="eastAsia" w:ascii="仿宋" w:hAnsi="仿宋" w:eastAsia="仿宋"/>
          <w:color w:val="auto"/>
          <w:sz w:val="28"/>
          <w:szCs w:val="28"/>
          <w:highlight w:val="none"/>
        </w:rPr>
        <w:t>采购人应当自中标通知书发出之日起30日内，按照招标文件和中标人投标文件的规定，与中标人签订书面合同。所签订的合同不得对招标文件确定的事项和中标人投标文件作实质性修改。</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采购人不得向中标人提出任何不合理的要求作为签订合同的条件。</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33</w:t>
      </w:r>
      <w:r>
        <w:rPr>
          <w:rFonts w:ascii="仿宋" w:hAnsi="仿宋" w:eastAsia="仿宋"/>
          <w:color w:val="auto"/>
          <w:sz w:val="28"/>
          <w:szCs w:val="28"/>
          <w:highlight w:val="none"/>
        </w:rPr>
        <w:t>.2</w:t>
      </w:r>
      <w:r>
        <w:rPr>
          <w:rFonts w:hint="eastAsia" w:ascii="仿宋" w:hAnsi="仿宋" w:eastAsia="仿宋"/>
          <w:color w:val="auto"/>
          <w:sz w:val="28"/>
          <w:szCs w:val="28"/>
          <w:highlight w:val="none"/>
        </w:rPr>
        <w:t>中标人拒绝与采购人签订合同的，采购人可以按照评审报告推荐的中标或者成交候选人名单排序，确定下一候选人为中标人，也可以重新开展政府采购活动。</w:t>
      </w:r>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bookmarkStart w:id="163" w:name="_Toc1372"/>
      <w:r>
        <w:rPr>
          <w:rFonts w:ascii="仿宋" w:hAnsi="仿宋" w:eastAsia="仿宋"/>
          <w:color w:val="auto"/>
          <w:sz w:val="28"/>
          <w:szCs w:val="28"/>
          <w:highlight w:val="none"/>
        </w:rPr>
        <w:t>3</w:t>
      </w:r>
      <w:r>
        <w:rPr>
          <w:rFonts w:hint="eastAsia" w:ascii="仿宋" w:hAnsi="仿宋" w:eastAsia="仿宋"/>
          <w:color w:val="auto"/>
          <w:sz w:val="28"/>
          <w:szCs w:val="28"/>
          <w:highlight w:val="none"/>
        </w:rPr>
        <w:t>4</w:t>
      </w:r>
      <w:r>
        <w:rPr>
          <w:rFonts w:ascii="仿宋" w:hAnsi="仿宋" w:eastAsia="仿宋"/>
          <w:color w:val="auto"/>
          <w:sz w:val="28"/>
          <w:szCs w:val="28"/>
          <w:highlight w:val="none"/>
        </w:rPr>
        <w:t>.</w:t>
      </w:r>
      <w:r>
        <w:rPr>
          <w:rFonts w:hint="eastAsia" w:ascii="仿宋" w:hAnsi="仿宋" w:eastAsia="仿宋"/>
          <w:color w:val="auto"/>
          <w:sz w:val="28"/>
          <w:szCs w:val="28"/>
          <w:highlight w:val="none"/>
        </w:rPr>
        <w:t>履约保证金</w:t>
      </w:r>
      <w:bookmarkEnd w:id="163"/>
    </w:p>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签订合同前，中标人应按“投标人须知前附表”中确定的履约保证金的金额，向采购人交纳履约保证金，履约保证金的数额不得超过政府采购合同金额的10%。</w:t>
      </w:r>
    </w:p>
    <w:p>
      <w:pPr>
        <w:pStyle w:val="4"/>
        <w:keepLines w:val="0"/>
        <w:pageBreakBefore w:val="0"/>
        <w:kinsoku/>
        <w:overflowPunct/>
        <w:topLinePunct w:val="0"/>
        <w:bidi w:val="0"/>
        <w:snapToGrid w:val="0"/>
        <w:spacing w:before="0" w:line="360" w:lineRule="auto"/>
        <w:ind w:left="0" w:firstLine="0"/>
        <w:rPr>
          <w:rFonts w:hint="eastAsia" w:ascii="仿宋" w:hAnsi="仿宋" w:eastAsia="仿宋"/>
          <w:color w:val="auto"/>
          <w:szCs w:val="28"/>
          <w:highlight w:val="none"/>
        </w:rPr>
      </w:pPr>
      <w:bookmarkStart w:id="164" w:name="_Toc60996683"/>
      <w:bookmarkStart w:id="165" w:name="_Toc7057"/>
      <w:bookmarkStart w:id="166" w:name="_Toc6428_WPSOffice_Level2"/>
      <w:bookmarkStart w:id="167" w:name="_Toc19055_WPSOffice_Level1"/>
      <w:bookmarkStart w:id="168" w:name="_Toc12363"/>
      <w:bookmarkStart w:id="169" w:name="_七、其他规定"/>
      <w:r>
        <w:rPr>
          <w:rFonts w:hint="eastAsia" w:ascii="仿宋" w:hAnsi="仿宋" w:eastAsia="仿宋"/>
          <w:color w:val="auto"/>
          <w:szCs w:val="28"/>
          <w:highlight w:val="none"/>
        </w:rPr>
        <w:t>七、其他</w:t>
      </w:r>
      <w:bookmarkEnd w:id="164"/>
      <w:bookmarkEnd w:id="165"/>
      <w:r>
        <w:rPr>
          <w:rFonts w:hint="eastAsia" w:ascii="仿宋" w:hAnsi="仿宋" w:eastAsia="仿宋"/>
          <w:color w:val="auto"/>
          <w:szCs w:val="28"/>
          <w:highlight w:val="none"/>
        </w:rPr>
        <w:t>规定</w:t>
      </w:r>
      <w:bookmarkEnd w:id="166"/>
      <w:bookmarkEnd w:id="167"/>
      <w:bookmarkEnd w:id="168"/>
    </w:p>
    <w:bookmarkEnd w:id="59"/>
    <w:bookmarkEnd w:id="169"/>
    <w:p>
      <w:pPr>
        <w:keepLines w:val="0"/>
        <w:pageBreakBefore w:val="0"/>
        <w:kinsoku/>
        <w:overflowPunct/>
        <w:topLinePunct w:val="0"/>
        <w:bidi w:val="0"/>
        <w:snapToGrid w:val="0"/>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35.优先采购节能、环境标志产品：</w:t>
      </w:r>
      <w:r>
        <w:rPr>
          <w:rFonts w:ascii="仿宋" w:hAnsi="仿宋" w:eastAsia="仿宋"/>
          <w:color w:val="auto"/>
          <w:sz w:val="28"/>
          <w:szCs w:val="28"/>
          <w:highlight w:val="none"/>
        </w:rPr>
        <w:t>采购的产品属于品目清单</w:t>
      </w:r>
      <w:r>
        <w:rPr>
          <w:rFonts w:hint="eastAsia" w:ascii="仿宋" w:hAnsi="仿宋" w:eastAsia="仿宋"/>
          <w:color w:val="auto"/>
          <w:sz w:val="28"/>
          <w:szCs w:val="28"/>
          <w:highlight w:val="none"/>
        </w:rPr>
        <w:t>范围</w:t>
      </w:r>
      <w:r>
        <w:rPr>
          <w:rFonts w:ascii="仿宋" w:hAnsi="仿宋" w:eastAsia="仿宋"/>
          <w:color w:val="auto"/>
          <w:sz w:val="28"/>
          <w:szCs w:val="28"/>
          <w:highlight w:val="none"/>
        </w:rPr>
        <w:t>的，在性能、技术、服务等指标同等条件下，应当</w:t>
      </w:r>
      <w:r>
        <w:rPr>
          <w:rFonts w:hint="eastAsia" w:ascii="仿宋" w:hAnsi="仿宋" w:eastAsia="仿宋"/>
          <w:color w:val="auto"/>
          <w:sz w:val="28"/>
          <w:szCs w:val="28"/>
          <w:highlight w:val="none"/>
        </w:rPr>
        <w:t>依据国家确定的认证机构出具的、处于有效期之内的节能产品、环境标志产品认证证书，对获得证书的产品实施政府优先采购或强制采购。</w:t>
      </w:r>
    </w:p>
    <w:p>
      <w:pPr>
        <w:keepLines w:val="0"/>
        <w:pageBreakBefore w:val="0"/>
        <w:kinsoku/>
        <w:overflowPunct/>
        <w:topLinePunct w:val="0"/>
        <w:bidi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olor w:val="auto"/>
          <w:sz w:val="28"/>
          <w:szCs w:val="28"/>
          <w:highlight w:val="none"/>
        </w:rPr>
        <w:t>36.涉及政府采购政策优惠的价格扣除：根据《政府采购促进中小企业发展管理办法》（财库﹝2020﹞46号）《</w:t>
      </w:r>
      <w:r>
        <w:rPr>
          <w:rFonts w:ascii="仿宋" w:hAnsi="仿宋" w:eastAsia="仿宋"/>
          <w:color w:val="auto"/>
          <w:sz w:val="28"/>
          <w:szCs w:val="28"/>
          <w:highlight w:val="none"/>
        </w:rPr>
        <w:t>关于进一步加大政府采购支持中小企业力度的通知</w:t>
      </w:r>
      <w:r>
        <w:rPr>
          <w:rFonts w:hint="eastAsia" w:ascii="仿宋" w:hAnsi="仿宋" w:eastAsia="仿宋"/>
          <w:color w:val="auto"/>
          <w:sz w:val="28"/>
          <w:szCs w:val="28"/>
          <w:highlight w:val="none"/>
        </w:rPr>
        <w:t>》(</w:t>
      </w:r>
      <w:r>
        <w:rPr>
          <w:rFonts w:ascii="仿宋" w:hAnsi="仿宋" w:eastAsia="仿宋"/>
          <w:color w:val="auto"/>
          <w:sz w:val="28"/>
          <w:szCs w:val="28"/>
          <w:highlight w:val="none"/>
        </w:rPr>
        <w:t>财库〔2022〕19号</w:t>
      </w:r>
      <w:r>
        <w:rPr>
          <w:rFonts w:hint="eastAsia" w:ascii="仿宋" w:hAnsi="仿宋" w:eastAsia="仿宋"/>
          <w:color w:val="auto"/>
          <w:sz w:val="28"/>
          <w:szCs w:val="28"/>
          <w:highlight w:val="none"/>
        </w:rPr>
        <w:t>)《财政部民政部中国残疾人联合会关于促进残疾人就业政府采购政策的通知》（财库〔2017〕141号）《财政部司法部关于政府采购支持监狱企业发展有关问题的通知》（财库〔2014〕68号）</w:t>
      </w:r>
      <w:bookmarkStart w:id="170" w:name="_Toc60996684"/>
      <w:bookmarkStart w:id="171" w:name="_Toc32340_WPSOffice_Level2"/>
      <w:bookmarkStart w:id="172" w:name="_Toc20297_WPSOffice_Level1"/>
      <w:r>
        <w:rPr>
          <w:rFonts w:hint="eastAsia" w:ascii="仿宋" w:hAnsi="仿宋" w:eastAsia="仿宋" w:cs="仿宋"/>
          <w:color w:val="auto"/>
          <w:sz w:val="28"/>
          <w:szCs w:val="28"/>
          <w:highlight w:val="none"/>
        </w:rPr>
        <w:t>、《国务院办公厅关于在政府采购中实施本国产品标准及相关政策的通知》（国办发〔2025〕34号）的相关规定执行。</w:t>
      </w: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13"/>
        <w:rPr>
          <w:rFonts w:hint="eastAsia" w:ascii="仿宋" w:hAnsi="仿宋" w:eastAsia="仿宋" w:cs="仿宋"/>
          <w:color w:val="auto"/>
          <w:sz w:val="28"/>
          <w:szCs w:val="28"/>
          <w:highlight w:val="none"/>
        </w:rPr>
      </w:pPr>
    </w:p>
    <w:p>
      <w:pPr>
        <w:pStyle w:val="3"/>
        <w:keepNext w:val="0"/>
        <w:snapToGrid w:val="0"/>
        <w:ind w:left="630" w:firstLine="0"/>
        <w:jc w:val="center"/>
        <w:rPr>
          <w:rFonts w:hint="eastAsia" w:ascii="仿宋" w:hAnsi="仿宋" w:eastAsia="仿宋"/>
          <w:bCs w:val="0"/>
          <w:color w:val="auto"/>
          <w:highlight w:val="none"/>
        </w:rPr>
      </w:pPr>
      <w:bookmarkStart w:id="173" w:name="_Toc20507"/>
      <w:r>
        <w:rPr>
          <w:rFonts w:hint="eastAsia" w:ascii="仿宋" w:hAnsi="仿宋" w:eastAsia="仿宋"/>
          <w:bCs w:val="0"/>
          <w:color w:val="auto"/>
          <w:highlight w:val="none"/>
        </w:rPr>
        <w:t>第三章 技术规格、参数与要求</w:t>
      </w:r>
      <w:bookmarkEnd w:id="173"/>
      <w:bookmarkStart w:id="174" w:name="_Toc14564_WPSOffice_Level2"/>
      <w:bookmarkStart w:id="175" w:name="_Toc23145_WPSOffice_Level3"/>
      <w:bookmarkStart w:id="176" w:name="_Toc60996696"/>
    </w:p>
    <w:bookmarkEnd w:id="174"/>
    <w:bookmarkEnd w:id="175"/>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b/>
          <w:bCs/>
          <w:color w:val="auto"/>
          <w:sz w:val="28"/>
          <w:szCs w:val="28"/>
          <w:highlight w:val="none"/>
        </w:rPr>
      </w:pPr>
      <w:bookmarkStart w:id="177" w:name="_Toc17824_WPSOffice_Level2"/>
      <w:bookmarkStart w:id="178" w:name="_Toc4081_WPSOffice_Level1"/>
      <w:bookmarkStart w:id="179" w:name="_第六章__资格审查"/>
      <w:r>
        <w:rPr>
          <w:rStyle w:val="42"/>
          <w:rFonts w:hint="eastAsia" w:ascii="仿宋" w:hAnsi="仿宋" w:eastAsia="仿宋" w:cs="仿宋"/>
          <w:b/>
          <w:bCs/>
          <w:color w:val="auto"/>
          <w:sz w:val="28"/>
          <w:szCs w:val="28"/>
          <w:highlight w:val="none"/>
          <w:lang w:eastAsia="zh-CN"/>
        </w:rPr>
        <w:t>一、项目背景</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为满足学校</w:t>
      </w:r>
      <w:r>
        <w:rPr>
          <w:rStyle w:val="42"/>
          <w:rFonts w:hint="eastAsia" w:ascii="仿宋" w:hAnsi="仿宋" w:eastAsia="仿宋" w:cs="仿宋"/>
          <w:b w:val="0"/>
          <w:bCs w:val="0"/>
          <w:color w:val="auto"/>
          <w:sz w:val="28"/>
          <w:szCs w:val="28"/>
          <w:highlight w:val="none"/>
          <w:lang w:eastAsia="zh-CN"/>
        </w:rPr>
        <w:t>在教学中的</w:t>
      </w:r>
      <w:r>
        <w:rPr>
          <w:rStyle w:val="42"/>
          <w:rFonts w:hint="eastAsia" w:ascii="仿宋" w:hAnsi="仿宋" w:eastAsia="仿宋" w:cs="仿宋"/>
          <w:b w:val="0"/>
          <w:bCs w:val="0"/>
          <w:color w:val="auto"/>
          <w:sz w:val="28"/>
          <w:szCs w:val="28"/>
          <w:highlight w:val="none"/>
        </w:rPr>
        <w:t>常使用需求，提升教学信息化支撑能力，保障课程教学、实验实训、在线学习、文档处理、软件运行等稳定可靠，</w:t>
      </w:r>
      <w:r>
        <w:rPr>
          <w:rStyle w:val="42"/>
          <w:rFonts w:hint="eastAsia" w:ascii="仿宋" w:hAnsi="仿宋" w:eastAsia="仿宋" w:cs="仿宋"/>
          <w:b w:val="0"/>
          <w:bCs w:val="0"/>
          <w:color w:val="auto"/>
          <w:sz w:val="28"/>
          <w:szCs w:val="28"/>
          <w:highlight w:val="none"/>
          <w:lang w:eastAsia="zh-CN"/>
        </w:rPr>
        <w:t>现需</w:t>
      </w:r>
      <w:r>
        <w:rPr>
          <w:rStyle w:val="42"/>
          <w:rFonts w:hint="eastAsia" w:ascii="仿宋" w:hAnsi="仿宋" w:eastAsia="仿宋" w:cs="仿宋"/>
          <w:b w:val="0"/>
          <w:bCs w:val="0"/>
          <w:color w:val="auto"/>
          <w:sz w:val="28"/>
          <w:szCs w:val="28"/>
          <w:highlight w:val="none"/>
        </w:rPr>
        <w:t>更新一批台式计算机设备</w:t>
      </w:r>
      <w:r>
        <w:rPr>
          <w:rStyle w:val="42"/>
          <w:rFonts w:hint="eastAsia" w:ascii="仿宋" w:hAnsi="仿宋" w:eastAsia="仿宋" w:cs="仿宋"/>
          <w:b w:val="0"/>
          <w:bCs w:val="0"/>
          <w:color w:val="auto"/>
          <w:sz w:val="28"/>
          <w:szCs w:val="28"/>
          <w:highlight w:val="none"/>
          <w:lang w:eastAsia="zh-CN"/>
        </w:rPr>
        <w:t>，</w:t>
      </w:r>
      <w:r>
        <w:rPr>
          <w:rStyle w:val="42"/>
          <w:rFonts w:hint="eastAsia" w:ascii="仿宋" w:hAnsi="仿宋" w:eastAsia="仿宋" w:cs="仿宋"/>
          <w:b w:val="0"/>
          <w:bCs w:val="0"/>
          <w:color w:val="auto"/>
          <w:sz w:val="28"/>
          <w:szCs w:val="28"/>
          <w:highlight w:val="none"/>
        </w:rPr>
        <w:t>确保设备性能适配教学场景、接口满足教学外设扩展、系统兼容国产操作系统、售后保障教学不间断运行。</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二、项目核心目标</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1.</w:t>
      </w:r>
      <w:r>
        <w:rPr>
          <w:rStyle w:val="42"/>
          <w:rFonts w:hint="eastAsia" w:ascii="仿宋" w:hAnsi="仿宋" w:eastAsia="仿宋" w:cs="仿宋"/>
          <w:b w:val="0"/>
          <w:bCs w:val="0"/>
          <w:color w:val="auto"/>
          <w:sz w:val="28"/>
          <w:szCs w:val="28"/>
          <w:highlight w:val="none"/>
        </w:rPr>
        <w:t>满足日常教学与实训需求</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保障计算机基础课、专业实训课、多媒体教学、在线考试、虚拟仿真实验等常态化开展，设备性能稳定、运行流畅，能够支撑各类教学软件、开发环境</w:t>
      </w:r>
      <w:r>
        <w:rPr>
          <w:rStyle w:val="42"/>
          <w:rFonts w:hint="eastAsia" w:ascii="仿宋" w:hAnsi="仿宋" w:eastAsia="仿宋" w:cs="仿宋"/>
          <w:b w:val="0"/>
          <w:bCs w:val="0"/>
          <w:color w:val="auto"/>
          <w:sz w:val="28"/>
          <w:szCs w:val="28"/>
          <w:highlight w:val="none"/>
          <w:lang w:eastAsia="zh-CN"/>
        </w:rPr>
        <w:t>等</w:t>
      </w:r>
      <w:r>
        <w:rPr>
          <w:rStyle w:val="42"/>
          <w:rFonts w:hint="eastAsia" w:ascii="仿宋" w:hAnsi="仿宋" w:eastAsia="仿宋" w:cs="仿宋"/>
          <w:b w:val="0"/>
          <w:bCs w:val="0"/>
          <w:color w:val="auto"/>
          <w:sz w:val="28"/>
          <w:szCs w:val="28"/>
          <w:highlight w:val="none"/>
        </w:rPr>
        <w:t>高效运行。</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2.</w:t>
      </w:r>
      <w:r>
        <w:rPr>
          <w:rStyle w:val="42"/>
          <w:rFonts w:hint="eastAsia" w:ascii="仿宋" w:hAnsi="仿宋" w:eastAsia="仿宋" w:cs="仿宋"/>
          <w:b w:val="0"/>
          <w:bCs w:val="0"/>
          <w:color w:val="auto"/>
          <w:sz w:val="28"/>
          <w:szCs w:val="28"/>
          <w:highlight w:val="none"/>
        </w:rPr>
        <w:t>提升信息化教学环境质量</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替换老旧、故障频发设备，降低机房维护压力，改善师生使用体验，为智慧教室、公共机房、实验室等场景提供统一、可靠的硬件支撑。</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3.</w:t>
      </w:r>
      <w:r>
        <w:rPr>
          <w:rStyle w:val="42"/>
          <w:rFonts w:hint="eastAsia" w:ascii="仿宋" w:hAnsi="仿宋" w:eastAsia="仿宋" w:cs="仿宋"/>
          <w:b w:val="0"/>
          <w:bCs w:val="0"/>
          <w:color w:val="auto"/>
          <w:sz w:val="28"/>
          <w:szCs w:val="28"/>
          <w:highlight w:val="none"/>
        </w:rPr>
        <w:t>保障系统安全与数据安全</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支持国产操作系统，具备系统备份、还原、安全防护能力，有效防范系统崩溃、病毒入侵、数据丢失风险，满足高校教学数据、学生信息、教务资料的安全管理要求。</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4.</w:t>
      </w:r>
      <w:r>
        <w:rPr>
          <w:rStyle w:val="42"/>
          <w:rFonts w:hint="eastAsia" w:ascii="仿宋" w:hAnsi="仿宋" w:eastAsia="仿宋" w:cs="仿宋"/>
          <w:b w:val="0"/>
          <w:bCs w:val="0"/>
          <w:color w:val="auto"/>
          <w:sz w:val="28"/>
          <w:szCs w:val="28"/>
          <w:highlight w:val="none"/>
        </w:rPr>
        <w:t>适配国产化与政策合规要求</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选用安全可控的国产软硬件方案，符合国家及教育系统关于信息技术应用创新、网络安全和政府采购的相关规定，确保设备合规、供应链安全。</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5.</w:t>
      </w:r>
      <w:r>
        <w:rPr>
          <w:rStyle w:val="42"/>
          <w:rFonts w:hint="eastAsia" w:ascii="仿宋" w:hAnsi="仿宋" w:eastAsia="仿宋" w:cs="仿宋"/>
          <w:b w:val="0"/>
          <w:bCs w:val="0"/>
          <w:color w:val="auto"/>
          <w:sz w:val="28"/>
          <w:szCs w:val="28"/>
          <w:highlight w:val="none"/>
        </w:rPr>
        <w:t>统一管理、降低运维成本</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设备接口规范、扩展性适中、兼容性强，便于机房集中部署、批量管理和快速故障处理，减少后期维护工作量与长期使用成本。</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6.</w:t>
      </w:r>
      <w:r>
        <w:rPr>
          <w:rStyle w:val="42"/>
          <w:rFonts w:hint="eastAsia" w:ascii="仿宋" w:hAnsi="仿宋" w:eastAsia="仿宋" w:cs="仿宋"/>
          <w:b w:val="0"/>
          <w:bCs w:val="0"/>
          <w:color w:val="auto"/>
          <w:sz w:val="28"/>
          <w:szCs w:val="28"/>
          <w:highlight w:val="none"/>
        </w:rPr>
        <w:t>兼顾耐用性与长期使用效益</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设备具备良好可靠性，满足高校高密度、长时间开机运行特点，同时具备合理扩展空间，适应未来教学软件升级与课程内容更新。</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color w:val="auto"/>
          <w:sz w:val="28"/>
          <w:szCs w:val="28"/>
          <w:highlight w:val="none"/>
          <w:lang w:eastAsia="zh-CN"/>
        </w:rPr>
      </w:pPr>
      <w:r>
        <w:rPr>
          <w:rStyle w:val="42"/>
          <w:rFonts w:hint="eastAsia" w:ascii="仿宋" w:hAnsi="仿宋" w:eastAsia="仿宋" w:cs="仿宋"/>
          <w:color w:val="auto"/>
          <w:sz w:val="28"/>
          <w:szCs w:val="28"/>
          <w:highlight w:val="none"/>
          <w:lang w:eastAsia="zh-CN"/>
        </w:rPr>
        <w:t>三、技术规格、参数与要求</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b/>
          <w:bCs/>
          <w:color w:val="auto"/>
          <w:sz w:val="28"/>
          <w:szCs w:val="28"/>
          <w:highlight w:val="none"/>
          <w:lang w:val="en-US" w:eastAsia="zh-CN"/>
        </w:rPr>
      </w:pPr>
      <w:r>
        <w:rPr>
          <w:rStyle w:val="42"/>
          <w:rFonts w:hint="eastAsia" w:ascii="仿宋" w:hAnsi="仿宋" w:eastAsia="仿宋" w:cs="仿宋"/>
          <w:b/>
          <w:bCs/>
          <w:color w:val="auto"/>
          <w:sz w:val="28"/>
          <w:szCs w:val="28"/>
          <w:highlight w:val="none"/>
          <w:lang w:val="en-US" w:eastAsia="zh-CN"/>
        </w:rPr>
        <w:t>1.采购标的需实现的功能或目标</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（1）采用国产高性能处理器架构，支持多核心、多线程并行处理，能够流畅运行教学软件、虚拟仿真环境、编程开发工具及多任务教学场景，兼顾性能与能效，满足长时间高负荷教学使用。</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（2）存储与内存架构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采用高速固态存储 + 大容量内存架构，保证系统启动、软件加载、实验数据读写快速响应；具备可扩展内存能力，适应未来教学软件升级、虚拟平台部署及多应用并发需求。</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（3）扩展与接口架构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采用通用标准化扩展架构，板载主流扩展接口与外设接口，支持教学常用外设接入（如 U 盘、实验仪器、打印机、投影设备等），保证兼容性与通用性，便于实训设备联动与机房统一部署。</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（4）显示与输出架构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采用高清显示输出架构，支持多接口视频输出，满足教学投屏、双屏显示、多媒体课件演示等需求；搭配低蓝光护眼显示设备，符合长时间教学使用的健康要求。</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（5）系统与软件架构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采用国产桌面操作系统为基础运行环境，配套系统备份还原、安全防护、日志管理等基础安全软件，形成安全启动 — 系统运行 — 数据保护 — 故障恢复的完整软件支撑架构，保障教学环境稳定、数据安全可追溯。</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（6）网络与安全架构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采用高速有线网络架构，支持稳定接入校园网与教务管理平台；配合系统级安全管理机制，实现系统加固、日志审计、数据备份，满足校园网络安全与隐私保护要求。</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（7）运维与服务架构</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lang w:val="en-US" w:eastAsia="zh-CN"/>
        </w:rPr>
      </w:pPr>
      <w:r>
        <w:rPr>
          <w:rStyle w:val="42"/>
          <w:rFonts w:hint="eastAsia" w:ascii="仿宋" w:hAnsi="仿宋" w:eastAsia="仿宋" w:cs="仿宋"/>
          <w:b w:val="0"/>
          <w:bCs w:val="0"/>
          <w:color w:val="auto"/>
          <w:sz w:val="28"/>
          <w:szCs w:val="28"/>
          <w:highlight w:val="none"/>
          <w:lang w:val="en-US" w:eastAsia="zh-CN"/>
        </w:rPr>
        <w:t>采用标准化、易维护硬件架构，整机可靠性高、故障率低，支持批量部署、统一管理与快速维修；配套规范化售后服务体系，保障教学设备不间断运行，降低机房运维压力。</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需执行的技术标准或规范</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本项目严格执行以下国家、行业及地方标准（包括但不限于）：</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rPr>
        <w:t>GB 4943.1-2022：音视频、信息技术和通信技术设备 第 1 部分：安全要求（电气安全、电磁兼容、防触电 / 过热）</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rPr>
        <w:t>GB/T 2887-2011：计算机场地通用规范（机房环境、温湿度、供电、接地）</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t>GB/T 9813-2016：信息技术 通用键盘汉字输入通用要求</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rPr>
        <w:t>GB/T 18336 系列：信息技术安全评估准则</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5）</w:t>
      </w:r>
      <w:r>
        <w:rPr>
          <w:rFonts w:hint="eastAsia" w:ascii="仿宋" w:hAnsi="仿宋" w:eastAsia="仿宋" w:cs="仿宋"/>
          <w:b w:val="0"/>
          <w:bCs w:val="0"/>
          <w:color w:val="auto"/>
          <w:sz w:val="28"/>
          <w:szCs w:val="28"/>
          <w:highlight w:val="none"/>
        </w:rPr>
        <w:t>GB/T 26245-2010：信息技术 系统间远程通信和信息交换 局域网和城域网 特定要求（网络接口兼容性）</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6）</w:t>
      </w:r>
      <w:r>
        <w:rPr>
          <w:rFonts w:hint="eastAsia" w:ascii="仿宋" w:hAnsi="仿宋" w:eastAsia="仿宋" w:cs="仿宋"/>
          <w:b w:val="0"/>
          <w:bCs w:val="0"/>
          <w:color w:val="auto"/>
          <w:sz w:val="28"/>
          <w:szCs w:val="28"/>
          <w:highlight w:val="none"/>
        </w:rPr>
        <w:t>GB/T 20988-2007：信息安全技术 信息系统灾难恢复规范（备份 / 还原要求）</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0"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7）</w:t>
      </w:r>
      <w:r>
        <w:rPr>
          <w:rFonts w:hint="eastAsia" w:ascii="仿宋" w:hAnsi="仿宋" w:eastAsia="仿宋" w:cs="仿宋"/>
          <w:b w:val="0"/>
          <w:bCs w:val="0"/>
          <w:color w:val="auto"/>
          <w:sz w:val="28"/>
          <w:szCs w:val="28"/>
          <w:highlight w:val="none"/>
        </w:rPr>
        <w:t>符合《台式计算机政府采购需求标准（2023年版）》中的实质性要求</w:t>
      </w:r>
      <w:r>
        <w:rPr>
          <w:rFonts w:hint="eastAsia" w:ascii="仿宋" w:hAnsi="仿宋" w:eastAsia="仿宋" w:cs="仿宋"/>
          <w:b w:val="0"/>
          <w:bCs w:val="0"/>
          <w:color w:val="auto"/>
          <w:sz w:val="28"/>
          <w:szCs w:val="28"/>
          <w:highlight w:val="none"/>
          <w:lang w:eastAsia="zh-CN"/>
        </w:rPr>
        <w:t>；</w:t>
      </w:r>
    </w:p>
    <w:p>
      <w:pPr>
        <w:pStyle w:val="3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color w:val="auto"/>
          <w:sz w:val="28"/>
          <w:szCs w:val="28"/>
          <w:highlight w:val="none"/>
          <w:lang w:val="en-US"/>
        </w:rPr>
      </w:pPr>
      <w:r>
        <w:rPr>
          <w:rStyle w:val="42"/>
          <w:rFonts w:hint="eastAsia" w:ascii="仿宋" w:hAnsi="仿宋" w:eastAsia="仿宋" w:cs="仿宋"/>
          <w:color w:val="auto"/>
          <w:sz w:val="28"/>
          <w:szCs w:val="28"/>
          <w:highlight w:val="none"/>
          <w:lang w:val="en-US" w:eastAsia="zh-CN"/>
        </w:rPr>
        <w:t>3.技术规格、参数</w:t>
      </w:r>
    </w:p>
    <w:tbl>
      <w:tblPr>
        <w:tblStyle w:val="39"/>
        <w:tblW w:w="5000" w:type="pct"/>
        <w:tblInd w:w="0" w:type="dxa"/>
        <w:tblLayout w:type="autofit"/>
        <w:tblCellMar>
          <w:top w:w="0" w:type="dxa"/>
          <w:left w:w="108" w:type="dxa"/>
          <w:bottom w:w="0" w:type="dxa"/>
          <w:right w:w="108" w:type="dxa"/>
        </w:tblCellMar>
      </w:tblPr>
      <w:tblGrid>
        <w:gridCol w:w="709"/>
        <w:gridCol w:w="987"/>
        <w:gridCol w:w="6631"/>
        <w:gridCol w:w="961"/>
      </w:tblGrid>
      <w:tr>
        <w:tblPrEx>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序号</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名称</w:t>
            </w:r>
          </w:p>
        </w:tc>
        <w:tc>
          <w:tcPr>
            <w:tcW w:w="3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参数及服务</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r>
      <w:tr>
        <w:tblPrEx>
          <w:tblCellMar>
            <w:top w:w="0" w:type="dxa"/>
            <w:left w:w="108" w:type="dxa"/>
            <w:bottom w:w="0" w:type="dxa"/>
            <w:right w:w="108" w:type="dxa"/>
          </w:tblCellMar>
        </w:tblPrEx>
        <w:trPr>
          <w:trHeight w:val="841"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计算机</w:t>
            </w:r>
          </w:p>
        </w:tc>
        <w:tc>
          <w:tcPr>
            <w:tcW w:w="35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exact"/>
              <w:jc w:val="left"/>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▲1、产品自主研发和生产，提供产品非OEM承诺函并提供委托人、生产者、生产企业三者统一的 3C证书证明；</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2、处理器：国产C86处理器，性能不低于3350，物理核心数≥8核，线程≥16，主频≥3.0GHz；</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w:t>
            </w:r>
            <w:r>
              <w:rPr>
                <w:rFonts w:hint="eastAsia" w:ascii="仿宋" w:hAnsi="仿宋" w:eastAsia="仿宋" w:cs="宋体"/>
                <w:color w:val="auto"/>
                <w:kern w:val="0"/>
                <w:sz w:val="24"/>
                <w:highlight w:val="none"/>
              </w:rPr>
              <w:t>3、内存：配置≥16GB DDR4 3200内存，支持4个内存插槽，最大支持扩展容量≥128GB；</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4、硬盘：配置≥512GB 固态硬盘；</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▲5、扩展性：板载SATA 接口≥4个，PCIe插槽≥4个，RS232串口≥1个；</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6、网卡：1个RJ45 10/100/1000自适应以太网口；</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▲7、接口：主板或机箱原生USB接口数量≥11个（非转接）；其中USB3.0接口≥9个; 1个HDMI接口，1个VGA接口，2组音频接口，接口非转接;</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8、显卡：配置独立显卡，显存≥2GB，支持VGA、HDMI接口；</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9、电源：配置≥200W电源；</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10、机箱：所投产品机箱尺寸≤13.5L；</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▲11、显示器：配置和主机同品牌的IPS屏显示器，显示器屏幕尺寸：≥27 英寸；具有3C、节能、低蓝光、环境等认证证书，提供扫描件 ；</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12、操作系统：支持银河麒麟桌面操作系统/统信桌面操作系统；</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13、键鼠：配置同品牌鼠标、键盘；</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14、为保证用户系统和数据安全，要求所投产品型号预装同品牌一键备份还原软件，系统崩溃后仍能恢复操作系统，支持热键启动、Grb引导启动等启动方式。支持出厂备份还原、全盘备份还原和分区备份还原等功能，提供软件著作权证书；</w:t>
            </w:r>
          </w:p>
          <w:p>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color w:val="auto"/>
                <w:kern w:val="0"/>
                <w:sz w:val="24"/>
                <w:szCs w:val="24"/>
                <w:highlight w:val="none"/>
              </w:rPr>
            </w:pPr>
            <w:r>
              <w:rPr>
                <w:rFonts w:hint="eastAsia" w:ascii="仿宋" w:hAnsi="仿宋" w:eastAsia="仿宋" w:cs="宋体"/>
                <w:color w:val="auto"/>
                <w:kern w:val="0"/>
                <w:sz w:val="24"/>
                <w:highlight w:val="none"/>
              </w:rPr>
              <w:t>▲15、所投产品型号预装同品牌电脑管家，电脑管家支持本地备份和远程备份，两种备份方式均支持每周、每月、每三个月多种备份设置，远程备份支持设定远程服务器IP地址，支持软件内直接连通同品牌一键还原软件，电脑管家支持日志收集功能，可以一键收集包括启动日志、系统日志、内核冲突信息等，提供对应机型上述功能截图证明材料及软件著作权证书；</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16、可靠性：要求所投产品具有并提供≥35万小时测试报告和证书；</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17、认证：产品满足政府采购标准，具备并提供第三方认证的政府采购标准认证报告；</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▲18、为保证信息安全，降低用户隐私安全风险，设备产商通过ISO 27001信息安全管理体系和IS027701  隐私信息管理体系双认证；为保障数据的安全性，要求制造商建立必要的数据治理安全体系并以国际标准的要求进行数据的安全管控、稽核，可以提供更高的数据安全保障，设备厂商通过ISO38505  数据治理安全管理体系认证，以上认证提供扫描件；</w:t>
            </w:r>
            <w:r>
              <w:rPr>
                <w:rFonts w:hint="eastAsia" w:ascii="仿宋" w:hAnsi="仿宋" w:eastAsia="仿宋" w:cs="宋体"/>
                <w:color w:val="auto"/>
                <w:kern w:val="0"/>
                <w:sz w:val="24"/>
                <w:highlight w:val="none"/>
              </w:rPr>
              <w:br w:type="textWrapping"/>
            </w:r>
            <w:r>
              <w:rPr>
                <w:rFonts w:hint="eastAsia" w:ascii="仿宋" w:hAnsi="仿宋" w:eastAsia="仿宋" w:cs="宋体"/>
                <w:color w:val="auto"/>
                <w:kern w:val="0"/>
                <w:sz w:val="24"/>
                <w:highlight w:val="none"/>
              </w:rPr>
              <w:t>19、★售后服务保障：采购设备不允许出现第三方配件，所有配件必须原厂原配；主机和显示器不少于原厂</w:t>
            </w:r>
            <w:r>
              <w:rPr>
                <w:rFonts w:hint="eastAsia" w:ascii="仿宋" w:hAnsi="仿宋" w:eastAsia="仿宋" w:cs="宋体"/>
                <w:color w:val="auto"/>
                <w:kern w:val="0"/>
                <w:sz w:val="24"/>
                <w:highlight w:val="none"/>
                <w:lang w:val="en-US" w:eastAsia="zh-CN"/>
              </w:rPr>
              <w:t>3</w:t>
            </w:r>
            <w:r>
              <w:rPr>
                <w:rFonts w:hint="eastAsia" w:ascii="仿宋" w:hAnsi="仿宋" w:eastAsia="仿宋" w:cs="宋体"/>
                <w:color w:val="auto"/>
                <w:kern w:val="0"/>
                <w:sz w:val="24"/>
                <w:highlight w:val="none"/>
              </w:rPr>
              <w:t>年免费保修服务，不少于</w:t>
            </w:r>
            <w:r>
              <w:rPr>
                <w:rFonts w:hint="eastAsia" w:ascii="仿宋" w:hAnsi="仿宋" w:eastAsia="仿宋" w:cs="宋体"/>
                <w:color w:val="auto"/>
                <w:kern w:val="0"/>
                <w:sz w:val="24"/>
                <w:highlight w:val="none"/>
                <w:lang w:val="en-US" w:eastAsia="zh-CN"/>
              </w:rPr>
              <w:t>三</w:t>
            </w:r>
            <w:r>
              <w:rPr>
                <w:rFonts w:hint="eastAsia" w:ascii="仿宋" w:hAnsi="仿宋" w:eastAsia="仿宋" w:cs="宋体"/>
                <w:color w:val="auto"/>
                <w:kern w:val="0"/>
                <w:sz w:val="24"/>
                <w:highlight w:val="none"/>
              </w:rPr>
              <w:t>年免费备件服务，为保障设备正常运行中标方需安排一名驻场工程师提供</w:t>
            </w:r>
            <w:r>
              <w:rPr>
                <w:rFonts w:hint="eastAsia" w:ascii="仿宋" w:hAnsi="仿宋" w:eastAsia="仿宋" w:cs="宋体"/>
                <w:color w:val="auto"/>
                <w:kern w:val="0"/>
                <w:sz w:val="24"/>
                <w:highlight w:val="none"/>
                <w:lang w:val="en-US" w:eastAsia="zh-CN"/>
              </w:rPr>
              <w:t>三</w:t>
            </w:r>
            <w:r>
              <w:rPr>
                <w:rFonts w:hint="eastAsia" w:ascii="仿宋" w:hAnsi="仿宋" w:eastAsia="仿宋" w:cs="宋体"/>
                <w:color w:val="auto"/>
                <w:kern w:val="0"/>
                <w:sz w:val="24"/>
                <w:highlight w:val="none"/>
              </w:rPr>
              <w:t>年驻场服务：第一年标准保修服务期限内提供一次单硬盘数据恢复服务；提供制造商全国售后服务热线电话，交付时随机抽查</w:t>
            </w:r>
            <w:r>
              <w:rPr>
                <w:rFonts w:hint="eastAsia" w:ascii="仿宋" w:hAnsi="仿宋" w:eastAsia="仿宋" w:cs="宋体"/>
                <w:color w:val="auto"/>
                <w:kern w:val="0"/>
                <w:sz w:val="24"/>
                <w:highlight w:val="none"/>
                <w:lang w:val="en-US" w:eastAsia="zh-CN"/>
              </w:rPr>
              <w:t>2</w:t>
            </w:r>
            <w:r>
              <w:rPr>
                <w:rFonts w:hint="eastAsia" w:ascii="仿宋" w:hAnsi="仿宋" w:eastAsia="仿宋" w:cs="宋体"/>
                <w:color w:val="auto"/>
                <w:kern w:val="0"/>
                <w:sz w:val="24"/>
                <w:highlight w:val="none"/>
              </w:rPr>
              <w:t>台采购设备通过制造商官网或查询APP验证采购设备的质保期限与制造生产时间，交货时提供制造商针对此项目出具的售后服务承诺函加盖鲜章原件。</w:t>
            </w: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100台</w:t>
            </w:r>
          </w:p>
        </w:tc>
      </w:tr>
    </w:tbl>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（三）技术支持资料要求</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投标人在投标阶段需提供以下技术支持资料：</w:t>
      </w:r>
    </w:p>
    <w:p>
      <w:pPr>
        <w:pStyle w:val="36"/>
        <w:keepNext w:val="0"/>
        <w:keepLines w:val="0"/>
        <w:pageBreakBefore w:val="0"/>
        <w:kinsoku/>
        <w:autoSpaceDE/>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color w:val="auto"/>
          <w:sz w:val="28"/>
          <w:szCs w:val="28"/>
          <w:highlight w:val="none"/>
        </w:rPr>
        <w:t>★</w:t>
      </w:r>
      <w:r>
        <w:rPr>
          <w:rStyle w:val="42"/>
          <w:rFonts w:hint="eastAsia" w:ascii="仿宋" w:hAnsi="仿宋" w:eastAsia="仿宋" w:cs="仿宋"/>
          <w:b w:val="0"/>
          <w:bCs w:val="0"/>
          <w:color w:val="auto"/>
          <w:sz w:val="28"/>
          <w:szCs w:val="28"/>
          <w:highlight w:val="none"/>
          <w:lang w:val="en-US" w:eastAsia="zh-CN"/>
        </w:rPr>
        <w:t>1.</w:t>
      </w:r>
      <w:r>
        <w:rPr>
          <w:rStyle w:val="42"/>
          <w:rFonts w:hint="eastAsia" w:ascii="仿宋" w:hAnsi="仿宋" w:eastAsia="仿宋" w:cs="仿宋"/>
          <w:b w:val="0"/>
          <w:bCs w:val="0"/>
          <w:color w:val="auto"/>
          <w:sz w:val="28"/>
          <w:szCs w:val="28"/>
          <w:highlight w:val="none"/>
        </w:rPr>
        <w:t>投标人承诺所投台式机完全满足《台式计算机政府采购需求标准（2023年版）》中的实质性要求（投标人提供承诺函）</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2</w:t>
      </w:r>
      <w:r>
        <w:rPr>
          <w:rStyle w:val="42"/>
          <w:rFonts w:hint="eastAsia" w:ascii="仿宋" w:hAnsi="仿宋" w:eastAsia="仿宋" w:cs="仿宋"/>
          <w:b w:val="0"/>
          <w:bCs w:val="0"/>
          <w:color w:val="auto"/>
          <w:sz w:val="28"/>
          <w:szCs w:val="28"/>
          <w:highlight w:val="none"/>
        </w:rPr>
        <w:t>.产品资质文件：</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（1）3C认证证书复印件（如适用）；</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（2）节能产品认证证书复印件（如适用）；</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（3）产品检测报告复印件（须覆盖主要技术参数）。</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3</w:t>
      </w:r>
      <w:r>
        <w:rPr>
          <w:rStyle w:val="42"/>
          <w:rFonts w:hint="eastAsia" w:ascii="仿宋" w:hAnsi="仿宋" w:eastAsia="仿宋" w:cs="仿宋"/>
          <w:b w:val="0"/>
          <w:bCs w:val="0"/>
          <w:color w:val="auto"/>
          <w:sz w:val="28"/>
          <w:szCs w:val="28"/>
          <w:highlight w:val="none"/>
        </w:rPr>
        <w:t>.功能证明</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技术规格、参数</w:t>
      </w:r>
      <w:r>
        <w:rPr>
          <w:rStyle w:val="42"/>
          <w:rFonts w:hint="eastAsia" w:ascii="仿宋" w:hAnsi="仿宋" w:eastAsia="仿宋" w:cs="仿宋"/>
          <w:b w:val="0"/>
          <w:bCs w:val="0"/>
          <w:color w:val="auto"/>
          <w:sz w:val="28"/>
          <w:szCs w:val="28"/>
          <w:highlight w:val="none"/>
          <w:lang w:eastAsia="zh-CN"/>
        </w:rPr>
        <w:t>中“</w:t>
      </w:r>
      <w:r>
        <w:rPr>
          <w:rStyle w:val="42"/>
          <w:rFonts w:hint="eastAsia" w:ascii="仿宋" w:hAnsi="仿宋" w:eastAsia="仿宋" w:cs="仿宋"/>
          <w:b w:val="0"/>
          <w:bCs w:val="0"/>
          <w:color w:val="auto"/>
          <w:sz w:val="28"/>
          <w:szCs w:val="28"/>
          <w:highlight w:val="none"/>
        </w:rPr>
        <w:t>▲</w:t>
      </w:r>
      <w:r>
        <w:rPr>
          <w:rStyle w:val="42"/>
          <w:rFonts w:hint="eastAsia" w:ascii="仿宋" w:hAnsi="仿宋" w:eastAsia="仿宋" w:cs="仿宋"/>
          <w:b w:val="0"/>
          <w:bCs w:val="0"/>
          <w:color w:val="auto"/>
          <w:sz w:val="28"/>
          <w:szCs w:val="28"/>
          <w:highlight w:val="none"/>
          <w:lang w:eastAsia="zh-CN"/>
        </w:rPr>
        <w:t>”</w:t>
      </w:r>
      <w:r>
        <w:rPr>
          <w:rStyle w:val="42"/>
          <w:rFonts w:hint="eastAsia" w:ascii="仿宋" w:hAnsi="仿宋" w:eastAsia="仿宋"/>
          <w:b w:val="0"/>
          <w:bCs w:val="0"/>
          <w:color w:val="auto"/>
          <w:sz w:val="28"/>
          <w:szCs w:val="28"/>
          <w:highlight w:val="none"/>
        </w:rPr>
        <w:t>参数均为重要参数，必须提供证明材料或承诺函，证明材料包括：招标文件技术参数内明确要求提供的证明材料，未明确的可提供制造商提供的主要功能指标、参数及性能的详细说明书或制造商公开发布的印刷资料（彩页或产品宣传册）或检测（检验）报告或官方网站发布的技术资料截图。不接受投标人自行印刷、打印或者手写的技术支持资料，若响应文件中技术支持资料参数与技术规格偏离表应答不符或无上述技术支持资料，视为不响应该条技术参数。响应文件中涉及的重要技术参数需在投标文件所附的证明材料内图示标注。</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4</w:t>
      </w:r>
      <w:r>
        <w:rPr>
          <w:rStyle w:val="42"/>
          <w:rFonts w:hint="eastAsia" w:ascii="仿宋" w:hAnsi="仿宋" w:eastAsia="仿宋" w:cs="仿宋"/>
          <w:b w:val="0"/>
          <w:bCs w:val="0"/>
          <w:color w:val="auto"/>
          <w:sz w:val="28"/>
          <w:szCs w:val="28"/>
          <w:highlight w:val="none"/>
        </w:rPr>
        <w:t>.实施方案配套资料</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（1）项目需求理解与分析报告；</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（2）整体建设方案；</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w:t>
      </w:r>
      <w:r>
        <w:rPr>
          <w:rStyle w:val="42"/>
          <w:rFonts w:hint="eastAsia" w:ascii="仿宋" w:hAnsi="仿宋" w:eastAsia="仿宋" w:cs="仿宋"/>
          <w:b w:val="0"/>
          <w:bCs w:val="0"/>
          <w:color w:val="auto"/>
          <w:sz w:val="28"/>
          <w:szCs w:val="28"/>
          <w:highlight w:val="none"/>
          <w:lang w:val="en-US" w:eastAsia="zh-CN"/>
        </w:rPr>
        <w:t>3</w:t>
      </w:r>
      <w:r>
        <w:rPr>
          <w:rStyle w:val="42"/>
          <w:rFonts w:hint="eastAsia" w:ascii="仿宋" w:hAnsi="仿宋" w:eastAsia="仿宋" w:cs="仿宋"/>
          <w:b w:val="0"/>
          <w:bCs w:val="0"/>
          <w:color w:val="auto"/>
          <w:sz w:val="28"/>
          <w:szCs w:val="28"/>
          <w:highlight w:val="none"/>
        </w:rPr>
        <w:t>）售后服务、培训、应急保障专项方案。</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lang w:val="en-US" w:eastAsia="zh-CN"/>
        </w:rPr>
        <w:t>5</w:t>
      </w:r>
      <w:r>
        <w:rPr>
          <w:rStyle w:val="42"/>
          <w:rFonts w:hint="eastAsia" w:ascii="仿宋" w:hAnsi="仿宋" w:eastAsia="仿宋" w:cs="仿宋"/>
          <w:b w:val="0"/>
          <w:bCs w:val="0"/>
          <w:color w:val="auto"/>
          <w:sz w:val="28"/>
          <w:szCs w:val="28"/>
          <w:highlight w:val="none"/>
        </w:rPr>
        <w:t>.团队与资质证明</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（1）项目团队人员证书、社保、劳动合同</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（2）企业安全集成、安全运维、安全运营、安全工程、信息系统交付能力认证。</w:t>
      </w:r>
    </w:p>
    <w:p>
      <w:pPr>
        <w:pStyle w:val="36"/>
        <w:keepNext w:val="0"/>
        <w:keepLines w:val="0"/>
        <w:pageBreakBefore w:val="0"/>
        <w:kinsoku/>
        <w:autoSpaceDE/>
        <w:bidi w:val="0"/>
        <w:adjustRightInd w:val="0"/>
        <w:snapToGrid w:val="0"/>
        <w:spacing w:before="0" w:beforeAutospacing="0" w:after="0" w:afterAutospacing="0" w:line="360" w:lineRule="auto"/>
        <w:ind w:firstLine="562" w:firstLineChars="200"/>
        <w:jc w:val="both"/>
        <w:textAlignment w:val="auto"/>
        <w:rPr>
          <w:rStyle w:val="42"/>
          <w:rFonts w:hint="eastAsia" w:ascii="仿宋" w:hAnsi="仿宋" w:eastAsia="仿宋" w:cs="仿宋"/>
          <w:b/>
          <w:bCs/>
          <w:color w:val="auto"/>
          <w:sz w:val="28"/>
          <w:szCs w:val="28"/>
          <w:highlight w:val="none"/>
        </w:rPr>
      </w:pPr>
      <w:r>
        <w:rPr>
          <w:rStyle w:val="42"/>
          <w:rFonts w:hint="eastAsia" w:ascii="仿宋" w:hAnsi="仿宋" w:eastAsia="仿宋" w:cs="仿宋"/>
          <w:b/>
          <w:bCs/>
          <w:color w:val="auto"/>
          <w:sz w:val="28"/>
          <w:szCs w:val="28"/>
          <w:highlight w:val="none"/>
        </w:rPr>
        <w:t>【重要提示】</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1.上述材料须加盖投标人公章。</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2.如提供外文材料，须附中文翻译件。</w:t>
      </w:r>
    </w:p>
    <w:p>
      <w:pPr>
        <w:pStyle w:val="36"/>
        <w:keepNext w:val="0"/>
        <w:keepLines w:val="0"/>
        <w:pageBreakBefore w:val="0"/>
        <w:kinsoku/>
        <w:autoSpaceDE/>
        <w:bidi w:val="0"/>
        <w:adjustRightInd w:val="0"/>
        <w:snapToGrid w:val="0"/>
        <w:spacing w:before="0" w:beforeAutospacing="0" w:after="0" w:afterAutospacing="0" w:line="360" w:lineRule="auto"/>
        <w:ind w:firstLine="560" w:firstLineChars="200"/>
        <w:jc w:val="both"/>
        <w:textAlignment w:val="auto"/>
        <w:rPr>
          <w:rStyle w:val="42"/>
          <w:rFonts w:hint="eastAsia" w:ascii="仿宋" w:hAnsi="仿宋" w:eastAsia="仿宋" w:cs="仿宋"/>
          <w:b w:val="0"/>
          <w:bCs w:val="0"/>
          <w:color w:val="auto"/>
          <w:sz w:val="28"/>
          <w:szCs w:val="28"/>
          <w:highlight w:val="none"/>
        </w:rPr>
      </w:pPr>
      <w:r>
        <w:rPr>
          <w:rStyle w:val="42"/>
          <w:rFonts w:hint="eastAsia" w:ascii="仿宋" w:hAnsi="仿宋" w:eastAsia="仿宋" w:cs="仿宋"/>
          <w:b w:val="0"/>
          <w:bCs w:val="0"/>
          <w:color w:val="auto"/>
          <w:sz w:val="28"/>
          <w:szCs w:val="28"/>
          <w:highlight w:val="none"/>
        </w:rPr>
        <w:t>3.投标人应确保所提供材料的真实性和有效性。投标人提供的技术支持资料应真实、有效，能够证明产品符合采购需求要求。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三、商务要求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（一）投标报价要求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投标报价须包含本项目所需全部设备、辅材、运输、装卸、安装调试、培训、技术支持、备品备件、税费及合同履行过程中所有相关费用，为一次性包干价。</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投标人须按照招标文件要求，在投标文件中明确详细的报价清单，注明设备名称、型号、规格、数量、单价、总价及相关费用。</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 投标报价不得超过采购预算，否则视为无效投标。</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（二）项目实施期限及地点</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项目实施期限</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中标结果发布后，三个工作日内，对功能要求进行逐一测试验证，全部通过后才能执行合同流程，测试中发现虚假应标的行为将报送财政部门处理并保留对该投标人追究相关责任的权利，将依法依规提请相关主管部门进行处罚，并记入政府采购诚信档案等。</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功能测试通过后所有货物必须在五个工作日内完成安装调试。</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延期违约责任：</w:t>
      </w:r>
      <w:r>
        <w:rPr>
          <w:rFonts w:hint="eastAsia" w:ascii="仿宋" w:hAnsi="仿宋" w:eastAsia="仿宋" w:cs="仿宋"/>
          <w:color w:val="auto"/>
          <w:sz w:val="28"/>
          <w:szCs w:val="28"/>
          <w:highlight w:val="none"/>
          <w:lang w:val="en-US" w:eastAsia="zh-CN"/>
        </w:rPr>
        <w:t>若因投标人原因导致延期，每延期1天，支付合同总价0.5%的违约金，累计不超过合同总价的5%；延期超过30天，采购方有权解除合同。</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交货及实施地点</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采购方指定地点。</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（三）付款条件</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付款方式：银行转账，投标人须提供合法有效的增值税发票。</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付款进度：</w:t>
      </w:r>
    </w:p>
    <w:p>
      <w:pPr>
        <w:keepNext w:val="0"/>
        <w:keepLines w:val="0"/>
        <w:pageBreakBefore w:val="0"/>
        <w:widowControl w:val="0"/>
        <w:kinsoku/>
        <w:wordWrap/>
        <w:overflowPunct w:val="0"/>
        <w:topLinePunct/>
        <w:autoSpaceDE/>
        <w:autoSpaceDN w:val="0"/>
        <w:bidi w:val="0"/>
        <w:adjustRightInd w:val="0"/>
        <w:snapToGrid w:val="0"/>
        <w:spacing w:afterAutospacing="0" w:line="360" w:lineRule="auto"/>
        <w:ind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项目安装调试完成并通过最终验收后7个工作日内，支付合同总价款的100%。</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（四）包装和运输</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包装要求：符合国家相关标准及设备运输要求，具备防潮、防震、防碰撞功能。</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运输要求：选择具备相应资质的运输单位，确保设备按时、安全送达。</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 装卸要求：规范操作，避免设备损坏，费用由投标人承担。</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（五）售后服务</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质保期</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购设备不允许出现第三方配件，所有配件必须原厂原配；主机和显示器不少于原厂三年免费保修服务，不少于三年免费备件服务，自项目最终验收合格之日起计算。质保期内提供免费维修、更换、技术支持服务。</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响应时间</w:t>
      </w:r>
    </w:p>
    <w:p>
      <w:pPr>
        <w:spacing w:line="360" w:lineRule="auto"/>
        <w:ind w:firstLine="560" w:firstLineChars="200"/>
        <w:rPr>
          <w:color w:val="auto"/>
          <w:highlight w:val="none"/>
        </w:rPr>
      </w:pPr>
      <w:r>
        <w:rPr>
          <w:rFonts w:hint="eastAsia" w:ascii="仿宋" w:hAnsi="仿宋" w:eastAsia="仿宋"/>
          <w:color w:val="auto"/>
          <w:sz w:val="28"/>
          <w:szCs w:val="28"/>
          <w:highlight w:val="none"/>
        </w:rPr>
        <w:t>如发生故障，由投标人安排的驻点技术服务人员10分钟内赶到故障设备现场进行处理。排除设备故障的速度：一般故障（不用更换材料）30分钟内排除；常规元器件损坏故障1个工作日内排除；重大故障根据实际情况确定修复时间。若在48小时内仍未能有效解决，投标人须免费提供同档次的设备予采购人临时使用。</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 定期巡检</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质保期内，每6个月进行一次全面巡检，并提交巡检报告。</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 备品备件</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投标人须在供货时提供招标文件中明确的备品备件，质保期内及时补充。</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 应急保障</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投标人须提供驻场保障。</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（六）培训要求</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培训内容：设备操作、系统维护、故障排查、软件使用等。</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outlineLvl w:val="1"/>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四、验收标准和要求</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（一）验收组织</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验收由采购方牵头组织，成立验收小组。</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投标人须配合验收工作，提供相关资料并安排技术人员现场答疑。</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（二）验收依据</w:t>
      </w:r>
    </w:p>
    <w:p>
      <w:pPr>
        <w:keepNext w:val="0"/>
        <w:keepLines w:val="0"/>
        <w:pageBreakBefore w:val="0"/>
        <w:widowControl w:val="0"/>
        <w:kinsoku/>
        <w:wordWrap w:val="0"/>
        <w:overflowPunct/>
        <w:topLinePunct/>
        <w:autoSpaceDE/>
        <w:autoSpaceDN w:val="0"/>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招标文件及投标文件、中标通知书。</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国家现行相关行业标准、规范。</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 双方签订的采购合同。</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 设备生产厂家提供的产品说明书、技术参数手册。</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（三）验收标准</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设备验收：设备数量、型号、规格与合同一致，为全新原装正品，具备完整资质文件。</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安装验收：安装规范、牢固，管线铺设整齐，接地、供电安全可靠。</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 培训验收：完成规定培训内容。</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 资料验收：验收资料完整、规范，内容真实有效。</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（四）验收结果处理</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验收合格：出具验收合格报告，项目正式交付使用。</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验收不合格：出具书面整改意见，投标人限期整改后重新验收。</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五、其他要求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w:t>
      </w:r>
      <w:r>
        <w:rPr>
          <w:rFonts w:hint="eastAsia" w:ascii="仿宋" w:hAnsi="仿宋" w:eastAsia="仿宋" w:cs="仿宋"/>
          <w:color w:val="auto"/>
          <w:sz w:val="28"/>
          <w:szCs w:val="28"/>
          <w:highlight w:val="none"/>
          <w:lang w:val="en-US" w:eastAsia="zh-CN"/>
        </w:rPr>
        <w:t>★</w:t>
      </w:r>
      <w:r>
        <w:rPr>
          <w:rFonts w:hint="eastAsia" w:ascii="仿宋" w:hAnsi="仿宋" w:eastAsia="仿宋" w:cs="仿宋"/>
          <w:b/>
          <w:bCs/>
          <w:color w:val="auto"/>
          <w:sz w:val="28"/>
          <w:szCs w:val="28"/>
          <w:highlight w:val="none"/>
          <w:lang w:val="en-US" w:eastAsia="zh-CN"/>
        </w:rPr>
        <w:t>技术支持要求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提供长期技术咨询服务，解答系统使用、维护过程中的技术问题。</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（二）★知识产权</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 投标人保证所提供的设备、软件不侵犯任何第三方的知识产权。</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 如因知识产权问题引起纠纷，由投标人承担全部责任。</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2" w:firstLineChars="200"/>
        <w:jc w:val="both"/>
        <w:textAlignment w:val="auto"/>
        <w:outlineLvl w:val="2"/>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（三）★保密要求</w:t>
      </w:r>
    </w:p>
    <w:p>
      <w:pPr>
        <w:keepNext w:val="0"/>
        <w:keepLines w:val="0"/>
        <w:pageBreakBefore w:val="0"/>
        <w:widowControl w:val="0"/>
        <w:kinsoku/>
        <w:wordWrap w:val="0"/>
        <w:overflowPunct/>
        <w:topLinePunct/>
        <w:autoSpaceDE/>
        <w:autoSpaceDN/>
        <w:bidi w:val="0"/>
        <w:adjustRightInd w:val="0"/>
        <w:snapToGrid w:val="0"/>
        <w:spacing w:afterAutospacing="0" w:line="360" w:lineRule="auto"/>
        <w:ind w:left="0" w:leftChars="0" w:right="0" w:rightChars="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投标人须对在项目实施过程中知悉的采购方相关信息予以保密，未经采购方书面同意，不得向第三方披露。</w:t>
      </w:r>
    </w:p>
    <w:p>
      <w:pPr>
        <w:pStyle w:val="13"/>
        <w:rPr>
          <w:rFonts w:hint="eastAsia" w:ascii="仿宋" w:hAnsi="仿宋" w:eastAsia="仿宋" w:cs="仿宋"/>
          <w:color w:val="auto"/>
          <w:sz w:val="28"/>
          <w:szCs w:val="28"/>
          <w:highlight w:val="none"/>
          <w:lang w:val="en-US" w:eastAsia="zh-CN"/>
        </w:rPr>
      </w:pPr>
    </w:p>
    <w:p>
      <w:pPr>
        <w:pStyle w:val="36"/>
        <w:spacing w:line="360" w:lineRule="exact"/>
        <w:rPr>
          <w:rFonts w:hint="eastAsia" w:ascii="仿宋" w:hAnsi="仿宋" w:eastAsia="仿宋" w:cs="仿宋"/>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6"/>
        <w:spacing w:line="360" w:lineRule="exact"/>
        <w:rPr>
          <w:rFonts w:hint="eastAsia" w:cs="Times New Roman"/>
          <w:b/>
          <w:bCs/>
          <w:color w:val="auto"/>
          <w:kern w:val="2"/>
          <w:sz w:val="28"/>
          <w:szCs w:val="28"/>
          <w:highlight w:val="none"/>
        </w:rPr>
      </w:pPr>
    </w:p>
    <w:p>
      <w:pPr>
        <w:pStyle w:val="3"/>
        <w:ind w:left="0" w:firstLine="3092" w:firstLineChars="700"/>
        <w:rPr>
          <w:rFonts w:hint="eastAsia" w:ascii="仿宋" w:hAnsi="仿宋" w:eastAsia="仿宋"/>
          <w:bCs w:val="0"/>
          <w:color w:val="auto"/>
          <w:highlight w:val="none"/>
        </w:rPr>
      </w:pPr>
      <w:bookmarkStart w:id="180" w:name="_Toc26240"/>
      <w:r>
        <w:rPr>
          <w:rFonts w:hint="eastAsia" w:ascii="仿宋" w:hAnsi="仿宋" w:eastAsia="仿宋"/>
          <w:bCs w:val="0"/>
          <w:color w:val="auto"/>
          <w:highlight w:val="none"/>
        </w:rPr>
        <w:t>第四章 资格审查</w:t>
      </w:r>
      <w:bookmarkEnd w:id="176"/>
      <w:bookmarkEnd w:id="177"/>
      <w:bookmarkEnd w:id="178"/>
      <w:bookmarkEnd w:id="180"/>
    </w:p>
    <w:bookmarkEnd w:id="179"/>
    <w:p>
      <w:pPr>
        <w:pStyle w:val="4"/>
        <w:spacing w:before="0" w:line="240" w:lineRule="atLeast"/>
        <w:ind w:firstLine="2340"/>
        <w:rPr>
          <w:rFonts w:hint="eastAsia" w:ascii="仿宋" w:hAnsi="仿宋" w:eastAsia="仿宋"/>
          <w:color w:val="auto"/>
          <w:sz w:val="36"/>
          <w:szCs w:val="36"/>
          <w:highlight w:val="none"/>
        </w:rPr>
      </w:pPr>
      <w:bookmarkStart w:id="181" w:name="_Toc14299_WPSOffice_Level3"/>
      <w:bookmarkStart w:id="182" w:name="_Toc2130"/>
      <w:bookmarkStart w:id="183" w:name="_Toc16640"/>
      <w:bookmarkStart w:id="184" w:name="_Toc60996697"/>
      <w:bookmarkStart w:id="185" w:name="_Toc18716_WPSOffice_Level2"/>
      <w:bookmarkStart w:id="186" w:name="_资格审查前附表"/>
      <w:r>
        <w:rPr>
          <w:rFonts w:hint="eastAsia" w:ascii="仿宋" w:hAnsi="仿宋" w:eastAsia="仿宋"/>
          <w:color w:val="auto"/>
          <w:sz w:val="36"/>
          <w:szCs w:val="36"/>
          <w:highlight w:val="none"/>
        </w:rPr>
        <w:t>资格审查前附表</w:t>
      </w:r>
      <w:bookmarkEnd w:id="181"/>
      <w:bookmarkEnd w:id="182"/>
      <w:bookmarkEnd w:id="183"/>
      <w:bookmarkEnd w:id="184"/>
      <w:bookmarkEnd w:id="185"/>
    </w:p>
    <w:bookmarkEnd w:id="186"/>
    <w:tbl>
      <w:tblPr>
        <w:tblStyle w:val="39"/>
        <w:tblpPr w:leftFromText="180" w:rightFromText="180" w:vertAnchor="text" w:horzAnchor="page" w:tblpX="1543" w:tblpY="110"/>
        <w:tblOverlap w:val="never"/>
        <w:tblW w:w="929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7"/>
        <w:gridCol w:w="817"/>
        <w:gridCol w:w="1397"/>
        <w:gridCol w:w="6265"/>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1" w:hRule="atLeast"/>
        </w:trPr>
        <w:tc>
          <w:tcPr>
            <w:tcW w:w="1634" w:type="dxa"/>
            <w:gridSpan w:val="2"/>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条款号</w:t>
            </w:r>
          </w:p>
        </w:tc>
        <w:tc>
          <w:tcPr>
            <w:tcW w:w="1397" w:type="dxa"/>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评审因素</w:t>
            </w:r>
          </w:p>
        </w:tc>
        <w:tc>
          <w:tcPr>
            <w:tcW w:w="6265" w:type="dxa"/>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评审标准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 w:hRule="atLeast"/>
        </w:trPr>
        <w:tc>
          <w:tcPr>
            <w:tcW w:w="817" w:type="dxa"/>
            <w:vMerge w:val="restart"/>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1</w:t>
            </w:r>
          </w:p>
        </w:tc>
        <w:tc>
          <w:tcPr>
            <w:tcW w:w="817" w:type="dxa"/>
            <w:vMerge w:val="restart"/>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color w:val="auto"/>
                <w:sz w:val="28"/>
                <w:szCs w:val="28"/>
                <w:highlight w:val="none"/>
              </w:rPr>
              <w:t>资格审查</w:t>
            </w:r>
          </w:p>
        </w:tc>
        <w:tc>
          <w:tcPr>
            <w:tcW w:w="1397" w:type="dxa"/>
            <w:tcBorders>
              <w:top w:val="single" w:color="auto" w:sz="12" w:space="0"/>
            </w:tcBorders>
            <w:vAlign w:val="center"/>
          </w:tcPr>
          <w:p>
            <w:pPr>
              <w:jc w:val="center"/>
              <w:rPr>
                <w:rFonts w:hint="eastAsia" w:ascii="仿宋" w:hAnsi="仿宋" w:eastAsia="仿宋"/>
                <w:b/>
                <w:color w:val="auto"/>
                <w:sz w:val="28"/>
                <w:szCs w:val="28"/>
                <w:highlight w:val="none"/>
              </w:rPr>
            </w:pPr>
            <w:r>
              <w:rPr>
                <w:rFonts w:hint="eastAsia" w:ascii="仿宋" w:hAnsi="仿宋" w:eastAsia="仿宋"/>
                <w:color w:val="auto"/>
                <w:sz w:val="28"/>
                <w:szCs w:val="28"/>
                <w:highlight w:val="none"/>
              </w:rPr>
              <w:t>营业执照</w:t>
            </w:r>
          </w:p>
        </w:tc>
        <w:tc>
          <w:tcPr>
            <w:tcW w:w="6265" w:type="dxa"/>
            <w:tcBorders>
              <w:top w:val="single" w:color="auto" w:sz="12" w:space="0"/>
            </w:tcBorders>
            <w:vAlign w:val="center"/>
          </w:tcPr>
          <w:p>
            <w:pPr>
              <w:jc w:val="lef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具备有效的营业执照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730"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tcBorders>
              <w:top w:val="single" w:color="auto" w:sz="12" w:space="0"/>
            </w:tcBorders>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财务状况</w:t>
            </w:r>
          </w:p>
        </w:tc>
        <w:tc>
          <w:tcPr>
            <w:tcW w:w="6265" w:type="dxa"/>
            <w:vAlign w:val="center"/>
          </w:tcPr>
          <w:p>
            <w:pPr>
              <w:jc w:val="left"/>
              <w:rPr>
                <w:rFonts w:hint="eastAsia" w:ascii="仿宋" w:hAnsi="仿宋" w:eastAsia="仿宋"/>
                <w:color w:val="auto"/>
                <w:sz w:val="28"/>
                <w:szCs w:val="28"/>
                <w:highlight w:val="none"/>
              </w:rPr>
            </w:pPr>
            <w:r>
              <w:rPr>
                <w:rFonts w:hint="eastAsia" w:ascii="仿宋" w:hAnsi="仿宋" w:eastAsia="仿宋"/>
                <w:bCs/>
                <w:color w:val="auto"/>
                <w:sz w:val="28"/>
                <w:szCs w:val="28"/>
                <w:highlight w:val="none"/>
              </w:rPr>
              <w:t>投标人</w:t>
            </w:r>
            <w:r>
              <w:rPr>
                <w:rFonts w:ascii="仿宋" w:hAnsi="仿宋" w:eastAsia="仿宋"/>
                <w:bCs/>
                <w:color w:val="auto"/>
                <w:sz w:val="28"/>
                <w:szCs w:val="28"/>
                <w:highlight w:val="none"/>
              </w:rPr>
              <w:t>20</w:t>
            </w:r>
            <w:r>
              <w:rPr>
                <w:rFonts w:hint="eastAsia" w:ascii="仿宋" w:hAnsi="仿宋" w:eastAsia="仿宋"/>
                <w:bCs/>
                <w:color w:val="auto"/>
                <w:sz w:val="28"/>
                <w:szCs w:val="28"/>
                <w:highlight w:val="none"/>
              </w:rPr>
              <w:t>2</w:t>
            </w:r>
            <w:r>
              <w:rPr>
                <w:rFonts w:hint="eastAsia" w:ascii="仿宋" w:hAnsi="仿宋" w:eastAsia="仿宋"/>
                <w:bCs/>
                <w:color w:val="auto"/>
                <w:sz w:val="28"/>
                <w:szCs w:val="28"/>
                <w:highlight w:val="none"/>
                <w:lang w:val="en-US" w:eastAsia="zh-CN"/>
              </w:rPr>
              <w:t>3</w:t>
            </w:r>
            <w:r>
              <w:rPr>
                <w:rFonts w:hint="eastAsia" w:ascii="仿宋" w:hAnsi="仿宋" w:eastAsia="仿宋"/>
                <w:bCs/>
                <w:color w:val="auto"/>
                <w:sz w:val="28"/>
                <w:szCs w:val="28"/>
                <w:highlight w:val="none"/>
              </w:rPr>
              <w:t>年度</w:t>
            </w:r>
            <w:r>
              <w:rPr>
                <w:rFonts w:hint="eastAsia" w:ascii="仿宋" w:hAnsi="仿宋" w:eastAsia="仿宋"/>
                <w:bCs/>
                <w:color w:val="auto"/>
                <w:sz w:val="28"/>
                <w:szCs w:val="28"/>
                <w:highlight w:val="none"/>
              </w:rPr>
              <w:t>至今任意一个年度的财务状况报告复印件，如资产负债表、现金流量表、利润表和财务情况说明书。新成立企业此项不参与考核，应提供相关情况说明并加盖公章。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28"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tcBorders>
              <w:top w:val="single" w:color="auto" w:sz="12" w:space="0"/>
            </w:tcBorders>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缴纳税收情况</w:t>
            </w:r>
          </w:p>
        </w:tc>
        <w:tc>
          <w:tcPr>
            <w:tcW w:w="6265" w:type="dxa"/>
            <w:vAlign w:val="center"/>
          </w:tcPr>
          <w:p>
            <w:pPr>
              <w:jc w:val="left"/>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投标人</w:t>
            </w:r>
            <w:r>
              <w:rPr>
                <w:rFonts w:hint="eastAsia" w:ascii="仿宋" w:hAnsi="仿宋" w:eastAsia="仿宋"/>
                <w:bCs/>
                <w:color w:val="auto"/>
                <w:sz w:val="28"/>
                <w:szCs w:val="28"/>
                <w:highlight w:val="none"/>
              </w:rPr>
              <w:t>202</w:t>
            </w:r>
            <w:r>
              <w:rPr>
                <w:rFonts w:hint="eastAsia" w:ascii="仿宋" w:hAnsi="仿宋" w:eastAsia="仿宋"/>
                <w:bCs/>
                <w:color w:val="auto"/>
                <w:sz w:val="28"/>
                <w:szCs w:val="28"/>
                <w:highlight w:val="none"/>
                <w:lang w:val="en-US" w:eastAsia="zh-CN"/>
              </w:rPr>
              <w:t>6</w:t>
            </w:r>
            <w:r>
              <w:rPr>
                <w:rFonts w:hint="eastAsia" w:ascii="仿宋" w:hAnsi="仿宋" w:eastAsia="仿宋"/>
                <w:bCs/>
                <w:color w:val="auto"/>
                <w:sz w:val="28"/>
                <w:szCs w:val="28"/>
                <w:highlight w:val="none"/>
              </w:rPr>
              <w:t>年1月</w:t>
            </w:r>
            <w:r>
              <w:rPr>
                <w:rFonts w:hint="eastAsia" w:ascii="仿宋" w:hAnsi="仿宋" w:eastAsia="仿宋"/>
                <w:bCs/>
                <w:color w:val="auto"/>
                <w:sz w:val="28"/>
                <w:szCs w:val="28"/>
                <w:highlight w:val="none"/>
              </w:rPr>
              <w:t>至今期间（税款所属时期）任意3个月的税务局税收通用缴款书复印件或银行电子缴税（费）凭证复印件或税务局出具纳税情况的相关证明复印件。新成立企业、依法免税企业此项不参与考核,应提供相关证明文件并加盖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25"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tcBorders>
              <w:top w:val="single" w:color="auto" w:sz="12" w:space="0"/>
            </w:tcBorders>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缴纳社保情况</w:t>
            </w:r>
          </w:p>
        </w:tc>
        <w:tc>
          <w:tcPr>
            <w:tcW w:w="6265" w:type="dxa"/>
            <w:vAlign w:val="center"/>
          </w:tcPr>
          <w:p>
            <w:pPr>
              <w:jc w:val="left"/>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投标人</w:t>
            </w:r>
            <w:r>
              <w:rPr>
                <w:rFonts w:hint="eastAsia" w:ascii="仿宋" w:hAnsi="仿宋" w:eastAsia="仿宋"/>
                <w:bCs/>
                <w:color w:val="auto"/>
                <w:sz w:val="28"/>
                <w:szCs w:val="28"/>
                <w:highlight w:val="none"/>
              </w:rPr>
              <w:t>202</w:t>
            </w:r>
            <w:r>
              <w:rPr>
                <w:rFonts w:hint="eastAsia" w:ascii="仿宋" w:hAnsi="仿宋" w:eastAsia="仿宋"/>
                <w:bCs/>
                <w:color w:val="auto"/>
                <w:sz w:val="28"/>
                <w:szCs w:val="28"/>
                <w:highlight w:val="none"/>
                <w:lang w:val="en-US" w:eastAsia="zh-CN"/>
              </w:rPr>
              <w:t>6</w:t>
            </w:r>
            <w:r>
              <w:rPr>
                <w:rFonts w:hint="eastAsia" w:ascii="仿宋" w:hAnsi="仿宋" w:eastAsia="仿宋"/>
                <w:bCs/>
                <w:color w:val="auto"/>
                <w:sz w:val="28"/>
                <w:szCs w:val="28"/>
                <w:highlight w:val="none"/>
              </w:rPr>
              <w:t>年1月</w:t>
            </w:r>
            <w:r>
              <w:rPr>
                <w:rFonts w:hint="eastAsia" w:ascii="仿宋" w:hAnsi="仿宋" w:eastAsia="仿宋"/>
                <w:bCs/>
                <w:color w:val="auto"/>
                <w:sz w:val="28"/>
                <w:szCs w:val="28"/>
                <w:highlight w:val="none"/>
              </w:rPr>
              <w:t>至今期间（费款所属时期）任意3个月的社会保险费缴款书复印件或银行电子缴税（费）凭证复印件或社保管理部门出具的有效的缴款证明复印件。新成立企业、依法免缴企业此项不参与考核,应提供相关证明文件并加盖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vMerge w:val="restart"/>
            <w:tcBorders>
              <w:top w:val="single" w:color="auto" w:sz="12" w:space="0"/>
            </w:tcBorders>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信誉</w:t>
            </w:r>
          </w:p>
        </w:tc>
        <w:tc>
          <w:tcPr>
            <w:tcW w:w="6265" w:type="dxa"/>
            <w:vAlign w:val="center"/>
          </w:tcPr>
          <w:p>
            <w:pPr>
              <w:jc w:val="left"/>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投标人参加政府采购活动前</w:t>
            </w:r>
            <w:r>
              <w:rPr>
                <w:rFonts w:ascii="仿宋" w:hAnsi="仿宋" w:eastAsia="仿宋"/>
                <w:bCs/>
                <w:color w:val="auto"/>
                <w:sz w:val="28"/>
                <w:szCs w:val="28"/>
                <w:highlight w:val="none"/>
              </w:rPr>
              <w:t>3</w:t>
            </w:r>
            <w:r>
              <w:rPr>
                <w:rFonts w:hint="eastAsia" w:ascii="仿宋" w:hAnsi="仿宋" w:eastAsia="仿宋"/>
                <w:bCs/>
                <w:color w:val="auto"/>
                <w:sz w:val="28"/>
                <w:szCs w:val="28"/>
                <w:highlight w:val="none"/>
              </w:rPr>
              <w:t>年内在经营活动中没有重大违法记录的书面声明，须提供书面声明并加盖公章。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vMerge w:val="continue"/>
            <w:vAlign w:val="center"/>
          </w:tcPr>
          <w:p>
            <w:pPr>
              <w:jc w:val="center"/>
              <w:rPr>
                <w:rFonts w:hint="eastAsia" w:ascii="仿宋" w:hAnsi="仿宋" w:eastAsia="仿宋"/>
                <w:color w:val="auto"/>
                <w:sz w:val="28"/>
                <w:szCs w:val="28"/>
                <w:highlight w:val="none"/>
              </w:rPr>
            </w:pPr>
          </w:p>
        </w:tc>
        <w:tc>
          <w:tcPr>
            <w:tcW w:w="6265" w:type="dxa"/>
            <w:vAlign w:val="center"/>
          </w:tcPr>
          <w:p>
            <w:pPr>
              <w:jc w:val="lef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投标人在投标截止时间前未被列入“信用中国”网站（www.creditchina.gov.cn）失信被执行人、重大税收违法案件当事人名单、政府采购严重违法失信行为记录名单，须提供承诺函并加盖公章。若为失信企业，将取消投标中标资格。</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06"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tcBorders>
              <w:top w:val="single" w:color="auto" w:sz="12" w:space="0"/>
            </w:tcBorders>
            <w:vAlign w:val="center"/>
          </w:tcPr>
          <w:p>
            <w:pPr>
              <w:jc w:val="center"/>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特定资格</w:t>
            </w:r>
          </w:p>
        </w:tc>
        <w:tc>
          <w:tcPr>
            <w:tcW w:w="6265" w:type="dxa"/>
            <w:vAlign w:val="center"/>
          </w:tcPr>
          <w:p>
            <w:pPr>
              <w:jc w:val="lef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06" w:hRule="atLeast"/>
        </w:trPr>
        <w:tc>
          <w:tcPr>
            <w:tcW w:w="817" w:type="dxa"/>
            <w:vMerge w:val="continue"/>
            <w:vAlign w:val="center"/>
          </w:tcPr>
          <w:p>
            <w:pPr>
              <w:jc w:val="center"/>
              <w:rPr>
                <w:rFonts w:hint="eastAsia" w:ascii="仿宋" w:hAnsi="仿宋" w:eastAsia="仿宋"/>
                <w:b/>
                <w:color w:val="auto"/>
                <w:sz w:val="28"/>
                <w:szCs w:val="28"/>
                <w:highlight w:val="none"/>
              </w:rPr>
            </w:pPr>
          </w:p>
        </w:tc>
        <w:tc>
          <w:tcPr>
            <w:tcW w:w="817" w:type="dxa"/>
            <w:vMerge w:val="continue"/>
            <w:vAlign w:val="center"/>
          </w:tcPr>
          <w:p>
            <w:pPr>
              <w:jc w:val="center"/>
              <w:rPr>
                <w:rFonts w:hint="eastAsia" w:ascii="仿宋" w:hAnsi="仿宋" w:eastAsia="仿宋"/>
                <w:color w:val="auto"/>
                <w:sz w:val="28"/>
                <w:szCs w:val="28"/>
                <w:highlight w:val="none"/>
              </w:rPr>
            </w:pPr>
          </w:p>
        </w:tc>
        <w:tc>
          <w:tcPr>
            <w:tcW w:w="1397" w:type="dxa"/>
            <w:tcBorders>
              <w:top w:val="single" w:color="auto" w:sz="12" w:space="0"/>
            </w:tcBorders>
            <w:vAlign w:val="center"/>
          </w:tcPr>
          <w:p>
            <w:pPr>
              <w:jc w:val="center"/>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投标保证金</w:t>
            </w:r>
          </w:p>
        </w:tc>
        <w:tc>
          <w:tcPr>
            <w:tcW w:w="6265" w:type="dxa"/>
            <w:vAlign w:val="center"/>
          </w:tcPr>
          <w:p>
            <w:pPr>
              <w:jc w:val="lef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按要求按时足额缴纳，上传保证金缴纳回执。</w:t>
            </w:r>
          </w:p>
        </w:tc>
      </w:tr>
    </w:tbl>
    <w:p>
      <w:pPr>
        <w:spacing w:line="460" w:lineRule="exact"/>
        <w:ind w:firstLine="560" w:firstLineChars="200"/>
        <w:rPr>
          <w:rFonts w:hint="eastAsia" w:ascii="仿宋" w:hAnsi="仿宋" w:eastAsia="仿宋"/>
          <w:color w:val="auto"/>
          <w:sz w:val="28"/>
          <w:szCs w:val="28"/>
          <w:highlight w:val="none"/>
        </w:rPr>
      </w:pPr>
      <w:bookmarkStart w:id="187" w:name="_Toc31306_WPSOffice_Level3"/>
      <w:bookmarkStart w:id="188" w:name="_Toc25712_WPSOffice_Level2"/>
      <w:bookmarkStart w:id="189" w:name="_Toc32632"/>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资格审查</w:t>
      </w:r>
      <w:bookmarkEnd w:id="187"/>
      <w:bookmarkEnd w:id="188"/>
      <w:bookmarkEnd w:id="189"/>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公开招标采购项目开标结束后，采购人或者集采机构依法对投标人的资格进行审查。</w:t>
      </w:r>
    </w:p>
    <w:p>
      <w:pPr>
        <w:spacing w:line="460" w:lineRule="exact"/>
        <w:ind w:firstLine="560" w:firstLineChars="200"/>
        <w:rPr>
          <w:rFonts w:hint="eastAsia" w:ascii="仿宋" w:hAnsi="仿宋" w:eastAsia="仿宋"/>
          <w:color w:val="auto"/>
          <w:sz w:val="28"/>
          <w:szCs w:val="28"/>
          <w:highlight w:val="none"/>
        </w:rPr>
      </w:pPr>
      <w:bookmarkStart w:id="190" w:name="_Toc9173"/>
      <w:bookmarkStart w:id="191" w:name="_Toc18915_WPSOffice_Level3"/>
      <w:bookmarkStart w:id="192" w:name="_Toc6863_WPSOffice_Level2"/>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资格审查标准</w:t>
      </w:r>
      <w:bookmarkEnd w:id="190"/>
      <w:bookmarkEnd w:id="191"/>
      <w:bookmarkEnd w:id="192"/>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资格审查标准：依据法律法规和招标文件的规定，对投标文件中的资格条件以及证明文件、投标保证金等进行审查，以确定投标人是否具备投标资格；见资格审查前附表。</w:t>
      </w:r>
    </w:p>
    <w:p>
      <w:pPr>
        <w:spacing w:line="460" w:lineRule="exact"/>
        <w:ind w:firstLine="560" w:firstLineChars="200"/>
        <w:rPr>
          <w:rFonts w:hint="eastAsia" w:ascii="仿宋" w:hAnsi="仿宋" w:eastAsia="仿宋"/>
          <w:color w:val="auto"/>
          <w:sz w:val="28"/>
          <w:szCs w:val="28"/>
          <w:highlight w:val="none"/>
        </w:rPr>
      </w:pPr>
      <w:bookmarkStart w:id="193" w:name="_Toc20864"/>
      <w:bookmarkStart w:id="194" w:name="_Toc17237_WPSOffice_Level3"/>
      <w:bookmarkStart w:id="195" w:name="_Toc10065_WPSOffice_Level2"/>
      <w:r>
        <w:rPr>
          <w:rFonts w:ascii="仿宋" w:hAnsi="仿宋" w:eastAsia="仿宋"/>
          <w:color w:val="auto"/>
          <w:sz w:val="28"/>
          <w:szCs w:val="28"/>
          <w:highlight w:val="none"/>
        </w:rPr>
        <w:t xml:space="preserve">3. </w:t>
      </w:r>
      <w:r>
        <w:rPr>
          <w:rFonts w:hint="eastAsia" w:ascii="仿宋" w:hAnsi="仿宋" w:eastAsia="仿宋"/>
          <w:color w:val="auto"/>
          <w:sz w:val="28"/>
          <w:szCs w:val="28"/>
          <w:highlight w:val="none"/>
        </w:rPr>
        <w:t>资格审查程序</w:t>
      </w:r>
      <w:bookmarkEnd w:id="193"/>
      <w:bookmarkEnd w:id="194"/>
      <w:bookmarkEnd w:id="195"/>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采购人或集采机构依据本章第</w:t>
      </w:r>
      <w:r>
        <w:rPr>
          <w:rFonts w:ascii="仿宋" w:hAnsi="仿宋" w:eastAsia="仿宋"/>
          <w:color w:val="auto"/>
          <w:sz w:val="28"/>
          <w:szCs w:val="28"/>
          <w:highlight w:val="none"/>
        </w:rPr>
        <w:t>2</w:t>
      </w:r>
      <w:r>
        <w:rPr>
          <w:rFonts w:hint="eastAsia" w:ascii="仿宋" w:hAnsi="仿宋" w:eastAsia="仿宋"/>
          <w:color w:val="auto"/>
          <w:sz w:val="28"/>
          <w:szCs w:val="28"/>
          <w:highlight w:val="none"/>
        </w:rPr>
        <w:t>项规定的标准对投标文件进行资格审查。有一项不符合审查标准的，投标无效。</w:t>
      </w:r>
    </w:p>
    <w:p>
      <w:pPr>
        <w:spacing w:line="460" w:lineRule="exact"/>
        <w:ind w:firstLine="560" w:firstLineChars="200"/>
        <w:rPr>
          <w:color w:val="auto"/>
          <w:highlight w:val="none"/>
        </w:rPr>
      </w:pPr>
      <w:r>
        <w:rPr>
          <w:rFonts w:hint="eastAsia" w:ascii="仿宋" w:hAnsi="仿宋" w:eastAsia="仿宋"/>
          <w:color w:val="auto"/>
          <w:sz w:val="28"/>
          <w:szCs w:val="28"/>
          <w:highlight w:val="none"/>
        </w:rPr>
        <w:t>注：合格投标人不足</w:t>
      </w:r>
      <w:r>
        <w:rPr>
          <w:rFonts w:ascii="仿宋" w:hAnsi="仿宋" w:eastAsia="仿宋"/>
          <w:color w:val="auto"/>
          <w:sz w:val="28"/>
          <w:szCs w:val="28"/>
          <w:highlight w:val="none"/>
        </w:rPr>
        <w:t>3</w:t>
      </w:r>
      <w:r>
        <w:rPr>
          <w:rFonts w:hint="eastAsia" w:ascii="仿宋" w:hAnsi="仿宋" w:eastAsia="仿宋"/>
          <w:color w:val="auto"/>
          <w:sz w:val="28"/>
          <w:szCs w:val="28"/>
          <w:highlight w:val="none"/>
        </w:rPr>
        <w:t>家的，不再进入评标程序，作废标处理。</w:t>
      </w:r>
      <w:bookmarkStart w:id="196" w:name="_Toc60996698"/>
      <w:bookmarkStart w:id="197" w:name="_Toc25325_WPSOffice_Level1"/>
      <w:bookmarkStart w:id="198" w:name="_Toc17377_WPSOffice_Level2"/>
      <w:bookmarkStart w:id="199" w:name="_第七章____评标办法（综合评分法）"/>
    </w:p>
    <w:p>
      <w:pPr>
        <w:bidi w:val="0"/>
        <w:rPr>
          <w:rFonts w:hint="eastAsia"/>
          <w:color w:val="auto"/>
          <w:highlight w:val="none"/>
        </w:rPr>
      </w:pPr>
    </w:p>
    <w:p>
      <w:pPr>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pStyle w:val="13"/>
        <w:rPr>
          <w:rFonts w:hint="eastAsia" w:ascii="仿宋" w:hAnsi="仿宋" w:eastAsia="仿宋"/>
          <w:bCs w:val="0"/>
          <w:color w:val="auto"/>
          <w:highlight w:val="none"/>
        </w:rPr>
      </w:pPr>
    </w:p>
    <w:p>
      <w:pPr>
        <w:rPr>
          <w:rFonts w:hint="eastAsia" w:ascii="仿宋" w:hAnsi="仿宋" w:eastAsia="仿宋"/>
          <w:color w:val="auto"/>
          <w:highlight w:val="none"/>
        </w:rPr>
      </w:pPr>
    </w:p>
    <w:p>
      <w:pPr>
        <w:pStyle w:val="13"/>
        <w:rPr>
          <w:color w:val="auto"/>
          <w:highlight w:val="none"/>
        </w:rPr>
      </w:pPr>
    </w:p>
    <w:p>
      <w:pPr>
        <w:pStyle w:val="3"/>
        <w:ind w:left="1260" w:firstLine="0"/>
        <w:rPr>
          <w:rFonts w:hint="eastAsia" w:ascii="仿宋" w:hAnsi="仿宋" w:eastAsia="仿宋"/>
          <w:bCs w:val="0"/>
          <w:color w:val="auto"/>
          <w:highlight w:val="none"/>
        </w:rPr>
      </w:pPr>
      <w:bookmarkStart w:id="200" w:name="_Toc6886"/>
      <w:r>
        <w:rPr>
          <w:rFonts w:hint="eastAsia" w:ascii="仿宋" w:hAnsi="仿宋" w:eastAsia="仿宋"/>
          <w:bCs w:val="0"/>
          <w:color w:val="auto"/>
          <w:highlight w:val="none"/>
        </w:rPr>
        <w:t>第五章 评标办法（综合评分法）</w:t>
      </w:r>
      <w:bookmarkEnd w:id="196"/>
      <w:bookmarkEnd w:id="197"/>
      <w:bookmarkEnd w:id="198"/>
      <w:bookmarkEnd w:id="200"/>
    </w:p>
    <w:bookmarkEnd w:id="199"/>
    <w:p>
      <w:pPr>
        <w:pStyle w:val="4"/>
        <w:spacing w:before="0" w:line="240" w:lineRule="atLeast"/>
        <w:ind w:left="51" w:firstLine="3060"/>
        <w:rPr>
          <w:rFonts w:hint="eastAsia" w:ascii="仿宋" w:hAnsi="仿宋" w:eastAsia="仿宋"/>
          <w:color w:val="auto"/>
          <w:sz w:val="36"/>
          <w:szCs w:val="36"/>
          <w:highlight w:val="none"/>
        </w:rPr>
      </w:pPr>
      <w:bookmarkStart w:id="201" w:name="_Toc22394_WPSOffice_Level3"/>
      <w:bookmarkStart w:id="202" w:name="_Toc22745_WPSOffice_Level2"/>
      <w:bookmarkStart w:id="203" w:name="_Toc18867"/>
      <w:bookmarkStart w:id="204" w:name="_综合评分前附表"/>
      <w:r>
        <w:rPr>
          <w:rFonts w:hint="eastAsia" w:ascii="仿宋" w:hAnsi="仿宋" w:eastAsia="仿宋"/>
          <w:color w:val="auto"/>
          <w:sz w:val="36"/>
          <w:szCs w:val="36"/>
          <w:highlight w:val="none"/>
        </w:rPr>
        <w:t>评标办法前附表</w:t>
      </w:r>
      <w:bookmarkEnd w:id="201"/>
      <w:bookmarkEnd w:id="202"/>
      <w:bookmarkEnd w:id="203"/>
    </w:p>
    <w:bookmarkEnd w:id="204"/>
    <w:tbl>
      <w:tblPr>
        <w:tblStyle w:val="39"/>
        <w:tblW w:w="93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567"/>
        <w:gridCol w:w="1701"/>
        <w:gridCol w:w="1311"/>
        <w:gridCol w:w="4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3" w:type="dxa"/>
            <w:gridSpan w:val="2"/>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8"/>
                <w:szCs w:val="28"/>
                <w:highlight w:val="none"/>
              </w:rPr>
              <w:t>条款号</w:t>
            </w: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8"/>
                <w:szCs w:val="28"/>
                <w:highlight w:val="none"/>
              </w:rPr>
              <w:t>评审因素</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8"/>
                <w:szCs w:val="28"/>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ascii="仿宋" w:hAnsi="仿宋" w:eastAsia="仿宋"/>
                <w:color w:val="auto"/>
                <w:kern w:val="0"/>
                <w:sz w:val="24"/>
                <w:highlight w:val="none"/>
              </w:rPr>
              <w:t>2.1</w:t>
            </w:r>
          </w:p>
        </w:tc>
        <w:tc>
          <w:tcPr>
            <w:tcW w:w="567" w:type="dxa"/>
            <w:vMerge w:val="restart"/>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符合性审查标准</w:t>
            </w:r>
          </w:p>
          <w:p>
            <w:pPr>
              <w:keepNext w:val="0"/>
              <w:keepLines w:val="0"/>
              <w:pageBreakBefore w:val="0"/>
              <w:kinsoku/>
              <w:overflowPunct/>
              <w:autoSpaceDE/>
              <w:autoSpaceDN/>
              <w:bidi w:val="0"/>
              <w:adjustRightInd/>
              <w:snapToGrid/>
              <w:spacing w:after="120" w:line="400" w:lineRule="exact"/>
              <w:textAlignment w:val="bottom"/>
              <w:rPr>
                <w:color w:val="auto"/>
                <w:kern w:val="0"/>
                <w:sz w:val="24"/>
                <w:highlight w:val="none"/>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投标文件</w:t>
            </w:r>
          </w:p>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格式</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投标文件按招标文件格式及内容要求签署、盖章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投标函</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有法定代表人或授权代理人签名或盖章，并加盖单位公章；符合招标文件给定格式及内容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法定代表人</w:t>
            </w:r>
          </w:p>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资格证明书</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符合招标文件给定格式及内容，并加盖单位公章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vMerge w:val="restart"/>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法定代表人</w:t>
            </w:r>
          </w:p>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授权委托书</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有法定代表人签名或盖章，并加盖单位公章；符合招标文件给定格式及内容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vMerge w:val="continue"/>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p>
        </w:tc>
        <w:tc>
          <w:tcPr>
            <w:tcW w:w="6237" w:type="dxa"/>
            <w:gridSpan w:val="2"/>
            <w:shd w:val="clear" w:color="auto" w:fill="auto"/>
            <w:vAlign w:val="center"/>
          </w:tcPr>
          <w:p>
            <w:pPr>
              <w:keepNext w:val="0"/>
              <w:keepLines w:val="0"/>
              <w:pageBreakBefore w:val="0"/>
              <w:tabs>
                <w:tab w:val="left" w:pos="1278"/>
              </w:tabs>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注：投标文件（包括评标过程中的澄清、说明或者补正）由法定代表人签署的，不审查该项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投标报价</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报价唯一且不得高于采购预算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采购内容</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所投产品数量及内容须与采购内容一致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投标有效期</w:t>
            </w:r>
          </w:p>
        </w:tc>
        <w:tc>
          <w:tcPr>
            <w:tcW w:w="6237" w:type="dxa"/>
            <w:gridSpan w:val="2"/>
            <w:shd w:val="clear" w:color="auto" w:fill="auto"/>
            <w:vAlign w:val="center"/>
          </w:tcPr>
          <w:p>
            <w:pPr>
              <w:keepNext w:val="0"/>
              <w:keepLines w:val="0"/>
              <w:pageBreakBefore w:val="0"/>
              <w:tabs>
                <w:tab w:val="left" w:pos="1102"/>
              </w:tabs>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符合“投标人须知前附表”相关规定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投标是否</w:t>
            </w:r>
          </w:p>
          <w:p>
            <w:pPr>
              <w:keepNext w:val="0"/>
              <w:keepLines w:val="0"/>
              <w:pageBreakBefore w:val="0"/>
              <w:kinsoku/>
              <w:overflowPunct/>
              <w:autoSpaceDE/>
              <w:autoSpaceDN/>
              <w:bidi w:val="0"/>
              <w:adjustRightInd/>
              <w:snapToGrid/>
              <w:spacing w:line="400" w:lineRule="exact"/>
              <w:jc w:val="center"/>
              <w:textAlignment w:val="bottom"/>
              <w:rPr>
                <w:color w:val="auto"/>
                <w:kern w:val="0"/>
                <w:sz w:val="24"/>
                <w:highlight w:val="none"/>
                <w:lang w:val="zh-CN"/>
              </w:rPr>
            </w:pPr>
            <w:r>
              <w:rPr>
                <w:rFonts w:hint="eastAsia" w:ascii="仿宋" w:hAnsi="仿宋" w:eastAsia="仿宋"/>
                <w:color w:val="auto"/>
                <w:kern w:val="0"/>
                <w:sz w:val="24"/>
                <w:highlight w:val="none"/>
              </w:rPr>
              <w:t>有效</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color w:val="auto"/>
                <w:kern w:val="0"/>
                <w:sz w:val="24"/>
                <w:highlight w:val="none"/>
                <w:lang w:val="zh-CN"/>
              </w:rPr>
            </w:pPr>
            <w:r>
              <w:rPr>
                <w:rFonts w:hint="eastAsia" w:ascii="仿宋" w:hAnsi="仿宋" w:eastAsia="仿宋"/>
                <w:color w:val="auto"/>
                <w:kern w:val="0"/>
                <w:sz w:val="24"/>
                <w:highlight w:val="none"/>
              </w:rPr>
              <w:t>无招标文件规定的其他投标无效情形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3" w:type="dxa"/>
            <w:gridSpan w:val="2"/>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4"/>
                <w:highlight w:val="none"/>
              </w:rPr>
              <w:t>条款号</w:t>
            </w:r>
          </w:p>
        </w:tc>
        <w:tc>
          <w:tcPr>
            <w:tcW w:w="1701" w:type="dxa"/>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4"/>
                <w:highlight w:val="none"/>
              </w:rPr>
              <w:t>条款内容</w:t>
            </w:r>
          </w:p>
        </w:tc>
        <w:tc>
          <w:tcPr>
            <w:tcW w:w="6237" w:type="dxa"/>
            <w:gridSpan w:val="2"/>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color w:val="auto"/>
                <w:kern w:val="0"/>
                <w:sz w:val="24"/>
                <w:szCs w:val="20"/>
                <w:highlight w:val="none"/>
                <w:lang w:val="zh-CN"/>
              </w:rPr>
            </w:pPr>
            <w:r>
              <w:rPr>
                <w:rFonts w:hint="eastAsia" w:ascii="仿宋" w:hAnsi="仿宋" w:eastAsia="仿宋"/>
                <w:b/>
                <w:color w:val="auto"/>
                <w:kern w:val="0"/>
                <w:sz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lang w:val="zh-CN"/>
              </w:rPr>
            </w:pPr>
            <w:r>
              <w:rPr>
                <w:rFonts w:ascii="仿宋" w:hAnsi="仿宋" w:eastAsia="仿宋"/>
                <w:color w:val="auto"/>
                <w:kern w:val="0"/>
                <w:sz w:val="24"/>
                <w:highlight w:val="none"/>
              </w:rPr>
              <w:t>2</w:t>
            </w:r>
            <w:r>
              <w:rPr>
                <w:rFonts w:hint="eastAsia" w:ascii="仿宋" w:hAnsi="仿宋" w:eastAsia="仿宋"/>
                <w:color w:val="auto"/>
                <w:kern w:val="0"/>
                <w:sz w:val="24"/>
                <w:highlight w:val="none"/>
              </w:rPr>
              <w:t>.</w:t>
            </w:r>
            <w:r>
              <w:rPr>
                <w:rFonts w:ascii="仿宋" w:hAnsi="仿宋" w:eastAsia="仿宋"/>
                <w:color w:val="auto"/>
                <w:kern w:val="0"/>
                <w:sz w:val="24"/>
                <w:highlight w:val="none"/>
              </w:rPr>
              <w:t>2</w:t>
            </w:r>
          </w:p>
        </w:tc>
        <w:tc>
          <w:tcPr>
            <w:tcW w:w="567" w:type="dxa"/>
            <w:vMerge w:val="restart"/>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详</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细</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评</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审</w:t>
            </w:r>
          </w:p>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p>
        </w:tc>
        <w:tc>
          <w:tcPr>
            <w:tcW w:w="1701" w:type="dxa"/>
            <w:vMerge w:val="restart"/>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分值构成</w:t>
            </w:r>
          </w:p>
        </w:tc>
        <w:tc>
          <w:tcPr>
            <w:tcW w:w="6237" w:type="dxa"/>
            <w:gridSpan w:val="2"/>
            <w:shd w:val="clear" w:color="auto" w:fill="auto"/>
          </w:tcPr>
          <w:p>
            <w:pPr>
              <w:keepNext w:val="0"/>
              <w:keepLines w:val="0"/>
              <w:pageBreakBefore w:val="0"/>
              <w:tabs>
                <w:tab w:val="left" w:pos="1807"/>
              </w:tabs>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投标人的评审总得分＝F1＋F2＋F3</w:t>
            </w:r>
          </w:p>
          <w:p>
            <w:pPr>
              <w:keepNext w:val="0"/>
              <w:keepLines w:val="0"/>
              <w:pageBreakBefore w:val="0"/>
              <w:tabs>
                <w:tab w:val="left" w:pos="1807"/>
              </w:tabs>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其中：</w:t>
            </w:r>
          </w:p>
          <w:p>
            <w:pPr>
              <w:keepNext w:val="0"/>
              <w:keepLines w:val="0"/>
              <w:pageBreakBefore w:val="0"/>
              <w:tabs>
                <w:tab w:val="left" w:pos="1807"/>
              </w:tabs>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F1、F2、F3分别为投标报价、商务部分、技术部分3项评分因素的汇总得分。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16"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lang w:val="zh-CN"/>
              </w:rPr>
            </w:pPr>
          </w:p>
        </w:tc>
        <w:tc>
          <w:tcPr>
            <w:tcW w:w="567"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vMerge w:val="continue"/>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6237" w:type="dxa"/>
            <w:gridSpan w:val="2"/>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投标报价分值F1：</w:t>
            </w:r>
            <w:r>
              <w:rPr>
                <w:rFonts w:hint="eastAsia" w:ascii="仿宋" w:hAnsi="仿宋" w:eastAsia="仿宋"/>
                <w:color w:val="auto"/>
                <w:kern w:val="0"/>
                <w:sz w:val="24"/>
                <w:highlight w:val="none"/>
              </w:rPr>
              <w:t>30分</w:t>
            </w:r>
          </w:p>
          <w:p>
            <w:pPr>
              <w:keepNext w:val="0"/>
              <w:keepLines w:val="0"/>
              <w:pageBreakBefore w:val="0"/>
              <w:kinsoku/>
              <w:overflowPunct/>
              <w:autoSpaceDE/>
              <w:autoSpaceDN/>
              <w:bidi w:val="0"/>
              <w:adjustRightInd/>
              <w:snapToGrid/>
              <w:spacing w:line="400" w:lineRule="exact"/>
              <w:textAlignment w:val="bottom"/>
              <w:rPr>
                <w:rFonts w:eastAsia="仿宋"/>
                <w:color w:val="auto"/>
                <w:highlight w:val="none"/>
              </w:rPr>
            </w:pPr>
            <w:r>
              <w:rPr>
                <w:rFonts w:hint="eastAsia" w:ascii="仿宋" w:hAnsi="仿宋" w:eastAsia="仿宋"/>
                <w:color w:val="auto"/>
                <w:kern w:val="0"/>
                <w:sz w:val="24"/>
                <w:highlight w:val="none"/>
              </w:rPr>
              <w:t>商务部分分值F2：</w:t>
            </w:r>
            <w:r>
              <w:rPr>
                <w:rFonts w:hint="eastAsia" w:ascii="仿宋" w:hAnsi="仿宋" w:eastAsia="仿宋"/>
                <w:color w:val="auto"/>
                <w:kern w:val="0"/>
                <w:sz w:val="24"/>
                <w:highlight w:val="none"/>
                <w:lang w:val="en-US" w:eastAsia="zh-CN"/>
              </w:rPr>
              <w:t>20</w:t>
            </w:r>
            <w:r>
              <w:rPr>
                <w:rFonts w:hint="eastAsia" w:ascii="仿宋" w:hAnsi="仿宋" w:eastAsia="仿宋"/>
                <w:color w:val="auto"/>
                <w:kern w:val="0"/>
                <w:sz w:val="24"/>
                <w:highlight w:val="none"/>
              </w:rPr>
              <w:t>分</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技术部分分值F3：</w:t>
            </w:r>
            <w:r>
              <w:rPr>
                <w:rFonts w:hint="eastAsia" w:ascii="仿宋" w:hAnsi="仿宋" w:eastAsia="仿宋"/>
                <w:color w:val="auto"/>
                <w:kern w:val="0"/>
                <w:sz w:val="24"/>
                <w:highlight w:val="none"/>
                <w:lang w:val="en-US" w:eastAsia="zh-CN"/>
              </w:rPr>
              <w:t>50</w:t>
            </w:r>
            <w:r>
              <w:rPr>
                <w:rFonts w:hint="eastAsia" w:ascii="仿宋" w:hAnsi="仿宋" w:eastAsia="仿宋"/>
                <w:color w:val="auto"/>
                <w:kern w:val="0"/>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tcBorders>
              <w:bottom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jc w:val="center"/>
              <w:textAlignment w:val="bottom"/>
              <w:rPr>
                <w:rFonts w:hint="eastAsia" w:ascii="仿宋" w:hAnsi="仿宋" w:eastAsia="仿宋"/>
                <w:color w:val="auto"/>
                <w:kern w:val="0"/>
                <w:sz w:val="24"/>
                <w:highlight w:val="none"/>
              </w:rPr>
            </w:pPr>
            <w:r>
              <w:rPr>
                <w:rFonts w:ascii="仿宋" w:hAnsi="仿宋" w:eastAsia="仿宋"/>
                <w:color w:val="auto"/>
                <w:kern w:val="0"/>
                <w:sz w:val="24"/>
                <w:highlight w:val="none"/>
              </w:rPr>
              <w:t>2.2.1</w:t>
            </w:r>
          </w:p>
        </w:tc>
        <w:tc>
          <w:tcPr>
            <w:tcW w:w="567" w:type="dxa"/>
            <w:vMerge w:val="continue"/>
            <w:tcBorders>
              <w:bottom w:val="single" w:color="auto" w:sz="4" w:space="0"/>
              <w:right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tcBorders>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投标报价</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F1（</w:t>
            </w:r>
            <w:r>
              <w:rPr>
                <w:rFonts w:hint="eastAsia" w:ascii="仿宋" w:hAnsi="仿宋" w:eastAsia="仿宋"/>
                <w:color w:val="auto"/>
                <w:kern w:val="0"/>
                <w:sz w:val="24"/>
                <w:highlight w:val="none"/>
              </w:rPr>
              <w:t>30分</w:t>
            </w:r>
            <w:r>
              <w:rPr>
                <w:rFonts w:hint="eastAsia" w:ascii="仿宋" w:hAnsi="仿宋" w:eastAsia="仿宋"/>
                <w:color w:val="auto"/>
                <w:kern w:val="0"/>
                <w:sz w:val="24"/>
                <w:highlight w:val="none"/>
              </w:rPr>
              <w:t>）</w:t>
            </w:r>
          </w:p>
        </w:tc>
        <w:tc>
          <w:tcPr>
            <w:tcW w:w="6237" w:type="dxa"/>
            <w:gridSpan w:val="2"/>
            <w:tcBorders>
              <w:left w:val="single" w:color="auto" w:sz="4" w:space="0"/>
              <w:bottom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价格分采用低价优先法计算，即满足招标文件要求且投标价格最低的投标报价为评标基准价，其价格分为满分，其他有效投标人的价格分按照下列公式计算：投标报价得分=(评标基准价／投标报价)×</w:t>
            </w:r>
            <w:r>
              <w:rPr>
                <w:rFonts w:hint="eastAsia" w:ascii="仿宋" w:hAnsi="仿宋" w:eastAsia="仿宋"/>
                <w:color w:val="auto"/>
                <w:kern w:val="0"/>
                <w:sz w:val="24"/>
                <w:highlight w:val="none"/>
              </w:rPr>
              <w:t>30</w:t>
            </w:r>
            <w:r>
              <w:rPr>
                <w:rFonts w:hint="eastAsia" w:ascii="仿宋" w:hAnsi="仿宋" w:eastAsia="仿宋"/>
                <w:color w:val="auto"/>
                <w:kern w:val="0"/>
                <w:sz w:val="24"/>
                <w:highlight w:val="none"/>
              </w:rPr>
              <w:t>；</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投标人的投标报价若高于预算价的，该项得“0”分。注：</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1、因落实政府采购政策进行价格调整的，以调整后的价格计算评标基准价和投标报价；</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2、若货物为小微型企业（残疾人福利性单位、监狱企业）产品、服务，请在投标分项报价表备注栏中标明并同时提供证明材料，经评标委员会核实方可获得价格扣除；</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3、对小型和微型企业产品、服务的价格给予10%的扣除(即：评标价=投标报价×[1-10%])，用扣除后的价格参与评审（如为联合体，联合协议中约定，小型、微型企业的协议合同金额占到联合体协议合同总金额30%以上的，可给予联合体4%的价格扣除）；</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4、残疾人福利性单位（监狱企业）产品、服务视同小型、微型企业产品、服务，享受同等价格扣除；</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5、支持本国产品：对本国产品的报价给予20%的价格扣除（符合本国产品标准的产品成本之和占该供应商提供的全部产品成本之和的比例达到80%以上）。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lang w:val="zh-CN"/>
              </w:rPr>
            </w:pPr>
            <w:r>
              <w:rPr>
                <w:rFonts w:hint="eastAsia" w:ascii="仿宋" w:hAnsi="仿宋" w:eastAsia="仿宋"/>
                <w:color w:val="auto"/>
                <w:kern w:val="0"/>
                <w:sz w:val="24"/>
                <w:highlight w:val="none"/>
              </w:rPr>
              <w:t>2.2.2</w:t>
            </w:r>
          </w:p>
        </w:tc>
        <w:tc>
          <w:tcPr>
            <w:tcW w:w="567" w:type="dxa"/>
            <w:vMerge w:val="continue"/>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商务部分</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F2（2</w:t>
            </w:r>
            <w:r>
              <w:rPr>
                <w:rFonts w:hint="eastAsia" w:ascii="仿宋" w:hAnsi="仿宋" w:eastAsia="仿宋"/>
                <w:color w:val="auto"/>
                <w:kern w:val="0"/>
                <w:sz w:val="24"/>
                <w:highlight w:val="none"/>
                <w:lang w:val="en-US" w:eastAsia="zh-CN"/>
              </w:rPr>
              <w:t>0</w:t>
            </w:r>
            <w:r>
              <w:rPr>
                <w:rFonts w:hint="eastAsia" w:ascii="仿宋" w:hAnsi="仿宋" w:eastAsia="仿宋"/>
                <w:color w:val="auto"/>
                <w:kern w:val="0"/>
                <w:sz w:val="24"/>
                <w:highlight w:val="none"/>
              </w:rPr>
              <w:t>分）</w:t>
            </w:r>
          </w:p>
        </w:tc>
        <w:tc>
          <w:tcPr>
            <w:tcW w:w="13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售后服务方案（</w:t>
            </w:r>
            <w:r>
              <w:rPr>
                <w:rFonts w:hint="eastAsia" w:ascii="仿宋" w:hAnsi="仿宋" w:eastAsia="仿宋"/>
                <w:color w:val="auto"/>
                <w:kern w:val="0"/>
                <w:sz w:val="24"/>
                <w:highlight w:val="none"/>
                <w:lang w:val="en-US" w:eastAsia="zh-CN"/>
              </w:rPr>
              <w:t>15</w:t>
            </w:r>
            <w:r>
              <w:rPr>
                <w:rFonts w:hint="eastAsia" w:ascii="仿宋" w:hAnsi="仿宋" w:eastAsia="仿宋"/>
                <w:color w:val="auto"/>
                <w:kern w:val="0"/>
                <w:sz w:val="24"/>
                <w:highlight w:val="none"/>
              </w:rPr>
              <w:t>分）</w:t>
            </w:r>
          </w:p>
        </w:tc>
        <w:tc>
          <w:tcPr>
            <w:tcW w:w="4926" w:type="dxa"/>
            <w:tcBorders>
              <w:top w:val="single" w:color="auto" w:sz="4" w:space="0"/>
              <w:left w:val="single" w:color="auto" w:sz="4" w:space="0"/>
              <w:bottom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bookmarkStart w:id="205" w:name="OLE_LINK12"/>
            <w:r>
              <w:rPr>
                <w:rFonts w:hint="eastAsia" w:ascii="仿宋" w:hAnsi="仿宋" w:eastAsia="仿宋"/>
                <w:color w:val="auto"/>
                <w:kern w:val="0"/>
                <w:sz w:val="24"/>
                <w:highlight w:val="none"/>
              </w:rPr>
              <w:t>第一档</w:t>
            </w:r>
            <w:r>
              <w:rPr>
                <w:rFonts w:hint="eastAsia" w:ascii="仿宋" w:hAnsi="仿宋" w:eastAsia="仿宋"/>
                <w:color w:val="auto"/>
                <w:kern w:val="0"/>
                <w:sz w:val="24"/>
                <w:highlight w:val="none"/>
                <w:lang w:val="en-US" w:eastAsia="zh-CN"/>
              </w:rPr>
              <w:t>(15分):</w:t>
            </w:r>
            <w:r>
              <w:rPr>
                <w:rFonts w:hint="eastAsia" w:ascii="仿宋" w:hAnsi="仿宋" w:eastAsia="仿宋"/>
                <w:color w:val="auto"/>
                <w:kern w:val="0"/>
                <w:sz w:val="24"/>
                <w:highlight w:val="none"/>
              </w:rPr>
              <w:t>售后服务承诺内容针对本采购项目，服务方案（技术人员支持、培训方案）满足采购项目实际需要，无条件提供驻点技术服务，质保期优于招标文件的，服务技术力量及人员组成结构合理，实力强，</w:t>
            </w:r>
            <w:r>
              <w:rPr>
                <w:rFonts w:hint="eastAsia" w:ascii="仿宋" w:hAnsi="仿宋" w:eastAsia="仿宋"/>
                <w:color w:val="auto"/>
                <w:kern w:val="0"/>
                <w:sz w:val="24"/>
                <w:highlight w:val="none"/>
                <w:lang w:val="en-US" w:eastAsia="zh-CN"/>
              </w:rPr>
              <w:t>提供</w:t>
            </w:r>
            <w:r>
              <w:rPr>
                <w:rFonts w:hint="eastAsia" w:ascii="仿宋" w:hAnsi="仿宋" w:eastAsia="仿宋"/>
                <w:color w:val="auto"/>
                <w:kern w:val="0"/>
                <w:sz w:val="24"/>
                <w:highlight w:val="none"/>
              </w:rPr>
              <w:t>相关证明材料</w:t>
            </w:r>
            <w:r>
              <w:rPr>
                <w:rFonts w:hint="eastAsia" w:ascii="仿宋" w:hAnsi="仿宋" w:eastAsia="仿宋"/>
                <w:color w:val="auto"/>
                <w:kern w:val="0"/>
                <w:sz w:val="24"/>
                <w:highlight w:val="none"/>
                <w:lang w:val="en-US" w:eastAsia="zh-CN"/>
              </w:rPr>
              <w:t>ISO/IEC20000-1:2001 TI计算机设备和系统的运行维护服务管理体系认证证书/GB/T19001信息系统集成及售后服务认证证书</w:t>
            </w:r>
            <w:r>
              <w:rPr>
                <w:rFonts w:hint="eastAsia" w:ascii="仿宋" w:hAnsi="仿宋" w:eastAsia="仿宋"/>
                <w:color w:val="auto"/>
                <w:kern w:val="0"/>
                <w:sz w:val="24"/>
                <w:highlight w:val="none"/>
              </w:rPr>
              <w:t>；</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第二档</w:t>
            </w:r>
            <w:r>
              <w:rPr>
                <w:rFonts w:hint="eastAsia" w:ascii="仿宋" w:hAnsi="仿宋" w:eastAsia="仿宋"/>
                <w:color w:val="auto"/>
                <w:kern w:val="0"/>
                <w:sz w:val="24"/>
                <w:highlight w:val="none"/>
                <w:lang w:val="en-US" w:eastAsia="zh-CN"/>
              </w:rPr>
              <w:t>(10分):</w:t>
            </w:r>
            <w:r>
              <w:rPr>
                <w:rFonts w:hint="eastAsia" w:ascii="仿宋" w:hAnsi="仿宋" w:eastAsia="仿宋"/>
                <w:color w:val="auto"/>
                <w:kern w:val="0"/>
                <w:sz w:val="24"/>
                <w:highlight w:val="none"/>
              </w:rPr>
              <w:t>售后服务承诺基本完整、方案（技术人员支持、培训方案）基本合理，质保期等于招标文件的，服务技术力量及人员组成基本合理，实力较好，相关证明材料基本齐全；</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第三档</w:t>
            </w:r>
            <w:r>
              <w:rPr>
                <w:rFonts w:hint="eastAsia" w:ascii="仿宋" w:hAnsi="仿宋" w:eastAsia="仿宋"/>
                <w:color w:val="auto"/>
                <w:kern w:val="0"/>
                <w:sz w:val="24"/>
                <w:highlight w:val="none"/>
                <w:lang w:val="en-US" w:eastAsia="zh-CN"/>
              </w:rPr>
              <w:t>(5分):</w:t>
            </w:r>
            <w:r>
              <w:rPr>
                <w:rFonts w:hint="eastAsia" w:ascii="仿宋" w:hAnsi="仿宋" w:eastAsia="仿宋"/>
                <w:color w:val="auto"/>
                <w:kern w:val="0"/>
                <w:sz w:val="24"/>
                <w:highlight w:val="none"/>
              </w:rPr>
              <w:t>有售后服务措施但不完整，售后服务内容及措施、承诺仅能基本满足招标文件要求，售后服务机构设置及资源配置一般，服务技术力量及人员组成不合理，实力一般，相关证明材料不全。</w:t>
            </w:r>
            <w:bookmarkEnd w:id="2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8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311" w:type="dxa"/>
            <w:tcBorders>
              <w:top w:val="single" w:color="auto" w:sz="4" w:space="0"/>
              <w:left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业</w:t>
            </w:r>
            <w:r>
              <w:rPr>
                <w:rFonts w:hint="eastAsia" w:ascii="仿宋" w:hAnsi="仿宋" w:eastAsia="仿宋" w:cs="仿宋"/>
                <w:color w:val="auto"/>
                <w:kern w:val="0"/>
                <w:sz w:val="24"/>
                <w:highlight w:val="none"/>
              </w:rPr>
              <w:t>绩（</w:t>
            </w:r>
            <w:r>
              <w:rPr>
                <w:rFonts w:hint="eastAsia" w:ascii="仿宋" w:hAnsi="仿宋" w:eastAsia="仿宋" w:cs="仿宋"/>
                <w:color w:val="auto"/>
                <w:kern w:val="0"/>
                <w:sz w:val="24"/>
                <w:highlight w:val="none"/>
                <w:lang w:val="en-US" w:eastAsia="zh-CN"/>
              </w:rPr>
              <w:t>5</w:t>
            </w:r>
            <w:r>
              <w:rPr>
                <w:rFonts w:hint="eastAsia" w:ascii="仿宋" w:hAnsi="仿宋" w:eastAsia="仿宋" w:cs="仿宋"/>
                <w:color w:val="auto"/>
                <w:kern w:val="0"/>
                <w:sz w:val="24"/>
                <w:highlight w:val="none"/>
              </w:rPr>
              <w:t>分）</w:t>
            </w:r>
          </w:p>
        </w:tc>
        <w:tc>
          <w:tcPr>
            <w:tcW w:w="4926" w:type="dxa"/>
            <w:tcBorders>
              <w:top w:val="single" w:color="auto" w:sz="4" w:space="0"/>
              <w:bottom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jc w:val="left"/>
              <w:rPr>
                <w:rFonts w:hint="eastAsia" w:ascii="仿宋" w:hAnsi="仿宋" w:eastAsia="仿宋"/>
                <w:color w:val="auto"/>
                <w:kern w:val="0"/>
                <w:sz w:val="24"/>
                <w:highlight w:val="none"/>
              </w:rPr>
            </w:pPr>
            <w:bookmarkStart w:id="206" w:name="OLE_LINK16"/>
            <w:r>
              <w:rPr>
                <w:rFonts w:hint="eastAsia" w:ascii="仿宋" w:hAnsi="仿宋" w:eastAsia="仿宋"/>
                <w:color w:val="auto"/>
                <w:kern w:val="0"/>
                <w:sz w:val="24"/>
                <w:highlight w:val="none"/>
              </w:rPr>
              <w:t>提供投标人202</w:t>
            </w:r>
            <w:r>
              <w:rPr>
                <w:rFonts w:hint="eastAsia" w:ascii="仿宋" w:hAnsi="仿宋" w:eastAsia="仿宋"/>
                <w:color w:val="auto"/>
                <w:kern w:val="0"/>
                <w:sz w:val="24"/>
                <w:highlight w:val="none"/>
                <w:lang w:val="en-US" w:eastAsia="zh-CN"/>
              </w:rPr>
              <w:t>1</w:t>
            </w:r>
            <w:r>
              <w:rPr>
                <w:rFonts w:hint="eastAsia" w:ascii="仿宋" w:hAnsi="仿宋" w:eastAsia="仿宋"/>
                <w:color w:val="auto"/>
                <w:kern w:val="0"/>
                <w:sz w:val="24"/>
                <w:highlight w:val="none"/>
              </w:rPr>
              <w:t>年以来类似业绩，提供1个得</w:t>
            </w:r>
            <w:r>
              <w:rPr>
                <w:rFonts w:hint="eastAsia" w:ascii="仿宋" w:hAnsi="仿宋" w:eastAsia="仿宋"/>
                <w:color w:val="auto"/>
                <w:kern w:val="0"/>
                <w:sz w:val="24"/>
                <w:highlight w:val="none"/>
                <w:lang w:val="en-US" w:eastAsia="zh-CN"/>
              </w:rPr>
              <w:t>1</w:t>
            </w:r>
            <w:r>
              <w:rPr>
                <w:rFonts w:hint="eastAsia" w:ascii="仿宋" w:hAnsi="仿宋" w:eastAsia="仿宋"/>
                <w:color w:val="auto"/>
                <w:kern w:val="0"/>
                <w:sz w:val="24"/>
                <w:highlight w:val="none"/>
              </w:rPr>
              <w:t>分，满分</w:t>
            </w:r>
            <w:r>
              <w:rPr>
                <w:rFonts w:hint="eastAsia" w:ascii="仿宋" w:hAnsi="仿宋" w:eastAsia="仿宋"/>
                <w:color w:val="auto"/>
                <w:kern w:val="0"/>
                <w:sz w:val="24"/>
                <w:highlight w:val="none"/>
                <w:lang w:val="en-US" w:eastAsia="zh-CN"/>
              </w:rPr>
              <w:t>5</w:t>
            </w:r>
            <w:r>
              <w:rPr>
                <w:rFonts w:hint="eastAsia" w:ascii="仿宋" w:hAnsi="仿宋" w:eastAsia="仿宋"/>
                <w:color w:val="auto"/>
                <w:kern w:val="0"/>
                <w:sz w:val="24"/>
                <w:highlight w:val="none"/>
              </w:rPr>
              <w:t>分。未提供不得分。</w:t>
            </w:r>
          </w:p>
          <w:p>
            <w:pPr>
              <w:keepNext w:val="0"/>
              <w:keepLines w:val="0"/>
              <w:pageBreakBefore w:val="0"/>
              <w:kinsoku/>
              <w:overflowPunct/>
              <w:autoSpaceDE/>
              <w:autoSpaceDN/>
              <w:bidi w:val="0"/>
              <w:adjustRightInd/>
              <w:snapToGrid/>
              <w:spacing w:line="400" w:lineRule="exact"/>
              <w:jc w:val="left"/>
              <w:rPr>
                <w:rFonts w:hint="eastAsia" w:ascii="仿宋" w:hAnsi="仿宋" w:eastAsia="仿宋"/>
                <w:color w:val="auto"/>
                <w:kern w:val="0"/>
                <w:sz w:val="24"/>
                <w:highlight w:val="none"/>
              </w:rPr>
            </w:pPr>
            <w:r>
              <w:rPr>
                <w:rFonts w:hint="eastAsia" w:ascii="仿宋" w:hAnsi="仿宋" w:eastAsia="仿宋"/>
                <w:color w:val="auto"/>
                <w:kern w:val="0"/>
                <w:sz w:val="24"/>
                <w:highlight w:val="none"/>
              </w:rPr>
              <w:t>注：须提供合同复印件（含合同金额、项目内容、签订日期、双方签章）项目结算</w:t>
            </w:r>
            <w:r>
              <w:rPr>
                <w:rFonts w:hint="eastAsia" w:ascii="仿宋" w:hAnsi="仿宋" w:eastAsia="仿宋"/>
                <w:color w:val="auto"/>
                <w:kern w:val="0"/>
                <w:sz w:val="24"/>
                <w:highlight w:val="none"/>
                <w:lang w:val="en-US" w:eastAsia="zh-CN"/>
              </w:rPr>
              <w:t>发票</w:t>
            </w:r>
            <w:r>
              <w:rPr>
                <w:rFonts w:hint="eastAsia" w:ascii="仿宋" w:hAnsi="仿宋" w:eastAsia="仿宋"/>
                <w:color w:val="auto"/>
                <w:kern w:val="0"/>
                <w:sz w:val="24"/>
                <w:highlight w:val="none"/>
              </w:rPr>
              <w:t>复印件作为证明材料（证明材料须完整提供方可得分）否则不得分。</w:t>
            </w:r>
            <w:bookmarkEnd w:id="20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6" w:type="dxa"/>
            <w:vMerge w:val="restart"/>
            <w:tcBorders>
              <w:top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lang w:val="zh-CN"/>
              </w:rPr>
            </w:pPr>
            <w:r>
              <w:rPr>
                <w:rFonts w:hint="eastAsia" w:ascii="仿宋" w:hAnsi="仿宋" w:eastAsia="仿宋"/>
                <w:color w:val="auto"/>
                <w:kern w:val="0"/>
                <w:sz w:val="24"/>
                <w:highlight w:val="none"/>
              </w:rPr>
              <w:t>2.2.3</w:t>
            </w:r>
          </w:p>
        </w:tc>
        <w:tc>
          <w:tcPr>
            <w:tcW w:w="567" w:type="dxa"/>
            <w:vMerge w:val="restart"/>
            <w:tcBorders>
              <w:top w:val="single" w:color="auto" w:sz="4" w:space="0"/>
              <w:bottom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vMerge w:val="restart"/>
            <w:tcBorders>
              <w:top w:val="single" w:color="auto" w:sz="4" w:space="0"/>
              <w:bottom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技术部分F3（</w:t>
            </w:r>
            <w:r>
              <w:rPr>
                <w:rFonts w:hint="eastAsia" w:ascii="仿宋" w:hAnsi="仿宋" w:eastAsia="仿宋"/>
                <w:color w:val="auto"/>
                <w:kern w:val="0"/>
                <w:sz w:val="24"/>
                <w:highlight w:val="none"/>
                <w:lang w:val="en-US" w:eastAsia="zh-CN"/>
              </w:rPr>
              <w:t>50</w:t>
            </w:r>
            <w:r>
              <w:rPr>
                <w:rFonts w:hint="eastAsia" w:ascii="仿宋" w:hAnsi="仿宋" w:eastAsia="仿宋"/>
                <w:color w:val="auto"/>
                <w:kern w:val="0"/>
                <w:sz w:val="24"/>
                <w:highlight w:val="none"/>
              </w:rPr>
              <w:t>分）</w:t>
            </w:r>
          </w:p>
        </w:tc>
        <w:tc>
          <w:tcPr>
            <w:tcW w:w="1311" w:type="dxa"/>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r>
              <w:rPr>
                <w:rFonts w:hint="eastAsia" w:ascii="仿宋" w:hAnsi="仿宋" w:eastAsia="仿宋"/>
                <w:color w:val="auto"/>
                <w:kern w:val="0"/>
                <w:sz w:val="24"/>
                <w:highlight w:val="none"/>
              </w:rPr>
              <w:t>重要参数响应（</w:t>
            </w:r>
            <w:r>
              <w:rPr>
                <w:rFonts w:hint="eastAsia" w:ascii="仿宋" w:hAnsi="仿宋" w:eastAsia="仿宋"/>
                <w:color w:val="auto"/>
                <w:kern w:val="0"/>
                <w:sz w:val="24"/>
                <w:highlight w:val="none"/>
                <w:lang w:val="en-US" w:eastAsia="zh-CN"/>
              </w:rPr>
              <w:t>30</w:t>
            </w:r>
            <w:r>
              <w:rPr>
                <w:rFonts w:hint="eastAsia" w:ascii="仿宋" w:hAnsi="仿宋" w:eastAsia="仿宋"/>
                <w:color w:val="auto"/>
                <w:kern w:val="0"/>
                <w:sz w:val="24"/>
                <w:highlight w:val="none"/>
              </w:rPr>
              <w:t>分）</w:t>
            </w:r>
          </w:p>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4926" w:type="dxa"/>
            <w:tcBorders>
              <w:top w:val="single" w:color="auto" w:sz="4" w:space="0"/>
            </w:tcBorders>
            <w:shd w:val="clear" w:color="auto" w:fill="auto"/>
          </w:tcPr>
          <w:p>
            <w:pPr>
              <w:keepNext w:val="0"/>
              <w:keepLines w:val="0"/>
              <w:pageBreakBefore w:val="0"/>
              <w:widowControl w:val="0"/>
              <w:kinsoku/>
              <w:wordWrap w:val="0"/>
              <w:overflowPunct/>
              <w:topLinePunct/>
              <w:autoSpaceDE/>
              <w:autoSpaceDN/>
              <w:bidi w:val="0"/>
              <w:adjustRightInd/>
              <w:snapToGrid/>
              <w:spacing w:line="400" w:lineRule="exact"/>
              <w:rPr>
                <w:rFonts w:hint="eastAsia" w:ascii="仿宋" w:hAnsi="仿宋" w:eastAsia="仿宋" w:cs="仿宋"/>
                <w:b/>
                <w:bCs/>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一、技术参数指标响应评审：</w:t>
            </w:r>
          </w:p>
          <w:p>
            <w:pPr>
              <w:keepNext w:val="0"/>
              <w:keepLines w:val="0"/>
              <w:pageBreakBefore w:val="0"/>
              <w:widowControl w:val="0"/>
              <w:kinsoku/>
              <w:wordWrap w:val="0"/>
              <w:overflowPunct/>
              <w:topLinePunct/>
              <w:autoSpaceDE/>
              <w:autoSpaceDN/>
              <w:bidi w:val="0"/>
              <w:adjustRightInd/>
              <w:snapToGrid/>
              <w:spacing w:line="40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根据招标文件第</w:t>
            </w:r>
            <w:r>
              <w:rPr>
                <w:rFonts w:hint="eastAsia" w:ascii="仿宋" w:hAnsi="仿宋" w:eastAsia="仿宋" w:cs="仿宋"/>
                <w:bCs/>
                <w:color w:val="auto"/>
                <w:sz w:val="24"/>
                <w:szCs w:val="24"/>
                <w:highlight w:val="none"/>
                <w:lang w:eastAsia="zh-CN"/>
              </w:rPr>
              <w:t>三</w:t>
            </w:r>
            <w:r>
              <w:rPr>
                <w:rFonts w:hint="eastAsia" w:ascii="仿宋" w:hAnsi="仿宋" w:eastAsia="仿宋" w:cs="仿宋"/>
                <w:bCs/>
                <w:color w:val="auto"/>
                <w:sz w:val="24"/>
                <w:szCs w:val="24"/>
                <w:highlight w:val="none"/>
              </w:rPr>
              <w:t>章</w:t>
            </w:r>
            <w:r>
              <w:rPr>
                <w:rFonts w:hint="eastAsia" w:ascii="仿宋" w:hAnsi="仿宋" w:eastAsia="仿宋" w:cs="仿宋"/>
                <w:bCs/>
                <w:color w:val="auto"/>
                <w:sz w:val="24"/>
                <w:szCs w:val="24"/>
                <w:highlight w:val="none"/>
                <w:lang w:val="en-US" w:eastAsia="zh-CN"/>
              </w:rPr>
              <w:t xml:space="preserve"> </w:t>
            </w:r>
            <w:r>
              <w:rPr>
                <w:rFonts w:hint="eastAsia" w:ascii="仿宋" w:hAnsi="仿宋" w:eastAsia="仿宋" w:cs="仿宋"/>
                <w:bCs/>
                <w:color w:val="auto"/>
                <w:sz w:val="24"/>
                <w:szCs w:val="24"/>
                <w:highlight w:val="none"/>
              </w:rPr>
              <w:t>技术规格、参数与要求的技术</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参数</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内容进行评审：</w:t>
            </w:r>
          </w:p>
          <w:p>
            <w:pPr>
              <w:keepNext w:val="0"/>
              <w:keepLines w:val="0"/>
              <w:pageBreakBefore w:val="0"/>
              <w:widowControl w:val="0"/>
              <w:kinsoku/>
              <w:wordWrap w:val="0"/>
              <w:overflowPunct/>
              <w:topLinePunct/>
              <w:autoSpaceDE/>
              <w:autoSpaceDN/>
              <w:bidi w:val="0"/>
              <w:adjustRightInd/>
              <w:snapToGrid/>
              <w:spacing w:line="400" w:lineRule="exact"/>
              <w:rPr>
                <w:rFonts w:hint="default"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二、评审内容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400" w:lineRule="exact"/>
              <w:ind w:left="0" w:right="0" w:rightChars="0"/>
              <w:jc w:val="both"/>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1.重要技术参数（24分）</w:t>
            </w:r>
          </w:p>
          <w:p>
            <w:pPr>
              <w:keepNext w:val="0"/>
              <w:keepLines w:val="0"/>
              <w:pageBreakBefore w:val="0"/>
              <w:kinsoku/>
              <w:overflowPunct/>
              <w:autoSpaceDE/>
              <w:autoSpaceDN/>
              <w:bidi w:val="0"/>
              <w:adjustRightInd/>
              <w:snapToGrid/>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招标文件标注</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符号的重要</w:t>
            </w:r>
            <w:r>
              <w:rPr>
                <w:rFonts w:hint="eastAsia" w:ascii="仿宋" w:hAnsi="仿宋" w:eastAsia="仿宋" w:cs="仿宋"/>
                <w:color w:val="auto"/>
                <w:sz w:val="24"/>
                <w:highlight w:val="none"/>
              </w:rPr>
              <w:t>参数</w:t>
            </w:r>
            <w:r>
              <w:rPr>
                <w:rFonts w:hint="eastAsia" w:ascii="仿宋" w:hAnsi="仿宋" w:eastAsia="仿宋" w:cs="仿宋"/>
                <w:color w:val="auto"/>
                <w:sz w:val="24"/>
                <w:highlight w:val="none"/>
                <w:lang w:eastAsia="zh-CN"/>
              </w:rPr>
              <w:t>（共</w:t>
            </w:r>
            <w:r>
              <w:rPr>
                <w:rFonts w:hint="eastAsia" w:ascii="仿宋" w:hAnsi="仿宋" w:eastAsia="仿宋" w:cs="仿宋"/>
                <w:color w:val="auto"/>
                <w:sz w:val="24"/>
                <w:highlight w:val="none"/>
              </w:rPr>
              <w:t>为重要参数</w:t>
            </w:r>
            <w:r>
              <w:rPr>
                <w:rFonts w:hint="eastAsia" w:ascii="仿宋" w:hAnsi="仿宋" w:eastAsia="仿宋" w:cs="仿宋"/>
                <w:color w:val="auto"/>
                <w:sz w:val="24"/>
                <w:highlight w:val="none"/>
                <w:lang w:val="en-US" w:eastAsia="zh-CN"/>
              </w:rPr>
              <w:t>8条）</w:t>
            </w:r>
            <w:r>
              <w:rPr>
                <w:rFonts w:hint="eastAsia" w:ascii="仿宋" w:hAnsi="仿宋" w:eastAsia="仿宋" w:cs="仿宋"/>
                <w:color w:val="auto"/>
                <w:sz w:val="24"/>
                <w:highlight w:val="none"/>
              </w:rPr>
              <w:t>，</w:t>
            </w:r>
            <w:r>
              <w:rPr>
                <w:rFonts w:hint="eastAsia" w:ascii="仿宋" w:hAnsi="仿宋" w:eastAsia="仿宋" w:cs="仿宋"/>
                <w:b w:val="0"/>
                <w:bCs/>
                <w:color w:val="auto"/>
                <w:sz w:val="24"/>
                <w:szCs w:val="24"/>
                <w:highlight w:val="none"/>
                <w:lang w:val="en-US" w:eastAsia="zh-CN"/>
              </w:rPr>
              <w:t>投标产品每满足或优于1条技术参数且提供有效技术支持资料佐证得3分；本项最高得24分。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2.一般技术条款（满分4分）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招标文件未标注符号的一般技术参数（共计10条）</w:t>
            </w:r>
            <w:r>
              <w:rPr>
                <w:rFonts w:hint="eastAsia" w:ascii="仿宋" w:hAnsi="仿宋" w:eastAsia="仿宋" w:cs="仿宋"/>
                <w:b/>
                <w:bCs w:val="0"/>
                <w:color w:val="auto"/>
                <w:sz w:val="24"/>
                <w:szCs w:val="24"/>
                <w:highlight w:val="none"/>
                <w:lang w:val="en-US" w:eastAsia="zh-CN"/>
              </w:rPr>
              <w:t>，</w:t>
            </w:r>
            <w:r>
              <w:rPr>
                <w:rFonts w:hint="eastAsia" w:ascii="仿宋" w:hAnsi="仿宋" w:eastAsia="仿宋" w:cs="仿宋"/>
                <w:b w:val="0"/>
                <w:bCs/>
                <w:color w:val="auto"/>
                <w:sz w:val="24"/>
                <w:szCs w:val="24"/>
                <w:highlight w:val="none"/>
                <w:lang w:val="en-US" w:eastAsia="zh-CN"/>
              </w:rPr>
              <w:t>每有一条负偏离扣0.4分，分数扣完为止。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3.节能环保响应（满分2分）</w:t>
            </w:r>
          </w:p>
          <w:p>
            <w:pPr>
              <w:keepNext w:val="0"/>
              <w:keepLines w:val="0"/>
              <w:pageBreakBefore w:val="0"/>
              <w:kinsoku/>
              <w:overflowPunct/>
              <w:autoSpaceDE/>
              <w:autoSpaceDN/>
              <w:bidi w:val="0"/>
              <w:adjustRightInd/>
              <w:snapToGrid/>
              <w:spacing w:line="400" w:lineRule="exact"/>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所投产品列入《节能产品政府采购品目清单》《环境标志产品政府采购品目清单》，且提供国家相关部门出具的证明材料的，每项加1分，最多加2分；未列入的，得0分。</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eastAsia="zh-CN"/>
              </w:rPr>
              <w:t>三、</w:t>
            </w:r>
            <w:r>
              <w:rPr>
                <w:rFonts w:hint="eastAsia" w:ascii="仿宋" w:hAnsi="仿宋" w:eastAsia="仿宋" w:cs="仿宋"/>
                <w:b/>
                <w:bCs w:val="0"/>
                <w:color w:val="auto"/>
                <w:sz w:val="24"/>
                <w:szCs w:val="24"/>
                <w:highlight w:val="none"/>
              </w:rPr>
              <w:t>技术条款负偏离</w:t>
            </w:r>
            <w:r>
              <w:rPr>
                <w:rFonts w:hint="eastAsia" w:ascii="仿宋" w:hAnsi="仿宋" w:eastAsia="仿宋" w:cs="仿宋"/>
                <w:b/>
                <w:bCs w:val="0"/>
                <w:color w:val="auto"/>
                <w:sz w:val="24"/>
                <w:szCs w:val="24"/>
                <w:highlight w:val="none"/>
                <w:lang w:val="en-US" w:eastAsia="zh-CN"/>
              </w:rPr>
              <w:t>判定标准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3.1产品技术参数</w:t>
            </w:r>
            <w:r>
              <w:rPr>
                <w:rFonts w:hint="eastAsia" w:ascii="仿宋" w:hAnsi="仿宋" w:eastAsia="仿宋" w:cs="仿宋"/>
                <w:b/>
                <w:bCs w:val="0"/>
                <w:color w:val="auto"/>
                <w:sz w:val="24"/>
                <w:szCs w:val="24"/>
                <w:highlight w:val="none"/>
                <w:lang w:val="en-US" w:eastAsia="zh-CN"/>
              </w:rPr>
              <w:t>低于</w:t>
            </w:r>
            <w:r>
              <w:rPr>
                <w:rFonts w:hint="eastAsia" w:ascii="仿宋" w:hAnsi="仿宋" w:eastAsia="仿宋" w:cs="仿宋"/>
                <w:bCs/>
                <w:color w:val="auto"/>
                <w:sz w:val="24"/>
                <w:szCs w:val="24"/>
                <w:highlight w:val="none"/>
                <w:lang w:val="en-US" w:eastAsia="zh-CN"/>
              </w:rPr>
              <w:t>招标文件要求，或存在缺项、漏项的，视为负偏离；</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3.2《采购需求偏离表》响应内容与技术支持资料不一致的，</w:t>
            </w:r>
            <w:r>
              <w:rPr>
                <w:rFonts w:hint="eastAsia" w:ascii="仿宋" w:hAnsi="仿宋" w:eastAsia="仿宋" w:cs="仿宋"/>
                <w:b/>
                <w:bCs w:val="0"/>
                <w:color w:val="auto"/>
                <w:sz w:val="24"/>
                <w:szCs w:val="24"/>
                <w:highlight w:val="none"/>
                <w:lang w:val="en-US" w:eastAsia="zh-CN"/>
              </w:rPr>
              <w:t>以技术支持资料为准</w:t>
            </w:r>
            <w:r>
              <w:rPr>
                <w:rFonts w:hint="eastAsia" w:ascii="仿宋" w:hAnsi="仿宋" w:eastAsia="仿宋" w:cs="仿宋"/>
                <w:bCs/>
                <w:color w:val="auto"/>
                <w:sz w:val="24"/>
                <w:szCs w:val="24"/>
                <w:highlight w:val="none"/>
                <w:lang w:val="en-US" w:eastAsia="zh-CN"/>
              </w:rPr>
              <w:t>；资料显示不满足招标文件要求的，视为负偏离；</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3.3对</w:t>
            </w:r>
            <w:r>
              <w:rPr>
                <w:rFonts w:hint="eastAsia" w:ascii="仿宋" w:hAnsi="仿宋" w:eastAsia="仿宋" w:cs="仿宋"/>
                <w:b/>
                <w:bCs w:val="0"/>
                <w:color w:val="auto"/>
                <w:sz w:val="24"/>
                <w:szCs w:val="24"/>
                <w:highlight w:val="none"/>
                <w:lang w:val="en-US" w:eastAsia="zh-CN"/>
              </w:rPr>
              <w:t>标注▲的重要技术参数：</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若仅复制招标文件参数，未提供有效技术支持资料证明产品实际能达到该指标的，视为未实质性响应，按负偏离处理；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能提供有效佐证材料的，认定为无偏离。</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 xml:space="preserve">3.4 </w:t>
            </w:r>
            <w:r>
              <w:rPr>
                <w:rFonts w:hint="eastAsia" w:ascii="仿宋" w:hAnsi="仿宋" w:eastAsia="仿宋" w:cs="仿宋"/>
                <w:b/>
                <w:bCs w:val="0"/>
                <w:color w:val="auto"/>
                <w:sz w:val="24"/>
                <w:szCs w:val="24"/>
                <w:highlight w:val="none"/>
                <w:lang w:val="en-US" w:eastAsia="zh-CN"/>
              </w:rPr>
              <w:t>对一般技术参数：</w:t>
            </w:r>
          </w:p>
          <w:p>
            <w:pPr>
              <w:pStyle w:val="13"/>
              <w:keepNext w:val="0"/>
              <w:keepLines w:val="0"/>
              <w:pageBreakBefore w:val="0"/>
              <w:kinsoku/>
              <w:overflowPunct/>
              <w:autoSpaceDE/>
              <w:autoSpaceDN/>
              <w:bidi w:val="0"/>
              <w:adjustRightInd/>
              <w:snapToGrid/>
              <w:spacing w:line="400" w:lineRule="exact"/>
              <w:rPr>
                <w:rFonts w:hint="eastAsia"/>
                <w:color w:val="auto"/>
                <w:highlight w:val="none"/>
              </w:rPr>
            </w:pPr>
            <w:r>
              <w:rPr>
                <w:rFonts w:hint="eastAsia" w:ascii="仿宋" w:hAnsi="仿宋" w:eastAsia="仿宋" w:cs="仿宋"/>
                <w:bCs/>
                <w:color w:val="auto"/>
                <w:sz w:val="24"/>
                <w:szCs w:val="24"/>
                <w:highlight w:val="none"/>
                <w:lang w:val="en-US" w:eastAsia="zh-CN"/>
              </w:rPr>
              <w:t>无需逐条提供技术资料，投标人在《采购需求偏离表》中点对点明确应答（无偏离/正偏离/负偏离及具体偏差值）即可，评审以应答内容为准。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816" w:type="dxa"/>
            <w:vMerge w:val="continue"/>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567" w:type="dxa"/>
            <w:vMerge w:val="continue"/>
            <w:tcBorders>
              <w:top w:val="single" w:color="auto" w:sz="4" w:space="0"/>
              <w:bottom w:val="single" w:color="auto" w:sz="4" w:space="0"/>
            </w:tcBorders>
            <w:shd w:val="clear" w:color="auto" w:fill="auto"/>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701" w:type="dxa"/>
            <w:vMerge w:val="continue"/>
            <w:tcBorders>
              <w:top w:val="single" w:color="auto" w:sz="4" w:space="0"/>
              <w:bottom w:val="single" w:color="auto" w:sz="4" w:space="0"/>
            </w:tcBorders>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olor w:val="auto"/>
                <w:kern w:val="0"/>
                <w:sz w:val="24"/>
                <w:highlight w:val="none"/>
              </w:rPr>
            </w:pPr>
          </w:p>
        </w:tc>
        <w:tc>
          <w:tcPr>
            <w:tcW w:w="1311" w:type="dxa"/>
            <w:shd w:val="clear" w:color="auto" w:fill="auto"/>
            <w:vAlign w:val="center"/>
          </w:tcPr>
          <w:p>
            <w:pPr>
              <w:keepNext w:val="0"/>
              <w:keepLines w:val="0"/>
              <w:pageBreakBefore w:val="0"/>
              <w:kinsoku/>
              <w:overflowPunct/>
              <w:autoSpaceDE/>
              <w:autoSpaceDN/>
              <w:bidi w:val="0"/>
              <w:adjustRightInd/>
              <w:snapToGrid/>
              <w:spacing w:line="400" w:lineRule="exact"/>
              <w:textAlignment w:val="bottom"/>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项目</w:t>
            </w:r>
            <w:r>
              <w:rPr>
                <w:rFonts w:hint="eastAsia" w:ascii="仿宋" w:hAnsi="仿宋" w:eastAsia="仿宋" w:cs="仿宋"/>
                <w:color w:val="auto"/>
                <w:sz w:val="24"/>
                <w:highlight w:val="none"/>
              </w:rPr>
              <w:t>实施方案（</w:t>
            </w:r>
            <w:r>
              <w:rPr>
                <w:rFonts w:hint="eastAsia" w:ascii="仿宋" w:hAnsi="仿宋" w:eastAsia="仿宋" w:cs="仿宋"/>
                <w:color w:val="auto"/>
                <w:sz w:val="24"/>
                <w:highlight w:val="none"/>
                <w:lang w:val="en-US" w:eastAsia="zh-CN"/>
              </w:rPr>
              <w:t>20</w:t>
            </w:r>
            <w:r>
              <w:rPr>
                <w:rFonts w:hint="eastAsia" w:ascii="仿宋" w:hAnsi="仿宋" w:eastAsia="仿宋" w:cs="仿宋"/>
                <w:color w:val="auto"/>
                <w:sz w:val="24"/>
                <w:highlight w:val="none"/>
              </w:rPr>
              <w:t>分）</w:t>
            </w:r>
          </w:p>
        </w:tc>
        <w:tc>
          <w:tcPr>
            <w:tcW w:w="4926" w:type="dxa"/>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为保障本项目高效落地、精准达成建设目标，要求实施方案充分贴合学校实际需求，严格把控项目</w:t>
            </w:r>
            <w:r>
              <w:rPr>
                <w:rFonts w:hint="eastAsia" w:ascii="仿宋" w:hAnsi="仿宋" w:eastAsia="仿宋" w:cs="仿宋"/>
                <w:color w:val="auto"/>
                <w:sz w:val="24"/>
                <w:highlight w:val="none"/>
              </w:rPr>
              <w:t>实施方案（包括但不限于：设备来源渠道及供货计划、安装调试实施方案、整体进度控制方案、项目实施人员安排方案）进行评审</w:t>
            </w:r>
            <w:r>
              <w:rPr>
                <w:rFonts w:hint="eastAsia" w:ascii="仿宋" w:hAnsi="仿宋" w:eastAsia="仿宋" w:cs="仿宋"/>
                <w:bCs/>
                <w:color w:val="auto"/>
                <w:kern w:val="2"/>
                <w:sz w:val="24"/>
                <w:szCs w:val="24"/>
                <w:highlight w:val="none"/>
                <w:lang w:val="en-US" w:eastAsia="zh-CN" w:bidi="ar-SA"/>
              </w:rPr>
              <w:t>。</w:t>
            </w:r>
            <w:r>
              <w:rPr>
                <w:rFonts w:hint="eastAsia" w:ascii="仿宋" w:hAnsi="仿宋" w:eastAsia="仿宋" w:cs="仿宋"/>
                <w:bCs/>
                <w:color w:val="auto"/>
                <w:kern w:val="2"/>
                <w:sz w:val="24"/>
                <w:szCs w:val="24"/>
                <w:highlight w:val="none"/>
                <w:lang w:val="en-US" w:eastAsia="zh-CN" w:bidi="ar-SA"/>
              </w:rPr>
              <w:t>评标委员会将对投标人提交的实施方案进行综合评审。</w:t>
            </w:r>
          </w:p>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default"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第一档次（20分）：对设备来源渠道及供货计划、安装调试实施方案、整体进度控制方案、项目实施人员安排方案等理解准确、分析透彻，能结合学校实际深入阐述；</w:t>
            </w:r>
          </w:p>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第二档次（12分）：对对设备来源渠道及供货计划、安装调试实施方案、整体进度控制方案、项目实施人员安排方案等理解较准确，分析较为全面；</w:t>
            </w:r>
          </w:p>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第三档次（6分）：对对设备来源渠道及供货计划、安装调试实施方案、整体进度控制方案、项目实施人员安排方案等有基本理解，分析不够深入；</w:t>
            </w:r>
          </w:p>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仿宋" w:hAnsi="仿宋" w:eastAsia="仿宋" w:cs="仿宋"/>
                <w:color w:val="auto"/>
                <w:sz w:val="24"/>
                <w:highlight w:val="none"/>
              </w:rPr>
            </w:pPr>
            <w:r>
              <w:rPr>
                <w:rFonts w:hint="eastAsia" w:ascii="仿宋" w:hAnsi="仿宋" w:eastAsia="仿宋" w:cs="仿宋"/>
                <w:bCs/>
                <w:color w:val="auto"/>
                <w:kern w:val="2"/>
                <w:sz w:val="24"/>
                <w:szCs w:val="24"/>
                <w:highlight w:val="none"/>
                <w:lang w:val="en-US" w:eastAsia="zh-CN" w:bidi="ar-SA"/>
              </w:rPr>
              <w:t>第四档次（2分）：未提供相关内容或完全不符合要求。</w:t>
            </w:r>
          </w:p>
        </w:tc>
      </w:tr>
    </w:tbl>
    <w:p>
      <w:pPr>
        <w:rPr>
          <w:rFonts w:hint="eastAsia" w:ascii="仿宋" w:hAnsi="仿宋" w:eastAsia="仿宋"/>
          <w:color w:val="auto"/>
          <w:sz w:val="28"/>
          <w:szCs w:val="28"/>
          <w:highlight w:val="none"/>
        </w:rPr>
      </w:pPr>
      <w:bookmarkStart w:id="207" w:name="_Toc19784_WPSOffice_Level2"/>
      <w:bookmarkStart w:id="208" w:name="_Toc11788_WPSOffice_Level3"/>
      <w:bookmarkStart w:id="209" w:name="_Toc9044"/>
      <w:bookmarkStart w:id="210" w:name="_Toc468805876"/>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评标方法</w:t>
      </w:r>
      <w:bookmarkEnd w:id="207"/>
      <w:bookmarkEnd w:id="208"/>
      <w:bookmarkEnd w:id="209"/>
      <w:bookmarkEnd w:id="210"/>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本次评标采用综合评分法。评标委员会对通过资格审查、符合性审查的投标文件，按照本章第</w:t>
      </w:r>
      <w:r>
        <w:rPr>
          <w:rFonts w:ascii="仿宋" w:hAnsi="仿宋" w:eastAsia="仿宋"/>
          <w:color w:val="auto"/>
          <w:sz w:val="28"/>
          <w:szCs w:val="28"/>
          <w:highlight w:val="none"/>
        </w:rPr>
        <w:t xml:space="preserve">2.2 </w:t>
      </w:r>
      <w:r>
        <w:rPr>
          <w:rFonts w:hint="eastAsia" w:ascii="仿宋" w:hAnsi="仿宋" w:eastAsia="仿宋"/>
          <w:color w:val="auto"/>
          <w:sz w:val="28"/>
          <w:szCs w:val="28"/>
          <w:highlight w:val="none"/>
        </w:rPr>
        <w:t>款规定的评分标准进行打分，并按得分由高到低顺序推荐中标候选人；得分相同的，按投标报价由低到高顺序排列。得分且投标报价相同的并列。投标文件满足招标文件全部实质性要求，且按照评审因素的量化指标评审得分最高的投标人为排名第一的中标候选人。</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11" w:name="_Toc468805877"/>
      <w:bookmarkStart w:id="212" w:name="_Toc14379"/>
      <w:bookmarkStart w:id="213" w:name="_Toc29700_WPSOffice_Level3"/>
      <w:bookmarkStart w:id="214" w:name="_Toc27224_WPSOffice_Level2"/>
      <w:r>
        <w:rPr>
          <w:rFonts w:ascii="仿宋" w:hAnsi="仿宋" w:eastAsia="仿宋"/>
          <w:color w:val="auto"/>
          <w:sz w:val="28"/>
          <w:szCs w:val="28"/>
          <w:highlight w:val="none"/>
        </w:rPr>
        <w:t>2</w:t>
      </w:r>
      <w:r>
        <w:rPr>
          <w:rFonts w:hint="eastAsia" w:ascii="仿宋" w:hAnsi="仿宋" w:eastAsia="仿宋"/>
          <w:color w:val="auto"/>
          <w:sz w:val="28"/>
          <w:szCs w:val="28"/>
          <w:highlight w:val="none"/>
        </w:rPr>
        <w:t>．评审标准</w:t>
      </w:r>
      <w:bookmarkEnd w:id="211"/>
      <w:bookmarkEnd w:id="212"/>
      <w:bookmarkEnd w:id="213"/>
      <w:bookmarkEnd w:id="214"/>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15" w:name="_Toc25712_WPSOffice_Level3"/>
      <w:r>
        <w:rPr>
          <w:rFonts w:ascii="仿宋" w:hAnsi="仿宋" w:eastAsia="仿宋"/>
          <w:color w:val="auto"/>
          <w:sz w:val="28"/>
          <w:szCs w:val="28"/>
          <w:highlight w:val="none"/>
        </w:rPr>
        <w:t xml:space="preserve">2.1 </w:t>
      </w:r>
      <w:r>
        <w:rPr>
          <w:rFonts w:hint="eastAsia" w:ascii="仿宋" w:hAnsi="仿宋" w:eastAsia="仿宋"/>
          <w:color w:val="auto"/>
          <w:sz w:val="28"/>
          <w:szCs w:val="28"/>
          <w:highlight w:val="none"/>
        </w:rPr>
        <w:t>符合性审查标准</w:t>
      </w:r>
      <w:bookmarkEnd w:id="215"/>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符合性审查标准：依据招标文件的规定，从投标文件的有效性、完整性和对招标文件的响应程度进行审查，以确定是否对招标文件的实质性要求作出响应；见评标办法前附表。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16" w:name="_Toc6863_WPSOffice_Level3"/>
      <w:bookmarkStart w:id="217" w:name="_Toc468805879"/>
      <w:r>
        <w:rPr>
          <w:rFonts w:ascii="仿宋" w:hAnsi="仿宋" w:eastAsia="仿宋"/>
          <w:color w:val="auto"/>
          <w:sz w:val="28"/>
          <w:szCs w:val="28"/>
          <w:highlight w:val="none"/>
        </w:rPr>
        <w:t xml:space="preserve">2.2 </w:t>
      </w:r>
      <w:r>
        <w:rPr>
          <w:rFonts w:hint="eastAsia" w:ascii="仿宋" w:hAnsi="仿宋" w:eastAsia="仿宋"/>
          <w:color w:val="auto"/>
          <w:sz w:val="28"/>
          <w:szCs w:val="28"/>
          <w:highlight w:val="none"/>
        </w:rPr>
        <w:t>分值构成与评分标准</w:t>
      </w:r>
      <w:bookmarkEnd w:id="216"/>
      <w:bookmarkEnd w:id="217"/>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2.2.1</w:t>
      </w:r>
      <w:r>
        <w:rPr>
          <w:rFonts w:hint="eastAsia" w:ascii="仿宋" w:hAnsi="仿宋" w:eastAsia="仿宋"/>
          <w:color w:val="auto"/>
          <w:sz w:val="28"/>
          <w:szCs w:val="28"/>
          <w:highlight w:val="none"/>
        </w:rPr>
        <w:t>分值构成</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）投标报价：见评标办法前附表；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（2）商务部分：见评标办法前附表；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）技术部分：见评标办法前附表。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2.2.2</w:t>
      </w:r>
      <w:r>
        <w:rPr>
          <w:rFonts w:hint="eastAsia" w:ascii="仿宋" w:hAnsi="仿宋" w:eastAsia="仿宋"/>
          <w:color w:val="auto"/>
          <w:sz w:val="28"/>
          <w:szCs w:val="28"/>
          <w:highlight w:val="none"/>
        </w:rPr>
        <w:t>评分标准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按招标文件中规定的评标方法和标准，对资格审查和符合性审查合格的投标文件进行商务和技术评估，综合比较与评价。</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）投标报价评分标准：见评标办法前附表；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（2）商务部分：见评标办法前附表；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）技术部分评分标准：见评标办法前附表。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2.2.3</w:t>
      </w:r>
      <w:r>
        <w:rPr>
          <w:rFonts w:hint="eastAsia" w:ascii="仿宋" w:hAnsi="仿宋" w:eastAsia="仿宋"/>
          <w:color w:val="auto"/>
          <w:sz w:val="28"/>
          <w:szCs w:val="28"/>
          <w:highlight w:val="none"/>
        </w:rPr>
        <w:t>评标基准价计算方法：见评标办法前附表。</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18" w:name="_Toc468805880"/>
      <w:bookmarkStart w:id="219" w:name="_Toc32004_WPSOffice_Level3"/>
      <w:bookmarkStart w:id="220" w:name="_Toc9155_WPSOffice_Level2"/>
      <w:bookmarkStart w:id="221" w:name="_Toc10863"/>
      <w:r>
        <w:rPr>
          <w:rFonts w:ascii="仿宋" w:hAnsi="仿宋" w:eastAsia="仿宋"/>
          <w:color w:val="auto"/>
          <w:sz w:val="28"/>
          <w:szCs w:val="28"/>
          <w:highlight w:val="none"/>
        </w:rPr>
        <w:t>3</w:t>
      </w:r>
      <w:r>
        <w:rPr>
          <w:rFonts w:hint="eastAsia" w:ascii="仿宋" w:hAnsi="仿宋" w:eastAsia="仿宋"/>
          <w:color w:val="auto"/>
          <w:sz w:val="28"/>
          <w:szCs w:val="28"/>
          <w:highlight w:val="none"/>
        </w:rPr>
        <w:t>．评标程序</w:t>
      </w:r>
      <w:bookmarkEnd w:id="218"/>
      <w:bookmarkEnd w:id="219"/>
      <w:bookmarkEnd w:id="220"/>
      <w:bookmarkEnd w:id="221"/>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2" w:name="_Toc10065_WPSOffice_Level3"/>
      <w:r>
        <w:rPr>
          <w:rFonts w:ascii="仿宋" w:hAnsi="仿宋" w:eastAsia="仿宋"/>
          <w:color w:val="auto"/>
          <w:sz w:val="28"/>
          <w:szCs w:val="28"/>
          <w:highlight w:val="none"/>
        </w:rPr>
        <w:t xml:space="preserve">3.1 </w:t>
      </w:r>
      <w:r>
        <w:rPr>
          <w:rFonts w:hint="eastAsia" w:ascii="仿宋" w:hAnsi="仿宋" w:eastAsia="仿宋"/>
          <w:color w:val="auto"/>
          <w:sz w:val="28"/>
          <w:szCs w:val="28"/>
          <w:highlight w:val="none"/>
        </w:rPr>
        <w:t>符合性审查</w:t>
      </w:r>
      <w:bookmarkEnd w:id="222"/>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评标委员会依据本章第</w:t>
      </w:r>
      <w:r>
        <w:rPr>
          <w:rFonts w:ascii="仿宋" w:hAnsi="仿宋" w:eastAsia="仿宋"/>
          <w:color w:val="auto"/>
          <w:sz w:val="28"/>
          <w:szCs w:val="28"/>
          <w:highlight w:val="none"/>
        </w:rPr>
        <w:t>2.1</w:t>
      </w:r>
      <w:r>
        <w:rPr>
          <w:rFonts w:hint="eastAsia" w:ascii="仿宋" w:hAnsi="仿宋" w:eastAsia="仿宋"/>
          <w:color w:val="auto"/>
          <w:sz w:val="28"/>
          <w:szCs w:val="28"/>
          <w:highlight w:val="none"/>
        </w:rPr>
        <w:t>项规定的标准对资格审查合格的投标文件进行符合性审查。有一项不符合评审标准的，投标无效。</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提供相同品牌产品（核心产品）且通过资格审查、符合性审查的不同投标人参加同一合同项下投标的，按一家投标人计算，评审后得分最高的同品牌投标人获得中标人推荐资格；评审得分相同的，按照最有利于采购人利益的原则，由评标委员会综合评定后确定一个投标人获得中标人推荐资格，其他同品牌投标人不作为中标候选人。</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3" w:name="_Toc468805882"/>
      <w:bookmarkStart w:id="224" w:name="_Toc22745_WPSOffice_Level3"/>
      <w:r>
        <w:rPr>
          <w:rFonts w:ascii="仿宋" w:hAnsi="仿宋" w:eastAsia="仿宋"/>
          <w:color w:val="auto"/>
          <w:sz w:val="28"/>
          <w:szCs w:val="28"/>
          <w:highlight w:val="none"/>
        </w:rPr>
        <w:t>3.2</w:t>
      </w:r>
      <w:bookmarkEnd w:id="223"/>
      <w:r>
        <w:rPr>
          <w:rFonts w:hint="eastAsia" w:ascii="仿宋" w:hAnsi="仿宋" w:eastAsia="仿宋"/>
          <w:color w:val="auto"/>
          <w:sz w:val="28"/>
          <w:szCs w:val="28"/>
          <w:highlight w:val="none"/>
        </w:rPr>
        <w:t>商务和技术评估，综合比较与评价</w:t>
      </w:r>
      <w:bookmarkEnd w:id="224"/>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3.2.1 </w:t>
      </w:r>
      <w:r>
        <w:rPr>
          <w:rFonts w:hint="eastAsia" w:ascii="仿宋" w:hAnsi="仿宋" w:eastAsia="仿宋"/>
          <w:color w:val="auto"/>
          <w:sz w:val="28"/>
          <w:szCs w:val="28"/>
          <w:highlight w:val="none"/>
        </w:rPr>
        <w:t>评标委员会按本章第</w:t>
      </w:r>
      <w:r>
        <w:rPr>
          <w:rFonts w:ascii="仿宋" w:hAnsi="仿宋" w:eastAsia="仿宋"/>
          <w:color w:val="auto"/>
          <w:sz w:val="28"/>
          <w:szCs w:val="28"/>
          <w:highlight w:val="none"/>
        </w:rPr>
        <w:t>2.2</w:t>
      </w:r>
      <w:r>
        <w:rPr>
          <w:rFonts w:hint="eastAsia" w:ascii="仿宋" w:hAnsi="仿宋" w:eastAsia="仿宋"/>
          <w:color w:val="auto"/>
          <w:sz w:val="28"/>
          <w:szCs w:val="28"/>
          <w:highlight w:val="none"/>
        </w:rPr>
        <w:t>款规定的量化因素和分值进行打分，并计算出投标人的评标总得分。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5" w:name="_Toc468805883"/>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）按本章第</w:t>
      </w:r>
      <w:r>
        <w:rPr>
          <w:rFonts w:ascii="仿宋" w:hAnsi="仿宋" w:eastAsia="仿宋"/>
          <w:color w:val="auto"/>
          <w:sz w:val="28"/>
          <w:szCs w:val="28"/>
          <w:highlight w:val="none"/>
        </w:rPr>
        <w:t>2.2.</w:t>
      </w:r>
      <w:r>
        <w:rPr>
          <w:rFonts w:hint="eastAsia" w:ascii="仿宋" w:hAnsi="仿宋" w:eastAsia="仿宋"/>
          <w:color w:val="auto"/>
          <w:sz w:val="28"/>
          <w:szCs w:val="28"/>
          <w:highlight w:val="none"/>
        </w:rPr>
        <w:t>1规定的评审因素和分值对投标报价计算出得分</w:t>
      </w:r>
      <w:r>
        <w:rPr>
          <w:rFonts w:ascii="仿宋" w:hAnsi="仿宋" w:eastAsia="仿宋"/>
          <w:color w:val="auto"/>
          <w:sz w:val="28"/>
          <w:szCs w:val="28"/>
          <w:highlight w:val="none"/>
        </w:rPr>
        <w:t>F1</w:t>
      </w:r>
      <w:r>
        <w:rPr>
          <w:rFonts w:hint="eastAsia" w:ascii="仿宋" w:hAnsi="仿宋" w:eastAsia="仿宋"/>
          <w:color w:val="auto"/>
          <w:sz w:val="28"/>
          <w:szCs w:val="28"/>
          <w:highlight w:val="none"/>
        </w:rPr>
        <w:t>，并计算投标报价评分分值；</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）按本章第</w:t>
      </w:r>
      <w:r>
        <w:rPr>
          <w:rFonts w:ascii="仿宋" w:hAnsi="仿宋" w:eastAsia="仿宋"/>
          <w:color w:val="auto"/>
          <w:sz w:val="28"/>
          <w:szCs w:val="28"/>
          <w:highlight w:val="none"/>
        </w:rPr>
        <w:t>2.2.2</w:t>
      </w:r>
      <w:r>
        <w:rPr>
          <w:rFonts w:hint="eastAsia" w:ascii="仿宋" w:hAnsi="仿宋" w:eastAsia="仿宋"/>
          <w:color w:val="auto"/>
          <w:sz w:val="28"/>
          <w:szCs w:val="28"/>
          <w:highlight w:val="none"/>
        </w:rPr>
        <w:t>规定的评审因素和分值对商务部分计算出得分</w:t>
      </w:r>
      <w:r>
        <w:rPr>
          <w:rFonts w:ascii="仿宋" w:hAnsi="仿宋" w:eastAsia="仿宋"/>
          <w:color w:val="auto"/>
          <w:sz w:val="28"/>
          <w:szCs w:val="28"/>
          <w:highlight w:val="none"/>
        </w:rPr>
        <w:t>F2</w:t>
      </w:r>
      <w:r>
        <w:rPr>
          <w:rFonts w:hint="eastAsia" w:ascii="仿宋" w:hAnsi="仿宋" w:eastAsia="仿宋"/>
          <w:color w:val="auto"/>
          <w:sz w:val="28"/>
          <w:szCs w:val="28"/>
          <w:highlight w:val="none"/>
        </w:rPr>
        <w:t>；</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3</w:t>
      </w:r>
      <w:r>
        <w:rPr>
          <w:rFonts w:hint="eastAsia" w:ascii="仿宋" w:hAnsi="仿宋" w:eastAsia="仿宋"/>
          <w:color w:val="auto"/>
          <w:sz w:val="28"/>
          <w:szCs w:val="28"/>
          <w:highlight w:val="none"/>
        </w:rPr>
        <w:t>）按本章第</w:t>
      </w:r>
      <w:r>
        <w:rPr>
          <w:rFonts w:ascii="仿宋" w:hAnsi="仿宋" w:eastAsia="仿宋"/>
          <w:color w:val="auto"/>
          <w:sz w:val="28"/>
          <w:szCs w:val="28"/>
          <w:highlight w:val="none"/>
        </w:rPr>
        <w:t>2.2.</w:t>
      </w:r>
      <w:r>
        <w:rPr>
          <w:rFonts w:hint="eastAsia" w:ascii="仿宋" w:hAnsi="仿宋" w:eastAsia="仿宋"/>
          <w:color w:val="auto"/>
          <w:sz w:val="28"/>
          <w:szCs w:val="28"/>
          <w:highlight w:val="none"/>
        </w:rPr>
        <w:t>3规定的评审因素和分值对技术部分计算出得分</w:t>
      </w:r>
      <w:r>
        <w:rPr>
          <w:rFonts w:ascii="仿宋" w:hAnsi="仿宋" w:eastAsia="仿宋"/>
          <w:color w:val="auto"/>
          <w:sz w:val="28"/>
          <w:szCs w:val="28"/>
          <w:highlight w:val="none"/>
        </w:rPr>
        <w:t>F3</w:t>
      </w:r>
      <w:r>
        <w:rPr>
          <w:rFonts w:hint="eastAsia" w:ascii="仿宋" w:hAnsi="仿宋" w:eastAsia="仿宋"/>
          <w:color w:val="auto"/>
          <w:sz w:val="28"/>
          <w:szCs w:val="28"/>
          <w:highlight w:val="none"/>
        </w:rPr>
        <w:t>；</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4</w:t>
      </w:r>
      <w:r>
        <w:rPr>
          <w:rFonts w:hint="eastAsia" w:ascii="仿宋" w:hAnsi="仿宋" w:eastAsia="仿宋"/>
          <w:color w:val="auto"/>
          <w:sz w:val="28"/>
          <w:szCs w:val="28"/>
          <w:highlight w:val="none"/>
        </w:rPr>
        <w:t>）按本章第</w:t>
      </w:r>
      <w:r>
        <w:rPr>
          <w:rFonts w:ascii="仿宋" w:hAnsi="仿宋" w:eastAsia="仿宋"/>
          <w:color w:val="auto"/>
          <w:sz w:val="28"/>
          <w:szCs w:val="28"/>
          <w:highlight w:val="none"/>
        </w:rPr>
        <w:t>2.2</w:t>
      </w:r>
      <w:r>
        <w:rPr>
          <w:rFonts w:hint="eastAsia" w:ascii="仿宋" w:hAnsi="仿宋" w:eastAsia="仿宋"/>
          <w:color w:val="auto"/>
          <w:sz w:val="28"/>
          <w:szCs w:val="28"/>
          <w:highlight w:val="none"/>
        </w:rPr>
        <w:t>所列公式计算评标总得分。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3.2.2</w:t>
      </w:r>
      <w:r>
        <w:rPr>
          <w:rFonts w:hint="eastAsia" w:ascii="仿宋" w:hAnsi="仿宋" w:eastAsia="仿宋"/>
          <w:color w:val="auto"/>
          <w:sz w:val="28"/>
          <w:szCs w:val="28"/>
          <w:highlight w:val="none"/>
        </w:rPr>
        <w:t>商务部分（</w:t>
      </w:r>
      <w:r>
        <w:rPr>
          <w:rFonts w:ascii="仿宋" w:hAnsi="仿宋" w:eastAsia="仿宋"/>
          <w:color w:val="auto"/>
          <w:sz w:val="28"/>
          <w:szCs w:val="28"/>
          <w:highlight w:val="none"/>
        </w:rPr>
        <w:t>F</w:t>
      </w:r>
      <w:r>
        <w:rPr>
          <w:rFonts w:hint="eastAsia" w:ascii="仿宋" w:hAnsi="仿宋" w:eastAsia="仿宋"/>
          <w:color w:val="auto"/>
          <w:sz w:val="28"/>
          <w:szCs w:val="28"/>
          <w:highlight w:val="none"/>
        </w:rPr>
        <w:t>2）和技术部分（</w:t>
      </w:r>
      <w:r>
        <w:rPr>
          <w:rFonts w:ascii="仿宋" w:hAnsi="仿宋" w:eastAsia="仿宋"/>
          <w:color w:val="auto"/>
          <w:sz w:val="28"/>
          <w:szCs w:val="28"/>
          <w:highlight w:val="none"/>
        </w:rPr>
        <w:t>F</w:t>
      </w:r>
      <w:r>
        <w:rPr>
          <w:rFonts w:hint="eastAsia" w:ascii="仿宋" w:hAnsi="仿宋" w:eastAsia="仿宋"/>
          <w:color w:val="auto"/>
          <w:sz w:val="28"/>
          <w:szCs w:val="28"/>
          <w:highlight w:val="none"/>
        </w:rPr>
        <w:t>3）得分由评标委员会成员独立评分，计算各投标人得分的算术平均值计入各投标人总分。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3.2.3</w:t>
      </w:r>
      <w:r>
        <w:rPr>
          <w:rFonts w:hint="eastAsia" w:ascii="仿宋" w:hAnsi="仿宋" w:eastAsia="仿宋"/>
          <w:color w:val="auto"/>
          <w:sz w:val="28"/>
          <w:szCs w:val="28"/>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6" w:name="_Toc19784_WPSOffice_Level3"/>
      <w:r>
        <w:rPr>
          <w:rFonts w:ascii="仿宋" w:hAnsi="仿宋" w:eastAsia="仿宋"/>
          <w:color w:val="auto"/>
          <w:sz w:val="28"/>
          <w:szCs w:val="28"/>
          <w:highlight w:val="none"/>
        </w:rPr>
        <w:t xml:space="preserve">3.3 </w:t>
      </w:r>
      <w:r>
        <w:rPr>
          <w:rFonts w:hint="eastAsia" w:ascii="仿宋" w:hAnsi="仿宋" w:eastAsia="仿宋"/>
          <w:color w:val="auto"/>
          <w:sz w:val="28"/>
          <w:szCs w:val="28"/>
          <w:highlight w:val="none"/>
        </w:rPr>
        <w:t>投标文件的澄清原则：</w:t>
      </w:r>
      <w:bookmarkEnd w:id="225"/>
      <w:bookmarkEnd w:id="226"/>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3.3.1 </w:t>
      </w:r>
      <w:r>
        <w:rPr>
          <w:rFonts w:hint="eastAsia" w:ascii="仿宋" w:hAnsi="仿宋" w:eastAsia="仿宋"/>
          <w:color w:val="auto"/>
          <w:sz w:val="28"/>
          <w:szCs w:val="28"/>
          <w:highlight w:val="none"/>
        </w:rPr>
        <w:t>在评标过程中，评标委员会可以书面形式（应当由评标委员会专家签字）要求投标人对所提交的投标文件中含义不明确、同类问题表述不一致或者有明显文字和计算错误的内容，进行澄清、说明或者补正。评标委员会不接受投标人主动提出的澄清、说明或补正。</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3.3.2 </w:t>
      </w:r>
      <w:r>
        <w:rPr>
          <w:rFonts w:hint="eastAsia" w:ascii="仿宋" w:hAnsi="仿宋" w:eastAsia="仿宋"/>
          <w:color w:val="auto"/>
          <w:sz w:val="28"/>
          <w:szCs w:val="28"/>
          <w:highlight w:val="none"/>
        </w:rPr>
        <w:t>投标人的澄清、说明和补正应当采用书面形式，并加盖公章，或者由法定代表人或其授权的代表签字。投标人的澄清、说明或者补正不得超出投标文件的范围或者改变投标文件的实质性内容。投标人的书面澄清、说明和补正属于投标文件的组成部分。</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3.3.3 </w:t>
      </w:r>
      <w:r>
        <w:rPr>
          <w:rFonts w:hint="eastAsia" w:ascii="仿宋" w:hAnsi="仿宋" w:eastAsia="仿宋"/>
          <w:color w:val="auto"/>
          <w:sz w:val="28"/>
          <w:szCs w:val="28"/>
          <w:highlight w:val="none"/>
        </w:rPr>
        <w:t>评标委员会对投标人提交的澄清、说明或补正有疑问的，可以要求投标人进一步澄清、说明或补正，直至满足评标委员会的要求。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7" w:name="_Toc27224_WPSOffice_Level3"/>
      <w:r>
        <w:rPr>
          <w:rFonts w:ascii="仿宋" w:hAnsi="仿宋" w:eastAsia="仿宋"/>
          <w:color w:val="auto"/>
          <w:sz w:val="28"/>
          <w:szCs w:val="28"/>
          <w:highlight w:val="none"/>
        </w:rPr>
        <w:t xml:space="preserve">3.4 </w:t>
      </w:r>
      <w:r>
        <w:rPr>
          <w:rFonts w:hint="eastAsia" w:ascii="仿宋" w:hAnsi="仿宋" w:eastAsia="仿宋"/>
          <w:color w:val="auto"/>
          <w:sz w:val="28"/>
          <w:szCs w:val="28"/>
          <w:highlight w:val="none"/>
        </w:rPr>
        <w:t>投标人有以下情形之一的，其投标无效：</w:t>
      </w:r>
      <w:bookmarkEnd w:id="227"/>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1</w:t>
      </w:r>
      <w:r>
        <w:rPr>
          <w:rFonts w:hint="eastAsia" w:ascii="仿宋" w:hAnsi="仿宋" w:eastAsia="仿宋"/>
          <w:color w:val="auto"/>
          <w:sz w:val="28"/>
          <w:szCs w:val="28"/>
          <w:highlight w:val="none"/>
        </w:rPr>
        <w:t>）串通投标或弄虚作假或有其他违法行为的；</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ascii="仿宋" w:hAnsi="仿宋" w:eastAsia="仿宋"/>
          <w:color w:val="auto"/>
          <w:sz w:val="28"/>
          <w:szCs w:val="28"/>
          <w:highlight w:val="none"/>
        </w:rPr>
        <w:t>2</w:t>
      </w:r>
      <w:r>
        <w:rPr>
          <w:rFonts w:hint="eastAsia" w:ascii="仿宋" w:hAnsi="仿宋" w:eastAsia="仿宋"/>
          <w:color w:val="auto"/>
          <w:sz w:val="28"/>
          <w:szCs w:val="28"/>
          <w:highlight w:val="none"/>
        </w:rPr>
        <w:t>）不按评标委员会要求澄清、说明或补正的。</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bookmarkStart w:id="228" w:name="_Toc468805884"/>
      <w:bookmarkStart w:id="229" w:name="_Toc9155_WPSOffice_Level3"/>
      <w:r>
        <w:rPr>
          <w:rFonts w:ascii="仿宋" w:hAnsi="仿宋" w:eastAsia="仿宋"/>
          <w:color w:val="auto"/>
          <w:sz w:val="28"/>
          <w:szCs w:val="28"/>
          <w:highlight w:val="none"/>
        </w:rPr>
        <w:t xml:space="preserve">3.5 </w:t>
      </w:r>
      <w:r>
        <w:rPr>
          <w:rFonts w:hint="eastAsia" w:ascii="仿宋" w:hAnsi="仿宋" w:eastAsia="仿宋"/>
          <w:color w:val="auto"/>
          <w:sz w:val="28"/>
          <w:szCs w:val="28"/>
          <w:highlight w:val="none"/>
        </w:rPr>
        <w:t>评标结果</w:t>
      </w:r>
      <w:bookmarkEnd w:id="228"/>
      <w:bookmarkEnd w:id="229"/>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3.5.1 </w:t>
      </w:r>
      <w:r>
        <w:rPr>
          <w:rFonts w:hint="eastAsia" w:ascii="仿宋" w:hAnsi="仿宋" w:eastAsia="仿宋"/>
          <w:color w:val="auto"/>
          <w:sz w:val="28"/>
          <w:szCs w:val="28"/>
          <w:highlight w:val="none"/>
        </w:rPr>
        <w:t>评标委员会按得分由高到低顺序推荐三名中标候选人，并提出书面评标报告。</w:t>
      </w:r>
    </w:p>
    <w:p>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jc w:val="both"/>
        <w:textAlignment w:val="auto"/>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3.5.2 </w:t>
      </w:r>
      <w:r>
        <w:rPr>
          <w:rFonts w:hint="eastAsia" w:ascii="仿宋" w:hAnsi="仿宋" w:eastAsia="仿宋"/>
          <w:color w:val="auto"/>
          <w:sz w:val="28"/>
          <w:szCs w:val="28"/>
          <w:highlight w:val="none"/>
        </w:rPr>
        <w:t>采购人根据评标委员会提出的书面评标报告和推荐的中标候选人名单，确定中标人。</w:t>
      </w:r>
    </w:p>
    <w:p>
      <w:pPr>
        <w:pStyle w:val="36"/>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pStyle w:val="36"/>
        <w:rPr>
          <w:rFonts w:hint="eastAsia"/>
          <w:color w:val="auto"/>
          <w:highlight w:val="none"/>
        </w:rPr>
      </w:pPr>
    </w:p>
    <w:p>
      <w:pPr>
        <w:bidi w:val="0"/>
        <w:rPr>
          <w:rFonts w:hint="eastAsia"/>
          <w:color w:val="auto"/>
          <w:highlight w:val="none"/>
        </w:rPr>
      </w:pPr>
    </w:p>
    <w:p>
      <w:pPr>
        <w:pStyle w:val="13"/>
        <w:rPr>
          <w:rFonts w:hint="eastAsia"/>
          <w:color w:val="auto"/>
          <w:highlight w:val="none"/>
        </w:rPr>
      </w:pPr>
    </w:p>
    <w:p>
      <w:pPr>
        <w:pStyle w:val="3"/>
        <w:ind w:left="0" w:firstLine="0"/>
        <w:jc w:val="center"/>
        <w:rPr>
          <w:rFonts w:hint="eastAsia" w:ascii="仿宋" w:hAnsi="仿宋" w:eastAsia="仿宋"/>
          <w:color w:val="auto"/>
          <w:highlight w:val="none"/>
        </w:rPr>
      </w:pPr>
      <w:bookmarkStart w:id="230" w:name="_Toc24005"/>
      <w:r>
        <w:rPr>
          <w:rFonts w:hint="eastAsia" w:ascii="仿宋" w:hAnsi="仿宋" w:eastAsia="仿宋"/>
          <w:color w:val="auto"/>
          <w:highlight w:val="none"/>
        </w:rPr>
        <w:t>第六章</w:t>
      </w:r>
      <w:bookmarkEnd w:id="170"/>
      <w:r>
        <w:rPr>
          <w:rFonts w:hint="eastAsia" w:ascii="仿宋" w:hAnsi="仿宋" w:eastAsia="仿宋"/>
          <w:color w:val="auto"/>
          <w:highlight w:val="none"/>
        </w:rPr>
        <w:t xml:space="preserve"> 合同书样式</w:t>
      </w:r>
      <w:bookmarkEnd w:id="171"/>
      <w:bookmarkEnd w:id="172"/>
      <w:bookmarkEnd w:id="230"/>
    </w:p>
    <w:p>
      <w:pPr>
        <w:wordWrap w:val="0"/>
        <w:spacing w:line="288" w:lineRule="auto"/>
        <w:ind w:right="640" w:firstLine="3220" w:firstLineChars="1150"/>
        <w:rPr>
          <w:rFonts w:ascii="宋体" w:hAnsi="宋体" w:cs="宋体"/>
          <w:color w:val="auto"/>
          <w:sz w:val="28"/>
          <w:szCs w:val="28"/>
          <w:highlight w:val="none"/>
        </w:rPr>
      </w:pPr>
      <w:bookmarkStart w:id="231" w:name="_Toc5768_WPSOffice_Level2"/>
      <w:bookmarkStart w:id="232" w:name="_Toc22352_WPSOffice_Level3"/>
      <w:r>
        <w:rPr>
          <w:rFonts w:hint="eastAsia" w:ascii="宋体" w:hAnsi="宋体" w:cs="宋体"/>
          <w:color w:val="auto"/>
          <w:sz w:val="28"/>
          <w:szCs w:val="28"/>
          <w:highlight w:val="none"/>
        </w:rPr>
        <w:t>合同编号：</w:t>
      </w:r>
    </w:p>
    <w:p>
      <w:pPr>
        <w:pStyle w:val="19"/>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color w:val="auto"/>
          <w:sz w:val="28"/>
          <w:szCs w:val="28"/>
          <w:highlight w:val="none"/>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"http://www.yngp.com/plan/plandeclare.do?method=list&amp;menuName=1480558591048" </w:instrText>
      </w:r>
      <w:r>
        <w:rPr>
          <w:rFonts w:ascii="宋体" w:hAnsi="宋体"/>
          <w:color w:val="auto"/>
          <w:sz w:val="28"/>
          <w:szCs w:val="28"/>
          <w:highlight w:val="none"/>
        </w:rPr>
        <w:fldChar w:fldCharType="separate"/>
      </w:r>
      <w:r>
        <w:rPr>
          <w:rStyle w:val="45"/>
          <w:rFonts w:hint="eastAsia" w:ascii="宋体" w:hAnsi="宋体" w:cs="Arial"/>
          <w:color w:val="auto"/>
          <w:sz w:val="28"/>
          <w:szCs w:val="28"/>
          <w:highlight w:val="none"/>
          <w:u w:val="none"/>
        </w:rPr>
        <w:t>政府采购合同编号</w:t>
      </w:r>
      <w:r>
        <w:rPr>
          <w:rFonts w:ascii="宋体" w:hAnsi="宋体"/>
          <w:color w:val="auto"/>
          <w:sz w:val="28"/>
          <w:szCs w:val="28"/>
          <w:highlight w:val="none"/>
        </w:rPr>
        <w:fldChar w:fldCharType="end"/>
      </w:r>
      <w:r>
        <w:rPr>
          <w:rFonts w:hint="eastAsia" w:ascii="宋体" w:hAnsi="宋体"/>
          <w:color w:val="auto"/>
          <w:sz w:val="28"/>
          <w:szCs w:val="28"/>
          <w:highlight w:val="none"/>
        </w:rPr>
        <w:t>：</w:t>
      </w:r>
      <w:r>
        <w:rPr>
          <w:rFonts w:hint="eastAsia" w:ascii="仿宋" w:hAnsi="仿宋" w:eastAsia="仿宋" w:cs="仿宋"/>
          <w:b w:val="0"/>
          <w:bCs w:val="0"/>
          <w:i w:val="0"/>
          <w:iCs w:val="0"/>
          <w:caps w:val="0"/>
          <w:color w:val="auto"/>
          <w:spacing w:val="0"/>
          <w:sz w:val="28"/>
          <w:szCs w:val="28"/>
          <w:highlight w:val="none"/>
          <w:shd w:val="clear" w:fill="FFFFFF"/>
        </w:rPr>
        <w:t>YNZC2026-G1-03951-CXYZ-0066</w:t>
      </w:r>
    </w:p>
    <w:p>
      <w:pPr>
        <w:wordWrap w:val="0"/>
        <w:spacing w:line="288" w:lineRule="auto"/>
        <w:ind w:right="640" w:firstLine="3220" w:firstLineChars="1150"/>
        <w:rPr>
          <w:rFonts w:hint="eastAsia" w:ascii="宋体" w:hAnsi="宋体" w:cs="宋体"/>
          <w:color w:val="auto"/>
          <w:sz w:val="28"/>
          <w:szCs w:val="28"/>
          <w:highlight w:val="none"/>
        </w:rPr>
      </w:pPr>
    </w:p>
    <w:p>
      <w:pPr>
        <w:snapToGrid w:val="0"/>
        <w:spacing w:line="288" w:lineRule="auto"/>
        <w:ind w:firstLine="482" w:firstLineChars="200"/>
        <w:jc w:val="center"/>
        <w:rPr>
          <w:rFonts w:ascii="宋体" w:hAnsi="宋体"/>
          <w:b/>
          <w:color w:val="auto"/>
          <w:sz w:val="24"/>
          <w:highlight w:val="none"/>
        </w:rPr>
      </w:pPr>
    </w:p>
    <w:p>
      <w:pPr>
        <w:snapToGrid w:val="0"/>
        <w:spacing w:line="288" w:lineRule="auto"/>
        <w:ind w:firstLine="482" w:firstLineChars="200"/>
        <w:jc w:val="center"/>
        <w:rPr>
          <w:rFonts w:ascii="宋体" w:hAnsi="宋体"/>
          <w:b/>
          <w:color w:val="auto"/>
          <w:sz w:val="24"/>
          <w:highlight w:val="none"/>
        </w:rPr>
      </w:pPr>
    </w:p>
    <w:p>
      <w:pPr>
        <w:snapToGrid w:val="0"/>
        <w:spacing w:line="288" w:lineRule="auto"/>
        <w:ind w:firstLine="482" w:firstLineChars="200"/>
        <w:jc w:val="center"/>
        <w:rPr>
          <w:rFonts w:ascii="宋体" w:hAnsi="宋体"/>
          <w:b/>
          <w:color w:val="auto"/>
          <w:sz w:val="24"/>
          <w:highlight w:val="none"/>
        </w:rPr>
      </w:pPr>
    </w:p>
    <w:p>
      <w:pPr>
        <w:spacing w:line="360" w:lineRule="auto"/>
        <w:jc w:val="center"/>
        <w:rPr>
          <w:rFonts w:ascii="宋体" w:hAnsi="宋体"/>
          <w:b/>
          <w:bCs/>
          <w:color w:val="auto"/>
          <w:sz w:val="30"/>
          <w:szCs w:val="30"/>
          <w:highlight w:val="none"/>
        </w:rPr>
      </w:pPr>
      <w:r>
        <w:rPr>
          <w:rFonts w:hint="eastAsia" w:asciiTheme="majorEastAsia" w:hAnsiTheme="majorEastAsia" w:eastAsiaTheme="majorEastAsia"/>
          <w:b/>
          <w:bCs/>
          <w:color w:val="auto"/>
          <w:sz w:val="44"/>
          <w:szCs w:val="44"/>
          <w:highlight w:val="none"/>
        </w:rPr>
        <w:t>楚雄师范学院行政办公设备购置项目（台式计算机）</w:t>
      </w:r>
    </w:p>
    <w:p>
      <w:pPr>
        <w:snapToGrid w:val="0"/>
        <w:spacing w:line="288" w:lineRule="auto"/>
        <w:jc w:val="center"/>
        <w:rPr>
          <w:rFonts w:hint="eastAsia" w:ascii="宋体" w:hAnsi="宋体"/>
          <w:b/>
          <w:bCs/>
          <w:color w:val="auto"/>
          <w:sz w:val="84"/>
          <w:szCs w:val="84"/>
          <w:highlight w:val="none"/>
        </w:rPr>
      </w:pPr>
    </w:p>
    <w:p>
      <w:pPr>
        <w:snapToGrid w:val="0"/>
        <w:spacing w:line="288" w:lineRule="auto"/>
        <w:jc w:val="center"/>
        <w:rPr>
          <w:rFonts w:ascii="宋体" w:hAnsi="宋体"/>
          <w:b/>
          <w:bCs/>
          <w:color w:val="auto"/>
          <w:sz w:val="84"/>
          <w:szCs w:val="84"/>
          <w:highlight w:val="none"/>
        </w:rPr>
      </w:pPr>
      <w:r>
        <w:rPr>
          <w:rFonts w:hint="eastAsia" w:ascii="宋体" w:hAnsi="宋体"/>
          <w:b/>
          <w:bCs/>
          <w:color w:val="auto"/>
          <w:sz w:val="84"/>
          <w:szCs w:val="84"/>
          <w:highlight w:val="none"/>
        </w:rPr>
        <w:t>合</w:t>
      </w:r>
    </w:p>
    <w:p>
      <w:pPr>
        <w:snapToGrid w:val="0"/>
        <w:spacing w:line="288" w:lineRule="auto"/>
        <w:jc w:val="center"/>
        <w:rPr>
          <w:rFonts w:ascii="宋体" w:hAnsi="宋体"/>
          <w:b/>
          <w:bCs/>
          <w:color w:val="auto"/>
          <w:sz w:val="84"/>
          <w:szCs w:val="84"/>
          <w:highlight w:val="none"/>
        </w:rPr>
      </w:pPr>
      <w:r>
        <w:rPr>
          <w:rFonts w:hint="eastAsia" w:ascii="宋体" w:hAnsi="宋体"/>
          <w:b/>
          <w:bCs/>
          <w:color w:val="auto"/>
          <w:sz w:val="84"/>
          <w:szCs w:val="84"/>
          <w:highlight w:val="none"/>
        </w:rPr>
        <w:t>同</w:t>
      </w:r>
    </w:p>
    <w:p>
      <w:pPr>
        <w:snapToGrid w:val="0"/>
        <w:spacing w:line="288" w:lineRule="auto"/>
        <w:jc w:val="center"/>
        <w:rPr>
          <w:rFonts w:ascii="宋体" w:hAnsi="宋体"/>
          <w:b/>
          <w:color w:val="auto"/>
          <w:sz w:val="84"/>
          <w:szCs w:val="84"/>
          <w:highlight w:val="none"/>
        </w:rPr>
      </w:pPr>
      <w:r>
        <w:rPr>
          <w:rFonts w:hint="eastAsia" w:ascii="宋体" w:hAnsi="宋体"/>
          <w:b/>
          <w:bCs/>
          <w:color w:val="auto"/>
          <w:sz w:val="84"/>
          <w:szCs w:val="84"/>
          <w:highlight w:val="none"/>
        </w:rPr>
        <w:t>书</w:t>
      </w:r>
    </w:p>
    <w:p>
      <w:pPr>
        <w:snapToGrid w:val="0"/>
        <w:spacing w:line="288" w:lineRule="auto"/>
        <w:rPr>
          <w:rFonts w:ascii="宋体" w:hAnsi="宋体"/>
          <w:color w:val="auto"/>
          <w:sz w:val="24"/>
          <w:highlight w:val="none"/>
        </w:rPr>
      </w:pPr>
    </w:p>
    <w:p>
      <w:pPr>
        <w:snapToGrid w:val="0"/>
        <w:spacing w:line="288" w:lineRule="auto"/>
        <w:rPr>
          <w:rFonts w:ascii="宋体" w:hAnsi="宋体"/>
          <w:color w:val="auto"/>
          <w:sz w:val="24"/>
          <w:highlight w:val="none"/>
        </w:rPr>
      </w:pPr>
    </w:p>
    <w:p>
      <w:pPr>
        <w:pStyle w:val="2"/>
        <w:rPr>
          <w:color w:val="auto"/>
          <w:highlight w:val="none"/>
        </w:rPr>
      </w:pPr>
    </w:p>
    <w:p>
      <w:pPr>
        <w:pStyle w:val="2"/>
        <w:rPr>
          <w:color w:val="auto"/>
          <w:highlight w:val="none"/>
        </w:rPr>
      </w:pPr>
    </w:p>
    <w:p>
      <w:pPr>
        <w:snapToGrid w:val="0"/>
        <w:spacing w:line="288" w:lineRule="auto"/>
        <w:rPr>
          <w:rFonts w:hint="eastAsia" w:ascii="宋体" w:hAnsi="宋体"/>
          <w:color w:val="auto"/>
          <w:sz w:val="24"/>
          <w:highlight w:val="none"/>
        </w:rPr>
      </w:pPr>
    </w:p>
    <w:p>
      <w:pPr>
        <w:snapToGrid w:val="0"/>
        <w:spacing w:line="288" w:lineRule="auto"/>
        <w:ind w:left="567" w:leftChars="270" w:firstLine="560" w:firstLineChars="200"/>
        <w:rPr>
          <w:rFonts w:ascii="宋体" w:hAnsi="宋体"/>
          <w:color w:val="auto"/>
          <w:sz w:val="28"/>
          <w:szCs w:val="28"/>
          <w:highlight w:val="none"/>
        </w:rPr>
      </w:pPr>
      <w:r>
        <w:rPr>
          <w:rFonts w:hint="eastAsia" w:ascii="宋体" w:hAnsi="宋体"/>
          <w:color w:val="auto"/>
          <w:sz w:val="28"/>
          <w:szCs w:val="28"/>
          <w:highlight w:val="none"/>
        </w:rPr>
        <w:t>甲方</w:t>
      </w:r>
      <w:r>
        <w:rPr>
          <w:rFonts w:ascii="宋体" w:hAnsi="宋体"/>
          <w:color w:val="auto"/>
          <w:sz w:val="28"/>
          <w:szCs w:val="28"/>
          <w:highlight w:val="none"/>
        </w:rPr>
        <w:t>(需方)：</w:t>
      </w:r>
      <w:r>
        <w:rPr>
          <w:rFonts w:hint="eastAsia" w:ascii="宋体" w:hAnsi="宋体"/>
          <w:color w:val="auto"/>
          <w:sz w:val="28"/>
          <w:szCs w:val="28"/>
          <w:highlight w:val="none"/>
        </w:rPr>
        <w:t>楚雄师范学院</w:t>
      </w:r>
    </w:p>
    <w:p>
      <w:pPr>
        <w:snapToGrid w:val="0"/>
        <w:spacing w:line="288" w:lineRule="auto"/>
        <w:ind w:left="567" w:leftChars="270" w:firstLine="560" w:firstLineChars="200"/>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rPr>
        <w:t>乙方</w:t>
      </w:r>
      <w:r>
        <w:rPr>
          <w:rFonts w:ascii="宋体" w:hAnsi="宋体"/>
          <w:color w:val="auto"/>
          <w:sz w:val="28"/>
          <w:szCs w:val="28"/>
          <w:highlight w:val="none"/>
        </w:rPr>
        <w:t>(供方)：</w:t>
      </w:r>
      <w:r>
        <w:rPr>
          <w:rFonts w:hint="eastAsia" w:ascii="宋体" w:hAnsi="宋体"/>
          <w:color w:val="auto"/>
          <w:sz w:val="28"/>
          <w:szCs w:val="28"/>
          <w:highlight w:val="none"/>
        </w:rPr>
        <w:t xml:space="preserve"> </w:t>
      </w:r>
      <w:r>
        <w:rPr>
          <w:rFonts w:hint="eastAsia" w:ascii="宋体" w:hAnsi="宋体" w:cs="Arial"/>
          <w:color w:val="auto"/>
          <w:kern w:val="0"/>
          <w:sz w:val="28"/>
          <w:szCs w:val="28"/>
          <w:highlight w:val="none"/>
          <w:lang w:val="en-US" w:eastAsia="zh-CN"/>
        </w:rPr>
        <w:t>XXX</w:t>
      </w:r>
    </w:p>
    <w:p>
      <w:pPr>
        <w:snapToGrid w:val="0"/>
        <w:spacing w:line="288" w:lineRule="auto"/>
        <w:ind w:left="567" w:leftChars="270"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签订地点： </w:t>
      </w:r>
      <w:r>
        <w:rPr>
          <w:rFonts w:ascii="宋体" w:hAnsi="宋体"/>
          <w:color w:val="auto"/>
          <w:sz w:val="28"/>
          <w:szCs w:val="28"/>
          <w:highlight w:val="none"/>
        </w:rPr>
        <w:t xml:space="preserve"> </w:t>
      </w:r>
      <w:r>
        <w:rPr>
          <w:rFonts w:hint="eastAsia" w:ascii="宋体" w:hAnsi="宋体"/>
          <w:color w:val="auto"/>
          <w:sz w:val="28"/>
          <w:szCs w:val="28"/>
          <w:highlight w:val="none"/>
        </w:rPr>
        <w:t>楚雄师范学院</w:t>
      </w:r>
    </w:p>
    <w:p>
      <w:pPr>
        <w:snapToGrid w:val="0"/>
        <w:spacing w:line="288" w:lineRule="auto"/>
        <w:ind w:left="567" w:leftChars="270"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 xml:space="preserve">签订时间： </w:t>
      </w:r>
      <w:r>
        <w:rPr>
          <w:rFonts w:ascii="宋体" w:hAnsi="宋体"/>
          <w:color w:val="auto"/>
          <w:sz w:val="28"/>
          <w:szCs w:val="28"/>
          <w:highlight w:val="none"/>
        </w:rPr>
        <w:t xml:space="preserve"> </w:t>
      </w: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X</w:t>
      </w:r>
      <w:r>
        <w:rPr>
          <w:rFonts w:hint="eastAsia" w:ascii="宋体" w:hAnsi="宋体"/>
          <w:color w:val="auto"/>
          <w:sz w:val="28"/>
          <w:szCs w:val="28"/>
          <w:highlight w:val="none"/>
        </w:rPr>
        <w:t>月</w:t>
      </w:r>
      <w:r>
        <w:rPr>
          <w:rFonts w:hint="eastAsia" w:ascii="宋体" w:hAnsi="宋体"/>
          <w:color w:val="auto"/>
          <w:sz w:val="28"/>
          <w:szCs w:val="28"/>
          <w:highlight w:val="none"/>
          <w:lang w:val="en-US" w:eastAsia="zh-CN"/>
        </w:rPr>
        <w:t>X</w:t>
      </w:r>
      <w:r>
        <w:rPr>
          <w:rFonts w:hint="eastAsia" w:ascii="宋体" w:hAnsi="宋体"/>
          <w:color w:val="auto"/>
          <w:sz w:val="28"/>
          <w:szCs w:val="28"/>
          <w:highlight w:val="none"/>
        </w:rPr>
        <w:t>日</w:t>
      </w:r>
    </w:p>
    <w:p>
      <w:pPr>
        <w:pStyle w:val="2"/>
        <w:rPr>
          <w:rFonts w:hint="eastAsia"/>
          <w:color w:val="auto"/>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Style w:val="42"/>
          <w:rFonts w:ascii="宋体" w:hAnsi="宋体" w:eastAsia="宋体" w:cs="宋体"/>
          <w:b/>
          <w:bCs/>
          <w:color w:val="auto"/>
          <w:kern w:val="0"/>
          <w:sz w:val="19"/>
          <w:szCs w:val="19"/>
          <w:highlight w:val="none"/>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color w:val="auto"/>
          <w:sz w:val="19"/>
          <w:szCs w:val="19"/>
          <w:highlight w:val="none"/>
        </w:rPr>
      </w:pPr>
      <w:r>
        <w:rPr>
          <w:rFonts w:hint="eastAsia"/>
          <w:color w:val="auto"/>
          <w:sz w:val="19"/>
          <w:szCs w:val="19"/>
          <w:highlight w:val="none"/>
          <w:lang w:val="en-US" w:eastAsia="zh-CN"/>
        </w:rPr>
        <w:tab/>
      </w:r>
      <w:r>
        <w:rPr>
          <w:color w:val="auto"/>
          <w:sz w:val="19"/>
          <w:szCs w:val="19"/>
          <w:highlight w:val="none"/>
        </w:rPr>
        <w:t>甲方 (需方)：楚雄师范学院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default"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统一社会信用代码：</w:t>
      </w:r>
      <w:r>
        <w:rPr>
          <w:rFonts w:hint="eastAsia" w:ascii="宋体" w:hAnsi="宋体" w:eastAsia="宋体" w:cs="宋体"/>
          <w:color w:val="auto"/>
          <w:kern w:val="0"/>
          <w:sz w:val="19"/>
          <w:szCs w:val="19"/>
          <w:highlight w:val="none"/>
          <w:lang w:val="en-US" w:eastAsia="zh-CN" w:bidi="ar"/>
        </w:rPr>
        <w:t>12530000431845953R</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单位地址：云南省楚雄市鹿城南路</w:t>
      </w:r>
      <w:r>
        <w:rPr>
          <w:rFonts w:hint="eastAsia" w:ascii="宋体" w:hAnsi="宋体" w:eastAsia="宋体" w:cs="宋体"/>
          <w:color w:val="auto"/>
          <w:kern w:val="0"/>
          <w:sz w:val="19"/>
          <w:szCs w:val="19"/>
          <w:highlight w:val="none"/>
          <w:lang w:val="en-US" w:eastAsia="zh-CN" w:bidi="ar"/>
        </w:rPr>
        <w:t>546</w:t>
      </w:r>
      <w:r>
        <w:rPr>
          <w:rFonts w:ascii="宋体" w:hAnsi="宋体" w:eastAsia="宋体" w:cs="宋体"/>
          <w:color w:val="auto"/>
          <w:kern w:val="0"/>
          <w:sz w:val="19"/>
          <w:szCs w:val="19"/>
          <w:highlight w:val="none"/>
          <w:lang w:val="en-US" w:eastAsia="zh-CN" w:bidi="ar"/>
        </w:rPr>
        <w:t>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联系电话：0878-3101939</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开户银行：农行云南省楚雄东新支行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银行账号：24100501040011344</w:t>
      </w:r>
    </w:p>
    <w:p>
      <w:pPr>
        <w:pStyle w:val="2"/>
        <w:rPr>
          <w:color w:val="auto"/>
          <w:highlight w:val="no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default" w:eastAsia="宋体"/>
          <w:color w:val="auto"/>
          <w:sz w:val="19"/>
          <w:szCs w:val="19"/>
          <w:highlight w:val="none"/>
          <w:lang w:val="en-US" w:eastAsia="zh-CN"/>
        </w:rPr>
      </w:pPr>
      <w:r>
        <w:rPr>
          <w:rFonts w:hint="eastAsia"/>
          <w:color w:val="auto"/>
          <w:sz w:val="19"/>
          <w:szCs w:val="19"/>
          <w:highlight w:val="none"/>
          <w:lang w:val="en-US" w:eastAsia="zh-CN"/>
        </w:rPr>
        <w:tab/>
      </w:r>
      <w:r>
        <w:rPr>
          <w:color w:val="auto"/>
          <w:sz w:val="19"/>
          <w:szCs w:val="19"/>
          <w:highlight w:val="none"/>
        </w:rPr>
        <w:t>乙方 (供方)：</w:t>
      </w:r>
      <w:r>
        <w:rPr>
          <w:rFonts w:hint="eastAsia"/>
          <w:color w:val="auto"/>
          <w:sz w:val="19"/>
          <w:szCs w:val="19"/>
          <w:highlight w:val="none"/>
          <w:lang w:val="en-US" w:eastAsia="zh-CN"/>
        </w:rPr>
        <w:t>XXXXXXXXX</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统一社会信用代码：__________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单位地址：__________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联系电话：__________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开户银行：__________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银行账号：__________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根据《中华人民共和国政府采购法》《中华人民共和国政府采购法实施条例》《中华人民共和国民法典》等现行法律法规及</w:t>
      </w:r>
      <w:r>
        <w:rPr>
          <w:rFonts w:hint="eastAsia" w:ascii="宋体" w:hAnsi="宋体" w:eastAsia="宋体" w:cs="宋体"/>
          <w:color w:val="auto"/>
          <w:kern w:val="0"/>
          <w:sz w:val="19"/>
          <w:szCs w:val="19"/>
          <w:highlight w:val="none"/>
          <w:lang w:val="en-US" w:eastAsia="zh-CN" w:bidi="ar"/>
        </w:rPr>
        <w:t>XXX号</w:t>
      </w:r>
      <w:r>
        <w:rPr>
          <w:rFonts w:ascii="宋体" w:hAnsi="宋体" w:eastAsia="宋体" w:cs="宋体"/>
          <w:color w:val="auto"/>
          <w:kern w:val="0"/>
          <w:sz w:val="19"/>
          <w:szCs w:val="19"/>
          <w:highlight w:val="none"/>
          <w:lang w:val="en-US" w:eastAsia="zh-CN" w:bidi="ar"/>
        </w:rPr>
        <w:t>评标结果，甲乙双方遵循平等、自愿、公平、诚实信用的原则，经友好协商，就甲方采购乙方体育场地提质和校园体育智慧平台建设相关货物及服务事宜，达成如下协议，以资共同遵守。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rPr>
          <w:b w:val="0"/>
          <w:bCs w:val="0"/>
          <w:color w:val="auto"/>
          <w:sz w:val="19"/>
          <w:szCs w:val="19"/>
          <w:highlight w:val="none"/>
        </w:rPr>
      </w:pPr>
      <w:r>
        <w:rPr>
          <w:b w:val="0"/>
          <w:bCs w:val="0"/>
          <w:color w:val="auto"/>
          <w:sz w:val="19"/>
          <w:szCs w:val="19"/>
          <w:highlight w:val="none"/>
        </w:rPr>
        <w:t>1 合同标的及承诺</w:t>
      </w:r>
    </w:p>
    <w:p>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b w:val="0"/>
          <w:bCs w:val="0"/>
          <w:color w:val="auto"/>
          <w:kern w:val="0"/>
          <w:sz w:val="19"/>
          <w:szCs w:val="19"/>
          <w:highlight w:val="none"/>
          <w:lang w:val="en-US" w:eastAsia="zh-CN" w:bidi="ar"/>
        </w:rPr>
      </w:pPr>
      <w:r>
        <w:rPr>
          <w:rFonts w:ascii="宋体" w:hAnsi="宋体" w:eastAsia="宋体" w:cs="宋体"/>
          <w:b w:val="0"/>
          <w:bCs w:val="0"/>
          <w:color w:val="auto"/>
          <w:kern w:val="0"/>
          <w:sz w:val="19"/>
          <w:szCs w:val="19"/>
          <w:highlight w:val="none"/>
          <w:lang w:val="en-US" w:eastAsia="zh-CN" w:bidi="ar"/>
        </w:rPr>
        <w:t>乙方郑重承诺：本合同依据项目中标通知书、甲方招标文件、乙方投标文件签订，合同实质性内容与上述文件保持一致，无任何实质性变更；若本合同货物参数存在错漏，</w:t>
      </w:r>
      <w:r>
        <w:rPr>
          <w:rStyle w:val="42"/>
          <w:rFonts w:ascii="宋体" w:hAnsi="宋体" w:eastAsia="宋体" w:cs="宋体"/>
          <w:b w:val="0"/>
          <w:bCs w:val="0"/>
          <w:color w:val="auto"/>
          <w:kern w:val="0"/>
          <w:sz w:val="19"/>
          <w:szCs w:val="19"/>
          <w:highlight w:val="none"/>
          <w:lang w:val="en-US" w:eastAsia="zh-CN" w:bidi="ar"/>
        </w:rPr>
        <w:t>以招标文件及乙方投标文件正本为准</w:t>
      </w:r>
      <w:r>
        <w:rPr>
          <w:rFonts w:ascii="宋体" w:hAnsi="宋体" w:eastAsia="宋体" w:cs="宋体"/>
          <w:b w:val="0"/>
          <w:bCs w:val="0"/>
          <w:color w:val="auto"/>
          <w:kern w:val="0"/>
          <w:sz w:val="19"/>
          <w:szCs w:val="19"/>
          <w:highlight w:val="none"/>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380" w:firstLineChars="200"/>
        <w:jc w:val="left"/>
        <w:rPr>
          <w:color w:val="auto"/>
          <w:sz w:val="19"/>
          <w:szCs w:val="19"/>
          <w:highlight w:val="none"/>
        </w:rPr>
      </w:pPr>
      <w:r>
        <w:rPr>
          <w:rFonts w:ascii="宋体" w:hAnsi="宋体" w:eastAsia="宋体" w:cs="宋体"/>
          <w:b w:val="0"/>
          <w:bCs w:val="0"/>
          <w:color w:val="auto"/>
          <w:kern w:val="0"/>
          <w:sz w:val="19"/>
          <w:szCs w:val="19"/>
          <w:highlight w:val="none"/>
          <w:lang w:val="en-US" w:eastAsia="zh-CN" w:bidi="ar"/>
        </w:rPr>
        <w:t>1.2 本合同采购标的明细如</w:t>
      </w:r>
      <w:r>
        <w:rPr>
          <w:rFonts w:ascii="宋体" w:hAnsi="宋体" w:eastAsia="宋体" w:cs="宋体"/>
          <w:color w:val="auto"/>
          <w:kern w:val="0"/>
          <w:sz w:val="19"/>
          <w:szCs w:val="19"/>
          <w:highlight w:val="none"/>
          <w:lang w:val="en-US" w:eastAsia="zh-CN" w:bidi="ar"/>
        </w:rPr>
        <w:t>下（乙方须按投标文件据实填写，不得更改核心参数）：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auto"/>
          <w:sz w:val="19"/>
          <w:szCs w:val="19"/>
          <w:highlight w:val="none"/>
        </w:rPr>
      </w:pPr>
    </w:p>
    <w:tbl>
      <w:tblPr>
        <w:tblStyle w:val="3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29"/>
        <w:gridCol w:w="976"/>
        <w:gridCol w:w="976"/>
        <w:gridCol w:w="976"/>
        <w:gridCol w:w="976"/>
        <w:gridCol w:w="976"/>
        <w:gridCol w:w="977"/>
        <w:gridCol w:w="977"/>
        <w:gridCol w:w="977"/>
        <w:gridCol w:w="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编号</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货物名称</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详细参数</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品牌型号</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生产厂家</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单位</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数量</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单价（元）</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合计（元）</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center"/>
              <w:rPr>
                <w:b/>
                <w:bCs/>
                <w:color w:val="auto"/>
                <w:sz w:val="19"/>
                <w:szCs w:val="19"/>
                <w:highlight w:val="none"/>
              </w:rPr>
            </w:pPr>
            <w:r>
              <w:rPr>
                <w:rFonts w:ascii="宋体" w:hAnsi="宋体" w:eastAsia="宋体" w:cs="宋体"/>
                <w:b/>
                <w:bCs/>
                <w:color w:val="auto"/>
                <w:kern w:val="0"/>
                <w:sz w:val="19"/>
                <w:szCs w:val="19"/>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1</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2</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Style w:val="42"/>
                <w:rFonts w:ascii="宋体" w:hAnsi="宋体" w:eastAsia="宋体" w:cs="宋体"/>
                <w:b/>
                <w:bCs/>
                <w:color w:val="auto"/>
                <w:kern w:val="0"/>
                <w:sz w:val="19"/>
                <w:szCs w:val="19"/>
                <w:highlight w:val="none"/>
                <w:lang w:val="en-US" w:eastAsia="zh-CN" w:bidi="ar"/>
              </w:rPr>
              <w:t>总价</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Style w:val="42"/>
                <w:rFonts w:ascii="宋体" w:hAnsi="宋体" w:eastAsia="宋体" w:cs="宋体"/>
                <w:b/>
                <w:bCs/>
                <w:color w:val="auto"/>
                <w:kern w:val="0"/>
                <w:sz w:val="19"/>
                <w:szCs w:val="19"/>
                <w:highlight w:val="none"/>
                <w:lang w:val="en-US" w:eastAsia="zh-CN" w:bidi="ar"/>
              </w:rPr>
              <w:t>￥</w:t>
            </w:r>
            <w:r>
              <w:rPr>
                <w:rStyle w:val="42"/>
                <w:rFonts w:hint="eastAsia" w:ascii="宋体" w:hAnsi="宋体" w:eastAsia="宋体" w:cs="宋体"/>
                <w:b/>
                <w:bCs/>
                <w:color w:val="auto"/>
                <w:kern w:val="0"/>
                <w:sz w:val="19"/>
                <w:szCs w:val="19"/>
                <w:highlight w:val="none"/>
                <w:lang w:val="en-US" w:eastAsia="zh-CN" w:bidi="ar"/>
              </w:rPr>
              <w:t>0</w:t>
            </w:r>
            <w:r>
              <w:rPr>
                <w:rStyle w:val="42"/>
                <w:rFonts w:ascii="宋体" w:hAnsi="宋体" w:eastAsia="宋体" w:cs="宋体"/>
                <w:b/>
                <w:bCs/>
                <w:color w:val="auto"/>
                <w:kern w:val="0"/>
                <w:sz w:val="19"/>
                <w:szCs w:val="19"/>
                <w:highlight w:val="none"/>
                <w:lang w:val="en-US" w:eastAsia="zh-CN" w:bidi="ar"/>
              </w:rPr>
              <w:t>.00</w:t>
            </w:r>
          </w:p>
        </w:tc>
        <w:tc>
          <w:tcPr>
            <w:tcW w:w="0" w:type="auto"/>
            <w:shd w:val="clear" w:color="auto" w:fill="auto"/>
            <w:vAlign w:val="center"/>
          </w:tcPr>
          <w:p>
            <w:pPr>
              <w:keepNext w:val="0"/>
              <w:keepLines w:val="0"/>
              <w:widowControl/>
              <w:suppressLineNumbers w:val="0"/>
              <w:spacing w:before="0" w:beforeAutospacing="0" w:after="0" w:afterAutospacing="0" w:line="288" w:lineRule="atLeast"/>
              <w:ind w:left="0" w:right="0"/>
              <w:jc w:val="left"/>
              <w:rPr>
                <w:color w:val="auto"/>
                <w:sz w:val="19"/>
                <w:szCs w:val="19"/>
                <w:highlight w:val="none"/>
              </w:rPr>
            </w:pPr>
            <w:r>
              <w:rPr>
                <w:rFonts w:ascii="宋体" w:hAnsi="宋体" w:eastAsia="宋体" w:cs="宋体"/>
                <w:color w:val="auto"/>
                <w:kern w:val="0"/>
                <w:sz w:val="19"/>
                <w:szCs w:val="19"/>
                <w:highlight w:val="none"/>
                <w:lang w:val="en-US" w:eastAsia="zh-CN" w:bidi="ar"/>
              </w:rPr>
              <w:t>大写：</w:t>
            </w:r>
            <w:r>
              <w:rPr>
                <w:rFonts w:hint="eastAsia" w:ascii="宋体" w:hAnsi="宋体" w:eastAsia="宋体" w:cs="宋体"/>
                <w:color w:val="auto"/>
                <w:kern w:val="0"/>
                <w:sz w:val="19"/>
                <w:szCs w:val="19"/>
                <w:highlight w:val="none"/>
                <w:lang w:val="en-US" w:eastAsia="zh-CN" w:bidi="ar"/>
              </w:rPr>
              <w:t>XXX</w:t>
            </w:r>
            <w:r>
              <w:rPr>
                <w:rFonts w:ascii="宋体" w:hAnsi="宋体" w:eastAsia="宋体" w:cs="宋体"/>
                <w:color w:val="auto"/>
                <w:kern w:val="0"/>
                <w:sz w:val="19"/>
                <w:szCs w:val="19"/>
                <w:highlight w:val="none"/>
                <w:lang w:val="en-US" w:eastAsia="zh-CN" w:bidi="ar"/>
              </w:rPr>
              <w:t>（含税全包价）</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1.3 本合同标的包含货物本身、配套软件、安装调试、技术培训、售后服务等全部相关内容，乙方不得拆分标的或另行收取费用。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2 合同价款及结算说明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2.1 本合同总价款为人民币</w:t>
      </w:r>
      <w:r>
        <w:rPr>
          <w:rStyle w:val="42"/>
          <w:rFonts w:hint="eastAsia" w:ascii="宋体" w:hAnsi="宋体" w:eastAsia="宋体" w:cs="宋体"/>
          <w:b/>
          <w:bCs/>
          <w:color w:val="auto"/>
          <w:kern w:val="0"/>
          <w:sz w:val="19"/>
          <w:szCs w:val="19"/>
          <w:highlight w:val="none"/>
          <w:lang w:val="en-US" w:eastAsia="zh-CN" w:bidi="ar"/>
        </w:rPr>
        <w:t>0</w:t>
      </w:r>
      <w:r>
        <w:rPr>
          <w:rStyle w:val="42"/>
          <w:rFonts w:ascii="宋体" w:hAnsi="宋体" w:eastAsia="宋体" w:cs="宋体"/>
          <w:b/>
          <w:bCs/>
          <w:color w:val="auto"/>
          <w:kern w:val="0"/>
          <w:sz w:val="19"/>
          <w:szCs w:val="19"/>
          <w:highlight w:val="none"/>
          <w:lang w:val="en-US" w:eastAsia="zh-CN" w:bidi="ar"/>
        </w:rPr>
        <w:t>.00 元（大写：</w:t>
      </w:r>
      <w:r>
        <w:rPr>
          <w:rStyle w:val="42"/>
          <w:rFonts w:hint="eastAsia" w:ascii="宋体" w:hAnsi="宋体" w:eastAsia="宋体" w:cs="宋体"/>
          <w:b/>
          <w:bCs/>
          <w:color w:val="auto"/>
          <w:kern w:val="0"/>
          <w:sz w:val="19"/>
          <w:szCs w:val="19"/>
          <w:highlight w:val="none"/>
          <w:lang w:val="en-US" w:eastAsia="zh-CN" w:bidi="ar"/>
        </w:rPr>
        <w:t>XXX</w:t>
      </w:r>
      <w:r>
        <w:rPr>
          <w:rStyle w:val="42"/>
          <w:rFonts w:ascii="宋体" w:hAnsi="宋体" w:eastAsia="宋体" w:cs="宋体"/>
          <w:b/>
          <w:bCs/>
          <w:color w:val="auto"/>
          <w:kern w:val="0"/>
          <w:sz w:val="19"/>
          <w:szCs w:val="19"/>
          <w:highlight w:val="none"/>
          <w:lang w:val="en-US" w:eastAsia="zh-CN" w:bidi="ar"/>
        </w:rPr>
        <w:t>元整）</w:t>
      </w:r>
      <w:r>
        <w:rPr>
          <w:rFonts w:ascii="宋体" w:hAnsi="宋体" w:eastAsia="宋体" w:cs="宋体"/>
          <w:color w:val="auto"/>
          <w:kern w:val="0"/>
          <w:sz w:val="19"/>
          <w:szCs w:val="19"/>
          <w:highlight w:val="none"/>
          <w:lang w:val="en-US" w:eastAsia="zh-CN" w:bidi="ar"/>
        </w:rPr>
        <w:t>，该价款为</w:t>
      </w:r>
      <w:r>
        <w:rPr>
          <w:rStyle w:val="42"/>
          <w:rFonts w:ascii="宋体" w:hAnsi="宋体" w:eastAsia="宋体" w:cs="宋体"/>
          <w:b/>
          <w:bCs/>
          <w:color w:val="auto"/>
          <w:kern w:val="0"/>
          <w:sz w:val="19"/>
          <w:szCs w:val="19"/>
          <w:highlight w:val="none"/>
          <w:lang w:val="en-US" w:eastAsia="zh-CN" w:bidi="ar"/>
        </w:rPr>
        <w:t>固定总价</w:t>
      </w:r>
      <w:r>
        <w:rPr>
          <w:rFonts w:ascii="宋体" w:hAnsi="宋体" w:eastAsia="宋体" w:cs="宋体"/>
          <w:color w:val="auto"/>
          <w:kern w:val="0"/>
          <w:sz w:val="19"/>
          <w:szCs w:val="19"/>
          <w:highlight w:val="none"/>
          <w:lang w:val="en-US" w:eastAsia="zh-CN" w:bidi="ar"/>
        </w:rPr>
        <w:t>，在合同执行期间不因市场价格波动、政策调整等任何因素变更。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2.2 本合同总价款为含税价，包含货物设计、制造、包装、仓储、运输、装卸、安装、调试、验收合格前的全部费用，以及保修期内备品备件、伴随服务、售后服务、技术培训等全部费用，无任何价外费用。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2.3 乙方须向</w:t>
      </w:r>
      <w:r>
        <w:rPr>
          <w:rFonts w:ascii="宋体" w:hAnsi="宋体" w:eastAsia="宋体" w:cs="宋体"/>
          <w:b w:val="0"/>
          <w:bCs w:val="0"/>
          <w:color w:val="auto"/>
          <w:kern w:val="0"/>
          <w:sz w:val="19"/>
          <w:szCs w:val="19"/>
          <w:highlight w:val="none"/>
          <w:lang w:val="en-US" w:eastAsia="zh-CN" w:bidi="ar"/>
        </w:rPr>
        <w:t>甲方开具</w:t>
      </w:r>
      <w:r>
        <w:rPr>
          <w:rStyle w:val="42"/>
          <w:rFonts w:ascii="宋体" w:hAnsi="宋体" w:eastAsia="宋体" w:cs="宋体"/>
          <w:b w:val="0"/>
          <w:bCs w:val="0"/>
          <w:color w:val="auto"/>
          <w:kern w:val="0"/>
          <w:sz w:val="19"/>
          <w:szCs w:val="19"/>
          <w:highlight w:val="none"/>
          <w:lang w:val="en-US" w:eastAsia="zh-CN" w:bidi="ar"/>
        </w:rPr>
        <w:t>合法有效、符合国家税收规定的增值税普通/专用发票</w:t>
      </w:r>
      <w:r>
        <w:rPr>
          <w:rFonts w:ascii="宋体" w:hAnsi="宋体" w:eastAsia="宋体" w:cs="宋体"/>
          <w:b w:val="0"/>
          <w:bCs w:val="0"/>
          <w:color w:val="auto"/>
          <w:kern w:val="0"/>
          <w:sz w:val="19"/>
          <w:szCs w:val="19"/>
          <w:highlight w:val="none"/>
          <w:lang w:val="en-US" w:eastAsia="zh-CN" w:bidi="ar"/>
        </w:rPr>
        <w:t>，发票信息须与甲方备案信息一致，否则甲方有权拒付货款，</w:t>
      </w:r>
      <w:r>
        <w:rPr>
          <w:rFonts w:ascii="宋体" w:hAnsi="宋体" w:eastAsia="宋体" w:cs="宋体"/>
          <w:color w:val="auto"/>
          <w:kern w:val="0"/>
          <w:sz w:val="19"/>
          <w:szCs w:val="19"/>
          <w:highlight w:val="none"/>
          <w:lang w:val="en-US" w:eastAsia="zh-CN" w:bidi="ar"/>
        </w:rPr>
        <w:t>且不承担违约责任。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3 权利与义务保证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3.1 乙方权利与义务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3.1.1 保证甲方在合同标的（含配套软件、硬件设备）使用期间，不受第三方就专利权、商标权、著作权、工业设计权等知识产权提出任何起诉、索赔；若发生知识产权侵权纠纷，乙方须承担全部法律责任及经济损失（包括甲方为维权支出的律师费、诉讼费、鉴定费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3.1.2 有权拒绝甲方提出的本合同标的范围外、与招投标文件约定不符的要求。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3.1.3 严格按照招投标文件及本合同约定履行义务，不得将合同义务转包、分包给第三方（经甲方书面同意的除外）。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3.2 甲方权利与义务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3.2.1 负责合同签订后项目实施的对接协调工作，现场安装调试时配备专人监管，及时配合乙方解决实施过程中的场地协调问题。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3.2.2 按照乙方要求，提供设备安装、调试、施工所需的场地、水、电、路等基础条件，相关费用由甲方承担（招标文件另有约定的除外）。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3.2.3 有权对乙方的供货、施工、安装调试过程进行监督，发现不符合约定的情形，有权要求乙方限期整改。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3.2.4 有权拒付合同约定外的任何费用，对乙方开具的不符合要求的发票，有权要求重新开具。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4 质量保证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4.1 乙方所供</w:t>
      </w:r>
      <w:r>
        <w:rPr>
          <w:rFonts w:ascii="宋体" w:hAnsi="宋体" w:eastAsia="宋体" w:cs="宋体"/>
          <w:b w:val="0"/>
          <w:bCs w:val="0"/>
          <w:color w:val="auto"/>
          <w:kern w:val="0"/>
          <w:sz w:val="19"/>
          <w:szCs w:val="19"/>
          <w:highlight w:val="none"/>
          <w:lang w:val="en-US" w:eastAsia="zh-CN" w:bidi="ar"/>
        </w:rPr>
        <w:t>货物必须为</w:t>
      </w:r>
      <w:r>
        <w:rPr>
          <w:rStyle w:val="42"/>
          <w:rFonts w:ascii="宋体" w:hAnsi="宋体" w:eastAsia="宋体" w:cs="宋体"/>
          <w:b w:val="0"/>
          <w:bCs w:val="0"/>
          <w:color w:val="auto"/>
          <w:kern w:val="0"/>
          <w:sz w:val="19"/>
          <w:szCs w:val="19"/>
          <w:highlight w:val="none"/>
          <w:lang w:val="en-US" w:eastAsia="zh-CN" w:bidi="ar"/>
        </w:rPr>
        <w:t>全新、未使用过的原装正品</w:t>
      </w:r>
      <w:r>
        <w:rPr>
          <w:rFonts w:ascii="宋体" w:hAnsi="宋体" w:eastAsia="宋体" w:cs="宋体"/>
          <w:b w:val="0"/>
          <w:bCs w:val="0"/>
          <w:color w:val="auto"/>
          <w:kern w:val="0"/>
          <w:sz w:val="19"/>
          <w:szCs w:val="19"/>
          <w:highlight w:val="none"/>
          <w:lang w:val="en-US" w:eastAsia="zh-CN" w:bidi="ar"/>
        </w:rPr>
        <w:t>，符合国家现行质量</w:t>
      </w:r>
      <w:r>
        <w:rPr>
          <w:rFonts w:ascii="宋体" w:hAnsi="宋体" w:eastAsia="宋体" w:cs="宋体"/>
          <w:color w:val="auto"/>
          <w:kern w:val="0"/>
          <w:sz w:val="19"/>
          <w:szCs w:val="19"/>
          <w:highlight w:val="none"/>
          <w:lang w:val="en-US" w:eastAsia="zh-CN" w:bidi="ar"/>
        </w:rPr>
        <w:t>检测标准、产品出厂标准及招投标文件约定的技术参数和配置要求，进口产品须提供国家海关、商检等部门的完整备案手续及中文说明书。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4.2 货物须附带完整的质量合格证明、保修卡、产品合格证、检测报告等资料，资料内容须与货物实际信息一致，不得提供虚假资料。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4.3 乙方对所供货物</w:t>
      </w:r>
      <w:r>
        <w:rPr>
          <w:rFonts w:ascii="宋体" w:hAnsi="宋体" w:eastAsia="宋体" w:cs="宋体"/>
          <w:b w:val="0"/>
          <w:bCs w:val="0"/>
          <w:color w:val="auto"/>
          <w:kern w:val="0"/>
          <w:sz w:val="19"/>
          <w:szCs w:val="19"/>
          <w:highlight w:val="none"/>
          <w:lang w:val="en-US" w:eastAsia="zh-CN" w:bidi="ar"/>
        </w:rPr>
        <w:t>承担</w:t>
      </w:r>
      <w:r>
        <w:rPr>
          <w:rStyle w:val="42"/>
          <w:rFonts w:ascii="宋体" w:hAnsi="宋体" w:eastAsia="宋体" w:cs="宋体"/>
          <w:b w:val="0"/>
          <w:bCs w:val="0"/>
          <w:color w:val="auto"/>
          <w:kern w:val="0"/>
          <w:sz w:val="19"/>
          <w:szCs w:val="19"/>
          <w:highlight w:val="none"/>
          <w:lang w:val="en-US" w:eastAsia="zh-CN" w:bidi="ar"/>
        </w:rPr>
        <w:t>质量瑕疵担保责任</w:t>
      </w:r>
      <w:r>
        <w:rPr>
          <w:rFonts w:ascii="宋体" w:hAnsi="宋体" w:eastAsia="宋体" w:cs="宋体"/>
          <w:b w:val="0"/>
          <w:bCs w:val="0"/>
          <w:color w:val="auto"/>
          <w:kern w:val="0"/>
          <w:sz w:val="19"/>
          <w:szCs w:val="19"/>
          <w:highlight w:val="none"/>
          <w:lang w:val="en-US" w:eastAsia="zh-CN" w:bidi="ar"/>
        </w:rPr>
        <w:t>，在验</w:t>
      </w:r>
      <w:r>
        <w:rPr>
          <w:rFonts w:ascii="宋体" w:hAnsi="宋体" w:eastAsia="宋体" w:cs="宋体"/>
          <w:color w:val="auto"/>
          <w:kern w:val="0"/>
          <w:sz w:val="19"/>
          <w:szCs w:val="19"/>
          <w:highlight w:val="none"/>
          <w:lang w:val="en-US" w:eastAsia="zh-CN" w:bidi="ar"/>
        </w:rPr>
        <w:t>收合格前，若发现货物存在质量问题、规格不符、破损等情形，乙方须在</w:t>
      </w:r>
      <w:r>
        <w:rPr>
          <w:rStyle w:val="42"/>
          <w:rFonts w:hint="eastAsia" w:ascii="宋体" w:hAnsi="宋体" w:eastAsia="宋体" w:cs="宋体"/>
          <w:b/>
          <w:bCs/>
          <w:color w:val="auto"/>
          <w:kern w:val="0"/>
          <w:sz w:val="19"/>
          <w:szCs w:val="19"/>
          <w:highlight w:val="none"/>
          <w:lang w:val="en-US" w:eastAsia="zh-CN" w:bidi="ar"/>
        </w:rPr>
        <w:t>7</w:t>
      </w:r>
      <w:r>
        <w:rPr>
          <w:rStyle w:val="42"/>
          <w:rFonts w:ascii="宋体" w:hAnsi="宋体" w:eastAsia="宋体" w:cs="宋体"/>
          <w:b/>
          <w:bCs/>
          <w:color w:val="auto"/>
          <w:kern w:val="0"/>
          <w:sz w:val="19"/>
          <w:szCs w:val="19"/>
          <w:highlight w:val="none"/>
          <w:lang w:val="en-US" w:eastAsia="zh-CN" w:bidi="ar"/>
        </w:rPr>
        <w:t>个工作日内</w:t>
      </w:r>
      <w:r>
        <w:rPr>
          <w:rFonts w:ascii="宋体" w:hAnsi="宋体" w:eastAsia="宋体" w:cs="宋体"/>
          <w:color w:val="auto"/>
          <w:kern w:val="0"/>
          <w:sz w:val="19"/>
          <w:szCs w:val="19"/>
          <w:highlight w:val="none"/>
          <w:lang w:val="en-US" w:eastAsia="zh-CN" w:bidi="ar"/>
        </w:rPr>
        <w:t>无条件更换合格货物，并承担由此产生的运输、装卸等全部费用；若因质量问题给甲方造成损失的，乙方须依法赔偿。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4.4 货物质量保证期自</w:t>
      </w:r>
      <w:r>
        <w:rPr>
          <w:rStyle w:val="42"/>
          <w:rFonts w:ascii="宋体" w:hAnsi="宋体" w:eastAsia="宋体" w:cs="宋体"/>
          <w:b w:val="0"/>
          <w:bCs w:val="0"/>
          <w:color w:val="auto"/>
          <w:kern w:val="0"/>
          <w:sz w:val="19"/>
          <w:szCs w:val="19"/>
          <w:highlight w:val="none"/>
          <w:lang w:val="en-US" w:eastAsia="zh-CN" w:bidi="ar"/>
        </w:rPr>
        <w:t>最终验收合格之日</w:t>
      </w:r>
      <w:r>
        <w:rPr>
          <w:rFonts w:ascii="宋体" w:hAnsi="宋体" w:eastAsia="宋体" w:cs="宋体"/>
          <w:color w:val="auto"/>
          <w:kern w:val="0"/>
          <w:sz w:val="19"/>
          <w:szCs w:val="19"/>
          <w:highlight w:val="none"/>
          <w:lang w:val="en-US" w:eastAsia="zh-CN" w:bidi="ar"/>
        </w:rPr>
        <w:t>起计算，质保期内，因设计、工艺、材料等乙方原因造成的货物故障或损坏，乙方须免费维修、更换，且不得降低更换部件的质量标准。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5 售后服务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5.1 本合同所有货物（不含耗材）的</w:t>
      </w:r>
      <w:r>
        <w:rPr>
          <w:rStyle w:val="42"/>
          <w:rFonts w:ascii="宋体" w:hAnsi="宋体" w:eastAsia="宋体" w:cs="宋体"/>
          <w:b w:val="0"/>
          <w:bCs w:val="0"/>
          <w:color w:val="auto"/>
          <w:kern w:val="0"/>
          <w:sz w:val="19"/>
          <w:szCs w:val="19"/>
          <w:highlight w:val="none"/>
          <w:lang w:val="en-US" w:eastAsia="zh-CN" w:bidi="ar"/>
        </w:rPr>
        <w:t>质量保证期为</w:t>
      </w:r>
      <w:r>
        <w:rPr>
          <w:rStyle w:val="42"/>
          <w:rFonts w:ascii="宋体" w:hAnsi="宋体" w:eastAsia="宋体" w:cs="宋体"/>
          <w:b/>
          <w:bCs/>
          <w:color w:val="auto"/>
          <w:kern w:val="0"/>
          <w:sz w:val="19"/>
          <w:szCs w:val="19"/>
          <w:highlight w:val="none"/>
          <w:lang w:val="en-US" w:eastAsia="zh-CN" w:bidi="ar"/>
        </w:rPr>
        <w:t xml:space="preserve"> 36 </w:t>
      </w:r>
      <w:r>
        <w:rPr>
          <w:rStyle w:val="42"/>
          <w:rFonts w:ascii="宋体" w:hAnsi="宋体" w:eastAsia="宋体" w:cs="宋体"/>
          <w:b w:val="0"/>
          <w:bCs w:val="0"/>
          <w:color w:val="auto"/>
          <w:kern w:val="0"/>
          <w:sz w:val="19"/>
          <w:szCs w:val="19"/>
          <w:highlight w:val="none"/>
          <w:lang w:val="en-US" w:eastAsia="zh-CN" w:bidi="ar"/>
        </w:rPr>
        <w:t>个月</w:t>
      </w:r>
      <w:r>
        <w:rPr>
          <w:rFonts w:ascii="宋体" w:hAnsi="宋体" w:eastAsia="宋体" w:cs="宋体"/>
          <w:color w:val="auto"/>
          <w:kern w:val="0"/>
          <w:sz w:val="19"/>
          <w:szCs w:val="19"/>
          <w:highlight w:val="none"/>
          <w:lang w:val="en-US" w:eastAsia="zh-CN" w:bidi="ar"/>
        </w:rPr>
        <w:t>，耗材的质保期按产品出厂标准执行，乙方须在合同中明确耗材明细及质保期限。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5.2 质保期内，甲方反馈货物故障后，乙方须在</w:t>
      </w:r>
      <w:r>
        <w:rPr>
          <w:rFonts w:hint="eastAsia" w:ascii="宋体" w:hAnsi="宋体" w:eastAsia="宋体" w:cs="宋体"/>
          <w:color w:val="auto"/>
          <w:kern w:val="0"/>
          <w:sz w:val="19"/>
          <w:szCs w:val="19"/>
          <w:highlight w:val="none"/>
          <w:lang w:val="en-US" w:eastAsia="zh-CN" w:bidi="ar"/>
        </w:rPr>
        <w:t>2</w:t>
      </w:r>
      <w:r>
        <w:rPr>
          <w:rStyle w:val="42"/>
          <w:rFonts w:ascii="宋体" w:hAnsi="宋体" w:eastAsia="宋体" w:cs="宋体"/>
          <w:b w:val="0"/>
          <w:bCs w:val="0"/>
          <w:color w:val="auto"/>
          <w:kern w:val="0"/>
          <w:sz w:val="19"/>
          <w:szCs w:val="19"/>
          <w:highlight w:val="none"/>
          <w:lang w:val="en-US" w:eastAsia="zh-CN" w:bidi="ar"/>
        </w:rPr>
        <w:t>小时内</w:t>
      </w:r>
      <w:r>
        <w:rPr>
          <w:rFonts w:ascii="宋体" w:hAnsi="宋体" w:eastAsia="宋体" w:cs="宋体"/>
          <w:color w:val="auto"/>
          <w:kern w:val="0"/>
          <w:sz w:val="19"/>
          <w:szCs w:val="19"/>
          <w:highlight w:val="none"/>
          <w:lang w:val="en-US" w:eastAsia="zh-CN" w:bidi="ar"/>
        </w:rPr>
        <w:t>通过电话、邮件等方式给出书面答复及解决方案；一般故障须在</w:t>
      </w:r>
      <w:r>
        <w:rPr>
          <w:rStyle w:val="42"/>
          <w:rFonts w:hint="eastAsia" w:ascii="宋体" w:hAnsi="宋体" w:eastAsia="宋体" w:cs="宋体"/>
          <w:b w:val="0"/>
          <w:bCs w:val="0"/>
          <w:color w:val="auto"/>
          <w:kern w:val="0"/>
          <w:sz w:val="19"/>
          <w:szCs w:val="19"/>
          <w:highlight w:val="none"/>
          <w:lang w:val="en-US" w:eastAsia="zh-CN" w:bidi="ar"/>
        </w:rPr>
        <w:t>24</w:t>
      </w:r>
      <w:r>
        <w:rPr>
          <w:rStyle w:val="42"/>
          <w:rFonts w:ascii="宋体" w:hAnsi="宋体" w:eastAsia="宋体" w:cs="宋体"/>
          <w:b w:val="0"/>
          <w:bCs w:val="0"/>
          <w:color w:val="auto"/>
          <w:kern w:val="0"/>
          <w:sz w:val="19"/>
          <w:szCs w:val="19"/>
          <w:highlight w:val="none"/>
          <w:lang w:val="en-US" w:eastAsia="zh-CN" w:bidi="ar"/>
        </w:rPr>
        <w:t>小时内</w:t>
      </w:r>
      <w:r>
        <w:rPr>
          <w:rFonts w:ascii="宋体" w:hAnsi="宋体" w:eastAsia="宋体" w:cs="宋体"/>
          <w:color w:val="auto"/>
          <w:kern w:val="0"/>
          <w:sz w:val="19"/>
          <w:szCs w:val="19"/>
          <w:highlight w:val="none"/>
          <w:lang w:val="en-US" w:eastAsia="zh-CN" w:bidi="ar"/>
        </w:rPr>
        <w:t>派员到场完成维修或更换，特殊复杂故障须出具书面处理方案，明确维修时限（最长不超过48小时），确保设备正常运行。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5.3 乙方须保证质保期内及质保期满后</w:t>
      </w:r>
      <w:r>
        <w:rPr>
          <w:rStyle w:val="42"/>
          <w:rFonts w:ascii="宋体" w:hAnsi="宋体" w:eastAsia="宋体" w:cs="宋体"/>
          <w:b/>
          <w:bCs/>
          <w:color w:val="auto"/>
          <w:kern w:val="0"/>
          <w:sz w:val="19"/>
          <w:szCs w:val="19"/>
          <w:highlight w:val="none"/>
          <w:lang w:val="en-US" w:eastAsia="zh-CN" w:bidi="ar"/>
        </w:rPr>
        <w:t>5</w:t>
      </w:r>
      <w:r>
        <w:rPr>
          <w:rStyle w:val="42"/>
          <w:rFonts w:ascii="宋体" w:hAnsi="宋体" w:eastAsia="宋体" w:cs="宋体"/>
          <w:b w:val="0"/>
          <w:bCs w:val="0"/>
          <w:color w:val="auto"/>
          <w:kern w:val="0"/>
          <w:sz w:val="19"/>
          <w:szCs w:val="19"/>
          <w:highlight w:val="none"/>
          <w:lang w:val="en-US" w:eastAsia="zh-CN" w:bidi="ar"/>
        </w:rPr>
        <w:t>年内</w:t>
      </w:r>
      <w:r>
        <w:rPr>
          <w:rFonts w:ascii="宋体" w:hAnsi="宋体" w:eastAsia="宋体" w:cs="宋体"/>
          <w:color w:val="auto"/>
          <w:kern w:val="0"/>
          <w:sz w:val="19"/>
          <w:szCs w:val="19"/>
          <w:highlight w:val="none"/>
          <w:lang w:val="en-US" w:eastAsia="zh-CN" w:bidi="ar"/>
        </w:rPr>
        <w:t>的仪器零配件供应，零配件价格不得高于市场同期公允价格，且不得无故拒绝供应。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5.4 乙方须为甲方提供</w:t>
      </w:r>
      <w:r>
        <w:rPr>
          <w:rStyle w:val="42"/>
          <w:rFonts w:ascii="宋体" w:hAnsi="宋体" w:eastAsia="宋体" w:cs="宋体"/>
          <w:b w:val="0"/>
          <w:bCs w:val="0"/>
          <w:color w:val="auto"/>
          <w:kern w:val="0"/>
          <w:sz w:val="19"/>
          <w:szCs w:val="19"/>
          <w:highlight w:val="none"/>
          <w:lang w:val="en-US" w:eastAsia="zh-CN" w:bidi="ar"/>
        </w:rPr>
        <w:t>免费的技术培训</w:t>
      </w:r>
      <w:r>
        <w:rPr>
          <w:rFonts w:ascii="宋体" w:hAnsi="宋体" w:eastAsia="宋体" w:cs="宋体"/>
          <w:color w:val="auto"/>
          <w:kern w:val="0"/>
          <w:sz w:val="19"/>
          <w:szCs w:val="19"/>
          <w:highlight w:val="none"/>
          <w:lang w:val="en-US" w:eastAsia="zh-CN" w:bidi="ar"/>
        </w:rPr>
        <w:t>，培训内容包括设备操作、日常维护、故障排查等，培训方式可采用现场或线上形式，确保甲方工作人员能独立操作及基本维护；培训完成后，甲方须出具培训确认单。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5.5 乙方须向甲方提供</w:t>
      </w:r>
      <w:r>
        <w:rPr>
          <w:rStyle w:val="42"/>
          <w:rFonts w:ascii="宋体" w:hAnsi="宋体" w:eastAsia="宋体" w:cs="宋体"/>
          <w:b w:val="0"/>
          <w:bCs w:val="0"/>
          <w:color w:val="auto"/>
          <w:kern w:val="0"/>
          <w:sz w:val="19"/>
          <w:szCs w:val="19"/>
          <w:highlight w:val="none"/>
          <w:lang w:val="en-US" w:eastAsia="zh-CN" w:bidi="ar"/>
        </w:rPr>
        <w:t>云南省内的维修服务中心、特约维修站</w:t>
      </w:r>
      <w:r>
        <w:rPr>
          <w:rFonts w:ascii="宋体" w:hAnsi="宋体" w:eastAsia="宋体" w:cs="宋体"/>
          <w:color w:val="auto"/>
          <w:kern w:val="0"/>
          <w:sz w:val="19"/>
          <w:szCs w:val="19"/>
          <w:highlight w:val="none"/>
          <w:lang w:val="en-US" w:eastAsia="zh-CN" w:bidi="ar"/>
        </w:rPr>
        <w:t>等售后服务网点的详细名单（含地址、联系电话、负责人、服务范围），并指定专人作为本项目售后服务联系人：售后服务联系人：__________ 联系电话：__________ 备用电话：__________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5.6 质保期满后，乙方仍须为甲方提供终身有偿维修服务，维修费用按成本价收取，且须在接到甲方通知后</w:t>
      </w:r>
      <w:r>
        <w:rPr>
          <w:rFonts w:hint="eastAsia" w:ascii="宋体" w:hAnsi="宋体" w:eastAsia="宋体" w:cs="宋体"/>
          <w:color w:val="auto"/>
          <w:kern w:val="0"/>
          <w:sz w:val="19"/>
          <w:szCs w:val="19"/>
          <w:highlight w:val="none"/>
          <w:lang w:val="en-US" w:eastAsia="zh-CN" w:bidi="ar"/>
        </w:rPr>
        <w:t>24</w:t>
      </w:r>
      <w:r>
        <w:rPr>
          <w:rFonts w:ascii="宋体" w:hAnsi="宋体" w:eastAsia="宋体" w:cs="宋体"/>
          <w:color w:val="auto"/>
          <w:kern w:val="0"/>
          <w:sz w:val="19"/>
          <w:szCs w:val="19"/>
          <w:highlight w:val="none"/>
          <w:lang w:val="en-US" w:eastAsia="zh-CN" w:bidi="ar"/>
        </w:rPr>
        <w:t>小时内响应。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6 交货、施工及交验要求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 xml:space="preserve">6.1 </w:t>
      </w:r>
      <w:r>
        <w:rPr>
          <w:rStyle w:val="42"/>
          <w:rFonts w:ascii="宋体" w:hAnsi="宋体" w:eastAsia="宋体" w:cs="宋体"/>
          <w:b/>
          <w:bCs/>
          <w:color w:val="auto"/>
          <w:kern w:val="0"/>
          <w:sz w:val="19"/>
          <w:szCs w:val="19"/>
          <w:highlight w:val="none"/>
          <w:lang w:val="en-US" w:eastAsia="zh-CN" w:bidi="ar"/>
        </w:rPr>
        <w:t>交货期</w:t>
      </w:r>
      <w:r>
        <w:rPr>
          <w:rFonts w:ascii="宋体" w:hAnsi="宋体" w:eastAsia="宋体" w:cs="宋体"/>
          <w:color w:val="auto"/>
          <w:kern w:val="0"/>
          <w:sz w:val="19"/>
          <w:szCs w:val="19"/>
          <w:highlight w:val="none"/>
          <w:lang w:val="en-US" w:eastAsia="zh-CN" w:bidi="ar"/>
        </w:rPr>
        <w:t>：乙方须在本合同签订之日起</w:t>
      </w:r>
      <w:r>
        <w:rPr>
          <w:rStyle w:val="42"/>
          <w:rFonts w:ascii="宋体" w:hAnsi="宋体" w:eastAsia="宋体" w:cs="宋体"/>
          <w:b/>
          <w:bCs/>
          <w:color w:val="auto"/>
          <w:kern w:val="0"/>
          <w:sz w:val="19"/>
          <w:szCs w:val="19"/>
          <w:highlight w:val="none"/>
          <w:lang w:val="en-US" w:eastAsia="zh-CN" w:bidi="ar"/>
        </w:rPr>
        <w:t>20</w:t>
      </w:r>
      <w:r>
        <w:rPr>
          <w:rStyle w:val="42"/>
          <w:rFonts w:ascii="宋体" w:hAnsi="宋体" w:eastAsia="宋体" w:cs="宋体"/>
          <w:b w:val="0"/>
          <w:bCs w:val="0"/>
          <w:color w:val="auto"/>
          <w:kern w:val="0"/>
          <w:sz w:val="19"/>
          <w:szCs w:val="19"/>
          <w:highlight w:val="none"/>
          <w:lang w:val="en-US" w:eastAsia="zh-CN" w:bidi="ar"/>
        </w:rPr>
        <w:t>个日历天内</w:t>
      </w:r>
      <w:r>
        <w:rPr>
          <w:rFonts w:ascii="宋体" w:hAnsi="宋体" w:eastAsia="宋体" w:cs="宋体"/>
          <w:color w:val="auto"/>
          <w:kern w:val="0"/>
          <w:sz w:val="19"/>
          <w:szCs w:val="19"/>
          <w:highlight w:val="none"/>
          <w:lang w:val="en-US" w:eastAsia="zh-CN" w:bidi="ar"/>
        </w:rPr>
        <w:t>完成全部货物的供货、安装、调试，并达到试运行条件；因甲方原因导致工期延误的，交货期相应顺延，乙方不承担违约责任。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 xml:space="preserve">6.2 </w:t>
      </w:r>
      <w:r>
        <w:rPr>
          <w:rStyle w:val="42"/>
          <w:rFonts w:ascii="宋体" w:hAnsi="宋体" w:eastAsia="宋体" w:cs="宋体"/>
          <w:b/>
          <w:bCs/>
          <w:color w:val="auto"/>
          <w:kern w:val="0"/>
          <w:sz w:val="19"/>
          <w:szCs w:val="19"/>
          <w:highlight w:val="none"/>
          <w:lang w:val="en-US" w:eastAsia="zh-CN" w:bidi="ar"/>
        </w:rPr>
        <w:t>交货及施工地点</w:t>
      </w:r>
      <w:r>
        <w:rPr>
          <w:rFonts w:ascii="宋体" w:hAnsi="宋体" w:eastAsia="宋体" w:cs="宋体"/>
          <w:color w:val="auto"/>
          <w:kern w:val="0"/>
          <w:sz w:val="19"/>
          <w:szCs w:val="19"/>
          <w:highlight w:val="none"/>
          <w:lang w:val="en-US" w:eastAsia="zh-CN" w:bidi="ar"/>
        </w:rPr>
        <w:t>：</w:t>
      </w:r>
      <w:r>
        <w:rPr>
          <w:rFonts w:ascii="宋体" w:hAnsi="宋体" w:eastAsia="宋体" w:cs="宋体"/>
          <w:color w:val="auto"/>
          <w:kern w:val="0"/>
          <w:sz w:val="19"/>
          <w:szCs w:val="19"/>
          <w:highlight w:val="none"/>
          <w:lang w:val="en-US" w:eastAsia="zh-CN" w:bidi="ar"/>
        </w:rPr>
        <w:t>楚雄师范学院指定地点（__________）。</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6.3 交验及施工要求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6.3.1 乙方须将完整配套的原封货物送达指定地点，由甲乙双方共同开箱初验，核对货物品牌、型号、数量、外观等，初验合格后签署《货物初验单》；初验不合格的，乙方须在</w:t>
      </w:r>
      <w:r>
        <w:rPr>
          <w:rFonts w:hint="eastAsia" w:ascii="宋体" w:hAnsi="宋体" w:eastAsia="宋体" w:cs="宋体"/>
          <w:color w:val="auto"/>
          <w:kern w:val="0"/>
          <w:sz w:val="19"/>
          <w:szCs w:val="19"/>
          <w:highlight w:val="none"/>
          <w:lang w:val="en-US" w:eastAsia="zh-CN" w:bidi="ar"/>
        </w:rPr>
        <w:t>7</w:t>
      </w:r>
      <w:r>
        <w:rPr>
          <w:rFonts w:ascii="宋体" w:hAnsi="宋体" w:eastAsia="宋体" w:cs="宋体"/>
          <w:color w:val="auto"/>
          <w:kern w:val="0"/>
          <w:sz w:val="19"/>
          <w:szCs w:val="19"/>
          <w:highlight w:val="none"/>
          <w:lang w:val="en-US" w:eastAsia="zh-CN" w:bidi="ar"/>
        </w:rPr>
        <w:t>个工作日内更换，直至初验合格。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6.3.2 乙方负责货物的安装、调试、加电测试等全部工作，施工过程须严格遵守《中华人民共和国安全生产法》《中华人民共和国建筑法》等法律法规及甲方校园管理规定，制定完善的施工安全方案，配备安全防护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6.3.3 施工过程中，乙方须采取有效措施保护甲方原有设备、线路、场地等设施，若造成损坏，乙方须按甲方要求</w:t>
      </w:r>
      <w:r>
        <w:rPr>
          <w:rStyle w:val="42"/>
          <w:rFonts w:ascii="宋体" w:hAnsi="宋体" w:eastAsia="宋体" w:cs="宋体"/>
          <w:b w:val="0"/>
          <w:bCs w:val="0"/>
          <w:color w:val="auto"/>
          <w:kern w:val="0"/>
          <w:sz w:val="19"/>
          <w:szCs w:val="19"/>
          <w:highlight w:val="none"/>
          <w:lang w:val="en-US" w:eastAsia="zh-CN" w:bidi="ar"/>
        </w:rPr>
        <w:t>无偿维修、更换</w:t>
      </w:r>
      <w:r>
        <w:rPr>
          <w:rFonts w:ascii="宋体" w:hAnsi="宋体" w:eastAsia="宋体" w:cs="宋体"/>
          <w:color w:val="auto"/>
          <w:kern w:val="0"/>
          <w:sz w:val="19"/>
          <w:szCs w:val="19"/>
          <w:highlight w:val="none"/>
          <w:lang w:val="en-US" w:eastAsia="zh-CN" w:bidi="ar"/>
        </w:rPr>
        <w:t>，并承担由此产生的全部损失。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6.3.4 乙方对施工全过程的安全负责，若发生安全事故，由乙方承担全部法律责任及经济损失，甲方不承担任何责任；施工人员的人身意外伤害保险由乙方统一购买。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6.4 资料交付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乙方交货时，须向甲方一次性交付以下资料（均为原件或加盖乙方公章的复印件，一式三份），资料不全的，视为未按合同约定交货，甲方有权拒收：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6.4.1 货物装箱清单、质量合格证、保修卡、检测报告；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6.4.2 设备操作手册、使用指南、维修手册、安装调试说明书、服务手册等；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6.4.3 配套软件的安装光盘、授权文件、使用许可协议；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6.4.4 随机工具、备品备件清单；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6.4.5 招投标文件约定的其他资料。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7 验收标准及程序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7.1 本项目验收</w:t>
      </w:r>
      <w:r>
        <w:rPr>
          <w:rStyle w:val="42"/>
          <w:rFonts w:ascii="宋体" w:hAnsi="宋体" w:eastAsia="宋体" w:cs="宋体"/>
          <w:b w:val="0"/>
          <w:bCs w:val="0"/>
          <w:color w:val="auto"/>
          <w:kern w:val="0"/>
          <w:sz w:val="19"/>
          <w:szCs w:val="19"/>
          <w:highlight w:val="none"/>
          <w:lang w:val="en-US" w:eastAsia="zh-CN" w:bidi="ar"/>
        </w:rPr>
        <w:t>以国家现行标准、招投标文件、乙方投标文件及本合同约定</w:t>
      </w:r>
      <w:r>
        <w:rPr>
          <w:rFonts w:ascii="宋体" w:hAnsi="宋体" w:eastAsia="宋体" w:cs="宋体"/>
          <w:color w:val="auto"/>
          <w:kern w:val="0"/>
          <w:sz w:val="19"/>
          <w:szCs w:val="19"/>
          <w:highlight w:val="none"/>
          <w:lang w:val="en-US" w:eastAsia="zh-CN" w:bidi="ar"/>
        </w:rPr>
        <w:t>为验收依据。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7.2 设备安装调试完成后，乙方自行检查测试，做好《设备测试记录》，向甲方提出</w:t>
      </w:r>
      <w:r>
        <w:rPr>
          <w:rFonts w:hint="eastAsia" w:ascii="宋体" w:hAnsi="宋体" w:eastAsia="宋体" w:cs="宋体"/>
          <w:color w:val="auto"/>
          <w:kern w:val="0"/>
          <w:sz w:val="19"/>
          <w:szCs w:val="19"/>
          <w:highlight w:val="none"/>
          <w:lang w:val="en-US" w:eastAsia="zh-CN" w:bidi="ar"/>
        </w:rPr>
        <w:t>验收</w:t>
      </w:r>
      <w:r>
        <w:rPr>
          <w:rFonts w:ascii="宋体" w:hAnsi="宋体" w:eastAsia="宋体" w:cs="宋体"/>
          <w:color w:val="auto"/>
          <w:kern w:val="0"/>
          <w:sz w:val="19"/>
          <w:szCs w:val="19"/>
          <w:highlight w:val="none"/>
          <w:lang w:val="en-US" w:eastAsia="zh-CN" w:bidi="ar"/>
        </w:rPr>
        <w:t>申请；甲方在收到最终验收申请后10个工作日内，组织验收小组进行最终验收，验收合格的，双方签署《项目验收报告》，本项目正式交付使用；验收不合格的，乙方须在甲方要求的期限内整改，整改后仍不合格的，甲方有权解除合同，乙方须退还已收货款，并承担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 xml:space="preserve">7.3 </w:t>
      </w:r>
      <w:r>
        <w:rPr>
          <w:rFonts w:hint="eastAsia" w:ascii="宋体" w:hAnsi="宋体" w:eastAsia="宋体" w:cs="宋体"/>
          <w:color w:val="auto"/>
          <w:kern w:val="0"/>
          <w:sz w:val="19"/>
          <w:szCs w:val="19"/>
          <w:highlight w:val="none"/>
          <w:lang w:val="en-US" w:eastAsia="zh-CN" w:bidi="ar"/>
        </w:rPr>
        <w:t>验收完成进入</w:t>
      </w:r>
      <w:r>
        <w:rPr>
          <w:rFonts w:ascii="宋体" w:hAnsi="宋体" w:eastAsia="宋体" w:cs="宋体"/>
          <w:color w:val="auto"/>
          <w:kern w:val="0"/>
          <w:sz w:val="19"/>
          <w:szCs w:val="19"/>
          <w:highlight w:val="none"/>
          <w:lang w:val="en-US" w:eastAsia="zh-CN" w:bidi="ar"/>
        </w:rPr>
        <w:t>试运行期间，乙方须安排专人现场值守，记录设备运行数据，及时处理运行过程中的问题；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7.</w:t>
      </w:r>
      <w:r>
        <w:rPr>
          <w:rFonts w:hint="eastAsia" w:ascii="宋体" w:hAnsi="宋体" w:eastAsia="宋体" w:cs="宋体"/>
          <w:color w:val="auto"/>
          <w:kern w:val="0"/>
          <w:sz w:val="19"/>
          <w:szCs w:val="19"/>
          <w:highlight w:val="none"/>
          <w:lang w:val="en-US" w:eastAsia="zh-CN" w:bidi="ar"/>
        </w:rPr>
        <w:t>4</w:t>
      </w:r>
      <w:r>
        <w:rPr>
          <w:rFonts w:ascii="宋体" w:hAnsi="宋体" w:eastAsia="宋体" w:cs="宋体"/>
          <w:color w:val="auto"/>
          <w:kern w:val="0"/>
          <w:sz w:val="19"/>
          <w:szCs w:val="19"/>
          <w:highlight w:val="none"/>
          <w:lang w:val="en-US" w:eastAsia="zh-CN" w:bidi="ar"/>
        </w:rPr>
        <w:t xml:space="preserve"> 乙方须向甲方提供</w:t>
      </w:r>
      <w:r>
        <w:rPr>
          <w:rStyle w:val="42"/>
          <w:rFonts w:hint="eastAsia" w:ascii="宋体" w:hAnsi="宋体" w:eastAsia="宋体" w:cs="宋体"/>
          <w:b w:val="0"/>
          <w:bCs w:val="0"/>
          <w:color w:val="auto"/>
          <w:kern w:val="0"/>
          <w:sz w:val="19"/>
          <w:szCs w:val="19"/>
          <w:highlight w:val="none"/>
          <w:lang w:val="en-US" w:eastAsia="zh-CN" w:bidi="ar"/>
        </w:rPr>
        <w:t>两</w:t>
      </w:r>
      <w:r>
        <w:rPr>
          <w:rStyle w:val="42"/>
          <w:rFonts w:ascii="宋体" w:hAnsi="宋体" w:eastAsia="宋体" w:cs="宋体"/>
          <w:b w:val="0"/>
          <w:bCs w:val="0"/>
          <w:color w:val="auto"/>
          <w:kern w:val="0"/>
          <w:sz w:val="19"/>
          <w:szCs w:val="19"/>
          <w:highlight w:val="none"/>
          <w:lang w:val="en-US" w:eastAsia="zh-CN" w:bidi="ar"/>
        </w:rPr>
        <w:t>套完整的项目验收资料</w:t>
      </w:r>
      <w:r>
        <w:rPr>
          <w:rStyle w:val="42"/>
          <w:rFonts w:hint="eastAsia" w:ascii="宋体" w:hAnsi="宋体" w:eastAsia="宋体" w:cs="宋体"/>
          <w:b w:val="0"/>
          <w:bCs w:val="0"/>
          <w:color w:val="auto"/>
          <w:kern w:val="0"/>
          <w:sz w:val="19"/>
          <w:szCs w:val="19"/>
          <w:highlight w:val="none"/>
          <w:lang w:val="en-US" w:eastAsia="zh-CN" w:bidi="ar"/>
        </w:rPr>
        <w:t>（包含正本、副本，正本为原件，副本为复印件）</w:t>
      </w:r>
      <w:r>
        <w:rPr>
          <w:rFonts w:ascii="宋体" w:hAnsi="宋体" w:eastAsia="宋体" w:cs="宋体"/>
          <w:color w:val="auto"/>
          <w:kern w:val="0"/>
          <w:sz w:val="19"/>
          <w:szCs w:val="19"/>
          <w:highlight w:val="none"/>
          <w:lang w:val="en-US" w:eastAsia="zh-CN" w:bidi="ar"/>
        </w:rPr>
        <w:t>，内容包括但不限于：中标通知书、政府采购合同、方案报审文件、开工申请、设备材料报验资料（含合格证原件、条形码照片、检测报告）、设备维运手册、运行测试报告、项目验收申请、竣工验收报表、采购代理公司验收报告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7.6 若对验收结果存在争议，双方可共</w:t>
      </w:r>
      <w:r>
        <w:rPr>
          <w:rFonts w:ascii="宋体" w:hAnsi="宋体" w:eastAsia="宋体" w:cs="宋体"/>
          <w:b w:val="0"/>
          <w:bCs w:val="0"/>
          <w:color w:val="auto"/>
          <w:kern w:val="0"/>
          <w:sz w:val="19"/>
          <w:szCs w:val="19"/>
          <w:highlight w:val="none"/>
          <w:lang w:val="en-US" w:eastAsia="zh-CN" w:bidi="ar"/>
        </w:rPr>
        <w:t>同委托</w:t>
      </w:r>
      <w:r>
        <w:rPr>
          <w:rStyle w:val="42"/>
          <w:rFonts w:ascii="宋体" w:hAnsi="宋体" w:eastAsia="宋体" w:cs="宋体"/>
          <w:b w:val="0"/>
          <w:bCs w:val="0"/>
          <w:color w:val="auto"/>
          <w:kern w:val="0"/>
          <w:sz w:val="19"/>
          <w:szCs w:val="19"/>
          <w:highlight w:val="none"/>
          <w:lang w:val="en-US" w:eastAsia="zh-CN" w:bidi="ar"/>
        </w:rPr>
        <w:t>国家认可的第三方质量检测机构</w:t>
      </w:r>
      <w:r>
        <w:rPr>
          <w:rFonts w:ascii="宋体" w:hAnsi="宋体" w:eastAsia="宋体" w:cs="宋体"/>
          <w:b w:val="0"/>
          <w:bCs w:val="0"/>
          <w:color w:val="auto"/>
          <w:kern w:val="0"/>
          <w:sz w:val="19"/>
          <w:szCs w:val="19"/>
          <w:highlight w:val="none"/>
          <w:lang w:val="en-US" w:eastAsia="zh-CN" w:bidi="ar"/>
        </w:rPr>
        <w:t>进行</w:t>
      </w:r>
      <w:r>
        <w:rPr>
          <w:rFonts w:ascii="宋体" w:hAnsi="宋体" w:eastAsia="宋体" w:cs="宋体"/>
          <w:color w:val="auto"/>
          <w:kern w:val="0"/>
          <w:sz w:val="19"/>
          <w:szCs w:val="19"/>
          <w:highlight w:val="none"/>
          <w:lang w:val="en-US" w:eastAsia="zh-CN" w:bidi="ar"/>
        </w:rPr>
        <w:t>鉴定，鉴定费用由责任方承担；货物符合标准的，鉴定费由甲方承担；货物不符合标准的，鉴定费由乙方承担。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8 款项支付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8.1 本项目无预付款，全部货款在</w:t>
      </w:r>
      <w:r>
        <w:rPr>
          <w:rStyle w:val="42"/>
          <w:rFonts w:ascii="宋体" w:hAnsi="宋体" w:eastAsia="宋体" w:cs="宋体"/>
          <w:b/>
          <w:bCs/>
          <w:color w:val="auto"/>
          <w:kern w:val="0"/>
          <w:sz w:val="19"/>
          <w:szCs w:val="19"/>
          <w:highlight w:val="none"/>
          <w:lang w:val="en-US" w:eastAsia="zh-CN" w:bidi="ar"/>
        </w:rPr>
        <w:t>项目最终验收合格、乙方开具全额合法有效发票、售后服务全部落实后 30 个工作日内</w:t>
      </w:r>
      <w:r>
        <w:rPr>
          <w:rFonts w:ascii="宋体" w:hAnsi="宋体" w:eastAsia="宋体" w:cs="宋体"/>
          <w:color w:val="auto"/>
          <w:kern w:val="0"/>
          <w:sz w:val="19"/>
          <w:szCs w:val="19"/>
          <w:highlight w:val="none"/>
          <w:lang w:val="en-US" w:eastAsia="zh-CN" w:bidi="ar"/>
        </w:rPr>
        <w:t>，由甲方通过银行转账方式一次性支付至乙方指定账户。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8.2 乙方指定收款账户信息与本合同首部约定一致，若乙方需变更收款账户，须向甲方出具加盖公章的书面变更申请，经甲方书面确认后方可生效，否则甲方按原账户支付，视为履行完毕付款义务。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8.3 甲方付款前，乙方须向甲方提供以下付款资料（一式两份），资料不全的，甲方有权顺延付款，不承担违约责任：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8.3.1 全额增值税普通 / 专用发票；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8.3.2 《项目验收报告》（原件）；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8.3.</w:t>
      </w:r>
      <w:r>
        <w:rPr>
          <w:rFonts w:hint="eastAsia" w:ascii="宋体" w:hAnsi="宋体" w:eastAsia="宋体" w:cs="宋体"/>
          <w:color w:val="auto"/>
          <w:kern w:val="0"/>
          <w:sz w:val="19"/>
          <w:szCs w:val="19"/>
          <w:highlight w:val="none"/>
          <w:lang w:val="en-US" w:eastAsia="zh-CN" w:bidi="ar"/>
        </w:rPr>
        <w:t>3</w:t>
      </w:r>
      <w:r>
        <w:rPr>
          <w:rFonts w:ascii="宋体" w:hAnsi="宋体" w:eastAsia="宋体" w:cs="宋体"/>
          <w:color w:val="auto"/>
          <w:kern w:val="0"/>
          <w:sz w:val="19"/>
          <w:szCs w:val="19"/>
          <w:highlight w:val="none"/>
          <w:lang w:val="en-US" w:eastAsia="zh-CN" w:bidi="ar"/>
        </w:rPr>
        <w:t xml:space="preserve"> 甲方要求的其他资料。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9 违约责任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9.1 乙方违约责任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Style w:val="42"/>
          <w:rFonts w:ascii="宋体" w:hAnsi="宋体" w:eastAsia="宋体" w:cs="宋体"/>
          <w:b/>
          <w:bCs/>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9.1.1 乙方所供货物、安装调试结果与招投标文件及本合同约定不符的，甲方有权拒收，乙方须在</w:t>
      </w:r>
      <w:r>
        <w:rPr>
          <w:rFonts w:hint="eastAsia" w:ascii="宋体" w:hAnsi="宋体" w:eastAsia="宋体" w:cs="宋体"/>
          <w:color w:val="auto"/>
          <w:kern w:val="0"/>
          <w:sz w:val="19"/>
          <w:szCs w:val="19"/>
          <w:highlight w:val="none"/>
          <w:lang w:val="en-US" w:eastAsia="zh-CN" w:bidi="ar"/>
        </w:rPr>
        <w:t>7</w:t>
      </w:r>
      <w:r>
        <w:rPr>
          <w:rFonts w:ascii="宋体" w:hAnsi="宋体" w:eastAsia="宋体" w:cs="宋体"/>
          <w:color w:val="auto"/>
          <w:kern w:val="0"/>
          <w:sz w:val="19"/>
          <w:szCs w:val="19"/>
          <w:highlight w:val="none"/>
          <w:lang w:val="en-US" w:eastAsia="zh-CN" w:bidi="ar"/>
        </w:rPr>
        <w:t>个工作日内无条件整改，整改后仍不合格的，甲方有权解除合同，乙方须向甲方支付合同总额</w:t>
      </w:r>
      <w:r>
        <w:rPr>
          <w:rStyle w:val="42"/>
          <w:rFonts w:ascii="宋体" w:hAnsi="宋体" w:eastAsia="宋体" w:cs="宋体"/>
          <w:b w:val="0"/>
          <w:bCs w:val="0"/>
          <w:color w:val="auto"/>
          <w:kern w:val="0"/>
          <w:sz w:val="19"/>
          <w:szCs w:val="19"/>
          <w:highlight w:val="none"/>
          <w:lang w:val="en-US" w:eastAsia="zh-CN" w:bidi="ar"/>
        </w:rPr>
        <w:t>20%的违约金，并赔偿甲方全部损失。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Style w:val="42"/>
          <w:rFonts w:ascii="宋体" w:hAnsi="宋体" w:eastAsia="宋体" w:cs="宋体"/>
          <w:b w:val="0"/>
          <w:bCs w:val="0"/>
          <w:color w:val="auto"/>
          <w:kern w:val="0"/>
          <w:sz w:val="19"/>
          <w:szCs w:val="19"/>
          <w:highlight w:val="none"/>
          <w:lang w:val="en-US" w:eastAsia="zh-CN" w:bidi="ar"/>
        </w:rPr>
      </w:pPr>
      <w:r>
        <w:rPr>
          <w:rStyle w:val="42"/>
          <w:rFonts w:ascii="宋体" w:hAnsi="宋体" w:eastAsia="宋体" w:cs="宋体"/>
          <w:b w:val="0"/>
          <w:bCs w:val="0"/>
          <w:color w:val="auto"/>
          <w:kern w:val="0"/>
          <w:sz w:val="19"/>
          <w:szCs w:val="19"/>
          <w:highlight w:val="none"/>
          <w:lang w:val="en-US" w:eastAsia="zh-CN" w:bidi="ar"/>
        </w:rPr>
        <w:t>9.1.2 乙方逾期交货或逾期完成项目验收的，每逾期1日，须向甲方支付合同总额1‰的滞纳金；逾期超过 15 日的，甲方有权解除合同，乙方须退还已收货款（如有），并支付合同总额10%的违约金。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Style w:val="42"/>
          <w:rFonts w:ascii="宋体" w:hAnsi="宋体" w:eastAsia="宋体" w:cs="宋体"/>
          <w:b w:val="0"/>
          <w:bCs w:val="0"/>
          <w:color w:val="auto"/>
          <w:kern w:val="0"/>
          <w:sz w:val="19"/>
          <w:szCs w:val="19"/>
          <w:highlight w:val="none"/>
          <w:lang w:val="en-US" w:eastAsia="zh-CN" w:bidi="ar"/>
        </w:rPr>
        <w:t>9.1.3 乙方将合同转包、分包给第三方的，甲方有权解除合同，乙方须支付合同总额15%的违约金，并赔偿甲方损失；乙方提供假冒伪劣产品的，甲方有权拒收，乙方须支付合同总额20%的违约金，且甲方有权取消乙方在楚雄师范学院三年内</w:t>
      </w:r>
      <w:r>
        <w:rPr>
          <w:rFonts w:ascii="宋体" w:hAnsi="宋体" w:eastAsia="宋体" w:cs="宋体"/>
          <w:b w:val="0"/>
          <w:bCs w:val="0"/>
          <w:color w:val="auto"/>
          <w:kern w:val="0"/>
          <w:sz w:val="19"/>
          <w:szCs w:val="19"/>
          <w:highlight w:val="none"/>
          <w:lang w:val="en-US" w:eastAsia="zh-CN" w:bidi="ar"/>
        </w:rPr>
        <w:t>的政府采购投标资格。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9.1.4 质保期内，乙方未按约定履行售后服务义务的，每逾期1日，须向甲方支付合同总额 0.5‰ 的违约金；因售后服务不到位给甲方造成损失的，乙方须依法赔偿。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9.1.5 乙方提供虚假资料、串通投标等违反政府采购法律法规的行为，甲方有权解除合同，乙方的中标资格无效，且乙方须承担相应的法律责任，甲方有权将其列入不良行为记录名单。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9.2 甲方违约责任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82" w:leftChars="182" w:right="0" w:firstLine="0" w:firstLineChars="0"/>
        <w:jc w:val="left"/>
        <w:rPr>
          <w:rStyle w:val="42"/>
          <w:rFonts w:hint="eastAsia" w:ascii="宋体" w:hAnsi="宋体" w:eastAsia="宋体" w:cs="宋体"/>
          <w:b/>
          <w:bCs/>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9.2.1 甲方无正当理由拒收合格货物或拒绝组织验收的，须向乙方支付合同总额5%</w:t>
      </w:r>
      <w:r>
        <w:rPr>
          <w:rStyle w:val="42"/>
          <w:rFonts w:ascii="宋体" w:hAnsi="宋体" w:eastAsia="宋体" w:cs="宋体"/>
          <w:b w:val="0"/>
          <w:bCs w:val="0"/>
          <w:color w:val="auto"/>
          <w:kern w:val="0"/>
          <w:sz w:val="19"/>
          <w:szCs w:val="19"/>
          <w:highlight w:val="none"/>
          <w:lang w:val="en-US" w:eastAsia="zh-CN" w:bidi="ar"/>
        </w:rPr>
        <w:t>的违约</w:t>
      </w:r>
      <w:r>
        <w:rPr>
          <w:rStyle w:val="42"/>
          <w:rFonts w:hint="eastAsia" w:ascii="宋体" w:hAnsi="宋体" w:eastAsia="宋体" w:cs="宋体"/>
          <w:b w:val="0"/>
          <w:bCs w:val="0"/>
          <w:color w:val="auto"/>
          <w:kern w:val="0"/>
          <w:sz w:val="19"/>
          <w:szCs w:val="19"/>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82" w:leftChars="182" w:right="0" w:firstLine="0" w:firstLineChars="0"/>
        <w:jc w:val="left"/>
        <w:rPr>
          <w:color w:val="auto"/>
          <w:sz w:val="19"/>
          <w:szCs w:val="19"/>
          <w:highlight w:val="none"/>
        </w:rPr>
      </w:pPr>
      <w:r>
        <w:rPr>
          <w:rStyle w:val="42"/>
          <w:rFonts w:ascii="宋体" w:hAnsi="宋体" w:eastAsia="宋体" w:cs="宋体"/>
          <w:b/>
          <w:bCs/>
          <w:color w:val="auto"/>
          <w:kern w:val="0"/>
          <w:sz w:val="19"/>
          <w:szCs w:val="19"/>
          <w:highlight w:val="none"/>
          <w:lang w:val="en-US" w:eastAsia="zh-CN" w:bidi="ar"/>
        </w:rPr>
        <w:t xml:space="preserve">9.2.2 </w:t>
      </w:r>
      <w:r>
        <w:rPr>
          <w:rStyle w:val="42"/>
          <w:rFonts w:ascii="宋体" w:hAnsi="宋体" w:eastAsia="宋体" w:cs="宋体"/>
          <w:b w:val="0"/>
          <w:bCs w:val="0"/>
          <w:color w:val="auto"/>
          <w:kern w:val="0"/>
          <w:sz w:val="19"/>
          <w:szCs w:val="19"/>
          <w:highlight w:val="none"/>
          <w:lang w:val="en-US" w:eastAsia="zh-CN" w:bidi="ar"/>
        </w:rPr>
        <w:t>甲方逾期支付货款的，每逾期1日，须向乙方支付欠款总额</w:t>
      </w:r>
      <w:r>
        <w:rPr>
          <w:rFonts w:ascii="宋体" w:hAnsi="宋体" w:eastAsia="宋体" w:cs="宋体"/>
          <w:b w:val="0"/>
          <w:bCs w:val="0"/>
          <w:color w:val="auto"/>
          <w:kern w:val="0"/>
          <w:sz w:val="19"/>
          <w:szCs w:val="19"/>
          <w:highlight w:val="none"/>
          <w:lang w:val="en-US" w:eastAsia="zh-CN" w:bidi="ar"/>
        </w:rPr>
        <w:t>1‰</w:t>
      </w:r>
      <w:r>
        <w:rPr>
          <w:rFonts w:ascii="宋体" w:hAnsi="宋体" w:eastAsia="宋体" w:cs="宋体"/>
          <w:color w:val="auto"/>
          <w:kern w:val="0"/>
          <w:sz w:val="19"/>
          <w:szCs w:val="19"/>
          <w:highlight w:val="none"/>
          <w:lang w:val="en-US" w:eastAsia="zh-CN" w:bidi="ar"/>
        </w:rPr>
        <w:t>的滞纳金；逾期超过30日的，乙方有权要求甲方继续履行付款义务，并承担相应的滞纳金。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9.3 本合同约定的违约金不足以弥补守约方损失的，违约方须赔偿守约方的实际损失（包括直接损失和间接损失，如律师费、诉讼费、鉴定费、交通费等）。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9.4 因不可抗力（指不能预见、不能避免并不能克服的客观情况，如地震、洪水、战争、政府行政命令等）导致本合同无法履行的，双方互不承担违约责任，遭受不可抗力一方须在不可抗力发生后 24小时内通知对方，并在7个工作日内提供有效证明，双方可协商解除合同或变更合同履行期限。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10 争议解决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10.1 因本合同引起的或与本合同有关的争议，甲乙双方应首先通过友好协商解决；协商不成的，任何一方均有权向</w:t>
      </w:r>
      <w:r>
        <w:rPr>
          <w:rStyle w:val="42"/>
          <w:rFonts w:ascii="宋体" w:hAnsi="宋体" w:eastAsia="宋体" w:cs="宋体"/>
          <w:b w:val="0"/>
          <w:bCs w:val="0"/>
          <w:color w:val="auto"/>
          <w:kern w:val="0"/>
          <w:sz w:val="19"/>
          <w:szCs w:val="19"/>
          <w:highlight w:val="none"/>
          <w:lang w:val="en-US" w:eastAsia="zh-CN" w:bidi="ar"/>
        </w:rPr>
        <w:t>合同签订地有管辖权的人民法院提起诉讼</w:t>
      </w:r>
      <w:r>
        <w:rPr>
          <w:rFonts w:ascii="宋体" w:hAnsi="宋体" w:eastAsia="宋体" w:cs="宋体"/>
          <w:b w:val="0"/>
          <w:bCs w:val="0"/>
          <w:color w:val="auto"/>
          <w:kern w:val="0"/>
          <w:sz w:val="19"/>
          <w:szCs w:val="19"/>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10.2 争议解决期间，除争议事项外，本合同其他条款继续履行。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11 合同的变更、转让与终止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11.1 本合同一经签订，甲乙双方不得擅自变更、中止或终止；如需变更，须经双方协商一致，签订书面补充协议，补充协议与本合同具有同等法律效力，且补充协议不得违反政府采购法律法规及招投标文件的约定。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11.2 符合《中华人民共和国政府采购法》第50条第二款、《中华人民共和国政府采购法实施条例》相关规定情形的，双方可依法变更或终止合同。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11.3 乙方不得将本合同的权利或义务全部或部分转让给第三方，否则本合同无效，乙方须承担违约责任。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11.4 本合同终止或解除后，乙方仍须对其已交付的货物承担质量保证及售后服务义务，甲方仍须按约定支付已完成部分的货款。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12 政府采购政策执行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12.1 乙方承诺遵守国家政府采购相关政策，包括但不限于支持中小企业发展、绿色采购、促进残疾人就业等政策，若本项目适用相关政策优惠，乙方已在投标文件中明确并履行相关义务。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color w:val="auto"/>
          <w:sz w:val="19"/>
          <w:szCs w:val="19"/>
          <w:highlight w:val="none"/>
        </w:rPr>
      </w:pPr>
      <w:r>
        <w:rPr>
          <w:rFonts w:ascii="宋体" w:hAnsi="宋体" w:eastAsia="宋体" w:cs="宋体"/>
          <w:color w:val="auto"/>
          <w:kern w:val="0"/>
          <w:sz w:val="19"/>
          <w:szCs w:val="19"/>
          <w:highlight w:val="none"/>
          <w:lang w:val="en-US" w:eastAsia="zh-CN" w:bidi="ar"/>
        </w:rPr>
        <w:t>12.</w:t>
      </w:r>
      <w:r>
        <w:rPr>
          <w:rFonts w:hint="eastAsia" w:ascii="宋体" w:hAnsi="宋体" w:eastAsia="宋体" w:cs="宋体"/>
          <w:color w:val="auto"/>
          <w:kern w:val="0"/>
          <w:sz w:val="19"/>
          <w:szCs w:val="19"/>
          <w:highlight w:val="none"/>
          <w:lang w:val="en-US" w:eastAsia="zh-CN" w:bidi="ar"/>
        </w:rPr>
        <w:t>2</w:t>
      </w:r>
      <w:r>
        <w:rPr>
          <w:rFonts w:ascii="宋体" w:hAnsi="宋体" w:eastAsia="宋体" w:cs="宋体"/>
          <w:color w:val="auto"/>
          <w:kern w:val="0"/>
          <w:sz w:val="19"/>
          <w:szCs w:val="19"/>
          <w:highlight w:val="none"/>
          <w:lang w:val="en-US" w:eastAsia="zh-CN" w:bidi="ar"/>
        </w:rPr>
        <w:t xml:space="preserve"> 甲乙双方均应遵守政府采购信息公开相关规定，配合采购代理机构及财政部门完成本项目的信息公开工作。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rPr>
          <w:color w:val="auto"/>
          <w:sz w:val="19"/>
          <w:szCs w:val="19"/>
          <w:highlight w:val="none"/>
        </w:rPr>
      </w:pPr>
      <w:r>
        <w:rPr>
          <w:color w:val="auto"/>
          <w:sz w:val="19"/>
          <w:szCs w:val="19"/>
          <w:highlight w:val="none"/>
        </w:rPr>
        <w:t>13 合同生效及其他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Style w:val="42"/>
          <w:rFonts w:ascii="宋体" w:hAnsi="宋体" w:eastAsia="宋体" w:cs="宋体"/>
          <w:b/>
          <w:bCs/>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13.1 本合同自</w:t>
      </w:r>
      <w:r>
        <w:rPr>
          <w:rFonts w:ascii="宋体" w:hAnsi="宋体" w:eastAsia="宋体" w:cs="宋体"/>
          <w:b w:val="0"/>
          <w:bCs w:val="0"/>
          <w:color w:val="auto"/>
          <w:kern w:val="0"/>
          <w:sz w:val="19"/>
          <w:szCs w:val="19"/>
          <w:highlight w:val="none"/>
          <w:lang w:val="en-US" w:eastAsia="zh-CN" w:bidi="ar"/>
        </w:rPr>
        <w:t>甲乙双方</w:t>
      </w:r>
      <w:r>
        <w:rPr>
          <w:rStyle w:val="42"/>
          <w:rFonts w:ascii="宋体" w:hAnsi="宋体" w:eastAsia="宋体" w:cs="宋体"/>
          <w:b w:val="0"/>
          <w:bCs w:val="0"/>
          <w:color w:val="auto"/>
          <w:kern w:val="0"/>
          <w:sz w:val="19"/>
          <w:szCs w:val="19"/>
          <w:highlight w:val="none"/>
          <w:lang w:val="en-US" w:eastAsia="zh-CN" w:bidi="ar"/>
        </w:rPr>
        <w:t>签字并加盖公章（或合同专用章）之日起生效。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1" w:firstLineChars="200"/>
        <w:jc w:val="left"/>
        <w:rPr>
          <w:rFonts w:ascii="宋体" w:hAnsi="宋体" w:eastAsia="宋体" w:cs="宋体"/>
          <w:color w:val="auto"/>
          <w:kern w:val="0"/>
          <w:sz w:val="19"/>
          <w:szCs w:val="19"/>
          <w:highlight w:val="none"/>
          <w:lang w:val="en-US" w:eastAsia="zh-CN" w:bidi="ar"/>
        </w:rPr>
      </w:pPr>
      <w:r>
        <w:rPr>
          <w:rStyle w:val="42"/>
          <w:rFonts w:ascii="宋体" w:hAnsi="宋体" w:eastAsia="宋体" w:cs="宋体"/>
          <w:b/>
          <w:bCs/>
          <w:color w:val="auto"/>
          <w:kern w:val="0"/>
          <w:sz w:val="19"/>
          <w:szCs w:val="19"/>
          <w:highlight w:val="none"/>
          <w:lang w:val="en-US" w:eastAsia="zh-CN" w:bidi="ar"/>
        </w:rPr>
        <w:t>13.2</w:t>
      </w:r>
      <w:r>
        <w:rPr>
          <w:rStyle w:val="42"/>
          <w:rFonts w:ascii="宋体" w:hAnsi="宋体" w:eastAsia="宋体" w:cs="宋体"/>
          <w:b w:val="0"/>
          <w:bCs w:val="0"/>
          <w:color w:val="auto"/>
          <w:kern w:val="0"/>
          <w:sz w:val="19"/>
          <w:szCs w:val="19"/>
          <w:highlight w:val="none"/>
          <w:lang w:val="en-US" w:eastAsia="zh-CN" w:bidi="ar"/>
        </w:rPr>
        <w:t xml:space="preserve"> </w:t>
      </w:r>
      <w:r>
        <w:rPr>
          <w:rStyle w:val="42"/>
          <w:rFonts w:ascii="宋体" w:hAnsi="宋体" w:eastAsia="宋体" w:cs="宋体"/>
          <w:b w:val="0"/>
          <w:bCs w:val="0"/>
          <w:color w:val="auto"/>
          <w:kern w:val="0"/>
          <w:sz w:val="19"/>
          <w:szCs w:val="19"/>
          <w:highlight w:val="none"/>
          <w:lang w:val="en-US" w:eastAsia="zh-CN" w:bidi="ar"/>
        </w:rPr>
        <w:t>本合同一式陆份</w:t>
      </w:r>
      <w:r>
        <w:rPr>
          <w:rFonts w:ascii="宋体" w:hAnsi="宋体" w:eastAsia="宋体" w:cs="宋体"/>
          <w:b w:val="0"/>
          <w:bCs w:val="0"/>
          <w:color w:val="auto"/>
          <w:kern w:val="0"/>
          <w:sz w:val="19"/>
          <w:szCs w:val="19"/>
          <w:highlight w:val="none"/>
          <w:lang w:val="en-US" w:eastAsia="zh-CN" w:bidi="ar"/>
        </w:rPr>
        <w:t>，甲方执</w:t>
      </w:r>
      <w:r>
        <w:rPr>
          <w:rStyle w:val="42"/>
          <w:rFonts w:ascii="宋体" w:hAnsi="宋体" w:eastAsia="宋体" w:cs="宋体"/>
          <w:b w:val="0"/>
          <w:bCs w:val="0"/>
          <w:color w:val="auto"/>
          <w:kern w:val="0"/>
          <w:sz w:val="19"/>
          <w:szCs w:val="19"/>
          <w:highlight w:val="none"/>
          <w:lang w:val="en-US" w:eastAsia="zh-CN" w:bidi="ar"/>
        </w:rPr>
        <w:t>叁份</w:t>
      </w:r>
      <w:r>
        <w:rPr>
          <w:rFonts w:ascii="宋体" w:hAnsi="宋体" w:eastAsia="宋体" w:cs="宋体"/>
          <w:b w:val="0"/>
          <w:bCs w:val="0"/>
          <w:color w:val="auto"/>
          <w:kern w:val="0"/>
          <w:sz w:val="19"/>
          <w:szCs w:val="19"/>
          <w:highlight w:val="none"/>
          <w:lang w:val="en-US" w:eastAsia="zh-CN" w:bidi="ar"/>
        </w:rPr>
        <w:t>，乙方执</w:t>
      </w:r>
      <w:r>
        <w:rPr>
          <w:rStyle w:val="42"/>
          <w:rFonts w:ascii="宋体" w:hAnsi="宋体" w:eastAsia="宋体" w:cs="宋体"/>
          <w:b w:val="0"/>
          <w:bCs w:val="0"/>
          <w:color w:val="auto"/>
          <w:kern w:val="0"/>
          <w:sz w:val="19"/>
          <w:szCs w:val="19"/>
          <w:highlight w:val="none"/>
          <w:lang w:val="en-US" w:eastAsia="zh-CN" w:bidi="ar"/>
        </w:rPr>
        <w:t>贰份</w:t>
      </w:r>
      <w:r>
        <w:rPr>
          <w:rFonts w:ascii="宋体" w:hAnsi="宋体" w:eastAsia="宋体" w:cs="宋体"/>
          <w:b w:val="0"/>
          <w:bCs w:val="0"/>
          <w:color w:val="auto"/>
          <w:kern w:val="0"/>
          <w:sz w:val="19"/>
          <w:szCs w:val="19"/>
          <w:highlight w:val="none"/>
          <w:lang w:val="en-US" w:eastAsia="zh-CN" w:bidi="ar"/>
        </w:rPr>
        <w:t>，采购代理机构执</w:t>
      </w:r>
      <w:r>
        <w:rPr>
          <w:rStyle w:val="42"/>
          <w:rFonts w:ascii="宋体" w:hAnsi="宋体" w:eastAsia="宋体" w:cs="宋体"/>
          <w:b w:val="0"/>
          <w:bCs w:val="0"/>
          <w:color w:val="auto"/>
          <w:kern w:val="0"/>
          <w:sz w:val="19"/>
          <w:szCs w:val="19"/>
          <w:highlight w:val="none"/>
          <w:lang w:val="en-US" w:eastAsia="zh-CN" w:bidi="ar"/>
        </w:rPr>
        <w:t>壹份</w:t>
      </w:r>
      <w:r>
        <w:rPr>
          <w:rFonts w:ascii="宋体" w:hAnsi="宋体" w:eastAsia="宋体" w:cs="宋体"/>
          <w:b w:val="0"/>
          <w:bCs w:val="0"/>
          <w:color w:val="auto"/>
          <w:kern w:val="0"/>
          <w:sz w:val="19"/>
          <w:szCs w:val="19"/>
          <w:highlight w:val="none"/>
          <w:lang w:val="en-US" w:eastAsia="zh-CN" w:bidi="ar"/>
        </w:rPr>
        <w:t>存档备案，</w:t>
      </w:r>
      <w:r>
        <w:rPr>
          <w:rFonts w:ascii="宋体" w:hAnsi="宋体" w:eastAsia="宋体" w:cs="宋体"/>
          <w:color w:val="auto"/>
          <w:kern w:val="0"/>
          <w:sz w:val="19"/>
          <w:szCs w:val="19"/>
          <w:highlight w:val="none"/>
          <w:lang w:val="en-US" w:eastAsia="zh-CN" w:bidi="ar"/>
        </w:rPr>
        <w:t>各份具有同等法律效力。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13.3 本合同未尽事宜，由甲乙双方协商一致后签订书面补充协议，补充协议作为本合同的组成部分；合同未约定的</w:t>
      </w:r>
      <w:r>
        <w:rPr>
          <w:rFonts w:ascii="宋体" w:hAnsi="宋体" w:eastAsia="宋体" w:cs="宋体"/>
          <w:b w:val="0"/>
          <w:bCs w:val="0"/>
          <w:color w:val="auto"/>
          <w:kern w:val="0"/>
          <w:sz w:val="19"/>
          <w:szCs w:val="19"/>
          <w:highlight w:val="none"/>
          <w:lang w:val="en-US" w:eastAsia="zh-CN" w:bidi="ar"/>
        </w:rPr>
        <w:t>，</w:t>
      </w:r>
      <w:r>
        <w:rPr>
          <w:rStyle w:val="42"/>
          <w:rFonts w:ascii="宋体" w:hAnsi="宋体" w:eastAsia="宋体" w:cs="宋体"/>
          <w:b w:val="0"/>
          <w:bCs w:val="0"/>
          <w:color w:val="auto"/>
          <w:kern w:val="0"/>
          <w:sz w:val="19"/>
          <w:szCs w:val="19"/>
          <w:highlight w:val="none"/>
          <w:lang w:val="en-US" w:eastAsia="zh-CN" w:bidi="ar"/>
        </w:rPr>
        <w:t>按照乙方投标文件、甲方招标文件及国家现行政府采购法律法规执行</w:t>
      </w:r>
      <w:r>
        <w:rPr>
          <w:rFonts w:ascii="宋体" w:hAnsi="宋体" w:eastAsia="宋体" w:cs="宋体"/>
          <w:b w:val="0"/>
          <w:bCs w:val="0"/>
          <w:color w:val="auto"/>
          <w:kern w:val="0"/>
          <w:sz w:val="19"/>
          <w:szCs w:val="19"/>
          <w:highlight w:val="none"/>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13.4 本合同的组成部分（不可分割）包括：（1）甲方招标文件（含补充文件）；（2）乙方投标文件（含澄清、说明文件）；（3）项目中标通知书；（4）谈判/磋商记录表；（5）乙方承诺函及合同附件；（6）双方签订的补充协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0" w:firstLineChars="2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13.5 甲乙双方的联系地址、电话等信息为本合同约定的有效联系方式，任何一方变更联系方式，须提前3个工作日书面通知对方，否则由此产生的送达不能等后果由变更方承担。</w:t>
      </w:r>
    </w:p>
    <w:p>
      <w:pPr>
        <w:pStyle w:val="2"/>
        <w:rPr>
          <w:color w:val="auto"/>
          <w:highlight w:val="none"/>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190" w:firstLineChars="10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（以下无正文，为合同签字盖章页）</w:t>
      </w:r>
    </w:p>
    <w:p>
      <w:pPr>
        <w:pStyle w:val="2"/>
        <w:rPr>
          <w:rFonts w:ascii="宋体" w:hAnsi="宋体" w:eastAsia="宋体" w:cs="宋体"/>
          <w:color w:val="auto"/>
          <w:kern w:val="0"/>
          <w:sz w:val="19"/>
          <w:szCs w:val="19"/>
          <w:highlight w:val="none"/>
          <w:lang w:val="en-US" w:eastAsia="zh-CN" w:bidi="ar"/>
        </w:rPr>
      </w:pPr>
    </w:p>
    <w:p>
      <w:pPr>
        <w:pStyle w:val="2"/>
        <w:rPr>
          <w:rFonts w:ascii="宋体" w:hAnsi="宋体" w:eastAsia="宋体" w:cs="宋体"/>
          <w:color w:val="auto"/>
          <w:kern w:val="0"/>
          <w:sz w:val="19"/>
          <w:szCs w:val="19"/>
          <w:highlight w:val="none"/>
          <w:lang w:val="en-US" w:eastAsia="zh-CN" w:bidi="ar"/>
        </w:rPr>
      </w:pPr>
    </w:p>
    <w:p>
      <w:pPr>
        <w:pStyle w:val="2"/>
        <w:rPr>
          <w:rFonts w:ascii="宋体" w:hAnsi="宋体" w:eastAsia="宋体" w:cs="宋体"/>
          <w:color w:val="auto"/>
          <w:kern w:val="0"/>
          <w:sz w:val="19"/>
          <w:szCs w:val="19"/>
          <w:highlight w:val="none"/>
          <w:lang w:val="en-US" w:eastAsia="zh-CN" w:bidi="ar"/>
        </w:rPr>
      </w:pPr>
    </w:p>
    <w:p>
      <w:pPr>
        <w:pStyle w:val="2"/>
        <w:rPr>
          <w:rFonts w:ascii="宋体" w:hAnsi="宋体" w:eastAsia="宋体" w:cs="宋体"/>
          <w:color w:val="auto"/>
          <w:kern w:val="0"/>
          <w:sz w:val="19"/>
          <w:szCs w:val="19"/>
          <w:highlight w:val="none"/>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ascii="宋体" w:hAnsi="宋体" w:eastAsia="宋体" w:cs="宋体"/>
          <w:color w:val="auto"/>
          <w:kern w:val="0"/>
          <w:sz w:val="19"/>
          <w:szCs w:val="19"/>
          <w:highlight w:val="none"/>
          <w:lang w:val="en-US" w:eastAsia="zh-CN" w:bidi="ar"/>
        </w:rPr>
      </w:pPr>
      <w:r>
        <w:rPr>
          <w:rFonts w:hint="eastAsia"/>
          <w:color w:val="auto"/>
          <w:sz w:val="19"/>
          <w:szCs w:val="19"/>
          <w:highlight w:val="none"/>
          <w:lang w:val="en-US" w:eastAsia="zh-CN"/>
        </w:rPr>
        <w:tab/>
      </w:r>
      <w:r>
        <w:rPr>
          <w:color w:val="auto"/>
          <w:sz w:val="19"/>
          <w:szCs w:val="19"/>
          <w:highlight w:val="none"/>
        </w:rPr>
        <w:t>甲方（需方）：楚雄师范学院</w:t>
      </w:r>
      <w:r>
        <w:rPr>
          <w:rFonts w:ascii="宋体" w:hAnsi="宋体" w:eastAsia="宋体" w:cs="宋体"/>
          <w:color w:val="auto"/>
          <w:kern w:val="0"/>
          <w:sz w:val="19"/>
          <w:szCs w:val="19"/>
          <w:highlight w:val="none"/>
          <w:lang w:val="en-US" w:eastAsia="zh-CN" w:bidi="ar"/>
        </w:rPr>
        <w:t>（公章/合同专用章）</w:t>
      </w:r>
    </w:p>
    <w:p>
      <w:pPr>
        <w:rPr>
          <w:color w:val="auto"/>
          <w:highlight w:val="none"/>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ascii="宋体" w:hAnsi="宋体" w:eastAsia="宋体" w:cs="宋体"/>
          <w:color w:val="auto"/>
          <w:kern w:val="0"/>
          <w:sz w:val="19"/>
          <w:szCs w:val="19"/>
          <w:highlight w:val="none"/>
          <w:lang w:val="en-US" w:eastAsia="zh-CN" w:bidi="ar"/>
        </w:rPr>
      </w:pPr>
      <w:r>
        <w:rPr>
          <w:rFonts w:hint="eastAsia" w:ascii="宋体" w:hAnsi="宋体" w:eastAsia="宋体" w:cs="宋体"/>
          <w:color w:val="auto"/>
          <w:kern w:val="0"/>
          <w:sz w:val="19"/>
          <w:szCs w:val="19"/>
          <w:highlight w:val="none"/>
          <w:lang w:val="en-US" w:eastAsia="zh-CN" w:bidi="ar"/>
        </w:rPr>
        <w:tab/>
      </w:r>
      <w:r>
        <w:rPr>
          <w:rFonts w:ascii="宋体" w:hAnsi="宋体" w:eastAsia="宋体" w:cs="宋体"/>
          <w:color w:val="auto"/>
          <w:kern w:val="0"/>
          <w:sz w:val="19"/>
          <w:szCs w:val="19"/>
          <w:highlight w:val="none"/>
          <w:lang w:val="en-US" w:eastAsia="zh-CN" w:bidi="ar"/>
        </w:rPr>
        <w:t>法定代表人/授权委托人（签字）：__________</w:t>
      </w:r>
    </w:p>
    <w:p>
      <w:pPr>
        <w:rPr>
          <w:color w:val="auto"/>
          <w:highlight w:val="none"/>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经办人：__________</w:t>
      </w:r>
    </w:p>
    <w:p>
      <w:pPr>
        <w:pStyle w:val="2"/>
        <w:rPr>
          <w:color w:val="auto"/>
          <w:highlight w:val="none"/>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ascii="宋体" w:hAnsi="宋体" w:eastAsia="宋体" w:cs="宋体"/>
          <w:color w:val="auto"/>
          <w:kern w:val="0"/>
          <w:sz w:val="19"/>
          <w:szCs w:val="19"/>
          <w:highlight w:val="none"/>
          <w:lang w:val="en-US" w:eastAsia="zh-CN" w:bidi="ar"/>
        </w:rPr>
      </w:pPr>
      <w:r>
        <w:rPr>
          <w:rFonts w:ascii="宋体" w:hAnsi="宋体" w:eastAsia="宋体" w:cs="宋体"/>
          <w:color w:val="auto"/>
          <w:kern w:val="0"/>
          <w:sz w:val="19"/>
          <w:szCs w:val="19"/>
          <w:highlight w:val="none"/>
          <w:lang w:val="en-US" w:eastAsia="zh-CN" w:bidi="ar"/>
        </w:rPr>
        <w:t>日期：______年____月____日</w:t>
      </w:r>
    </w:p>
    <w:p>
      <w:pPr>
        <w:pStyle w:val="2"/>
        <w:rPr>
          <w:rFonts w:ascii="宋体" w:hAnsi="宋体" w:eastAsia="宋体" w:cs="宋体"/>
          <w:color w:val="auto"/>
          <w:kern w:val="0"/>
          <w:sz w:val="19"/>
          <w:szCs w:val="19"/>
          <w:highlight w:val="none"/>
          <w:lang w:val="en-US" w:eastAsia="zh-CN" w:bidi="ar"/>
        </w:rPr>
      </w:pPr>
    </w:p>
    <w:p>
      <w:pPr>
        <w:pStyle w:val="2"/>
        <w:rPr>
          <w:rFonts w:ascii="宋体" w:hAnsi="宋体" w:eastAsia="宋体" w:cs="宋体"/>
          <w:color w:val="auto"/>
          <w:kern w:val="0"/>
          <w:sz w:val="19"/>
          <w:szCs w:val="19"/>
          <w:highlight w:val="none"/>
          <w:lang w:val="en-US" w:eastAsia="zh-CN" w:bidi="ar"/>
        </w:rPr>
      </w:pPr>
    </w:p>
    <w:p>
      <w:pPr>
        <w:pStyle w:val="2"/>
        <w:rPr>
          <w:rFonts w:ascii="宋体" w:hAnsi="宋体" w:eastAsia="宋体" w:cs="宋体"/>
          <w:color w:val="auto"/>
          <w:kern w:val="0"/>
          <w:sz w:val="19"/>
          <w:szCs w:val="19"/>
          <w:highlight w:val="none"/>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ascii="宋体" w:hAnsi="宋体" w:eastAsia="宋体" w:cs="宋体"/>
          <w:color w:val="auto"/>
          <w:kern w:val="0"/>
          <w:sz w:val="19"/>
          <w:szCs w:val="19"/>
          <w:highlight w:val="none"/>
          <w:lang w:val="en-US" w:eastAsia="zh-CN" w:bidi="ar"/>
        </w:rPr>
      </w:pPr>
      <w:r>
        <w:rPr>
          <w:rFonts w:hint="eastAsia"/>
          <w:color w:val="auto"/>
          <w:sz w:val="19"/>
          <w:szCs w:val="19"/>
          <w:highlight w:val="none"/>
          <w:lang w:val="en-US" w:eastAsia="zh-CN"/>
        </w:rPr>
        <w:tab/>
      </w:r>
      <w:r>
        <w:rPr>
          <w:color w:val="auto"/>
          <w:sz w:val="19"/>
          <w:szCs w:val="19"/>
          <w:highlight w:val="none"/>
        </w:rPr>
        <w:t>乙方（供方）：</w:t>
      </w:r>
      <w:r>
        <w:rPr>
          <w:rFonts w:hint="eastAsia"/>
          <w:color w:val="auto"/>
          <w:sz w:val="19"/>
          <w:szCs w:val="19"/>
          <w:highlight w:val="none"/>
          <w:lang w:val="en-US" w:eastAsia="zh-CN"/>
        </w:rPr>
        <w:t>XXX</w:t>
      </w:r>
      <w:r>
        <w:rPr>
          <w:rFonts w:ascii="宋体" w:hAnsi="宋体" w:eastAsia="宋体" w:cs="宋体"/>
          <w:color w:val="auto"/>
          <w:kern w:val="0"/>
          <w:sz w:val="19"/>
          <w:szCs w:val="19"/>
          <w:highlight w:val="none"/>
          <w:lang w:val="en-US" w:eastAsia="zh-CN" w:bidi="ar"/>
        </w:rPr>
        <w:t>（公章 / 合同专用章）</w:t>
      </w:r>
    </w:p>
    <w:p>
      <w:pPr>
        <w:rPr>
          <w:color w:val="auto"/>
          <w:highlight w:val="none"/>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ascii="宋体" w:hAnsi="宋体" w:eastAsia="宋体" w:cs="宋体"/>
          <w:color w:val="auto"/>
          <w:kern w:val="0"/>
          <w:sz w:val="19"/>
          <w:szCs w:val="19"/>
          <w:highlight w:val="none"/>
          <w:lang w:val="en-US" w:eastAsia="zh-CN" w:bidi="ar"/>
        </w:rPr>
      </w:pPr>
      <w:r>
        <w:rPr>
          <w:rFonts w:hint="eastAsia" w:ascii="宋体" w:hAnsi="宋体" w:eastAsia="宋体" w:cs="宋体"/>
          <w:color w:val="auto"/>
          <w:kern w:val="0"/>
          <w:sz w:val="19"/>
          <w:szCs w:val="19"/>
          <w:highlight w:val="none"/>
          <w:lang w:val="en-US" w:eastAsia="zh-CN" w:bidi="ar"/>
        </w:rPr>
        <w:tab/>
      </w:r>
      <w:r>
        <w:rPr>
          <w:rFonts w:ascii="宋体" w:hAnsi="宋体" w:eastAsia="宋体" w:cs="宋体"/>
          <w:color w:val="auto"/>
          <w:kern w:val="0"/>
          <w:sz w:val="19"/>
          <w:szCs w:val="19"/>
          <w:highlight w:val="none"/>
          <w:lang w:val="en-US" w:eastAsia="zh-CN" w:bidi="ar"/>
        </w:rPr>
        <w:t>法定代表人 / 授权委托人（签字）：__________</w:t>
      </w:r>
    </w:p>
    <w:p>
      <w:pPr>
        <w:rPr>
          <w:color w:val="auto"/>
          <w:highlight w:val="none"/>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ascii="宋体" w:hAnsi="宋体" w:eastAsia="宋体" w:cs="宋体"/>
          <w:color w:val="auto"/>
          <w:kern w:val="0"/>
          <w:sz w:val="19"/>
          <w:szCs w:val="19"/>
          <w:highlight w:val="none"/>
          <w:lang w:val="en-US" w:eastAsia="zh-CN" w:bidi="ar"/>
        </w:rPr>
      </w:pPr>
      <w:r>
        <w:rPr>
          <w:rFonts w:hint="eastAsia" w:ascii="宋体" w:hAnsi="宋体" w:eastAsia="宋体" w:cs="宋体"/>
          <w:color w:val="auto"/>
          <w:kern w:val="0"/>
          <w:sz w:val="19"/>
          <w:szCs w:val="19"/>
          <w:highlight w:val="none"/>
          <w:lang w:val="en-US" w:eastAsia="zh-CN" w:bidi="ar"/>
        </w:rPr>
        <w:tab/>
      </w:r>
      <w:r>
        <w:rPr>
          <w:rFonts w:ascii="宋体" w:hAnsi="宋体" w:eastAsia="宋体" w:cs="宋体"/>
          <w:color w:val="auto"/>
          <w:kern w:val="0"/>
          <w:sz w:val="19"/>
          <w:szCs w:val="19"/>
          <w:highlight w:val="none"/>
          <w:lang w:val="en-US" w:eastAsia="zh-CN" w:bidi="ar"/>
        </w:rPr>
        <w:t>经办人：__________</w:t>
      </w:r>
    </w:p>
    <w:p>
      <w:pPr>
        <w:rPr>
          <w:color w:val="auto"/>
          <w:highlight w:val="none"/>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color w:val="auto"/>
          <w:sz w:val="19"/>
          <w:szCs w:val="19"/>
          <w:highlight w:val="none"/>
        </w:rPr>
      </w:pPr>
      <w:r>
        <w:rPr>
          <w:rFonts w:hint="eastAsia" w:ascii="宋体" w:hAnsi="宋体" w:eastAsia="宋体" w:cs="宋体"/>
          <w:color w:val="auto"/>
          <w:kern w:val="0"/>
          <w:sz w:val="19"/>
          <w:szCs w:val="19"/>
          <w:highlight w:val="none"/>
          <w:lang w:val="en-US" w:eastAsia="zh-CN" w:bidi="ar"/>
        </w:rPr>
        <w:tab/>
      </w:r>
      <w:r>
        <w:rPr>
          <w:rFonts w:ascii="宋体" w:hAnsi="宋体" w:eastAsia="宋体" w:cs="宋体"/>
          <w:color w:val="auto"/>
          <w:kern w:val="0"/>
          <w:sz w:val="19"/>
          <w:szCs w:val="19"/>
          <w:highlight w:val="none"/>
          <w:lang w:val="en-US" w:eastAsia="zh-CN" w:bidi="ar"/>
        </w:rPr>
        <w:t>日期：______年____月____日</w:t>
      </w:r>
    </w:p>
    <w:p>
      <w:pPr>
        <w:rPr>
          <w:color w:val="auto"/>
          <w:highlight w:val="none"/>
        </w:rPr>
      </w:pPr>
    </w:p>
    <w:p>
      <w:pPr>
        <w:tabs>
          <w:tab w:val="left" w:pos="720"/>
        </w:tabs>
        <w:spacing w:line="360" w:lineRule="auto"/>
        <w:rPr>
          <w:rFonts w:hint="eastAsia" w:ascii="仿宋" w:hAnsi="仿宋" w:eastAsia="仿宋"/>
          <w:b/>
          <w:color w:val="auto"/>
          <w:sz w:val="44"/>
          <w:szCs w:val="44"/>
          <w:highlight w:val="none"/>
        </w:rPr>
      </w:pPr>
    </w:p>
    <w:bookmarkEnd w:id="231"/>
    <w:bookmarkEnd w:id="232"/>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bidi w:val="0"/>
        <w:rPr>
          <w:rFonts w:hint="eastAsia"/>
          <w:color w:val="auto"/>
          <w:highlight w:val="none"/>
        </w:rPr>
      </w:pPr>
      <w:bookmarkStart w:id="233" w:name="_Toc32338"/>
      <w:bookmarkStart w:id="234" w:name="_Toc3137"/>
    </w:p>
    <w:p>
      <w:pPr>
        <w:pStyle w:val="3"/>
        <w:ind w:left="0" w:firstLine="0"/>
        <w:jc w:val="center"/>
        <w:rPr>
          <w:rFonts w:hint="eastAsia" w:ascii="仿宋" w:hAnsi="仿宋" w:eastAsia="仿宋"/>
          <w:bCs w:val="0"/>
          <w:color w:val="auto"/>
          <w:kern w:val="2"/>
          <w:highlight w:val="none"/>
        </w:rPr>
      </w:pPr>
      <w:r>
        <w:rPr>
          <w:rFonts w:hint="eastAsia" w:ascii="仿宋" w:hAnsi="仿宋" w:eastAsia="仿宋"/>
          <w:bCs w:val="0"/>
          <w:color w:val="auto"/>
          <w:kern w:val="2"/>
          <w:highlight w:val="none"/>
        </w:rPr>
        <w:t>第七章　投标文件格式</w:t>
      </w:r>
      <w:bookmarkEnd w:id="233"/>
      <w:bookmarkEnd w:id="234"/>
    </w:p>
    <w:p>
      <w:pPr>
        <w:spacing w:line="360" w:lineRule="auto"/>
        <w:ind w:firstLine="1928" w:firstLineChars="600"/>
        <w:jc w:val="left"/>
        <w:rPr>
          <w:rFonts w:ascii="宋体"/>
          <w:b/>
          <w:color w:val="auto"/>
          <w:sz w:val="32"/>
          <w:szCs w:val="32"/>
          <w:highlight w:val="none"/>
          <w:u w:val="single"/>
        </w:rPr>
      </w:pPr>
    </w:p>
    <w:p>
      <w:pPr>
        <w:spacing w:line="360" w:lineRule="auto"/>
        <w:ind w:firstLine="1928" w:firstLineChars="600"/>
        <w:jc w:val="left"/>
        <w:rPr>
          <w:rFonts w:ascii="宋体"/>
          <w:b/>
          <w:color w:val="auto"/>
          <w:sz w:val="32"/>
          <w:szCs w:val="32"/>
          <w:highlight w:val="none"/>
          <w:u w:val="single"/>
        </w:rPr>
      </w:pPr>
    </w:p>
    <w:p>
      <w:pPr>
        <w:spacing w:line="360" w:lineRule="auto"/>
        <w:jc w:val="center"/>
        <w:rPr>
          <w:rFonts w:ascii="宋体"/>
          <w:color w:val="auto"/>
          <w:sz w:val="32"/>
          <w:szCs w:val="32"/>
          <w:highlight w:val="none"/>
        </w:rPr>
      </w:pPr>
      <w:bookmarkStart w:id="235" w:name="OLE_LINK1"/>
      <w:r>
        <w:rPr>
          <w:rFonts w:hint="eastAsia" w:asciiTheme="majorEastAsia" w:hAnsiTheme="majorEastAsia" w:eastAsiaTheme="majorEastAsia"/>
          <w:b/>
          <w:bCs/>
          <w:color w:val="auto"/>
          <w:sz w:val="44"/>
          <w:szCs w:val="44"/>
          <w:highlight w:val="none"/>
        </w:rPr>
        <w:t>楚雄师范学院行政办公设备购置项目（台式计算机）</w:t>
      </w:r>
    </w:p>
    <w:bookmarkEnd w:id="235"/>
    <w:p>
      <w:pPr>
        <w:spacing w:line="360" w:lineRule="auto"/>
        <w:jc w:val="center"/>
        <w:rPr>
          <w:rFonts w:ascii="宋体"/>
          <w:color w:val="auto"/>
          <w:sz w:val="24"/>
          <w:highlight w:val="none"/>
        </w:rPr>
      </w:pPr>
    </w:p>
    <w:p>
      <w:pPr>
        <w:spacing w:line="360" w:lineRule="auto"/>
        <w:jc w:val="center"/>
        <w:rPr>
          <w:rFonts w:ascii="宋体"/>
          <w:color w:val="auto"/>
          <w:sz w:val="24"/>
          <w:highlight w:val="none"/>
        </w:rPr>
      </w:pPr>
    </w:p>
    <w:p>
      <w:pPr>
        <w:spacing w:line="360" w:lineRule="auto"/>
        <w:jc w:val="center"/>
        <w:rPr>
          <w:rFonts w:ascii="宋体"/>
          <w:color w:val="auto"/>
          <w:sz w:val="24"/>
          <w:highlight w:val="none"/>
        </w:rPr>
      </w:pPr>
    </w:p>
    <w:p>
      <w:pPr>
        <w:pStyle w:val="19"/>
        <w:spacing w:line="360" w:lineRule="auto"/>
        <w:jc w:val="center"/>
        <w:rPr>
          <w:rFonts w:hint="eastAsia" w:ascii="仿宋" w:hAnsi="仿宋" w:eastAsia="仿宋"/>
          <w:b/>
          <w:color w:val="auto"/>
          <w:sz w:val="84"/>
          <w:szCs w:val="84"/>
          <w:highlight w:val="none"/>
        </w:rPr>
      </w:pPr>
      <w:bookmarkStart w:id="236" w:name="_Toc4081_WPSOffice_Level3"/>
      <w:r>
        <w:rPr>
          <w:rFonts w:hint="eastAsia" w:ascii="仿宋" w:hAnsi="仿宋" w:eastAsia="仿宋"/>
          <w:b/>
          <w:color w:val="auto"/>
          <w:sz w:val="84"/>
          <w:szCs w:val="84"/>
          <w:highlight w:val="none"/>
        </w:rPr>
        <w:t>投标文件</w:t>
      </w:r>
      <w:bookmarkEnd w:id="236"/>
    </w:p>
    <w:p>
      <w:pPr>
        <w:spacing w:line="360" w:lineRule="auto"/>
        <w:jc w:val="center"/>
        <w:rPr>
          <w:rFonts w:ascii="宋体"/>
          <w:color w:val="auto"/>
          <w:sz w:val="24"/>
          <w:highlight w:val="none"/>
        </w:rPr>
      </w:pPr>
    </w:p>
    <w:p>
      <w:pPr>
        <w:spacing w:line="360" w:lineRule="auto"/>
        <w:jc w:val="center"/>
        <w:rPr>
          <w:rFonts w:hint="eastAsia" w:ascii="仿宋" w:hAnsi="仿宋" w:eastAsia="仿宋"/>
          <w:color w:val="auto"/>
          <w:sz w:val="24"/>
          <w:highlight w:val="none"/>
        </w:rPr>
      </w:pPr>
    </w:p>
    <w:p>
      <w:pPr>
        <w:pStyle w:val="19"/>
        <w:keepNext w:val="0"/>
        <w:keepLines w:val="0"/>
        <w:pageBreakBefore w:val="0"/>
        <w:widowControl w:val="0"/>
        <w:kinsoku/>
        <w:wordWrap/>
        <w:overflowPunct/>
        <w:topLinePunct w:val="0"/>
        <w:autoSpaceDE/>
        <w:autoSpaceDN/>
        <w:bidi w:val="0"/>
        <w:adjustRightInd w:val="0"/>
        <w:snapToGrid w:val="0"/>
        <w:spacing w:line="360" w:lineRule="auto"/>
        <w:ind w:firstLine="1124" w:firstLineChars="400"/>
        <w:jc w:val="both"/>
        <w:textAlignment w:val="auto"/>
        <w:rPr>
          <w:rFonts w:hint="eastAsia" w:ascii="仿宋" w:hAnsi="仿宋" w:eastAsia="仿宋" w:cs="仿宋"/>
          <w:color w:val="auto"/>
          <w:sz w:val="28"/>
          <w:szCs w:val="28"/>
          <w:highlight w:val="none"/>
        </w:rPr>
      </w:pPr>
      <w:bookmarkStart w:id="237" w:name="_Toc25325_WPSOffice_Level3"/>
      <w:r>
        <w:rPr>
          <w:rFonts w:hint="eastAsia" w:ascii="仿宋" w:hAnsi="仿宋" w:eastAsia="仿宋"/>
          <w:b/>
          <w:color w:val="auto"/>
          <w:sz w:val="28"/>
          <w:szCs w:val="28"/>
          <w:highlight w:val="none"/>
        </w:rPr>
        <w:t>项目编号：</w:t>
      </w:r>
      <w:bookmarkEnd w:id="237"/>
      <w:r>
        <w:rPr>
          <w:rFonts w:hint="eastAsia" w:ascii="仿宋" w:hAnsi="仿宋" w:eastAsia="仿宋" w:cs="仿宋"/>
          <w:b w:val="0"/>
          <w:bCs w:val="0"/>
          <w:i w:val="0"/>
          <w:iCs w:val="0"/>
          <w:caps w:val="0"/>
          <w:color w:val="auto"/>
          <w:spacing w:val="0"/>
          <w:sz w:val="28"/>
          <w:szCs w:val="28"/>
          <w:highlight w:val="none"/>
          <w:shd w:val="clear" w:fill="FFFFFF"/>
        </w:rPr>
        <w:t>YNZC2026-G1-03951-CXYZ-0066</w:t>
      </w:r>
    </w:p>
    <w:p>
      <w:pPr>
        <w:pStyle w:val="19"/>
        <w:spacing w:line="360" w:lineRule="auto"/>
        <w:ind w:firstLine="3058" w:firstLineChars="1088"/>
        <w:rPr>
          <w:rFonts w:hint="eastAsia" w:ascii="仿宋" w:hAnsi="仿宋" w:eastAsia="仿宋"/>
          <w:b/>
          <w:color w:val="auto"/>
          <w:sz w:val="28"/>
          <w:szCs w:val="28"/>
          <w:highlight w:val="none"/>
          <w:u w:val="single"/>
        </w:rPr>
      </w:pPr>
    </w:p>
    <w:p>
      <w:pPr>
        <w:spacing w:line="360" w:lineRule="auto"/>
        <w:jc w:val="center"/>
        <w:rPr>
          <w:rFonts w:hint="eastAsia" w:ascii="仿宋" w:hAnsi="仿宋" w:eastAsia="仿宋"/>
          <w:color w:val="auto"/>
          <w:sz w:val="24"/>
          <w:highlight w:val="none"/>
        </w:rPr>
      </w:pPr>
    </w:p>
    <w:p>
      <w:pPr>
        <w:spacing w:line="360" w:lineRule="auto"/>
        <w:jc w:val="center"/>
        <w:rPr>
          <w:rFonts w:hint="eastAsia" w:ascii="仿宋" w:hAnsi="仿宋" w:eastAsia="仿宋"/>
          <w:color w:val="auto"/>
          <w:sz w:val="24"/>
          <w:highlight w:val="none"/>
        </w:rPr>
      </w:pPr>
    </w:p>
    <w:p>
      <w:pPr>
        <w:spacing w:line="360" w:lineRule="auto"/>
        <w:jc w:val="center"/>
        <w:rPr>
          <w:rFonts w:hint="eastAsia" w:ascii="仿宋" w:hAnsi="仿宋" w:eastAsia="仿宋"/>
          <w:color w:val="auto"/>
          <w:sz w:val="24"/>
          <w:highlight w:val="none"/>
        </w:rPr>
      </w:pPr>
    </w:p>
    <w:p>
      <w:pPr>
        <w:spacing w:line="360" w:lineRule="auto"/>
        <w:ind w:firstLine="1980" w:firstLineChars="825"/>
        <w:rPr>
          <w:rFonts w:hint="eastAsia" w:ascii="仿宋" w:hAnsi="仿宋" w:eastAsia="仿宋"/>
          <w:color w:val="auto"/>
          <w:sz w:val="24"/>
          <w:highlight w:val="none"/>
        </w:rPr>
      </w:pPr>
      <w:r>
        <w:rPr>
          <w:rFonts w:hint="eastAsia" w:ascii="仿宋" w:hAnsi="仿宋" w:eastAsia="仿宋"/>
          <w:color w:val="auto"/>
          <w:sz w:val="24"/>
          <w:highlight w:val="none"/>
        </w:rPr>
        <w:t>投标人：（盖单位公章）</w:t>
      </w:r>
    </w:p>
    <w:p>
      <w:pPr>
        <w:spacing w:line="360" w:lineRule="auto"/>
        <w:ind w:firstLine="1980" w:firstLineChars="825"/>
        <w:rPr>
          <w:rFonts w:hint="eastAsia" w:ascii="仿宋" w:hAnsi="仿宋" w:eastAsia="仿宋"/>
          <w:color w:val="auto"/>
          <w:sz w:val="24"/>
          <w:highlight w:val="none"/>
        </w:rPr>
      </w:pPr>
      <w:r>
        <w:rPr>
          <w:rFonts w:hint="eastAsia" w:ascii="仿宋" w:hAnsi="仿宋" w:eastAsia="仿宋"/>
          <w:color w:val="auto"/>
          <w:sz w:val="24"/>
          <w:highlight w:val="none"/>
        </w:rPr>
        <w:t>法定代表人：（签名或盖章）</w:t>
      </w:r>
    </w:p>
    <w:p>
      <w:pPr>
        <w:spacing w:line="360" w:lineRule="auto"/>
        <w:ind w:firstLine="1980" w:firstLineChars="825"/>
        <w:jc w:val="center"/>
        <w:rPr>
          <w:rFonts w:hint="eastAsia" w:ascii="仿宋" w:hAnsi="仿宋" w:eastAsia="仿宋"/>
          <w:color w:val="auto"/>
          <w:sz w:val="24"/>
          <w:highlight w:val="none"/>
        </w:rPr>
      </w:pPr>
    </w:p>
    <w:p>
      <w:pPr>
        <w:spacing w:line="360" w:lineRule="auto"/>
        <w:ind w:firstLine="2580" w:firstLineChars="1075"/>
        <w:rPr>
          <w:rFonts w:hint="eastAsia" w:ascii="仿宋" w:hAnsi="仿宋" w:eastAsia="仿宋"/>
          <w:color w:val="auto"/>
          <w:sz w:val="24"/>
          <w:highlight w:val="none"/>
        </w:rPr>
      </w:pPr>
      <w:r>
        <w:rPr>
          <w:rFonts w:hint="eastAsia" w:ascii="仿宋" w:hAnsi="仿宋" w:eastAsia="仿宋"/>
          <w:color w:val="auto"/>
          <w:sz w:val="24"/>
          <w:highlight w:val="none"/>
        </w:rPr>
        <w:t>年  月  日</w:t>
      </w:r>
      <w:r>
        <w:rPr>
          <w:rFonts w:ascii="仿宋" w:hAnsi="仿宋" w:eastAsia="仿宋"/>
          <w:color w:val="auto"/>
          <w:sz w:val="24"/>
          <w:highlight w:val="none"/>
        </w:rPr>
        <w:br w:type="page"/>
      </w:r>
      <w:bookmarkStart w:id="238" w:name="_Toc396"/>
    </w:p>
    <w:p>
      <w:pPr>
        <w:rPr>
          <w:rFonts w:hint="eastAsia" w:ascii="方正小标宋_GBK" w:hAnsi="方正小标宋_GBK" w:eastAsia="方正小标宋_GBK" w:cs="方正小标宋_GBK"/>
          <w:bCs/>
          <w:color w:val="auto"/>
          <w:szCs w:val="36"/>
          <w:highlight w:val="none"/>
        </w:rPr>
      </w:pPr>
      <w:bookmarkStart w:id="239" w:name="_Toc11355"/>
      <w:bookmarkStart w:id="240" w:name="_Toc29695_WPSOffice_Level3"/>
      <w:bookmarkStart w:id="241" w:name="_Toc27994_WPSOffice_Level2"/>
      <w:bookmarkStart w:id="242" w:name="_商务文件"/>
      <w:bookmarkStart w:id="243" w:name="_Toc60996688"/>
      <w:bookmarkStart w:id="244" w:name="_Toc19067"/>
      <w:bookmarkStart w:id="245" w:name="_Toc60996687"/>
      <w:r>
        <w:rPr>
          <w:rFonts w:hint="eastAsia" w:ascii="仿宋" w:hAnsi="仿宋" w:eastAsia="仿宋" w:cs="仿宋"/>
          <w:color w:val="auto"/>
          <w:sz w:val="32"/>
          <w:szCs w:val="32"/>
          <w:highlight w:val="none"/>
        </w:rPr>
        <w:t>附件：电子响应文件编制要求</w:t>
      </w:r>
    </w:p>
    <w:p>
      <w:pPr>
        <w:jc w:val="center"/>
        <w:rPr>
          <w:rFonts w:hint="eastAsia" w:ascii="方正小标宋_GBK" w:hAnsi="方正小标宋_GBK" w:eastAsia="方正小标宋_GBK" w:cs="方正小标宋_GBK"/>
          <w:b/>
          <w:bCs/>
          <w:color w:val="auto"/>
          <w:sz w:val="44"/>
          <w:szCs w:val="44"/>
          <w:highlight w:val="none"/>
        </w:rPr>
      </w:pPr>
      <w:bookmarkStart w:id="246" w:name="_Toc21048"/>
      <w:r>
        <w:rPr>
          <w:rFonts w:hint="eastAsia" w:ascii="仿宋" w:hAnsi="仿宋" w:eastAsia="仿宋" w:cs="仿宋"/>
          <w:b/>
          <w:bCs/>
          <w:color w:val="auto"/>
          <w:sz w:val="44"/>
          <w:szCs w:val="44"/>
          <w:highlight w:val="none"/>
        </w:rPr>
        <w:t>电子响应文件编制要求</w:t>
      </w:r>
      <w:bookmarkEnd w:id="246"/>
    </w:p>
    <w:p>
      <w:pPr>
        <w:adjustRightInd w:val="0"/>
        <w:snapToGrid w:val="0"/>
        <w:spacing w:before="162" w:beforeLines="50" w:line="580" w:lineRule="exact"/>
        <w:ind w:firstLine="437"/>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1、电子响应文件的制作应使用“政釆云投标客户端”，供应商下载“政釆云投标客户端”，通过“政釆云投标客户端”编制并生成加密的响应文件。</w:t>
      </w:r>
    </w:p>
    <w:p>
      <w:pPr>
        <w:adjustRightInd w:val="0"/>
        <w:snapToGrid w:val="0"/>
        <w:spacing w:before="162" w:beforeLines="50" w:line="580" w:lineRule="exact"/>
        <w:ind w:firstLine="437"/>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政采云投标客户端”提供数字证书（CA）对响应文件进行加密功能。供应商对网上递交的响应文件应加密。如果供应商使用某个数字证书（CA）对响应文件进行了数字证书（CA）加密，需要在开标时使用该数字证书（CA）进行解密，才能读取或导入响应文件，因 供应商原因造成响应文件未解密的，视为撤回其响应文件。</w:t>
      </w:r>
    </w:p>
    <w:p>
      <w:pPr>
        <w:adjustRightInd w:val="0"/>
        <w:snapToGrid w:val="0"/>
        <w:spacing w:before="162" w:beforeLines="50" w:line="580" w:lineRule="exact"/>
        <w:ind w:firstLine="437"/>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3、网上递交响应文件应根据釆购文件要求，在响应文件提交截止时间前将电子响应文件通过政釆云电子交易系统（网址：https://www.zcygov.com）上传至对应的项目，系统自动生成投标回执，以表明上传成功。</w:t>
      </w:r>
    </w:p>
    <w:p>
      <w:pPr>
        <w:adjustRightInd w:val="0"/>
        <w:snapToGrid w:val="0"/>
        <w:spacing w:before="162" w:beforeLines="50" w:line="580" w:lineRule="exact"/>
        <w:ind w:firstLine="437"/>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4、该响应文件制作要求如果与采购文件规定不一致，以此响应文件制作要求为准。</w:t>
      </w:r>
    </w:p>
    <w:p>
      <w:pPr>
        <w:adjustRightInd w:val="0"/>
        <w:snapToGrid w:val="0"/>
        <w:spacing w:before="162" w:beforeLines="50" w:line="580" w:lineRule="exact"/>
        <w:ind w:firstLine="437"/>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5、“政釆云投标客户端”及CA驱动下载网址：</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"https://customer,zcygov.cn/CA-driver-download?utm=web-ca-front.3ddc8fbb.0.0.91c6cff0dbl311ec8cfbc9f613d30204"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t>https://customer,zcygov.cn/CA-driver-download?utm=web-ca-front.3ddc8fbb.0.0.91c6cff0dbl311ec8cfbc9f613d30204</w:t>
      </w:r>
      <w:r>
        <w:rPr>
          <w:rFonts w:hint="eastAsia" w:ascii="仿宋" w:hAnsi="仿宋" w:eastAsia="仿宋" w:cs="仿宋"/>
          <w:color w:val="auto"/>
          <w:sz w:val="32"/>
          <w:szCs w:val="32"/>
          <w:highlight w:val="none"/>
        </w:rPr>
        <w:fldChar w:fldCharType="end"/>
      </w:r>
      <w:r>
        <w:rPr>
          <w:rFonts w:hint="eastAsia" w:ascii="仿宋" w:hAnsi="仿宋" w:eastAsia="仿宋" w:cs="仿宋"/>
          <w:color w:val="auto"/>
          <w:sz w:val="32"/>
          <w:szCs w:val="32"/>
          <w:highlight w:val="none"/>
        </w:rPr>
        <w:t xml:space="preserve"> 。</w:t>
      </w:r>
      <w:bookmarkStart w:id="247" w:name="_Toc3026"/>
    </w:p>
    <w:p>
      <w:pPr>
        <w:adjustRightInd w:val="0"/>
        <w:snapToGrid w:val="0"/>
        <w:spacing w:before="162" w:beforeLines="50" w:line="580" w:lineRule="exact"/>
        <w:ind w:firstLine="437"/>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注：在编制政采云系统文件时，商务技术文件请上传整个投标文件的内容。</w:t>
      </w:r>
      <w:bookmarkEnd w:id="247"/>
    </w:p>
    <w:p>
      <w:pPr>
        <w:rPr>
          <w:color w:val="auto"/>
          <w:highlight w:val="none"/>
        </w:rPr>
      </w:pPr>
    </w:p>
    <w:p>
      <w:pPr>
        <w:pStyle w:val="4"/>
        <w:spacing w:before="0" w:line="240" w:lineRule="atLeast"/>
        <w:ind w:left="420" w:leftChars="200" w:firstLine="0"/>
        <w:jc w:val="center"/>
        <w:rPr>
          <w:rFonts w:hint="eastAsia" w:ascii="仿宋" w:hAnsi="仿宋" w:eastAsia="仿宋"/>
          <w:color w:val="auto"/>
          <w:sz w:val="32"/>
          <w:szCs w:val="32"/>
          <w:highlight w:val="none"/>
        </w:rPr>
      </w:pPr>
      <w:bookmarkStart w:id="248" w:name="_Toc17802"/>
      <w:r>
        <w:rPr>
          <w:rFonts w:hint="eastAsia" w:ascii="仿宋" w:hAnsi="仿宋" w:eastAsia="仿宋"/>
          <w:color w:val="auto"/>
          <w:sz w:val="32"/>
          <w:szCs w:val="32"/>
          <w:highlight w:val="none"/>
        </w:rPr>
        <w:t>商务文件</w:t>
      </w:r>
      <w:bookmarkEnd w:id="239"/>
      <w:bookmarkEnd w:id="240"/>
      <w:bookmarkEnd w:id="241"/>
      <w:bookmarkEnd w:id="248"/>
    </w:p>
    <w:bookmarkEnd w:id="242"/>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49" w:name="_Toc21520_WPSOffice_Level2"/>
      <w:bookmarkStart w:id="250" w:name="_Toc17522_WPSOffice_Level3"/>
      <w:r>
        <w:rPr>
          <w:rFonts w:hint="eastAsia" w:ascii="仿宋" w:hAnsi="仿宋" w:eastAsia="仿宋"/>
          <w:color w:val="auto"/>
          <w:sz w:val="28"/>
          <w:szCs w:val="28"/>
          <w:highlight w:val="none"/>
        </w:rPr>
        <w:t>投标函</w:t>
      </w:r>
      <w:bookmarkEnd w:id="249"/>
      <w:bookmarkEnd w:id="250"/>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51" w:name="_Toc32340_WPSOffice_Level3"/>
      <w:bookmarkStart w:id="252" w:name="_Toc28668_WPSOffice_Level2"/>
      <w:r>
        <w:rPr>
          <w:rFonts w:hint="eastAsia" w:ascii="仿宋" w:hAnsi="仿宋" w:eastAsia="仿宋"/>
          <w:color w:val="auto"/>
          <w:sz w:val="28"/>
          <w:szCs w:val="28"/>
          <w:highlight w:val="none"/>
        </w:rPr>
        <w:t>开标一览表</w:t>
      </w:r>
      <w:bookmarkEnd w:id="251"/>
      <w:bookmarkEnd w:id="252"/>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53" w:name="_Toc4165_WPSOffice_Level2"/>
      <w:bookmarkStart w:id="254" w:name="_Toc16751_WPSOffice_Level3"/>
      <w:r>
        <w:rPr>
          <w:rFonts w:hint="eastAsia" w:ascii="仿宋" w:hAnsi="仿宋" w:eastAsia="仿宋"/>
          <w:color w:val="auto"/>
          <w:sz w:val="28"/>
          <w:szCs w:val="28"/>
          <w:highlight w:val="none"/>
        </w:rPr>
        <w:t>投标分项报价表</w:t>
      </w:r>
      <w:bookmarkEnd w:id="253"/>
      <w:bookmarkEnd w:id="254"/>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55" w:name="_Toc26286_WPSOffice_Level2"/>
      <w:bookmarkStart w:id="256" w:name="_Toc3720_WPSOffice_Level3"/>
      <w:r>
        <w:rPr>
          <w:rFonts w:hint="eastAsia" w:ascii="仿宋" w:hAnsi="仿宋" w:eastAsia="仿宋"/>
          <w:color w:val="auto"/>
          <w:sz w:val="28"/>
          <w:szCs w:val="28"/>
          <w:highlight w:val="none"/>
        </w:rPr>
        <w:t>商务条款响应/偏离表</w:t>
      </w:r>
      <w:bookmarkEnd w:id="255"/>
      <w:bookmarkEnd w:id="256"/>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57" w:name="_Toc27123_WPSOffice_Level3"/>
      <w:bookmarkStart w:id="258" w:name="_Toc17236_WPSOffice_Level2"/>
      <w:r>
        <w:rPr>
          <w:rFonts w:hint="eastAsia" w:ascii="仿宋" w:hAnsi="仿宋" w:eastAsia="仿宋"/>
          <w:color w:val="auto"/>
          <w:sz w:val="28"/>
          <w:szCs w:val="28"/>
          <w:highlight w:val="none"/>
        </w:rPr>
        <w:t>质量保证和售后服务承诺书</w:t>
      </w:r>
      <w:bookmarkEnd w:id="257"/>
      <w:bookmarkEnd w:id="258"/>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59" w:name="_Toc15539_WPSOffice_Level2"/>
      <w:bookmarkStart w:id="260" w:name="_Toc15807_WPSOffice_Level3"/>
      <w:r>
        <w:rPr>
          <w:rFonts w:hint="eastAsia" w:ascii="仿宋" w:hAnsi="仿宋" w:eastAsia="仿宋"/>
          <w:color w:val="auto"/>
          <w:sz w:val="28"/>
          <w:szCs w:val="28"/>
          <w:highlight w:val="none"/>
        </w:rPr>
        <w:t>投标保证金</w:t>
      </w:r>
      <w:bookmarkEnd w:id="259"/>
      <w:bookmarkEnd w:id="260"/>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bookmarkStart w:id="261" w:name="_Toc21966_WPSOffice_Level2"/>
      <w:bookmarkStart w:id="262" w:name="_Toc17824_WPSOffice_Level3"/>
      <w:r>
        <w:rPr>
          <w:rFonts w:hint="eastAsia" w:ascii="仿宋" w:hAnsi="仿宋" w:eastAsia="仿宋"/>
          <w:color w:val="auto"/>
          <w:sz w:val="28"/>
          <w:szCs w:val="28"/>
          <w:highlight w:val="none"/>
        </w:rPr>
        <w:t>投标人资格证明文件</w:t>
      </w:r>
      <w:bookmarkEnd w:id="261"/>
      <w:bookmarkEnd w:id="262"/>
    </w:p>
    <w:p>
      <w:pPr>
        <w:pStyle w:val="13"/>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构成投标文件的其他资料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olor w:val="auto"/>
          <w:sz w:val="28"/>
          <w:szCs w:val="28"/>
          <w:highlight w:val="none"/>
        </w:rPr>
      </w:pPr>
    </w:p>
    <w:p>
      <w:pPr>
        <w:bidi w:val="0"/>
        <w:rPr>
          <w:rFonts w:hint="eastAsia"/>
          <w:color w:val="auto"/>
          <w:highlight w:val="none"/>
        </w:rPr>
      </w:pPr>
    </w:p>
    <w:p>
      <w:pPr>
        <w:bidi w:val="0"/>
        <w:rPr>
          <w:rFonts w:hint="eastAsia"/>
          <w:color w:val="auto"/>
          <w:highlight w:val="none"/>
        </w:rPr>
      </w:pPr>
      <w:bookmarkStart w:id="263" w:name="_格式1：投标函"/>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13"/>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4"/>
        <w:spacing w:before="0" w:line="240" w:lineRule="atLeast"/>
        <w:ind w:left="0" w:firstLine="562" w:firstLineChars="200"/>
        <w:rPr>
          <w:rFonts w:hint="eastAsia" w:ascii="仿宋" w:hAnsi="仿宋" w:eastAsia="仿宋"/>
          <w:color w:val="auto"/>
          <w:szCs w:val="28"/>
          <w:highlight w:val="none"/>
        </w:rPr>
      </w:pPr>
      <w:bookmarkStart w:id="264" w:name="_Toc9761_WPSOffice_Level3"/>
      <w:bookmarkStart w:id="265" w:name="_Toc26447"/>
      <w:bookmarkStart w:id="266" w:name="_Toc8875"/>
      <w:r>
        <w:rPr>
          <w:rFonts w:hint="eastAsia" w:ascii="仿宋" w:hAnsi="仿宋" w:eastAsia="仿宋"/>
          <w:color w:val="auto"/>
          <w:szCs w:val="28"/>
          <w:highlight w:val="none"/>
        </w:rPr>
        <w:t>格式1：投标函</w:t>
      </w:r>
      <w:bookmarkEnd w:id="243"/>
      <w:bookmarkEnd w:id="244"/>
      <w:bookmarkEnd w:id="264"/>
      <w:bookmarkEnd w:id="265"/>
      <w:bookmarkEnd w:id="266"/>
    </w:p>
    <w:bookmarkEnd w:id="263"/>
    <w:p>
      <w:pPr>
        <w:spacing w:line="360" w:lineRule="auto"/>
        <w:jc w:val="center"/>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投标函</w:t>
      </w:r>
    </w:p>
    <w:p>
      <w:pPr>
        <w:spacing w:line="336" w:lineRule="auto"/>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（采购人名称）</w:t>
      </w:r>
    </w:p>
    <w:p>
      <w:pPr>
        <w:spacing w:line="420" w:lineRule="exact"/>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根据贵方为</w:t>
      </w:r>
      <w:r>
        <w:rPr>
          <w:rFonts w:hint="eastAsia" w:ascii="仿宋" w:hAnsi="仿宋" w:eastAsia="仿宋"/>
          <w:color w:val="auto"/>
          <w:sz w:val="28"/>
          <w:szCs w:val="28"/>
          <w:highlight w:val="none"/>
          <w:u w:val="single"/>
        </w:rPr>
        <w:t>（采购项目名称）</w:t>
      </w:r>
      <w:r>
        <w:rPr>
          <w:rFonts w:hint="eastAsia" w:ascii="仿宋" w:hAnsi="仿宋" w:eastAsia="仿宋"/>
          <w:color w:val="auto"/>
          <w:sz w:val="28"/>
          <w:szCs w:val="28"/>
          <w:highlight w:val="none"/>
        </w:rPr>
        <w:t>（项目编号：）项目招标采购货物及服务的投标邀请，正式授权下述签字人</w:t>
      </w:r>
      <w:r>
        <w:rPr>
          <w:rFonts w:hint="eastAsia" w:ascii="仿宋" w:hAnsi="仿宋" w:eastAsia="仿宋"/>
          <w:color w:val="auto"/>
          <w:sz w:val="28"/>
          <w:szCs w:val="28"/>
          <w:highlight w:val="none"/>
          <w:u w:val="single"/>
        </w:rPr>
        <w:t>（姓名和职务）</w:t>
      </w:r>
      <w:r>
        <w:rPr>
          <w:rFonts w:hint="eastAsia" w:ascii="仿宋" w:hAnsi="仿宋" w:eastAsia="仿宋"/>
          <w:color w:val="auto"/>
          <w:sz w:val="28"/>
          <w:szCs w:val="28"/>
          <w:highlight w:val="none"/>
        </w:rPr>
        <w:t>全权代表投标人</w:t>
      </w:r>
      <w:r>
        <w:rPr>
          <w:rFonts w:hint="eastAsia" w:ascii="仿宋" w:hAnsi="仿宋" w:eastAsia="仿宋"/>
          <w:color w:val="auto"/>
          <w:sz w:val="28"/>
          <w:szCs w:val="28"/>
          <w:highlight w:val="none"/>
          <w:u w:val="single"/>
        </w:rPr>
        <w:t>（投标人全称）</w:t>
      </w:r>
      <w:r>
        <w:rPr>
          <w:rFonts w:hint="eastAsia" w:ascii="仿宋" w:hAnsi="仿宋" w:eastAsia="仿宋"/>
          <w:color w:val="auto"/>
          <w:sz w:val="28"/>
          <w:szCs w:val="28"/>
          <w:highlight w:val="none"/>
        </w:rPr>
        <w:t>参加投标，并承诺所递交的投标文件内容完整、真实。</w:t>
      </w:r>
    </w:p>
    <w:p>
      <w:pPr>
        <w:spacing w:line="336" w:lineRule="auto"/>
        <w:ind w:firstLine="560" w:firstLineChars="200"/>
        <w:jc w:val="left"/>
        <w:rPr>
          <w:rFonts w:hint="eastAsia" w:ascii="仿宋" w:hAnsi="仿宋" w:eastAsia="仿宋"/>
          <w:color w:val="auto"/>
          <w:sz w:val="28"/>
          <w:szCs w:val="28"/>
          <w:highlight w:val="none"/>
        </w:rPr>
      </w:pPr>
    </w:p>
    <w:p>
      <w:pPr>
        <w:spacing w:line="336" w:lineRule="auto"/>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据此函，签字人兹宣布同意如下：</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按招标文件货物需求一览表和投标报价表，投标总报价为人民币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 （大写：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我方同意在投标人须知规定的开标日期起遵循本投标文件，并在投标人须知规定的投标有效期满之前均具有约束力。如果我方投标被接受，则至合同履行完毕、质保期满为止，本投标函保持有效。</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 </w:t>
      </w:r>
      <w:r>
        <w:rPr>
          <w:rFonts w:hint="eastAsia" w:ascii="仿宋" w:hAnsi="仿宋" w:eastAsia="仿宋"/>
          <w:color w:val="auto"/>
          <w:sz w:val="28"/>
          <w:szCs w:val="28"/>
          <w:highlight w:val="none"/>
        </w:rPr>
        <w:t>我方承诺已经具备《中华人民共和国政府采购法》中规定的参加政府采购活动的投标人应当具备的条件。</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4. </w:t>
      </w:r>
      <w:r>
        <w:rPr>
          <w:rFonts w:hint="eastAsia" w:ascii="仿宋" w:hAnsi="仿宋" w:eastAsia="仿宋"/>
          <w:color w:val="auto"/>
          <w:sz w:val="28"/>
          <w:szCs w:val="28"/>
          <w:highlight w:val="none"/>
        </w:rPr>
        <w:t>我方承诺严格遵守招标文件中的各项要求及合同条款，在合同生效后日内完成交货（或完工），并承担合同规定的责任义务。</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5. </w:t>
      </w:r>
      <w:r>
        <w:rPr>
          <w:rFonts w:hint="eastAsia" w:ascii="仿宋" w:hAnsi="仿宋" w:eastAsia="仿宋"/>
          <w:color w:val="auto"/>
          <w:sz w:val="28"/>
          <w:szCs w:val="28"/>
          <w:highlight w:val="none"/>
        </w:rPr>
        <w:t>我方已详细审核招标文件，我方对招标文件各项条款和评标办法无异议，知道必须放弃提出含糊不清或误解问题的权利。</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6. </w:t>
      </w:r>
      <w:r>
        <w:rPr>
          <w:rFonts w:hint="eastAsia" w:ascii="仿宋" w:hAnsi="仿宋" w:eastAsia="仿宋"/>
          <w:color w:val="auto"/>
          <w:sz w:val="28"/>
          <w:szCs w:val="28"/>
          <w:highlight w:val="none"/>
        </w:rPr>
        <w:t>如果在投标文件有效期内撤回投标或者有其他违约行为，我方的投标保证金可被贵方全部或部分没收。</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7. </w:t>
      </w:r>
      <w:r>
        <w:rPr>
          <w:rFonts w:hint="eastAsia" w:ascii="仿宋" w:hAnsi="仿宋" w:eastAsia="仿宋"/>
          <w:color w:val="auto"/>
          <w:sz w:val="28"/>
          <w:szCs w:val="28"/>
          <w:highlight w:val="none"/>
        </w:rPr>
        <w:t>同意应贵方要求提供与本投标有关的任何数据和资料，并保证数据和资料的完整性和真实性，若有违反，我方愿意承担一切后果。</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8. </w:t>
      </w:r>
      <w:r>
        <w:rPr>
          <w:rFonts w:hint="eastAsia" w:ascii="仿宋" w:hAnsi="仿宋" w:eastAsia="仿宋"/>
          <w:color w:val="auto"/>
          <w:sz w:val="28"/>
          <w:szCs w:val="28"/>
          <w:highlight w:val="none"/>
        </w:rPr>
        <w:t>我方完全理解贵方不一定要接受最低报价的投标人为中标人的行为。</w:t>
      </w:r>
    </w:p>
    <w:p>
      <w:pPr>
        <w:spacing w:line="336" w:lineRule="auto"/>
        <w:ind w:firstLine="560" w:firstLineChars="200"/>
        <w:jc w:val="left"/>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9. </w:t>
      </w:r>
      <w:r>
        <w:rPr>
          <w:rFonts w:hint="eastAsia" w:ascii="仿宋" w:hAnsi="仿宋" w:eastAsia="仿宋"/>
          <w:color w:val="auto"/>
          <w:sz w:val="28"/>
          <w:szCs w:val="28"/>
          <w:highlight w:val="none"/>
        </w:rPr>
        <w:t>若贵方需要，我方愿意提供我方作出的一切承诺的证明材料。</w:t>
      </w:r>
    </w:p>
    <w:p>
      <w:pPr>
        <w:pStyle w:val="19"/>
        <w:adjustRightInd w:val="0"/>
        <w:snapToGrid w:val="0"/>
        <w:spacing w:before="162" w:beforeLines="50" w:line="360" w:lineRule="auto"/>
        <w:rPr>
          <w:rFonts w:hint="eastAsia" w:ascii="方正仿宋_GBK" w:hAnsi="方正仿宋_GBK" w:eastAsia="方正仿宋_GBK" w:cs="方正仿宋_GBK"/>
          <w:color w:val="auto"/>
          <w:sz w:val="28"/>
          <w:szCs w:val="28"/>
          <w:highlight w:val="none"/>
        </w:rPr>
      </w:pPr>
    </w:p>
    <w:p>
      <w:pPr>
        <w:adjustRightInd w:val="0"/>
        <w:snapToGrid w:val="0"/>
        <w:spacing w:before="162" w:beforeLines="50" w:line="360" w:lineRule="auto"/>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投标人(电子签章)：</w:t>
      </w:r>
    </w:p>
    <w:p>
      <w:pPr>
        <w:adjustRightInd w:val="0"/>
        <w:snapToGrid w:val="0"/>
        <w:spacing w:before="162" w:beforeLines="50" w:line="360" w:lineRule="auto"/>
        <w:ind w:firstLine="560" w:firstLineChars="200"/>
        <w:rPr>
          <w:rFonts w:hint="eastAsia" w:ascii="方正仿宋_GBK" w:hAnsi="方正仿宋_GBK" w:eastAsia="方正仿宋_GBK" w:cs="方正仿宋_GBK"/>
          <w:color w:val="auto"/>
          <w:sz w:val="28"/>
          <w:szCs w:val="28"/>
          <w:highlight w:val="none"/>
          <w:u w:val="single"/>
        </w:rPr>
      </w:pPr>
      <w:r>
        <w:rPr>
          <w:rFonts w:hint="eastAsia" w:ascii="方正仿宋_GBK" w:hAnsi="方正仿宋_GBK" w:eastAsia="方正仿宋_GBK" w:cs="方正仿宋_GBK"/>
          <w:color w:val="auto"/>
          <w:sz w:val="28"/>
          <w:szCs w:val="28"/>
          <w:highlight w:val="none"/>
        </w:rPr>
        <w:t>法定代表人(电子签章)或授权代理人(签字)：</w:t>
      </w:r>
      <w:r>
        <w:rPr>
          <w:rFonts w:hint="eastAsia" w:ascii="方正仿宋_GBK" w:hAnsi="方正仿宋_GBK" w:eastAsia="方正仿宋_GBK" w:cs="方正仿宋_GBK"/>
          <w:color w:val="auto"/>
          <w:sz w:val="28"/>
          <w:szCs w:val="28"/>
          <w:highlight w:val="none"/>
          <w:u w:val="single"/>
        </w:rPr>
        <w:t xml:space="preserve">    </w:t>
      </w:r>
    </w:p>
    <w:p>
      <w:pPr>
        <w:adjustRightInd w:val="0"/>
        <w:snapToGrid w:val="0"/>
        <w:spacing w:before="162" w:beforeLines="50" w:line="360" w:lineRule="auto"/>
        <w:ind w:firstLine="560" w:firstLineChars="200"/>
        <w:rPr>
          <w:rFonts w:hint="eastAsia" w:ascii="方正仿宋_GBK" w:hAnsi="方正仿宋_GBK" w:eastAsia="方正仿宋_GBK" w:cs="方正仿宋_GBK"/>
          <w:color w:val="auto"/>
          <w:sz w:val="28"/>
          <w:szCs w:val="28"/>
          <w:highlight w:val="none"/>
          <w:u w:val="single"/>
        </w:rPr>
      </w:pPr>
      <w:r>
        <w:rPr>
          <w:rFonts w:hint="eastAsia" w:ascii="仿宋" w:hAnsi="仿宋" w:eastAsia="仿宋" w:cs="仿宋"/>
          <w:color w:val="auto"/>
          <w:sz w:val="28"/>
          <w:szCs w:val="28"/>
          <w:highlight w:val="none"/>
        </w:rPr>
        <w:t xml:space="preserve">地址： </w:t>
      </w:r>
      <w:r>
        <w:rPr>
          <w:rFonts w:hint="eastAsia" w:ascii="仿宋" w:hAnsi="仿宋" w:eastAsia="仿宋" w:cs="仿宋"/>
          <w:color w:val="auto"/>
          <w:sz w:val="28"/>
          <w:szCs w:val="28"/>
          <w:highlight w:val="none"/>
          <w:u w:val="single"/>
        </w:rPr>
        <w:t xml:space="preserve">  </w:t>
      </w:r>
      <w:r>
        <w:rPr>
          <w:rFonts w:hint="eastAsia" w:ascii="方正仿宋_GBK" w:hAnsi="方正仿宋_GBK" w:eastAsia="方正仿宋_GBK" w:cs="方正仿宋_GBK"/>
          <w:color w:val="auto"/>
          <w:sz w:val="28"/>
          <w:szCs w:val="28"/>
          <w:highlight w:val="none"/>
          <w:u w:val="single"/>
        </w:rPr>
        <w:t xml:space="preserve">           </w:t>
      </w:r>
    </w:p>
    <w:p>
      <w:pPr>
        <w:adjustRightInd w:val="0"/>
        <w:snapToGrid w:val="0"/>
        <w:spacing w:before="162" w:beforeLines="50" w:line="360" w:lineRule="auto"/>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日期：</w:t>
      </w:r>
      <w:r>
        <w:rPr>
          <w:rFonts w:hint="eastAsia" w:ascii="方正仿宋_GBK" w:hAnsi="方正仿宋_GBK" w:eastAsia="方正仿宋_GBK" w:cs="方正仿宋_GBK"/>
          <w:color w:val="auto"/>
          <w:sz w:val="28"/>
          <w:szCs w:val="28"/>
          <w:highlight w:val="none"/>
          <w:u w:val="single"/>
        </w:rPr>
        <w:t xml:space="preserve">     </w:t>
      </w:r>
      <w:r>
        <w:rPr>
          <w:rFonts w:hint="eastAsia" w:ascii="方正仿宋_GBK" w:hAnsi="方正仿宋_GBK" w:eastAsia="方正仿宋_GBK" w:cs="方正仿宋_GBK"/>
          <w:color w:val="auto"/>
          <w:sz w:val="28"/>
          <w:szCs w:val="28"/>
          <w:highlight w:val="none"/>
        </w:rPr>
        <w:t>年</w:t>
      </w:r>
      <w:r>
        <w:rPr>
          <w:rFonts w:hint="eastAsia" w:ascii="方正仿宋_GBK" w:hAnsi="方正仿宋_GBK" w:eastAsia="方正仿宋_GBK" w:cs="方正仿宋_GBK"/>
          <w:color w:val="auto"/>
          <w:sz w:val="28"/>
          <w:szCs w:val="28"/>
          <w:highlight w:val="none"/>
          <w:u w:val="single"/>
        </w:rPr>
        <w:t xml:space="preserve">      </w:t>
      </w:r>
      <w:r>
        <w:rPr>
          <w:rFonts w:hint="eastAsia" w:ascii="方正仿宋_GBK" w:hAnsi="方正仿宋_GBK" w:eastAsia="方正仿宋_GBK" w:cs="方正仿宋_GBK"/>
          <w:color w:val="auto"/>
          <w:sz w:val="28"/>
          <w:szCs w:val="28"/>
          <w:highlight w:val="none"/>
        </w:rPr>
        <w:t>月</w:t>
      </w:r>
      <w:r>
        <w:rPr>
          <w:rFonts w:hint="eastAsia" w:ascii="方正仿宋_GBK" w:hAnsi="方正仿宋_GBK" w:eastAsia="方正仿宋_GBK" w:cs="方正仿宋_GBK"/>
          <w:color w:val="auto"/>
          <w:sz w:val="28"/>
          <w:szCs w:val="28"/>
          <w:highlight w:val="none"/>
          <w:u w:val="single"/>
        </w:rPr>
        <w:t xml:space="preserve">     </w:t>
      </w:r>
      <w:r>
        <w:rPr>
          <w:rFonts w:hint="eastAsia" w:ascii="方正仿宋_GBK" w:hAnsi="方正仿宋_GBK" w:eastAsia="方正仿宋_GBK" w:cs="方正仿宋_GBK"/>
          <w:color w:val="auto"/>
          <w:sz w:val="28"/>
          <w:szCs w:val="28"/>
          <w:highlight w:val="none"/>
        </w:rPr>
        <w:t>日</w:t>
      </w:r>
    </w:p>
    <w:p>
      <w:pPr>
        <w:spacing w:line="360" w:lineRule="auto"/>
        <w:ind w:firstLine="560" w:firstLineChars="200"/>
        <w:jc w:val="left"/>
        <w:rPr>
          <w:rFonts w:hint="eastAsia" w:ascii="仿宋" w:hAnsi="仿宋" w:eastAsia="仿宋"/>
          <w:color w:val="auto"/>
          <w:sz w:val="28"/>
          <w:szCs w:val="28"/>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bookmarkStart w:id="267" w:name="_Toc29121_WPSOffice_Level3"/>
      <w:bookmarkStart w:id="268" w:name="_格式2：开标一览表"/>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color w:val="auto"/>
          <w:highlight w:val="none"/>
        </w:rPr>
      </w:pPr>
    </w:p>
    <w:p>
      <w:pPr>
        <w:bidi w:val="0"/>
        <w:rPr>
          <w:color w:val="auto"/>
          <w:highlight w:val="none"/>
        </w:rPr>
      </w:pPr>
    </w:p>
    <w:p>
      <w:pPr>
        <w:pStyle w:val="4"/>
        <w:spacing w:before="0" w:line="240" w:lineRule="atLeast"/>
        <w:ind w:left="0" w:firstLine="562" w:firstLineChars="200"/>
        <w:rPr>
          <w:rFonts w:hint="eastAsia" w:ascii="仿宋" w:hAnsi="仿宋" w:eastAsia="仿宋"/>
          <w:color w:val="auto"/>
          <w:szCs w:val="28"/>
          <w:highlight w:val="none"/>
        </w:rPr>
      </w:pPr>
      <w:bookmarkStart w:id="269" w:name="_Toc3098"/>
      <w:bookmarkStart w:id="270" w:name="_Toc6554"/>
      <w:r>
        <w:rPr>
          <w:rFonts w:hint="eastAsia" w:ascii="仿宋" w:hAnsi="仿宋" w:eastAsia="仿宋"/>
          <w:color w:val="auto"/>
          <w:szCs w:val="28"/>
          <w:highlight w:val="none"/>
        </w:rPr>
        <w:t>格式2：开标一览表</w:t>
      </w:r>
      <w:bookmarkEnd w:id="238"/>
      <w:bookmarkEnd w:id="245"/>
      <w:bookmarkEnd w:id="267"/>
      <w:bookmarkEnd w:id="269"/>
      <w:bookmarkEnd w:id="270"/>
    </w:p>
    <w:bookmarkEnd w:id="268"/>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开标一览表</w:t>
      </w:r>
    </w:p>
    <w:p>
      <w:pPr>
        <w:spacing w:line="400" w:lineRule="exact"/>
        <w:rPr>
          <w:rFonts w:ascii="宋体"/>
          <w:color w:val="auto"/>
          <w:sz w:val="24"/>
          <w:highlight w:val="none"/>
        </w:rPr>
      </w:pPr>
    </w:p>
    <w:p>
      <w:pPr>
        <w:spacing w:line="400" w:lineRule="exact"/>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项目名称：                    采购项目编号：</w:t>
      </w:r>
    </w:p>
    <w:tbl>
      <w:tblPr>
        <w:tblStyle w:val="39"/>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9"/>
        <w:gridCol w:w="1102"/>
        <w:gridCol w:w="1068"/>
        <w:gridCol w:w="1042"/>
        <w:gridCol w:w="1062"/>
        <w:gridCol w:w="968"/>
        <w:gridCol w:w="955"/>
        <w:gridCol w:w="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2369" w:type="dxa"/>
            <w:noWrap/>
            <w:vAlign w:val="center"/>
          </w:tcPr>
          <w:p>
            <w:pPr>
              <w:spacing w:line="400" w:lineRule="exact"/>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投标总价</w:t>
            </w:r>
          </w:p>
        </w:tc>
        <w:tc>
          <w:tcPr>
            <w:tcW w:w="1102"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交货期限</w:t>
            </w:r>
          </w:p>
        </w:tc>
        <w:tc>
          <w:tcPr>
            <w:tcW w:w="1068" w:type="dxa"/>
            <w:noWrap/>
            <w:vAlign w:val="center"/>
          </w:tcPr>
          <w:p>
            <w:pPr>
              <w:spacing w:line="400" w:lineRule="exact"/>
              <w:ind w:firstLine="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交货地点</w:t>
            </w:r>
          </w:p>
        </w:tc>
        <w:tc>
          <w:tcPr>
            <w:tcW w:w="1042"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售后期限</w:t>
            </w:r>
          </w:p>
        </w:tc>
        <w:tc>
          <w:tcPr>
            <w:tcW w:w="1062"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投标保证金形式</w:t>
            </w:r>
          </w:p>
        </w:tc>
        <w:tc>
          <w:tcPr>
            <w:tcW w:w="968"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开户行</w:t>
            </w:r>
          </w:p>
        </w:tc>
        <w:tc>
          <w:tcPr>
            <w:tcW w:w="955"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银行账号</w:t>
            </w:r>
          </w:p>
        </w:tc>
        <w:tc>
          <w:tcPr>
            <w:tcW w:w="954" w:type="dxa"/>
            <w:noWrap/>
            <w:vAlign w:val="center"/>
          </w:tcPr>
          <w:p>
            <w:pPr>
              <w:spacing w:line="400" w:lineRule="exact"/>
              <w:ind w:firstLine="2" w:firstLineChars="1"/>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2" w:hRule="atLeast"/>
          <w:jc w:val="center"/>
        </w:trPr>
        <w:tc>
          <w:tcPr>
            <w:tcW w:w="2369" w:type="dxa"/>
            <w:noWrap/>
            <w:vAlign w:val="center"/>
          </w:tcPr>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小写：</w:t>
            </w: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大写：</w:t>
            </w:r>
          </w:p>
        </w:tc>
        <w:tc>
          <w:tcPr>
            <w:tcW w:w="1102" w:type="dxa"/>
            <w:noWrap/>
            <w:vAlign w:val="center"/>
          </w:tcPr>
          <w:p>
            <w:pPr>
              <w:spacing w:line="400" w:lineRule="exact"/>
              <w:rPr>
                <w:rFonts w:hint="eastAsia" w:ascii="仿宋" w:hAnsi="仿宋" w:eastAsia="仿宋"/>
                <w:color w:val="auto"/>
                <w:sz w:val="28"/>
                <w:szCs w:val="28"/>
                <w:highlight w:val="none"/>
              </w:rPr>
            </w:pPr>
          </w:p>
        </w:tc>
        <w:tc>
          <w:tcPr>
            <w:tcW w:w="1068" w:type="dxa"/>
            <w:noWrap/>
            <w:vAlign w:val="center"/>
          </w:tcPr>
          <w:p>
            <w:pPr>
              <w:pStyle w:val="19"/>
              <w:spacing w:line="400" w:lineRule="exact"/>
              <w:jc w:val="center"/>
              <w:rPr>
                <w:rFonts w:hint="eastAsia" w:ascii="仿宋" w:hAnsi="仿宋" w:eastAsia="仿宋" w:cs="Courier New"/>
                <w:color w:val="auto"/>
                <w:sz w:val="28"/>
                <w:szCs w:val="28"/>
                <w:highlight w:val="none"/>
              </w:rPr>
            </w:pPr>
          </w:p>
        </w:tc>
        <w:tc>
          <w:tcPr>
            <w:tcW w:w="1042" w:type="dxa"/>
            <w:noWrap/>
          </w:tcPr>
          <w:p>
            <w:pPr>
              <w:pStyle w:val="19"/>
              <w:spacing w:line="400" w:lineRule="exact"/>
              <w:rPr>
                <w:rFonts w:hint="eastAsia" w:ascii="仿宋" w:hAnsi="仿宋" w:eastAsia="仿宋" w:cs="Courier New"/>
                <w:color w:val="auto"/>
                <w:sz w:val="28"/>
                <w:szCs w:val="28"/>
                <w:highlight w:val="none"/>
              </w:rPr>
            </w:pPr>
          </w:p>
        </w:tc>
        <w:tc>
          <w:tcPr>
            <w:tcW w:w="1062" w:type="dxa"/>
            <w:noWrap/>
            <w:vAlign w:val="center"/>
          </w:tcPr>
          <w:p>
            <w:pPr>
              <w:pStyle w:val="19"/>
              <w:spacing w:line="400" w:lineRule="exact"/>
              <w:rPr>
                <w:rFonts w:hint="eastAsia" w:ascii="仿宋" w:hAnsi="仿宋" w:eastAsia="仿宋" w:cs="Courier New"/>
                <w:color w:val="auto"/>
                <w:sz w:val="28"/>
                <w:szCs w:val="28"/>
                <w:highlight w:val="none"/>
              </w:rPr>
            </w:pPr>
          </w:p>
        </w:tc>
        <w:tc>
          <w:tcPr>
            <w:tcW w:w="968" w:type="dxa"/>
            <w:noWrap/>
            <w:vAlign w:val="center"/>
          </w:tcPr>
          <w:p>
            <w:pPr>
              <w:pStyle w:val="19"/>
              <w:spacing w:line="400" w:lineRule="exact"/>
              <w:jc w:val="center"/>
              <w:rPr>
                <w:rFonts w:hint="eastAsia" w:ascii="仿宋" w:hAnsi="仿宋" w:eastAsia="仿宋" w:cs="Courier New"/>
                <w:color w:val="auto"/>
                <w:sz w:val="28"/>
                <w:szCs w:val="28"/>
                <w:highlight w:val="none"/>
              </w:rPr>
            </w:pPr>
          </w:p>
        </w:tc>
        <w:tc>
          <w:tcPr>
            <w:tcW w:w="955" w:type="dxa"/>
            <w:noWrap/>
            <w:vAlign w:val="center"/>
          </w:tcPr>
          <w:p>
            <w:pPr>
              <w:pStyle w:val="19"/>
              <w:spacing w:line="400" w:lineRule="exact"/>
              <w:jc w:val="center"/>
              <w:rPr>
                <w:rFonts w:hint="eastAsia" w:ascii="仿宋" w:hAnsi="仿宋" w:eastAsia="仿宋" w:cs="Courier New"/>
                <w:color w:val="auto"/>
                <w:sz w:val="28"/>
                <w:szCs w:val="28"/>
                <w:highlight w:val="none"/>
              </w:rPr>
            </w:pPr>
          </w:p>
        </w:tc>
        <w:tc>
          <w:tcPr>
            <w:tcW w:w="954" w:type="dxa"/>
            <w:noWrap/>
            <w:vAlign w:val="center"/>
          </w:tcPr>
          <w:p>
            <w:pPr>
              <w:pStyle w:val="19"/>
              <w:spacing w:line="400" w:lineRule="exact"/>
              <w:jc w:val="center"/>
              <w:rPr>
                <w:rFonts w:hint="eastAsia" w:ascii="仿宋" w:hAnsi="仿宋" w:eastAsia="仿宋" w:cs="Courier New"/>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4" w:hRule="atLeast"/>
          <w:jc w:val="center"/>
        </w:trPr>
        <w:tc>
          <w:tcPr>
            <w:tcW w:w="9520" w:type="dxa"/>
            <w:gridSpan w:val="8"/>
            <w:noWrap/>
          </w:tcPr>
          <w:p>
            <w:pPr>
              <w:spacing w:line="400" w:lineRule="exact"/>
              <w:ind w:firstLine="2" w:firstLineChars="1"/>
              <w:rPr>
                <w:rFonts w:hint="eastAsia" w:ascii="仿宋" w:hAnsi="仿宋" w:eastAsia="仿宋"/>
                <w:color w:val="auto"/>
                <w:sz w:val="28"/>
                <w:szCs w:val="28"/>
                <w:highlight w:val="none"/>
              </w:rPr>
            </w:pPr>
          </w:p>
          <w:p>
            <w:pPr>
              <w:pStyle w:val="19"/>
              <w:spacing w:line="400" w:lineRule="exact"/>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pStyle w:val="19"/>
              <w:spacing w:line="400" w:lineRule="exact"/>
              <w:jc w:val="left"/>
              <w:rPr>
                <w:rFonts w:hint="eastAsia" w:ascii="仿宋" w:hAnsi="仿宋" w:eastAsia="仿宋"/>
                <w:color w:val="auto"/>
                <w:sz w:val="28"/>
                <w:szCs w:val="28"/>
                <w:highlight w:val="none"/>
              </w:rPr>
            </w:pPr>
          </w:p>
          <w:p>
            <w:pPr>
              <w:pStyle w:val="19"/>
              <w:spacing w:line="400" w:lineRule="exact"/>
              <w:jc w:val="left"/>
              <w:rPr>
                <w:rFonts w:hint="eastAsia" w:ascii="仿宋" w:hAnsi="仿宋" w:eastAsia="仿宋" w:cs="Courier New"/>
                <w:color w:val="auto"/>
                <w:sz w:val="28"/>
                <w:szCs w:val="28"/>
                <w:highlight w:val="none"/>
              </w:rPr>
            </w:pPr>
            <w:r>
              <w:rPr>
                <w:rFonts w:hint="eastAsia" w:ascii="仿宋" w:hAnsi="仿宋" w:eastAsia="仿宋"/>
                <w:color w:val="auto"/>
                <w:sz w:val="28"/>
                <w:szCs w:val="28"/>
                <w:highlight w:val="none"/>
              </w:rPr>
              <w:t>法定代表人(电子签章)或授权代理人(签字)：</w:t>
            </w:r>
          </w:p>
          <w:p>
            <w:pPr>
              <w:pStyle w:val="19"/>
              <w:spacing w:line="400" w:lineRule="exact"/>
              <w:jc w:val="center"/>
              <w:rPr>
                <w:rFonts w:hint="eastAsia" w:ascii="仿宋" w:hAnsi="仿宋" w:eastAsia="仿宋" w:cs="Courier New"/>
                <w:color w:val="auto"/>
                <w:sz w:val="28"/>
                <w:szCs w:val="28"/>
                <w:highlight w:val="none"/>
              </w:rPr>
            </w:pPr>
            <w:r>
              <w:rPr>
                <w:rFonts w:hint="eastAsia" w:ascii="仿宋" w:hAnsi="仿宋" w:eastAsia="仿宋" w:cs="Courier New"/>
                <w:color w:val="auto"/>
                <w:sz w:val="28"/>
                <w:szCs w:val="28"/>
                <w:highlight w:val="none"/>
              </w:rPr>
              <w:t>年月日</w:t>
            </w:r>
          </w:p>
        </w:tc>
      </w:tr>
    </w:tbl>
    <w:p>
      <w:pPr>
        <w:pStyle w:val="19"/>
        <w:spacing w:line="400" w:lineRule="exact"/>
        <w:rPr>
          <w:rFonts w:hint="eastAsia" w:ascii="仿宋" w:hAnsi="仿宋" w:eastAsia="仿宋"/>
          <w:color w:val="auto"/>
          <w:sz w:val="28"/>
          <w:szCs w:val="28"/>
          <w:highlight w:val="none"/>
        </w:rPr>
      </w:pPr>
    </w:p>
    <w:p>
      <w:pPr>
        <w:pStyle w:val="19"/>
        <w:spacing w:line="400" w:lineRule="exact"/>
        <w:rPr>
          <w:rFonts w:hint="eastAsia" w:ascii="仿宋" w:hAnsi="仿宋" w:eastAsia="仿宋"/>
          <w:color w:val="auto"/>
          <w:sz w:val="28"/>
          <w:szCs w:val="28"/>
          <w:highlight w:val="none"/>
        </w:rPr>
      </w:pPr>
    </w:p>
    <w:p>
      <w:pPr>
        <w:adjustRightInd w:val="0"/>
        <w:snapToGrid w:val="0"/>
        <w:spacing w:line="400" w:lineRule="exact"/>
        <w:ind w:left="-88" w:leftChars="-42"/>
        <w:rPr>
          <w:rFonts w:hint="eastAsia" w:ascii="仿宋" w:hAnsi="仿宋" w:eastAsia="仿宋"/>
          <w:color w:val="auto"/>
          <w:sz w:val="28"/>
          <w:szCs w:val="28"/>
          <w:highlight w:val="none"/>
        </w:rPr>
      </w:pPr>
    </w:p>
    <w:p>
      <w:pPr>
        <w:spacing w:line="400" w:lineRule="exact"/>
        <w:ind w:firstLine="2" w:firstLineChars="1"/>
        <w:rPr>
          <w:rFonts w:hint="eastAsia" w:ascii="仿宋" w:hAnsi="仿宋" w:eastAsia="仿宋"/>
          <w:color w:val="auto"/>
          <w:sz w:val="28"/>
          <w:szCs w:val="28"/>
          <w:highlight w:val="none"/>
          <w:lang w:val="zh-CN"/>
        </w:rPr>
      </w:pPr>
      <w:r>
        <w:rPr>
          <w:rFonts w:hint="eastAsia" w:ascii="仿宋" w:hAnsi="仿宋" w:eastAsia="仿宋"/>
          <w:color w:val="auto"/>
          <w:sz w:val="28"/>
          <w:szCs w:val="28"/>
          <w:highlight w:val="none"/>
        </w:rPr>
        <w:t> </w:t>
      </w:r>
      <w:r>
        <w:rPr>
          <w:rFonts w:hint="eastAsia" w:ascii="仿宋" w:hAnsi="仿宋" w:eastAsia="仿宋"/>
          <w:color w:val="auto"/>
          <w:sz w:val="28"/>
          <w:szCs w:val="28"/>
          <w:highlight w:val="none"/>
          <w:lang w:val="zh-CN"/>
        </w:rPr>
        <w:t>注：</w:t>
      </w:r>
    </w:p>
    <w:p>
      <w:pPr>
        <w:spacing w:line="400" w:lineRule="exact"/>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&lt;</w:t>
      </w:r>
      <w:r>
        <w:rPr>
          <w:rFonts w:eastAsia="仿宋"/>
          <w:color w:val="auto"/>
          <w:sz w:val="28"/>
          <w:szCs w:val="28"/>
          <w:highlight w:val="none"/>
        </w:rPr>
        <w:t>1</w:t>
      </w:r>
      <w:r>
        <w:rPr>
          <w:rFonts w:hint="eastAsia" w:ascii="仿宋" w:hAnsi="仿宋" w:eastAsia="仿宋"/>
          <w:color w:val="auto"/>
          <w:sz w:val="28"/>
          <w:szCs w:val="28"/>
          <w:highlight w:val="none"/>
        </w:rPr>
        <w:t>&gt;能提供其他优惠服务的，请在表中备注栏详细列出，明确优惠率。</w:t>
      </w: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&lt;</w:t>
      </w:r>
      <w:r>
        <w:rPr>
          <w:rFonts w:eastAsia="仿宋"/>
          <w:color w:val="auto"/>
          <w:sz w:val="28"/>
          <w:szCs w:val="28"/>
          <w:highlight w:val="none"/>
        </w:rPr>
        <w:t>2</w:t>
      </w:r>
      <w:r>
        <w:rPr>
          <w:rFonts w:hint="eastAsia" w:ascii="仿宋" w:hAnsi="仿宋" w:eastAsia="仿宋"/>
          <w:color w:val="auto"/>
          <w:sz w:val="28"/>
          <w:szCs w:val="28"/>
          <w:highlight w:val="none"/>
        </w:rPr>
        <w:t>&gt;优惠率必须按照招标文件格式填写，不得更改为其他方式。</w:t>
      </w: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&lt;</w:t>
      </w:r>
      <w:r>
        <w:rPr>
          <w:rFonts w:eastAsia="仿宋"/>
          <w:color w:val="auto"/>
          <w:sz w:val="28"/>
          <w:szCs w:val="28"/>
          <w:highlight w:val="none"/>
        </w:rPr>
        <w:t>3</w:t>
      </w:r>
      <w:r>
        <w:rPr>
          <w:rFonts w:hint="eastAsia" w:ascii="仿宋" w:hAnsi="仿宋" w:eastAsia="仿宋"/>
          <w:color w:val="auto"/>
          <w:sz w:val="28"/>
          <w:szCs w:val="28"/>
          <w:highlight w:val="none"/>
        </w:rPr>
        <w:t>&gt;《开标一览表》内容应与投标文件内容相一致，当两者不相符时，以《开标一览表》为准，且不得出现选择性内容。</w:t>
      </w: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&lt;</w:t>
      </w:r>
      <w:r>
        <w:rPr>
          <w:rFonts w:eastAsia="仿宋"/>
          <w:color w:val="auto"/>
          <w:sz w:val="28"/>
          <w:szCs w:val="28"/>
          <w:highlight w:val="none"/>
        </w:rPr>
        <w:t>4</w:t>
      </w:r>
      <w:r>
        <w:rPr>
          <w:rFonts w:hint="eastAsia" w:ascii="仿宋" w:hAnsi="仿宋" w:eastAsia="仿宋"/>
          <w:color w:val="auto"/>
          <w:sz w:val="28"/>
          <w:szCs w:val="28"/>
          <w:highlight w:val="none"/>
        </w:rPr>
        <w:t>&gt;投标人是监狱企业、小型和微型企业应在备注中标明。</w:t>
      </w:r>
    </w:p>
    <w:p>
      <w:pPr>
        <w:pStyle w:val="19"/>
        <w:spacing w:line="400" w:lineRule="exact"/>
        <w:rPr>
          <w:rFonts w:hint="eastAsia" w:ascii="仿宋" w:hAnsi="仿宋" w:eastAsia="仿宋"/>
          <w:color w:val="auto"/>
          <w:sz w:val="28"/>
          <w:szCs w:val="28"/>
          <w:highlight w:val="none"/>
        </w:rPr>
      </w:pPr>
    </w:p>
    <w:p>
      <w:pPr>
        <w:pStyle w:val="19"/>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投标保证金形式为银行转账的，需要填写开户行和银行账号。</w:t>
      </w:r>
    </w:p>
    <w:p>
      <w:pPr>
        <w:adjustRightInd w:val="0"/>
        <w:snapToGrid w:val="0"/>
        <w:spacing w:line="400" w:lineRule="exact"/>
        <w:ind w:left="-88" w:leftChars="-42"/>
        <w:rPr>
          <w:rFonts w:hint="eastAsia" w:ascii="仿宋" w:hAnsi="仿宋" w:eastAsia="仿宋"/>
          <w:color w:val="auto"/>
          <w:sz w:val="28"/>
          <w:szCs w:val="28"/>
          <w:highlight w:val="none"/>
        </w:rPr>
      </w:pPr>
    </w:p>
    <w:p>
      <w:pPr>
        <w:pStyle w:val="19"/>
        <w:rPr>
          <w:rFonts w:hint="eastAsia" w:ascii="仿宋" w:hAnsi="仿宋" w:eastAsia="仿宋"/>
          <w:color w:val="auto"/>
          <w:sz w:val="28"/>
          <w:szCs w:val="28"/>
          <w:highlight w:val="none"/>
        </w:rPr>
      </w:pPr>
    </w:p>
    <w:p>
      <w:pPr>
        <w:shd w:val="clear" w:color="auto" w:fill="FFFFFF"/>
        <w:snapToGrid w:val="0"/>
        <w:spacing w:line="400" w:lineRule="exact"/>
        <w:ind w:left="851" w:hanging="851"/>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bidi w:val="0"/>
        <w:rPr>
          <w:rFonts w:hint="eastAsia"/>
          <w:color w:val="auto"/>
          <w:highlight w:val="none"/>
        </w:rPr>
      </w:pPr>
      <w:bookmarkStart w:id="271" w:name="_Toc16894"/>
      <w:bookmarkStart w:id="272" w:name="_Toc60996689"/>
      <w:bookmarkStart w:id="273" w:name="_Toc12827_WPSOffice_Level3"/>
      <w:bookmarkStart w:id="274" w:name="_格式3：投标分项报价表"/>
    </w:p>
    <w:p>
      <w:pPr>
        <w:rPr>
          <w:rFonts w:hint="eastAsia" w:ascii="仿宋" w:hAnsi="仿宋" w:eastAsia="仿宋"/>
          <w:color w:val="auto"/>
          <w:szCs w:val="28"/>
          <w:highlight w:val="none"/>
        </w:rPr>
      </w:pPr>
    </w:p>
    <w:p>
      <w:pPr>
        <w:pStyle w:val="4"/>
        <w:spacing w:before="0" w:line="240" w:lineRule="atLeast"/>
        <w:ind w:left="0" w:firstLine="562" w:firstLineChars="200"/>
        <w:rPr>
          <w:rFonts w:hint="eastAsia" w:ascii="仿宋" w:hAnsi="仿宋" w:eastAsia="仿宋"/>
          <w:color w:val="auto"/>
          <w:szCs w:val="28"/>
          <w:highlight w:val="none"/>
        </w:rPr>
      </w:pPr>
      <w:bookmarkStart w:id="275" w:name="_Toc16963"/>
      <w:bookmarkStart w:id="276" w:name="_Toc26230"/>
      <w:r>
        <w:rPr>
          <w:rFonts w:hint="eastAsia" w:ascii="仿宋" w:hAnsi="仿宋" w:eastAsia="仿宋"/>
          <w:color w:val="auto"/>
          <w:szCs w:val="28"/>
          <w:highlight w:val="none"/>
        </w:rPr>
        <w:t>格式</w:t>
      </w:r>
      <w:r>
        <w:rPr>
          <w:rFonts w:ascii="仿宋" w:hAnsi="仿宋" w:eastAsia="仿宋"/>
          <w:color w:val="auto"/>
          <w:szCs w:val="28"/>
          <w:highlight w:val="none"/>
        </w:rPr>
        <w:t>3</w:t>
      </w:r>
      <w:r>
        <w:rPr>
          <w:rFonts w:hint="eastAsia" w:ascii="仿宋" w:hAnsi="仿宋" w:eastAsia="仿宋"/>
          <w:color w:val="auto"/>
          <w:szCs w:val="28"/>
          <w:highlight w:val="none"/>
        </w:rPr>
        <w:t>：</w:t>
      </w:r>
      <w:bookmarkEnd w:id="271"/>
      <w:r>
        <w:rPr>
          <w:rFonts w:hint="eastAsia" w:ascii="仿宋" w:hAnsi="仿宋" w:eastAsia="仿宋"/>
          <w:color w:val="auto"/>
          <w:szCs w:val="28"/>
          <w:highlight w:val="none"/>
        </w:rPr>
        <w:t>投标分项报价表</w:t>
      </w:r>
      <w:bookmarkEnd w:id="272"/>
      <w:bookmarkEnd w:id="273"/>
      <w:bookmarkEnd w:id="275"/>
      <w:bookmarkEnd w:id="276"/>
    </w:p>
    <w:bookmarkEnd w:id="274"/>
    <w:p>
      <w:pPr>
        <w:rPr>
          <w:rFonts w:ascii="宋体"/>
          <w:b/>
          <w:bCs/>
          <w:color w:val="auto"/>
          <w:sz w:val="28"/>
          <w:szCs w:val="28"/>
          <w:highlight w:val="none"/>
        </w:rPr>
      </w:pPr>
    </w:p>
    <w:p>
      <w:pPr>
        <w:jc w:val="center"/>
        <w:rPr>
          <w:rFonts w:hint="eastAsia" w:ascii="仿宋" w:hAnsi="仿宋" w:eastAsia="仿宋"/>
          <w:b/>
          <w:bCs/>
          <w:color w:val="auto"/>
          <w:sz w:val="28"/>
          <w:szCs w:val="28"/>
          <w:highlight w:val="none"/>
        </w:rPr>
      </w:pPr>
      <w:bookmarkStart w:id="277" w:name="_Toc7817_WPSOffice_Level3"/>
      <w:r>
        <w:rPr>
          <w:rFonts w:hint="eastAsia" w:ascii="仿宋" w:hAnsi="仿宋" w:eastAsia="仿宋"/>
          <w:b/>
          <w:bCs/>
          <w:color w:val="auto"/>
          <w:sz w:val="28"/>
          <w:szCs w:val="28"/>
          <w:highlight w:val="none"/>
        </w:rPr>
        <w:t>投标分项报价表</w:t>
      </w:r>
      <w:bookmarkEnd w:id="277"/>
    </w:p>
    <w:p>
      <w:pPr>
        <w:adjustRightInd w:val="0"/>
        <w:snapToGrid w:val="0"/>
        <w:spacing w:line="400" w:lineRule="exact"/>
        <w:ind w:left="-88" w:leftChars="-42"/>
        <w:jc w:val="left"/>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采购项目编号：                               货币单位:</w:t>
      </w:r>
    </w:p>
    <w:tbl>
      <w:tblPr>
        <w:tblStyle w:val="39"/>
        <w:tblpPr w:leftFromText="180" w:rightFromText="180" w:vertAnchor="text" w:horzAnchor="page" w:tblpX="572" w:tblpY="198"/>
        <w:tblOverlap w:val="never"/>
        <w:tblW w:w="10233"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633"/>
        <w:gridCol w:w="1085"/>
        <w:gridCol w:w="651"/>
        <w:gridCol w:w="1172"/>
        <w:gridCol w:w="911"/>
        <w:gridCol w:w="1432"/>
        <w:gridCol w:w="1302"/>
        <w:gridCol w:w="780"/>
        <w:gridCol w:w="1195"/>
        <w:gridCol w:w="107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504" w:hRule="atLeast"/>
        </w:trPr>
        <w:tc>
          <w:tcPr>
            <w:tcW w:w="633" w:type="dxa"/>
            <w:vMerge w:val="restart"/>
            <w:tcBorders>
              <w:top w:val="double" w:color="auto" w:sz="4" w:space="0"/>
              <w:left w:val="double" w:color="auto" w:sz="4"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序号</w:t>
            </w:r>
          </w:p>
        </w:tc>
        <w:tc>
          <w:tcPr>
            <w:tcW w:w="1085" w:type="dxa"/>
            <w:vMerge w:val="restart"/>
            <w:tcBorders>
              <w:top w:val="double" w:color="auto" w:sz="4" w:space="0"/>
              <w:left w:val="single" w:color="auto" w:sz="4" w:space="0"/>
              <w:right w:val="single" w:color="000000" w:sz="6" w:space="0"/>
            </w:tcBorders>
            <w:noWrap/>
            <w:vAlign w:val="center"/>
          </w:tcPr>
          <w:p>
            <w:pPr>
              <w:spacing w:line="400" w:lineRule="exact"/>
              <w:ind w:left="258" w:hanging="264" w:hangingChars="9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货物名称</w:t>
            </w:r>
          </w:p>
        </w:tc>
        <w:tc>
          <w:tcPr>
            <w:tcW w:w="651" w:type="dxa"/>
            <w:vMerge w:val="restart"/>
            <w:tcBorders>
              <w:top w:val="double" w:color="auto" w:sz="4" w:space="0"/>
              <w:left w:val="single" w:color="000000" w:sz="6" w:space="0"/>
              <w:right w:val="single" w:color="000000" w:sz="6"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品牌</w:t>
            </w:r>
          </w:p>
        </w:tc>
        <w:tc>
          <w:tcPr>
            <w:tcW w:w="1172" w:type="dxa"/>
            <w:vMerge w:val="restart"/>
            <w:tcBorders>
              <w:top w:val="double" w:color="auto" w:sz="4" w:space="0"/>
              <w:left w:val="single" w:color="000000" w:sz="6"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规格型号</w:t>
            </w:r>
          </w:p>
        </w:tc>
        <w:tc>
          <w:tcPr>
            <w:tcW w:w="911" w:type="dxa"/>
            <w:vMerge w:val="restart"/>
            <w:tcBorders>
              <w:top w:val="double" w:color="auto" w:sz="4" w:space="0"/>
              <w:left w:val="single" w:color="auto" w:sz="4" w:space="0"/>
              <w:right w:val="single" w:color="000000" w:sz="6"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原产地</w:t>
            </w:r>
          </w:p>
        </w:tc>
        <w:tc>
          <w:tcPr>
            <w:tcW w:w="1432" w:type="dxa"/>
            <w:vMerge w:val="restart"/>
            <w:tcBorders>
              <w:top w:val="double" w:color="auto" w:sz="4" w:space="0"/>
              <w:left w:val="single" w:color="000000" w:sz="6" w:space="0"/>
              <w:right w:val="single" w:color="000000" w:sz="6"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制造商名称</w:t>
            </w:r>
          </w:p>
        </w:tc>
        <w:tc>
          <w:tcPr>
            <w:tcW w:w="1302" w:type="dxa"/>
            <w:vMerge w:val="restart"/>
            <w:tcBorders>
              <w:top w:val="double" w:color="auto" w:sz="4" w:space="0"/>
              <w:left w:val="single" w:color="000000" w:sz="6" w:space="0"/>
              <w:right w:val="single" w:color="000000" w:sz="6"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数量</w:t>
            </w:r>
          </w:p>
          <w:p>
            <w:pPr>
              <w:spacing w:line="400" w:lineRule="exact"/>
              <w:jc w:val="center"/>
              <w:rPr>
                <w:rFonts w:hint="eastAsia" w:ascii="仿宋" w:hAnsi="仿宋" w:eastAsia="仿宋"/>
                <w:bCs/>
                <w:color w:val="auto"/>
                <w:sz w:val="28"/>
                <w:szCs w:val="28"/>
                <w:highlight w:val="none"/>
              </w:rPr>
            </w:pPr>
            <w:r>
              <w:rPr>
                <w:rFonts w:hint="eastAsia" w:ascii="仿宋" w:hAnsi="仿宋" w:eastAsia="仿宋"/>
                <w:b/>
                <w:color w:val="auto"/>
                <w:sz w:val="28"/>
                <w:szCs w:val="28"/>
                <w:highlight w:val="none"/>
              </w:rPr>
              <w:t>及单位</w:t>
            </w:r>
          </w:p>
        </w:tc>
        <w:tc>
          <w:tcPr>
            <w:tcW w:w="1975" w:type="dxa"/>
            <w:gridSpan w:val="2"/>
            <w:tcBorders>
              <w:top w:val="double" w:color="auto" w:sz="4" w:space="0"/>
              <w:left w:val="single" w:color="000000" w:sz="6" w:space="0"/>
              <w:bottom w:val="single" w:color="auto" w:sz="4" w:space="0"/>
              <w:right w:val="doub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价格</w:t>
            </w:r>
          </w:p>
        </w:tc>
        <w:tc>
          <w:tcPr>
            <w:tcW w:w="1072" w:type="dxa"/>
            <w:vMerge w:val="restart"/>
            <w:tcBorders>
              <w:top w:val="double" w:color="auto" w:sz="4" w:space="0"/>
              <w:left w:val="single" w:color="000000" w:sz="6" w:space="0"/>
              <w:right w:val="doub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730" w:hRule="atLeast"/>
        </w:trPr>
        <w:tc>
          <w:tcPr>
            <w:tcW w:w="633" w:type="dxa"/>
            <w:vMerge w:val="continue"/>
            <w:tcBorders>
              <w:left w:val="double" w:color="auto" w:sz="4" w:space="0"/>
              <w:bottom w:val="single" w:color="auto" w:sz="4" w:space="0"/>
              <w:right w:val="single" w:color="auto" w:sz="4" w:space="0"/>
            </w:tcBorders>
            <w:noWrap/>
            <w:vAlign w:val="center"/>
          </w:tcPr>
          <w:p>
            <w:pPr>
              <w:spacing w:line="400" w:lineRule="exact"/>
              <w:rPr>
                <w:rFonts w:hint="eastAsia" w:ascii="仿宋" w:hAnsi="仿宋" w:eastAsia="仿宋"/>
                <w:color w:val="auto"/>
                <w:sz w:val="28"/>
                <w:szCs w:val="28"/>
                <w:highlight w:val="none"/>
              </w:rPr>
            </w:pPr>
          </w:p>
        </w:tc>
        <w:tc>
          <w:tcPr>
            <w:tcW w:w="1085" w:type="dxa"/>
            <w:vMerge w:val="continue"/>
            <w:tcBorders>
              <w:left w:val="single" w:color="auto" w:sz="4" w:space="0"/>
              <w:bottom w:val="single" w:color="auto" w:sz="4"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651" w:type="dxa"/>
            <w:vMerge w:val="continue"/>
            <w:tcBorders>
              <w:left w:val="single" w:color="000000" w:sz="6" w:space="0"/>
              <w:bottom w:val="single" w:color="auto" w:sz="4" w:space="0"/>
              <w:right w:val="single" w:color="000000" w:sz="6" w:space="0"/>
            </w:tcBorders>
            <w:noWrap/>
          </w:tcPr>
          <w:p>
            <w:pPr>
              <w:spacing w:line="400" w:lineRule="exact"/>
              <w:rPr>
                <w:rFonts w:hint="eastAsia" w:ascii="仿宋" w:hAnsi="仿宋" w:eastAsia="仿宋"/>
                <w:color w:val="auto"/>
                <w:sz w:val="28"/>
                <w:szCs w:val="28"/>
                <w:highlight w:val="none"/>
              </w:rPr>
            </w:pPr>
          </w:p>
        </w:tc>
        <w:tc>
          <w:tcPr>
            <w:tcW w:w="1172" w:type="dxa"/>
            <w:vMerge w:val="continue"/>
            <w:tcBorders>
              <w:left w:val="single" w:color="000000" w:sz="6" w:space="0"/>
              <w:bottom w:val="single" w:color="auto" w:sz="4" w:space="0"/>
              <w:right w:val="single" w:color="auto" w:sz="4" w:space="0"/>
            </w:tcBorders>
            <w:noWrap/>
            <w:vAlign w:val="center"/>
          </w:tcPr>
          <w:p>
            <w:pPr>
              <w:spacing w:line="400" w:lineRule="exact"/>
              <w:rPr>
                <w:rFonts w:hint="eastAsia" w:ascii="仿宋" w:hAnsi="仿宋" w:eastAsia="仿宋"/>
                <w:color w:val="auto"/>
                <w:sz w:val="28"/>
                <w:szCs w:val="28"/>
                <w:highlight w:val="none"/>
              </w:rPr>
            </w:pPr>
          </w:p>
        </w:tc>
        <w:tc>
          <w:tcPr>
            <w:tcW w:w="911" w:type="dxa"/>
            <w:vMerge w:val="continue"/>
            <w:tcBorders>
              <w:left w:val="single" w:color="auto" w:sz="4" w:space="0"/>
              <w:bottom w:val="single" w:color="auto" w:sz="4"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1432" w:type="dxa"/>
            <w:vMerge w:val="continue"/>
            <w:tcBorders>
              <w:left w:val="single" w:color="000000" w:sz="6" w:space="0"/>
              <w:bottom w:val="single" w:color="auto" w:sz="4" w:space="0"/>
              <w:right w:val="single" w:color="000000" w:sz="6" w:space="0"/>
            </w:tcBorders>
            <w:noWrap/>
          </w:tcPr>
          <w:p>
            <w:pPr>
              <w:spacing w:line="400" w:lineRule="exact"/>
              <w:rPr>
                <w:rFonts w:hint="eastAsia" w:ascii="仿宋" w:hAnsi="仿宋" w:eastAsia="仿宋"/>
                <w:color w:val="auto"/>
                <w:sz w:val="28"/>
                <w:szCs w:val="28"/>
                <w:highlight w:val="none"/>
              </w:rPr>
            </w:pPr>
          </w:p>
        </w:tc>
        <w:tc>
          <w:tcPr>
            <w:tcW w:w="1302" w:type="dxa"/>
            <w:vMerge w:val="continue"/>
            <w:tcBorders>
              <w:left w:val="single" w:color="000000" w:sz="6" w:space="0"/>
              <w:bottom w:val="single" w:color="auto" w:sz="4"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780" w:type="dxa"/>
            <w:tcBorders>
              <w:top w:val="single" w:color="auto" w:sz="4" w:space="0"/>
              <w:left w:val="single" w:color="000000" w:sz="6" w:space="0"/>
              <w:bottom w:val="single" w:color="auto" w:sz="4" w:space="0"/>
              <w:right w:val="single" w:color="000000" w:sz="6"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单价</w:t>
            </w:r>
          </w:p>
        </w:tc>
        <w:tc>
          <w:tcPr>
            <w:tcW w:w="1195" w:type="dxa"/>
            <w:tcBorders>
              <w:top w:val="single" w:color="auto" w:sz="4" w:space="0"/>
              <w:left w:val="single" w:color="000000" w:sz="6" w:space="0"/>
              <w:bottom w:val="single" w:color="auto" w:sz="4" w:space="0"/>
              <w:right w:val="doub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合计</w:t>
            </w:r>
          </w:p>
        </w:tc>
        <w:tc>
          <w:tcPr>
            <w:tcW w:w="1072" w:type="dxa"/>
            <w:vMerge w:val="continue"/>
            <w:tcBorders>
              <w:left w:val="single" w:color="000000" w:sz="6" w:space="0"/>
              <w:bottom w:val="single" w:color="auto" w:sz="4" w:space="0"/>
              <w:right w:val="double" w:color="auto" w:sz="4" w:space="0"/>
            </w:tcBorders>
            <w:noWrap/>
            <w:vAlign w:val="center"/>
          </w:tcPr>
          <w:p>
            <w:pPr>
              <w:spacing w:line="400" w:lineRule="exact"/>
              <w:jc w:val="center"/>
              <w:rPr>
                <w:rFonts w:hint="eastAsia" w:ascii="仿宋" w:hAnsi="仿宋" w:eastAsia="仿宋"/>
                <w:b/>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84" w:hRule="atLeast"/>
        </w:trPr>
        <w:tc>
          <w:tcPr>
            <w:tcW w:w="633" w:type="dxa"/>
            <w:tcBorders>
              <w:top w:val="single" w:color="auto" w:sz="4" w:space="0"/>
              <w:left w:val="double" w:color="auto" w:sz="4" w:space="0"/>
              <w:bottom w:val="single" w:color="000000" w:sz="6"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1</w:t>
            </w:r>
          </w:p>
        </w:tc>
        <w:tc>
          <w:tcPr>
            <w:tcW w:w="1085" w:type="dxa"/>
            <w:tcBorders>
              <w:top w:val="single" w:color="auto" w:sz="4" w:space="0"/>
              <w:left w:val="single" w:color="auto" w:sz="4" w:space="0"/>
              <w:bottom w:val="single" w:color="000000" w:sz="6"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651" w:type="dxa"/>
            <w:tcBorders>
              <w:top w:val="single" w:color="auto" w:sz="4"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72" w:type="dxa"/>
            <w:tcBorders>
              <w:top w:val="single" w:color="auto" w:sz="4" w:space="0"/>
              <w:left w:val="single" w:color="000000" w:sz="6" w:space="0"/>
              <w:bottom w:val="single" w:color="000000" w:sz="6" w:space="0"/>
              <w:right w:val="single" w:color="auto" w:sz="4"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911" w:type="dxa"/>
            <w:tcBorders>
              <w:top w:val="single" w:color="auto" w:sz="4" w:space="0"/>
              <w:left w:val="single" w:color="auto" w:sz="4"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432" w:type="dxa"/>
            <w:tcBorders>
              <w:top w:val="single" w:color="auto" w:sz="4"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302" w:type="dxa"/>
            <w:tcBorders>
              <w:top w:val="single" w:color="auto" w:sz="4"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780" w:type="dxa"/>
            <w:tcBorders>
              <w:top w:val="single" w:color="auto" w:sz="4"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95"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89" w:hRule="atLeast"/>
        </w:trPr>
        <w:tc>
          <w:tcPr>
            <w:tcW w:w="633" w:type="dxa"/>
            <w:tcBorders>
              <w:top w:val="single" w:color="000000" w:sz="6" w:space="0"/>
              <w:left w:val="double" w:color="auto" w:sz="4" w:space="0"/>
              <w:bottom w:val="single" w:color="000000" w:sz="6"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2</w:t>
            </w:r>
          </w:p>
        </w:tc>
        <w:tc>
          <w:tcPr>
            <w:tcW w:w="1085" w:type="dxa"/>
            <w:tcBorders>
              <w:top w:val="single" w:color="000000" w:sz="6" w:space="0"/>
              <w:left w:val="single" w:color="auto" w:sz="4" w:space="0"/>
              <w:bottom w:val="single" w:color="000000" w:sz="6"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651"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72" w:type="dxa"/>
            <w:tcBorders>
              <w:top w:val="single" w:color="000000" w:sz="6" w:space="0"/>
              <w:left w:val="single" w:color="000000" w:sz="6" w:space="0"/>
              <w:bottom w:val="single" w:color="000000" w:sz="6" w:space="0"/>
              <w:right w:val="single" w:color="auto" w:sz="4"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911" w:type="dxa"/>
            <w:tcBorders>
              <w:top w:val="single" w:color="000000" w:sz="6" w:space="0"/>
              <w:left w:val="single" w:color="auto" w:sz="4"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432"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302"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780"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95"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89" w:hRule="atLeast"/>
        </w:trPr>
        <w:tc>
          <w:tcPr>
            <w:tcW w:w="633" w:type="dxa"/>
            <w:tcBorders>
              <w:top w:val="single" w:color="000000" w:sz="6" w:space="0"/>
              <w:left w:val="double" w:color="auto" w:sz="4" w:space="0"/>
              <w:bottom w:val="single" w:color="000000" w:sz="6"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w:t>
            </w:r>
          </w:p>
        </w:tc>
        <w:tc>
          <w:tcPr>
            <w:tcW w:w="1085" w:type="dxa"/>
            <w:tcBorders>
              <w:top w:val="single" w:color="000000" w:sz="6" w:space="0"/>
              <w:left w:val="single" w:color="auto" w:sz="4" w:space="0"/>
              <w:bottom w:val="single" w:color="000000" w:sz="6"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651"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72" w:type="dxa"/>
            <w:tcBorders>
              <w:top w:val="single" w:color="000000" w:sz="6" w:space="0"/>
              <w:left w:val="single" w:color="000000" w:sz="6" w:space="0"/>
              <w:bottom w:val="single" w:color="000000" w:sz="6" w:space="0"/>
              <w:right w:val="single" w:color="auto" w:sz="4"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911" w:type="dxa"/>
            <w:tcBorders>
              <w:top w:val="single" w:color="000000" w:sz="6" w:space="0"/>
              <w:left w:val="single" w:color="auto" w:sz="4"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432"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302"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780"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95"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489" w:hRule="atLeast"/>
        </w:trPr>
        <w:tc>
          <w:tcPr>
            <w:tcW w:w="633" w:type="dxa"/>
            <w:tcBorders>
              <w:top w:val="single" w:color="000000" w:sz="6" w:space="0"/>
              <w:left w:val="double" w:color="auto" w:sz="4" w:space="0"/>
              <w:bottom w:val="single" w:color="000000" w:sz="6" w:space="0"/>
              <w:right w:val="single" w:color="auto" w:sz="4" w:space="0"/>
            </w:tcBorders>
            <w:noWrap/>
            <w:vAlign w:val="center"/>
          </w:tcPr>
          <w:p>
            <w:pPr>
              <w:spacing w:line="400" w:lineRule="exact"/>
              <w:jc w:val="center"/>
              <w:rPr>
                <w:rFonts w:hint="eastAsia" w:ascii="仿宋" w:hAnsi="仿宋" w:eastAsia="仿宋"/>
                <w:b/>
                <w:color w:val="auto"/>
                <w:sz w:val="28"/>
                <w:szCs w:val="28"/>
                <w:highlight w:val="none"/>
              </w:rPr>
            </w:pPr>
          </w:p>
        </w:tc>
        <w:tc>
          <w:tcPr>
            <w:tcW w:w="1085" w:type="dxa"/>
            <w:tcBorders>
              <w:top w:val="single" w:color="000000" w:sz="6" w:space="0"/>
              <w:left w:val="single" w:color="auto" w:sz="4" w:space="0"/>
              <w:bottom w:val="single" w:color="000000" w:sz="6" w:space="0"/>
              <w:right w:val="single" w:color="000000" w:sz="6" w:space="0"/>
            </w:tcBorders>
            <w:noWrap/>
            <w:vAlign w:val="center"/>
          </w:tcPr>
          <w:p>
            <w:pPr>
              <w:spacing w:line="400" w:lineRule="exact"/>
              <w:rPr>
                <w:rFonts w:hint="eastAsia" w:ascii="仿宋" w:hAnsi="仿宋" w:eastAsia="仿宋"/>
                <w:color w:val="auto"/>
                <w:sz w:val="28"/>
                <w:szCs w:val="28"/>
                <w:highlight w:val="none"/>
              </w:rPr>
            </w:pPr>
          </w:p>
        </w:tc>
        <w:tc>
          <w:tcPr>
            <w:tcW w:w="651"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72" w:type="dxa"/>
            <w:tcBorders>
              <w:top w:val="single" w:color="000000" w:sz="6" w:space="0"/>
              <w:left w:val="single" w:color="000000" w:sz="6" w:space="0"/>
              <w:bottom w:val="single" w:color="000000" w:sz="6" w:space="0"/>
              <w:right w:val="single" w:color="auto" w:sz="4"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911" w:type="dxa"/>
            <w:tcBorders>
              <w:top w:val="single" w:color="000000" w:sz="6" w:space="0"/>
              <w:left w:val="single" w:color="auto" w:sz="4"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432" w:type="dxa"/>
            <w:tcBorders>
              <w:top w:val="single" w:color="000000" w:sz="6" w:space="0"/>
              <w:left w:val="single" w:color="000000" w:sz="6" w:space="0"/>
              <w:bottom w:val="single" w:color="000000" w:sz="6" w:space="0"/>
              <w:right w:val="single" w:color="000000" w:sz="6" w:space="0"/>
            </w:tcBorders>
            <w:noWrap/>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302"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780" w:type="dxa"/>
            <w:tcBorders>
              <w:top w:val="single" w:color="000000" w:sz="6" w:space="0"/>
              <w:left w:val="single" w:color="000000" w:sz="6" w:space="0"/>
              <w:bottom w:val="single" w:color="000000" w:sz="6" w:space="0"/>
              <w:right w:val="single" w:color="000000" w:sz="6" w:space="0"/>
            </w:tcBorders>
            <w:noWrap/>
            <w:vAlign w:val="center"/>
          </w:tcPr>
          <w:p>
            <w:pPr>
              <w:adjustRightInd w:val="0"/>
              <w:snapToGrid w:val="0"/>
              <w:spacing w:line="400" w:lineRule="exact"/>
              <w:ind w:left="907" w:hanging="907"/>
              <w:textAlignment w:val="center"/>
              <w:rPr>
                <w:rFonts w:hint="eastAsia" w:ascii="仿宋" w:hAnsi="仿宋" w:eastAsia="仿宋"/>
                <w:bCs/>
                <w:color w:val="auto"/>
                <w:sz w:val="28"/>
                <w:szCs w:val="28"/>
                <w:highlight w:val="none"/>
              </w:rPr>
            </w:pPr>
          </w:p>
        </w:tc>
        <w:tc>
          <w:tcPr>
            <w:tcW w:w="1195"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auto" w:sz="4" w:space="0"/>
              <w:left w:val="single" w:color="000000" w:sz="6" w:space="0"/>
              <w:bottom w:val="sing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813" w:hRule="atLeast"/>
        </w:trPr>
        <w:tc>
          <w:tcPr>
            <w:tcW w:w="1718" w:type="dxa"/>
            <w:gridSpan w:val="2"/>
            <w:tcBorders>
              <w:top w:val="single" w:color="000000" w:sz="6" w:space="0"/>
              <w:left w:val="double" w:color="auto" w:sz="4" w:space="0"/>
              <w:bottom w:val="single" w:color="000000" w:sz="6" w:space="0"/>
              <w:right w:val="double" w:color="auto" w:sz="4" w:space="0"/>
            </w:tcBorders>
            <w:noWrap/>
          </w:tcPr>
          <w:p>
            <w:pPr>
              <w:spacing w:line="400" w:lineRule="exac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投标总价（小写）：</w:t>
            </w:r>
          </w:p>
        </w:tc>
        <w:tc>
          <w:tcPr>
            <w:tcW w:w="7443" w:type="dxa"/>
            <w:gridSpan w:val="7"/>
            <w:tcBorders>
              <w:top w:val="single" w:color="000000" w:sz="6" w:space="0"/>
              <w:left w:val="double" w:color="auto" w:sz="4" w:space="0"/>
              <w:bottom w:val="single" w:color="000000" w:sz="6"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000000" w:sz="6" w:space="0"/>
              <w:left w:val="double" w:color="auto" w:sz="4" w:space="0"/>
              <w:bottom w:val="single" w:color="000000" w:sz="6"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843" w:hRule="atLeast"/>
        </w:trPr>
        <w:tc>
          <w:tcPr>
            <w:tcW w:w="1718" w:type="dxa"/>
            <w:gridSpan w:val="2"/>
            <w:tcBorders>
              <w:top w:val="single" w:color="000000" w:sz="6" w:space="0"/>
              <w:left w:val="double" w:color="auto" w:sz="4" w:space="0"/>
              <w:bottom w:val="double" w:color="auto" w:sz="4" w:space="0"/>
              <w:right w:val="double" w:color="auto" w:sz="4" w:space="0"/>
            </w:tcBorders>
            <w:noWrap/>
          </w:tcPr>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投标总价（大写）：</w:t>
            </w:r>
          </w:p>
        </w:tc>
        <w:tc>
          <w:tcPr>
            <w:tcW w:w="7443" w:type="dxa"/>
            <w:gridSpan w:val="7"/>
            <w:tcBorders>
              <w:top w:val="single" w:color="000000" w:sz="6" w:space="0"/>
              <w:left w:val="double" w:color="auto" w:sz="4" w:space="0"/>
              <w:bottom w:val="doub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c>
          <w:tcPr>
            <w:tcW w:w="1072" w:type="dxa"/>
            <w:tcBorders>
              <w:top w:val="single" w:color="000000" w:sz="6" w:space="0"/>
              <w:left w:val="double" w:color="auto" w:sz="4" w:space="0"/>
              <w:bottom w:val="double" w:color="auto" w:sz="4" w:space="0"/>
              <w:right w:val="double" w:color="auto" w:sz="4" w:space="0"/>
            </w:tcBorders>
            <w:noWrap/>
            <w:vAlign w:val="center"/>
          </w:tcPr>
          <w:p>
            <w:pPr>
              <w:spacing w:line="400" w:lineRule="exact"/>
              <w:rPr>
                <w:rFonts w:hint="eastAsia" w:ascii="仿宋" w:hAnsi="仿宋" w:eastAsia="仿宋"/>
                <w:color w:val="auto"/>
                <w:sz w:val="28"/>
                <w:szCs w:val="28"/>
                <w:highlight w:val="none"/>
              </w:rPr>
            </w:pPr>
          </w:p>
        </w:tc>
      </w:tr>
    </w:tbl>
    <w:p>
      <w:pPr>
        <w:adjustRightInd w:val="0"/>
        <w:snapToGrid w:val="0"/>
        <w:spacing w:line="400" w:lineRule="exact"/>
        <w:rPr>
          <w:rFonts w:hint="eastAsia" w:ascii="仿宋" w:hAnsi="仿宋" w:eastAsia="仿宋"/>
          <w:color w:val="auto"/>
          <w:sz w:val="28"/>
          <w:szCs w:val="28"/>
          <w:highlight w:val="none"/>
        </w:rPr>
      </w:pP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400" w:lineRule="exact"/>
        <w:rPr>
          <w:rFonts w:hint="eastAsia" w:ascii="仿宋" w:hAnsi="仿宋" w:eastAsia="仿宋"/>
          <w:color w:val="auto"/>
          <w:sz w:val="28"/>
          <w:szCs w:val="28"/>
          <w:highlight w:val="none"/>
        </w:rPr>
      </w:pP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spacing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日期：年月日</w:t>
      </w:r>
    </w:p>
    <w:p>
      <w:pPr>
        <w:adjustRightInd w:val="0"/>
        <w:snapToGrid w:val="0"/>
        <w:spacing w:line="400" w:lineRule="exact"/>
        <w:ind w:left="-88" w:leftChars="-42"/>
        <w:rPr>
          <w:rFonts w:hint="eastAsia" w:ascii="仿宋" w:hAnsi="仿宋" w:eastAsia="仿宋"/>
          <w:color w:val="auto"/>
          <w:sz w:val="28"/>
          <w:szCs w:val="28"/>
          <w:highlight w:val="none"/>
        </w:rPr>
      </w:pPr>
      <w:bookmarkStart w:id="278" w:name="_Toc4018"/>
      <w:r>
        <w:rPr>
          <w:rFonts w:hint="eastAsia" w:ascii="仿宋" w:hAnsi="仿宋" w:eastAsia="仿宋"/>
          <w:b/>
          <w:color w:val="auto"/>
          <w:sz w:val="28"/>
          <w:szCs w:val="28"/>
          <w:highlight w:val="none"/>
        </w:rPr>
        <w:t>备注：</w:t>
      </w:r>
      <w:r>
        <w:rPr>
          <w:rFonts w:hint="eastAsia" w:ascii="仿宋" w:hAnsi="仿宋" w:eastAsia="仿宋"/>
          <w:color w:val="auto"/>
          <w:sz w:val="28"/>
          <w:szCs w:val="28"/>
          <w:highlight w:val="none"/>
        </w:rPr>
        <w:t>（1）报价指完成各项服务、验收合格所需的各种费用及必要的保险费用和各项税金等所有费用的总和。包括但不限于：设计、安装、随机零配件、标配工具、运输保险、质保期服务、各项税费等需要的一切费用及合同实施过程中不可预见费用。</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（2）单价应包括必不可少的部件、标准备件等费用。</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（3）如果单价与总价不符时，以单价为准，并修正总价。</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 若产品（服务）为经国家认定的节能产品或环境标志产品，请在“备注”栏中标明，并提供国家确定的认证机构出具的、处于有效期之内的节能产品、环境标志产品认证证书的单页复印件一份，并在复印件上标注出所投产品及型号；否则，不予认可。</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（5）若货物为小微型企业（残疾人福利性单位、监狱企业）产品、服务，请在备注栏中标明并同时提供中小企业声明函（残疾人福利性单位声明函、监狱企业证明文件），否则，不予进行价格扣除。</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 表格长度可根据需要自行调整，表中所列内容为必须填写项目，投标人可根据自身情况增加内容。</w:t>
      </w:r>
    </w:p>
    <w:p>
      <w:pPr>
        <w:adjustRightInd w:val="0"/>
        <w:snapToGrid w:val="0"/>
        <w:spacing w:line="400" w:lineRule="exact"/>
        <w:ind w:left="-88" w:leftChars="-42"/>
        <w:rPr>
          <w:rFonts w:hint="eastAsia" w:ascii="仿宋" w:hAnsi="仿宋" w:eastAsia="仿宋"/>
          <w:color w:val="auto"/>
          <w:sz w:val="28"/>
          <w:szCs w:val="28"/>
          <w:highlight w:val="none"/>
        </w:rPr>
      </w:pPr>
      <w:r>
        <w:rPr>
          <w:rFonts w:hint="eastAsia" w:ascii="仿宋" w:hAnsi="仿宋" w:eastAsia="仿宋"/>
          <w:color w:val="auto"/>
          <w:sz w:val="28"/>
          <w:szCs w:val="28"/>
          <w:highlight w:val="none"/>
        </w:rPr>
        <w:t>（7）本表可用附表形式把需求一览表中所有产品生产厂商、规格型号、单价等内容进行详细说明。</w:t>
      </w:r>
    </w:p>
    <w:p>
      <w:pPr>
        <w:pStyle w:val="13"/>
        <w:rPr>
          <w:rFonts w:hint="eastAsia" w:ascii="仿宋" w:hAnsi="仿宋" w:eastAsia="仿宋"/>
          <w:color w:val="auto"/>
          <w:kern w:val="2"/>
          <w:sz w:val="28"/>
          <w:szCs w:val="28"/>
          <w:highlight w:val="none"/>
        </w:rPr>
      </w:pPr>
    </w:p>
    <w:p>
      <w:pPr>
        <w:rPr>
          <w:rFonts w:hint="eastAsia" w:ascii="宋体" w:hAnsi="宋体"/>
          <w:color w:val="auto"/>
          <w:sz w:val="24"/>
          <w:highlight w:val="none"/>
        </w:rPr>
      </w:pPr>
    </w:p>
    <w:p>
      <w:pPr>
        <w:pStyle w:val="13"/>
        <w:rPr>
          <w:rFonts w:hint="eastAsia"/>
          <w:color w:val="auto"/>
          <w:highlight w:val="none"/>
        </w:rPr>
      </w:pPr>
    </w:p>
    <w:p>
      <w:pPr>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pStyle w:val="13"/>
        <w:rPr>
          <w:rFonts w:hint="eastAsia" w:ascii="宋体" w:hAnsi="宋体"/>
          <w:color w:val="auto"/>
          <w:sz w:val="24"/>
          <w:highlight w:val="none"/>
        </w:rPr>
      </w:pPr>
    </w:p>
    <w:p>
      <w:pPr>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pStyle w:val="2"/>
        <w:rPr>
          <w:rFonts w:hint="eastAsia" w:ascii="宋体" w:hAnsi="宋体"/>
          <w:color w:val="auto"/>
          <w:sz w:val="24"/>
          <w:highlight w:val="none"/>
        </w:rPr>
      </w:pPr>
    </w:p>
    <w:p>
      <w:pPr>
        <w:rPr>
          <w:rFonts w:hint="eastAsia" w:ascii="宋体" w:hAnsi="宋体"/>
          <w:color w:val="auto"/>
          <w:sz w:val="24"/>
          <w:highlight w:val="none"/>
        </w:rPr>
      </w:pPr>
    </w:p>
    <w:p>
      <w:pPr>
        <w:rPr>
          <w:rFonts w:hint="eastAsia" w:ascii="宋体" w:hAnsi="宋体"/>
          <w:color w:val="auto"/>
          <w:sz w:val="24"/>
          <w:highlight w:val="none"/>
        </w:rPr>
      </w:pPr>
    </w:p>
    <w:p>
      <w:pPr>
        <w:pStyle w:val="4"/>
        <w:spacing w:before="0" w:line="240" w:lineRule="atLeast"/>
        <w:ind w:left="0" w:firstLine="562" w:firstLineChars="200"/>
        <w:rPr>
          <w:rFonts w:hint="eastAsia" w:ascii="仿宋" w:hAnsi="仿宋" w:eastAsia="仿宋"/>
          <w:color w:val="auto"/>
          <w:szCs w:val="28"/>
          <w:highlight w:val="none"/>
        </w:rPr>
      </w:pPr>
      <w:bookmarkStart w:id="279" w:name="_Toc19260_WPSOffice_Level3"/>
      <w:bookmarkStart w:id="280" w:name="_Toc13976"/>
      <w:bookmarkStart w:id="281" w:name="_Toc24606"/>
      <w:r>
        <w:rPr>
          <w:rFonts w:hint="eastAsia" w:ascii="仿宋" w:hAnsi="仿宋" w:eastAsia="仿宋"/>
          <w:color w:val="auto"/>
          <w:szCs w:val="28"/>
          <w:highlight w:val="none"/>
        </w:rPr>
        <w:t>格式4：商务条款响应/偏离表</w:t>
      </w:r>
      <w:bookmarkEnd w:id="279"/>
      <w:bookmarkEnd w:id="280"/>
      <w:bookmarkEnd w:id="281"/>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商务条款响应/偏离表</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投标人应逐条对应招标文件第三章</w:t>
      </w:r>
      <w:r>
        <w:rPr>
          <w:rFonts w:hint="eastAsia" w:ascii="仿宋" w:hAnsi="仿宋" w:eastAsia="仿宋"/>
          <w:b/>
          <w:bCs/>
          <w:color w:val="auto"/>
          <w:sz w:val="28"/>
          <w:szCs w:val="28"/>
          <w:highlight w:val="none"/>
        </w:rPr>
        <w:t xml:space="preserve"> “</w:t>
      </w:r>
      <w:r>
        <w:rPr>
          <w:rFonts w:hint="eastAsia" w:ascii="仿宋" w:hAnsi="仿宋" w:eastAsia="仿宋"/>
          <w:color w:val="auto"/>
          <w:sz w:val="28"/>
          <w:szCs w:val="28"/>
          <w:highlight w:val="none"/>
        </w:rPr>
        <w:t>技术规格、参数与要求”和第六章“合同书样式”中要求的商务条件，包括交货期、付款方式、交货地、履约保证金等内容，并根据实际投标情况如实填写本表格。</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★未填写本表格的投标人将不能通过初步评审。</w:t>
      </w:r>
    </w:p>
    <w:bookmarkEnd w:id="278"/>
    <w:p>
      <w:pPr>
        <w:spacing w:line="360" w:lineRule="auto"/>
        <w:rPr>
          <w:rFonts w:hint="eastAsia" w:ascii="仿宋" w:hAnsi="仿宋" w:eastAsia="仿宋"/>
          <w:color w:val="auto"/>
          <w:sz w:val="28"/>
          <w:szCs w:val="28"/>
          <w:highlight w:val="none"/>
          <w:u w:val="single"/>
        </w:rPr>
      </w:pPr>
      <w:bookmarkStart w:id="282" w:name="_Toc16348_WPSOffice_Level3"/>
      <w:bookmarkStart w:id="283" w:name="_Toc15869"/>
      <w:bookmarkStart w:id="284" w:name="_Toc60996691"/>
      <w:r>
        <w:rPr>
          <w:rFonts w:hint="eastAsia" w:ascii="仿宋" w:hAnsi="仿宋" w:eastAsia="仿宋"/>
          <w:color w:val="auto"/>
          <w:sz w:val="28"/>
          <w:szCs w:val="28"/>
          <w:highlight w:val="none"/>
        </w:rPr>
        <w:t>项目名称： 采购项目编号：</w:t>
      </w:r>
    </w:p>
    <w:tbl>
      <w:tblPr>
        <w:tblStyle w:val="39"/>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2197"/>
        <w:gridCol w:w="1984"/>
        <w:gridCol w:w="1654"/>
        <w:gridCol w:w="1654"/>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7"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序号</w:t>
            </w:r>
          </w:p>
        </w:tc>
        <w:tc>
          <w:tcPr>
            <w:tcW w:w="2197"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招标文件的商务条款要求</w:t>
            </w:r>
          </w:p>
        </w:tc>
        <w:tc>
          <w:tcPr>
            <w:tcW w:w="1984"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投标文件的商务条款</w:t>
            </w:r>
          </w:p>
        </w:tc>
        <w:tc>
          <w:tcPr>
            <w:tcW w:w="1654"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响应/偏离</w:t>
            </w:r>
          </w:p>
        </w:tc>
        <w:tc>
          <w:tcPr>
            <w:tcW w:w="1654"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说明</w:t>
            </w:r>
          </w:p>
        </w:tc>
        <w:tc>
          <w:tcPr>
            <w:tcW w:w="1650"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7" w:type="dxa"/>
            <w:vAlign w:val="center"/>
          </w:tcPr>
          <w:p>
            <w:pPr>
              <w:jc w:val="center"/>
              <w:rPr>
                <w:rFonts w:hint="eastAsia" w:ascii="仿宋" w:hAnsi="仿宋" w:eastAsia="仿宋"/>
                <w:color w:val="auto"/>
                <w:sz w:val="28"/>
                <w:szCs w:val="28"/>
                <w:highlight w:val="none"/>
              </w:rPr>
            </w:pPr>
          </w:p>
        </w:tc>
        <w:tc>
          <w:tcPr>
            <w:tcW w:w="2197" w:type="dxa"/>
            <w:vAlign w:val="center"/>
          </w:tcPr>
          <w:p>
            <w:pPr>
              <w:jc w:val="center"/>
              <w:rPr>
                <w:rFonts w:hint="eastAsia" w:ascii="仿宋" w:hAnsi="仿宋" w:eastAsia="仿宋"/>
                <w:color w:val="auto"/>
                <w:sz w:val="28"/>
                <w:szCs w:val="28"/>
                <w:highlight w:val="none"/>
              </w:rPr>
            </w:pPr>
          </w:p>
        </w:tc>
        <w:tc>
          <w:tcPr>
            <w:tcW w:w="198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0"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7" w:type="dxa"/>
            <w:vAlign w:val="center"/>
          </w:tcPr>
          <w:p>
            <w:pPr>
              <w:jc w:val="center"/>
              <w:rPr>
                <w:rFonts w:hint="eastAsia" w:ascii="仿宋" w:hAnsi="仿宋" w:eastAsia="仿宋"/>
                <w:color w:val="auto"/>
                <w:sz w:val="28"/>
                <w:szCs w:val="28"/>
                <w:highlight w:val="none"/>
              </w:rPr>
            </w:pPr>
          </w:p>
        </w:tc>
        <w:tc>
          <w:tcPr>
            <w:tcW w:w="2197" w:type="dxa"/>
            <w:vAlign w:val="center"/>
          </w:tcPr>
          <w:p>
            <w:pPr>
              <w:jc w:val="center"/>
              <w:rPr>
                <w:rFonts w:hint="eastAsia" w:ascii="仿宋" w:hAnsi="仿宋" w:eastAsia="仿宋"/>
                <w:color w:val="auto"/>
                <w:sz w:val="28"/>
                <w:szCs w:val="28"/>
                <w:highlight w:val="none"/>
              </w:rPr>
            </w:pPr>
          </w:p>
        </w:tc>
        <w:tc>
          <w:tcPr>
            <w:tcW w:w="198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0"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7" w:type="dxa"/>
            <w:vAlign w:val="center"/>
          </w:tcPr>
          <w:p>
            <w:pPr>
              <w:jc w:val="center"/>
              <w:rPr>
                <w:rFonts w:hint="eastAsia" w:ascii="仿宋" w:hAnsi="仿宋" w:eastAsia="仿宋"/>
                <w:color w:val="auto"/>
                <w:sz w:val="28"/>
                <w:szCs w:val="28"/>
                <w:highlight w:val="none"/>
              </w:rPr>
            </w:pPr>
          </w:p>
        </w:tc>
        <w:tc>
          <w:tcPr>
            <w:tcW w:w="2197" w:type="dxa"/>
            <w:vAlign w:val="center"/>
          </w:tcPr>
          <w:p>
            <w:pPr>
              <w:jc w:val="center"/>
              <w:rPr>
                <w:rFonts w:hint="eastAsia" w:ascii="仿宋" w:hAnsi="仿宋" w:eastAsia="仿宋"/>
                <w:color w:val="auto"/>
                <w:sz w:val="28"/>
                <w:szCs w:val="28"/>
                <w:highlight w:val="none"/>
              </w:rPr>
            </w:pPr>
          </w:p>
        </w:tc>
        <w:tc>
          <w:tcPr>
            <w:tcW w:w="198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0"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7" w:type="dxa"/>
            <w:vAlign w:val="center"/>
          </w:tcPr>
          <w:p>
            <w:pPr>
              <w:jc w:val="center"/>
              <w:rPr>
                <w:rFonts w:hint="eastAsia" w:ascii="仿宋" w:hAnsi="仿宋" w:eastAsia="仿宋"/>
                <w:color w:val="auto"/>
                <w:sz w:val="28"/>
                <w:szCs w:val="28"/>
                <w:highlight w:val="none"/>
              </w:rPr>
            </w:pPr>
          </w:p>
        </w:tc>
        <w:tc>
          <w:tcPr>
            <w:tcW w:w="2197" w:type="dxa"/>
            <w:vAlign w:val="center"/>
          </w:tcPr>
          <w:p>
            <w:pPr>
              <w:jc w:val="center"/>
              <w:rPr>
                <w:rFonts w:hint="eastAsia" w:ascii="仿宋" w:hAnsi="仿宋" w:eastAsia="仿宋"/>
                <w:color w:val="auto"/>
                <w:sz w:val="28"/>
                <w:szCs w:val="28"/>
                <w:highlight w:val="none"/>
              </w:rPr>
            </w:pPr>
          </w:p>
        </w:tc>
        <w:tc>
          <w:tcPr>
            <w:tcW w:w="198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4" w:type="dxa"/>
            <w:vAlign w:val="center"/>
          </w:tcPr>
          <w:p>
            <w:pPr>
              <w:jc w:val="center"/>
              <w:rPr>
                <w:rFonts w:hint="eastAsia" w:ascii="仿宋" w:hAnsi="仿宋" w:eastAsia="仿宋"/>
                <w:color w:val="auto"/>
                <w:sz w:val="28"/>
                <w:szCs w:val="28"/>
                <w:highlight w:val="none"/>
              </w:rPr>
            </w:pPr>
          </w:p>
        </w:tc>
        <w:tc>
          <w:tcPr>
            <w:tcW w:w="1650" w:type="dxa"/>
            <w:vAlign w:val="center"/>
          </w:tcPr>
          <w:p>
            <w:pPr>
              <w:jc w:val="center"/>
              <w:rPr>
                <w:rFonts w:hint="eastAsia" w:ascii="仿宋" w:hAnsi="仿宋" w:eastAsia="仿宋"/>
                <w:color w:val="auto"/>
                <w:sz w:val="28"/>
                <w:szCs w:val="28"/>
                <w:highlight w:val="none"/>
              </w:rPr>
            </w:pPr>
          </w:p>
        </w:tc>
      </w:tr>
    </w:tbl>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年月日</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表格填写说明：</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1、投标人根据应根据实际投标情况，填写本表格，若无偏离，则填写无偏离，签字盖章即可。若有偏离，则按表格要求及实际情况填写说明后，签字盖章。</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2、表格中“招标文件的商务条款要求”在填写时应注明该条款在招标文件的页码及条款号。</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3、表格中“投标文件的商务条款”请投标人根据实际投标情况如实、完整、准确的填写。</w:t>
      </w:r>
    </w:p>
    <w:p>
      <w:pPr>
        <w:spacing w:line="240" w:lineRule="atLeast"/>
        <w:ind w:firstLine="560" w:firstLineChars="200"/>
        <w:rPr>
          <w:rFonts w:hint="eastAsia" w:ascii="仿宋" w:hAnsi="仿宋" w:eastAsia="仿宋"/>
          <w:color w:val="auto"/>
          <w:sz w:val="28"/>
          <w:szCs w:val="28"/>
          <w:highlight w:val="none"/>
        </w:rPr>
        <w:sectPr>
          <w:headerReference r:id="rId7" w:type="default"/>
          <w:footerReference r:id="rId8" w:type="default"/>
          <w:pgSz w:w="11906" w:h="16838"/>
          <w:pgMar w:top="1417" w:right="1417" w:bottom="1417" w:left="1417" w:header="935" w:footer="720" w:gutter="0"/>
          <w:cols w:space="0" w:num="1"/>
          <w:rtlGutter w:val="0"/>
          <w:docGrid w:linePitch="324" w:charSpace="0"/>
        </w:sectPr>
      </w:pPr>
      <w:r>
        <w:rPr>
          <w:rFonts w:hint="eastAsia" w:ascii="仿宋" w:hAnsi="仿宋" w:eastAsia="仿宋"/>
          <w:color w:val="auto"/>
          <w:sz w:val="28"/>
          <w:szCs w:val="28"/>
          <w:highlight w:val="none"/>
        </w:rPr>
        <w:t>4、本表格中内容与响应文件其余部分不一致的，以本表格为准。</w:t>
      </w:r>
    </w:p>
    <w:p>
      <w:pPr>
        <w:pStyle w:val="4"/>
        <w:spacing w:before="0" w:line="240" w:lineRule="atLeast"/>
        <w:ind w:left="0" w:firstLine="562" w:firstLineChars="200"/>
        <w:rPr>
          <w:rFonts w:hint="eastAsia" w:ascii="仿宋" w:hAnsi="仿宋" w:eastAsia="仿宋"/>
          <w:color w:val="auto"/>
          <w:szCs w:val="28"/>
          <w:highlight w:val="none"/>
        </w:rPr>
      </w:pPr>
      <w:bookmarkStart w:id="285" w:name="_Toc2718"/>
      <w:bookmarkStart w:id="286" w:name="_Toc28706"/>
      <w:r>
        <w:rPr>
          <w:rFonts w:hint="eastAsia" w:ascii="仿宋" w:hAnsi="仿宋" w:eastAsia="仿宋"/>
          <w:color w:val="auto"/>
          <w:szCs w:val="28"/>
          <w:highlight w:val="none"/>
        </w:rPr>
        <w:t>格式5：质量保证和售后服务承诺书</w:t>
      </w:r>
      <w:bookmarkEnd w:id="282"/>
      <w:bookmarkEnd w:id="283"/>
      <w:bookmarkEnd w:id="284"/>
      <w:bookmarkEnd w:id="285"/>
      <w:bookmarkEnd w:id="286"/>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（一）质量保证书</w:t>
      </w:r>
    </w:p>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u w:val="single"/>
        </w:rPr>
        <w:t>（采购人名称）</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本保证书作为</w:t>
      </w:r>
      <w:r>
        <w:rPr>
          <w:rFonts w:hint="eastAsia" w:ascii="仿宋" w:hAnsi="仿宋" w:eastAsia="仿宋"/>
          <w:color w:val="auto"/>
          <w:sz w:val="28"/>
          <w:szCs w:val="28"/>
          <w:highlight w:val="none"/>
          <w:u w:val="single"/>
        </w:rPr>
        <w:t>（投标人名称）</w:t>
      </w:r>
      <w:r>
        <w:rPr>
          <w:rFonts w:hint="eastAsia" w:ascii="仿宋" w:hAnsi="仿宋" w:eastAsia="仿宋"/>
          <w:color w:val="auto"/>
          <w:sz w:val="28"/>
          <w:szCs w:val="28"/>
          <w:highlight w:val="none"/>
        </w:rPr>
        <w:t>对</w:t>
      </w:r>
      <w:r>
        <w:rPr>
          <w:rFonts w:ascii="仿宋" w:hAnsi="仿宋" w:eastAsia="仿宋"/>
          <w:color w:val="auto"/>
          <w:sz w:val="28"/>
          <w:szCs w:val="28"/>
          <w:highlight w:val="none"/>
        </w:rPr>
        <w:t>_______________</w:t>
      </w:r>
      <w:r>
        <w:rPr>
          <w:rFonts w:hint="eastAsia" w:ascii="仿宋" w:hAnsi="仿宋" w:eastAsia="仿宋"/>
          <w:color w:val="auto"/>
          <w:sz w:val="28"/>
          <w:szCs w:val="28"/>
          <w:highlight w:val="none"/>
        </w:rPr>
        <w:t>项目（项目编号：</w:t>
      </w:r>
      <w:r>
        <w:rPr>
          <w:rFonts w:ascii="仿宋" w:hAnsi="仿宋" w:eastAsia="仿宋"/>
          <w:color w:val="auto"/>
          <w:sz w:val="28"/>
          <w:szCs w:val="28"/>
          <w:highlight w:val="none"/>
        </w:rPr>
        <w:t>__________</w:t>
      </w:r>
      <w:r>
        <w:rPr>
          <w:rFonts w:hint="eastAsia" w:ascii="仿宋" w:hAnsi="仿宋" w:eastAsia="仿宋"/>
          <w:color w:val="auto"/>
          <w:sz w:val="28"/>
          <w:szCs w:val="28"/>
          <w:highlight w:val="none"/>
        </w:rPr>
        <w:t>）公开招标提供的质量和服务的保证。</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我方承诺提供以下质量保证并承担相应的法律责任：</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1. </w:t>
      </w:r>
      <w:r>
        <w:rPr>
          <w:rFonts w:hint="eastAsia" w:ascii="仿宋" w:hAnsi="仿宋" w:eastAsia="仿宋"/>
          <w:color w:val="auto"/>
          <w:sz w:val="28"/>
          <w:szCs w:val="28"/>
          <w:highlight w:val="none"/>
        </w:rPr>
        <w:t>提供的货物是全新的、符合国家质量标准、国家有关部门手续完备、具有生产厂家质量保证书（或合格证明）的产品；</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2. </w:t>
      </w:r>
      <w:r>
        <w:rPr>
          <w:rFonts w:hint="eastAsia" w:ascii="仿宋" w:hAnsi="仿宋" w:eastAsia="仿宋"/>
          <w:color w:val="auto"/>
          <w:sz w:val="28"/>
          <w:szCs w:val="28"/>
          <w:highlight w:val="none"/>
        </w:rPr>
        <w:t>提供的货物符合投标文件承诺和所签合同规定的技术要求；</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3. </w:t>
      </w:r>
      <w:r>
        <w:rPr>
          <w:rFonts w:hint="eastAsia" w:ascii="仿宋" w:hAnsi="仿宋" w:eastAsia="仿宋"/>
          <w:color w:val="auto"/>
          <w:sz w:val="28"/>
          <w:szCs w:val="28"/>
          <w:highlight w:val="none"/>
        </w:rPr>
        <w:t>保证“售后服务承诺”全部内容的满足；</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 xml:space="preserve">4. </w:t>
      </w:r>
      <w:r>
        <w:rPr>
          <w:rFonts w:hint="eastAsia" w:ascii="仿宋" w:hAnsi="仿宋" w:eastAsia="仿宋"/>
          <w:color w:val="auto"/>
          <w:sz w:val="28"/>
          <w:szCs w:val="28"/>
          <w:highlight w:val="none"/>
        </w:rPr>
        <w:t>对投标的货物，我单位承诺的性能保证如下：（请详细列明）</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_______________________________________________________________________</w:t>
      </w:r>
    </w:p>
    <w:p>
      <w:pPr>
        <w:spacing w:line="360" w:lineRule="auto"/>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_______________________________________________________________________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本保证书自开标之日起有效，如我方中标则至货物保质期满为止有效。</w:t>
      </w:r>
    </w:p>
    <w:p>
      <w:pPr>
        <w:ind w:right="-693" w:rightChars="-330"/>
        <w:rPr>
          <w:rFonts w:hint="eastAsia" w:ascii="仿宋" w:hAnsi="仿宋" w:eastAsia="仿宋"/>
          <w:color w:val="auto"/>
          <w:sz w:val="28"/>
          <w:szCs w:val="28"/>
          <w:highlight w:val="none"/>
        </w:rPr>
      </w:pP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年月日</w:t>
      </w:r>
    </w:p>
    <w:p>
      <w:pPr>
        <w:spacing w:line="360" w:lineRule="auto"/>
        <w:ind w:left="198"/>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spacing w:line="360" w:lineRule="auto"/>
        <w:ind w:left="198"/>
        <w:rPr>
          <w:rFonts w:hint="eastAsia" w:ascii="仿宋" w:hAnsi="仿宋" w:eastAsia="仿宋"/>
          <w:color w:val="auto"/>
          <w:sz w:val="28"/>
          <w:szCs w:val="28"/>
          <w:highlight w:val="none"/>
        </w:rPr>
      </w:pPr>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（二）售后服务承诺书</w:t>
      </w:r>
    </w:p>
    <w:p>
      <w:pPr>
        <w:spacing w:line="360" w:lineRule="auto"/>
        <w:rPr>
          <w:rFonts w:hint="eastAsia" w:ascii="仿宋" w:hAnsi="仿宋" w:eastAsia="仿宋"/>
          <w:color w:val="auto"/>
          <w:highlight w:val="none"/>
        </w:rPr>
      </w:pPr>
    </w:p>
    <w:p>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（由投标人按第三章“技术规格、参数与要求”中售后服务及要求自行编写）</w:t>
      </w:r>
    </w:p>
    <w:p>
      <w:pPr>
        <w:spacing w:line="360" w:lineRule="auto"/>
        <w:ind w:firstLine="2" w:firstLineChars="1"/>
        <w:rPr>
          <w:rFonts w:hint="eastAsia" w:ascii="仿宋" w:hAnsi="仿宋" w:eastAsia="仿宋"/>
          <w:color w:val="auto"/>
          <w:sz w:val="28"/>
          <w:szCs w:val="28"/>
          <w:highlight w:val="none"/>
        </w:rPr>
      </w:pPr>
    </w:p>
    <w:p>
      <w:pPr>
        <w:spacing w:line="360" w:lineRule="auto"/>
        <w:ind w:firstLine="2" w:firstLineChars="1"/>
        <w:rPr>
          <w:rFonts w:hint="eastAsia" w:ascii="仿宋" w:hAnsi="仿宋" w:eastAsia="仿宋"/>
          <w:color w:val="auto"/>
          <w:sz w:val="28"/>
          <w:szCs w:val="28"/>
          <w:highlight w:val="none"/>
        </w:rPr>
      </w:pP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年月日</w:t>
      </w:r>
    </w:p>
    <w:p>
      <w:pPr>
        <w:pStyle w:val="4"/>
        <w:spacing w:before="0" w:line="240" w:lineRule="atLeast"/>
        <w:ind w:left="0" w:firstLine="562" w:firstLineChars="200"/>
        <w:rPr>
          <w:rFonts w:hint="eastAsia" w:ascii="仿宋" w:hAnsi="仿宋" w:eastAsia="仿宋"/>
          <w:color w:val="auto"/>
          <w:szCs w:val="28"/>
          <w:highlight w:val="none"/>
        </w:rPr>
      </w:pPr>
      <w:r>
        <w:rPr>
          <w:rFonts w:ascii="仿宋" w:hAnsi="仿宋" w:eastAsia="仿宋"/>
          <w:color w:val="auto"/>
          <w:szCs w:val="28"/>
          <w:highlight w:val="none"/>
        </w:rPr>
        <w:br w:type="page"/>
      </w:r>
      <w:bookmarkStart w:id="287" w:name="_Toc17298"/>
      <w:bookmarkStart w:id="288" w:name="_Toc16316_WPSOffice_Level3"/>
      <w:bookmarkStart w:id="289" w:name="_Toc18348"/>
      <w:bookmarkStart w:id="290" w:name="_Toc60996692"/>
      <w:bookmarkStart w:id="291" w:name="_Toc12373"/>
      <w:r>
        <w:rPr>
          <w:rFonts w:hint="eastAsia" w:ascii="仿宋" w:hAnsi="仿宋" w:eastAsia="仿宋"/>
          <w:color w:val="auto"/>
          <w:szCs w:val="28"/>
          <w:highlight w:val="none"/>
        </w:rPr>
        <w:t>格式6：投标保证金</w:t>
      </w:r>
      <w:bookmarkEnd w:id="287"/>
      <w:bookmarkEnd w:id="288"/>
      <w:bookmarkEnd w:id="289"/>
    </w:p>
    <w:bookmarkEnd w:id="290"/>
    <w:bookmarkEnd w:id="291"/>
    <w:p>
      <w:pPr>
        <w:rPr>
          <w:rFonts w:hint="eastAsia" w:ascii="仿宋" w:hAnsi="仿宋" w:eastAsia="仿宋"/>
          <w:b/>
          <w:color w:val="auto"/>
          <w:szCs w:val="28"/>
          <w:highlight w:val="none"/>
        </w:rPr>
      </w:pPr>
      <w:bookmarkStart w:id="292" w:name="_Toc2384"/>
      <w:bookmarkStart w:id="293" w:name="_Toc60996693"/>
      <w:r>
        <w:rPr>
          <w:rFonts w:hint="eastAsia" w:ascii="仿宋" w:hAnsi="仿宋" w:eastAsia="仿宋"/>
          <w:color w:val="auto"/>
          <w:sz w:val="28"/>
          <w:szCs w:val="28"/>
          <w:highlight w:val="none"/>
        </w:rPr>
        <w:t>须按照要求足额缴纳，扫描上传保证金缴纳回执</w:t>
      </w:r>
    </w:p>
    <w:p>
      <w:pPr>
        <w:pStyle w:val="4"/>
        <w:spacing w:before="0" w:line="240" w:lineRule="atLeast"/>
        <w:ind w:left="0" w:firstLine="562" w:firstLineChars="200"/>
        <w:rPr>
          <w:rFonts w:hint="eastAsia" w:ascii="仿宋" w:hAnsi="仿宋" w:eastAsia="仿宋"/>
          <w:color w:val="auto"/>
          <w:szCs w:val="28"/>
          <w:highlight w:val="none"/>
        </w:rPr>
      </w:pPr>
      <w:bookmarkStart w:id="294" w:name="_Toc32013_WPSOffice_Level3"/>
      <w:bookmarkStart w:id="295" w:name="_Toc3963"/>
      <w:bookmarkStart w:id="296" w:name="_Toc16531"/>
      <w:r>
        <w:rPr>
          <w:rFonts w:hint="eastAsia" w:ascii="仿宋" w:hAnsi="仿宋" w:eastAsia="仿宋"/>
          <w:color w:val="auto"/>
          <w:szCs w:val="28"/>
          <w:highlight w:val="none"/>
        </w:rPr>
        <w:t>格式7：投标人资格证明文件</w:t>
      </w:r>
      <w:bookmarkEnd w:id="292"/>
      <w:bookmarkEnd w:id="293"/>
      <w:bookmarkEnd w:id="294"/>
      <w:bookmarkEnd w:id="295"/>
      <w:bookmarkEnd w:id="296"/>
    </w:p>
    <w:p>
      <w:pPr>
        <w:spacing w:line="460" w:lineRule="exact"/>
        <w:outlineLvl w:val="2"/>
        <w:rPr>
          <w:rFonts w:hint="eastAsia" w:ascii="仿宋" w:hAnsi="仿宋" w:eastAsia="仿宋"/>
          <w:b/>
          <w:color w:val="auto"/>
          <w:kern w:val="0"/>
          <w:sz w:val="24"/>
          <w:highlight w:val="none"/>
        </w:rPr>
      </w:pPr>
      <w:bookmarkStart w:id="297" w:name="_Toc19385_WPSOffice_Level3"/>
      <w:bookmarkStart w:id="298" w:name="_Toc29534"/>
      <w:bookmarkStart w:id="299" w:name="_Toc9983"/>
      <w:r>
        <w:rPr>
          <w:rFonts w:hint="eastAsia" w:ascii="仿宋" w:hAnsi="仿宋" w:eastAsia="仿宋"/>
          <w:b/>
          <w:color w:val="auto"/>
          <w:kern w:val="0"/>
          <w:sz w:val="24"/>
          <w:highlight w:val="none"/>
        </w:rPr>
        <w:t>格式7-1：营业执照</w:t>
      </w:r>
      <w:bookmarkEnd w:id="297"/>
      <w:bookmarkEnd w:id="298"/>
      <w:bookmarkEnd w:id="299"/>
    </w:p>
    <w:p>
      <w:pPr>
        <w:spacing w:line="360" w:lineRule="auto"/>
        <w:jc w:val="center"/>
        <w:rPr>
          <w:rFonts w:hint="eastAsia" w:ascii="仿宋" w:hAnsi="仿宋" w:eastAsia="仿宋"/>
          <w:b/>
          <w:bCs/>
          <w:color w:val="auto"/>
          <w:sz w:val="32"/>
          <w:szCs w:val="32"/>
          <w:highlight w:val="none"/>
        </w:rPr>
      </w:pPr>
    </w:p>
    <w:p>
      <w:pPr>
        <w:spacing w:line="360" w:lineRule="auto"/>
        <w:jc w:val="center"/>
        <w:rPr>
          <w:rFonts w:hint="eastAsia" w:ascii="仿宋" w:hAnsi="仿宋" w:eastAsia="仿宋"/>
          <w:b/>
          <w:bCs/>
          <w:color w:val="auto"/>
          <w:sz w:val="32"/>
          <w:szCs w:val="32"/>
          <w:highlight w:val="none"/>
        </w:rPr>
      </w:pPr>
    </w:p>
    <w:p>
      <w:pPr>
        <w:spacing w:line="360" w:lineRule="auto"/>
        <w:jc w:val="center"/>
        <w:rPr>
          <w:rFonts w:hint="eastAsia" w:ascii="仿宋" w:hAnsi="仿宋" w:eastAsia="仿宋"/>
          <w:b/>
          <w:bCs/>
          <w:color w:val="auto"/>
          <w:sz w:val="32"/>
          <w:szCs w:val="32"/>
          <w:highlight w:val="none"/>
        </w:rPr>
      </w:pPr>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营业执照</w:t>
      </w:r>
    </w:p>
    <w:p>
      <w:pPr>
        <w:spacing w:line="360" w:lineRule="auto"/>
        <w:jc w:val="center"/>
        <w:rPr>
          <w:rFonts w:hint="eastAsia" w:ascii="仿宋" w:hAnsi="仿宋" w:eastAsia="仿宋"/>
          <w:color w:val="auto"/>
          <w:sz w:val="24"/>
          <w:highlight w:val="none"/>
        </w:rPr>
      </w:pPr>
    </w:p>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投标人有效的营业执照副本内页：要求清晰反映企业法人经营范围。</w:t>
      </w:r>
    </w:p>
    <w:p>
      <w:pPr>
        <w:pStyle w:val="19"/>
        <w:spacing w:line="360" w:lineRule="auto"/>
        <w:ind w:left="420"/>
        <w:jc w:val="center"/>
        <w:rPr>
          <w:rFonts w:hint="eastAsia" w:ascii="仿宋" w:hAnsi="仿宋" w:eastAsia="仿宋"/>
          <w:color w:val="auto"/>
          <w:sz w:val="24"/>
          <w:szCs w:val="24"/>
          <w:highlight w:val="none"/>
        </w:rPr>
      </w:pPr>
    </w:p>
    <w:p>
      <w:pPr>
        <w:pStyle w:val="19"/>
        <w:spacing w:line="360" w:lineRule="auto"/>
        <w:ind w:left="420"/>
        <w:jc w:val="center"/>
        <w:rPr>
          <w:rFonts w:hint="eastAsia" w:ascii="仿宋" w:hAnsi="仿宋" w:eastAsia="仿宋"/>
          <w:color w:val="auto"/>
          <w:sz w:val="24"/>
          <w:szCs w:val="24"/>
          <w:highlight w:val="none"/>
        </w:rPr>
      </w:pPr>
    </w:p>
    <w:p>
      <w:pPr>
        <w:pStyle w:val="19"/>
        <w:spacing w:line="360" w:lineRule="auto"/>
        <w:ind w:left="420"/>
        <w:jc w:val="center"/>
        <w:rPr>
          <w:rFonts w:hint="eastAsia" w:ascii="仿宋" w:hAnsi="仿宋" w:eastAsia="仿宋"/>
          <w:color w:val="auto"/>
          <w:sz w:val="24"/>
          <w:szCs w:val="24"/>
          <w:highlight w:val="none"/>
        </w:rPr>
      </w:pPr>
    </w:p>
    <w:p>
      <w:pPr>
        <w:pStyle w:val="19"/>
        <w:spacing w:line="360" w:lineRule="auto"/>
        <w:ind w:left="420"/>
        <w:jc w:val="center"/>
        <w:rPr>
          <w:rFonts w:hint="eastAsia" w:ascii="仿宋" w:hAnsi="仿宋" w:eastAsia="仿宋"/>
          <w:color w:val="auto"/>
          <w:sz w:val="24"/>
          <w:szCs w:val="24"/>
          <w:highlight w:val="none"/>
        </w:rPr>
      </w:pPr>
    </w:p>
    <w:p>
      <w:pPr>
        <w:pStyle w:val="19"/>
        <w:spacing w:line="360" w:lineRule="auto"/>
        <w:outlineLvl w:val="2"/>
        <w:rPr>
          <w:rFonts w:hint="eastAsia" w:ascii="仿宋" w:hAnsi="仿宋" w:eastAsia="仿宋"/>
          <w:b/>
          <w:color w:val="auto"/>
          <w:sz w:val="28"/>
          <w:szCs w:val="28"/>
          <w:highlight w:val="none"/>
        </w:rPr>
      </w:pPr>
      <w:r>
        <w:rPr>
          <w:rFonts w:ascii="仿宋" w:hAnsi="仿宋" w:eastAsia="仿宋"/>
          <w:color w:val="auto"/>
          <w:highlight w:val="none"/>
        </w:rPr>
        <w:br w:type="page"/>
      </w:r>
      <w:bookmarkStart w:id="300" w:name="_Toc14696"/>
      <w:bookmarkStart w:id="301" w:name="_Toc17636"/>
      <w:bookmarkStart w:id="302" w:name="_Toc2435_WPSOffice_Level3"/>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-2</w:t>
      </w:r>
      <w:r>
        <w:rPr>
          <w:rFonts w:hint="eastAsia" w:ascii="仿宋" w:hAnsi="仿宋" w:eastAsia="仿宋"/>
          <w:b/>
          <w:color w:val="auto"/>
          <w:sz w:val="28"/>
          <w:szCs w:val="28"/>
          <w:highlight w:val="none"/>
        </w:rPr>
        <w:t>：法定代表人资格证明书</w:t>
      </w:r>
      <w:bookmarkEnd w:id="300"/>
      <w:bookmarkEnd w:id="301"/>
      <w:bookmarkEnd w:id="302"/>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法定代表人资格证明书</w:t>
      </w:r>
    </w:p>
    <w:p>
      <w:pPr>
        <w:spacing w:line="360" w:lineRule="auto"/>
        <w:jc w:val="center"/>
        <w:rPr>
          <w:rFonts w:hint="eastAsia" w:ascii="仿宋" w:hAnsi="仿宋" w:eastAsia="仿宋"/>
          <w:b/>
          <w:color w:val="auto"/>
          <w:sz w:val="30"/>
          <w:szCs w:val="30"/>
          <w:highlight w:val="none"/>
        </w:rPr>
      </w:pPr>
    </w:p>
    <w:p>
      <w:pPr>
        <w:spacing w:line="360" w:lineRule="auto"/>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投标人全称：</w:t>
      </w:r>
    </w:p>
    <w:p>
      <w:pPr>
        <w:spacing w:line="360" w:lineRule="auto"/>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单位性质：</w:t>
      </w:r>
    </w:p>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成立时间：年月日</w:t>
      </w:r>
    </w:p>
    <w:p>
      <w:pPr>
        <w:spacing w:line="360" w:lineRule="auto"/>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经营期限：</w:t>
      </w:r>
    </w:p>
    <w:p>
      <w:pPr>
        <w:spacing w:line="360" w:lineRule="auto"/>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rPr>
        <w:t>姓名：性别：年龄：职务：</w:t>
      </w:r>
    </w:p>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系</w:t>
      </w:r>
      <w:r>
        <w:rPr>
          <w:rFonts w:hint="eastAsia" w:ascii="仿宋" w:hAnsi="仿宋" w:eastAsia="仿宋"/>
          <w:color w:val="auto"/>
          <w:sz w:val="28"/>
          <w:szCs w:val="28"/>
          <w:highlight w:val="none"/>
          <w:u w:val="single"/>
        </w:rPr>
        <w:t>（投标人全称）</w:t>
      </w:r>
      <w:r>
        <w:rPr>
          <w:rFonts w:hint="eastAsia" w:ascii="仿宋" w:hAnsi="仿宋" w:eastAsia="仿宋"/>
          <w:color w:val="auto"/>
          <w:sz w:val="28"/>
          <w:szCs w:val="28"/>
          <w:highlight w:val="none"/>
        </w:rPr>
        <w:t>的法定代表人。</w:t>
      </w:r>
    </w:p>
    <w:p>
      <w:pPr>
        <w:spacing w:line="360" w:lineRule="auto"/>
        <w:ind w:firstLine="560" w:firstLineChars="200"/>
        <w:rPr>
          <w:rFonts w:hint="eastAsia" w:ascii="仿宋" w:hAnsi="仿宋" w:eastAsia="仿宋"/>
          <w:color w:val="auto"/>
          <w:sz w:val="28"/>
          <w:szCs w:val="28"/>
          <w:highlight w:val="none"/>
        </w:rPr>
      </w:pP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特此证明。</w:t>
      </w:r>
    </w:p>
    <w:tbl>
      <w:tblPr>
        <w:tblStyle w:val="39"/>
        <w:tblW w:w="8528" w:type="dxa"/>
        <w:tblInd w:w="0" w:type="dxa"/>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2526" w:hRule="atLeast"/>
        </w:trPr>
        <w:tc>
          <w:tcPr>
            <w:tcW w:w="8528" w:type="dxa"/>
            <w:noWrap/>
            <w:vAlign w:val="center"/>
          </w:tcPr>
          <w:p>
            <w:pPr>
              <w:adjustRightInd w:val="0"/>
              <w:snapToGrid w:val="0"/>
              <w:spacing w:before="156" w:beforeLines="50" w:line="360" w:lineRule="auto"/>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法定代表人身份证复印件</w:t>
            </w:r>
          </w:p>
        </w:tc>
      </w:tr>
    </w:tbl>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法定代表人身份证复印件（正、反面）</w:t>
      </w:r>
    </w:p>
    <w:p>
      <w:pPr>
        <w:spacing w:line="360" w:lineRule="auto"/>
        <w:rPr>
          <w:rFonts w:hint="eastAsia" w:ascii="仿宋" w:hAnsi="仿宋" w:eastAsia="仿宋"/>
          <w:color w:val="auto"/>
          <w:sz w:val="28"/>
          <w:szCs w:val="28"/>
          <w:highlight w:val="none"/>
        </w:rPr>
      </w:pPr>
    </w:p>
    <w:p>
      <w:pPr>
        <w:spacing w:line="360" w:lineRule="auto"/>
        <w:ind w:left="3780" w:leftChars="18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360" w:lineRule="auto"/>
        <w:ind w:left="3780" w:leftChars="1800"/>
        <w:rPr>
          <w:rFonts w:hint="eastAsia" w:ascii="仿宋" w:hAnsi="仿宋" w:eastAsia="仿宋"/>
          <w:color w:val="auto"/>
          <w:sz w:val="28"/>
          <w:szCs w:val="28"/>
          <w:highlight w:val="none"/>
        </w:rPr>
      </w:pPr>
    </w:p>
    <w:p>
      <w:pPr>
        <w:spacing w:line="360" w:lineRule="auto"/>
        <w:ind w:left="3780" w:leftChars="1800" w:firstLine="1540" w:firstLineChars="55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年　月　日</w:t>
      </w:r>
    </w:p>
    <w:p>
      <w:pPr>
        <w:spacing w:line="360" w:lineRule="auto"/>
        <w:rPr>
          <w:rFonts w:hint="eastAsia" w:ascii="仿宋" w:hAnsi="仿宋" w:eastAsia="仿宋"/>
          <w:color w:val="auto"/>
          <w:sz w:val="28"/>
          <w:szCs w:val="28"/>
          <w:highlight w:val="none"/>
        </w:rPr>
      </w:pPr>
    </w:p>
    <w:p>
      <w:pPr>
        <w:spacing w:line="360" w:lineRule="auto"/>
        <w:rPr>
          <w:rFonts w:hint="eastAsia" w:ascii="仿宋" w:hAnsi="仿宋" w:eastAsia="仿宋"/>
          <w:color w:val="auto"/>
          <w:sz w:val="28"/>
          <w:szCs w:val="28"/>
          <w:highlight w:val="none"/>
        </w:rPr>
      </w:pPr>
    </w:p>
    <w:p>
      <w:pPr>
        <w:pStyle w:val="19"/>
        <w:spacing w:line="360" w:lineRule="auto"/>
        <w:outlineLvl w:val="2"/>
        <w:rPr>
          <w:rFonts w:hint="eastAsia" w:ascii="仿宋" w:hAnsi="仿宋" w:eastAsia="仿宋"/>
          <w:b/>
          <w:color w:val="auto"/>
          <w:sz w:val="28"/>
          <w:szCs w:val="28"/>
          <w:highlight w:val="none"/>
        </w:rPr>
      </w:pPr>
      <w:r>
        <w:rPr>
          <w:rFonts w:ascii="仿宋" w:hAnsi="仿宋" w:eastAsia="仿宋"/>
          <w:b/>
          <w:color w:val="auto"/>
          <w:szCs w:val="21"/>
          <w:highlight w:val="none"/>
        </w:rPr>
        <w:br w:type="page"/>
      </w:r>
      <w:bookmarkStart w:id="303" w:name="_Toc17533_WPSOffice_Level3"/>
      <w:bookmarkStart w:id="304" w:name="_Toc31571"/>
      <w:bookmarkStart w:id="305" w:name="_Toc26420"/>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-3</w:t>
      </w:r>
      <w:r>
        <w:rPr>
          <w:rFonts w:hint="eastAsia" w:ascii="仿宋" w:hAnsi="仿宋" w:eastAsia="仿宋"/>
          <w:b/>
          <w:color w:val="auto"/>
          <w:sz w:val="28"/>
          <w:szCs w:val="28"/>
          <w:highlight w:val="none"/>
        </w:rPr>
        <w:t>：法定代表人授权委托书</w:t>
      </w:r>
      <w:bookmarkEnd w:id="303"/>
      <w:bookmarkEnd w:id="304"/>
      <w:bookmarkEnd w:id="305"/>
    </w:p>
    <w:p>
      <w:pPr>
        <w:spacing w:line="360" w:lineRule="auto"/>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法定代表人授权委托书</w:t>
      </w:r>
    </w:p>
    <w:p>
      <w:pPr>
        <w:autoSpaceDE w:val="0"/>
        <w:autoSpaceDN w:val="0"/>
        <w:adjustRightInd w:val="0"/>
        <w:snapToGrid w:val="0"/>
        <w:spacing w:before="156" w:beforeLines="50" w:line="360" w:lineRule="auto"/>
        <w:ind w:firstLine="480" w:firstLineChars="200"/>
        <w:jc w:val="left"/>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本人（姓名、职务）系 （</w:t>
      </w:r>
      <w:r>
        <w:rPr>
          <w:rFonts w:hint="eastAsia" w:ascii="仿宋" w:hAnsi="仿宋" w:eastAsia="仿宋"/>
          <w:color w:val="auto"/>
          <w:sz w:val="24"/>
          <w:highlight w:val="none"/>
        </w:rPr>
        <w:t>投标人</w:t>
      </w:r>
      <w:r>
        <w:rPr>
          <w:rFonts w:hint="eastAsia" w:ascii="仿宋" w:hAnsi="仿宋" w:eastAsia="仿宋" w:cs="宋体"/>
          <w:color w:val="auto"/>
          <w:kern w:val="0"/>
          <w:sz w:val="24"/>
          <w:highlight w:val="none"/>
        </w:rPr>
        <w:t>名称）的法定代表人，现授权（姓名、职务）为我方代理人。代理人根据授权，以我方名义签署、澄清、说明、补正、递交、撤回、修改（项目名称、政府采购编号）投标文件、签订合同和处理有关事宜，其法律后果由我方承担。</w:t>
      </w:r>
    </w:p>
    <w:p>
      <w:pPr>
        <w:autoSpaceDE w:val="0"/>
        <w:autoSpaceDN w:val="0"/>
        <w:adjustRightInd w:val="0"/>
        <w:snapToGrid w:val="0"/>
        <w:spacing w:before="156" w:beforeLines="50" w:line="360" w:lineRule="auto"/>
        <w:ind w:firstLine="480" w:firstLineChars="200"/>
        <w:jc w:val="left"/>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委托期限： 。</w:t>
      </w:r>
    </w:p>
    <w:p>
      <w:pPr>
        <w:adjustRightInd w:val="0"/>
        <w:snapToGrid w:val="0"/>
        <w:spacing w:before="156" w:beforeLines="50" w:line="360" w:lineRule="auto"/>
        <w:ind w:firstLine="435"/>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代理人无转委托权。</w:t>
      </w:r>
    </w:p>
    <w:p>
      <w:pPr>
        <w:adjustRightInd w:val="0"/>
        <w:snapToGrid w:val="0"/>
        <w:spacing w:before="156" w:beforeLines="50" w:line="360" w:lineRule="auto"/>
        <w:ind w:firstLine="435"/>
        <w:rPr>
          <w:rFonts w:hint="eastAsia" w:ascii="仿宋" w:hAnsi="仿宋" w:eastAsia="仿宋"/>
          <w:color w:val="auto"/>
          <w:sz w:val="24"/>
          <w:highlight w:val="none"/>
        </w:rPr>
      </w:pPr>
      <w:r>
        <w:rPr>
          <w:rFonts w:hint="eastAsia" w:ascii="仿宋" w:hAnsi="仿宋" w:eastAsia="仿宋"/>
          <w:color w:val="auto"/>
          <w:sz w:val="24"/>
          <w:highlight w:val="none"/>
        </w:rPr>
        <w:t>本授权书于年月日签字生效，特此声明。</w:t>
      </w:r>
    </w:p>
    <w:tbl>
      <w:tblPr>
        <w:tblStyle w:val="39"/>
        <w:tblW w:w="8528" w:type="dxa"/>
        <w:tblInd w:w="0" w:type="dxa"/>
        <w:tblLayout w:type="fixed"/>
        <w:tblCellMar>
          <w:top w:w="0" w:type="dxa"/>
          <w:left w:w="108" w:type="dxa"/>
          <w:bottom w:w="0" w:type="dxa"/>
          <w:right w:w="108" w:type="dxa"/>
        </w:tblCellMar>
      </w:tblPr>
      <w:tblGrid>
        <w:gridCol w:w="8528"/>
      </w:tblGrid>
      <w:tr>
        <w:tblPrEx>
          <w:tblCellMar>
            <w:top w:w="0" w:type="dxa"/>
            <w:left w:w="108" w:type="dxa"/>
            <w:bottom w:w="0" w:type="dxa"/>
            <w:right w:w="108" w:type="dxa"/>
          </w:tblCellMar>
        </w:tblPrEx>
        <w:trPr>
          <w:trHeight w:val="2526" w:hRule="atLeast"/>
        </w:trPr>
        <w:tc>
          <w:tcPr>
            <w:tcW w:w="8528" w:type="dxa"/>
            <w:noWrap/>
            <w:vAlign w:val="center"/>
          </w:tcPr>
          <w:p>
            <w:pPr>
              <w:adjustRightInd w:val="0"/>
              <w:snapToGrid w:val="0"/>
              <w:spacing w:before="156" w:beforeLines="50" w:line="360" w:lineRule="auto"/>
              <w:jc w:val="center"/>
              <w:rPr>
                <w:rFonts w:hint="eastAsia" w:ascii="仿宋" w:hAnsi="仿宋" w:eastAsia="仿宋"/>
                <w:color w:val="auto"/>
                <w:sz w:val="24"/>
                <w:highlight w:val="none"/>
              </w:rPr>
            </w:pPr>
            <w:r>
              <w:rPr>
                <w:rFonts w:hint="eastAsia" w:ascii="仿宋" w:hAnsi="仿宋" w:eastAsia="仿宋"/>
                <w:color w:val="auto"/>
                <w:sz w:val="24"/>
                <w:highlight w:val="none"/>
              </w:rPr>
              <w:t>委托代理人身份证复印件</w:t>
            </w:r>
          </w:p>
        </w:tc>
      </w:tr>
    </w:tbl>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投标人(电子签章)：</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法定代表人（电子签章）：</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身份证号码：</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联系电话：</w:t>
      </w:r>
    </w:p>
    <w:p>
      <w:pPr>
        <w:adjustRightInd w:val="0"/>
        <w:snapToGrid w:val="0"/>
        <w:spacing w:before="156" w:beforeLines="50" w:line="360" w:lineRule="auto"/>
        <w:ind w:right="420"/>
        <w:rPr>
          <w:rFonts w:hint="eastAsia" w:ascii="仿宋" w:hAnsi="仿宋" w:eastAsia="仿宋"/>
          <w:color w:val="auto"/>
          <w:sz w:val="24"/>
          <w:highlight w:val="none"/>
          <w:u w:val="single"/>
        </w:rPr>
      </w:pPr>
      <w:r>
        <w:rPr>
          <w:rFonts w:hint="eastAsia" w:ascii="仿宋" w:hAnsi="仿宋" w:eastAsia="仿宋"/>
          <w:color w:val="auto"/>
          <w:sz w:val="24"/>
          <w:highlight w:val="none"/>
        </w:rPr>
        <w:t>委托代理人（签字）：</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职务：</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身份证号码：</w:t>
      </w:r>
    </w:p>
    <w:p>
      <w:pPr>
        <w:pStyle w:val="13"/>
        <w:rPr>
          <w:rFonts w:hint="eastAsia" w:ascii="仿宋" w:hAnsi="仿宋" w:eastAsia="仿宋"/>
          <w:color w:val="auto"/>
          <w:highlight w:val="none"/>
        </w:rPr>
      </w:pPr>
      <w:r>
        <w:rPr>
          <w:rFonts w:hint="eastAsia" w:ascii="仿宋" w:hAnsi="仿宋" w:eastAsia="仿宋"/>
          <w:color w:val="auto"/>
          <w:highlight w:val="none"/>
        </w:rPr>
        <w:t>联系电话：</w:t>
      </w:r>
    </w:p>
    <w:p>
      <w:pPr>
        <w:pStyle w:val="13"/>
        <w:rPr>
          <w:rFonts w:hint="eastAsia" w:ascii="仿宋" w:hAnsi="仿宋" w:eastAsia="仿宋"/>
          <w:color w:val="auto"/>
          <w:highlight w:val="none"/>
        </w:rPr>
      </w:pP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委托代理人详细地址：</w:t>
      </w:r>
    </w:p>
    <w:p>
      <w:pPr>
        <w:adjustRightInd w:val="0"/>
        <w:snapToGrid w:val="0"/>
        <w:spacing w:before="156" w:beforeLines="50" w:line="360" w:lineRule="auto"/>
        <w:ind w:right="420"/>
        <w:rPr>
          <w:rFonts w:hint="eastAsia" w:ascii="仿宋" w:hAnsi="仿宋" w:eastAsia="仿宋"/>
          <w:color w:val="auto"/>
          <w:sz w:val="24"/>
          <w:highlight w:val="none"/>
        </w:rPr>
      </w:pPr>
      <w:r>
        <w:rPr>
          <w:rFonts w:hint="eastAsia" w:ascii="仿宋" w:hAnsi="仿宋" w:eastAsia="仿宋"/>
          <w:color w:val="auto"/>
          <w:sz w:val="24"/>
          <w:highlight w:val="none"/>
        </w:rPr>
        <w:t>　　年　月　日</w:t>
      </w:r>
    </w:p>
    <w:p>
      <w:pPr>
        <w:pStyle w:val="19"/>
        <w:spacing w:line="360" w:lineRule="auto"/>
        <w:outlineLvl w:val="2"/>
        <w:rPr>
          <w:rFonts w:hint="eastAsia" w:ascii="仿宋" w:hAnsi="仿宋" w:eastAsia="仿宋"/>
          <w:color w:val="auto"/>
          <w:sz w:val="24"/>
          <w:highlight w:val="none"/>
        </w:rPr>
      </w:pPr>
      <w:bookmarkStart w:id="306" w:name="_Toc27994_WPSOffice_Level3"/>
      <w:bookmarkStart w:id="307" w:name="_Toc12125"/>
      <w:bookmarkStart w:id="308" w:name="_Toc19591"/>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-4</w:t>
      </w:r>
      <w:r>
        <w:rPr>
          <w:rFonts w:hint="eastAsia" w:ascii="仿宋" w:hAnsi="仿宋" w:eastAsia="仿宋"/>
          <w:b/>
          <w:color w:val="auto"/>
          <w:sz w:val="28"/>
          <w:szCs w:val="28"/>
          <w:highlight w:val="none"/>
        </w:rPr>
        <w:t>：投标人基本情况表</w:t>
      </w:r>
      <w:bookmarkEnd w:id="306"/>
      <w:bookmarkEnd w:id="307"/>
      <w:bookmarkEnd w:id="308"/>
    </w:p>
    <w:p>
      <w:pPr>
        <w:spacing w:line="360" w:lineRule="auto"/>
        <w:jc w:val="center"/>
        <w:rPr>
          <w:rFonts w:hint="eastAsia" w:ascii="仿宋" w:hAnsi="仿宋" w:eastAsia="仿宋"/>
          <w:b/>
          <w:bCs/>
          <w:color w:val="auto"/>
          <w:sz w:val="28"/>
          <w:szCs w:val="28"/>
          <w:highlight w:val="none"/>
        </w:rPr>
      </w:pPr>
      <w:bookmarkStart w:id="309" w:name="_Toc21520_WPSOffice_Level3"/>
      <w:bookmarkStart w:id="310" w:name="_Toc487698207"/>
      <w:r>
        <w:rPr>
          <w:rFonts w:hint="eastAsia" w:ascii="仿宋" w:hAnsi="仿宋" w:eastAsia="仿宋"/>
          <w:b/>
          <w:bCs/>
          <w:color w:val="auto"/>
          <w:sz w:val="28"/>
          <w:szCs w:val="28"/>
          <w:highlight w:val="none"/>
        </w:rPr>
        <w:t>投标人基本情况表</w:t>
      </w:r>
      <w:bookmarkEnd w:id="309"/>
      <w:bookmarkEnd w:id="310"/>
    </w:p>
    <w:tbl>
      <w:tblPr>
        <w:tblStyle w:val="39"/>
        <w:tblW w:w="920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94"/>
        <w:gridCol w:w="1724"/>
        <w:gridCol w:w="1742"/>
        <w:gridCol w:w="1533"/>
        <w:gridCol w:w="661"/>
        <w:gridCol w:w="683"/>
        <w:gridCol w:w="116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单位名称</w:t>
            </w:r>
          </w:p>
        </w:tc>
        <w:tc>
          <w:tcPr>
            <w:tcW w:w="7508" w:type="dxa"/>
            <w:gridSpan w:val="6"/>
            <w:tcBorders>
              <w:top w:val="single" w:color="000000" w:sz="4" w:space="0"/>
              <w:left w:val="single" w:color="000000" w:sz="4" w:space="0"/>
              <w:bottom w:val="single" w:color="000000" w:sz="4" w:space="0"/>
            </w:tcBorders>
            <w:vAlign w:val="center"/>
          </w:tcPr>
          <w:p>
            <w:pP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单位地址</w:t>
            </w:r>
          </w:p>
        </w:tc>
        <w:tc>
          <w:tcPr>
            <w:tcW w:w="7508" w:type="dxa"/>
            <w:gridSpan w:val="6"/>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成立时间</w:t>
            </w:r>
          </w:p>
        </w:tc>
        <w:tc>
          <w:tcPr>
            <w:tcW w:w="7508" w:type="dxa"/>
            <w:gridSpan w:val="6"/>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单位性质</w:t>
            </w: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开户银行</w:t>
            </w:r>
          </w:p>
          <w:p>
            <w:pPr>
              <w:jc w:val="center"/>
              <w:rPr>
                <w:rFonts w:hint="eastAsia" w:ascii="仿宋" w:hAnsi="仿宋" w:eastAsia="仿宋"/>
                <w:color w:val="auto"/>
                <w:sz w:val="24"/>
                <w:highlight w:val="none"/>
              </w:rPr>
            </w:pPr>
            <w:r>
              <w:rPr>
                <w:rFonts w:hint="eastAsia" w:ascii="仿宋" w:hAnsi="仿宋" w:eastAsia="仿宋"/>
                <w:color w:val="auto"/>
                <w:sz w:val="24"/>
                <w:highlight w:val="none"/>
              </w:rPr>
              <w:t>及账号</w:t>
            </w:r>
          </w:p>
        </w:tc>
        <w:tc>
          <w:tcPr>
            <w:tcW w:w="153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3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注册资金</w:t>
            </w:r>
          </w:p>
        </w:tc>
        <w:tc>
          <w:tcPr>
            <w:tcW w:w="1165" w:type="dxa"/>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联系人</w:t>
            </w: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电话</w:t>
            </w:r>
          </w:p>
        </w:tc>
        <w:tc>
          <w:tcPr>
            <w:tcW w:w="4042" w:type="dxa"/>
            <w:gridSpan w:val="4"/>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传真</w:t>
            </w: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ascii="仿宋" w:hAnsi="仿宋" w:eastAsia="仿宋"/>
                <w:color w:val="auto"/>
                <w:sz w:val="24"/>
                <w:highlight w:val="none"/>
              </w:rPr>
              <w:t>E_mail</w:t>
            </w:r>
          </w:p>
        </w:tc>
        <w:tc>
          <w:tcPr>
            <w:tcW w:w="4042" w:type="dxa"/>
            <w:gridSpan w:val="4"/>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1030" w:hRule="atLeast"/>
          <w:jc w:val="center"/>
        </w:trPr>
        <w:tc>
          <w:tcPr>
            <w:tcW w:w="1694" w:type="dxa"/>
            <w:vMerge w:val="restart"/>
            <w:tcBorders>
              <w:top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职</w:t>
            </w: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r>
              <w:rPr>
                <w:rFonts w:hint="eastAsia" w:ascii="仿宋" w:hAnsi="仿宋" w:eastAsia="仿宋"/>
                <w:color w:val="auto"/>
                <w:sz w:val="24"/>
                <w:highlight w:val="none"/>
              </w:rPr>
              <w:t>工</w:t>
            </w: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r>
              <w:rPr>
                <w:rFonts w:hint="eastAsia" w:ascii="仿宋" w:hAnsi="仿宋" w:eastAsia="仿宋"/>
                <w:color w:val="auto"/>
                <w:sz w:val="24"/>
                <w:highlight w:val="none"/>
              </w:rPr>
              <w:t>概</w:t>
            </w: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r>
              <w:rPr>
                <w:rFonts w:hint="eastAsia" w:ascii="仿宋" w:hAnsi="仿宋" w:eastAsia="仿宋"/>
                <w:color w:val="auto"/>
                <w:sz w:val="24"/>
                <w:highlight w:val="none"/>
              </w:rPr>
              <w:t>况</w:t>
            </w:r>
          </w:p>
        </w:tc>
        <w:tc>
          <w:tcPr>
            <w:tcW w:w="1724" w:type="dxa"/>
            <w:tcBorders>
              <w:top w:val="single" w:color="000000" w:sz="4" w:space="0"/>
              <w:left w:val="single" w:color="000000" w:sz="4" w:space="0"/>
              <w:right w:val="single" w:color="000000" w:sz="4" w:space="0"/>
            </w:tcBorders>
            <w:vAlign w:val="center"/>
          </w:tcPr>
          <w:p>
            <w:pPr>
              <w:rPr>
                <w:rFonts w:hint="eastAsia" w:ascii="仿宋" w:hAnsi="仿宋" w:eastAsia="仿宋"/>
                <w:color w:val="auto"/>
                <w:sz w:val="24"/>
                <w:highlight w:val="none"/>
              </w:rPr>
            </w:pPr>
            <w:r>
              <w:rPr>
                <w:rFonts w:hint="eastAsia" w:ascii="仿宋" w:hAnsi="仿宋" w:eastAsia="仿宋"/>
                <w:color w:val="auto"/>
                <w:sz w:val="24"/>
                <w:highlight w:val="none"/>
              </w:rPr>
              <w:t>职工总数：</w:t>
            </w:r>
          </w:p>
        </w:tc>
        <w:tc>
          <w:tcPr>
            <w:tcW w:w="1742" w:type="dxa"/>
            <w:tcBorders>
              <w:top w:val="single" w:color="000000" w:sz="4" w:space="0"/>
              <w:left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ascii="仿宋" w:hAnsi="仿宋" w:eastAsia="仿宋"/>
                <w:bCs/>
                <w:color w:val="auto"/>
                <w:sz w:val="24"/>
                <w:highlight w:val="none"/>
              </w:rPr>
              <w:t>_____</w:t>
            </w:r>
            <w:r>
              <w:rPr>
                <w:rFonts w:hint="eastAsia" w:ascii="仿宋" w:hAnsi="仿宋" w:eastAsia="仿宋"/>
                <w:color w:val="auto"/>
                <w:sz w:val="24"/>
                <w:highlight w:val="none"/>
              </w:rPr>
              <w:t>人</w:t>
            </w:r>
          </w:p>
        </w:tc>
        <w:tc>
          <w:tcPr>
            <w:tcW w:w="2194" w:type="dxa"/>
            <w:gridSpan w:val="2"/>
            <w:tcBorders>
              <w:top w:val="single" w:color="000000" w:sz="4" w:space="0"/>
              <w:left w:val="single" w:color="000000" w:sz="4" w:space="0"/>
              <w:right w:val="single" w:color="000000" w:sz="4" w:space="0"/>
            </w:tcBorders>
            <w:vAlign w:val="center"/>
          </w:tcPr>
          <w:p>
            <w:pPr>
              <w:rPr>
                <w:rFonts w:hint="eastAsia" w:ascii="仿宋" w:hAnsi="仿宋" w:eastAsia="仿宋"/>
                <w:color w:val="auto"/>
                <w:sz w:val="24"/>
                <w:highlight w:val="none"/>
              </w:rPr>
            </w:pPr>
            <w:r>
              <w:rPr>
                <w:rFonts w:hint="eastAsia" w:ascii="仿宋" w:hAnsi="仿宋" w:eastAsia="仿宋"/>
                <w:color w:val="auto"/>
                <w:sz w:val="24"/>
                <w:highlight w:val="none"/>
              </w:rPr>
              <w:t>其中：技术人员</w:t>
            </w:r>
          </w:p>
        </w:tc>
        <w:tc>
          <w:tcPr>
            <w:tcW w:w="1848" w:type="dxa"/>
            <w:gridSpan w:val="2"/>
            <w:tcBorders>
              <w:top w:val="single" w:color="000000" w:sz="4" w:space="0"/>
              <w:left w:val="single" w:color="000000" w:sz="4" w:space="0"/>
            </w:tcBorders>
            <w:vAlign w:val="center"/>
          </w:tcPr>
          <w:p>
            <w:pPr>
              <w:jc w:val="center"/>
              <w:rPr>
                <w:rFonts w:hint="eastAsia" w:ascii="仿宋" w:hAnsi="仿宋" w:eastAsia="仿宋"/>
                <w:color w:val="auto"/>
                <w:sz w:val="24"/>
                <w:highlight w:val="none"/>
              </w:rPr>
            </w:pPr>
            <w:r>
              <w:rPr>
                <w:rFonts w:ascii="仿宋" w:hAnsi="仿宋" w:eastAsia="仿宋"/>
                <w:bCs/>
                <w:color w:val="auto"/>
                <w:sz w:val="24"/>
                <w:highlight w:val="none"/>
              </w:rPr>
              <w:t>_____</w:t>
            </w:r>
            <w:r>
              <w:rPr>
                <w:rFonts w:hint="eastAsia" w:ascii="仿宋" w:hAnsi="仿宋" w:eastAsia="仿宋"/>
                <w:color w:val="auto"/>
                <w:sz w:val="24"/>
                <w:highlight w:val="none"/>
              </w:rPr>
              <w:t>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vMerge w:val="continue"/>
            <w:tcBorders>
              <w:top w:val="single" w:color="000000" w:sz="4" w:space="0"/>
              <w:bottom w:val="single" w:color="000000" w:sz="4" w:space="0"/>
              <w:right w:val="single" w:color="000000" w:sz="4" w:space="0"/>
            </w:tcBorders>
            <w:vAlign w:val="center"/>
          </w:tcPr>
          <w:p>
            <w:pPr>
              <w:widowControl/>
              <w:jc w:val="center"/>
              <w:rPr>
                <w:rFonts w:hint="eastAsia" w:ascii="仿宋" w:hAnsi="仿宋" w:eastAsia="仿宋"/>
                <w:color w:val="auto"/>
                <w:sz w:val="24"/>
                <w:highlight w:val="none"/>
              </w:rPr>
            </w:pPr>
          </w:p>
        </w:tc>
        <w:tc>
          <w:tcPr>
            <w:tcW w:w="7508" w:type="dxa"/>
            <w:gridSpan w:val="6"/>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单位行政和技术负责人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vMerge w:val="continue"/>
            <w:tcBorders>
              <w:top w:val="single" w:color="000000" w:sz="4" w:space="0"/>
              <w:bottom w:val="single" w:color="000000" w:sz="4" w:space="0"/>
              <w:right w:val="single" w:color="000000" w:sz="4" w:space="0"/>
            </w:tcBorders>
            <w:vAlign w:val="center"/>
          </w:tcPr>
          <w:p>
            <w:pPr>
              <w:widowControl/>
              <w:jc w:val="center"/>
              <w:rPr>
                <w:rFonts w:hint="eastAsia" w:ascii="仿宋" w:hAnsi="仿宋" w:eastAsia="仿宋"/>
                <w:color w:val="auto"/>
                <w:sz w:val="24"/>
                <w:highlight w:val="none"/>
              </w:rPr>
            </w:pP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姓名</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职务及职称</w:t>
            </w:r>
          </w:p>
        </w:tc>
        <w:tc>
          <w:tcPr>
            <w:tcW w:w="219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年龄</w:t>
            </w:r>
          </w:p>
        </w:tc>
        <w:tc>
          <w:tcPr>
            <w:tcW w:w="1848" w:type="dxa"/>
            <w:gridSpan w:val="2"/>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r>
              <w:rPr>
                <w:rFonts w:hint="eastAsia" w:ascii="仿宋" w:hAnsi="仿宋" w:eastAsia="仿宋"/>
                <w:color w:val="auto"/>
                <w:sz w:val="24"/>
                <w:highlight w:val="none"/>
              </w:rPr>
              <w:t>专业</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vMerge w:val="continue"/>
            <w:tcBorders>
              <w:top w:val="single" w:color="000000" w:sz="4" w:space="0"/>
              <w:bottom w:val="single" w:color="000000" w:sz="4" w:space="0"/>
              <w:right w:val="single" w:color="000000" w:sz="4" w:space="0"/>
            </w:tcBorders>
            <w:vAlign w:val="center"/>
          </w:tcPr>
          <w:p>
            <w:pPr>
              <w:widowControl/>
              <w:jc w:val="center"/>
              <w:rPr>
                <w:rFonts w:hint="eastAsia" w:ascii="仿宋" w:hAnsi="仿宋" w:eastAsia="仿宋"/>
                <w:color w:val="auto"/>
                <w:sz w:val="24"/>
                <w:highlight w:val="none"/>
              </w:rPr>
            </w:pP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219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848" w:type="dxa"/>
            <w:gridSpan w:val="2"/>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694" w:type="dxa"/>
            <w:vMerge w:val="continue"/>
            <w:tcBorders>
              <w:top w:val="single" w:color="000000" w:sz="4" w:space="0"/>
              <w:bottom w:val="single" w:color="000000" w:sz="4" w:space="0"/>
              <w:right w:val="single" w:color="000000" w:sz="4" w:space="0"/>
            </w:tcBorders>
            <w:vAlign w:val="center"/>
          </w:tcPr>
          <w:p>
            <w:pPr>
              <w:widowControl/>
              <w:jc w:val="center"/>
              <w:rPr>
                <w:rFonts w:hint="eastAsia" w:ascii="仿宋" w:hAnsi="仿宋" w:eastAsia="仿宋"/>
                <w:color w:val="auto"/>
                <w:sz w:val="24"/>
                <w:highlight w:val="none"/>
              </w:rPr>
            </w:pPr>
          </w:p>
        </w:tc>
        <w:tc>
          <w:tcPr>
            <w:tcW w:w="17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219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olor w:val="auto"/>
                <w:sz w:val="24"/>
                <w:highlight w:val="none"/>
              </w:rPr>
            </w:pPr>
          </w:p>
        </w:tc>
        <w:tc>
          <w:tcPr>
            <w:tcW w:w="1848" w:type="dxa"/>
            <w:gridSpan w:val="2"/>
            <w:tcBorders>
              <w:top w:val="single" w:color="000000" w:sz="4" w:space="0"/>
              <w:left w:val="single" w:color="000000" w:sz="4" w:space="0"/>
              <w:bottom w:val="single" w:color="000000" w:sz="4" w:space="0"/>
            </w:tcBorders>
            <w:vAlign w:val="center"/>
          </w:tcPr>
          <w:p>
            <w:pPr>
              <w:jc w:val="center"/>
              <w:rPr>
                <w:rFonts w:hint="eastAsia" w:ascii="仿宋" w:hAnsi="仿宋" w:eastAsia="仿宋"/>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202" w:type="dxa"/>
            <w:gridSpan w:val="7"/>
            <w:tcBorders>
              <w:top w:val="single" w:color="auto" w:sz="4" w:space="0"/>
              <w:bottom w:val="single" w:color="auto" w:sz="4" w:space="0"/>
            </w:tcBorders>
            <w:vAlign w:val="center"/>
          </w:tcPr>
          <w:p>
            <w:pPr>
              <w:ind w:firstLine="240" w:firstLineChars="100"/>
              <w:rPr>
                <w:rFonts w:hint="eastAsia" w:ascii="仿宋" w:hAnsi="仿宋" w:eastAsia="仿宋"/>
                <w:color w:val="auto"/>
                <w:sz w:val="24"/>
                <w:highlight w:val="none"/>
              </w:rPr>
            </w:pPr>
            <w:r>
              <w:rPr>
                <w:rFonts w:hint="eastAsia" w:ascii="仿宋" w:hAnsi="仿宋" w:eastAsia="仿宋"/>
                <w:color w:val="auto"/>
                <w:sz w:val="24"/>
                <w:highlight w:val="none"/>
              </w:rPr>
              <w:t>单位概况：</w:t>
            </w: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p>
          <w:p>
            <w:pPr>
              <w:jc w:val="center"/>
              <w:rPr>
                <w:rFonts w:hint="eastAsia" w:ascii="仿宋" w:hAnsi="仿宋" w:eastAsia="仿宋"/>
                <w:color w:val="auto"/>
                <w:sz w:val="24"/>
                <w:highlight w:val="none"/>
              </w:rPr>
            </w:pPr>
          </w:p>
        </w:tc>
      </w:tr>
    </w:tbl>
    <w:p>
      <w:pPr>
        <w:widowControl/>
        <w:spacing w:line="360" w:lineRule="auto"/>
        <w:rPr>
          <w:rFonts w:hint="eastAsia" w:ascii="仿宋" w:hAnsi="仿宋" w:eastAsia="仿宋"/>
          <w:color w:val="auto"/>
          <w:sz w:val="24"/>
          <w:highlight w:val="none"/>
        </w:rPr>
      </w:pPr>
    </w:p>
    <w:p>
      <w:pPr>
        <w:widowControl/>
        <w:spacing w:line="360" w:lineRule="auto"/>
        <w:rPr>
          <w:rFonts w:hint="eastAsia" w:ascii="仿宋" w:hAnsi="仿宋" w:eastAsia="仿宋"/>
          <w:color w:val="auto"/>
          <w:sz w:val="24"/>
          <w:highlight w:val="none"/>
        </w:rPr>
      </w:pPr>
    </w:p>
    <w:p>
      <w:pPr>
        <w:ind w:firstLine="422"/>
        <w:rPr>
          <w:rFonts w:hint="eastAsia" w:ascii="仿宋" w:hAnsi="仿宋" w:eastAsia="仿宋"/>
          <w:color w:val="auto"/>
          <w:sz w:val="24"/>
          <w:highlight w:val="none"/>
        </w:rPr>
      </w:pPr>
      <w:r>
        <w:rPr>
          <w:rFonts w:hint="eastAsia" w:ascii="仿宋" w:hAnsi="仿宋" w:eastAsia="仿宋"/>
          <w:color w:val="auto"/>
          <w:sz w:val="24"/>
          <w:highlight w:val="none"/>
        </w:rPr>
        <w:t>投标人(电子签章)：</w:t>
      </w:r>
    </w:p>
    <w:p>
      <w:pPr>
        <w:ind w:firstLine="422"/>
        <w:rPr>
          <w:rFonts w:hint="eastAsia" w:ascii="仿宋" w:hAnsi="仿宋" w:eastAsia="仿宋"/>
          <w:color w:val="auto"/>
          <w:sz w:val="24"/>
          <w:highlight w:val="none"/>
        </w:rPr>
      </w:pPr>
    </w:p>
    <w:p>
      <w:pPr>
        <w:ind w:firstLine="422"/>
        <w:rPr>
          <w:rFonts w:hint="eastAsia" w:ascii="仿宋" w:hAnsi="仿宋" w:eastAsia="仿宋"/>
          <w:color w:val="auto"/>
          <w:sz w:val="24"/>
          <w:highlight w:val="none"/>
        </w:rPr>
      </w:pPr>
      <w:r>
        <w:rPr>
          <w:rFonts w:hint="eastAsia" w:ascii="仿宋" w:hAnsi="仿宋" w:eastAsia="仿宋"/>
          <w:color w:val="auto"/>
          <w:sz w:val="24"/>
          <w:highlight w:val="none"/>
        </w:rPr>
        <w:t>法定代表人(电子签章)或授权代理人(签字)：</w:t>
      </w:r>
    </w:p>
    <w:p>
      <w:pPr>
        <w:ind w:firstLine="422"/>
        <w:rPr>
          <w:rFonts w:hint="eastAsia" w:ascii="仿宋" w:hAnsi="仿宋" w:eastAsia="仿宋"/>
          <w:b/>
          <w:bCs/>
          <w:color w:val="auto"/>
          <w:sz w:val="24"/>
          <w:highlight w:val="none"/>
        </w:rPr>
      </w:pPr>
    </w:p>
    <w:p>
      <w:pPr>
        <w:ind w:firstLine="422"/>
        <w:rPr>
          <w:rFonts w:hint="eastAsia" w:ascii="仿宋" w:hAnsi="仿宋" w:eastAsia="仿宋"/>
          <w:bCs/>
          <w:color w:val="auto"/>
          <w:sz w:val="24"/>
          <w:highlight w:val="none"/>
        </w:rPr>
      </w:pPr>
      <w:r>
        <w:rPr>
          <w:rFonts w:hint="eastAsia" w:ascii="仿宋" w:hAnsi="仿宋" w:eastAsia="仿宋"/>
          <w:bCs/>
          <w:color w:val="auto"/>
          <w:sz w:val="24"/>
          <w:highlight w:val="none"/>
        </w:rPr>
        <w:t>日期：</w:t>
      </w:r>
      <w:r>
        <w:rPr>
          <w:rFonts w:ascii="仿宋" w:hAnsi="仿宋" w:eastAsia="仿宋"/>
          <w:bCs/>
          <w:color w:val="auto"/>
          <w:sz w:val="24"/>
          <w:highlight w:val="none"/>
        </w:rPr>
        <w:t xml:space="preserve">_____________________ </w:t>
      </w:r>
    </w:p>
    <w:p>
      <w:pPr>
        <w:rPr>
          <w:rFonts w:hint="eastAsia" w:ascii="仿宋" w:hAnsi="仿宋" w:eastAsia="仿宋"/>
          <w:color w:val="auto"/>
          <w:sz w:val="24"/>
          <w:highlight w:val="none"/>
        </w:rPr>
      </w:pPr>
    </w:p>
    <w:p>
      <w:pPr>
        <w:pStyle w:val="19"/>
        <w:spacing w:line="360" w:lineRule="auto"/>
        <w:rPr>
          <w:rFonts w:hint="eastAsia" w:ascii="仿宋" w:hAnsi="仿宋" w:eastAsia="仿宋"/>
          <w:color w:val="auto"/>
          <w:sz w:val="24"/>
          <w:szCs w:val="24"/>
          <w:highlight w:val="none"/>
        </w:rPr>
      </w:pPr>
      <w:r>
        <w:rPr>
          <w:rFonts w:ascii="仿宋" w:hAnsi="仿宋" w:eastAsia="仿宋"/>
          <w:color w:val="auto"/>
          <w:sz w:val="24"/>
          <w:szCs w:val="24"/>
          <w:highlight w:val="none"/>
        </w:rPr>
        <w:br w:type="page"/>
      </w:r>
    </w:p>
    <w:p>
      <w:pPr>
        <w:spacing w:line="360" w:lineRule="auto"/>
        <w:outlineLvl w:val="2"/>
        <w:rPr>
          <w:rFonts w:hint="eastAsia" w:ascii="仿宋" w:hAnsi="仿宋" w:eastAsia="仿宋"/>
          <w:b/>
          <w:color w:val="auto"/>
          <w:sz w:val="28"/>
          <w:szCs w:val="28"/>
          <w:highlight w:val="none"/>
        </w:rPr>
      </w:pPr>
      <w:bookmarkStart w:id="311" w:name="_Toc17693"/>
      <w:bookmarkStart w:id="312" w:name="_Toc28668_WPSOffice_Level3"/>
      <w:bookmarkStart w:id="313" w:name="_Toc13871"/>
      <w:bookmarkStart w:id="314" w:name="_Toc417657282"/>
      <w:bookmarkStart w:id="315" w:name="_Toc417475050"/>
      <w:bookmarkStart w:id="316" w:name="_Toc417475049"/>
      <w:bookmarkStart w:id="317" w:name="_Toc409775275"/>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-5</w:t>
      </w:r>
      <w:r>
        <w:rPr>
          <w:rFonts w:hint="eastAsia" w:ascii="仿宋" w:hAnsi="仿宋" w:eastAsia="仿宋"/>
          <w:b/>
          <w:color w:val="auto"/>
          <w:sz w:val="28"/>
          <w:szCs w:val="28"/>
          <w:highlight w:val="none"/>
        </w:rPr>
        <w:t>：投标人特定资格条件</w:t>
      </w:r>
      <w:bookmarkEnd w:id="311"/>
    </w:p>
    <w:p>
      <w:pPr>
        <w:bidi w:val="0"/>
        <w:rPr>
          <w:rFonts w:hint="eastAsia"/>
          <w:color w:val="auto"/>
          <w:highlight w:val="none"/>
        </w:rPr>
      </w:pPr>
    </w:p>
    <w:p>
      <w:pPr>
        <w:spacing w:line="360" w:lineRule="auto"/>
        <w:outlineLvl w:val="2"/>
        <w:rPr>
          <w:rFonts w:hint="eastAsia" w:ascii="仿宋" w:hAnsi="仿宋" w:eastAsia="仿宋"/>
          <w:b/>
          <w:color w:val="auto"/>
          <w:sz w:val="28"/>
          <w:szCs w:val="28"/>
          <w:highlight w:val="none"/>
        </w:rPr>
      </w:pPr>
      <w:bookmarkStart w:id="318" w:name="_Toc17306"/>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w:t>
      </w:r>
      <w:r>
        <w:rPr>
          <w:rFonts w:hint="eastAsia" w:ascii="仿宋" w:hAnsi="仿宋" w:eastAsia="仿宋"/>
          <w:b/>
          <w:color w:val="auto"/>
          <w:sz w:val="28"/>
          <w:szCs w:val="28"/>
          <w:highlight w:val="none"/>
        </w:rPr>
        <w:t>6：投标人近期财务状况报告</w:t>
      </w:r>
      <w:bookmarkEnd w:id="312"/>
      <w:bookmarkEnd w:id="313"/>
      <w:bookmarkEnd w:id="318"/>
    </w:p>
    <w:p>
      <w:pPr>
        <w:pStyle w:val="13"/>
        <w:rPr>
          <w:color w:val="auto"/>
          <w:highlight w:val="none"/>
        </w:rPr>
      </w:pPr>
    </w:p>
    <w:p>
      <w:pPr>
        <w:spacing w:line="360" w:lineRule="auto"/>
        <w:outlineLvl w:val="2"/>
        <w:rPr>
          <w:rFonts w:hint="eastAsia" w:ascii="仿宋" w:hAnsi="仿宋" w:eastAsia="仿宋"/>
          <w:b/>
          <w:color w:val="auto"/>
          <w:sz w:val="28"/>
          <w:szCs w:val="28"/>
          <w:highlight w:val="none"/>
        </w:rPr>
      </w:pPr>
      <w:bookmarkStart w:id="319" w:name="_Toc10641"/>
      <w:bookmarkStart w:id="320" w:name="_Toc32283"/>
      <w:bookmarkStart w:id="321" w:name="_Toc4165_WPSOffice_Level3"/>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w:t>
      </w:r>
      <w:r>
        <w:rPr>
          <w:rFonts w:hint="eastAsia" w:ascii="仿宋" w:hAnsi="仿宋" w:eastAsia="仿宋"/>
          <w:b/>
          <w:color w:val="auto"/>
          <w:sz w:val="28"/>
          <w:szCs w:val="28"/>
          <w:highlight w:val="none"/>
        </w:rPr>
        <w:t>7：投标人缴纳税收证明材料</w:t>
      </w:r>
      <w:bookmarkEnd w:id="319"/>
    </w:p>
    <w:bookmarkEnd w:id="320"/>
    <w:bookmarkEnd w:id="321"/>
    <w:p>
      <w:pPr>
        <w:pStyle w:val="13"/>
        <w:rPr>
          <w:color w:val="auto"/>
          <w:highlight w:val="none"/>
        </w:rPr>
      </w:pPr>
    </w:p>
    <w:p>
      <w:pPr>
        <w:spacing w:line="360" w:lineRule="auto"/>
        <w:outlineLvl w:val="2"/>
        <w:rPr>
          <w:rFonts w:hint="eastAsia" w:ascii="仿宋" w:hAnsi="仿宋" w:eastAsia="仿宋"/>
          <w:b/>
          <w:color w:val="auto"/>
          <w:sz w:val="28"/>
          <w:szCs w:val="28"/>
          <w:highlight w:val="none"/>
        </w:rPr>
      </w:pPr>
      <w:bookmarkStart w:id="322" w:name="_Toc26286_WPSOffice_Level3"/>
      <w:bookmarkStart w:id="323" w:name="_Toc417"/>
      <w:bookmarkStart w:id="324" w:name="_Toc17620"/>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w:t>
      </w:r>
      <w:r>
        <w:rPr>
          <w:rFonts w:hint="eastAsia" w:ascii="仿宋" w:hAnsi="仿宋" w:eastAsia="仿宋"/>
          <w:b/>
          <w:color w:val="auto"/>
          <w:sz w:val="28"/>
          <w:szCs w:val="28"/>
          <w:highlight w:val="none"/>
        </w:rPr>
        <w:t>8：</w:t>
      </w:r>
      <w:bookmarkEnd w:id="322"/>
      <w:bookmarkEnd w:id="323"/>
      <w:r>
        <w:rPr>
          <w:rFonts w:hint="eastAsia" w:ascii="仿宋" w:hAnsi="仿宋" w:eastAsia="仿宋"/>
          <w:b/>
          <w:color w:val="auto"/>
          <w:sz w:val="28"/>
          <w:szCs w:val="28"/>
          <w:highlight w:val="none"/>
        </w:rPr>
        <w:t>投标人缴纳社保证明材料</w:t>
      </w:r>
      <w:bookmarkEnd w:id="324"/>
    </w:p>
    <w:p>
      <w:pPr>
        <w:pStyle w:val="13"/>
        <w:rPr>
          <w:color w:val="auto"/>
          <w:highlight w:val="none"/>
        </w:rPr>
      </w:pPr>
    </w:p>
    <w:p>
      <w:pPr>
        <w:adjustRightInd w:val="0"/>
        <w:snapToGrid w:val="0"/>
        <w:spacing w:line="400" w:lineRule="exact"/>
        <w:outlineLvl w:val="2"/>
        <w:rPr>
          <w:rFonts w:hint="eastAsia" w:ascii="仿宋" w:hAnsi="仿宋" w:eastAsia="仿宋"/>
          <w:b/>
          <w:color w:val="auto"/>
          <w:sz w:val="28"/>
          <w:szCs w:val="28"/>
          <w:highlight w:val="none"/>
        </w:rPr>
      </w:pPr>
      <w:bookmarkStart w:id="325" w:name="_Toc21468"/>
      <w:bookmarkStart w:id="326" w:name="_Toc17236_WPSOffice_Level3"/>
      <w:bookmarkStart w:id="327" w:name="_Toc30535"/>
      <w:r>
        <w:rPr>
          <w:rFonts w:hint="eastAsia" w:ascii="仿宋" w:hAnsi="仿宋" w:eastAsia="仿宋"/>
          <w:b/>
          <w:color w:val="auto"/>
          <w:sz w:val="28"/>
          <w:szCs w:val="28"/>
          <w:highlight w:val="none"/>
        </w:rPr>
        <w:t>格式7</w:t>
      </w:r>
      <w:r>
        <w:rPr>
          <w:rFonts w:ascii="仿宋" w:hAnsi="仿宋" w:eastAsia="仿宋"/>
          <w:b/>
          <w:color w:val="auto"/>
          <w:sz w:val="28"/>
          <w:szCs w:val="28"/>
          <w:highlight w:val="none"/>
        </w:rPr>
        <w:t>-</w:t>
      </w:r>
      <w:r>
        <w:rPr>
          <w:rFonts w:hint="eastAsia" w:ascii="仿宋" w:hAnsi="仿宋" w:eastAsia="仿宋"/>
          <w:b/>
          <w:color w:val="auto"/>
          <w:sz w:val="28"/>
          <w:szCs w:val="28"/>
          <w:highlight w:val="none"/>
        </w:rPr>
        <w:t>9：参加政府采购活动前三年内在经营活动中没有重大违法记录的书面声明</w:t>
      </w:r>
      <w:bookmarkEnd w:id="325"/>
      <w:bookmarkEnd w:id="326"/>
      <w:bookmarkEnd w:id="327"/>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（采购人名称）</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u w:val="single"/>
        </w:rPr>
        <w:t>（投标人名称）</w:t>
      </w:r>
      <w:r>
        <w:rPr>
          <w:rFonts w:hint="eastAsia" w:ascii="仿宋" w:hAnsi="仿宋" w:eastAsia="仿宋" w:cstheme="minorEastAsia"/>
          <w:color w:val="auto"/>
          <w:sz w:val="28"/>
          <w:szCs w:val="28"/>
          <w:highlight w:val="none"/>
        </w:rPr>
        <w:t>在此声明，我方在参加本次政府采购活动前三年内，在经营活动中没有以下重大违法记录：</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1. 我方因违法经营被追究过刑事责任；</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2. 我方因违法经营被责令停产停业、吊销许可证或者执照；</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3. 我方因违法经营被处以较大数额罚款等行政处罚；</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4. 我方在近三年承接的项目中，无违法记录，不存在重大质量问题、重大安全事故。我方在投标期间没有处于被责令停业、或财产被接管或冻结、或被暂停参加投标活动的处罚阶段；</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5. 我方保证上述信息的完整、客观、真实、准确，若在本项目的招标投标的全过程中，被查实我方提供的资料及上述承诺不属实，或提供的相关资料不属实或不满足投标文件的要求，我方愿意自动放弃投标资格，且我方将自愿无条件承担我方因提供虚假材料谋骗取中标、成交所引起的一切法律后果(包括经济损失)。</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特此声明！</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投标人(电子签章)：</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法定代表人(电子签章)或授权代理人(签字)：</w:t>
      </w:r>
    </w:p>
    <w:p>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540" w:lineRule="exact"/>
        <w:ind w:firstLine="560" w:firstLineChars="200"/>
        <w:textAlignment w:val="baseline"/>
        <w:rPr>
          <w:rFonts w:hint="eastAsia" w:ascii="仿宋" w:hAnsi="仿宋" w:eastAsia="仿宋" w:cstheme="minorEastAsia"/>
          <w:color w:val="auto"/>
          <w:sz w:val="28"/>
          <w:szCs w:val="28"/>
          <w:highlight w:val="none"/>
        </w:rPr>
      </w:pPr>
      <w:r>
        <w:rPr>
          <w:rFonts w:hint="eastAsia" w:ascii="仿宋" w:hAnsi="仿宋" w:eastAsia="仿宋" w:cstheme="minorEastAsia"/>
          <w:color w:val="auto"/>
          <w:sz w:val="28"/>
          <w:szCs w:val="28"/>
          <w:highlight w:val="none"/>
        </w:rPr>
        <w:t>投标日期：　年　月　日</w:t>
      </w:r>
    </w:p>
    <w:bookmarkEnd w:id="314"/>
    <w:bookmarkEnd w:id="315"/>
    <w:bookmarkEnd w:id="316"/>
    <w:bookmarkEnd w:id="317"/>
    <w:p>
      <w:pPr>
        <w:widowControl/>
        <w:jc w:val="left"/>
        <w:outlineLvl w:val="2"/>
        <w:rPr>
          <w:rFonts w:hint="eastAsia" w:ascii="仿宋" w:hAnsi="仿宋" w:eastAsia="仿宋"/>
          <w:b/>
          <w:color w:val="auto"/>
          <w:sz w:val="28"/>
          <w:szCs w:val="28"/>
          <w:highlight w:val="none"/>
        </w:rPr>
      </w:pPr>
      <w:bookmarkStart w:id="328" w:name="_Toc25646"/>
      <w:bookmarkStart w:id="329" w:name="_Toc22602"/>
      <w:bookmarkStart w:id="330" w:name="_Toc20526"/>
      <w:bookmarkStart w:id="331" w:name="_Toc15032"/>
      <w:bookmarkStart w:id="332" w:name="_Toc417657284"/>
      <w:bookmarkStart w:id="333" w:name="_Toc15539_WPSOffice_Level3"/>
      <w:bookmarkStart w:id="334" w:name="_Toc60996694"/>
      <w:bookmarkStart w:id="335" w:name="_Toc417475051"/>
      <w:bookmarkStart w:id="336" w:name="_Toc9163"/>
      <w:r>
        <w:rPr>
          <w:rFonts w:hint="eastAsia" w:ascii="仿宋" w:hAnsi="仿宋" w:eastAsia="仿宋"/>
          <w:b/>
          <w:color w:val="auto"/>
          <w:sz w:val="28"/>
          <w:szCs w:val="28"/>
          <w:highlight w:val="none"/>
        </w:rPr>
        <w:t>格式7-10：投标人关于“信用中国”的承诺函</w:t>
      </w:r>
      <w:bookmarkEnd w:id="328"/>
      <w:bookmarkEnd w:id="329"/>
      <w:bookmarkEnd w:id="330"/>
      <w:bookmarkEnd w:id="331"/>
    </w:p>
    <w:p>
      <w:pPr>
        <w:wordWrap w:val="0"/>
        <w:ind w:firstLine="560" w:firstLineChars="200"/>
        <w:rPr>
          <w:rFonts w:hint="eastAsia" w:ascii="方正仿宋_GBK" w:hAnsi="方正仿宋_GBK" w:eastAsia="方正仿宋_GBK" w:cs="方正仿宋_GBK"/>
          <w:color w:val="auto"/>
          <w:sz w:val="28"/>
          <w:szCs w:val="28"/>
          <w:highlight w:val="none"/>
        </w:rPr>
      </w:pPr>
      <w:bookmarkStart w:id="337" w:name="_Toc19399"/>
      <w:r>
        <w:rPr>
          <w:rFonts w:hint="eastAsia" w:ascii="方正仿宋_GBK" w:hAnsi="方正仿宋_GBK" w:eastAsia="方正仿宋_GBK" w:cs="方正仿宋_GBK"/>
          <w:color w:val="auto"/>
          <w:sz w:val="28"/>
          <w:szCs w:val="28"/>
          <w:highlight w:val="none"/>
        </w:rPr>
        <w:t>投标人在投标截止时间前未被列入“信用中国”网站（www.creditchina.gov.cn）失信被执行人、重大税收违法案件当事人名单、政府采购严重违法失信行为记录名单的承诺函并加盖公章</w:t>
      </w:r>
      <w:bookmarkEnd w:id="337"/>
      <w:r>
        <w:rPr>
          <w:rFonts w:hint="eastAsia" w:ascii="方正仿宋_GBK" w:hAnsi="方正仿宋_GBK" w:eastAsia="方正仿宋_GBK" w:cs="方正仿宋_GBK"/>
          <w:color w:val="auto"/>
          <w:sz w:val="28"/>
          <w:szCs w:val="28"/>
          <w:highlight w:val="none"/>
        </w:rPr>
        <w:t>。</w:t>
      </w:r>
    </w:p>
    <w:p>
      <w:pPr>
        <w:bidi w:val="0"/>
        <w:rPr>
          <w:rFonts w:hint="eastAsia"/>
          <w:color w:val="auto"/>
          <w:highlight w:val="none"/>
        </w:rPr>
      </w:pPr>
    </w:p>
    <w:p>
      <w:pPr>
        <w:pStyle w:val="13"/>
        <w:rPr>
          <w:rFonts w:hint="eastAsia"/>
          <w:color w:val="auto"/>
          <w:highlight w:val="none"/>
        </w:rPr>
      </w:pPr>
    </w:p>
    <w:p>
      <w:pPr>
        <w:pStyle w:val="4"/>
        <w:spacing w:before="0" w:line="240" w:lineRule="atLeast"/>
        <w:ind w:left="0" w:firstLine="562" w:firstLineChars="200"/>
        <w:rPr>
          <w:rFonts w:hint="eastAsia" w:ascii="仿宋" w:hAnsi="仿宋" w:eastAsia="仿宋"/>
          <w:color w:val="auto"/>
          <w:highlight w:val="none"/>
        </w:rPr>
      </w:pPr>
      <w:bookmarkStart w:id="338" w:name="_Toc20914"/>
      <w:bookmarkStart w:id="339" w:name="_Toc15847"/>
      <w:r>
        <w:rPr>
          <w:rFonts w:hint="eastAsia" w:ascii="仿宋" w:hAnsi="仿宋" w:eastAsia="仿宋"/>
          <w:color w:val="auto"/>
          <w:szCs w:val="28"/>
          <w:highlight w:val="none"/>
        </w:rPr>
        <w:t>格式8：构成投标文件的其他资料</w:t>
      </w:r>
      <w:bookmarkEnd w:id="332"/>
      <w:bookmarkEnd w:id="333"/>
      <w:bookmarkEnd w:id="334"/>
      <w:bookmarkEnd w:id="335"/>
      <w:bookmarkEnd w:id="336"/>
      <w:bookmarkEnd w:id="338"/>
      <w:bookmarkEnd w:id="339"/>
      <w:bookmarkStart w:id="340" w:name="_Toc446063427"/>
      <w:bookmarkStart w:id="341" w:name="_Toc444762287"/>
    </w:p>
    <w:bookmarkEnd w:id="340"/>
    <w:bookmarkEnd w:id="341"/>
    <w:p>
      <w:pPr>
        <w:widowControl/>
        <w:jc w:val="left"/>
        <w:outlineLvl w:val="2"/>
        <w:rPr>
          <w:rFonts w:hint="eastAsia" w:ascii="仿宋" w:hAnsi="仿宋" w:eastAsia="仿宋"/>
          <w:b/>
          <w:color w:val="auto"/>
          <w:sz w:val="28"/>
          <w:szCs w:val="28"/>
          <w:highlight w:val="none"/>
        </w:rPr>
      </w:pPr>
      <w:bookmarkStart w:id="342" w:name="_Toc21966_WPSOffice_Level3"/>
      <w:bookmarkStart w:id="343" w:name="_Toc8320"/>
      <w:bookmarkStart w:id="344" w:name="_Toc15753"/>
      <w:bookmarkStart w:id="345" w:name="_Toc28641"/>
      <w:r>
        <w:rPr>
          <w:rFonts w:hint="eastAsia" w:ascii="仿宋" w:hAnsi="仿宋" w:eastAsia="仿宋"/>
          <w:b/>
          <w:color w:val="auto"/>
          <w:sz w:val="28"/>
          <w:szCs w:val="28"/>
          <w:highlight w:val="none"/>
        </w:rPr>
        <w:t>格式8</w:t>
      </w:r>
      <w:r>
        <w:rPr>
          <w:rFonts w:ascii="仿宋" w:hAnsi="仿宋" w:eastAsia="仿宋"/>
          <w:b/>
          <w:color w:val="auto"/>
          <w:sz w:val="28"/>
          <w:szCs w:val="28"/>
          <w:highlight w:val="none"/>
        </w:rPr>
        <w:t>-1</w:t>
      </w:r>
      <w:r>
        <w:rPr>
          <w:rFonts w:hint="eastAsia" w:ascii="仿宋" w:hAnsi="仿宋" w:eastAsia="仿宋"/>
          <w:b/>
          <w:color w:val="auto"/>
          <w:sz w:val="28"/>
          <w:szCs w:val="28"/>
          <w:highlight w:val="none"/>
        </w:rPr>
        <w:t>：中小企业声明函</w:t>
      </w:r>
      <w:bookmarkEnd w:id="342"/>
      <w:bookmarkEnd w:id="343"/>
      <w:bookmarkEnd w:id="344"/>
      <w:bookmarkEnd w:id="345"/>
    </w:p>
    <w:p>
      <w:pPr>
        <w:widowControl/>
        <w:jc w:val="center"/>
        <w:rPr>
          <w:rFonts w:hint="eastAsia" w:ascii="仿宋" w:hAnsi="仿宋" w:eastAsia="仿宋" w:cstheme="minorEastAsia"/>
          <w:color w:val="auto"/>
          <w:kern w:val="0"/>
          <w:sz w:val="28"/>
          <w:szCs w:val="28"/>
          <w:highlight w:val="none"/>
        </w:rPr>
      </w:pPr>
      <w:bookmarkStart w:id="346" w:name="_Toc8522_WPSOffice_Level3"/>
      <w:bookmarkStart w:id="347" w:name="OLE_LINK13"/>
      <w:bookmarkStart w:id="348" w:name="OLE_LINK14"/>
      <w:r>
        <w:rPr>
          <w:rFonts w:hint="eastAsia" w:ascii="仿宋" w:hAnsi="仿宋" w:eastAsia="仿宋" w:cstheme="minorEastAsia"/>
          <w:b/>
          <w:bCs/>
          <w:color w:val="auto"/>
          <w:kern w:val="0"/>
          <w:sz w:val="28"/>
          <w:szCs w:val="28"/>
          <w:highlight w:val="none"/>
        </w:rPr>
        <w:t>中小企业声明函（货物）</w:t>
      </w:r>
      <w:bookmarkEnd w:id="346"/>
    </w:p>
    <w:p>
      <w:pPr>
        <w:pStyle w:val="13"/>
        <w:rPr>
          <w:rFonts w:hint="eastAsia" w:ascii="仿宋" w:hAnsi="仿宋" w:eastAsia="仿宋"/>
          <w:color w:val="auto"/>
          <w:highlight w:val="none"/>
        </w:rPr>
      </w:pP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本公司（联合体）郑重声明，根据《政府采购促进中小企业发展管理办法》（财库﹝2020﹞46号）</w:t>
      </w:r>
      <w:r>
        <w:rPr>
          <w:rFonts w:hint="eastAsia" w:ascii="方正仿宋_GBK" w:hAnsi="方正仿宋_GBK" w:eastAsia="方正仿宋_GBK" w:cs="方正仿宋_GBK"/>
          <w:color w:val="auto"/>
          <w:sz w:val="32"/>
          <w:szCs w:val="32"/>
          <w:highlight w:val="none"/>
        </w:rPr>
        <w:t>、</w:t>
      </w:r>
      <w:r>
        <w:rPr>
          <w:rFonts w:hint="eastAsia" w:ascii="仿宋" w:hAnsi="仿宋" w:eastAsia="仿宋"/>
          <w:color w:val="auto"/>
          <w:sz w:val="28"/>
          <w:szCs w:val="28"/>
          <w:highlight w:val="none"/>
        </w:rPr>
        <w:t>《关于进一步加大政府采购支持中小企业力度的通知》（ 财库</w:t>
      </w:r>
      <w:r>
        <w:rPr>
          <w:rFonts w:ascii="仿宋" w:hAnsi="仿宋" w:eastAsia="仿宋"/>
          <w:color w:val="auto"/>
          <w:sz w:val="28"/>
          <w:szCs w:val="28"/>
          <w:highlight w:val="none"/>
        </w:rPr>
        <w:t>〔2022〕19</w:t>
      </w:r>
      <w:r>
        <w:rPr>
          <w:rFonts w:hint="eastAsia" w:ascii="仿宋" w:hAnsi="仿宋" w:eastAsia="仿宋"/>
          <w:color w:val="auto"/>
          <w:sz w:val="28"/>
          <w:szCs w:val="28"/>
          <w:highlight w:val="none"/>
        </w:rPr>
        <w:t>号）的规定，本公司（联合体）参加</w:t>
      </w:r>
      <w:r>
        <w:rPr>
          <w:rFonts w:hint="eastAsia" w:ascii="仿宋" w:hAnsi="仿宋" w:eastAsia="仿宋"/>
          <w:color w:val="auto"/>
          <w:sz w:val="28"/>
          <w:szCs w:val="28"/>
          <w:highlight w:val="none"/>
          <w:u w:val="single"/>
        </w:rPr>
        <w:t>（单位名称）</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u w:val="single"/>
        </w:rPr>
        <w:t>（项目名称）</w:t>
      </w:r>
      <w:r>
        <w:rPr>
          <w:rFonts w:hint="eastAsia" w:ascii="仿宋" w:hAnsi="仿宋" w:eastAsia="仿宋"/>
          <w:color w:val="auto"/>
          <w:sz w:val="28"/>
          <w:szCs w:val="28"/>
          <w:highlight w:val="none"/>
        </w:rPr>
        <w:t>采购活动，</w:t>
      </w:r>
      <w:r>
        <w:rPr>
          <w:rFonts w:hint="eastAsia" w:ascii="仿宋" w:hAnsi="仿宋" w:eastAsia="仿宋"/>
          <w:color w:val="auto"/>
          <w:sz w:val="28"/>
          <w:szCs w:val="28"/>
          <w:highlight w:val="none"/>
        </w:rPr>
        <w:t>提供的货物由符合政策要求的中小企业制造</w:t>
      </w:r>
      <w:r>
        <w:rPr>
          <w:rFonts w:hint="eastAsia" w:ascii="仿宋" w:hAnsi="仿宋" w:eastAsia="仿宋"/>
          <w:color w:val="auto"/>
          <w:sz w:val="28"/>
          <w:szCs w:val="28"/>
          <w:highlight w:val="none"/>
        </w:rPr>
        <w:t>。相关企业（含联合体中的中小企业、签订分包意向协议的中小企业）的具体情况如下：</w:t>
      </w:r>
    </w:p>
    <w:p>
      <w:pPr>
        <w:numPr>
          <w:ilvl w:val="0"/>
          <w:numId w:val="3"/>
        </w:num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u w:val="single"/>
        </w:rPr>
        <w:t>（标的名称）</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rPr>
        <w:t>所属行业：工业</w:t>
      </w:r>
      <w:r>
        <w:rPr>
          <w:rFonts w:hint="eastAsia" w:ascii="黑体" w:hAnsi="黑体" w:eastAsia="黑体" w:cs="黑体"/>
          <w:color w:val="auto"/>
          <w:sz w:val="28"/>
          <w:szCs w:val="28"/>
          <w:highlight w:val="none"/>
        </w:rPr>
        <w:t>，</w:t>
      </w:r>
      <w:r>
        <w:rPr>
          <w:rFonts w:hint="eastAsia" w:ascii="仿宋" w:hAnsi="仿宋" w:eastAsia="仿宋"/>
          <w:color w:val="auto"/>
          <w:sz w:val="28"/>
          <w:szCs w:val="28"/>
          <w:highlight w:val="none"/>
        </w:rPr>
        <w:t>制造商为</w:t>
      </w:r>
      <w:r>
        <w:rPr>
          <w:rFonts w:hint="eastAsia" w:ascii="仿宋" w:hAnsi="仿宋" w:eastAsia="仿宋"/>
          <w:color w:val="auto"/>
          <w:sz w:val="28"/>
          <w:szCs w:val="28"/>
          <w:highlight w:val="none"/>
          <w:u w:val="single"/>
        </w:rPr>
        <w:t>（企业名称）</w:t>
      </w:r>
      <w:r>
        <w:rPr>
          <w:rFonts w:hint="eastAsia" w:ascii="仿宋" w:hAnsi="仿宋" w:eastAsia="仿宋"/>
          <w:color w:val="auto"/>
          <w:sz w:val="28"/>
          <w:szCs w:val="28"/>
          <w:highlight w:val="none"/>
        </w:rPr>
        <w:t>，从业人员人，营业收入为万元，资产总额为万元，属于</w:t>
      </w:r>
      <w:r>
        <w:rPr>
          <w:rFonts w:hint="eastAsia" w:ascii="仿宋" w:hAnsi="仿宋" w:eastAsia="仿宋"/>
          <w:color w:val="auto"/>
          <w:sz w:val="28"/>
          <w:szCs w:val="28"/>
          <w:highlight w:val="none"/>
          <w:u w:val="single"/>
        </w:rPr>
        <w:t>（中型企业、小型企业、微型企业）</w:t>
      </w:r>
      <w:r>
        <w:rPr>
          <w:rFonts w:hint="eastAsia" w:ascii="仿宋" w:hAnsi="仿宋" w:eastAsia="仿宋"/>
          <w:color w:val="auto"/>
          <w:sz w:val="28"/>
          <w:szCs w:val="28"/>
          <w:highlight w:val="none"/>
        </w:rPr>
        <w:t>；</w:t>
      </w:r>
    </w:p>
    <w:p>
      <w:pPr>
        <w:spacing w:line="460" w:lineRule="exact"/>
        <w:ind w:left="420" w:left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以上企业，不属于大企业的分支机构，不存在控股股东为大企业的情形，也不存在与大企业的负责人为同一人的情形。</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本企业对上述声明内容的真实性负责。如有虚假，将依法承担相应责任。</w:t>
      </w:r>
    </w:p>
    <w:p>
      <w:pPr>
        <w:spacing w:line="460" w:lineRule="exact"/>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投标人(电子签章)：</w:t>
      </w:r>
    </w:p>
    <w:p>
      <w:pPr>
        <w:spacing w:line="460" w:lineRule="exact"/>
        <w:jc w:val="center"/>
        <w:rPr>
          <w:rFonts w:hint="eastAsia" w:ascii="仿宋" w:hAnsi="仿宋" w:eastAsia="仿宋"/>
          <w:color w:val="auto"/>
          <w:sz w:val="28"/>
          <w:szCs w:val="28"/>
          <w:highlight w:val="none"/>
        </w:rPr>
      </w:pPr>
    </w:p>
    <w:p>
      <w:pPr>
        <w:spacing w:line="460" w:lineRule="exact"/>
        <w:ind w:firstLine="6440" w:firstLineChars="23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注：从业人员、营业收入、资产总额填报上一年度数据，无上一年度数据的新成立企业可不填报。</w:t>
      </w:r>
    </w:p>
    <w:p>
      <w:pPr>
        <w:pStyle w:val="13"/>
        <w:rPr>
          <w:rFonts w:hint="eastAsia" w:ascii="仿宋" w:hAnsi="仿宋" w:eastAsia="仿宋"/>
          <w:color w:val="auto"/>
          <w:kern w:val="2"/>
          <w:highlight w:val="none"/>
        </w:rPr>
      </w:pPr>
      <w:r>
        <w:rPr>
          <w:rFonts w:hint="eastAsia" w:ascii="仿宋" w:hAnsi="仿宋" w:eastAsia="仿宋"/>
          <w:color w:val="auto"/>
          <w:kern w:val="2"/>
          <w:highlight w:val="none"/>
        </w:rPr>
        <w:t>注：1.从业人员、营业收入、资产总额填报上一年度数据，无上一年度数据的新成立企业可不填报。</w:t>
      </w:r>
    </w:p>
    <w:p>
      <w:pPr>
        <w:pStyle w:val="13"/>
        <w:numPr>
          <w:ilvl w:val="0"/>
          <w:numId w:val="3"/>
        </w:numPr>
        <w:ind w:firstLine="480" w:firstLineChars="200"/>
        <w:rPr>
          <w:rFonts w:hint="eastAsia" w:ascii="仿宋" w:hAnsi="仿宋" w:eastAsia="仿宋"/>
          <w:color w:val="auto"/>
          <w:kern w:val="2"/>
          <w:highlight w:val="none"/>
        </w:rPr>
      </w:pPr>
      <w:r>
        <w:rPr>
          <w:rFonts w:hint="eastAsia" w:ascii="仿宋" w:hAnsi="仿宋" w:eastAsia="仿宋"/>
          <w:color w:val="auto"/>
          <w:kern w:val="2"/>
          <w:highlight w:val="none"/>
        </w:rPr>
        <w:t>不属于中小微企业，请注明“制造商不属于中小微企业”并加盖公章。</w:t>
      </w:r>
    </w:p>
    <w:p>
      <w:pPr>
        <w:rPr>
          <w:color w:val="auto"/>
          <w:highlight w:val="none"/>
        </w:rPr>
      </w:pPr>
    </w:p>
    <w:p>
      <w:pPr>
        <w:pStyle w:val="13"/>
        <w:rPr>
          <w:color w:val="auto"/>
          <w:highlight w:val="none"/>
        </w:rPr>
      </w:pPr>
    </w:p>
    <w:p>
      <w:pPr>
        <w:widowControl/>
        <w:wordWrap w:val="0"/>
        <w:spacing w:line="360" w:lineRule="auto"/>
        <w:jc w:val="left"/>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28"/>
          <w:szCs w:val="28"/>
          <w:highlight w:val="none"/>
        </w:rPr>
        <w:t>附表</w:t>
      </w:r>
    </w:p>
    <w:p>
      <w:pPr>
        <w:widowControl/>
        <w:spacing w:line="330" w:lineRule="atLeast"/>
        <w:jc w:val="center"/>
        <w:rPr>
          <w:rFonts w:hint="eastAsia" w:ascii="仿宋" w:hAnsi="仿宋" w:eastAsia="仿宋" w:cs="仿宋"/>
          <w:color w:val="auto"/>
          <w:kern w:val="0"/>
          <w:sz w:val="36"/>
          <w:szCs w:val="32"/>
          <w:highlight w:val="none"/>
        </w:rPr>
      </w:pPr>
      <w:r>
        <w:rPr>
          <w:rFonts w:hint="eastAsia" w:ascii="仿宋" w:hAnsi="仿宋" w:eastAsia="仿宋" w:cs="仿宋"/>
          <w:color w:val="auto"/>
          <w:kern w:val="0"/>
          <w:sz w:val="36"/>
          <w:szCs w:val="32"/>
          <w:highlight w:val="none"/>
        </w:rPr>
        <w:t>统计上大中小微型企业划分标准</w:t>
      </w:r>
    </w:p>
    <w:tbl>
      <w:tblPr>
        <w:tblStyle w:val="3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pPr>
              <w:widowControl/>
              <w:spacing w:line="240" w:lineRule="exact"/>
              <w:jc w:val="center"/>
              <w:rPr>
                <w:rFonts w:hint="eastAsia" w:ascii="仿宋" w:hAnsi="仿宋" w:eastAsia="仿宋" w:cs="仿宋"/>
                <w:b/>
                <w:bCs/>
                <w:color w:val="auto"/>
                <w:kern w:val="0"/>
                <w:sz w:val="18"/>
                <w:szCs w:val="21"/>
                <w:highlight w:val="none"/>
              </w:rPr>
            </w:pPr>
            <w:r>
              <w:rPr>
                <w:rFonts w:hint="eastAsia" w:ascii="仿宋" w:hAnsi="仿宋" w:eastAsia="仿宋" w:cs="仿宋"/>
                <w:b/>
                <w:bCs/>
                <w:color w:val="auto"/>
                <w:kern w:val="0"/>
                <w:sz w:val="18"/>
                <w:szCs w:val="21"/>
                <w:highlight w:val="none"/>
              </w:rPr>
              <w:t>行业名称</w:t>
            </w:r>
          </w:p>
        </w:tc>
        <w:tc>
          <w:tcPr>
            <w:tcW w:w="1369"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指标名称</w:t>
            </w:r>
          </w:p>
        </w:tc>
        <w:tc>
          <w:tcPr>
            <w:tcW w:w="709"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计量</w:t>
            </w:r>
            <w:r>
              <w:rPr>
                <w:rFonts w:hint="eastAsia" w:ascii="仿宋" w:hAnsi="仿宋" w:eastAsia="仿宋" w:cs="仿宋"/>
                <w:b/>
                <w:bCs/>
                <w:color w:val="auto"/>
                <w:kern w:val="0"/>
                <w:sz w:val="18"/>
                <w:szCs w:val="18"/>
                <w:highlight w:val="none"/>
              </w:rPr>
              <w:br w:type="textWrapping"/>
            </w:r>
            <w:r>
              <w:rPr>
                <w:rFonts w:hint="eastAsia" w:ascii="仿宋" w:hAnsi="仿宋" w:eastAsia="仿宋" w:cs="仿宋"/>
                <w:b/>
                <w:bCs/>
                <w:color w:val="auto"/>
                <w:kern w:val="0"/>
                <w:sz w:val="18"/>
                <w:szCs w:val="18"/>
                <w:highlight w:val="none"/>
              </w:rPr>
              <w:t>单位</w:t>
            </w:r>
          </w:p>
        </w:tc>
        <w:tc>
          <w:tcPr>
            <w:tcW w:w="1125"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大型</w:t>
            </w:r>
          </w:p>
        </w:tc>
        <w:tc>
          <w:tcPr>
            <w:tcW w:w="1701"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中型</w:t>
            </w:r>
          </w:p>
        </w:tc>
        <w:tc>
          <w:tcPr>
            <w:tcW w:w="1426"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小型</w:t>
            </w:r>
          </w:p>
        </w:tc>
        <w:tc>
          <w:tcPr>
            <w:tcW w:w="992" w:type="dxa"/>
            <w:vAlign w:val="center"/>
          </w:tcPr>
          <w:p>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农、林、牧、渔业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500≤Y＜20000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50≤Y＜500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工业 *</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Y≥40000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300≤Y＜2000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建筑业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Y≥80000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300≤Y＜6000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Z≥80000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300≤Z＜5000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批发业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5≤X＜20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Y≥40000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426" w:type="dxa"/>
            <w:vAlign w:val="center"/>
          </w:tcPr>
          <w:p>
            <w:pPr>
              <w:widowControl/>
              <w:ind w:left="-2" w:leftChars="-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零售业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426" w:type="dxa"/>
            <w:vAlign w:val="center"/>
          </w:tcPr>
          <w:p>
            <w:pPr>
              <w:widowControl/>
              <w:ind w:left="-2" w:leftChars="-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10≤X＜50 </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500≤Y＜20000</w:t>
            </w:r>
          </w:p>
        </w:tc>
        <w:tc>
          <w:tcPr>
            <w:tcW w:w="1426" w:type="dxa"/>
            <w:vAlign w:val="center"/>
          </w:tcPr>
          <w:p>
            <w:pPr>
              <w:widowControl/>
              <w:ind w:left="-2" w:leftChars="-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100≤Y＜500 </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交通运输业 *</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200≤Y＜3000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仓储业*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邮政业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住宿业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餐饮业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信息传输业 *</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1000≤Y＜100000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rFonts w:hint="eastAsia" w:ascii="仿宋" w:hAnsi="仿宋" w:eastAsia="仿宋" w:cs="仿宋"/>
                <w:color w:val="auto"/>
                <w:spacing w:val="-12"/>
                <w:kern w:val="0"/>
                <w:sz w:val="18"/>
                <w:szCs w:val="18"/>
                <w:highlight w:val="none"/>
              </w:rPr>
            </w:pPr>
            <w:r>
              <w:rPr>
                <w:rFonts w:hint="eastAsia" w:ascii="仿宋" w:hAnsi="仿宋" w:eastAsia="仿宋" w:cs="仿宋"/>
                <w:color w:val="auto"/>
                <w:spacing w:val="-12"/>
                <w:kern w:val="0"/>
                <w:sz w:val="18"/>
                <w:szCs w:val="18"/>
                <w:highlight w:val="none"/>
              </w:rPr>
              <w:t>软件和信息技术服</w:t>
            </w:r>
            <w:r>
              <w:rPr>
                <w:rFonts w:hint="eastAsia" w:ascii="仿宋" w:hAnsi="仿宋" w:eastAsia="仿宋" w:cs="仿宋"/>
                <w:color w:val="auto"/>
                <w:kern w:val="0"/>
                <w:sz w:val="18"/>
                <w:szCs w:val="18"/>
                <w:highlight w:val="none"/>
              </w:rPr>
              <w:t>务业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rFonts w:hint="eastAsia" w:ascii="仿宋" w:hAnsi="仿宋" w:eastAsia="仿宋" w:cs="仿宋"/>
                <w:color w:val="auto"/>
                <w:spacing w:val="-12"/>
                <w:kern w:val="0"/>
                <w:sz w:val="18"/>
                <w:szCs w:val="18"/>
                <w:highlight w:val="none"/>
              </w:rPr>
            </w:pP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50≤Y＜1000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房地产开发经营</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1000≤Y＜200000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2000≤Z＜5000   </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物业管理</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1000≤Y＜5000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500≤Y＜1000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租赁和商务服务业</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jc w:val="left"/>
              <w:rPr>
                <w:rFonts w:hint="eastAsia" w:ascii="仿宋" w:hAnsi="仿宋" w:eastAsia="仿宋" w:cs="仿宋"/>
                <w:color w:val="auto"/>
                <w:kern w:val="0"/>
                <w:sz w:val="18"/>
                <w:szCs w:val="18"/>
                <w:highlight w:val="none"/>
              </w:rPr>
            </w:pPr>
          </w:p>
        </w:tc>
        <w:tc>
          <w:tcPr>
            <w:tcW w:w="1369" w:type="dxa"/>
            <w:vAlign w:val="center"/>
          </w:tcPr>
          <w:p>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Z≥120000</w:t>
            </w:r>
          </w:p>
        </w:tc>
        <w:tc>
          <w:tcPr>
            <w:tcW w:w="1701"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8000≤Z＜120000</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100≤Z＜8000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其他未列明行业 *</w:t>
            </w:r>
          </w:p>
        </w:tc>
        <w:tc>
          <w:tcPr>
            <w:tcW w:w="136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vAlign w:val="center"/>
          </w:tcPr>
          <w:p>
            <w:pPr>
              <w:widowControl/>
              <w:ind w:left="-107" w:leftChars="-5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vAlign w:val="center"/>
          </w:tcPr>
          <w:p>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pPr>
        <w:widowControl/>
        <w:spacing w:line="540" w:lineRule="exact"/>
        <w:jc w:val="left"/>
        <w:rPr>
          <w:rFonts w:hint="eastAsia" w:ascii="仿宋" w:hAnsi="仿宋" w:eastAsia="仿宋" w:cs="仿宋"/>
          <w:color w:val="auto"/>
          <w:spacing w:val="8"/>
          <w:kern w:val="0"/>
          <w:sz w:val="32"/>
          <w:szCs w:val="32"/>
          <w:highlight w:val="none"/>
        </w:rPr>
      </w:pPr>
    </w:p>
    <w:p>
      <w:pPr>
        <w:widowControl/>
        <w:spacing w:line="460" w:lineRule="exact"/>
        <w:jc w:val="left"/>
        <w:rPr>
          <w:rFonts w:hint="eastAsia" w:ascii="仿宋" w:hAnsi="仿宋" w:eastAsia="仿宋" w:cs="仿宋"/>
          <w:color w:val="auto"/>
          <w:spacing w:val="8"/>
          <w:kern w:val="0"/>
          <w:sz w:val="24"/>
          <w:szCs w:val="21"/>
          <w:highlight w:val="none"/>
        </w:rPr>
      </w:pPr>
      <w:r>
        <w:rPr>
          <w:rFonts w:hint="eastAsia" w:ascii="仿宋" w:hAnsi="仿宋" w:eastAsia="仿宋" w:cs="仿宋"/>
          <w:color w:val="auto"/>
          <w:spacing w:val="8"/>
          <w:kern w:val="0"/>
          <w:sz w:val="24"/>
          <w:szCs w:val="21"/>
          <w:highlight w:val="none"/>
        </w:rPr>
        <w:t>说明：</w:t>
      </w:r>
    </w:p>
    <w:p>
      <w:pPr>
        <w:widowControl/>
        <w:spacing w:line="460" w:lineRule="exact"/>
        <w:jc w:val="left"/>
        <w:rPr>
          <w:rFonts w:hint="eastAsia" w:ascii="仿宋" w:hAnsi="仿宋" w:eastAsia="仿宋" w:cs="仿宋"/>
          <w:color w:val="auto"/>
          <w:spacing w:val="8"/>
          <w:kern w:val="0"/>
          <w:sz w:val="24"/>
          <w:szCs w:val="21"/>
          <w:highlight w:val="none"/>
        </w:rPr>
      </w:pPr>
      <w:r>
        <w:rPr>
          <w:rFonts w:hint="eastAsia" w:ascii="仿宋" w:hAnsi="仿宋" w:eastAsia="仿宋" w:cs="仿宋"/>
          <w:color w:val="auto"/>
          <w:spacing w:val="8"/>
          <w:kern w:val="0"/>
          <w:sz w:val="24"/>
          <w:szCs w:val="21"/>
          <w:highlight w:val="none"/>
        </w:rPr>
        <w:t>1.大型、中型和小型企业须同时满足所列指标的下限，否则下划一档；微型企业只须满足所列指标中的一项即可。</w:t>
      </w:r>
    </w:p>
    <w:p>
      <w:pPr>
        <w:widowControl/>
        <w:spacing w:line="460" w:lineRule="exact"/>
        <w:jc w:val="left"/>
        <w:rPr>
          <w:rFonts w:hint="eastAsia" w:ascii="仿宋" w:hAnsi="仿宋" w:eastAsia="仿宋" w:cs="仿宋"/>
          <w:color w:val="auto"/>
          <w:spacing w:val="8"/>
          <w:kern w:val="0"/>
          <w:sz w:val="24"/>
          <w:szCs w:val="21"/>
          <w:highlight w:val="none"/>
        </w:rPr>
      </w:pPr>
      <w:r>
        <w:rPr>
          <w:rFonts w:hint="eastAsia" w:ascii="仿宋" w:hAnsi="仿宋" w:eastAsia="仿宋" w:cs="仿宋"/>
          <w:color w:val="auto"/>
          <w:spacing w:val="8"/>
          <w:kern w:val="0"/>
          <w:sz w:val="24"/>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pacing w:line="460" w:lineRule="exact"/>
        <w:jc w:val="left"/>
        <w:rPr>
          <w:rFonts w:hint="eastAsia" w:ascii="宋体" w:hAnsi="宋体" w:cs="宋体"/>
          <w:color w:val="auto"/>
          <w:kern w:val="0"/>
          <w:sz w:val="18"/>
          <w:szCs w:val="18"/>
          <w:highlight w:val="none"/>
          <w:shd w:val="clear" w:color="auto" w:fill="FFFFFF"/>
        </w:rPr>
      </w:pPr>
      <w:r>
        <w:rPr>
          <w:rFonts w:hint="eastAsia" w:ascii="仿宋" w:hAnsi="仿宋" w:eastAsia="仿宋" w:cs="仿宋"/>
          <w:color w:val="auto"/>
          <w:spacing w:val="8"/>
          <w:kern w:val="0"/>
          <w:sz w:val="24"/>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color w:val="auto"/>
          <w:highlight w:val="none"/>
        </w:rPr>
      </w:pPr>
    </w:p>
    <w:p>
      <w:pPr>
        <w:pStyle w:val="13"/>
        <w:rPr>
          <w:color w:val="auto"/>
          <w:highlight w:val="none"/>
        </w:rPr>
      </w:pPr>
    </w:p>
    <w:p>
      <w:pPr>
        <w:rPr>
          <w:color w:val="auto"/>
          <w:highlight w:val="none"/>
        </w:rPr>
      </w:pPr>
    </w:p>
    <w:p>
      <w:pPr>
        <w:pStyle w:val="13"/>
        <w:rPr>
          <w:color w:val="auto"/>
          <w:highlight w:val="none"/>
        </w:rPr>
      </w:pPr>
    </w:p>
    <w:p>
      <w:pPr>
        <w:rPr>
          <w:color w:val="auto"/>
          <w:highlight w:val="none"/>
        </w:rPr>
      </w:pPr>
    </w:p>
    <w:p>
      <w:pPr>
        <w:spacing w:line="588" w:lineRule="exact"/>
        <w:outlineLvl w:val="2"/>
        <w:rPr>
          <w:rFonts w:hint="eastAsia" w:ascii="仿宋" w:hAnsi="仿宋" w:eastAsia="仿宋"/>
          <w:b/>
          <w:color w:val="auto"/>
          <w:spacing w:val="6"/>
          <w:sz w:val="28"/>
          <w:szCs w:val="28"/>
          <w:highlight w:val="none"/>
        </w:rPr>
      </w:pPr>
      <w:bookmarkStart w:id="349" w:name="_Toc31539"/>
      <w:bookmarkStart w:id="350" w:name="_Toc18212_WPSOffice_Level3"/>
      <w:bookmarkStart w:id="351" w:name="_Toc28003"/>
      <w:bookmarkStart w:id="352" w:name="_Toc18201"/>
      <w:r>
        <w:rPr>
          <w:rFonts w:hint="eastAsia" w:ascii="仿宋" w:hAnsi="仿宋" w:eastAsia="仿宋"/>
          <w:b/>
          <w:color w:val="auto"/>
          <w:sz w:val="28"/>
          <w:szCs w:val="28"/>
          <w:highlight w:val="none"/>
        </w:rPr>
        <w:t>格式8</w:t>
      </w:r>
      <w:r>
        <w:rPr>
          <w:rFonts w:ascii="仿宋" w:hAnsi="仿宋" w:eastAsia="仿宋"/>
          <w:b/>
          <w:color w:val="auto"/>
          <w:sz w:val="28"/>
          <w:szCs w:val="28"/>
          <w:highlight w:val="none"/>
        </w:rPr>
        <w:t>-2</w:t>
      </w:r>
      <w:r>
        <w:rPr>
          <w:rFonts w:hint="eastAsia" w:ascii="仿宋" w:hAnsi="仿宋" w:eastAsia="仿宋"/>
          <w:b/>
          <w:color w:val="auto"/>
          <w:sz w:val="28"/>
          <w:szCs w:val="28"/>
          <w:highlight w:val="none"/>
        </w:rPr>
        <w:t>：残疾人福利性单位声明函</w:t>
      </w:r>
      <w:bookmarkEnd w:id="349"/>
      <w:bookmarkEnd w:id="350"/>
      <w:bookmarkEnd w:id="351"/>
      <w:bookmarkEnd w:id="352"/>
    </w:p>
    <w:bookmarkEnd w:id="347"/>
    <w:bookmarkEnd w:id="348"/>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本单位郑重声明，根据《财政部民政部中国残疾人联合会关于促进残疾人就业政府采购政策的通知》（财库〔</w:t>
      </w:r>
      <w:r>
        <w:rPr>
          <w:rFonts w:ascii="仿宋" w:hAnsi="仿宋" w:eastAsia="仿宋"/>
          <w:color w:val="auto"/>
          <w:sz w:val="28"/>
          <w:szCs w:val="28"/>
          <w:highlight w:val="none"/>
        </w:rPr>
        <w:t>2017</w:t>
      </w:r>
      <w:r>
        <w:rPr>
          <w:rFonts w:hint="eastAsia" w:ascii="仿宋" w:hAnsi="仿宋" w:eastAsia="仿宋"/>
          <w:color w:val="auto"/>
          <w:sz w:val="28"/>
          <w:szCs w:val="28"/>
          <w:highlight w:val="none"/>
        </w:rPr>
        <w:t>〕</w:t>
      </w:r>
      <w:r>
        <w:rPr>
          <w:rFonts w:ascii="仿宋" w:hAnsi="仿宋" w:eastAsia="仿宋"/>
          <w:color w:val="auto"/>
          <w:sz w:val="28"/>
          <w:szCs w:val="28"/>
          <w:highlight w:val="none"/>
        </w:rPr>
        <w:t xml:space="preserve"> 141</w:t>
      </w:r>
      <w:r>
        <w:rPr>
          <w:rFonts w:hint="eastAsia" w:ascii="仿宋" w:hAnsi="仿宋" w:eastAsia="仿宋"/>
          <w:color w:val="auto"/>
          <w:sz w:val="28"/>
          <w:szCs w:val="28"/>
          <w:highlight w:val="none"/>
        </w:rPr>
        <w:t>号）的规定，本单位为符合条件的残疾人福利性单位，且本单位参加</w:t>
      </w:r>
      <w:r>
        <w:rPr>
          <w:rFonts w:ascii="仿宋" w:hAnsi="仿宋" w:eastAsia="仿宋"/>
          <w:color w:val="auto"/>
          <w:sz w:val="28"/>
          <w:szCs w:val="28"/>
          <w:highlight w:val="none"/>
        </w:rPr>
        <w:t>______</w:t>
      </w:r>
      <w:r>
        <w:rPr>
          <w:rFonts w:hint="eastAsia" w:ascii="仿宋" w:hAnsi="仿宋" w:eastAsia="仿宋"/>
          <w:color w:val="auto"/>
          <w:sz w:val="28"/>
          <w:szCs w:val="28"/>
          <w:highlight w:val="none"/>
        </w:rPr>
        <w:t>单位的</w:t>
      </w:r>
      <w:r>
        <w:rPr>
          <w:rFonts w:ascii="仿宋" w:hAnsi="仿宋" w:eastAsia="仿宋"/>
          <w:color w:val="auto"/>
          <w:sz w:val="28"/>
          <w:szCs w:val="28"/>
          <w:highlight w:val="none"/>
        </w:rPr>
        <w:t>______</w:t>
      </w:r>
      <w:r>
        <w:rPr>
          <w:rFonts w:hint="eastAsia" w:ascii="仿宋" w:hAnsi="仿宋" w:eastAsia="仿宋"/>
          <w:color w:val="auto"/>
          <w:sz w:val="28"/>
          <w:szCs w:val="28"/>
          <w:highlight w:val="none"/>
        </w:rPr>
        <w:t>项目采购活动提供本单位制造的货物（由本单位承担工程</w:t>
      </w:r>
      <w:r>
        <w:rPr>
          <w:rFonts w:ascii="仿宋" w:hAnsi="仿宋" w:eastAsia="仿宋"/>
          <w:color w:val="auto"/>
          <w:sz w:val="28"/>
          <w:szCs w:val="28"/>
          <w:highlight w:val="none"/>
        </w:rPr>
        <w:t>/</w:t>
      </w:r>
      <w:r>
        <w:rPr>
          <w:rFonts w:hint="eastAsia" w:ascii="仿宋" w:hAnsi="仿宋" w:eastAsia="仿宋"/>
          <w:color w:val="auto"/>
          <w:sz w:val="28"/>
          <w:szCs w:val="28"/>
          <w:highlight w:val="none"/>
        </w:rPr>
        <w:t>提供服务），或者提供其他残疾人福利性单位制造的货物（不包括使用非残疾人福利性单位注册商标的货物）。</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本单位对上述声明的真实性负责。如有虚假，将依法承担相应责任。</w:t>
      </w:r>
    </w:p>
    <w:p>
      <w:pPr>
        <w:spacing w:line="460" w:lineRule="exact"/>
        <w:ind w:firstLine="560" w:firstLineChars="200"/>
        <w:rPr>
          <w:rFonts w:hint="eastAsia" w:ascii="仿宋" w:hAnsi="仿宋" w:eastAsia="仿宋"/>
          <w:color w:val="auto"/>
          <w:sz w:val="28"/>
          <w:szCs w:val="28"/>
          <w:highlight w:val="none"/>
        </w:rPr>
      </w:pP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460" w:lineRule="exact"/>
        <w:ind w:firstLine="560" w:firstLineChars="200"/>
        <w:rPr>
          <w:rFonts w:hint="eastAsia" w:ascii="仿宋" w:hAnsi="仿宋" w:eastAsia="仿宋"/>
          <w:color w:val="auto"/>
          <w:sz w:val="28"/>
          <w:szCs w:val="28"/>
          <w:highlight w:val="none"/>
        </w:rPr>
      </w:pP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w:t>
      </w:r>
    </w:p>
    <w:p>
      <w:pPr>
        <w:spacing w:line="360" w:lineRule="auto"/>
        <w:ind w:left="283" w:leftChars="135" w:firstLine="360" w:firstLineChars="150"/>
        <w:jc w:val="left"/>
        <w:rPr>
          <w:rFonts w:hint="eastAsia" w:ascii="仿宋" w:hAnsi="仿宋" w:eastAsia="仿宋"/>
          <w:color w:val="auto"/>
          <w:sz w:val="28"/>
          <w:szCs w:val="28"/>
          <w:highlight w:val="none"/>
        </w:rPr>
      </w:pPr>
      <w:r>
        <w:rPr>
          <w:rFonts w:hint="eastAsia" w:ascii="仿宋" w:hAnsi="仿宋" w:eastAsia="仿宋"/>
          <w:color w:val="auto"/>
          <w:sz w:val="24"/>
          <w:highlight w:val="none"/>
        </w:rPr>
        <w:t>注：如投标人不属于残疾人福利性单位，请注明“本公司不属于残疾人福利性单位”并加盖公章。</w:t>
      </w:r>
    </w:p>
    <w:p>
      <w:pPr>
        <w:bidi w:val="0"/>
        <w:rPr>
          <w:rFonts w:hint="eastAsia"/>
          <w:color w:val="auto"/>
          <w:highlight w:val="none"/>
        </w:rPr>
      </w:pPr>
      <w:bookmarkStart w:id="353" w:name="_Toc4863"/>
      <w:bookmarkStart w:id="354" w:name="_Toc32106"/>
      <w:bookmarkStart w:id="355" w:name="_Toc5788_WPSOffice_Level3"/>
      <w:bookmarkStart w:id="356" w:name="_Toc12968"/>
    </w:p>
    <w:p>
      <w:pPr>
        <w:widowControl/>
        <w:outlineLvl w:val="2"/>
        <w:rPr>
          <w:rFonts w:hint="eastAsia" w:ascii="仿宋" w:hAnsi="仿宋" w:eastAsia="仿宋"/>
          <w:color w:val="auto"/>
          <w:spacing w:val="6"/>
          <w:sz w:val="28"/>
          <w:szCs w:val="28"/>
          <w:highlight w:val="none"/>
        </w:rPr>
      </w:pPr>
      <w:r>
        <w:rPr>
          <w:rFonts w:hint="eastAsia" w:ascii="仿宋" w:hAnsi="仿宋" w:eastAsia="仿宋"/>
          <w:b/>
          <w:color w:val="auto"/>
          <w:sz w:val="28"/>
          <w:szCs w:val="28"/>
          <w:highlight w:val="none"/>
        </w:rPr>
        <w:t>格式8</w:t>
      </w:r>
      <w:r>
        <w:rPr>
          <w:rFonts w:ascii="仿宋" w:hAnsi="仿宋" w:eastAsia="仿宋"/>
          <w:b/>
          <w:color w:val="auto"/>
          <w:sz w:val="28"/>
          <w:szCs w:val="28"/>
          <w:highlight w:val="none"/>
        </w:rPr>
        <w:t>-3</w:t>
      </w:r>
      <w:r>
        <w:rPr>
          <w:rFonts w:hint="eastAsia" w:ascii="仿宋" w:hAnsi="仿宋" w:eastAsia="仿宋"/>
          <w:b/>
          <w:color w:val="auto"/>
          <w:sz w:val="28"/>
          <w:szCs w:val="28"/>
          <w:highlight w:val="none"/>
        </w:rPr>
        <w:t>：监狱企业证明文件</w:t>
      </w:r>
      <w:bookmarkEnd w:id="353"/>
      <w:bookmarkEnd w:id="354"/>
      <w:bookmarkEnd w:id="355"/>
      <w:bookmarkEnd w:id="356"/>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根据《财政部司法部关于政府采购支持监狱企业发展有关问题的通知》（财库〔</w:t>
      </w:r>
      <w:r>
        <w:rPr>
          <w:rFonts w:ascii="仿宋" w:hAnsi="仿宋" w:eastAsia="仿宋"/>
          <w:color w:val="auto"/>
          <w:sz w:val="28"/>
          <w:szCs w:val="28"/>
          <w:highlight w:val="none"/>
        </w:rPr>
        <w:t>2014</w:t>
      </w:r>
      <w:r>
        <w:rPr>
          <w:rFonts w:hint="eastAsia" w:ascii="仿宋" w:hAnsi="仿宋" w:eastAsia="仿宋"/>
          <w:color w:val="auto"/>
          <w:sz w:val="28"/>
          <w:szCs w:val="28"/>
          <w:highlight w:val="none"/>
        </w:rPr>
        <w:t>〕</w:t>
      </w:r>
      <w:r>
        <w:rPr>
          <w:rFonts w:ascii="仿宋" w:hAnsi="仿宋" w:eastAsia="仿宋"/>
          <w:color w:val="auto"/>
          <w:sz w:val="28"/>
          <w:szCs w:val="28"/>
          <w:highlight w:val="none"/>
        </w:rPr>
        <w:t>68</w:t>
      </w:r>
      <w:r>
        <w:rPr>
          <w:rFonts w:hint="eastAsia" w:ascii="仿宋" w:hAnsi="仿宋" w:eastAsia="仿宋"/>
          <w:color w:val="auto"/>
          <w:sz w:val="28"/>
          <w:szCs w:val="28"/>
          <w:highlight w:val="none"/>
        </w:rPr>
        <w:t>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监狱企业参加政府采购活动时，应当提供由省级以上监狱管理局、戒毒管理局（含新疆生产建设兵团）出具的属于监狱企业的证明文件。</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注：如投标人不属于监狱企业，请注明“本公司不属于监狱企业”并加盖公章。</w:t>
      </w:r>
    </w:p>
    <w:p>
      <w:pPr>
        <w:pStyle w:val="13"/>
        <w:rPr>
          <w:color w:val="auto"/>
          <w:highlight w:val="none"/>
        </w:rPr>
      </w:pP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460" w:lineRule="exact"/>
        <w:ind w:firstLine="560" w:firstLineChars="200"/>
        <w:rPr>
          <w:rFonts w:hint="eastAsia" w:ascii="仿宋" w:hAnsi="仿宋" w:eastAsia="仿宋"/>
          <w:color w:val="auto"/>
          <w:sz w:val="28"/>
          <w:szCs w:val="28"/>
          <w:highlight w:val="none"/>
        </w:rPr>
      </w:pP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w:t>
      </w:r>
    </w:p>
    <w:p>
      <w:pPr>
        <w:widowControl/>
        <w:outlineLvl w:val="2"/>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格式8-4：关于符合本国产品标准的声明函</w:t>
      </w:r>
    </w:p>
    <w:p>
      <w:pPr>
        <w:pStyle w:val="36"/>
        <w:shd w:val="clear" w:color="auto" w:fill="FFFFFF"/>
        <w:spacing w:before="30" w:beforeAutospacing="0" w:after="30" w:afterAutospacing="0" w:line="560" w:lineRule="atLeast"/>
        <w:jc w:val="center"/>
        <w:textAlignment w:val="baseline"/>
        <w:rPr>
          <w:rFonts w:hint="eastAsia" w:ascii="仿宋" w:hAnsi="仿宋" w:eastAsia="仿宋" w:cs="仿宋"/>
          <w:color w:val="auto"/>
          <w:sz w:val="28"/>
          <w:szCs w:val="28"/>
          <w:highlight w:val="none"/>
        </w:rPr>
      </w:pPr>
      <w:r>
        <w:rPr>
          <w:rStyle w:val="42"/>
          <w:rFonts w:hint="eastAsia" w:ascii="仿宋" w:hAnsi="仿宋" w:eastAsia="仿宋" w:cs="仿宋"/>
          <w:color w:val="auto"/>
          <w:sz w:val="36"/>
          <w:szCs w:val="36"/>
          <w:highlight w:val="none"/>
          <w:shd w:val="clear" w:color="auto" w:fill="FFFFFF"/>
        </w:rPr>
        <w:t>关于符合本国产品标准的声明函</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本公司（单位）郑重声明，根据《国务院办公厅关于在政府采购中实施本国产品标准及相关政策的通知》（国办发〔2025〕34号）的规定，本公司（单位）提供的以下产品属于本国产品。具体情况如下：</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产品名称1）1，生产厂为（厂名）2，厂址为（生产厂址）。（产品名称1）的中国境内生产的组件成本占比≥（规定比例）3。（产品名称1）的（关键组件）4在中国境内生产。（产品名称1）的（关键工序）5在中国境内完成。</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产品名称2），生产厂为（厂名），厂址为（生产厂址）。（产品名称2）的中国境内生产的组件成本占比≥（规定比例）。（产品名称2）的（关键组件）在中国境内生产。（产品名称2）的（关键工序）在中国境内完成。</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本公司提供符合本国产品标准的产品成本之和占提供的全部产品成本之和的比例达到     %。</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本公司（单位）对上述声明内容的真实性负责。如有虚假，愿承担相应法律责任。</w:t>
      </w:r>
    </w:p>
    <w:p>
      <w:pPr>
        <w:spacing w:line="460" w:lineRule="exac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w:t>
      </w:r>
    </w:p>
    <w:p>
      <w:pPr>
        <w:spacing w:line="460" w:lineRule="exact"/>
        <w:ind w:firstLine="560" w:firstLineChars="200"/>
        <w:jc w:val="righ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公司（单位）名称（盖章）：　        </w:t>
      </w:r>
    </w:p>
    <w:p>
      <w:pPr>
        <w:spacing w:line="460" w:lineRule="exact"/>
        <w:ind w:firstLine="560" w:firstLineChars="200"/>
        <w:jc w:val="righ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　     年　  月　  日         </w:t>
      </w:r>
    </w:p>
    <w:p>
      <w:pPr>
        <w:pStyle w:val="36"/>
        <w:shd w:val="clear" w:color="auto" w:fill="FFFFFF"/>
        <w:spacing w:before="30" w:beforeAutospacing="0" w:after="30" w:afterAutospacing="0" w:line="560" w:lineRule="atLeast"/>
        <w:ind w:firstLine="420"/>
        <w:textAlignment w:val="baseline"/>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1.产品如有型号，请在“产品名称”栏一并填写。</w:t>
      </w:r>
    </w:p>
    <w:p>
      <w:pPr>
        <w:pStyle w:val="36"/>
        <w:shd w:val="clear" w:color="auto" w:fill="FFFFFF"/>
        <w:spacing w:before="30" w:beforeAutospacing="0" w:after="30" w:afterAutospacing="0" w:line="560" w:lineRule="atLeast"/>
        <w:ind w:firstLine="420"/>
        <w:textAlignment w:val="baseline"/>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2.生产厂名与厂址应与生产厂营业执照载明的相关信息保持一致。</w:t>
      </w:r>
    </w:p>
    <w:p>
      <w:pPr>
        <w:pStyle w:val="36"/>
        <w:shd w:val="clear" w:color="auto" w:fill="FFFFFF"/>
        <w:spacing w:before="30" w:beforeAutospacing="0" w:after="30" w:afterAutospacing="0" w:line="560" w:lineRule="atLeast"/>
        <w:ind w:firstLine="420"/>
        <w:textAlignment w:val="baseline"/>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3.该产品的中国境内生产的组件成本占比相关要求实施前，“规定比例”栏可不填，下同。</w:t>
      </w:r>
    </w:p>
    <w:p>
      <w:pPr>
        <w:pStyle w:val="36"/>
        <w:shd w:val="clear" w:color="auto" w:fill="FFFFFF"/>
        <w:spacing w:before="30" w:beforeAutospacing="0" w:after="30" w:afterAutospacing="0" w:line="560" w:lineRule="atLeast"/>
        <w:ind w:firstLine="420"/>
        <w:textAlignment w:val="baseline"/>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4.该产品的关键组件要求实施前，“关键组件”栏可不填，下同。</w:t>
      </w:r>
    </w:p>
    <w:p>
      <w:pPr>
        <w:pStyle w:val="36"/>
        <w:shd w:val="clear" w:color="auto" w:fill="FFFFFF"/>
        <w:spacing w:before="30" w:beforeAutospacing="0" w:after="30" w:afterAutospacing="0" w:line="560" w:lineRule="atLeast"/>
        <w:ind w:firstLine="420"/>
        <w:textAlignment w:val="baseline"/>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shd w:val="clear" w:color="auto" w:fill="FFFFFF"/>
        </w:rPr>
        <w:t>5.该产品的关键工序要求实施前，“关键工序”栏可不填，下同。</w:t>
      </w:r>
    </w:p>
    <w:p>
      <w:pPr>
        <w:pStyle w:val="5"/>
        <w:ind w:left="851" w:firstLine="0"/>
        <w:rPr>
          <w:color w:val="auto"/>
          <w:highlight w:val="none"/>
        </w:rPr>
      </w:pPr>
      <w:r>
        <w:rPr>
          <w:rFonts w:hint="eastAsia"/>
          <w:color w:val="auto"/>
          <w:highlight w:val="none"/>
        </w:rPr>
        <w:t>格式8-5：其他</w:t>
      </w:r>
    </w:p>
    <w:p>
      <w:pPr>
        <w:pStyle w:val="183"/>
        <w:spacing w:line="400" w:lineRule="exact"/>
        <w:ind w:left="420" w:firstLine="0" w:firstLineChars="0"/>
        <w:jc w:val="center"/>
        <w:outlineLvl w:val="1"/>
        <w:rPr>
          <w:rFonts w:hint="eastAsia" w:ascii="仿宋" w:hAnsi="仿宋" w:eastAsia="仿宋"/>
          <w:b/>
          <w:bCs/>
          <w:color w:val="auto"/>
          <w:sz w:val="32"/>
          <w:szCs w:val="32"/>
          <w:highlight w:val="none"/>
        </w:rPr>
      </w:pPr>
      <w:bookmarkStart w:id="357" w:name="_Toc6032"/>
      <w:bookmarkStart w:id="358" w:name="_Toc10191"/>
      <w:r>
        <w:rPr>
          <w:rFonts w:hint="eastAsia" w:ascii="仿宋" w:hAnsi="仿宋" w:eastAsia="仿宋"/>
          <w:b/>
          <w:color w:val="auto"/>
          <w:sz w:val="32"/>
          <w:szCs w:val="32"/>
          <w:highlight w:val="none"/>
        </w:rPr>
        <w:t>技术</w:t>
      </w:r>
      <w:r>
        <w:rPr>
          <w:rFonts w:hint="eastAsia" w:ascii="仿宋" w:hAnsi="仿宋" w:eastAsia="仿宋"/>
          <w:b/>
          <w:bCs/>
          <w:color w:val="auto"/>
          <w:sz w:val="32"/>
          <w:szCs w:val="32"/>
          <w:highlight w:val="none"/>
        </w:rPr>
        <w:t>文件</w:t>
      </w:r>
      <w:bookmarkEnd w:id="357"/>
      <w:bookmarkEnd w:id="358"/>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可以包括（但不限于）以下内容：</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1. 货物主要技术指标、参数及性能的详细说明；原材料选择、设计（使用）寿命；外购/外协件制造厂、产地；</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2. 货物设计、制造、检验（测）、试验、验收、包装、运输、储存及试车等拟采用的标准、规范和方式；产品相关鉴定资料、试验报告、检验报告等。</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3. 所投货物的技术彩页或有效的宣传资料及必要的图纸资料；</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4. 人员培训、技术服务计划及说明；货物安装、调试、试运行实施方案及进度计划；</w:t>
      </w:r>
    </w:p>
    <w:p>
      <w:pPr>
        <w:spacing w:line="46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5. 投标人提出的合理化建议（如技术方案的调整、设备配置及功能等）；</w:t>
      </w:r>
    </w:p>
    <w:p>
      <w:pPr>
        <w:spacing w:line="360" w:lineRule="auto"/>
        <w:ind w:firstLine="420" w:firstLineChars="200"/>
        <w:rPr>
          <w:rFonts w:hint="eastAsia" w:ascii="仿宋" w:hAnsi="仿宋" w:eastAsia="仿宋"/>
          <w:color w:val="auto"/>
          <w:sz w:val="24"/>
          <w:highlight w:val="none"/>
        </w:rPr>
      </w:pPr>
      <w:r>
        <w:rPr>
          <w:rFonts w:hint="eastAsia" w:ascii="仿宋" w:hAnsi="仿宋" w:eastAsia="仿宋"/>
          <w:color w:val="auto"/>
          <w:szCs w:val="21"/>
          <w:highlight w:val="none"/>
        </w:rPr>
        <w:t>……</w:t>
      </w:r>
    </w:p>
    <w:p>
      <w:pPr>
        <w:pStyle w:val="183"/>
        <w:spacing w:line="400" w:lineRule="exact"/>
        <w:ind w:firstLine="0" w:firstLineChars="0"/>
        <w:jc w:val="left"/>
        <w:rPr>
          <w:rFonts w:hint="eastAsia" w:ascii="仿宋" w:hAnsi="仿宋" w:eastAsia="仿宋"/>
          <w:b/>
          <w:bCs/>
          <w:color w:val="auto"/>
          <w:sz w:val="24"/>
          <w:highlight w:val="none"/>
        </w:rPr>
      </w:pPr>
    </w:p>
    <w:p>
      <w:pPr>
        <w:pStyle w:val="183"/>
        <w:numPr>
          <w:ilvl w:val="0"/>
          <w:numId w:val="2"/>
        </w:numPr>
        <w:spacing w:line="400" w:lineRule="exact"/>
        <w:ind w:firstLine="0" w:firstLineChars="0"/>
        <w:jc w:val="left"/>
        <w:rPr>
          <w:rFonts w:hint="eastAsia" w:ascii="仿宋" w:hAnsi="仿宋" w:eastAsia="仿宋"/>
          <w:color w:val="auto"/>
          <w:sz w:val="28"/>
          <w:szCs w:val="28"/>
          <w:highlight w:val="none"/>
        </w:rPr>
      </w:pPr>
      <w:bookmarkStart w:id="359" w:name="_Toc17377_WPSOffice_Level3"/>
      <w:bookmarkStart w:id="360" w:name="_Toc8522_WPSOffice_Level2"/>
      <w:r>
        <w:rPr>
          <w:rFonts w:hint="eastAsia" w:ascii="仿宋" w:hAnsi="仿宋" w:eastAsia="仿宋"/>
          <w:color w:val="auto"/>
          <w:sz w:val="28"/>
          <w:szCs w:val="28"/>
          <w:highlight w:val="none"/>
        </w:rPr>
        <w:t>货物说明一览表</w:t>
      </w:r>
      <w:bookmarkEnd w:id="359"/>
      <w:bookmarkEnd w:id="360"/>
    </w:p>
    <w:p>
      <w:pPr>
        <w:pStyle w:val="183"/>
        <w:numPr>
          <w:ilvl w:val="0"/>
          <w:numId w:val="2"/>
        </w:numPr>
        <w:spacing w:line="400" w:lineRule="exact"/>
        <w:ind w:firstLine="0" w:firstLineChars="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所投产品品牌及型号</w:t>
      </w:r>
    </w:p>
    <w:p>
      <w:pPr>
        <w:pStyle w:val="183"/>
        <w:spacing w:line="400" w:lineRule="exact"/>
        <w:ind w:firstLine="0" w:firstLineChars="0"/>
        <w:jc w:val="left"/>
        <w:rPr>
          <w:rFonts w:hint="eastAsia" w:ascii="仿宋" w:hAnsi="仿宋" w:eastAsia="仿宋"/>
          <w:color w:val="auto"/>
          <w:sz w:val="28"/>
          <w:szCs w:val="28"/>
          <w:highlight w:val="none"/>
        </w:rPr>
      </w:pPr>
      <w:bookmarkStart w:id="361" w:name="_Toc26723_WPSOffice_Level3"/>
      <w:bookmarkStart w:id="362" w:name="_Toc18212_WPSOffice_Level2"/>
      <w:r>
        <w:rPr>
          <w:rFonts w:hint="eastAsia" w:ascii="仿宋" w:hAnsi="仿宋" w:eastAsia="仿宋"/>
          <w:color w:val="auto"/>
          <w:sz w:val="28"/>
          <w:szCs w:val="28"/>
          <w:highlight w:val="none"/>
        </w:rPr>
        <w:t>十一、技术规格、参数响应/偏离表</w:t>
      </w:r>
      <w:bookmarkEnd w:id="361"/>
      <w:bookmarkEnd w:id="362"/>
    </w:p>
    <w:p>
      <w:pPr>
        <w:pStyle w:val="183"/>
        <w:spacing w:line="400" w:lineRule="exact"/>
        <w:ind w:firstLine="0" w:firstLineChars="0"/>
        <w:jc w:val="left"/>
        <w:rPr>
          <w:rFonts w:hint="eastAsia" w:ascii="仿宋" w:hAnsi="仿宋" w:eastAsia="仿宋"/>
          <w:color w:val="auto"/>
          <w:sz w:val="28"/>
          <w:szCs w:val="28"/>
          <w:highlight w:val="none"/>
        </w:rPr>
      </w:pPr>
      <w:bookmarkStart w:id="363" w:name="_Toc14908_WPSOffice_Level3"/>
      <w:bookmarkStart w:id="364" w:name="_Toc5788_WPSOffice_Level2"/>
      <w:r>
        <w:rPr>
          <w:rFonts w:hint="eastAsia" w:ascii="仿宋" w:hAnsi="仿宋" w:eastAsia="仿宋"/>
          <w:color w:val="auto"/>
          <w:sz w:val="28"/>
          <w:szCs w:val="28"/>
          <w:highlight w:val="none"/>
        </w:rPr>
        <w:t>十二、实施交货方案及说明</w:t>
      </w:r>
      <w:bookmarkEnd w:id="363"/>
      <w:bookmarkEnd w:id="364"/>
    </w:p>
    <w:p>
      <w:pPr>
        <w:pStyle w:val="183"/>
        <w:spacing w:line="400" w:lineRule="exact"/>
        <w:ind w:firstLine="0" w:firstLineChars="0"/>
        <w:jc w:val="left"/>
        <w:rPr>
          <w:rFonts w:hint="eastAsia" w:ascii="仿宋" w:hAnsi="仿宋" w:eastAsia="仿宋"/>
          <w:color w:val="auto"/>
          <w:sz w:val="28"/>
          <w:szCs w:val="28"/>
          <w:highlight w:val="none"/>
        </w:rPr>
      </w:pPr>
      <w:bookmarkStart w:id="365" w:name="_Toc5966_WPSOffice_Level2"/>
      <w:bookmarkStart w:id="366" w:name="_Toc28420_WPSOffice_Level3"/>
      <w:r>
        <w:rPr>
          <w:rFonts w:hint="eastAsia" w:ascii="仿宋" w:hAnsi="仿宋" w:eastAsia="仿宋"/>
          <w:color w:val="auto"/>
          <w:sz w:val="28"/>
          <w:szCs w:val="28"/>
          <w:highlight w:val="none"/>
        </w:rPr>
        <w:t>十三、投标货物符合招标文件规定的证明文件</w:t>
      </w:r>
      <w:bookmarkEnd w:id="365"/>
      <w:bookmarkEnd w:id="366"/>
    </w:p>
    <w:p>
      <w:pPr>
        <w:pStyle w:val="183"/>
        <w:spacing w:line="400" w:lineRule="exact"/>
        <w:ind w:firstLine="0" w:firstLineChars="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十四、2020年至今类似业绩一览表</w:t>
      </w:r>
    </w:p>
    <w:p>
      <w:pPr>
        <w:pStyle w:val="183"/>
        <w:spacing w:line="400" w:lineRule="exact"/>
        <w:ind w:firstLine="0" w:firstLineChars="0"/>
        <w:jc w:val="left"/>
        <w:rPr>
          <w:rFonts w:hint="eastAsia" w:ascii="仿宋" w:hAnsi="仿宋" w:eastAsia="仿宋"/>
          <w:b/>
          <w:color w:val="auto"/>
          <w:sz w:val="28"/>
          <w:szCs w:val="28"/>
          <w:highlight w:val="none"/>
        </w:rPr>
      </w:pPr>
      <w:r>
        <w:rPr>
          <w:rFonts w:hint="eastAsia" w:ascii="仿宋" w:hAnsi="仿宋" w:eastAsia="仿宋"/>
          <w:color w:val="auto"/>
          <w:sz w:val="28"/>
          <w:szCs w:val="28"/>
          <w:highlight w:val="none"/>
        </w:rPr>
        <w:t>十五、其他声明</w:t>
      </w: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pStyle w:val="13"/>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color w:val="auto"/>
          <w:highlight w:val="none"/>
        </w:rPr>
      </w:pPr>
    </w:p>
    <w:p>
      <w:pPr>
        <w:pStyle w:val="13"/>
        <w:rPr>
          <w:rFonts w:hint="eastAsia" w:ascii="仿宋" w:hAnsi="仿宋" w:eastAsia="仿宋"/>
          <w:color w:val="auto"/>
          <w:highlight w:val="none"/>
        </w:rPr>
      </w:pPr>
    </w:p>
    <w:p>
      <w:pPr>
        <w:pStyle w:val="4"/>
        <w:spacing w:before="0" w:line="240" w:lineRule="atLeast"/>
        <w:ind w:left="0" w:firstLine="562" w:firstLineChars="200"/>
        <w:rPr>
          <w:rFonts w:hint="eastAsia" w:ascii="仿宋" w:hAnsi="仿宋" w:eastAsia="仿宋"/>
          <w:color w:val="auto"/>
          <w:szCs w:val="28"/>
          <w:highlight w:val="none"/>
        </w:rPr>
      </w:pPr>
      <w:bookmarkStart w:id="367" w:name="_Toc29716"/>
      <w:bookmarkStart w:id="368" w:name="_Toc28961"/>
      <w:bookmarkStart w:id="369" w:name="_Toc5966_WPSOffice_Level3"/>
      <w:r>
        <w:rPr>
          <w:rFonts w:hint="eastAsia" w:ascii="仿宋" w:hAnsi="仿宋" w:eastAsia="仿宋"/>
          <w:color w:val="auto"/>
          <w:szCs w:val="28"/>
          <w:highlight w:val="none"/>
        </w:rPr>
        <w:t>格式 9 :货物说明一览表</w:t>
      </w:r>
      <w:bookmarkEnd w:id="367"/>
      <w:bookmarkEnd w:id="368"/>
      <w:bookmarkEnd w:id="369"/>
    </w:p>
    <w:p>
      <w:pPr>
        <w:bidi w:val="0"/>
        <w:rPr>
          <w:rFonts w:hint="eastAsia"/>
          <w:color w:val="auto"/>
          <w:highlight w:val="none"/>
        </w:rPr>
      </w:pPr>
    </w:p>
    <w:p>
      <w:pPr>
        <w:adjustRightInd w:val="0"/>
        <w:snapToGrid w:val="0"/>
        <w:spacing w:line="400" w:lineRule="exact"/>
        <w:ind w:left="-88" w:leftChars="-42" w:firstLine="168" w:firstLineChars="50"/>
        <w:rPr>
          <w:rFonts w:hint="eastAsia" w:ascii="仿宋" w:hAnsi="仿宋" w:eastAsia="仿宋"/>
          <w:color w:val="auto"/>
          <w:sz w:val="28"/>
          <w:szCs w:val="28"/>
          <w:highlight w:val="none"/>
        </w:rPr>
      </w:pPr>
      <w:r>
        <w:rPr>
          <w:rFonts w:hint="eastAsia" w:ascii="仿宋" w:hAnsi="仿宋" w:eastAsia="仿宋"/>
          <w:color w:val="auto"/>
          <w:spacing w:val="28"/>
          <w:sz w:val="28"/>
          <w:szCs w:val="28"/>
          <w:highlight w:val="none"/>
        </w:rPr>
        <w:t>项目名称：</w:t>
      </w:r>
      <w:r>
        <w:rPr>
          <w:rFonts w:hint="eastAsia" w:ascii="仿宋" w:hAnsi="仿宋" w:eastAsia="仿宋"/>
          <w:color w:val="auto"/>
          <w:spacing w:val="28"/>
          <w:sz w:val="28"/>
          <w:szCs w:val="28"/>
          <w:highlight w:val="none"/>
          <w:u w:val="single"/>
        </w:rPr>
        <w:t xml:space="preserve">            </w:t>
      </w:r>
      <w:r>
        <w:rPr>
          <w:rFonts w:hint="eastAsia" w:ascii="仿宋" w:hAnsi="仿宋" w:eastAsia="仿宋"/>
          <w:color w:val="auto"/>
          <w:spacing w:val="28"/>
          <w:sz w:val="28"/>
          <w:szCs w:val="28"/>
          <w:highlight w:val="none"/>
        </w:rPr>
        <w:t xml:space="preserve">    项目编号</w:t>
      </w:r>
      <w:r>
        <w:rPr>
          <w:rFonts w:hint="eastAsia" w:ascii="仿宋" w:hAnsi="仿宋" w:eastAsia="仿宋"/>
          <w:color w:val="auto"/>
          <w:sz w:val="28"/>
          <w:szCs w:val="28"/>
          <w:highlight w:val="none"/>
        </w:rPr>
        <w:t>:____________</w:t>
      </w:r>
    </w:p>
    <w:tbl>
      <w:tblPr>
        <w:tblStyle w:val="39"/>
        <w:tblW w:w="8244"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17"/>
        <w:gridCol w:w="1218"/>
        <w:gridCol w:w="1258"/>
        <w:gridCol w:w="1478"/>
        <w:gridCol w:w="2565"/>
        <w:gridCol w:w="11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序号</w:t>
            </w: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货物名称</w:t>
            </w: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制造商名称</w:t>
            </w: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器物型号规格</w:t>
            </w: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主要技术参数和技术指标</w:t>
            </w: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trPr>
        <w:tc>
          <w:tcPr>
            <w:tcW w:w="61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1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bl>
    <w:p>
      <w:pPr>
        <w:bidi w:val="0"/>
        <w:rPr>
          <w:rFonts w:hint="eastAsia"/>
          <w:color w:val="auto"/>
          <w:highlight w:val="none"/>
        </w:rPr>
      </w:pPr>
    </w:p>
    <w:p>
      <w:pPr>
        <w:pStyle w:val="183"/>
        <w:spacing w:line="400" w:lineRule="exact"/>
        <w:ind w:firstLine="562"/>
        <w:rPr>
          <w:rFonts w:hint="eastAsia" w:ascii="仿宋" w:hAnsi="仿宋" w:eastAsia="仿宋"/>
          <w:color w:val="auto"/>
          <w:sz w:val="28"/>
          <w:szCs w:val="28"/>
          <w:highlight w:val="none"/>
        </w:rPr>
      </w:pPr>
      <w:r>
        <w:rPr>
          <w:rFonts w:hint="eastAsia" w:ascii="仿宋" w:hAnsi="仿宋" w:eastAsia="仿宋"/>
          <w:b/>
          <w:color w:val="auto"/>
          <w:sz w:val="28"/>
          <w:szCs w:val="28"/>
          <w:highlight w:val="none"/>
        </w:rPr>
        <w:t>备注</w:t>
      </w:r>
      <w:r>
        <w:rPr>
          <w:rFonts w:hint="eastAsia" w:ascii="仿宋" w:hAnsi="仿宋" w:eastAsia="仿宋"/>
          <w:color w:val="auto"/>
          <w:sz w:val="28"/>
          <w:szCs w:val="28"/>
          <w:highlight w:val="none"/>
        </w:rPr>
        <w:t>：货物的主要技术参数和技术指标可另页描述。</w:t>
      </w:r>
    </w:p>
    <w:p>
      <w:pPr>
        <w:bidi w:val="0"/>
        <w:rPr>
          <w:rFonts w:hint="eastAsia"/>
          <w:color w:val="auto"/>
          <w:highlight w:val="none"/>
        </w:rPr>
      </w:pPr>
    </w:p>
    <w:p>
      <w:pPr>
        <w:bidi w:val="0"/>
        <w:rPr>
          <w:rFonts w:hint="eastAsia"/>
          <w:color w:val="auto"/>
          <w:highlight w:val="none"/>
        </w:rPr>
      </w:pPr>
    </w:p>
    <w:p>
      <w:pPr>
        <w:adjustRightInd w:val="0"/>
        <w:snapToGrid w:val="0"/>
        <w:spacing w:before="50"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adjustRightInd w:val="0"/>
        <w:snapToGrid w:val="0"/>
        <w:spacing w:before="50"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adjustRightInd w:val="0"/>
        <w:snapToGrid w:val="0"/>
        <w:spacing w:before="50" w:line="400" w:lineRule="exact"/>
        <w:rPr>
          <w:rFonts w:hint="eastAsia" w:ascii="仿宋" w:hAnsi="仿宋" w:eastAsia="仿宋"/>
          <w:color w:val="auto"/>
          <w:sz w:val="28"/>
          <w:szCs w:val="28"/>
          <w:highlight w:val="none"/>
        </w:rPr>
        <w:sectPr>
          <w:headerReference r:id="rId9" w:type="default"/>
          <w:footerReference r:id="rId10" w:type="default"/>
          <w:pgSz w:w="11906" w:h="16838"/>
          <w:pgMar w:top="1417" w:right="1417" w:bottom="1417" w:left="1417" w:header="935" w:footer="720" w:gutter="0"/>
          <w:cols w:space="0" w:num="1"/>
          <w:rtlGutter w:val="0"/>
          <w:docGrid w:linePitch="312" w:charSpace="0"/>
        </w:sectPr>
      </w:pPr>
      <w:r>
        <w:rPr>
          <w:rFonts w:hint="eastAsia" w:ascii="仿宋" w:hAnsi="仿宋" w:eastAsia="仿宋"/>
          <w:color w:val="auto"/>
          <w:sz w:val="28"/>
          <w:szCs w:val="28"/>
          <w:highlight w:val="none"/>
        </w:rPr>
        <w:t>日期：   年  月  日</w:t>
      </w:r>
    </w:p>
    <w:p>
      <w:pPr>
        <w:pStyle w:val="4"/>
        <w:spacing w:before="0" w:line="240" w:lineRule="atLeast"/>
        <w:ind w:left="0" w:firstLine="562" w:firstLineChars="200"/>
        <w:rPr>
          <w:rFonts w:hint="eastAsia" w:ascii="仿宋" w:hAnsi="仿宋" w:eastAsia="仿宋"/>
          <w:color w:val="auto"/>
          <w:szCs w:val="28"/>
          <w:highlight w:val="none"/>
        </w:rPr>
      </w:pPr>
      <w:bookmarkStart w:id="370" w:name="_Toc3336"/>
      <w:bookmarkStart w:id="371" w:name="_Toc12048"/>
      <w:bookmarkStart w:id="372" w:name="_Toc6205"/>
      <w:bookmarkStart w:id="373" w:name="_Toc29013_WPSOffice_Level3"/>
      <w:r>
        <w:rPr>
          <w:rFonts w:hint="eastAsia" w:ascii="仿宋" w:hAnsi="仿宋" w:eastAsia="仿宋"/>
          <w:color w:val="auto"/>
          <w:szCs w:val="28"/>
          <w:highlight w:val="none"/>
        </w:rPr>
        <w:t>格式 10：所投产品品牌及型号</w:t>
      </w:r>
      <w:bookmarkEnd w:id="370"/>
      <w:bookmarkEnd w:id="371"/>
      <w:bookmarkEnd w:id="372"/>
    </w:p>
    <w:p>
      <w:pPr>
        <w:rPr>
          <w:color w:val="auto"/>
          <w:highlight w:val="none"/>
        </w:rPr>
      </w:pPr>
    </w:p>
    <w:p>
      <w:pPr>
        <w:adjustRightInd w:val="0"/>
        <w:snapToGrid w:val="0"/>
        <w:spacing w:line="400" w:lineRule="exact"/>
        <w:ind w:left="-88" w:leftChars="-42" w:firstLine="168" w:firstLineChars="50"/>
        <w:rPr>
          <w:rFonts w:hint="eastAsia" w:ascii="仿宋" w:hAnsi="仿宋" w:eastAsia="仿宋"/>
          <w:color w:val="auto"/>
          <w:sz w:val="28"/>
          <w:szCs w:val="28"/>
          <w:highlight w:val="none"/>
        </w:rPr>
      </w:pPr>
      <w:r>
        <w:rPr>
          <w:rFonts w:hint="eastAsia" w:ascii="仿宋" w:hAnsi="仿宋" w:eastAsia="仿宋"/>
          <w:color w:val="auto"/>
          <w:spacing w:val="28"/>
          <w:sz w:val="28"/>
          <w:szCs w:val="28"/>
          <w:highlight w:val="none"/>
        </w:rPr>
        <w:t>项目名称：    项目编号</w:t>
      </w:r>
      <w:r>
        <w:rPr>
          <w:rFonts w:hint="eastAsia" w:ascii="仿宋" w:hAnsi="仿宋" w:eastAsia="仿宋"/>
          <w:color w:val="auto"/>
          <w:sz w:val="28"/>
          <w:szCs w:val="28"/>
          <w:highlight w:val="none"/>
        </w:rPr>
        <w:t>:____________</w:t>
      </w:r>
    </w:p>
    <w:tbl>
      <w:tblPr>
        <w:tblStyle w:val="39"/>
        <w:tblW w:w="8244"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8"/>
        <w:gridCol w:w="1087"/>
        <w:gridCol w:w="1258"/>
        <w:gridCol w:w="1478"/>
        <w:gridCol w:w="2565"/>
        <w:gridCol w:w="11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序号</w:t>
            </w: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货物名称</w:t>
            </w: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制造商名称</w:t>
            </w: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品牌</w:t>
            </w: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型号规格</w:t>
            </w: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r>
              <w:rPr>
                <w:rFonts w:hint="eastAsia" w:ascii="仿宋" w:hAnsi="仿宋" w:eastAsia="仿宋"/>
                <w:bCs/>
                <w:color w:val="auto"/>
                <w:sz w:val="28"/>
                <w:szCs w:val="28"/>
                <w:highlight w:val="none"/>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2"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trPr>
        <w:tc>
          <w:tcPr>
            <w:tcW w:w="74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087"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25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47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2565"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c>
          <w:tcPr>
            <w:tcW w:w="1108" w:type="dxa"/>
            <w:noWrap/>
          </w:tcPr>
          <w:p>
            <w:pPr>
              <w:adjustRightInd w:val="0"/>
              <w:snapToGrid w:val="0"/>
              <w:spacing w:line="400" w:lineRule="exact"/>
              <w:ind w:left="-88" w:leftChars="-42"/>
              <w:jc w:val="center"/>
              <w:rPr>
                <w:rFonts w:hint="eastAsia" w:ascii="仿宋" w:hAnsi="仿宋" w:eastAsia="仿宋"/>
                <w:b/>
                <w:color w:val="auto"/>
                <w:sz w:val="28"/>
                <w:szCs w:val="28"/>
                <w:highlight w:val="none"/>
              </w:rPr>
            </w:pPr>
          </w:p>
        </w:tc>
      </w:tr>
    </w:tbl>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adjustRightInd w:val="0"/>
        <w:snapToGrid w:val="0"/>
        <w:spacing w:before="50"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adjustRightInd w:val="0"/>
        <w:snapToGrid w:val="0"/>
        <w:spacing w:before="50"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adjustRightInd w:val="0"/>
        <w:snapToGrid w:val="0"/>
        <w:spacing w:before="50" w:line="400" w:lineRule="exac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日期：   年  月  日</w:t>
      </w:r>
    </w:p>
    <w:p>
      <w:pPr>
        <w:pStyle w:val="13"/>
        <w:rPr>
          <w:color w:val="auto"/>
          <w:highlight w:val="none"/>
        </w:rPr>
      </w:pPr>
    </w:p>
    <w:p>
      <w:pPr>
        <w:rPr>
          <w:color w:val="auto"/>
          <w:highlight w:val="none"/>
        </w:rPr>
      </w:pPr>
    </w:p>
    <w:p>
      <w:pPr>
        <w:pStyle w:val="13"/>
        <w:rPr>
          <w:color w:val="auto"/>
          <w:highlight w:val="none"/>
        </w:rPr>
      </w:pPr>
    </w:p>
    <w:p>
      <w:pPr>
        <w:bidi w:val="0"/>
        <w:rPr>
          <w:color w:val="auto"/>
          <w:highlight w:val="none"/>
        </w:rPr>
      </w:pPr>
    </w:p>
    <w:p>
      <w:pPr>
        <w:bidi w:val="0"/>
        <w:rPr>
          <w:color w:val="auto"/>
          <w:highlight w:val="none"/>
        </w:rPr>
      </w:pPr>
    </w:p>
    <w:p>
      <w:pPr>
        <w:bidi w:val="0"/>
        <w:rPr>
          <w:color w:val="auto"/>
          <w:highlight w:val="none"/>
        </w:rPr>
      </w:pPr>
    </w:p>
    <w:p>
      <w:pPr>
        <w:bidi w:val="0"/>
        <w:rPr>
          <w:color w:val="auto"/>
          <w:highlight w:val="none"/>
        </w:rPr>
      </w:pPr>
    </w:p>
    <w:p>
      <w:pPr>
        <w:bidi w:val="0"/>
        <w:rPr>
          <w:color w:val="auto"/>
          <w:highlight w:val="none"/>
        </w:rPr>
      </w:pPr>
    </w:p>
    <w:p>
      <w:pPr>
        <w:bidi w:val="0"/>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bidi w:val="0"/>
        <w:rPr>
          <w:color w:val="auto"/>
          <w:highlight w:val="none"/>
        </w:rPr>
      </w:pPr>
    </w:p>
    <w:p>
      <w:pPr>
        <w:bidi w:val="0"/>
        <w:rPr>
          <w:color w:val="auto"/>
          <w:highlight w:val="none"/>
        </w:rPr>
      </w:pPr>
    </w:p>
    <w:p>
      <w:pPr>
        <w:bidi w:val="0"/>
        <w:rPr>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rFonts w:hint="eastAsia"/>
          <w:color w:val="auto"/>
          <w:highlight w:val="none"/>
        </w:rPr>
      </w:pPr>
    </w:p>
    <w:p>
      <w:pPr>
        <w:bidi w:val="0"/>
        <w:rPr>
          <w:color w:val="auto"/>
          <w:highlight w:val="none"/>
        </w:rPr>
      </w:pPr>
    </w:p>
    <w:p>
      <w:pPr>
        <w:bidi w:val="0"/>
        <w:rPr>
          <w:rFonts w:hint="eastAsia"/>
          <w:color w:val="auto"/>
          <w:highlight w:val="none"/>
        </w:rPr>
      </w:pPr>
    </w:p>
    <w:p>
      <w:pPr>
        <w:bidi w:val="0"/>
        <w:rPr>
          <w:rFonts w:hint="eastAsia"/>
          <w:color w:val="auto"/>
          <w:highlight w:val="none"/>
        </w:rPr>
      </w:pPr>
    </w:p>
    <w:p>
      <w:pPr>
        <w:bidi w:val="0"/>
        <w:rPr>
          <w:color w:val="auto"/>
          <w:highlight w:val="none"/>
        </w:rPr>
      </w:pPr>
    </w:p>
    <w:p>
      <w:pPr>
        <w:pStyle w:val="4"/>
        <w:rPr>
          <w:rFonts w:hint="eastAsia" w:ascii="仿宋" w:hAnsi="仿宋" w:eastAsia="仿宋" w:cs="仿宋"/>
          <w:color w:val="auto"/>
          <w:szCs w:val="28"/>
          <w:highlight w:val="none"/>
        </w:rPr>
      </w:pPr>
      <w:bookmarkStart w:id="374" w:name="_Toc18"/>
      <w:bookmarkStart w:id="375" w:name="_Toc24945"/>
      <w:r>
        <w:rPr>
          <w:rFonts w:hint="eastAsia" w:ascii="仿宋" w:hAnsi="仿宋" w:eastAsia="仿宋" w:cs="仿宋"/>
          <w:color w:val="auto"/>
          <w:highlight w:val="none"/>
        </w:rPr>
        <w:t>格式 11：技术规格、参数响应/偏离表</w:t>
      </w:r>
      <w:bookmarkEnd w:id="373"/>
      <w:bookmarkEnd w:id="374"/>
      <w:bookmarkEnd w:id="375"/>
    </w:p>
    <w:p>
      <w:pPr>
        <w:adjustRightInd w:val="0"/>
        <w:snapToGrid w:val="0"/>
        <w:spacing w:line="400" w:lineRule="exact"/>
        <w:jc w:val="center"/>
        <w:rPr>
          <w:rFonts w:hint="eastAsia" w:ascii="仿宋" w:hAnsi="仿宋" w:eastAsia="仿宋"/>
          <w:b/>
          <w:color w:val="auto"/>
          <w:highlight w:val="none"/>
        </w:rPr>
      </w:pPr>
    </w:p>
    <w:p>
      <w:pPr>
        <w:spacing w:line="360" w:lineRule="auto"/>
        <w:jc w:val="center"/>
        <w:rPr>
          <w:rFonts w:hint="eastAsia" w:ascii="仿宋" w:hAnsi="仿宋" w:eastAsia="仿宋"/>
          <w:b/>
          <w:bCs/>
          <w:color w:val="auto"/>
          <w:sz w:val="32"/>
          <w:szCs w:val="32"/>
          <w:highlight w:val="none"/>
        </w:rPr>
      </w:pPr>
      <w:bookmarkStart w:id="376" w:name="_Toc60996695"/>
      <w:r>
        <w:rPr>
          <w:rFonts w:hint="eastAsia" w:ascii="仿宋" w:hAnsi="仿宋" w:eastAsia="仿宋"/>
          <w:b/>
          <w:bCs/>
          <w:color w:val="auto"/>
          <w:sz w:val="32"/>
          <w:szCs w:val="32"/>
          <w:highlight w:val="none"/>
        </w:rPr>
        <w:t>技术规格、参数响应/偏离表</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投标人应按所投产品的实际技术参数，逐条对应招标文件的第三章“技术规格、参数与要求”中要求的技术规范如实、完整、准确的填写该表。</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★本表格将作为评标委员会对投标人技术部分的评审依据，未填写本表格的投标人将不能通过初步评审。</w:t>
      </w:r>
    </w:p>
    <w:p>
      <w:pPr>
        <w:spacing w:line="36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项目编号：_________________</w:t>
      </w:r>
    </w:p>
    <w:tbl>
      <w:tblPr>
        <w:tblStyle w:val="39"/>
        <w:tblW w:w="10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06"/>
        <w:gridCol w:w="3359"/>
        <w:gridCol w:w="2728"/>
        <w:gridCol w:w="1090"/>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562"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序号</w:t>
            </w:r>
          </w:p>
        </w:tc>
        <w:tc>
          <w:tcPr>
            <w:tcW w:w="1106"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货物名称</w:t>
            </w:r>
          </w:p>
        </w:tc>
        <w:tc>
          <w:tcPr>
            <w:tcW w:w="3359"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招标文件技术规范、要求</w:t>
            </w:r>
          </w:p>
        </w:tc>
        <w:tc>
          <w:tcPr>
            <w:tcW w:w="2728"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投标品牌、型号、技术参数及配置</w:t>
            </w:r>
          </w:p>
        </w:tc>
        <w:tc>
          <w:tcPr>
            <w:tcW w:w="1090"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响应/偏离</w:t>
            </w:r>
          </w:p>
        </w:tc>
        <w:tc>
          <w:tcPr>
            <w:tcW w:w="1975" w:type="dxa"/>
            <w:vAlign w:val="center"/>
          </w:tcPr>
          <w:p>
            <w:pPr>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62" w:type="dxa"/>
            <w:vAlign w:val="center"/>
          </w:tcPr>
          <w:p>
            <w:pPr>
              <w:jc w:val="center"/>
              <w:rPr>
                <w:rFonts w:hint="eastAsia" w:ascii="仿宋" w:hAnsi="仿宋" w:eastAsia="仿宋"/>
                <w:color w:val="auto"/>
                <w:sz w:val="28"/>
                <w:szCs w:val="28"/>
                <w:highlight w:val="none"/>
              </w:rPr>
            </w:pPr>
          </w:p>
        </w:tc>
        <w:tc>
          <w:tcPr>
            <w:tcW w:w="1106" w:type="dxa"/>
            <w:vAlign w:val="center"/>
          </w:tcPr>
          <w:p>
            <w:pPr>
              <w:jc w:val="center"/>
              <w:rPr>
                <w:rFonts w:hint="eastAsia" w:ascii="仿宋" w:hAnsi="仿宋" w:eastAsia="仿宋"/>
                <w:color w:val="auto"/>
                <w:sz w:val="28"/>
                <w:szCs w:val="28"/>
                <w:highlight w:val="none"/>
              </w:rPr>
            </w:pPr>
          </w:p>
        </w:tc>
        <w:tc>
          <w:tcPr>
            <w:tcW w:w="3359" w:type="dxa"/>
            <w:vAlign w:val="center"/>
          </w:tcPr>
          <w:p>
            <w:pPr>
              <w:jc w:val="center"/>
              <w:rPr>
                <w:rFonts w:hint="eastAsia" w:ascii="仿宋" w:hAnsi="仿宋" w:eastAsia="仿宋"/>
                <w:color w:val="auto"/>
                <w:sz w:val="28"/>
                <w:szCs w:val="28"/>
                <w:highlight w:val="none"/>
              </w:rPr>
            </w:pPr>
          </w:p>
        </w:tc>
        <w:tc>
          <w:tcPr>
            <w:tcW w:w="2728" w:type="dxa"/>
            <w:vAlign w:val="center"/>
          </w:tcPr>
          <w:p>
            <w:pPr>
              <w:jc w:val="center"/>
              <w:rPr>
                <w:rFonts w:hint="eastAsia" w:ascii="仿宋" w:hAnsi="仿宋" w:eastAsia="仿宋"/>
                <w:color w:val="auto"/>
                <w:sz w:val="28"/>
                <w:szCs w:val="28"/>
                <w:highlight w:val="none"/>
              </w:rPr>
            </w:pPr>
          </w:p>
        </w:tc>
        <w:tc>
          <w:tcPr>
            <w:tcW w:w="1090" w:type="dxa"/>
            <w:vAlign w:val="center"/>
          </w:tcPr>
          <w:p>
            <w:pPr>
              <w:jc w:val="center"/>
              <w:rPr>
                <w:rFonts w:hint="eastAsia" w:ascii="仿宋" w:hAnsi="仿宋" w:eastAsia="仿宋"/>
                <w:color w:val="auto"/>
                <w:sz w:val="28"/>
                <w:szCs w:val="28"/>
                <w:highlight w:val="none"/>
              </w:rPr>
            </w:pPr>
          </w:p>
        </w:tc>
        <w:tc>
          <w:tcPr>
            <w:tcW w:w="1975"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62" w:type="dxa"/>
            <w:vAlign w:val="center"/>
          </w:tcPr>
          <w:p>
            <w:pPr>
              <w:jc w:val="center"/>
              <w:rPr>
                <w:rFonts w:hint="eastAsia" w:ascii="仿宋" w:hAnsi="仿宋" w:eastAsia="仿宋"/>
                <w:color w:val="auto"/>
                <w:sz w:val="28"/>
                <w:szCs w:val="28"/>
                <w:highlight w:val="none"/>
              </w:rPr>
            </w:pPr>
          </w:p>
        </w:tc>
        <w:tc>
          <w:tcPr>
            <w:tcW w:w="1106" w:type="dxa"/>
            <w:vAlign w:val="center"/>
          </w:tcPr>
          <w:p>
            <w:pPr>
              <w:jc w:val="center"/>
              <w:rPr>
                <w:rFonts w:hint="eastAsia" w:ascii="仿宋" w:hAnsi="仿宋" w:eastAsia="仿宋"/>
                <w:color w:val="auto"/>
                <w:sz w:val="28"/>
                <w:szCs w:val="28"/>
                <w:highlight w:val="none"/>
              </w:rPr>
            </w:pPr>
          </w:p>
        </w:tc>
        <w:tc>
          <w:tcPr>
            <w:tcW w:w="3359" w:type="dxa"/>
            <w:vAlign w:val="center"/>
          </w:tcPr>
          <w:p>
            <w:pPr>
              <w:jc w:val="center"/>
              <w:rPr>
                <w:rFonts w:hint="eastAsia" w:ascii="仿宋" w:hAnsi="仿宋" w:eastAsia="仿宋"/>
                <w:color w:val="auto"/>
                <w:sz w:val="28"/>
                <w:szCs w:val="28"/>
                <w:highlight w:val="none"/>
              </w:rPr>
            </w:pPr>
          </w:p>
        </w:tc>
        <w:tc>
          <w:tcPr>
            <w:tcW w:w="2728" w:type="dxa"/>
            <w:vAlign w:val="center"/>
          </w:tcPr>
          <w:p>
            <w:pPr>
              <w:jc w:val="center"/>
              <w:rPr>
                <w:rFonts w:hint="eastAsia" w:ascii="仿宋" w:hAnsi="仿宋" w:eastAsia="仿宋"/>
                <w:color w:val="auto"/>
                <w:sz w:val="28"/>
                <w:szCs w:val="28"/>
                <w:highlight w:val="none"/>
              </w:rPr>
            </w:pPr>
          </w:p>
        </w:tc>
        <w:tc>
          <w:tcPr>
            <w:tcW w:w="1090" w:type="dxa"/>
            <w:vAlign w:val="center"/>
          </w:tcPr>
          <w:p>
            <w:pPr>
              <w:jc w:val="center"/>
              <w:rPr>
                <w:rFonts w:hint="eastAsia" w:ascii="仿宋" w:hAnsi="仿宋" w:eastAsia="仿宋"/>
                <w:color w:val="auto"/>
                <w:sz w:val="28"/>
                <w:szCs w:val="28"/>
                <w:highlight w:val="none"/>
              </w:rPr>
            </w:pPr>
          </w:p>
        </w:tc>
        <w:tc>
          <w:tcPr>
            <w:tcW w:w="1975"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62" w:type="dxa"/>
            <w:vAlign w:val="center"/>
          </w:tcPr>
          <w:p>
            <w:pPr>
              <w:jc w:val="center"/>
              <w:rPr>
                <w:rFonts w:hint="eastAsia" w:ascii="仿宋" w:hAnsi="仿宋" w:eastAsia="仿宋"/>
                <w:color w:val="auto"/>
                <w:sz w:val="28"/>
                <w:szCs w:val="28"/>
                <w:highlight w:val="none"/>
              </w:rPr>
            </w:pPr>
          </w:p>
        </w:tc>
        <w:tc>
          <w:tcPr>
            <w:tcW w:w="1106" w:type="dxa"/>
            <w:vAlign w:val="center"/>
          </w:tcPr>
          <w:p>
            <w:pPr>
              <w:jc w:val="center"/>
              <w:rPr>
                <w:rFonts w:hint="eastAsia" w:ascii="仿宋" w:hAnsi="仿宋" w:eastAsia="仿宋"/>
                <w:color w:val="auto"/>
                <w:sz w:val="28"/>
                <w:szCs w:val="28"/>
                <w:highlight w:val="none"/>
              </w:rPr>
            </w:pPr>
          </w:p>
        </w:tc>
        <w:tc>
          <w:tcPr>
            <w:tcW w:w="3359" w:type="dxa"/>
            <w:vAlign w:val="center"/>
          </w:tcPr>
          <w:p>
            <w:pPr>
              <w:jc w:val="center"/>
              <w:rPr>
                <w:rFonts w:hint="eastAsia" w:ascii="仿宋" w:hAnsi="仿宋" w:eastAsia="仿宋"/>
                <w:color w:val="auto"/>
                <w:sz w:val="28"/>
                <w:szCs w:val="28"/>
                <w:highlight w:val="none"/>
              </w:rPr>
            </w:pPr>
          </w:p>
        </w:tc>
        <w:tc>
          <w:tcPr>
            <w:tcW w:w="2728" w:type="dxa"/>
            <w:vAlign w:val="center"/>
          </w:tcPr>
          <w:p>
            <w:pPr>
              <w:jc w:val="center"/>
              <w:rPr>
                <w:rFonts w:hint="eastAsia" w:ascii="仿宋" w:hAnsi="仿宋" w:eastAsia="仿宋"/>
                <w:color w:val="auto"/>
                <w:sz w:val="28"/>
                <w:szCs w:val="28"/>
                <w:highlight w:val="none"/>
              </w:rPr>
            </w:pPr>
          </w:p>
        </w:tc>
        <w:tc>
          <w:tcPr>
            <w:tcW w:w="1090" w:type="dxa"/>
            <w:vAlign w:val="center"/>
          </w:tcPr>
          <w:p>
            <w:pPr>
              <w:jc w:val="center"/>
              <w:rPr>
                <w:rFonts w:hint="eastAsia" w:ascii="仿宋" w:hAnsi="仿宋" w:eastAsia="仿宋"/>
                <w:color w:val="auto"/>
                <w:sz w:val="28"/>
                <w:szCs w:val="28"/>
                <w:highlight w:val="none"/>
              </w:rPr>
            </w:pPr>
          </w:p>
        </w:tc>
        <w:tc>
          <w:tcPr>
            <w:tcW w:w="1975"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562" w:type="dxa"/>
            <w:vAlign w:val="center"/>
          </w:tcPr>
          <w:p>
            <w:pPr>
              <w:jc w:val="center"/>
              <w:rPr>
                <w:rFonts w:hint="eastAsia" w:ascii="仿宋" w:hAnsi="仿宋" w:eastAsia="仿宋"/>
                <w:color w:val="auto"/>
                <w:sz w:val="28"/>
                <w:szCs w:val="28"/>
                <w:highlight w:val="none"/>
              </w:rPr>
            </w:pPr>
          </w:p>
        </w:tc>
        <w:tc>
          <w:tcPr>
            <w:tcW w:w="1106" w:type="dxa"/>
            <w:vAlign w:val="center"/>
          </w:tcPr>
          <w:p>
            <w:pPr>
              <w:jc w:val="center"/>
              <w:rPr>
                <w:rFonts w:hint="eastAsia" w:ascii="仿宋" w:hAnsi="仿宋" w:eastAsia="仿宋"/>
                <w:color w:val="auto"/>
                <w:sz w:val="28"/>
                <w:szCs w:val="28"/>
                <w:highlight w:val="none"/>
              </w:rPr>
            </w:pPr>
          </w:p>
        </w:tc>
        <w:tc>
          <w:tcPr>
            <w:tcW w:w="3359" w:type="dxa"/>
            <w:vAlign w:val="center"/>
          </w:tcPr>
          <w:p>
            <w:pPr>
              <w:jc w:val="center"/>
              <w:rPr>
                <w:rFonts w:hint="eastAsia" w:ascii="仿宋" w:hAnsi="仿宋" w:eastAsia="仿宋"/>
                <w:color w:val="auto"/>
                <w:sz w:val="28"/>
                <w:szCs w:val="28"/>
                <w:highlight w:val="none"/>
              </w:rPr>
            </w:pPr>
          </w:p>
        </w:tc>
        <w:tc>
          <w:tcPr>
            <w:tcW w:w="2728" w:type="dxa"/>
            <w:vAlign w:val="center"/>
          </w:tcPr>
          <w:p>
            <w:pPr>
              <w:jc w:val="center"/>
              <w:rPr>
                <w:rFonts w:hint="eastAsia" w:ascii="仿宋" w:hAnsi="仿宋" w:eastAsia="仿宋"/>
                <w:color w:val="auto"/>
                <w:sz w:val="28"/>
                <w:szCs w:val="28"/>
                <w:highlight w:val="none"/>
              </w:rPr>
            </w:pPr>
          </w:p>
        </w:tc>
        <w:tc>
          <w:tcPr>
            <w:tcW w:w="1090" w:type="dxa"/>
            <w:vAlign w:val="center"/>
          </w:tcPr>
          <w:p>
            <w:pPr>
              <w:jc w:val="center"/>
              <w:rPr>
                <w:rFonts w:hint="eastAsia" w:ascii="仿宋" w:hAnsi="仿宋" w:eastAsia="仿宋"/>
                <w:color w:val="auto"/>
                <w:sz w:val="28"/>
                <w:szCs w:val="28"/>
                <w:highlight w:val="none"/>
              </w:rPr>
            </w:pPr>
          </w:p>
        </w:tc>
        <w:tc>
          <w:tcPr>
            <w:tcW w:w="1975" w:type="dxa"/>
            <w:vAlign w:val="center"/>
          </w:tcPr>
          <w:p>
            <w:pPr>
              <w:jc w:val="center"/>
              <w:rPr>
                <w:rFonts w:hint="eastAsia" w:ascii="仿宋" w:hAnsi="仿宋" w:eastAsia="仿宋"/>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562" w:type="dxa"/>
            <w:vAlign w:val="center"/>
          </w:tcPr>
          <w:p>
            <w:pPr>
              <w:jc w:val="center"/>
              <w:rPr>
                <w:rFonts w:hint="eastAsia" w:ascii="仿宋" w:hAnsi="仿宋" w:eastAsia="仿宋"/>
                <w:color w:val="auto"/>
                <w:sz w:val="28"/>
                <w:szCs w:val="28"/>
                <w:highlight w:val="none"/>
              </w:rPr>
            </w:pPr>
          </w:p>
        </w:tc>
        <w:tc>
          <w:tcPr>
            <w:tcW w:w="1106" w:type="dxa"/>
            <w:vAlign w:val="center"/>
          </w:tcPr>
          <w:p>
            <w:pPr>
              <w:jc w:val="center"/>
              <w:rPr>
                <w:rFonts w:hint="eastAsia" w:ascii="仿宋" w:hAnsi="仿宋" w:eastAsia="仿宋"/>
                <w:color w:val="auto"/>
                <w:sz w:val="28"/>
                <w:szCs w:val="28"/>
                <w:highlight w:val="none"/>
              </w:rPr>
            </w:pPr>
          </w:p>
        </w:tc>
        <w:tc>
          <w:tcPr>
            <w:tcW w:w="3359" w:type="dxa"/>
            <w:vAlign w:val="center"/>
          </w:tcPr>
          <w:p>
            <w:pPr>
              <w:jc w:val="center"/>
              <w:rPr>
                <w:rFonts w:hint="eastAsia" w:ascii="仿宋" w:hAnsi="仿宋" w:eastAsia="仿宋"/>
                <w:color w:val="auto"/>
                <w:sz w:val="28"/>
                <w:szCs w:val="28"/>
                <w:highlight w:val="none"/>
              </w:rPr>
            </w:pPr>
          </w:p>
        </w:tc>
        <w:tc>
          <w:tcPr>
            <w:tcW w:w="2728" w:type="dxa"/>
            <w:vAlign w:val="center"/>
          </w:tcPr>
          <w:p>
            <w:pPr>
              <w:jc w:val="center"/>
              <w:rPr>
                <w:rFonts w:hint="eastAsia" w:ascii="仿宋" w:hAnsi="仿宋" w:eastAsia="仿宋"/>
                <w:color w:val="auto"/>
                <w:sz w:val="28"/>
                <w:szCs w:val="28"/>
                <w:highlight w:val="none"/>
              </w:rPr>
            </w:pPr>
          </w:p>
        </w:tc>
        <w:tc>
          <w:tcPr>
            <w:tcW w:w="1090" w:type="dxa"/>
            <w:vAlign w:val="center"/>
          </w:tcPr>
          <w:p>
            <w:pPr>
              <w:jc w:val="center"/>
              <w:rPr>
                <w:rFonts w:hint="eastAsia" w:ascii="仿宋" w:hAnsi="仿宋" w:eastAsia="仿宋"/>
                <w:color w:val="auto"/>
                <w:sz w:val="28"/>
                <w:szCs w:val="28"/>
                <w:highlight w:val="none"/>
              </w:rPr>
            </w:pPr>
          </w:p>
        </w:tc>
        <w:tc>
          <w:tcPr>
            <w:tcW w:w="1975" w:type="dxa"/>
            <w:vAlign w:val="center"/>
          </w:tcPr>
          <w:p>
            <w:pPr>
              <w:jc w:val="center"/>
              <w:rPr>
                <w:rFonts w:hint="eastAsia" w:ascii="仿宋" w:hAnsi="仿宋" w:eastAsia="仿宋"/>
                <w:color w:val="auto"/>
                <w:sz w:val="28"/>
                <w:szCs w:val="28"/>
                <w:highlight w:val="none"/>
              </w:rPr>
            </w:pPr>
          </w:p>
        </w:tc>
      </w:tr>
    </w:tbl>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投标人(电子签章)：</w:t>
      </w:r>
    </w:p>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法定代表人(电子签章)或授权代理人(签字)：</w:t>
      </w:r>
    </w:p>
    <w:p>
      <w:pPr>
        <w:spacing w:line="360" w:lineRule="auto"/>
        <w:ind w:firstLine="2" w:firstLineChars="1"/>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年月日</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表格填写说明：</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bCs/>
          <w:color w:val="auto"/>
          <w:sz w:val="28"/>
          <w:szCs w:val="28"/>
          <w:highlight w:val="none"/>
        </w:rPr>
        <w:t>1、表格中“货物名称”及“招标文件技术规范、要求”可按“技术规格、参数与要求</w:t>
      </w:r>
      <w:r>
        <w:rPr>
          <w:rFonts w:hint="eastAsia" w:ascii="仿宋" w:hAnsi="仿宋" w:eastAsia="仿宋"/>
          <w:color w:val="auto"/>
          <w:sz w:val="28"/>
          <w:szCs w:val="28"/>
          <w:highlight w:val="none"/>
        </w:rPr>
        <w:t>”内容复制。</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表格中“投标品牌、型号、技术参数及配置”请投标人根据实际投标情况如实、完整、准确地填写，请勿复制、粘贴招标要求。若由于投标人的疏忽大意或未能完整、如实填写，导致的一切后果由投标人自行承担。</w:t>
      </w:r>
    </w:p>
    <w:p>
      <w:pPr>
        <w:spacing w:line="240" w:lineRule="atLeast"/>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3</w:t>
      </w:r>
      <w:r>
        <w:rPr>
          <w:rFonts w:hint="eastAsia" w:ascii="仿宋" w:hAnsi="仿宋" w:eastAsia="仿宋"/>
          <w:color w:val="auto"/>
          <w:sz w:val="28"/>
          <w:szCs w:val="28"/>
          <w:highlight w:val="none"/>
        </w:rPr>
        <w:t>、表格中“偏离”部分，投标人只能如实填写“正偏离”或“负偏离”或“无偏离”。凡投标内容与招标文件要求有区别的填写，并在说明栏中写明技术指标。</w:t>
      </w:r>
    </w:p>
    <w:p>
      <w:pPr>
        <w:spacing w:line="24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4、表格中“说明”部分，若有偏离，则填写偏离指标。若无偏离，则不填写内容。</w:t>
      </w:r>
    </w:p>
    <w:p>
      <w:pPr>
        <w:spacing w:line="240" w:lineRule="atLeast"/>
        <w:ind w:firstLine="560" w:firstLineChars="200"/>
        <w:rPr>
          <w:rFonts w:hint="eastAsia" w:ascii="仿宋" w:hAnsi="仿宋" w:eastAsia="仿宋"/>
          <w:color w:val="auto"/>
          <w:sz w:val="28"/>
          <w:szCs w:val="28"/>
          <w:highlight w:val="none"/>
        </w:rPr>
      </w:pPr>
      <w:r>
        <w:rPr>
          <w:rFonts w:ascii="仿宋" w:hAnsi="仿宋" w:eastAsia="仿宋"/>
          <w:color w:val="auto"/>
          <w:sz w:val="28"/>
          <w:szCs w:val="28"/>
          <w:highlight w:val="none"/>
        </w:rPr>
        <w:t>5</w:t>
      </w:r>
      <w:r>
        <w:rPr>
          <w:rFonts w:hint="eastAsia" w:ascii="仿宋" w:hAnsi="仿宋" w:eastAsia="仿宋"/>
          <w:color w:val="auto"/>
          <w:sz w:val="28"/>
          <w:szCs w:val="28"/>
          <w:highlight w:val="none"/>
        </w:rPr>
        <w:t>、本表格中内容与投标文件其余部分不一致的，以本表格为准。</w:t>
      </w: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sz w:val="28"/>
          <w:szCs w:val="28"/>
          <w:highlight w:val="none"/>
        </w:rPr>
      </w:pPr>
    </w:p>
    <w:p>
      <w:pPr>
        <w:pStyle w:val="13"/>
        <w:rPr>
          <w:rFonts w:hint="eastAsia" w:ascii="仿宋" w:hAnsi="仿宋" w:eastAsia="仿宋"/>
          <w:color w:val="auto"/>
          <w:highlight w:val="none"/>
        </w:rPr>
      </w:pPr>
    </w:p>
    <w:p>
      <w:pPr>
        <w:pStyle w:val="13"/>
        <w:rPr>
          <w:rFonts w:hint="eastAsia" w:ascii="仿宋" w:hAnsi="仿宋" w:eastAsia="仿宋"/>
          <w:color w:val="auto"/>
          <w:highlight w:val="none"/>
        </w:rPr>
      </w:pPr>
    </w:p>
    <w:p>
      <w:pPr>
        <w:pStyle w:val="4"/>
        <w:rPr>
          <w:rFonts w:hint="eastAsia" w:ascii="仿宋" w:hAnsi="仿宋" w:eastAsia="仿宋" w:cs="仿宋"/>
          <w:color w:val="auto"/>
          <w:szCs w:val="28"/>
          <w:highlight w:val="none"/>
        </w:rPr>
      </w:pPr>
      <w:bookmarkStart w:id="377" w:name="_Toc31856"/>
      <w:bookmarkStart w:id="378" w:name="_Toc18430"/>
      <w:bookmarkStart w:id="379" w:name="_Toc1975"/>
      <w:bookmarkStart w:id="380" w:name="_Toc4761_WPSOffice_Level3"/>
      <w:r>
        <w:rPr>
          <w:rFonts w:hint="eastAsia" w:ascii="仿宋" w:hAnsi="仿宋" w:eastAsia="仿宋" w:cs="仿宋"/>
          <w:color w:val="auto"/>
          <w:highlight w:val="none"/>
        </w:rPr>
        <w:t>格式12：实施交货方案及说明</w:t>
      </w:r>
      <w:bookmarkEnd w:id="377"/>
      <w:bookmarkEnd w:id="378"/>
      <w:bookmarkEnd w:id="379"/>
      <w:bookmarkEnd w:id="380"/>
    </w:p>
    <w:p>
      <w:pPr>
        <w:pStyle w:val="13"/>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投标人对第三章“技术规格、参数与要求”的具体内容作出响应，提供实施交货方案，格式自拟。</w:t>
      </w:r>
    </w:p>
    <w:p>
      <w:pPr>
        <w:pStyle w:val="13"/>
        <w:rPr>
          <w:rFonts w:hint="eastAsia" w:ascii="仿宋" w:hAnsi="仿宋" w:eastAsia="仿宋"/>
          <w:color w:val="auto"/>
          <w:highlight w:val="none"/>
        </w:rPr>
      </w:pPr>
    </w:p>
    <w:p>
      <w:pPr>
        <w:pStyle w:val="13"/>
        <w:rPr>
          <w:rFonts w:hint="eastAsia" w:ascii="仿宋" w:hAnsi="仿宋" w:eastAsia="仿宋"/>
          <w:color w:val="auto"/>
          <w:highlight w:val="none"/>
        </w:rPr>
      </w:pPr>
    </w:p>
    <w:p>
      <w:pPr>
        <w:pStyle w:val="4"/>
        <w:rPr>
          <w:rFonts w:hint="eastAsia" w:ascii="仿宋" w:hAnsi="仿宋" w:eastAsia="仿宋" w:cs="仿宋"/>
          <w:color w:val="auto"/>
          <w:szCs w:val="28"/>
          <w:highlight w:val="none"/>
        </w:rPr>
      </w:pPr>
      <w:bookmarkStart w:id="381" w:name="_Toc5554_WPSOffice_Level3"/>
      <w:bookmarkStart w:id="382" w:name="_Toc28945"/>
      <w:bookmarkStart w:id="383" w:name="_Toc16152"/>
      <w:bookmarkStart w:id="384" w:name="_Toc16172"/>
      <w:r>
        <w:rPr>
          <w:rFonts w:hint="eastAsia" w:ascii="仿宋" w:hAnsi="仿宋" w:eastAsia="仿宋" w:cs="仿宋"/>
          <w:color w:val="auto"/>
          <w:szCs w:val="28"/>
          <w:highlight w:val="none"/>
        </w:rPr>
        <w:t>格式13：投标货物符合招标文件规定的证明文件</w:t>
      </w:r>
      <w:bookmarkEnd w:id="381"/>
      <w:bookmarkEnd w:id="382"/>
      <w:bookmarkEnd w:id="383"/>
      <w:bookmarkEnd w:id="384"/>
    </w:p>
    <w:p>
      <w:pPr>
        <w:rPr>
          <w:rFonts w:hint="eastAsia" w:ascii="仿宋" w:hAnsi="仿宋" w:eastAsia="仿宋"/>
          <w:color w:val="auto"/>
          <w:kern w:val="0"/>
          <w:sz w:val="28"/>
          <w:szCs w:val="28"/>
          <w:highlight w:val="none"/>
        </w:rPr>
      </w:pPr>
      <w:bookmarkStart w:id="385" w:name="_Toc29076"/>
      <w:bookmarkStart w:id="386" w:name="_Toc30212"/>
      <w:r>
        <w:rPr>
          <w:rFonts w:hint="eastAsia" w:ascii="仿宋" w:hAnsi="仿宋" w:eastAsia="仿宋"/>
          <w:color w:val="auto"/>
          <w:kern w:val="0"/>
          <w:sz w:val="28"/>
          <w:szCs w:val="28"/>
          <w:highlight w:val="none"/>
        </w:rPr>
        <w:t>格式13-1：产品说明</w:t>
      </w:r>
      <w:bookmarkEnd w:id="385"/>
    </w:p>
    <w:p>
      <w:pPr>
        <w:rPr>
          <w:rFonts w:hint="eastAsia" w:ascii="仿宋" w:hAnsi="仿宋" w:eastAsia="仿宋"/>
          <w:color w:val="auto"/>
          <w:kern w:val="0"/>
          <w:sz w:val="28"/>
          <w:szCs w:val="28"/>
          <w:highlight w:val="none"/>
        </w:rPr>
      </w:pPr>
      <w:bookmarkStart w:id="387" w:name="_Toc16710"/>
      <w:r>
        <w:rPr>
          <w:rFonts w:hint="eastAsia" w:ascii="仿宋" w:hAnsi="仿宋" w:eastAsia="仿宋"/>
          <w:color w:val="auto"/>
          <w:kern w:val="0"/>
          <w:sz w:val="28"/>
          <w:szCs w:val="28"/>
          <w:highlight w:val="none"/>
        </w:rPr>
        <w:t>格式13-2：质量保证措施</w:t>
      </w:r>
      <w:bookmarkEnd w:id="387"/>
    </w:p>
    <w:p>
      <w:pPr>
        <w:rPr>
          <w:rFonts w:hint="eastAsia" w:ascii="仿宋" w:hAnsi="仿宋" w:eastAsia="仿宋"/>
          <w:color w:val="auto"/>
          <w:kern w:val="0"/>
          <w:sz w:val="28"/>
          <w:szCs w:val="28"/>
          <w:highlight w:val="none"/>
        </w:rPr>
      </w:pPr>
      <w:bookmarkStart w:id="388" w:name="_Toc18444"/>
      <w:r>
        <w:rPr>
          <w:rFonts w:hint="eastAsia" w:ascii="仿宋" w:hAnsi="仿宋" w:eastAsia="仿宋"/>
          <w:color w:val="auto"/>
          <w:kern w:val="0"/>
          <w:sz w:val="28"/>
          <w:szCs w:val="28"/>
          <w:highlight w:val="none"/>
        </w:rPr>
        <w:t>格式13-3：详细交货清单</w:t>
      </w:r>
      <w:bookmarkEnd w:id="388"/>
    </w:p>
    <w:p>
      <w:pPr>
        <w:rPr>
          <w:rFonts w:hint="eastAsia" w:ascii="仿宋" w:hAnsi="仿宋" w:eastAsia="仿宋"/>
          <w:color w:val="auto"/>
          <w:kern w:val="0"/>
          <w:sz w:val="28"/>
          <w:szCs w:val="28"/>
          <w:highlight w:val="none"/>
        </w:rPr>
      </w:pPr>
      <w:bookmarkStart w:id="389" w:name="_Toc215"/>
      <w:r>
        <w:rPr>
          <w:rFonts w:hint="eastAsia" w:ascii="仿宋" w:hAnsi="仿宋" w:eastAsia="仿宋"/>
          <w:color w:val="auto"/>
          <w:kern w:val="0"/>
          <w:sz w:val="28"/>
          <w:szCs w:val="28"/>
          <w:highlight w:val="none"/>
        </w:rPr>
        <w:t>格式13-4：其他证明材料</w:t>
      </w:r>
      <w:bookmarkEnd w:id="389"/>
    </w:p>
    <w:p>
      <w:pPr>
        <w:pStyle w:val="2"/>
        <w:rPr>
          <w:rFonts w:hint="eastAsia" w:ascii="仿宋" w:hAnsi="仿宋" w:eastAsia="仿宋" w:cs="仿宋"/>
          <w:color w:val="auto"/>
          <w:sz w:val="28"/>
          <w:szCs w:val="28"/>
          <w:highlight w:val="none"/>
        </w:rPr>
      </w:pPr>
    </w:p>
    <w:p>
      <w:pPr>
        <w:bidi w:val="0"/>
        <w:rPr>
          <w:rFonts w:hint="eastAsia"/>
          <w:color w:val="auto"/>
          <w:highlight w:val="none"/>
        </w:rPr>
      </w:pPr>
    </w:p>
    <w:p>
      <w:pPr>
        <w:pStyle w:val="4"/>
        <w:rPr>
          <w:color w:val="auto"/>
          <w:highlight w:val="none"/>
        </w:rPr>
      </w:pPr>
      <w:bookmarkStart w:id="390" w:name="_Toc25614"/>
      <w:bookmarkStart w:id="391" w:name="_Toc1541"/>
      <w:bookmarkStart w:id="392" w:name="_Toc7059"/>
      <w:r>
        <w:rPr>
          <w:rFonts w:hint="eastAsia" w:ascii="仿宋" w:hAnsi="仿宋" w:eastAsia="仿宋" w:cs="仿宋"/>
          <w:color w:val="auto"/>
          <w:szCs w:val="28"/>
          <w:highlight w:val="none"/>
        </w:rPr>
        <w:t>格式14：</w:t>
      </w:r>
      <w:r>
        <w:rPr>
          <w:rFonts w:hint="eastAsia" w:ascii="仿宋" w:hAnsi="仿宋" w:eastAsia="仿宋" w:cs="仿宋"/>
          <w:color w:val="auto"/>
          <w:szCs w:val="28"/>
          <w:highlight w:val="none"/>
        </w:rPr>
        <w:t>2020年</w:t>
      </w:r>
      <w:r>
        <w:rPr>
          <w:rFonts w:hint="eastAsia" w:ascii="仿宋" w:hAnsi="仿宋" w:eastAsia="仿宋" w:cs="仿宋"/>
          <w:color w:val="auto"/>
          <w:szCs w:val="28"/>
          <w:highlight w:val="none"/>
        </w:rPr>
        <w:t>至今类似业绩一览表</w:t>
      </w:r>
      <w:bookmarkEnd w:id="386"/>
      <w:bookmarkEnd w:id="390"/>
      <w:bookmarkEnd w:id="391"/>
      <w:bookmarkEnd w:id="392"/>
    </w:p>
    <w:tbl>
      <w:tblPr>
        <w:tblStyle w:val="39"/>
        <w:tblW w:w="9214" w:type="dxa"/>
        <w:tblInd w:w="0" w:type="dxa"/>
        <w:tblLayout w:type="fixed"/>
        <w:tblCellMar>
          <w:top w:w="0" w:type="dxa"/>
          <w:left w:w="0" w:type="dxa"/>
          <w:bottom w:w="0" w:type="dxa"/>
          <w:right w:w="0" w:type="dxa"/>
        </w:tblCellMar>
      </w:tblPr>
      <w:tblGrid>
        <w:gridCol w:w="581"/>
        <w:gridCol w:w="1193"/>
        <w:gridCol w:w="1225"/>
        <w:gridCol w:w="1122"/>
        <w:gridCol w:w="1647"/>
        <w:gridCol w:w="1122"/>
        <w:gridCol w:w="1572"/>
        <w:gridCol w:w="752"/>
      </w:tblGrid>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序号</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采购人</w:t>
            </w: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项目名称</w:t>
            </w: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采购内容</w:t>
            </w: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服务期限</w:t>
            </w: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服务地点</w:t>
            </w: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合同金额</w:t>
            </w: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备注</w:t>
            </w: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1</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2</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3</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4</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5</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6</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ascii="仿宋" w:hAnsi="仿宋" w:eastAsia="仿宋" w:cs="Arial"/>
                <w:color w:val="auto"/>
                <w:highlight w:val="none"/>
              </w:rPr>
              <w:t>7</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r>
        <w:tblPrEx>
          <w:tblCellMar>
            <w:top w:w="0" w:type="dxa"/>
            <w:left w:w="0" w:type="dxa"/>
            <w:bottom w:w="0" w:type="dxa"/>
            <w:right w:w="0" w:type="dxa"/>
          </w:tblCellMar>
        </w:tblPrEx>
        <w:trPr>
          <w:trHeight w:val="567" w:hRule="atLeast"/>
        </w:trPr>
        <w:tc>
          <w:tcPr>
            <w:tcW w:w="58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center"/>
              <w:rPr>
                <w:rFonts w:hint="eastAsia" w:ascii="仿宋" w:hAnsi="仿宋" w:eastAsia="仿宋" w:cs="Arial"/>
                <w:color w:val="auto"/>
                <w:highlight w:val="none"/>
              </w:rPr>
            </w:pPr>
            <w:r>
              <w:rPr>
                <w:rFonts w:hint="eastAsia" w:ascii="仿宋" w:hAnsi="仿宋" w:eastAsia="仿宋" w:cs="Arial"/>
                <w:color w:val="auto"/>
                <w:highlight w:val="none"/>
              </w:rPr>
              <w:t>……</w:t>
            </w:r>
          </w:p>
        </w:tc>
        <w:tc>
          <w:tcPr>
            <w:tcW w:w="119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22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64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1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157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c>
          <w:tcPr>
            <w:tcW w:w="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360" w:lineRule="auto"/>
              <w:jc w:val="left"/>
              <w:rPr>
                <w:rFonts w:hint="eastAsia" w:ascii="仿宋" w:hAnsi="仿宋" w:eastAsia="仿宋" w:cs="Arial"/>
                <w:color w:val="auto"/>
                <w:highlight w:val="none"/>
              </w:rPr>
            </w:pPr>
          </w:p>
        </w:tc>
      </w:tr>
    </w:tbl>
    <w:p>
      <w:pPr>
        <w:widowControl/>
        <w:spacing w:line="360" w:lineRule="auto"/>
        <w:jc w:val="left"/>
        <w:rPr>
          <w:rFonts w:hint="eastAsia" w:ascii="仿宋" w:hAnsi="仿宋" w:eastAsia="仿宋" w:cs="Arial"/>
          <w:color w:val="auto"/>
          <w:highlight w:val="none"/>
        </w:rPr>
      </w:pPr>
      <w:r>
        <w:rPr>
          <w:rFonts w:hint="eastAsia" w:ascii="仿宋" w:hAnsi="仿宋" w:eastAsia="仿宋" w:cs="Arial"/>
          <w:color w:val="auto"/>
          <w:highlight w:val="none"/>
        </w:rPr>
        <w:t>注：附中标通知书或合同协议书或其他证明材料。</w:t>
      </w:r>
    </w:p>
    <w:p>
      <w:pPr>
        <w:widowControl/>
        <w:spacing w:line="460" w:lineRule="atLeast"/>
        <w:jc w:val="left"/>
        <w:rPr>
          <w:rFonts w:hint="eastAsia" w:ascii="仿宋" w:hAnsi="仿宋" w:eastAsia="仿宋" w:cs="Arial"/>
          <w:color w:val="auto"/>
          <w:highlight w:val="none"/>
        </w:rPr>
      </w:pPr>
      <w:r>
        <w:rPr>
          <w:rFonts w:hint="eastAsia" w:ascii="仿宋" w:hAnsi="仿宋" w:eastAsia="仿宋" w:cs="Arial"/>
          <w:color w:val="auto"/>
          <w:highlight w:val="none"/>
        </w:rPr>
        <w:t>投标人(电子签章)：</w:t>
      </w:r>
    </w:p>
    <w:p>
      <w:pPr>
        <w:widowControl/>
        <w:spacing w:line="460" w:lineRule="atLeast"/>
        <w:jc w:val="left"/>
        <w:rPr>
          <w:rFonts w:hint="eastAsia" w:ascii="仿宋" w:hAnsi="仿宋" w:eastAsia="仿宋" w:cs="Arial"/>
          <w:color w:val="auto"/>
          <w:highlight w:val="none"/>
        </w:rPr>
      </w:pPr>
      <w:r>
        <w:rPr>
          <w:rFonts w:hint="eastAsia" w:ascii="仿宋" w:hAnsi="仿宋" w:eastAsia="仿宋" w:cs="Arial"/>
          <w:color w:val="auto"/>
          <w:highlight w:val="none"/>
        </w:rPr>
        <w:t>法定代表人(电子签章)或授权代理人(签字)：</w:t>
      </w:r>
    </w:p>
    <w:p>
      <w:pPr>
        <w:widowControl/>
        <w:spacing w:line="460" w:lineRule="atLeast"/>
        <w:jc w:val="left"/>
        <w:rPr>
          <w:rFonts w:hint="eastAsia" w:ascii="仿宋" w:hAnsi="仿宋" w:eastAsia="仿宋" w:cs="Arial"/>
          <w:color w:val="auto"/>
          <w:highlight w:val="none"/>
        </w:rPr>
      </w:pPr>
      <w:r>
        <w:rPr>
          <w:rFonts w:hint="eastAsia" w:ascii="仿宋" w:hAnsi="仿宋" w:eastAsia="仿宋" w:cs="Arial"/>
          <w:color w:val="auto"/>
          <w:highlight w:val="none"/>
        </w:rPr>
        <w:t>日期：</w:t>
      </w:r>
      <w:r>
        <w:rPr>
          <w:rFonts w:ascii="仿宋" w:hAnsi="仿宋" w:eastAsia="仿宋" w:cs="Arial"/>
          <w:color w:val="auto"/>
          <w:highlight w:val="none"/>
          <w:u w:val="single"/>
        </w:rPr>
        <w:t xml:space="preserve"> </w:t>
      </w:r>
      <w:r>
        <w:rPr>
          <w:rFonts w:hint="eastAsia" w:ascii="仿宋" w:hAnsi="仿宋" w:eastAsia="仿宋" w:cs="Arial"/>
          <w:color w:val="auto"/>
          <w:highlight w:val="none"/>
          <w:u w:val="single"/>
        </w:rPr>
        <w:t xml:space="preserve">    </w:t>
      </w:r>
      <w:r>
        <w:rPr>
          <w:rFonts w:hint="eastAsia" w:ascii="仿宋" w:hAnsi="仿宋" w:eastAsia="仿宋" w:cs="Arial"/>
          <w:color w:val="auto"/>
          <w:highlight w:val="none"/>
        </w:rPr>
        <w:t>年</w:t>
      </w:r>
      <w:r>
        <w:rPr>
          <w:rFonts w:ascii="仿宋" w:hAnsi="仿宋" w:eastAsia="仿宋" w:cs="Arial"/>
          <w:color w:val="auto"/>
          <w:highlight w:val="none"/>
          <w:u w:val="single"/>
        </w:rPr>
        <w:t xml:space="preserve"> </w:t>
      </w:r>
      <w:r>
        <w:rPr>
          <w:rFonts w:hint="eastAsia" w:ascii="仿宋" w:hAnsi="仿宋" w:eastAsia="仿宋" w:cs="Arial"/>
          <w:color w:val="auto"/>
          <w:highlight w:val="none"/>
          <w:u w:val="single"/>
        </w:rPr>
        <w:t xml:space="preserve">   </w:t>
      </w:r>
      <w:r>
        <w:rPr>
          <w:rFonts w:hint="eastAsia" w:ascii="仿宋" w:hAnsi="仿宋" w:eastAsia="仿宋" w:cs="Arial"/>
          <w:color w:val="auto"/>
          <w:highlight w:val="none"/>
        </w:rPr>
        <w:t>月</w:t>
      </w:r>
      <w:r>
        <w:rPr>
          <w:rFonts w:ascii="仿宋" w:hAnsi="仿宋" w:eastAsia="仿宋" w:cs="Arial"/>
          <w:color w:val="auto"/>
          <w:highlight w:val="none"/>
          <w:u w:val="single"/>
        </w:rPr>
        <w:t xml:space="preserve"> </w:t>
      </w:r>
      <w:r>
        <w:rPr>
          <w:rFonts w:hint="eastAsia" w:ascii="仿宋" w:hAnsi="仿宋" w:eastAsia="仿宋" w:cs="Arial"/>
          <w:color w:val="auto"/>
          <w:highlight w:val="none"/>
          <w:u w:val="single"/>
        </w:rPr>
        <w:t xml:space="preserve">   </w:t>
      </w:r>
      <w:r>
        <w:rPr>
          <w:rFonts w:hint="eastAsia" w:ascii="仿宋" w:hAnsi="仿宋" w:eastAsia="仿宋" w:cs="Arial"/>
          <w:color w:val="auto"/>
          <w:highlight w:val="none"/>
        </w:rPr>
        <w:t>日</w:t>
      </w:r>
    </w:p>
    <w:p>
      <w:pPr>
        <w:rPr>
          <w:color w:val="auto"/>
          <w:highlight w:val="none"/>
        </w:rPr>
      </w:pPr>
    </w:p>
    <w:p>
      <w:pPr>
        <w:rPr>
          <w:color w:val="auto"/>
          <w:highlight w:val="none"/>
        </w:rPr>
      </w:pPr>
    </w:p>
    <w:p>
      <w:pPr>
        <w:pStyle w:val="4"/>
        <w:rPr>
          <w:rFonts w:hint="eastAsia" w:ascii="仿宋" w:hAnsi="仿宋" w:eastAsia="仿宋" w:cs="仿宋"/>
          <w:color w:val="auto"/>
          <w:szCs w:val="28"/>
          <w:highlight w:val="none"/>
        </w:rPr>
      </w:pPr>
      <w:bookmarkStart w:id="393" w:name="_Toc29751"/>
      <w:bookmarkStart w:id="394" w:name="_Toc25488"/>
      <w:bookmarkStart w:id="395" w:name="_Toc8843"/>
      <w:r>
        <w:rPr>
          <w:rFonts w:hint="eastAsia" w:ascii="仿宋" w:hAnsi="仿宋" w:eastAsia="仿宋" w:cs="仿宋"/>
          <w:color w:val="auto"/>
          <w:szCs w:val="28"/>
          <w:highlight w:val="none"/>
        </w:rPr>
        <w:t>格式15：其他声明</w:t>
      </w:r>
      <w:bookmarkEnd w:id="393"/>
      <w:bookmarkEnd w:id="394"/>
      <w:bookmarkEnd w:id="395"/>
    </w:p>
    <w:p>
      <w:pPr>
        <w:rPr>
          <w:rFonts w:hint="eastAsia" w:ascii="仿宋" w:hAnsi="仿宋" w:eastAsia="仿宋"/>
          <w:color w:val="auto"/>
          <w:kern w:val="0"/>
          <w:sz w:val="28"/>
          <w:szCs w:val="28"/>
          <w:highlight w:val="none"/>
        </w:rPr>
      </w:pPr>
      <w:bookmarkStart w:id="396" w:name="_Toc31424"/>
      <w:r>
        <w:rPr>
          <w:rFonts w:hint="eastAsia" w:ascii="仿宋" w:hAnsi="仿宋" w:eastAsia="仿宋"/>
          <w:color w:val="auto"/>
          <w:kern w:val="0"/>
          <w:sz w:val="28"/>
          <w:szCs w:val="28"/>
          <w:highlight w:val="none"/>
        </w:rPr>
        <w:t>格式15-1：质保期满后维保服务及收费标准</w:t>
      </w:r>
      <w:bookmarkEnd w:id="396"/>
    </w:p>
    <w:p>
      <w:pPr>
        <w:rPr>
          <w:rFonts w:hint="eastAsia" w:ascii="仿宋" w:hAnsi="仿宋" w:eastAsia="仿宋"/>
          <w:color w:val="auto"/>
          <w:kern w:val="0"/>
          <w:sz w:val="28"/>
          <w:szCs w:val="28"/>
          <w:highlight w:val="none"/>
        </w:rPr>
      </w:pPr>
      <w:bookmarkStart w:id="397" w:name="_Toc3081"/>
      <w:r>
        <w:rPr>
          <w:rFonts w:hint="eastAsia" w:ascii="仿宋" w:hAnsi="仿宋" w:eastAsia="仿宋"/>
          <w:color w:val="auto"/>
          <w:kern w:val="0"/>
          <w:sz w:val="28"/>
          <w:szCs w:val="28"/>
          <w:highlight w:val="none"/>
        </w:rPr>
        <w:t>格式15-2：优惠声明</w:t>
      </w:r>
      <w:bookmarkEnd w:id="397"/>
    </w:p>
    <w:p>
      <w:pPr>
        <w:rPr>
          <w:rFonts w:hint="eastAsia" w:ascii="仿宋" w:hAnsi="仿宋" w:eastAsia="仿宋"/>
          <w:color w:val="auto"/>
          <w:kern w:val="0"/>
          <w:sz w:val="28"/>
          <w:szCs w:val="28"/>
          <w:highlight w:val="none"/>
        </w:rPr>
      </w:pPr>
      <w:r>
        <w:rPr>
          <w:rFonts w:hint="eastAsia" w:ascii="仿宋" w:hAnsi="仿宋" w:eastAsia="仿宋"/>
          <w:color w:val="auto"/>
          <w:kern w:val="0"/>
          <w:sz w:val="28"/>
          <w:szCs w:val="28"/>
          <w:highlight w:val="none"/>
        </w:rPr>
        <w:t>格式15-3：其他</w:t>
      </w:r>
    </w:p>
    <w:p>
      <w:pPr>
        <w:rPr>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rFonts w:hint="eastAsia" w:ascii="宋体" w:hAnsi="宋体"/>
          <w:color w:val="auto"/>
          <w:highlight w:val="none"/>
        </w:rPr>
      </w:pPr>
    </w:p>
    <w:p>
      <w:pPr>
        <w:pStyle w:val="13"/>
        <w:rPr>
          <w:rFonts w:hint="eastAsia" w:ascii="宋体" w:hAnsi="宋体"/>
          <w:color w:val="auto"/>
          <w:highlight w:val="none"/>
        </w:rPr>
      </w:pPr>
    </w:p>
    <w:p>
      <w:pPr>
        <w:rPr>
          <w:color w:val="auto"/>
          <w:highlight w:val="none"/>
        </w:rPr>
      </w:pPr>
    </w:p>
    <w:p>
      <w:pPr>
        <w:rPr>
          <w:color w:val="auto"/>
          <w:highlight w:val="none"/>
        </w:rPr>
      </w:pPr>
    </w:p>
    <w:p>
      <w:pPr>
        <w:pStyle w:val="13"/>
        <w:rPr>
          <w:rFonts w:hint="eastAsia" w:ascii="宋体" w:hAnsi="宋体"/>
          <w:color w:val="auto"/>
          <w:highlight w:val="none"/>
        </w:rPr>
      </w:pPr>
    </w:p>
    <w:bookmarkEnd w:id="376"/>
    <w:p>
      <w:pPr>
        <w:pStyle w:val="3"/>
        <w:ind w:left="0" w:firstLine="0"/>
        <w:jc w:val="center"/>
        <w:rPr>
          <w:rFonts w:hint="eastAsia" w:ascii="仿宋" w:hAnsi="仿宋" w:eastAsia="仿宋"/>
          <w:bCs w:val="0"/>
          <w:color w:val="auto"/>
          <w:highlight w:val="none"/>
        </w:rPr>
      </w:pPr>
      <w:bookmarkStart w:id="398" w:name="_Toc60996703"/>
      <w:bookmarkStart w:id="399" w:name="_Toc9761_WPSOffice_Level1"/>
      <w:bookmarkStart w:id="400" w:name="_Toc32306"/>
      <w:bookmarkStart w:id="401" w:name="_Toc57104298"/>
      <w:bookmarkStart w:id="402" w:name="_Toc22252"/>
      <w:bookmarkStart w:id="403" w:name="_Toc21725"/>
      <w:bookmarkStart w:id="404" w:name="_Toc26723_WPSOffice_Level2"/>
      <w:bookmarkStart w:id="405" w:name="_Toc59718140"/>
      <w:bookmarkStart w:id="406" w:name="_第八章_政府采购供应商质疑函范本"/>
      <w:r>
        <w:rPr>
          <w:rFonts w:hint="eastAsia" w:ascii="仿宋" w:hAnsi="仿宋" w:eastAsia="仿宋"/>
          <w:bCs w:val="0"/>
          <w:color w:val="auto"/>
          <w:highlight w:val="none"/>
        </w:rPr>
        <w:t>第八章　政府采购投标人质疑函范本</w:t>
      </w:r>
      <w:bookmarkEnd w:id="398"/>
      <w:bookmarkEnd w:id="399"/>
      <w:bookmarkEnd w:id="400"/>
      <w:bookmarkEnd w:id="401"/>
      <w:bookmarkEnd w:id="402"/>
      <w:bookmarkEnd w:id="403"/>
      <w:bookmarkEnd w:id="404"/>
      <w:bookmarkEnd w:id="405"/>
    </w:p>
    <w:bookmarkEnd w:id="406"/>
    <w:p>
      <w:pPr>
        <w:ind w:left="1"/>
        <w:jc w:val="center"/>
        <w:rPr>
          <w:rFonts w:hint="eastAsia" w:ascii="仿宋" w:hAnsi="仿宋" w:eastAsia="仿宋"/>
          <w:b/>
          <w:color w:val="auto"/>
          <w:sz w:val="32"/>
          <w:szCs w:val="32"/>
          <w:highlight w:val="none"/>
        </w:rPr>
      </w:pPr>
      <w:bookmarkStart w:id="407" w:name="_Toc30986_WPSOffice_Level1"/>
      <w:bookmarkStart w:id="408" w:name="_Toc29121_WPSOffice_Level1"/>
      <w:r>
        <w:rPr>
          <w:rFonts w:hint="eastAsia" w:ascii="仿宋" w:hAnsi="仿宋" w:eastAsia="仿宋"/>
          <w:b/>
          <w:color w:val="auto"/>
          <w:sz w:val="32"/>
          <w:szCs w:val="32"/>
          <w:highlight w:val="none"/>
        </w:rPr>
        <w:t>质疑函</w:t>
      </w:r>
      <w:bookmarkEnd w:id="407"/>
      <w:bookmarkEnd w:id="408"/>
    </w:p>
    <w:p>
      <w:pPr>
        <w:spacing w:line="360" w:lineRule="auto"/>
        <w:ind w:firstLine="562" w:firstLineChars="200"/>
        <w:rPr>
          <w:rFonts w:hint="eastAsia" w:ascii="仿宋" w:hAnsi="仿宋" w:eastAsia="仿宋"/>
          <w:b/>
          <w:color w:val="auto"/>
          <w:sz w:val="28"/>
          <w:szCs w:val="28"/>
          <w:highlight w:val="none"/>
        </w:rPr>
      </w:pPr>
      <w:bookmarkStart w:id="409" w:name="_Toc1695_WPSOffice_Level2"/>
      <w:bookmarkStart w:id="410" w:name="_Toc29695_WPSOffice_Level1"/>
      <w:r>
        <w:rPr>
          <w:rFonts w:hint="eastAsia" w:ascii="仿宋" w:hAnsi="仿宋" w:eastAsia="仿宋"/>
          <w:b/>
          <w:color w:val="auto"/>
          <w:sz w:val="28"/>
          <w:szCs w:val="28"/>
          <w:highlight w:val="none"/>
        </w:rPr>
        <w:t>一、质疑投标人基本信息</w:t>
      </w:r>
      <w:bookmarkEnd w:id="409"/>
      <w:bookmarkEnd w:id="410"/>
    </w:p>
    <w:p>
      <w:pPr>
        <w:spacing w:line="360" w:lineRule="auto"/>
        <w:ind w:firstLine="560" w:firstLineChars="200"/>
        <w:rPr>
          <w:rFonts w:hint="eastAsia" w:ascii="仿宋" w:hAnsi="仿宋" w:eastAsia="仿宋"/>
          <w:color w:val="auto"/>
          <w:sz w:val="28"/>
          <w:szCs w:val="28"/>
          <w:highlight w:val="none"/>
          <w:u w:val="dotted"/>
        </w:rPr>
      </w:pPr>
      <w:r>
        <w:rPr>
          <w:rFonts w:hint="eastAsia" w:ascii="仿宋" w:hAnsi="仿宋" w:eastAsia="仿宋"/>
          <w:color w:val="auto"/>
          <w:sz w:val="28"/>
          <w:szCs w:val="28"/>
          <w:highlight w:val="none"/>
        </w:rPr>
        <w:t>质疑投标人：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地址:___________，邮编：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联系人： ___________，联系电话：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授权代表： ___________，联系电话：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地址： ___________，邮编 ___________。</w:t>
      </w:r>
    </w:p>
    <w:p>
      <w:pPr>
        <w:spacing w:line="360" w:lineRule="auto"/>
        <w:ind w:firstLine="562" w:firstLineChars="200"/>
        <w:rPr>
          <w:rFonts w:hint="eastAsia" w:ascii="仿宋" w:hAnsi="仿宋" w:eastAsia="仿宋"/>
          <w:b/>
          <w:color w:val="auto"/>
          <w:sz w:val="28"/>
          <w:szCs w:val="28"/>
          <w:highlight w:val="none"/>
        </w:rPr>
      </w:pPr>
      <w:bookmarkStart w:id="411" w:name="_Toc11746_WPSOffice_Level2"/>
      <w:bookmarkStart w:id="412" w:name="_Toc17522_WPSOffice_Level1"/>
      <w:r>
        <w:rPr>
          <w:rFonts w:hint="eastAsia" w:ascii="仿宋" w:hAnsi="仿宋" w:eastAsia="仿宋"/>
          <w:b/>
          <w:color w:val="auto"/>
          <w:sz w:val="28"/>
          <w:szCs w:val="28"/>
          <w:highlight w:val="none"/>
        </w:rPr>
        <w:t>二、质疑项目基本情况</w:t>
      </w:r>
      <w:bookmarkEnd w:id="411"/>
      <w:bookmarkEnd w:id="412"/>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质疑项目的名称：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质疑项目的编号： ___________，包号：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采购人名称：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采购文件获取日期： ___________。</w:t>
      </w:r>
    </w:p>
    <w:p>
      <w:pPr>
        <w:spacing w:line="360" w:lineRule="auto"/>
        <w:ind w:firstLine="562" w:firstLineChars="200"/>
        <w:rPr>
          <w:rFonts w:hint="eastAsia" w:ascii="仿宋" w:hAnsi="仿宋" w:eastAsia="仿宋"/>
          <w:b/>
          <w:color w:val="auto"/>
          <w:sz w:val="28"/>
          <w:szCs w:val="28"/>
          <w:highlight w:val="none"/>
        </w:rPr>
      </w:pPr>
      <w:bookmarkStart w:id="413" w:name="_Toc32340_WPSOffice_Level1"/>
      <w:bookmarkStart w:id="414" w:name="_Toc4354_WPSOffice_Level2"/>
      <w:r>
        <w:rPr>
          <w:rFonts w:hint="eastAsia" w:ascii="仿宋" w:hAnsi="仿宋" w:eastAsia="仿宋"/>
          <w:b/>
          <w:color w:val="auto"/>
          <w:sz w:val="28"/>
          <w:szCs w:val="28"/>
          <w:highlight w:val="none"/>
        </w:rPr>
        <w:t>三、质疑事项具体内容</w:t>
      </w:r>
      <w:bookmarkEnd w:id="413"/>
      <w:bookmarkEnd w:id="414"/>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质疑事项1：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事实依据：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法律依据：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质疑事项2：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p>
    <w:p>
      <w:pPr>
        <w:spacing w:line="360" w:lineRule="auto"/>
        <w:ind w:firstLine="562" w:firstLineChars="200"/>
        <w:rPr>
          <w:rFonts w:hint="eastAsia" w:ascii="仿宋" w:hAnsi="仿宋" w:eastAsia="仿宋"/>
          <w:b/>
          <w:color w:val="auto"/>
          <w:sz w:val="28"/>
          <w:szCs w:val="28"/>
          <w:highlight w:val="none"/>
        </w:rPr>
      </w:pPr>
      <w:bookmarkStart w:id="415" w:name="_Toc17302_WPSOffice_Level2"/>
      <w:bookmarkStart w:id="416" w:name="_Toc16751_WPSOffice_Level1"/>
      <w:r>
        <w:rPr>
          <w:rFonts w:hint="eastAsia" w:ascii="仿宋" w:hAnsi="仿宋" w:eastAsia="仿宋"/>
          <w:b/>
          <w:color w:val="auto"/>
          <w:sz w:val="28"/>
          <w:szCs w:val="28"/>
          <w:highlight w:val="none"/>
        </w:rPr>
        <w:t>四、与质疑事项相关的质疑请求</w:t>
      </w:r>
      <w:bookmarkEnd w:id="415"/>
      <w:bookmarkEnd w:id="416"/>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请求： ___________。</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签字(签章)：                   公章：                      </w:t>
      </w:r>
    </w:p>
    <w:p>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日期：    </w:t>
      </w:r>
    </w:p>
    <w:p>
      <w:pPr>
        <w:rPr>
          <w:rFonts w:hint="eastAsia" w:ascii="仿宋" w:hAnsi="仿宋" w:eastAsia="仿宋"/>
          <w:color w:val="auto"/>
          <w:sz w:val="28"/>
          <w:szCs w:val="28"/>
          <w:highlight w:val="none"/>
        </w:rPr>
      </w:pP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质疑函制作说明：</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1.投标人提出质疑时，应提交质疑函和必要的证明材料。</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3.质疑投标人若对项目的某一分包进行质疑，质疑函中应列明具体分包号。</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4.质疑函的质疑事项应具体、明确，并有必要的事实依据和法律依据。</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5.质疑函的质疑请求应与质疑事项相关。</w:t>
      </w:r>
    </w:p>
    <w:p>
      <w:pPr>
        <w:pStyle w:val="182"/>
        <w:ind w:firstLine="56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6.质疑投标人为自然人的，质疑函应由本人签字；质疑投标人为法人或者其他组织的，质疑函应由法定代表人、主要负责人，或者其授权代表签字或者盖章，并加盖公章</w:t>
      </w:r>
      <w:r>
        <w:rPr>
          <w:rFonts w:ascii="仿宋" w:hAnsi="仿宋" w:eastAsia="仿宋"/>
          <w:color w:val="auto"/>
          <w:sz w:val="28"/>
          <w:szCs w:val="28"/>
          <w:highlight w:val="none"/>
        </w:rPr>
        <w:t>。</w:t>
      </w:r>
    </w:p>
    <w:p>
      <w:pPr>
        <w:pStyle w:val="182"/>
        <w:ind w:firstLine="560"/>
        <w:rPr>
          <w:rFonts w:hint="eastAsia" w:ascii="仿宋" w:hAnsi="仿宋" w:eastAsia="仿宋"/>
          <w:color w:val="auto"/>
          <w:sz w:val="28"/>
          <w:szCs w:val="28"/>
          <w:highlight w:val="none"/>
        </w:rPr>
      </w:pPr>
    </w:p>
    <w:p>
      <w:pPr>
        <w:pStyle w:val="182"/>
        <w:ind w:firstLine="560"/>
        <w:rPr>
          <w:rFonts w:hint="eastAsia" w:ascii="仿宋" w:hAnsi="仿宋" w:eastAsia="仿宋"/>
          <w:color w:val="auto"/>
          <w:sz w:val="28"/>
          <w:szCs w:val="28"/>
          <w:highlight w:val="none"/>
        </w:rPr>
      </w:pPr>
    </w:p>
    <w:bookmarkEnd w:id="417"/>
    <w:sectPr>
      <w:headerReference r:id="rId11" w:type="default"/>
      <w:footerReference r:id="rId12" w:type="default"/>
      <w:pgSz w:w="11906" w:h="16838"/>
      <w:pgMar w:top="1417" w:right="1417" w:bottom="1417" w:left="1417" w:header="935" w:footer="720" w:gutter="0"/>
      <w:cols w:space="0" w:num="1"/>
      <w:rtlGutter w:val="0"/>
      <w:docGrid w:linePitch="3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font-weight : 400">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全真簡粗明">
    <w:altName w:val="MingLiU-ExtB"/>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文鼎中隶简">
    <w:altName w:val="宋体"/>
    <w:panose1 w:val="02010609010101010101"/>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4"/>
                            <w:jc w:val="center"/>
                          </w:pPr>
                          <w:r>
                            <w:fldChar w:fldCharType="begin"/>
                          </w:r>
                          <w:r>
                            <w:instrText xml:space="preserve"> PAGE   \* MERGEFORMAT </w:instrText>
                          </w:r>
                          <w:r>
                            <w:fldChar w:fldCharType="separate"/>
                          </w:r>
                          <w:r>
                            <w:rPr>
                              <w:lang w:val="zh-CN"/>
                            </w:rPr>
                            <w:t>2</w:t>
                          </w:r>
                          <w:r>
                            <w:rPr>
                              <w:lang w:val="zh-C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ftpf7M0BAACnAwAADgAAAAAAAAABACAAAAAeAQAAZHJzL2Uy&#10;b0RvYy54bWxQSwUGAAAAAAYABgBZAQAAXQUAAAAA&#10;">
              <v:fill on="f" focussize="0,0"/>
              <v:stroke on="f"/>
              <v:imagedata o:title=""/>
              <o:lock v:ext="edit" aspectratio="f"/>
              <v:textbox inset="0mm,0mm,0mm,0mm" style="mso-fit-shape-to-text:t;">
                <w:txbxContent>
                  <w:p>
                    <w:pPr>
                      <w:pStyle w:val="24"/>
                      <w:jc w:val="center"/>
                    </w:pPr>
                    <w:r>
                      <w:fldChar w:fldCharType="begin"/>
                    </w:r>
                    <w:r>
                      <w:instrText xml:space="preserve"> PAGE   \* MERGEFORMAT </w:instrText>
                    </w:r>
                    <w:r>
                      <w:fldChar w:fldCharType="separate"/>
                    </w:r>
                    <w:r>
                      <w:rPr>
                        <w:lang w:val="zh-CN"/>
                      </w:rPr>
                      <w:t>2</w:t>
                    </w:r>
                    <w:r>
                      <w:rPr>
                        <w:lang w:val="zh-CN"/>
                      </w:rPr>
                      <w:fldChar w:fldCharType="end"/>
                    </w:r>
                  </w:p>
                </w:txbxContent>
              </v:textbox>
            </v:shape>
          </w:pict>
        </mc:Fallback>
      </mc:AlternateContent>
    </w:r>
  </w:p>
  <w:p>
    <w:pPr>
      <w:pStyle w:val="24"/>
      <w:tabs>
        <w:tab w:val="center" w:pos="4497"/>
        <w:tab w:val="clear" w:pos="4153"/>
        <w:tab w:val="clear" w:pos="8306"/>
      </w:tabs>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3"/>
      </w:rPr>
    </w:pPr>
    <w:r>
      <w:fldChar w:fldCharType="begin"/>
    </w:r>
    <w:r>
      <w:rPr>
        <w:rStyle w:val="43"/>
      </w:rPr>
      <w:instrText xml:space="preserve">PAGE  </w:instrText>
    </w:r>
    <w:r>
      <w:fldChar w:fldCharType="separate"/>
    </w:r>
    <w:r>
      <w:rPr>
        <w:rStyle w:val="43"/>
      </w:rPr>
      <w:t>52</w:t>
    </w:r>
    <w:r>
      <w:fldChar w:fldCharType="end"/>
    </w:r>
  </w:p>
  <w:p>
    <w:pPr>
      <w:pStyle w:val="24"/>
      <w:ind w:right="360"/>
      <w:rPr>
        <w:sz w:val="21"/>
      </w:rP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57150" cy="147955"/>
              <wp:effectExtent l="0" t="0" r="0" b="0"/>
              <wp:wrapSquare wrapText="bothSides"/>
              <wp:docPr id="8" name="文本框 1026"/>
              <wp:cNvGraphicFramePr/>
              <a:graphic xmlns:a="http://schemas.openxmlformats.org/drawingml/2006/main">
                <a:graphicData uri="http://schemas.microsoft.com/office/word/2010/wordprocessingShape">
                  <wps:wsp>
                    <wps:cNvSpPr txBox="1"/>
                    <wps:spPr>
                      <a:xfrm>
                        <a:off x="0" y="0"/>
                        <a:ext cx="57150" cy="147955"/>
                      </a:xfrm>
                      <a:prstGeom prst="rect">
                        <a:avLst/>
                      </a:prstGeom>
                      <a:noFill/>
                      <a:ln>
                        <a:noFill/>
                      </a:ln>
                      <a:effectLst/>
                    </wps:spPr>
                    <wps:txbx>
                      <w:txbxContent>
                        <w:p>
                          <w:pPr>
                            <w:pStyle w:val="24"/>
                            <w:rPr>
                              <w:rStyle w:val="43"/>
                            </w:rPr>
                          </w:pPr>
                          <w:r>
                            <w:fldChar w:fldCharType="begin"/>
                          </w:r>
                          <w:r>
                            <w:rPr>
                              <w:rStyle w:val="43"/>
                            </w:rPr>
                            <w:instrText xml:space="preserve">PAGE  </w:instrText>
                          </w:r>
                          <w:r>
                            <w:fldChar w:fldCharType="separate"/>
                          </w:r>
                          <w:r>
                            <w:rPr>
                              <w:rStyle w:val="43"/>
                            </w:rPr>
                            <w:t>52</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1.65pt;width:4.5pt;mso-position-horizontal:center;mso-position-horizontal-relative:margin;mso-wrap-distance-bottom:0pt;mso-wrap-distance-left:0pt;mso-wrap-distance-right:0pt;mso-wrap-distance-top:0pt;mso-wrap-style:none;z-index:251662336;mso-width-relative:page;mso-height-relative:page;" filled="f" stroked="f" coordsize="21600,21600" o:gfxdata="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bQkGzQAAAAAgEAAA8AAAAAAAAAAQAgAAAAIgAAAGRy&#10;cy9kb3ducmV2LnhtbFBLAQIUABQAAAAIAIdO4kCjHBYQ1AEAAKcDAAAOAAAAAAAAAAEAIAAAAB8B&#10;AABkcnMvZTJvRG9jLnhtbFBLBQYAAAAABgAGAFkBAABlBQAAAAA=&#10;">
              <v:fill on="f" focussize="0,0"/>
              <v:stroke on="f"/>
              <v:imagedata o:title=""/>
              <o:lock v:ext="edit" aspectratio="f"/>
              <v:textbox inset="0mm,0mm,0mm,0mm" style="mso-fit-shape-to-text:t;">
                <w:txbxContent>
                  <w:p>
                    <w:pPr>
                      <w:pStyle w:val="24"/>
                      <w:rPr>
                        <w:rStyle w:val="43"/>
                      </w:rPr>
                    </w:pPr>
                    <w:r>
                      <w:fldChar w:fldCharType="begin"/>
                    </w:r>
                    <w:r>
                      <w:rPr>
                        <w:rStyle w:val="43"/>
                      </w:rPr>
                      <w:instrText xml:space="preserve">PAGE  </w:instrText>
                    </w:r>
                    <w:r>
                      <w:fldChar w:fldCharType="separate"/>
                    </w:r>
                    <w:r>
                      <w:rPr>
                        <w:rStyle w:val="43"/>
                      </w:rPr>
                      <w:t>52</w:t>
                    </w:r>
                    <w:r>
                      <w:fldChar w:fldCharType="end"/>
                    </w:r>
                  </w:p>
                </w:txbxContent>
              </v:textbox>
              <w10:wrap type="square"/>
            </v:shape>
          </w:pict>
        </mc:Fallback>
      </mc:AlternateContent>
    </w: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33350" cy="172720"/>
              <wp:effectExtent l="0" t="0" r="0" b="0"/>
              <wp:wrapSquare wrapText="bothSides"/>
              <wp:docPr id="4" name="文本框 1027"/>
              <wp:cNvGraphicFramePr/>
              <a:graphic xmlns:a="http://schemas.openxmlformats.org/drawingml/2006/main">
                <a:graphicData uri="http://schemas.microsoft.com/office/word/2010/wordprocessingShape">
                  <wps:wsp>
                    <wps:cNvSpPr txBox="1"/>
                    <wps:spPr>
                      <a:xfrm>
                        <a:off x="0" y="0"/>
                        <a:ext cx="133350" cy="172720"/>
                      </a:xfrm>
                      <a:prstGeom prst="rect">
                        <a:avLst/>
                      </a:prstGeom>
                      <a:noFill/>
                      <a:ln>
                        <a:noFill/>
                      </a:ln>
                      <a:effectLst/>
                    </wps:spPr>
                    <wps:txbx>
                      <w:txbxContent>
                        <w:p>
                          <w:pPr>
                            <w:pStyle w:val="24"/>
                            <w:rPr>
                              <w:rStyle w:val="43"/>
                              <w:sz w:val="21"/>
                            </w:rPr>
                          </w:pPr>
                          <w:r>
                            <w:rPr>
                              <w:sz w:val="21"/>
                            </w:rPr>
                            <w:fldChar w:fldCharType="begin"/>
                          </w:r>
                          <w:r>
                            <w:rPr>
                              <w:rStyle w:val="43"/>
                              <w:sz w:val="21"/>
                            </w:rPr>
                            <w:instrText xml:space="preserve">PAGE  </w:instrText>
                          </w:r>
                          <w:r>
                            <w:rPr>
                              <w:sz w:val="21"/>
                            </w:rPr>
                            <w:fldChar w:fldCharType="separate"/>
                          </w:r>
                          <w:r>
                            <w:rPr>
                              <w:rStyle w:val="43"/>
                              <w:sz w:val="21"/>
                            </w:rPr>
                            <w:t>52</w:t>
                          </w:r>
                          <w:r>
                            <w:rPr>
                              <w:sz w:val="21"/>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3.6pt;width:10.5pt;mso-position-horizontal:center;mso-position-horizontal-relative:margin;mso-wrap-distance-bottom:0pt;mso-wrap-distance-left:0pt;mso-wrap-distance-right:0pt;mso-wrap-distance-top:0pt;mso-wrap-style:none;z-index:251662336;mso-width-relative:page;mso-height-relative:page;" filled="f" stroked="f" coordsize="21600,21600" o:gfxdata="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KrLlHPAAAAAwEAAA8AAAAAAAAAAQAgAAAAIgAAAGRy&#10;cy9kb3ducmV2LnhtbFBLAQIUABQAAAAIAIdO4kCzUAg/1QEAAKgDAAAOAAAAAAAAAAEAIAAAAB4B&#10;AABkcnMvZTJvRG9jLnhtbFBLBQYAAAAABgAGAFkBAABlBQAAAAA=&#10;">
              <v:fill on="f" focussize="0,0"/>
              <v:stroke on="f"/>
              <v:imagedata o:title=""/>
              <o:lock v:ext="edit" aspectratio="f"/>
              <v:textbox inset="0mm,0mm,0mm,0mm" style="mso-fit-shape-to-text:t;">
                <w:txbxContent>
                  <w:p>
                    <w:pPr>
                      <w:pStyle w:val="24"/>
                      <w:rPr>
                        <w:rStyle w:val="43"/>
                        <w:sz w:val="21"/>
                      </w:rPr>
                    </w:pPr>
                    <w:r>
                      <w:rPr>
                        <w:sz w:val="21"/>
                      </w:rPr>
                      <w:fldChar w:fldCharType="begin"/>
                    </w:r>
                    <w:r>
                      <w:rPr>
                        <w:rStyle w:val="43"/>
                        <w:sz w:val="21"/>
                      </w:rPr>
                      <w:instrText xml:space="preserve">PAGE  </w:instrText>
                    </w:r>
                    <w:r>
                      <w:rPr>
                        <w:sz w:val="21"/>
                      </w:rPr>
                      <w:fldChar w:fldCharType="separate"/>
                    </w:r>
                    <w:r>
                      <w:rPr>
                        <w:rStyle w:val="43"/>
                        <w:sz w:val="21"/>
                      </w:rPr>
                      <w:t>52</w:t>
                    </w:r>
                    <w:r>
                      <w:rPr>
                        <w:sz w:val="21"/>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4"/>
                            <w:ind w:right="360"/>
                            <w:jc w:val="center"/>
                          </w:pPr>
                          <w:r>
                            <w:fldChar w:fldCharType="begin"/>
                          </w:r>
                          <w:r>
                            <w:rPr>
                              <w:rStyle w:val="43"/>
                              <w:rFonts w:ascii="Times New Roman" w:eastAsia="宋体" w:cs="Times New Roman"/>
                              <w:sz w:val="18"/>
                              <w:szCs w:val="18"/>
                            </w:rPr>
                            <w:instrText xml:space="preserve"> PAGE  \* Arabic  \* MERGEFORMAT </w:instrText>
                          </w:r>
                          <w:r>
                            <w:fldChar w:fldCharType="separate"/>
                          </w:r>
                          <w:r>
                            <w:rPr>
                              <w:rStyle w:val="43"/>
                              <w:rFonts w:ascii="Times New Roman" w:eastAsia="宋体" w:cs="Times New Roman"/>
                              <w:sz w:val="18"/>
                              <w:szCs w:val="18"/>
                            </w:rPr>
                            <w:t>35</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uMlIqc0BAACnAwAADgAAAAAAAAABACAAAAAeAQAAZHJzL2Uy&#10;b0RvYy54bWxQSwUGAAAAAAYABgBZAQAAXQUAAAAA&#10;">
              <v:fill on="f" focussize="0,0"/>
              <v:stroke on="f"/>
              <v:imagedata o:title=""/>
              <o:lock v:ext="edit" aspectratio="f"/>
              <v:textbox inset="0mm,0mm,0mm,0mm" style="mso-fit-shape-to-text:t;">
                <w:txbxContent>
                  <w:p>
                    <w:pPr>
                      <w:pStyle w:val="24"/>
                      <w:ind w:right="360"/>
                      <w:jc w:val="center"/>
                    </w:pPr>
                    <w:r>
                      <w:fldChar w:fldCharType="begin"/>
                    </w:r>
                    <w:r>
                      <w:rPr>
                        <w:rStyle w:val="43"/>
                        <w:rFonts w:ascii="Times New Roman" w:eastAsia="宋体" w:cs="Times New Roman"/>
                        <w:sz w:val="18"/>
                        <w:szCs w:val="18"/>
                      </w:rPr>
                      <w:instrText xml:space="preserve"> PAGE  \* Arabic  \* MERGEFORMAT </w:instrText>
                    </w:r>
                    <w:r>
                      <w:fldChar w:fldCharType="separate"/>
                    </w:r>
                    <w:r>
                      <w:rPr>
                        <w:rStyle w:val="43"/>
                        <w:rFonts w:ascii="Times New Roman" w:eastAsia="宋体" w:cs="Times New Roman"/>
                        <w:sz w:val="18"/>
                        <w:szCs w:val="18"/>
                      </w:rPr>
                      <w:t>35</w:t>
                    </w:r>
                    <w:r>
                      <w:fldChar w:fldCharType="end"/>
                    </w:r>
                  </w:p>
                </w:txbxContent>
              </v:textbox>
            </v:shape>
          </w:pict>
        </mc:Fallback>
      </mc:AlternateContent>
    </w:r>
    <w:r>
      <mc:AlternateContent>
        <mc:Choice Requires="wps">
          <w:drawing>
            <wp:anchor distT="0" distB="0" distL="0" distR="0" simplePos="0" relativeHeight="251664384" behindDoc="0" locked="0" layoutInCell="1" allowOverlap="1">
              <wp:simplePos x="0" y="0"/>
              <wp:positionH relativeFrom="margin">
                <wp:posOffset>0</wp:posOffset>
              </wp:positionH>
              <wp:positionV relativeFrom="paragraph">
                <wp:posOffset>26035</wp:posOffset>
              </wp:positionV>
              <wp:extent cx="140970" cy="220980"/>
              <wp:effectExtent l="0" t="0" r="0" b="0"/>
              <wp:wrapSquare wrapText="bothSides"/>
              <wp:docPr id="2" name="文本框 1028"/>
              <wp:cNvGraphicFramePr/>
              <a:graphic xmlns:a="http://schemas.openxmlformats.org/drawingml/2006/main">
                <a:graphicData uri="http://schemas.microsoft.com/office/word/2010/wordprocessingShape">
                  <wps:wsp>
                    <wps:cNvSpPr txBox="1"/>
                    <wps:spPr>
                      <a:xfrm>
                        <a:off x="0" y="0"/>
                        <a:ext cx="140970" cy="220980"/>
                      </a:xfrm>
                      <a:prstGeom prst="rect">
                        <a:avLst/>
                      </a:prstGeom>
                      <a:noFill/>
                      <a:ln>
                        <a:noFill/>
                      </a:ln>
                      <a:effectLst/>
                    </wps:spPr>
                    <wps:txbx>
                      <w:txbxContent>
                        <w:p>
                          <w:pPr>
                            <w:pStyle w:val="24"/>
                            <w:rPr>
                              <w:rStyle w:val="43"/>
                            </w:rPr>
                          </w:pPr>
                        </w:p>
                      </w:txbxContent>
                    </wps:txbx>
                    <wps:bodyPr lIns="0" tIns="0" rIns="0" bIns="0" upright="1"/>
                  </wps:wsp>
                </a:graphicData>
              </a:graphic>
            </wp:anchor>
          </w:drawing>
        </mc:Choice>
        <mc:Fallback>
          <w:pict>
            <v:shape id="文本框 1028" o:spid="_x0000_s1026" o:spt="202" type="#_x0000_t202" style="position:absolute;left:0pt;margin-left:0pt;margin-top:2.05pt;height:17.4pt;width:11.1pt;mso-position-horizontal-relative:margin;mso-wrap-distance-bottom:0pt;mso-wrap-distance-left:0pt;mso-wrap-distance-right:0pt;mso-wrap-distance-top:0pt;z-index:251664384;mso-width-relative:page;mso-height-relative:page;" filled="f" stroked="f" coordsize="21600,21600" o:gfxdata="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spODdQAAAAEAQAADwAAAAAAAAABACAAAAAiAAAAZHJzL2Rvd25yZXYueG1sUEsB&#10;AhQAFAAAAAgAh07iQDX/VITAAQAAggMAAA4AAAAAAAAAAQAgAAAAIwEAAGRycy9lMm9Eb2MueG1s&#10;UEsFBgAAAAAGAAYAWQEAAFUFAAAAAA==&#10;">
              <v:fill on="f" focussize="0,0"/>
              <v:stroke on="f"/>
              <v:imagedata o:title=""/>
              <o:lock v:ext="edit" aspectratio="f"/>
              <v:textbox inset="0mm,0mm,0mm,0mm">
                <w:txbxContent>
                  <w:p>
                    <w:pPr>
                      <w:pStyle w:val="24"/>
                      <w:rPr>
                        <w:rStyle w:val="43"/>
                      </w:rPr>
                    </w:pPr>
                  </w:p>
                </w:txbxContent>
              </v:textbox>
              <w10:wrap type="squar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4"/>
                            <w:ind w:right="360"/>
                            <w:jc w:val="center"/>
                          </w:pPr>
                          <w:r>
                            <w:fldChar w:fldCharType="begin"/>
                          </w:r>
                          <w:r>
                            <w:rPr>
                              <w:rStyle w:val="43"/>
                              <w:rFonts w:ascii="Times New Roman" w:eastAsia="宋体" w:cs="Times New Roman"/>
                              <w:sz w:val="18"/>
                              <w:szCs w:val="18"/>
                            </w:rPr>
                            <w:instrText xml:space="preserve"> PAGE  \* Arabic  \* MERGEFORMAT </w:instrText>
                          </w:r>
                          <w:r>
                            <w:fldChar w:fldCharType="separate"/>
                          </w:r>
                          <w:r>
                            <w:rPr>
                              <w:rStyle w:val="43"/>
                              <w:rFonts w:ascii="Times New Roman" w:eastAsia="宋体" w:cs="Times New Roman"/>
                              <w:sz w:val="18"/>
                              <w:szCs w:val="18"/>
                            </w:rPr>
                            <w:t>46</w:t>
                          </w:r>
                          <w: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DDSCX80BAACnAwAADgAAAAAAAAABACAAAAAeAQAAZHJzL2Uy&#10;b0RvYy54bWxQSwUGAAAAAAYABgBZAQAAXQUAAAAA&#10;">
              <v:fill on="f" focussize="0,0"/>
              <v:stroke on="f"/>
              <v:imagedata o:title=""/>
              <o:lock v:ext="edit" aspectratio="f"/>
              <v:textbox inset="0mm,0mm,0mm,0mm" style="mso-fit-shape-to-text:t;">
                <w:txbxContent>
                  <w:p>
                    <w:pPr>
                      <w:pStyle w:val="24"/>
                      <w:ind w:right="360"/>
                      <w:jc w:val="center"/>
                    </w:pPr>
                    <w:r>
                      <w:fldChar w:fldCharType="begin"/>
                    </w:r>
                    <w:r>
                      <w:rPr>
                        <w:rStyle w:val="43"/>
                        <w:rFonts w:ascii="Times New Roman" w:eastAsia="宋体" w:cs="Times New Roman"/>
                        <w:sz w:val="18"/>
                        <w:szCs w:val="18"/>
                      </w:rPr>
                      <w:instrText xml:space="preserve"> PAGE  \* Arabic  \* MERGEFORMAT </w:instrText>
                    </w:r>
                    <w:r>
                      <w:fldChar w:fldCharType="separate"/>
                    </w:r>
                    <w:r>
                      <w:rPr>
                        <w:rStyle w:val="43"/>
                        <w:rFonts w:ascii="Times New Roman" w:eastAsia="宋体" w:cs="Times New Roman"/>
                        <w:sz w:val="18"/>
                        <w:szCs w:val="18"/>
                      </w:rPr>
                      <w:t>46</w:t>
                    </w:r>
                    <w:r>
                      <w:fldChar w:fldCharType="end"/>
                    </w:r>
                  </w:p>
                </w:txbxContent>
              </v:textbox>
            </v:shape>
          </w:pict>
        </mc:Fallback>
      </mc:AlternateContent>
    </w:r>
    <w:r>
      <mc:AlternateContent>
        <mc:Choice Requires="wps">
          <w:drawing>
            <wp:anchor distT="0" distB="0" distL="0" distR="0" simplePos="0" relativeHeight="251661312" behindDoc="0" locked="0" layoutInCell="1" allowOverlap="1">
              <wp:simplePos x="0" y="0"/>
              <wp:positionH relativeFrom="margin">
                <wp:posOffset>0</wp:posOffset>
              </wp:positionH>
              <wp:positionV relativeFrom="paragraph">
                <wp:posOffset>26035</wp:posOffset>
              </wp:positionV>
              <wp:extent cx="140970" cy="220980"/>
              <wp:effectExtent l="0" t="0" r="0" b="0"/>
              <wp:wrapSquare wrapText="bothSides"/>
              <wp:docPr id="6" name="文本框 1028"/>
              <wp:cNvGraphicFramePr/>
              <a:graphic xmlns:a="http://schemas.openxmlformats.org/drawingml/2006/main">
                <a:graphicData uri="http://schemas.microsoft.com/office/word/2010/wordprocessingShape">
                  <wps:wsp>
                    <wps:cNvSpPr txBox="1"/>
                    <wps:spPr>
                      <a:xfrm>
                        <a:off x="0" y="0"/>
                        <a:ext cx="140970" cy="220980"/>
                      </a:xfrm>
                      <a:prstGeom prst="rect">
                        <a:avLst/>
                      </a:prstGeom>
                      <a:noFill/>
                      <a:ln>
                        <a:noFill/>
                      </a:ln>
                      <a:effectLst/>
                    </wps:spPr>
                    <wps:txbx>
                      <w:txbxContent>
                        <w:p>
                          <w:pPr>
                            <w:pStyle w:val="24"/>
                            <w:rPr>
                              <w:rStyle w:val="43"/>
                            </w:rPr>
                          </w:pPr>
                        </w:p>
                      </w:txbxContent>
                    </wps:txbx>
                    <wps:bodyPr lIns="0" tIns="0" rIns="0" bIns="0" upright="1"/>
                  </wps:wsp>
                </a:graphicData>
              </a:graphic>
            </wp:anchor>
          </w:drawing>
        </mc:Choice>
        <mc:Fallback>
          <w:pict>
            <v:shape id="文本框 1028" o:spid="_x0000_s1026" o:spt="202" type="#_x0000_t202" style="position:absolute;left:0pt;margin-left:0pt;margin-top:2.05pt;height:17.4pt;width:11.1pt;mso-position-horizontal-relative:margin;mso-wrap-distance-bottom:0pt;mso-wrap-distance-left:0pt;mso-wrap-distance-right:0pt;mso-wrap-distance-top:0pt;z-index:251661312;mso-width-relative:page;mso-height-relative:page;" filled="f" stroked="f" coordsize="21600,21600" o:gfxdata="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7KTg3UAAAABAEAAA8AAAAAAAAAAQAgAAAAIgAAAGRycy9kb3ducmV2LnhtbFBL&#10;AQIUABQAAAAIAIdO4kDK0ebwwQEAAIIDAAAOAAAAAAAAAAEAIAAAACMBAABkcnMvZTJvRG9jLnht&#10;bFBLBQYAAAAABgAGAFkBAABWBQAAAAA=&#10;">
              <v:fill on="f" focussize="0,0"/>
              <v:stroke on="f"/>
              <v:imagedata o:title=""/>
              <o:lock v:ext="edit" aspectratio="f"/>
              <v:textbox inset="0mm,0mm,0mm,0mm">
                <w:txbxContent>
                  <w:p>
                    <w:pPr>
                      <w:pStyle w:val="24"/>
                      <w:rPr>
                        <w:rStyle w:val="43"/>
                      </w:rPr>
                    </w:pPr>
                  </w:p>
                </w:txbxContent>
              </v:textbox>
              <w10:wrap type="squar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8765718"/>
    </w:sdtPr>
    <w:sdtContent>
      <w:p>
        <w:pPr>
          <w:pStyle w:val="24"/>
          <w:ind w:firstLine="240"/>
          <w:jc w:val="center"/>
        </w:pPr>
        <w:r>
          <w:fldChar w:fldCharType="begin"/>
        </w:r>
        <w:r>
          <w:instrText xml:space="preserve">PAGE   \* MERGEFORMAT</w:instrText>
        </w:r>
        <w:r>
          <w:fldChar w:fldCharType="separate"/>
        </w:r>
        <w:r>
          <w:rPr>
            <w:lang w:val="zh-CN"/>
          </w:rPr>
          <w:t>58</w:t>
        </w:r>
        <w:r>
          <w:fldChar w:fldCharType="end"/>
        </w:r>
      </w:p>
    </w:sdtContent>
  </w:sdt>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FB10E"/>
    <w:multiLevelType w:val="singleLevel"/>
    <w:tmpl w:val="A62FB10E"/>
    <w:lvl w:ilvl="0" w:tentative="0">
      <w:start w:val="1"/>
      <w:numFmt w:val="decimal"/>
      <w:lvlText w:val="%1."/>
      <w:lvlJc w:val="left"/>
      <w:pPr>
        <w:tabs>
          <w:tab w:val="left" w:pos="312"/>
        </w:tabs>
      </w:pPr>
    </w:lvl>
  </w:abstractNum>
  <w:abstractNum w:abstractNumId="1">
    <w:nsid w:val="B9F6C7DB"/>
    <w:multiLevelType w:val="multilevel"/>
    <w:tmpl w:val="B9F6C7D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C862574A"/>
    <w:multiLevelType w:val="singleLevel"/>
    <w:tmpl w:val="C862574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N2M3MDhiNDQ3NjUyYjBkNGQyYjdmMWZlZWFjMGEifQ=="/>
  </w:docVars>
  <w:rsids>
    <w:rsidRoot w:val="00172A27"/>
    <w:rsid w:val="00001002"/>
    <w:rsid w:val="000011CB"/>
    <w:rsid w:val="0000136D"/>
    <w:rsid w:val="00001446"/>
    <w:rsid w:val="0000163F"/>
    <w:rsid w:val="00003C6A"/>
    <w:rsid w:val="00005B36"/>
    <w:rsid w:val="00005D17"/>
    <w:rsid w:val="00005D8D"/>
    <w:rsid w:val="00006606"/>
    <w:rsid w:val="000068D4"/>
    <w:rsid w:val="00006970"/>
    <w:rsid w:val="000076E7"/>
    <w:rsid w:val="000079FD"/>
    <w:rsid w:val="00007DAC"/>
    <w:rsid w:val="00010C97"/>
    <w:rsid w:val="0001197D"/>
    <w:rsid w:val="00011D87"/>
    <w:rsid w:val="00011EAE"/>
    <w:rsid w:val="0001213C"/>
    <w:rsid w:val="0001294D"/>
    <w:rsid w:val="00012BF0"/>
    <w:rsid w:val="00012FDA"/>
    <w:rsid w:val="000132E8"/>
    <w:rsid w:val="000134BF"/>
    <w:rsid w:val="0001463E"/>
    <w:rsid w:val="00015666"/>
    <w:rsid w:val="000160BD"/>
    <w:rsid w:val="00016257"/>
    <w:rsid w:val="00016452"/>
    <w:rsid w:val="000179F2"/>
    <w:rsid w:val="00020328"/>
    <w:rsid w:val="000209BE"/>
    <w:rsid w:val="00020E3E"/>
    <w:rsid w:val="000221CE"/>
    <w:rsid w:val="000221FF"/>
    <w:rsid w:val="000223B7"/>
    <w:rsid w:val="00022619"/>
    <w:rsid w:val="00022B2B"/>
    <w:rsid w:val="0002310E"/>
    <w:rsid w:val="0002379F"/>
    <w:rsid w:val="0002386F"/>
    <w:rsid w:val="00023C48"/>
    <w:rsid w:val="000246B1"/>
    <w:rsid w:val="00024B6C"/>
    <w:rsid w:val="00024C98"/>
    <w:rsid w:val="00024E77"/>
    <w:rsid w:val="00024E79"/>
    <w:rsid w:val="000250F8"/>
    <w:rsid w:val="000252EB"/>
    <w:rsid w:val="000258EA"/>
    <w:rsid w:val="00025CA2"/>
    <w:rsid w:val="00025FF5"/>
    <w:rsid w:val="00026185"/>
    <w:rsid w:val="000265E6"/>
    <w:rsid w:val="00026CE2"/>
    <w:rsid w:val="00026EFC"/>
    <w:rsid w:val="00027AFD"/>
    <w:rsid w:val="00027BB9"/>
    <w:rsid w:val="00027D63"/>
    <w:rsid w:val="000300B0"/>
    <w:rsid w:val="0003100E"/>
    <w:rsid w:val="00031272"/>
    <w:rsid w:val="00031662"/>
    <w:rsid w:val="00031B80"/>
    <w:rsid w:val="00031CE7"/>
    <w:rsid w:val="00031CF7"/>
    <w:rsid w:val="00033003"/>
    <w:rsid w:val="00033059"/>
    <w:rsid w:val="00033460"/>
    <w:rsid w:val="000336DE"/>
    <w:rsid w:val="000337E5"/>
    <w:rsid w:val="00033EA3"/>
    <w:rsid w:val="00034D47"/>
    <w:rsid w:val="000358B3"/>
    <w:rsid w:val="00037CCD"/>
    <w:rsid w:val="000418F2"/>
    <w:rsid w:val="00041C4C"/>
    <w:rsid w:val="00041E27"/>
    <w:rsid w:val="00043217"/>
    <w:rsid w:val="0004376D"/>
    <w:rsid w:val="0004433F"/>
    <w:rsid w:val="00045744"/>
    <w:rsid w:val="000457FF"/>
    <w:rsid w:val="00046621"/>
    <w:rsid w:val="00046678"/>
    <w:rsid w:val="00046D94"/>
    <w:rsid w:val="0005047D"/>
    <w:rsid w:val="00050FC2"/>
    <w:rsid w:val="0005129F"/>
    <w:rsid w:val="00051358"/>
    <w:rsid w:val="00051CD9"/>
    <w:rsid w:val="000523E3"/>
    <w:rsid w:val="0005270E"/>
    <w:rsid w:val="00052EFD"/>
    <w:rsid w:val="000532A4"/>
    <w:rsid w:val="00054243"/>
    <w:rsid w:val="0005486C"/>
    <w:rsid w:val="00054CDC"/>
    <w:rsid w:val="0005507C"/>
    <w:rsid w:val="00055350"/>
    <w:rsid w:val="00055435"/>
    <w:rsid w:val="00055938"/>
    <w:rsid w:val="00056FC0"/>
    <w:rsid w:val="00057137"/>
    <w:rsid w:val="0005722C"/>
    <w:rsid w:val="00057CFB"/>
    <w:rsid w:val="000601B7"/>
    <w:rsid w:val="000612E4"/>
    <w:rsid w:val="00061815"/>
    <w:rsid w:val="00061DA1"/>
    <w:rsid w:val="00061F4A"/>
    <w:rsid w:val="0006202D"/>
    <w:rsid w:val="00062628"/>
    <w:rsid w:val="0006279A"/>
    <w:rsid w:val="00062A88"/>
    <w:rsid w:val="00062F88"/>
    <w:rsid w:val="00063262"/>
    <w:rsid w:val="00065960"/>
    <w:rsid w:val="00065E27"/>
    <w:rsid w:val="00066173"/>
    <w:rsid w:val="00066854"/>
    <w:rsid w:val="000669BA"/>
    <w:rsid w:val="00066A37"/>
    <w:rsid w:val="00067256"/>
    <w:rsid w:val="00070151"/>
    <w:rsid w:val="00070943"/>
    <w:rsid w:val="00070C35"/>
    <w:rsid w:val="000710AE"/>
    <w:rsid w:val="00071CCC"/>
    <w:rsid w:val="000729AE"/>
    <w:rsid w:val="000731A5"/>
    <w:rsid w:val="000737AB"/>
    <w:rsid w:val="000738B1"/>
    <w:rsid w:val="00073A10"/>
    <w:rsid w:val="00074C43"/>
    <w:rsid w:val="00074DDD"/>
    <w:rsid w:val="00075CC3"/>
    <w:rsid w:val="00076F83"/>
    <w:rsid w:val="00076F91"/>
    <w:rsid w:val="0007779E"/>
    <w:rsid w:val="00077AC3"/>
    <w:rsid w:val="00077ADD"/>
    <w:rsid w:val="00077E9E"/>
    <w:rsid w:val="00077F28"/>
    <w:rsid w:val="0008097E"/>
    <w:rsid w:val="000811C1"/>
    <w:rsid w:val="000812A5"/>
    <w:rsid w:val="00081529"/>
    <w:rsid w:val="00081D56"/>
    <w:rsid w:val="0008252C"/>
    <w:rsid w:val="000829E6"/>
    <w:rsid w:val="00083B30"/>
    <w:rsid w:val="000841A7"/>
    <w:rsid w:val="000849A9"/>
    <w:rsid w:val="00085215"/>
    <w:rsid w:val="000853C9"/>
    <w:rsid w:val="00085B88"/>
    <w:rsid w:val="00085E40"/>
    <w:rsid w:val="00086310"/>
    <w:rsid w:val="0008673E"/>
    <w:rsid w:val="00086952"/>
    <w:rsid w:val="0008714E"/>
    <w:rsid w:val="00087A11"/>
    <w:rsid w:val="00087D3B"/>
    <w:rsid w:val="00090F5C"/>
    <w:rsid w:val="0009112E"/>
    <w:rsid w:val="00091A3B"/>
    <w:rsid w:val="00092462"/>
    <w:rsid w:val="00092DA2"/>
    <w:rsid w:val="000931CC"/>
    <w:rsid w:val="00094418"/>
    <w:rsid w:val="00095144"/>
    <w:rsid w:val="00095612"/>
    <w:rsid w:val="00096411"/>
    <w:rsid w:val="000A00BD"/>
    <w:rsid w:val="000A0317"/>
    <w:rsid w:val="000A0323"/>
    <w:rsid w:val="000A08B0"/>
    <w:rsid w:val="000A0E3E"/>
    <w:rsid w:val="000A23D4"/>
    <w:rsid w:val="000A27D9"/>
    <w:rsid w:val="000A362B"/>
    <w:rsid w:val="000A3742"/>
    <w:rsid w:val="000A4DD1"/>
    <w:rsid w:val="000A59D0"/>
    <w:rsid w:val="000A7080"/>
    <w:rsid w:val="000A7493"/>
    <w:rsid w:val="000A7560"/>
    <w:rsid w:val="000A7740"/>
    <w:rsid w:val="000B0046"/>
    <w:rsid w:val="000B0501"/>
    <w:rsid w:val="000B09BF"/>
    <w:rsid w:val="000B0A19"/>
    <w:rsid w:val="000B0ED3"/>
    <w:rsid w:val="000B12FB"/>
    <w:rsid w:val="000B13F4"/>
    <w:rsid w:val="000B1789"/>
    <w:rsid w:val="000B2C72"/>
    <w:rsid w:val="000B30D0"/>
    <w:rsid w:val="000B35EC"/>
    <w:rsid w:val="000B407C"/>
    <w:rsid w:val="000B470A"/>
    <w:rsid w:val="000B6445"/>
    <w:rsid w:val="000B69CB"/>
    <w:rsid w:val="000B69CC"/>
    <w:rsid w:val="000B7A14"/>
    <w:rsid w:val="000C0321"/>
    <w:rsid w:val="000C07B2"/>
    <w:rsid w:val="000C161D"/>
    <w:rsid w:val="000C1939"/>
    <w:rsid w:val="000C1A22"/>
    <w:rsid w:val="000C20E8"/>
    <w:rsid w:val="000C222E"/>
    <w:rsid w:val="000C321A"/>
    <w:rsid w:val="000C347E"/>
    <w:rsid w:val="000C3BBB"/>
    <w:rsid w:val="000C3BBF"/>
    <w:rsid w:val="000C431F"/>
    <w:rsid w:val="000C4415"/>
    <w:rsid w:val="000C44A1"/>
    <w:rsid w:val="000C51BC"/>
    <w:rsid w:val="000C5564"/>
    <w:rsid w:val="000C57AE"/>
    <w:rsid w:val="000C5969"/>
    <w:rsid w:val="000C59A2"/>
    <w:rsid w:val="000C5A62"/>
    <w:rsid w:val="000C6146"/>
    <w:rsid w:val="000C6642"/>
    <w:rsid w:val="000C7005"/>
    <w:rsid w:val="000C708A"/>
    <w:rsid w:val="000C7424"/>
    <w:rsid w:val="000C78CB"/>
    <w:rsid w:val="000D0296"/>
    <w:rsid w:val="000D06C6"/>
    <w:rsid w:val="000D2691"/>
    <w:rsid w:val="000D2DE8"/>
    <w:rsid w:val="000D337B"/>
    <w:rsid w:val="000D3C3F"/>
    <w:rsid w:val="000D423F"/>
    <w:rsid w:val="000D426D"/>
    <w:rsid w:val="000D43FD"/>
    <w:rsid w:val="000D452F"/>
    <w:rsid w:val="000D4B36"/>
    <w:rsid w:val="000D4E2C"/>
    <w:rsid w:val="000D5253"/>
    <w:rsid w:val="000D5635"/>
    <w:rsid w:val="000D5651"/>
    <w:rsid w:val="000D5B73"/>
    <w:rsid w:val="000D6392"/>
    <w:rsid w:val="000D6A7E"/>
    <w:rsid w:val="000D6B16"/>
    <w:rsid w:val="000D6F07"/>
    <w:rsid w:val="000D79ED"/>
    <w:rsid w:val="000E078B"/>
    <w:rsid w:val="000E08AC"/>
    <w:rsid w:val="000E0C51"/>
    <w:rsid w:val="000E1274"/>
    <w:rsid w:val="000E2AC0"/>
    <w:rsid w:val="000E39F8"/>
    <w:rsid w:val="000E3C98"/>
    <w:rsid w:val="000E3D15"/>
    <w:rsid w:val="000E3E1E"/>
    <w:rsid w:val="000E4D5C"/>
    <w:rsid w:val="000E5530"/>
    <w:rsid w:val="000E706B"/>
    <w:rsid w:val="000E78D0"/>
    <w:rsid w:val="000F0DC5"/>
    <w:rsid w:val="000F12B4"/>
    <w:rsid w:val="000F150F"/>
    <w:rsid w:val="000F1920"/>
    <w:rsid w:val="000F23ED"/>
    <w:rsid w:val="000F2705"/>
    <w:rsid w:val="000F2A32"/>
    <w:rsid w:val="000F354C"/>
    <w:rsid w:val="000F3C0D"/>
    <w:rsid w:val="000F3EF5"/>
    <w:rsid w:val="000F421E"/>
    <w:rsid w:val="000F4DF1"/>
    <w:rsid w:val="000F52A2"/>
    <w:rsid w:val="000F52B3"/>
    <w:rsid w:val="000F547C"/>
    <w:rsid w:val="000F5867"/>
    <w:rsid w:val="000F69A5"/>
    <w:rsid w:val="000F6A09"/>
    <w:rsid w:val="000F79EC"/>
    <w:rsid w:val="000F7E46"/>
    <w:rsid w:val="00101C03"/>
    <w:rsid w:val="00102374"/>
    <w:rsid w:val="00102CF5"/>
    <w:rsid w:val="00103224"/>
    <w:rsid w:val="001042FD"/>
    <w:rsid w:val="00104588"/>
    <w:rsid w:val="00105395"/>
    <w:rsid w:val="001054A2"/>
    <w:rsid w:val="001067D5"/>
    <w:rsid w:val="00107558"/>
    <w:rsid w:val="00107BA2"/>
    <w:rsid w:val="00110158"/>
    <w:rsid w:val="0011032B"/>
    <w:rsid w:val="001105E0"/>
    <w:rsid w:val="001108C3"/>
    <w:rsid w:val="00110AA0"/>
    <w:rsid w:val="0011172D"/>
    <w:rsid w:val="00111DD7"/>
    <w:rsid w:val="00112C34"/>
    <w:rsid w:val="001134FB"/>
    <w:rsid w:val="00113888"/>
    <w:rsid w:val="001144B1"/>
    <w:rsid w:val="001160A3"/>
    <w:rsid w:val="0011633C"/>
    <w:rsid w:val="00117F59"/>
    <w:rsid w:val="00120335"/>
    <w:rsid w:val="00121CA9"/>
    <w:rsid w:val="00121F62"/>
    <w:rsid w:val="00121FC3"/>
    <w:rsid w:val="001220EC"/>
    <w:rsid w:val="00122228"/>
    <w:rsid w:val="001231F7"/>
    <w:rsid w:val="001246FF"/>
    <w:rsid w:val="00124883"/>
    <w:rsid w:val="00124BB3"/>
    <w:rsid w:val="001251E7"/>
    <w:rsid w:val="00125219"/>
    <w:rsid w:val="0012606E"/>
    <w:rsid w:val="001261E8"/>
    <w:rsid w:val="001263AB"/>
    <w:rsid w:val="00126405"/>
    <w:rsid w:val="00126520"/>
    <w:rsid w:val="0012695E"/>
    <w:rsid w:val="00127094"/>
    <w:rsid w:val="00130AC9"/>
    <w:rsid w:val="00130EE0"/>
    <w:rsid w:val="0013202C"/>
    <w:rsid w:val="00132182"/>
    <w:rsid w:val="00132A3D"/>
    <w:rsid w:val="00132D07"/>
    <w:rsid w:val="00134906"/>
    <w:rsid w:val="0013599E"/>
    <w:rsid w:val="00136307"/>
    <w:rsid w:val="00136664"/>
    <w:rsid w:val="001370B4"/>
    <w:rsid w:val="0013716B"/>
    <w:rsid w:val="001374DB"/>
    <w:rsid w:val="0013771F"/>
    <w:rsid w:val="00137AC9"/>
    <w:rsid w:val="00137ADA"/>
    <w:rsid w:val="001412CB"/>
    <w:rsid w:val="00141A2E"/>
    <w:rsid w:val="00141CE8"/>
    <w:rsid w:val="001421FB"/>
    <w:rsid w:val="00142CFE"/>
    <w:rsid w:val="00143B6E"/>
    <w:rsid w:val="00145252"/>
    <w:rsid w:val="001457B6"/>
    <w:rsid w:val="00145A44"/>
    <w:rsid w:val="00145FC9"/>
    <w:rsid w:val="00146080"/>
    <w:rsid w:val="001461D1"/>
    <w:rsid w:val="001472A1"/>
    <w:rsid w:val="001475CE"/>
    <w:rsid w:val="00147658"/>
    <w:rsid w:val="00147846"/>
    <w:rsid w:val="0015228E"/>
    <w:rsid w:val="00152A68"/>
    <w:rsid w:val="00153336"/>
    <w:rsid w:val="0015353E"/>
    <w:rsid w:val="00153D1F"/>
    <w:rsid w:val="00153D81"/>
    <w:rsid w:val="00156D1D"/>
    <w:rsid w:val="001571E7"/>
    <w:rsid w:val="00157A81"/>
    <w:rsid w:val="00160BC1"/>
    <w:rsid w:val="001611AB"/>
    <w:rsid w:val="00161912"/>
    <w:rsid w:val="00161B7C"/>
    <w:rsid w:val="00162E7D"/>
    <w:rsid w:val="00162EC2"/>
    <w:rsid w:val="00162FD2"/>
    <w:rsid w:val="00163C40"/>
    <w:rsid w:val="00163DE6"/>
    <w:rsid w:val="00165C13"/>
    <w:rsid w:val="00165E55"/>
    <w:rsid w:val="001661C8"/>
    <w:rsid w:val="001663FA"/>
    <w:rsid w:val="001664C4"/>
    <w:rsid w:val="001667CA"/>
    <w:rsid w:val="00166F06"/>
    <w:rsid w:val="001677D1"/>
    <w:rsid w:val="001679C8"/>
    <w:rsid w:val="001701D2"/>
    <w:rsid w:val="00170404"/>
    <w:rsid w:val="00170657"/>
    <w:rsid w:val="00170734"/>
    <w:rsid w:val="00170CD6"/>
    <w:rsid w:val="00170E3F"/>
    <w:rsid w:val="00171DD3"/>
    <w:rsid w:val="00172A27"/>
    <w:rsid w:val="001733A1"/>
    <w:rsid w:val="0017360D"/>
    <w:rsid w:val="00173A5D"/>
    <w:rsid w:val="00173CF6"/>
    <w:rsid w:val="001748BE"/>
    <w:rsid w:val="00174B44"/>
    <w:rsid w:val="001750C3"/>
    <w:rsid w:val="001756EE"/>
    <w:rsid w:val="00176393"/>
    <w:rsid w:val="00176624"/>
    <w:rsid w:val="001803EF"/>
    <w:rsid w:val="001809F6"/>
    <w:rsid w:val="00181143"/>
    <w:rsid w:val="00181A3B"/>
    <w:rsid w:val="00181E81"/>
    <w:rsid w:val="00182167"/>
    <w:rsid w:val="001823CB"/>
    <w:rsid w:val="0018303B"/>
    <w:rsid w:val="001838B8"/>
    <w:rsid w:val="00183C2B"/>
    <w:rsid w:val="001840A2"/>
    <w:rsid w:val="001847DE"/>
    <w:rsid w:val="001848F9"/>
    <w:rsid w:val="00185618"/>
    <w:rsid w:val="001862EA"/>
    <w:rsid w:val="00186C38"/>
    <w:rsid w:val="001876E8"/>
    <w:rsid w:val="001902DE"/>
    <w:rsid w:val="00190DB1"/>
    <w:rsid w:val="00190FF2"/>
    <w:rsid w:val="00191AA6"/>
    <w:rsid w:val="00191C6A"/>
    <w:rsid w:val="00191D18"/>
    <w:rsid w:val="00192347"/>
    <w:rsid w:val="0019249A"/>
    <w:rsid w:val="00192BD4"/>
    <w:rsid w:val="0019410F"/>
    <w:rsid w:val="001946C1"/>
    <w:rsid w:val="0019507D"/>
    <w:rsid w:val="001950CF"/>
    <w:rsid w:val="00196085"/>
    <w:rsid w:val="00196105"/>
    <w:rsid w:val="00196A91"/>
    <w:rsid w:val="0019737B"/>
    <w:rsid w:val="001A08A4"/>
    <w:rsid w:val="001A0FD5"/>
    <w:rsid w:val="001A10C1"/>
    <w:rsid w:val="001A1CAC"/>
    <w:rsid w:val="001A1F37"/>
    <w:rsid w:val="001A3512"/>
    <w:rsid w:val="001A3B0A"/>
    <w:rsid w:val="001A4262"/>
    <w:rsid w:val="001A42D3"/>
    <w:rsid w:val="001A46B4"/>
    <w:rsid w:val="001A5369"/>
    <w:rsid w:val="001A5623"/>
    <w:rsid w:val="001A5832"/>
    <w:rsid w:val="001A5A84"/>
    <w:rsid w:val="001A5ED6"/>
    <w:rsid w:val="001A62E2"/>
    <w:rsid w:val="001A6B31"/>
    <w:rsid w:val="001A766A"/>
    <w:rsid w:val="001B0D5C"/>
    <w:rsid w:val="001B111C"/>
    <w:rsid w:val="001B119B"/>
    <w:rsid w:val="001B13C0"/>
    <w:rsid w:val="001B1579"/>
    <w:rsid w:val="001B1D60"/>
    <w:rsid w:val="001B2FF5"/>
    <w:rsid w:val="001B3852"/>
    <w:rsid w:val="001B38EC"/>
    <w:rsid w:val="001B3B26"/>
    <w:rsid w:val="001B41F8"/>
    <w:rsid w:val="001B5214"/>
    <w:rsid w:val="001B5E3F"/>
    <w:rsid w:val="001B6086"/>
    <w:rsid w:val="001B64EB"/>
    <w:rsid w:val="001B669C"/>
    <w:rsid w:val="001B67E5"/>
    <w:rsid w:val="001B6C14"/>
    <w:rsid w:val="001B740E"/>
    <w:rsid w:val="001C29B7"/>
    <w:rsid w:val="001C29C4"/>
    <w:rsid w:val="001C2B37"/>
    <w:rsid w:val="001C2DC0"/>
    <w:rsid w:val="001C3049"/>
    <w:rsid w:val="001C58D6"/>
    <w:rsid w:val="001C596B"/>
    <w:rsid w:val="001C5A18"/>
    <w:rsid w:val="001C5AF4"/>
    <w:rsid w:val="001C63D8"/>
    <w:rsid w:val="001C74BB"/>
    <w:rsid w:val="001D0016"/>
    <w:rsid w:val="001D08A2"/>
    <w:rsid w:val="001D08E9"/>
    <w:rsid w:val="001D0917"/>
    <w:rsid w:val="001D0957"/>
    <w:rsid w:val="001D141C"/>
    <w:rsid w:val="001D29A6"/>
    <w:rsid w:val="001D2EE2"/>
    <w:rsid w:val="001D3B8F"/>
    <w:rsid w:val="001D3DE6"/>
    <w:rsid w:val="001D41A8"/>
    <w:rsid w:val="001D4448"/>
    <w:rsid w:val="001D4623"/>
    <w:rsid w:val="001D46E2"/>
    <w:rsid w:val="001D4701"/>
    <w:rsid w:val="001D4CF9"/>
    <w:rsid w:val="001D5C88"/>
    <w:rsid w:val="001D61C7"/>
    <w:rsid w:val="001D6BFE"/>
    <w:rsid w:val="001D6C24"/>
    <w:rsid w:val="001D7009"/>
    <w:rsid w:val="001D7212"/>
    <w:rsid w:val="001E0057"/>
    <w:rsid w:val="001E036C"/>
    <w:rsid w:val="001E0DC1"/>
    <w:rsid w:val="001E0E28"/>
    <w:rsid w:val="001E0F7C"/>
    <w:rsid w:val="001E1803"/>
    <w:rsid w:val="001E1A28"/>
    <w:rsid w:val="001E1D6E"/>
    <w:rsid w:val="001E2CBF"/>
    <w:rsid w:val="001E2F60"/>
    <w:rsid w:val="001E3A06"/>
    <w:rsid w:val="001E4875"/>
    <w:rsid w:val="001E54CF"/>
    <w:rsid w:val="001E5606"/>
    <w:rsid w:val="001E5657"/>
    <w:rsid w:val="001E5757"/>
    <w:rsid w:val="001E63BE"/>
    <w:rsid w:val="001E64E2"/>
    <w:rsid w:val="001E6692"/>
    <w:rsid w:val="001E679C"/>
    <w:rsid w:val="001E7E74"/>
    <w:rsid w:val="001F1BA4"/>
    <w:rsid w:val="001F27BB"/>
    <w:rsid w:val="001F3114"/>
    <w:rsid w:val="001F341F"/>
    <w:rsid w:val="001F35E0"/>
    <w:rsid w:val="001F387B"/>
    <w:rsid w:val="001F39A8"/>
    <w:rsid w:val="001F4F9C"/>
    <w:rsid w:val="001F507D"/>
    <w:rsid w:val="001F661E"/>
    <w:rsid w:val="001F7686"/>
    <w:rsid w:val="001F7FC6"/>
    <w:rsid w:val="002007E4"/>
    <w:rsid w:val="00200944"/>
    <w:rsid w:val="002009F7"/>
    <w:rsid w:val="0020105C"/>
    <w:rsid w:val="00201342"/>
    <w:rsid w:val="00201DDA"/>
    <w:rsid w:val="00202161"/>
    <w:rsid w:val="002024EF"/>
    <w:rsid w:val="0020288D"/>
    <w:rsid w:val="00202FC4"/>
    <w:rsid w:val="00203783"/>
    <w:rsid w:val="00204E99"/>
    <w:rsid w:val="0020514A"/>
    <w:rsid w:val="00205174"/>
    <w:rsid w:val="00205506"/>
    <w:rsid w:val="002056FB"/>
    <w:rsid w:val="002062C4"/>
    <w:rsid w:val="00207418"/>
    <w:rsid w:val="002077E2"/>
    <w:rsid w:val="002106D0"/>
    <w:rsid w:val="00210A66"/>
    <w:rsid w:val="00211932"/>
    <w:rsid w:val="002119CD"/>
    <w:rsid w:val="002119D8"/>
    <w:rsid w:val="00211E1F"/>
    <w:rsid w:val="00212194"/>
    <w:rsid w:val="00212214"/>
    <w:rsid w:val="00212823"/>
    <w:rsid w:val="00212C2D"/>
    <w:rsid w:val="00212D1A"/>
    <w:rsid w:val="00213465"/>
    <w:rsid w:val="002135E9"/>
    <w:rsid w:val="00213C12"/>
    <w:rsid w:val="00213E5F"/>
    <w:rsid w:val="002142AC"/>
    <w:rsid w:val="002146A1"/>
    <w:rsid w:val="00214D73"/>
    <w:rsid w:val="002158F8"/>
    <w:rsid w:val="00215A14"/>
    <w:rsid w:val="00215A86"/>
    <w:rsid w:val="00215C6D"/>
    <w:rsid w:val="002161B3"/>
    <w:rsid w:val="0021661A"/>
    <w:rsid w:val="00217362"/>
    <w:rsid w:val="00217D21"/>
    <w:rsid w:val="002205E2"/>
    <w:rsid w:val="00220A71"/>
    <w:rsid w:val="00221043"/>
    <w:rsid w:val="00221ECB"/>
    <w:rsid w:val="00222347"/>
    <w:rsid w:val="00222568"/>
    <w:rsid w:val="00223017"/>
    <w:rsid w:val="0022312C"/>
    <w:rsid w:val="002245B0"/>
    <w:rsid w:val="00224F63"/>
    <w:rsid w:val="002250CC"/>
    <w:rsid w:val="002255D9"/>
    <w:rsid w:val="00225707"/>
    <w:rsid w:val="00226161"/>
    <w:rsid w:val="002262D4"/>
    <w:rsid w:val="00226C57"/>
    <w:rsid w:val="00226C5A"/>
    <w:rsid w:val="002276D7"/>
    <w:rsid w:val="00227870"/>
    <w:rsid w:val="0022794A"/>
    <w:rsid w:val="00227CE9"/>
    <w:rsid w:val="0023054D"/>
    <w:rsid w:val="00230A7F"/>
    <w:rsid w:val="00230BA4"/>
    <w:rsid w:val="0023125F"/>
    <w:rsid w:val="00232B90"/>
    <w:rsid w:val="00233175"/>
    <w:rsid w:val="00233669"/>
    <w:rsid w:val="00233A18"/>
    <w:rsid w:val="00233D0A"/>
    <w:rsid w:val="00233F4B"/>
    <w:rsid w:val="002348E8"/>
    <w:rsid w:val="002349BF"/>
    <w:rsid w:val="00234FFE"/>
    <w:rsid w:val="00235D70"/>
    <w:rsid w:val="002400F7"/>
    <w:rsid w:val="00240D85"/>
    <w:rsid w:val="002417A7"/>
    <w:rsid w:val="00242490"/>
    <w:rsid w:val="002430F5"/>
    <w:rsid w:val="00243931"/>
    <w:rsid w:val="00243A1E"/>
    <w:rsid w:val="00243BBE"/>
    <w:rsid w:val="002446AD"/>
    <w:rsid w:val="00245544"/>
    <w:rsid w:val="0024559A"/>
    <w:rsid w:val="00246307"/>
    <w:rsid w:val="00246348"/>
    <w:rsid w:val="00246E36"/>
    <w:rsid w:val="00250746"/>
    <w:rsid w:val="00250986"/>
    <w:rsid w:val="00250E06"/>
    <w:rsid w:val="0025139A"/>
    <w:rsid w:val="00251648"/>
    <w:rsid w:val="002516DB"/>
    <w:rsid w:val="002516EF"/>
    <w:rsid w:val="00253476"/>
    <w:rsid w:val="002537D2"/>
    <w:rsid w:val="00254E78"/>
    <w:rsid w:val="0025547B"/>
    <w:rsid w:val="00255502"/>
    <w:rsid w:val="00255863"/>
    <w:rsid w:val="002559BA"/>
    <w:rsid w:val="00255D83"/>
    <w:rsid w:val="00256E3E"/>
    <w:rsid w:val="00257087"/>
    <w:rsid w:val="00257223"/>
    <w:rsid w:val="002579D5"/>
    <w:rsid w:val="00260CA1"/>
    <w:rsid w:val="0026159E"/>
    <w:rsid w:val="00261F15"/>
    <w:rsid w:val="00262279"/>
    <w:rsid w:val="00262360"/>
    <w:rsid w:val="00263A9E"/>
    <w:rsid w:val="00264241"/>
    <w:rsid w:val="00265609"/>
    <w:rsid w:val="0026608E"/>
    <w:rsid w:val="00266B09"/>
    <w:rsid w:val="0026702D"/>
    <w:rsid w:val="00267921"/>
    <w:rsid w:val="00267AA2"/>
    <w:rsid w:val="0027004C"/>
    <w:rsid w:val="00270598"/>
    <w:rsid w:val="00271374"/>
    <w:rsid w:val="00271536"/>
    <w:rsid w:val="0027194A"/>
    <w:rsid w:val="00271FE5"/>
    <w:rsid w:val="002722C7"/>
    <w:rsid w:val="00273D09"/>
    <w:rsid w:val="002741E1"/>
    <w:rsid w:val="002748BD"/>
    <w:rsid w:val="00275831"/>
    <w:rsid w:val="00275CBD"/>
    <w:rsid w:val="00277417"/>
    <w:rsid w:val="00277518"/>
    <w:rsid w:val="00277A19"/>
    <w:rsid w:val="00280285"/>
    <w:rsid w:val="00280530"/>
    <w:rsid w:val="00280550"/>
    <w:rsid w:val="00280BEE"/>
    <w:rsid w:val="002811E9"/>
    <w:rsid w:val="002817D0"/>
    <w:rsid w:val="002821F7"/>
    <w:rsid w:val="0028279F"/>
    <w:rsid w:val="00282EEF"/>
    <w:rsid w:val="0028418F"/>
    <w:rsid w:val="00284385"/>
    <w:rsid w:val="00284A52"/>
    <w:rsid w:val="00284B1A"/>
    <w:rsid w:val="00284DB6"/>
    <w:rsid w:val="00285EED"/>
    <w:rsid w:val="00286107"/>
    <w:rsid w:val="002867DE"/>
    <w:rsid w:val="002868FB"/>
    <w:rsid w:val="00286C31"/>
    <w:rsid w:val="00286C78"/>
    <w:rsid w:val="00286D32"/>
    <w:rsid w:val="00286E3E"/>
    <w:rsid w:val="00290674"/>
    <w:rsid w:val="00290ACC"/>
    <w:rsid w:val="00290F0D"/>
    <w:rsid w:val="00291691"/>
    <w:rsid w:val="00292690"/>
    <w:rsid w:val="00292A6E"/>
    <w:rsid w:val="00292C4D"/>
    <w:rsid w:val="0029302F"/>
    <w:rsid w:val="00293784"/>
    <w:rsid w:val="002941E9"/>
    <w:rsid w:val="00295A0A"/>
    <w:rsid w:val="002961FA"/>
    <w:rsid w:val="00296A5A"/>
    <w:rsid w:val="00297C6A"/>
    <w:rsid w:val="00297F86"/>
    <w:rsid w:val="002A071E"/>
    <w:rsid w:val="002A2489"/>
    <w:rsid w:val="002A24FD"/>
    <w:rsid w:val="002A3C2E"/>
    <w:rsid w:val="002A3E21"/>
    <w:rsid w:val="002A5174"/>
    <w:rsid w:val="002A5737"/>
    <w:rsid w:val="002A5CA0"/>
    <w:rsid w:val="002A7703"/>
    <w:rsid w:val="002A796E"/>
    <w:rsid w:val="002B1092"/>
    <w:rsid w:val="002B4108"/>
    <w:rsid w:val="002B46E0"/>
    <w:rsid w:val="002B5AE9"/>
    <w:rsid w:val="002B6644"/>
    <w:rsid w:val="002B6CD0"/>
    <w:rsid w:val="002B6D99"/>
    <w:rsid w:val="002B6EA6"/>
    <w:rsid w:val="002B7214"/>
    <w:rsid w:val="002B761E"/>
    <w:rsid w:val="002B79E4"/>
    <w:rsid w:val="002B7E1C"/>
    <w:rsid w:val="002B7FE5"/>
    <w:rsid w:val="002C0127"/>
    <w:rsid w:val="002C2100"/>
    <w:rsid w:val="002C27A5"/>
    <w:rsid w:val="002C28AC"/>
    <w:rsid w:val="002C2A53"/>
    <w:rsid w:val="002C3EE3"/>
    <w:rsid w:val="002C40D5"/>
    <w:rsid w:val="002C42E5"/>
    <w:rsid w:val="002C4D49"/>
    <w:rsid w:val="002C5EBE"/>
    <w:rsid w:val="002C6BF9"/>
    <w:rsid w:val="002C6DCE"/>
    <w:rsid w:val="002D095E"/>
    <w:rsid w:val="002D230E"/>
    <w:rsid w:val="002D2421"/>
    <w:rsid w:val="002D296B"/>
    <w:rsid w:val="002D3744"/>
    <w:rsid w:val="002D3DA3"/>
    <w:rsid w:val="002D43A9"/>
    <w:rsid w:val="002D4B0B"/>
    <w:rsid w:val="002D5319"/>
    <w:rsid w:val="002D59CE"/>
    <w:rsid w:val="002D5B9C"/>
    <w:rsid w:val="002D6A1B"/>
    <w:rsid w:val="002D7E30"/>
    <w:rsid w:val="002E0CC8"/>
    <w:rsid w:val="002E0FB5"/>
    <w:rsid w:val="002E11DD"/>
    <w:rsid w:val="002E21E7"/>
    <w:rsid w:val="002E2273"/>
    <w:rsid w:val="002E24D1"/>
    <w:rsid w:val="002E2B4D"/>
    <w:rsid w:val="002E2CD8"/>
    <w:rsid w:val="002E3385"/>
    <w:rsid w:val="002E386F"/>
    <w:rsid w:val="002E472E"/>
    <w:rsid w:val="002E64E8"/>
    <w:rsid w:val="002F06E5"/>
    <w:rsid w:val="002F0B1A"/>
    <w:rsid w:val="002F2497"/>
    <w:rsid w:val="002F2582"/>
    <w:rsid w:val="002F2665"/>
    <w:rsid w:val="002F28DD"/>
    <w:rsid w:val="002F2A82"/>
    <w:rsid w:val="002F2C81"/>
    <w:rsid w:val="002F31DC"/>
    <w:rsid w:val="002F3E8F"/>
    <w:rsid w:val="002F3EE8"/>
    <w:rsid w:val="002F444A"/>
    <w:rsid w:val="002F452B"/>
    <w:rsid w:val="002F47FA"/>
    <w:rsid w:val="002F4919"/>
    <w:rsid w:val="002F49F1"/>
    <w:rsid w:val="002F4BED"/>
    <w:rsid w:val="002F5621"/>
    <w:rsid w:val="002F604A"/>
    <w:rsid w:val="002F7252"/>
    <w:rsid w:val="002F7659"/>
    <w:rsid w:val="00300280"/>
    <w:rsid w:val="00301ACA"/>
    <w:rsid w:val="00301DCA"/>
    <w:rsid w:val="003020BA"/>
    <w:rsid w:val="00302AF6"/>
    <w:rsid w:val="00302B4A"/>
    <w:rsid w:val="003034AF"/>
    <w:rsid w:val="00303A3C"/>
    <w:rsid w:val="00303FFA"/>
    <w:rsid w:val="00305863"/>
    <w:rsid w:val="003058AF"/>
    <w:rsid w:val="00305BF4"/>
    <w:rsid w:val="00306182"/>
    <w:rsid w:val="00306457"/>
    <w:rsid w:val="00306584"/>
    <w:rsid w:val="00306773"/>
    <w:rsid w:val="003070B2"/>
    <w:rsid w:val="00307D23"/>
    <w:rsid w:val="00310186"/>
    <w:rsid w:val="003107C1"/>
    <w:rsid w:val="00310986"/>
    <w:rsid w:val="00310DBC"/>
    <w:rsid w:val="00311958"/>
    <w:rsid w:val="00312849"/>
    <w:rsid w:val="00312C4B"/>
    <w:rsid w:val="00313029"/>
    <w:rsid w:val="00313AE2"/>
    <w:rsid w:val="003141B0"/>
    <w:rsid w:val="003152BF"/>
    <w:rsid w:val="003158F2"/>
    <w:rsid w:val="0031611F"/>
    <w:rsid w:val="0031629E"/>
    <w:rsid w:val="003171D9"/>
    <w:rsid w:val="003173C0"/>
    <w:rsid w:val="0032100C"/>
    <w:rsid w:val="00321714"/>
    <w:rsid w:val="0032402D"/>
    <w:rsid w:val="0032472C"/>
    <w:rsid w:val="00324CF0"/>
    <w:rsid w:val="00324EF2"/>
    <w:rsid w:val="00325E43"/>
    <w:rsid w:val="0032691E"/>
    <w:rsid w:val="00327166"/>
    <w:rsid w:val="003275F7"/>
    <w:rsid w:val="00327E81"/>
    <w:rsid w:val="00331A62"/>
    <w:rsid w:val="00331D7E"/>
    <w:rsid w:val="00331F56"/>
    <w:rsid w:val="00332D2F"/>
    <w:rsid w:val="00334400"/>
    <w:rsid w:val="00334C61"/>
    <w:rsid w:val="00334D0D"/>
    <w:rsid w:val="0033570A"/>
    <w:rsid w:val="00335FC2"/>
    <w:rsid w:val="00336B58"/>
    <w:rsid w:val="0033715E"/>
    <w:rsid w:val="00337622"/>
    <w:rsid w:val="003378BD"/>
    <w:rsid w:val="00337C5E"/>
    <w:rsid w:val="003405A5"/>
    <w:rsid w:val="00341169"/>
    <w:rsid w:val="00341B40"/>
    <w:rsid w:val="00341C4A"/>
    <w:rsid w:val="00342573"/>
    <w:rsid w:val="00342E7A"/>
    <w:rsid w:val="003434E8"/>
    <w:rsid w:val="00344CF2"/>
    <w:rsid w:val="00344FE6"/>
    <w:rsid w:val="00345CF5"/>
    <w:rsid w:val="00347377"/>
    <w:rsid w:val="00347694"/>
    <w:rsid w:val="0035080B"/>
    <w:rsid w:val="00350F52"/>
    <w:rsid w:val="003512B5"/>
    <w:rsid w:val="00352EC9"/>
    <w:rsid w:val="00354189"/>
    <w:rsid w:val="00354E37"/>
    <w:rsid w:val="00354E84"/>
    <w:rsid w:val="0035559D"/>
    <w:rsid w:val="00356AC4"/>
    <w:rsid w:val="00357595"/>
    <w:rsid w:val="00357839"/>
    <w:rsid w:val="00357C8A"/>
    <w:rsid w:val="00357D29"/>
    <w:rsid w:val="003609AB"/>
    <w:rsid w:val="00360B72"/>
    <w:rsid w:val="00360DB8"/>
    <w:rsid w:val="0036266C"/>
    <w:rsid w:val="0036293A"/>
    <w:rsid w:val="003630C3"/>
    <w:rsid w:val="003632AD"/>
    <w:rsid w:val="00363A81"/>
    <w:rsid w:val="00363F36"/>
    <w:rsid w:val="00364D4B"/>
    <w:rsid w:val="00364E9C"/>
    <w:rsid w:val="0036503A"/>
    <w:rsid w:val="003652CD"/>
    <w:rsid w:val="003655EC"/>
    <w:rsid w:val="003656D8"/>
    <w:rsid w:val="0036638A"/>
    <w:rsid w:val="00366FAE"/>
    <w:rsid w:val="00367935"/>
    <w:rsid w:val="00367982"/>
    <w:rsid w:val="00367B36"/>
    <w:rsid w:val="00367D71"/>
    <w:rsid w:val="00367F6D"/>
    <w:rsid w:val="003709CB"/>
    <w:rsid w:val="0037100C"/>
    <w:rsid w:val="00371710"/>
    <w:rsid w:val="00371886"/>
    <w:rsid w:val="00373483"/>
    <w:rsid w:val="00374583"/>
    <w:rsid w:val="00375B13"/>
    <w:rsid w:val="00375C9A"/>
    <w:rsid w:val="00375D8D"/>
    <w:rsid w:val="003771B0"/>
    <w:rsid w:val="00377BA0"/>
    <w:rsid w:val="00377D9C"/>
    <w:rsid w:val="00380DFA"/>
    <w:rsid w:val="00382072"/>
    <w:rsid w:val="003822E9"/>
    <w:rsid w:val="00382396"/>
    <w:rsid w:val="00382A33"/>
    <w:rsid w:val="00382C13"/>
    <w:rsid w:val="00382CA1"/>
    <w:rsid w:val="0038334B"/>
    <w:rsid w:val="003836AA"/>
    <w:rsid w:val="00383965"/>
    <w:rsid w:val="0038422C"/>
    <w:rsid w:val="0038534C"/>
    <w:rsid w:val="00385F77"/>
    <w:rsid w:val="00385F7D"/>
    <w:rsid w:val="0038607B"/>
    <w:rsid w:val="00387338"/>
    <w:rsid w:val="003875E8"/>
    <w:rsid w:val="003909B5"/>
    <w:rsid w:val="00390E1A"/>
    <w:rsid w:val="00392A8B"/>
    <w:rsid w:val="0039348B"/>
    <w:rsid w:val="003937FC"/>
    <w:rsid w:val="00393AD4"/>
    <w:rsid w:val="003942BC"/>
    <w:rsid w:val="0039445B"/>
    <w:rsid w:val="00394A71"/>
    <w:rsid w:val="0039543D"/>
    <w:rsid w:val="00395642"/>
    <w:rsid w:val="00396DD3"/>
    <w:rsid w:val="003A0E92"/>
    <w:rsid w:val="003A155F"/>
    <w:rsid w:val="003A1921"/>
    <w:rsid w:val="003A2242"/>
    <w:rsid w:val="003A2476"/>
    <w:rsid w:val="003A2B41"/>
    <w:rsid w:val="003A2E7D"/>
    <w:rsid w:val="003A35CB"/>
    <w:rsid w:val="003A471A"/>
    <w:rsid w:val="003A4902"/>
    <w:rsid w:val="003A4A65"/>
    <w:rsid w:val="003A5E5D"/>
    <w:rsid w:val="003A67CA"/>
    <w:rsid w:val="003A67E1"/>
    <w:rsid w:val="003A6C0C"/>
    <w:rsid w:val="003A7C22"/>
    <w:rsid w:val="003A7C60"/>
    <w:rsid w:val="003B2222"/>
    <w:rsid w:val="003B2551"/>
    <w:rsid w:val="003B3FB3"/>
    <w:rsid w:val="003B4145"/>
    <w:rsid w:val="003B4430"/>
    <w:rsid w:val="003B4760"/>
    <w:rsid w:val="003B4D52"/>
    <w:rsid w:val="003B4F41"/>
    <w:rsid w:val="003B504F"/>
    <w:rsid w:val="003B5FB2"/>
    <w:rsid w:val="003B6287"/>
    <w:rsid w:val="003B71E3"/>
    <w:rsid w:val="003C0070"/>
    <w:rsid w:val="003C010A"/>
    <w:rsid w:val="003C0F4C"/>
    <w:rsid w:val="003C166F"/>
    <w:rsid w:val="003C178E"/>
    <w:rsid w:val="003C1E17"/>
    <w:rsid w:val="003C20DA"/>
    <w:rsid w:val="003C2BA7"/>
    <w:rsid w:val="003C33DA"/>
    <w:rsid w:val="003C420D"/>
    <w:rsid w:val="003C4D1E"/>
    <w:rsid w:val="003C5188"/>
    <w:rsid w:val="003C5776"/>
    <w:rsid w:val="003C5F6F"/>
    <w:rsid w:val="003C7906"/>
    <w:rsid w:val="003C7EDA"/>
    <w:rsid w:val="003D02F6"/>
    <w:rsid w:val="003D04F7"/>
    <w:rsid w:val="003D06B6"/>
    <w:rsid w:val="003D19E1"/>
    <w:rsid w:val="003D1AB2"/>
    <w:rsid w:val="003D1EC6"/>
    <w:rsid w:val="003D2109"/>
    <w:rsid w:val="003D2325"/>
    <w:rsid w:val="003D44E7"/>
    <w:rsid w:val="003D5559"/>
    <w:rsid w:val="003D69D4"/>
    <w:rsid w:val="003D76D3"/>
    <w:rsid w:val="003E02AA"/>
    <w:rsid w:val="003E0E42"/>
    <w:rsid w:val="003E16EB"/>
    <w:rsid w:val="003E1AE5"/>
    <w:rsid w:val="003E1D37"/>
    <w:rsid w:val="003E22DA"/>
    <w:rsid w:val="003E323C"/>
    <w:rsid w:val="003E35DA"/>
    <w:rsid w:val="003E3B86"/>
    <w:rsid w:val="003E3C8E"/>
    <w:rsid w:val="003E41F2"/>
    <w:rsid w:val="003E4CE1"/>
    <w:rsid w:val="003E500D"/>
    <w:rsid w:val="003E59E8"/>
    <w:rsid w:val="003E7FBE"/>
    <w:rsid w:val="003F02B1"/>
    <w:rsid w:val="003F037A"/>
    <w:rsid w:val="003F10B9"/>
    <w:rsid w:val="003F2CB9"/>
    <w:rsid w:val="003F38A1"/>
    <w:rsid w:val="003F3A54"/>
    <w:rsid w:val="003F429A"/>
    <w:rsid w:val="003F480E"/>
    <w:rsid w:val="003F6DF6"/>
    <w:rsid w:val="003F6F06"/>
    <w:rsid w:val="003F7ED7"/>
    <w:rsid w:val="00400075"/>
    <w:rsid w:val="00400F07"/>
    <w:rsid w:val="004017C2"/>
    <w:rsid w:val="00401B28"/>
    <w:rsid w:val="004028F2"/>
    <w:rsid w:val="00403783"/>
    <w:rsid w:val="00404180"/>
    <w:rsid w:val="00405888"/>
    <w:rsid w:val="00405ADE"/>
    <w:rsid w:val="00406396"/>
    <w:rsid w:val="0040645F"/>
    <w:rsid w:val="00406548"/>
    <w:rsid w:val="00406675"/>
    <w:rsid w:val="00406C5F"/>
    <w:rsid w:val="00407F8B"/>
    <w:rsid w:val="0041098C"/>
    <w:rsid w:val="00411625"/>
    <w:rsid w:val="00412594"/>
    <w:rsid w:val="004128F1"/>
    <w:rsid w:val="004129C0"/>
    <w:rsid w:val="004130AF"/>
    <w:rsid w:val="004136D0"/>
    <w:rsid w:val="00413AD8"/>
    <w:rsid w:val="00413C05"/>
    <w:rsid w:val="004146E4"/>
    <w:rsid w:val="004149EB"/>
    <w:rsid w:val="00414BC5"/>
    <w:rsid w:val="00415B15"/>
    <w:rsid w:val="004163A5"/>
    <w:rsid w:val="0041706F"/>
    <w:rsid w:val="00417802"/>
    <w:rsid w:val="00420BA1"/>
    <w:rsid w:val="00421232"/>
    <w:rsid w:val="004212ED"/>
    <w:rsid w:val="004218E7"/>
    <w:rsid w:val="00421A1F"/>
    <w:rsid w:val="00422236"/>
    <w:rsid w:val="004223AC"/>
    <w:rsid w:val="004233E9"/>
    <w:rsid w:val="00423405"/>
    <w:rsid w:val="00424369"/>
    <w:rsid w:val="004247B1"/>
    <w:rsid w:val="00424F86"/>
    <w:rsid w:val="00425592"/>
    <w:rsid w:val="00425747"/>
    <w:rsid w:val="00426284"/>
    <w:rsid w:val="0042636E"/>
    <w:rsid w:val="00426E00"/>
    <w:rsid w:val="004271F8"/>
    <w:rsid w:val="00427DC7"/>
    <w:rsid w:val="00430033"/>
    <w:rsid w:val="00430199"/>
    <w:rsid w:val="004306DE"/>
    <w:rsid w:val="00430A95"/>
    <w:rsid w:val="00430DCA"/>
    <w:rsid w:val="00430EEE"/>
    <w:rsid w:val="004310D0"/>
    <w:rsid w:val="004310D1"/>
    <w:rsid w:val="004315B6"/>
    <w:rsid w:val="00431702"/>
    <w:rsid w:val="00432537"/>
    <w:rsid w:val="0043281D"/>
    <w:rsid w:val="00432EC8"/>
    <w:rsid w:val="004330AB"/>
    <w:rsid w:val="004340CD"/>
    <w:rsid w:val="00434175"/>
    <w:rsid w:val="00434369"/>
    <w:rsid w:val="00434B83"/>
    <w:rsid w:val="004359DF"/>
    <w:rsid w:val="00436427"/>
    <w:rsid w:val="0043737F"/>
    <w:rsid w:val="004379F3"/>
    <w:rsid w:val="00437A11"/>
    <w:rsid w:val="00440010"/>
    <w:rsid w:val="00440A36"/>
    <w:rsid w:val="00441686"/>
    <w:rsid w:val="00441AE9"/>
    <w:rsid w:val="00442E4D"/>
    <w:rsid w:val="00443033"/>
    <w:rsid w:val="00443136"/>
    <w:rsid w:val="00443B2D"/>
    <w:rsid w:val="00443BBF"/>
    <w:rsid w:val="00444556"/>
    <w:rsid w:val="00444746"/>
    <w:rsid w:val="00444A27"/>
    <w:rsid w:val="00444D8A"/>
    <w:rsid w:val="00445509"/>
    <w:rsid w:val="00446837"/>
    <w:rsid w:val="0044689E"/>
    <w:rsid w:val="0045055D"/>
    <w:rsid w:val="00450D9D"/>
    <w:rsid w:val="0045123D"/>
    <w:rsid w:val="0045246D"/>
    <w:rsid w:val="004526BE"/>
    <w:rsid w:val="00452934"/>
    <w:rsid w:val="004539B1"/>
    <w:rsid w:val="004545D8"/>
    <w:rsid w:val="00454BD6"/>
    <w:rsid w:val="00454C01"/>
    <w:rsid w:val="004554CD"/>
    <w:rsid w:val="004559AC"/>
    <w:rsid w:val="00456731"/>
    <w:rsid w:val="0045767C"/>
    <w:rsid w:val="004579CE"/>
    <w:rsid w:val="00460705"/>
    <w:rsid w:val="00460976"/>
    <w:rsid w:val="00460EB2"/>
    <w:rsid w:val="00460F3B"/>
    <w:rsid w:val="0046103E"/>
    <w:rsid w:val="004615F7"/>
    <w:rsid w:val="00461964"/>
    <w:rsid w:val="0046207B"/>
    <w:rsid w:val="0046316D"/>
    <w:rsid w:val="004650CE"/>
    <w:rsid w:val="00466309"/>
    <w:rsid w:val="00466B0D"/>
    <w:rsid w:val="004671DC"/>
    <w:rsid w:val="004673BF"/>
    <w:rsid w:val="004675A0"/>
    <w:rsid w:val="004678B0"/>
    <w:rsid w:val="00467DBF"/>
    <w:rsid w:val="00470420"/>
    <w:rsid w:val="00470781"/>
    <w:rsid w:val="00470FC8"/>
    <w:rsid w:val="004710E3"/>
    <w:rsid w:val="00471458"/>
    <w:rsid w:val="00471A36"/>
    <w:rsid w:val="004723E7"/>
    <w:rsid w:val="00472AC4"/>
    <w:rsid w:val="00473131"/>
    <w:rsid w:val="00473427"/>
    <w:rsid w:val="00473A8E"/>
    <w:rsid w:val="004747F1"/>
    <w:rsid w:val="00474ACC"/>
    <w:rsid w:val="00474AFE"/>
    <w:rsid w:val="0047559A"/>
    <w:rsid w:val="00476064"/>
    <w:rsid w:val="00476381"/>
    <w:rsid w:val="00476AD0"/>
    <w:rsid w:val="0047762E"/>
    <w:rsid w:val="004801A8"/>
    <w:rsid w:val="00481771"/>
    <w:rsid w:val="00481A12"/>
    <w:rsid w:val="00481B2C"/>
    <w:rsid w:val="004825CE"/>
    <w:rsid w:val="00482AF2"/>
    <w:rsid w:val="00482C35"/>
    <w:rsid w:val="00483F97"/>
    <w:rsid w:val="00485AA2"/>
    <w:rsid w:val="00485AA4"/>
    <w:rsid w:val="00485CBE"/>
    <w:rsid w:val="004860BE"/>
    <w:rsid w:val="004867F7"/>
    <w:rsid w:val="00486C93"/>
    <w:rsid w:val="00486FC6"/>
    <w:rsid w:val="0048723D"/>
    <w:rsid w:val="00487B8B"/>
    <w:rsid w:val="00490B4E"/>
    <w:rsid w:val="00490F0C"/>
    <w:rsid w:val="0049190A"/>
    <w:rsid w:val="00492841"/>
    <w:rsid w:val="0049295E"/>
    <w:rsid w:val="004938FC"/>
    <w:rsid w:val="00493EB1"/>
    <w:rsid w:val="00494439"/>
    <w:rsid w:val="004946A0"/>
    <w:rsid w:val="00494748"/>
    <w:rsid w:val="00494CC3"/>
    <w:rsid w:val="00495381"/>
    <w:rsid w:val="00495C21"/>
    <w:rsid w:val="00495EC8"/>
    <w:rsid w:val="0049657C"/>
    <w:rsid w:val="0049688C"/>
    <w:rsid w:val="00496A6E"/>
    <w:rsid w:val="00497E05"/>
    <w:rsid w:val="004A0D3C"/>
    <w:rsid w:val="004A19B9"/>
    <w:rsid w:val="004A2794"/>
    <w:rsid w:val="004A3C71"/>
    <w:rsid w:val="004A52FC"/>
    <w:rsid w:val="004A5DCE"/>
    <w:rsid w:val="004A64FC"/>
    <w:rsid w:val="004A6E18"/>
    <w:rsid w:val="004A7064"/>
    <w:rsid w:val="004A706F"/>
    <w:rsid w:val="004A74E4"/>
    <w:rsid w:val="004A7AD7"/>
    <w:rsid w:val="004B032B"/>
    <w:rsid w:val="004B0BA7"/>
    <w:rsid w:val="004B0FDA"/>
    <w:rsid w:val="004B149F"/>
    <w:rsid w:val="004B15CD"/>
    <w:rsid w:val="004B3894"/>
    <w:rsid w:val="004B3E6F"/>
    <w:rsid w:val="004B4017"/>
    <w:rsid w:val="004B4042"/>
    <w:rsid w:val="004B4266"/>
    <w:rsid w:val="004B5CBA"/>
    <w:rsid w:val="004B5E78"/>
    <w:rsid w:val="004B684D"/>
    <w:rsid w:val="004B6EA1"/>
    <w:rsid w:val="004B739E"/>
    <w:rsid w:val="004B782A"/>
    <w:rsid w:val="004B7DB6"/>
    <w:rsid w:val="004B7DFC"/>
    <w:rsid w:val="004C0169"/>
    <w:rsid w:val="004C0197"/>
    <w:rsid w:val="004C0F8A"/>
    <w:rsid w:val="004C102F"/>
    <w:rsid w:val="004C142F"/>
    <w:rsid w:val="004C14EA"/>
    <w:rsid w:val="004C1F1A"/>
    <w:rsid w:val="004C1F3C"/>
    <w:rsid w:val="004C2432"/>
    <w:rsid w:val="004C3E6B"/>
    <w:rsid w:val="004C4476"/>
    <w:rsid w:val="004C4680"/>
    <w:rsid w:val="004C4BA2"/>
    <w:rsid w:val="004C4F70"/>
    <w:rsid w:val="004C56B1"/>
    <w:rsid w:val="004C73CC"/>
    <w:rsid w:val="004C7943"/>
    <w:rsid w:val="004C7C47"/>
    <w:rsid w:val="004D02CD"/>
    <w:rsid w:val="004D02D6"/>
    <w:rsid w:val="004D04EF"/>
    <w:rsid w:val="004D08E4"/>
    <w:rsid w:val="004D0A63"/>
    <w:rsid w:val="004D0AC3"/>
    <w:rsid w:val="004D0E31"/>
    <w:rsid w:val="004D0F4E"/>
    <w:rsid w:val="004D116E"/>
    <w:rsid w:val="004D169B"/>
    <w:rsid w:val="004D264E"/>
    <w:rsid w:val="004D33B0"/>
    <w:rsid w:val="004D33D1"/>
    <w:rsid w:val="004D3654"/>
    <w:rsid w:val="004D3A7C"/>
    <w:rsid w:val="004D485E"/>
    <w:rsid w:val="004D4E20"/>
    <w:rsid w:val="004D57D7"/>
    <w:rsid w:val="004D5C26"/>
    <w:rsid w:val="004D7671"/>
    <w:rsid w:val="004D783F"/>
    <w:rsid w:val="004E048D"/>
    <w:rsid w:val="004E0B7D"/>
    <w:rsid w:val="004E0BE5"/>
    <w:rsid w:val="004E1489"/>
    <w:rsid w:val="004E158F"/>
    <w:rsid w:val="004E30C7"/>
    <w:rsid w:val="004E333F"/>
    <w:rsid w:val="004E349D"/>
    <w:rsid w:val="004E36D7"/>
    <w:rsid w:val="004E3797"/>
    <w:rsid w:val="004E5864"/>
    <w:rsid w:val="004E586F"/>
    <w:rsid w:val="004E5CC9"/>
    <w:rsid w:val="004E5E9D"/>
    <w:rsid w:val="004E60F5"/>
    <w:rsid w:val="004E6A28"/>
    <w:rsid w:val="004E6F35"/>
    <w:rsid w:val="004E704B"/>
    <w:rsid w:val="004E7D25"/>
    <w:rsid w:val="004F028B"/>
    <w:rsid w:val="004F1575"/>
    <w:rsid w:val="004F1C64"/>
    <w:rsid w:val="004F2643"/>
    <w:rsid w:val="004F383A"/>
    <w:rsid w:val="004F384D"/>
    <w:rsid w:val="004F386F"/>
    <w:rsid w:val="004F53F6"/>
    <w:rsid w:val="004F5528"/>
    <w:rsid w:val="004F5675"/>
    <w:rsid w:val="004F618D"/>
    <w:rsid w:val="00500609"/>
    <w:rsid w:val="00500BC8"/>
    <w:rsid w:val="00500ED6"/>
    <w:rsid w:val="00500F13"/>
    <w:rsid w:val="00501192"/>
    <w:rsid w:val="0050156A"/>
    <w:rsid w:val="0050185A"/>
    <w:rsid w:val="00501B84"/>
    <w:rsid w:val="00502CF6"/>
    <w:rsid w:val="00502F86"/>
    <w:rsid w:val="005030D9"/>
    <w:rsid w:val="00503315"/>
    <w:rsid w:val="005035DA"/>
    <w:rsid w:val="00504ACD"/>
    <w:rsid w:val="00504D39"/>
    <w:rsid w:val="005050ED"/>
    <w:rsid w:val="0050581B"/>
    <w:rsid w:val="00505843"/>
    <w:rsid w:val="00506299"/>
    <w:rsid w:val="00506A96"/>
    <w:rsid w:val="00507B91"/>
    <w:rsid w:val="005103B3"/>
    <w:rsid w:val="00510B42"/>
    <w:rsid w:val="00510BD8"/>
    <w:rsid w:val="00511F4E"/>
    <w:rsid w:val="005124C8"/>
    <w:rsid w:val="005130CC"/>
    <w:rsid w:val="00513F29"/>
    <w:rsid w:val="00513F5B"/>
    <w:rsid w:val="00516590"/>
    <w:rsid w:val="00516958"/>
    <w:rsid w:val="005172D6"/>
    <w:rsid w:val="005177F1"/>
    <w:rsid w:val="005179DF"/>
    <w:rsid w:val="00520403"/>
    <w:rsid w:val="00520C22"/>
    <w:rsid w:val="0052124A"/>
    <w:rsid w:val="00522CC4"/>
    <w:rsid w:val="00522E96"/>
    <w:rsid w:val="00523295"/>
    <w:rsid w:val="005233A2"/>
    <w:rsid w:val="005235FC"/>
    <w:rsid w:val="00524807"/>
    <w:rsid w:val="00524F61"/>
    <w:rsid w:val="0052536F"/>
    <w:rsid w:val="005258C9"/>
    <w:rsid w:val="00525DA2"/>
    <w:rsid w:val="005267C0"/>
    <w:rsid w:val="00526A15"/>
    <w:rsid w:val="00527634"/>
    <w:rsid w:val="005302A8"/>
    <w:rsid w:val="005304D1"/>
    <w:rsid w:val="00530854"/>
    <w:rsid w:val="00531B4C"/>
    <w:rsid w:val="005329D7"/>
    <w:rsid w:val="00532A7D"/>
    <w:rsid w:val="00532B65"/>
    <w:rsid w:val="00532F8D"/>
    <w:rsid w:val="00533816"/>
    <w:rsid w:val="00533B42"/>
    <w:rsid w:val="00533BDE"/>
    <w:rsid w:val="00533C99"/>
    <w:rsid w:val="00533CC5"/>
    <w:rsid w:val="00534A75"/>
    <w:rsid w:val="00534ABD"/>
    <w:rsid w:val="00535319"/>
    <w:rsid w:val="00535A4C"/>
    <w:rsid w:val="005361CF"/>
    <w:rsid w:val="005368B6"/>
    <w:rsid w:val="00536CFF"/>
    <w:rsid w:val="00537B10"/>
    <w:rsid w:val="00541DD0"/>
    <w:rsid w:val="00542568"/>
    <w:rsid w:val="00542D9C"/>
    <w:rsid w:val="00542DD5"/>
    <w:rsid w:val="005435EA"/>
    <w:rsid w:val="00543E2E"/>
    <w:rsid w:val="00543E66"/>
    <w:rsid w:val="00544F32"/>
    <w:rsid w:val="00544F73"/>
    <w:rsid w:val="0054518D"/>
    <w:rsid w:val="00545D63"/>
    <w:rsid w:val="00546936"/>
    <w:rsid w:val="00546CD1"/>
    <w:rsid w:val="00546E3E"/>
    <w:rsid w:val="0054747E"/>
    <w:rsid w:val="00547C38"/>
    <w:rsid w:val="00547E6B"/>
    <w:rsid w:val="0055137A"/>
    <w:rsid w:val="005515AB"/>
    <w:rsid w:val="00551E7F"/>
    <w:rsid w:val="00552531"/>
    <w:rsid w:val="005529EB"/>
    <w:rsid w:val="00552A60"/>
    <w:rsid w:val="005539DE"/>
    <w:rsid w:val="00553ABB"/>
    <w:rsid w:val="00553C0C"/>
    <w:rsid w:val="00553E65"/>
    <w:rsid w:val="0055479D"/>
    <w:rsid w:val="00554891"/>
    <w:rsid w:val="005554C0"/>
    <w:rsid w:val="005557AC"/>
    <w:rsid w:val="00555D15"/>
    <w:rsid w:val="00556B06"/>
    <w:rsid w:val="00556BD4"/>
    <w:rsid w:val="005572AB"/>
    <w:rsid w:val="00557D9B"/>
    <w:rsid w:val="00560C0A"/>
    <w:rsid w:val="00560D7A"/>
    <w:rsid w:val="00562426"/>
    <w:rsid w:val="00563390"/>
    <w:rsid w:val="005634C7"/>
    <w:rsid w:val="00563799"/>
    <w:rsid w:val="005643C8"/>
    <w:rsid w:val="005657BE"/>
    <w:rsid w:val="00565F3D"/>
    <w:rsid w:val="00566135"/>
    <w:rsid w:val="005661C6"/>
    <w:rsid w:val="00566CA5"/>
    <w:rsid w:val="0056764B"/>
    <w:rsid w:val="005677C0"/>
    <w:rsid w:val="00567F84"/>
    <w:rsid w:val="00570929"/>
    <w:rsid w:val="00571921"/>
    <w:rsid w:val="00571E98"/>
    <w:rsid w:val="00572038"/>
    <w:rsid w:val="005722E9"/>
    <w:rsid w:val="0057233F"/>
    <w:rsid w:val="0057235C"/>
    <w:rsid w:val="00572C41"/>
    <w:rsid w:val="0057398A"/>
    <w:rsid w:val="005745D2"/>
    <w:rsid w:val="00574D1E"/>
    <w:rsid w:val="00575CF5"/>
    <w:rsid w:val="00576199"/>
    <w:rsid w:val="0057621C"/>
    <w:rsid w:val="0057648F"/>
    <w:rsid w:val="00576DBE"/>
    <w:rsid w:val="00577154"/>
    <w:rsid w:val="00577264"/>
    <w:rsid w:val="00577932"/>
    <w:rsid w:val="0058055B"/>
    <w:rsid w:val="00580906"/>
    <w:rsid w:val="00581028"/>
    <w:rsid w:val="00581EE4"/>
    <w:rsid w:val="00581F00"/>
    <w:rsid w:val="0058209C"/>
    <w:rsid w:val="005828EF"/>
    <w:rsid w:val="00582A50"/>
    <w:rsid w:val="00582D20"/>
    <w:rsid w:val="00583188"/>
    <w:rsid w:val="0058373B"/>
    <w:rsid w:val="00583E4E"/>
    <w:rsid w:val="005840A3"/>
    <w:rsid w:val="00584A0E"/>
    <w:rsid w:val="00584EE3"/>
    <w:rsid w:val="00587745"/>
    <w:rsid w:val="005900C2"/>
    <w:rsid w:val="005907C7"/>
    <w:rsid w:val="005908AC"/>
    <w:rsid w:val="005909BF"/>
    <w:rsid w:val="0059241A"/>
    <w:rsid w:val="00592DB7"/>
    <w:rsid w:val="00593150"/>
    <w:rsid w:val="00593E6B"/>
    <w:rsid w:val="00594059"/>
    <w:rsid w:val="00594107"/>
    <w:rsid w:val="005947B4"/>
    <w:rsid w:val="005948FA"/>
    <w:rsid w:val="005956BE"/>
    <w:rsid w:val="0059589B"/>
    <w:rsid w:val="00595DC6"/>
    <w:rsid w:val="00596317"/>
    <w:rsid w:val="005972BA"/>
    <w:rsid w:val="0059779E"/>
    <w:rsid w:val="005A0434"/>
    <w:rsid w:val="005A124F"/>
    <w:rsid w:val="005A153B"/>
    <w:rsid w:val="005A2F8B"/>
    <w:rsid w:val="005A428A"/>
    <w:rsid w:val="005A4777"/>
    <w:rsid w:val="005A5F7F"/>
    <w:rsid w:val="005A6355"/>
    <w:rsid w:val="005A6D52"/>
    <w:rsid w:val="005A6DD7"/>
    <w:rsid w:val="005A6F4B"/>
    <w:rsid w:val="005A71CD"/>
    <w:rsid w:val="005A77BB"/>
    <w:rsid w:val="005A7812"/>
    <w:rsid w:val="005A7E3E"/>
    <w:rsid w:val="005B0149"/>
    <w:rsid w:val="005B015E"/>
    <w:rsid w:val="005B0523"/>
    <w:rsid w:val="005B1BBD"/>
    <w:rsid w:val="005B1C96"/>
    <w:rsid w:val="005B3831"/>
    <w:rsid w:val="005B4470"/>
    <w:rsid w:val="005B4BD8"/>
    <w:rsid w:val="005B4CCB"/>
    <w:rsid w:val="005B4D2A"/>
    <w:rsid w:val="005B521E"/>
    <w:rsid w:val="005B5285"/>
    <w:rsid w:val="005B5501"/>
    <w:rsid w:val="005B61F2"/>
    <w:rsid w:val="005B66D1"/>
    <w:rsid w:val="005B7450"/>
    <w:rsid w:val="005B7B2E"/>
    <w:rsid w:val="005C0518"/>
    <w:rsid w:val="005C1E0E"/>
    <w:rsid w:val="005C2FDF"/>
    <w:rsid w:val="005C3248"/>
    <w:rsid w:val="005C36FD"/>
    <w:rsid w:val="005C3D02"/>
    <w:rsid w:val="005C4DC9"/>
    <w:rsid w:val="005C4F06"/>
    <w:rsid w:val="005C512E"/>
    <w:rsid w:val="005C5837"/>
    <w:rsid w:val="005C5E69"/>
    <w:rsid w:val="005C6A6D"/>
    <w:rsid w:val="005C6EA1"/>
    <w:rsid w:val="005C70C8"/>
    <w:rsid w:val="005C7309"/>
    <w:rsid w:val="005C7500"/>
    <w:rsid w:val="005C7A9E"/>
    <w:rsid w:val="005D004D"/>
    <w:rsid w:val="005D1C31"/>
    <w:rsid w:val="005D1C37"/>
    <w:rsid w:val="005D1E6C"/>
    <w:rsid w:val="005D2DAC"/>
    <w:rsid w:val="005D30F5"/>
    <w:rsid w:val="005D31C9"/>
    <w:rsid w:val="005D32CA"/>
    <w:rsid w:val="005D4980"/>
    <w:rsid w:val="005D5CF1"/>
    <w:rsid w:val="005D5F82"/>
    <w:rsid w:val="005D6383"/>
    <w:rsid w:val="005E1063"/>
    <w:rsid w:val="005E14D1"/>
    <w:rsid w:val="005E1BB5"/>
    <w:rsid w:val="005E211F"/>
    <w:rsid w:val="005E30D8"/>
    <w:rsid w:val="005E4644"/>
    <w:rsid w:val="005E5B81"/>
    <w:rsid w:val="005E67A1"/>
    <w:rsid w:val="005E685B"/>
    <w:rsid w:val="005E6A1E"/>
    <w:rsid w:val="005E6F2F"/>
    <w:rsid w:val="005E7C11"/>
    <w:rsid w:val="005F020B"/>
    <w:rsid w:val="005F10D9"/>
    <w:rsid w:val="005F1537"/>
    <w:rsid w:val="005F1548"/>
    <w:rsid w:val="005F15DE"/>
    <w:rsid w:val="005F1884"/>
    <w:rsid w:val="005F1DA6"/>
    <w:rsid w:val="005F1EC1"/>
    <w:rsid w:val="005F206F"/>
    <w:rsid w:val="005F2603"/>
    <w:rsid w:val="005F2C58"/>
    <w:rsid w:val="005F383F"/>
    <w:rsid w:val="005F3B56"/>
    <w:rsid w:val="005F5854"/>
    <w:rsid w:val="005F662F"/>
    <w:rsid w:val="005F779C"/>
    <w:rsid w:val="006004D0"/>
    <w:rsid w:val="006015BF"/>
    <w:rsid w:val="006019FF"/>
    <w:rsid w:val="00601ABA"/>
    <w:rsid w:val="006026BC"/>
    <w:rsid w:val="006032D9"/>
    <w:rsid w:val="006032EC"/>
    <w:rsid w:val="00604689"/>
    <w:rsid w:val="00605CA9"/>
    <w:rsid w:val="00606032"/>
    <w:rsid w:val="0060787D"/>
    <w:rsid w:val="00607905"/>
    <w:rsid w:val="00611686"/>
    <w:rsid w:val="00612328"/>
    <w:rsid w:val="0061285C"/>
    <w:rsid w:val="00612DB2"/>
    <w:rsid w:val="00613353"/>
    <w:rsid w:val="00613A37"/>
    <w:rsid w:val="00614714"/>
    <w:rsid w:val="006147DE"/>
    <w:rsid w:val="00614956"/>
    <w:rsid w:val="0061695A"/>
    <w:rsid w:val="006172FC"/>
    <w:rsid w:val="00617331"/>
    <w:rsid w:val="006210BA"/>
    <w:rsid w:val="006216D2"/>
    <w:rsid w:val="00621997"/>
    <w:rsid w:val="00621DCD"/>
    <w:rsid w:val="00623A73"/>
    <w:rsid w:val="00623EAE"/>
    <w:rsid w:val="006242F6"/>
    <w:rsid w:val="0062658A"/>
    <w:rsid w:val="006266BC"/>
    <w:rsid w:val="006267E8"/>
    <w:rsid w:val="00626896"/>
    <w:rsid w:val="006274AB"/>
    <w:rsid w:val="00627CEB"/>
    <w:rsid w:val="00630593"/>
    <w:rsid w:val="00630CF4"/>
    <w:rsid w:val="00631143"/>
    <w:rsid w:val="00631413"/>
    <w:rsid w:val="00631599"/>
    <w:rsid w:val="006319CB"/>
    <w:rsid w:val="00631DEE"/>
    <w:rsid w:val="006324D4"/>
    <w:rsid w:val="006324E7"/>
    <w:rsid w:val="006329B6"/>
    <w:rsid w:val="00632AB7"/>
    <w:rsid w:val="00633CF1"/>
    <w:rsid w:val="00633F49"/>
    <w:rsid w:val="0063406B"/>
    <w:rsid w:val="006347EE"/>
    <w:rsid w:val="006350AC"/>
    <w:rsid w:val="00635376"/>
    <w:rsid w:val="00635C8A"/>
    <w:rsid w:val="00636857"/>
    <w:rsid w:val="00637AA4"/>
    <w:rsid w:val="00640369"/>
    <w:rsid w:val="006409C3"/>
    <w:rsid w:val="00640B7C"/>
    <w:rsid w:val="00640D4E"/>
    <w:rsid w:val="00640F17"/>
    <w:rsid w:val="00641716"/>
    <w:rsid w:val="006422CE"/>
    <w:rsid w:val="00643046"/>
    <w:rsid w:val="00643E9B"/>
    <w:rsid w:val="00644EB9"/>
    <w:rsid w:val="00645093"/>
    <w:rsid w:val="006457D4"/>
    <w:rsid w:val="00646B17"/>
    <w:rsid w:val="006474A2"/>
    <w:rsid w:val="00647524"/>
    <w:rsid w:val="00647E18"/>
    <w:rsid w:val="00647E87"/>
    <w:rsid w:val="00647E8F"/>
    <w:rsid w:val="00650181"/>
    <w:rsid w:val="00651655"/>
    <w:rsid w:val="006520C5"/>
    <w:rsid w:val="00652B87"/>
    <w:rsid w:val="00655CE2"/>
    <w:rsid w:val="006566D6"/>
    <w:rsid w:val="0065712A"/>
    <w:rsid w:val="00657D0F"/>
    <w:rsid w:val="00660611"/>
    <w:rsid w:val="006606BF"/>
    <w:rsid w:val="00661466"/>
    <w:rsid w:val="0066152A"/>
    <w:rsid w:val="00661819"/>
    <w:rsid w:val="00664D6F"/>
    <w:rsid w:val="006651E4"/>
    <w:rsid w:val="006655E0"/>
    <w:rsid w:val="00665921"/>
    <w:rsid w:val="00665D5E"/>
    <w:rsid w:val="00665F7B"/>
    <w:rsid w:val="00666AF0"/>
    <w:rsid w:val="00667612"/>
    <w:rsid w:val="00667CF8"/>
    <w:rsid w:val="00667FA9"/>
    <w:rsid w:val="006717BD"/>
    <w:rsid w:val="00671D21"/>
    <w:rsid w:val="006724FA"/>
    <w:rsid w:val="00672903"/>
    <w:rsid w:val="0067299F"/>
    <w:rsid w:val="0067357A"/>
    <w:rsid w:val="00673A72"/>
    <w:rsid w:val="00673D89"/>
    <w:rsid w:val="006745C1"/>
    <w:rsid w:val="00674C1B"/>
    <w:rsid w:val="0067520E"/>
    <w:rsid w:val="00675704"/>
    <w:rsid w:val="006759E4"/>
    <w:rsid w:val="00675D2A"/>
    <w:rsid w:val="006762DB"/>
    <w:rsid w:val="00676746"/>
    <w:rsid w:val="00676E76"/>
    <w:rsid w:val="0067769D"/>
    <w:rsid w:val="00680FE6"/>
    <w:rsid w:val="00682068"/>
    <w:rsid w:val="00682EE2"/>
    <w:rsid w:val="0068353D"/>
    <w:rsid w:val="0068443E"/>
    <w:rsid w:val="006847D6"/>
    <w:rsid w:val="0068535C"/>
    <w:rsid w:val="00685CF5"/>
    <w:rsid w:val="00685D16"/>
    <w:rsid w:val="0068625A"/>
    <w:rsid w:val="006868AB"/>
    <w:rsid w:val="006870A3"/>
    <w:rsid w:val="0068714F"/>
    <w:rsid w:val="006902B7"/>
    <w:rsid w:val="00691569"/>
    <w:rsid w:val="0069201B"/>
    <w:rsid w:val="00692116"/>
    <w:rsid w:val="006926A3"/>
    <w:rsid w:val="00692AE1"/>
    <w:rsid w:val="00692DD1"/>
    <w:rsid w:val="00693DBC"/>
    <w:rsid w:val="0069480F"/>
    <w:rsid w:val="00694B0C"/>
    <w:rsid w:val="00694CEC"/>
    <w:rsid w:val="00695375"/>
    <w:rsid w:val="006954AD"/>
    <w:rsid w:val="00695EEF"/>
    <w:rsid w:val="00697004"/>
    <w:rsid w:val="00697632"/>
    <w:rsid w:val="006978DF"/>
    <w:rsid w:val="00697A96"/>
    <w:rsid w:val="006A0417"/>
    <w:rsid w:val="006A2E56"/>
    <w:rsid w:val="006A30AD"/>
    <w:rsid w:val="006A5192"/>
    <w:rsid w:val="006A5493"/>
    <w:rsid w:val="006A5544"/>
    <w:rsid w:val="006A56A2"/>
    <w:rsid w:val="006A56C3"/>
    <w:rsid w:val="006A5962"/>
    <w:rsid w:val="006A5C30"/>
    <w:rsid w:val="006A64AF"/>
    <w:rsid w:val="006A665F"/>
    <w:rsid w:val="006A6B42"/>
    <w:rsid w:val="006A70E9"/>
    <w:rsid w:val="006A710D"/>
    <w:rsid w:val="006B1465"/>
    <w:rsid w:val="006B1AF3"/>
    <w:rsid w:val="006B1C8C"/>
    <w:rsid w:val="006B2445"/>
    <w:rsid w:val="006B332E"/>
    <w:rsid w:val="006B39A3"/>
    <w:rsid w:val="006B428E"/>
    <w:rsid w:val="006B757B"/>
    <w:rsid w:val="006B7C2E"/>
    <w:rsid w:val="006C03A8"/>
    <w:rsid w:val="006C1E1A"/>
    <w:rsid w:val="006C204A"/>
    <w:rsid w:val="006C20B6"/>
    <w:rsid w:val="006C233D"/>
    <w:rsid w:val="006C2D59"/>
    <w:rsid w:val="006C335E"/>
    <w:rsid w:val="006C3FEF"/>
    <w:rsid w:val="006C4506"/>
    <w:rsid w:val="006C4730"/>
    <w:rsid w:val="006C4CAE"/>
    <w:rsid w:val="006C6014"/>
    <w:rsid w:val="006C637A"/>
    <w:rsid w:val="006C672E"/>
    <w:rsid w:val="006C6C09"/>
    <w:rsid w:val="006C6D5F"/>
    <w:rsid w:val="006D0195"/>
    <w:rsid w:val="006D0513"/>
    <w:rsid w:val="006D14C3"/>
    <w:rsid w:val="006D1943"/>
    <w:rsid w:val="006D23C6"/>
    <w:rsid w:val="006D249A"/>
    <w:rsid w:val="006D29CE"/>
    <w:rsid w:val="006D2DF3"/>
    <w:rsid w:val="006D2FC4"/>
    <w:rsid w:val="006D36AB"/>
    <w:rsid w:val="006D4C14"/>
    <w:rsid w:val="006D51D1"/>
    <w:rsid w:val="006D5592"/>
    <w:rsid w:val="006D57DC"/>
    <w:rsid w:val="006D583C"/>
    <w:rsid w:val="006D5CC3"/>
    <w:rsid w:val="006D5E9A"/>
    <w:rsid w:val="006D659F"/>
    <w:rsid w:val="006D699B"/>
    <w:rsid w:val="006D6F1E"/>
    <w:rsid w:val="006D77FC"/>
    <w:rsid w:val="006E05B0"/>
    <w:rsid w:val="006E0D76"/>
    <w:rsid w:val="006E109F"/>
    <w:rsid w:val="006E183B"/>
    <w:rsid w:val="006E33FA"/>
    <w:rsid w:val="006E396C"/>
    <w:rsid w:val="006E3E9C"/>
    <w:rsid w:val="006E43A5"/>
    <w:rsid w:val="006E46F6"/>
    <w:rsid w:val="006E4A82"/>
    <w:rsid w:val="006E4E32"/>
    <w:rsid w:val="006E4F0B"/>
    <w:rsid w:val="006E50ED"/>
    <w:rsid w:val="006E5600"/>
    <w:rsid w:val="006E6195"/>
    <w:rsid w:val="006E708E"/>
    <w:rsid w:val="006E73E5"/>
    <w:rsid w:val="006E7C06"/>
    <w:rsid w:val="006F05C6"/>
    <w:rsid w:val="006F0645"/>
    <w:rsid w:val="006F4374"/>
    <w:rsid w:val="006F6166"/>
    <w:rsid w:val="006F6269"/>
    <w:rsid w:val="006F6394"/>
    <w:rsid w:val="006F642E"/>
    <w:rsid w:val="006F6C25"/>
    <w:rsid w:val="006F6CCF"/>
    <w:rsid w:val="006F70C0"/>
    <w:rsid w:val="006F780A"/>
    <w:rsid w:val="00701314"/>
    <w:rsid w:val="0070161B"/>
    <w:rsid w:val="00702AE6"/>
    <w:rsid w:val="00703F3C"/>
    <w:rsid w:val="007045FB"/>
    <w:rsid w:val="0070490B"/>
    <w:rsid w:val="00704D2E"/>
    <w:rsid w:val="00704FBD"/>
    <w:rsid w:val="0070515E"/>
    <w:rsid w:val="00705A46"/>
    <w:rsid w:val="00705AAA"/>
    <w:rsid w:val="00705E0B"/>
    <w:rsid w:val="00705E2D"/>
    <w:rsid w:val="00706193"/>
    <w:rsid w:val="0070677D"/>
    <w:rsid w:val="00706F1D"/>
    <w:rsid w:val="007077D5"/>
    <w:rsid w:val="00710D83"/>
    <w:rsid w:val="00711445"/>
    <w:rsid w:val="00712188"/>
    <w:rsid w:val="00712B96"/>
    <w:rsid w:val="00712BA0"/>
    <w:rsid w:val="00712F45"/>
    <w:rsid w:val="0071400E"/>
    <w:rsid w:val="00714CE5"/>
    <w:rsid w:val="00715FD2"/>
    <w:rsid w:val="00717B30"/>
    <w:rsid w:val="0072097A"/>
    <w:rsid w:val="00720A95"/>
    <w:rsid w:val="00721958"/>
    <w:rsid w:val="007222A3"/>
    <w:rsid w:val="00722AA1"/>
    <w:rsid w:val="00723FF1"/>
    <w:rsid w:val="007243AC"/>
    <w:rsid w:val="007259C3"/>
    <w:rsid w:val="00725E51"/>
    <w:rsid w:val="007262E4"/>
    <w:rsid w:val="00726456"/>
    <w:rsid w:val="007303FA"/>
    <w:rsid w:val="007305D0"/>
    <w:rsid w:val="00730E8E"/>
    <w:rsid w:val="00731007"/>
    <w:rsid w:val="0073138F"/>
    <w:rsid w:val="007322A9"/>
    <w:rsid w:val="00732E54"/>
    <w:rsid w:val="007334C3"/>
    <w:rsid w:val="0073393F"/>
    <w:rsid w:val="00735469"/>
    <w:rsid w:val="00735824"/>
    <w:rsid w:val="0073596F"/>
    <w:rsid w:val="00736F56"/>
    <w:rsid w:val="00737307"/>
    <w:rsid w:val="007404B5"/>
    <w:rsid w:val="007404DF"/>
    <w:rsid w:val="00740DD2"/>
    <w:rsid w:val="00740E06"/>
    <w:rsid w:val="0074156C"/>
    <w:rsid w:val="00741C87"/>
    <w:rsid w:val="00741D19"/>
    <w:rsid w:val="00742866"/>
    <w:rsid w:val="0074385D"/>
    <w:rsid w:val="00743879"/>
    <w:rsid w:val="00744E8F"/>
    <w:rsid w:val="0074510E"/>
    <w:rsid w:val="00745636"/>
    <w:rsid w:val="00745CF3"/>
    <w:rsid w:val="00746666"/>
    <w:rsid w:val="00746A0F"/>
    <w:rsid w:val="00746B1A"/>
    <w:rsid w:val="00747E1C"/>
    <w:rsid w:val="00750CE0"/>
    <w:rsid w:val="00750ED3"/>
    <w:rsid w:val="00751277"/>
    <w:rsid w:val="0075161E"/>
    <w:rsid w:val="00751707"/>
    <w:rsid w:val="00752069"/>
    <w:rsid w:val="007530D6"/>
    <w:rsid w:val="00753C97"/>
    <w:rsid w:val="00753EE7"/>
    <w:rsid w:val="00754160"/>
    <w:rsid w:val="0075440C"/>
    <w:rsid w:val="00754DC3"/>
    <w:rsid w:val="00755E3C"/>
    <w:rsid w:val="00755F33"/>
    <w:rsid w:val="00756131"/>
    <w:rsid w:val="0075703D"/>
    <w:rsid w:val="007572B4"/>
    <w:rsid w:val="0075764C"/>
    <w:rsid w:val="007603D8"/>
    <w:rsid w:val="00760C3F"/>
    <w:rsid w:val="00760E43"/>
    <w:rsid w:val="00760E74"/>
    <w:rsid w:val="00761100"/>
    <w:rsid w:val="007617B0"/>
    <w:rsid w:val="007626F9"/>
    <w:rsid w:val="00762808"/>
    <w:rsid w:val="00762D25"/>
    <w:rsid w:val="00762FD3"/>
    <w:rsid w:val="00763E98"/>
    <w:rsid w:val="00763EEC"/>
    <w:rsid w:val="0076410D"/>
    <w:rsid w:val="007642ED"/>
    <w:rsid w:val="007646E0"/>
    <w:rsid w:val="00765531"/>
    <w:rsid w:val="00765875"/>
    <w:rsid w:val="00765D10"/>
    <w:rsid w:val="00766DDC"/>
    <w:rsid w:val="00766E84"/>
    <w:rsid w:val="00767A7D"/>
    <w:rsid w:val="00770768"/>
    <w:rsid w:val="00770A30"/>
    <w:rsid w:val="00772CEF"/>
    <w:rsid w:val="0077373D"/>
    <w:rsid w:val="007737C1"/>
    <w:rsid w:val="0077418E"/>
    <w:rsid w:val="00774887"/>
    <w:rsid w:val="00774B3F"/>
    <w:rsid w:val="00775727"/>
    <w:rsid w:val="00775E75"/>
    <w:rsid w:val="00776002"/>
    <w:rsid w:val="00776B09"/>
    <w:rsid w:val="00776EC1"/>
    <w:rsid w:val="00780473"/>
    <w:rsid w:val="007805AF"/>
    <w:rsid w:val="0078095B"/>
    <w:rsid w:val="0078205F"/>
    <w:rsid w:val="007822E8"/>
    <w:rsid w:val="00782640"/>
    <w:rsid w:val="00782C20"/>
    <w:rsid w:val="0078324C"/>
    <w:rsid w:val="00783D82"/>
    <w:rsid w:val="00783F7B"/>
    <w:rsid w:val="0078469E"/>
    <w:rsid w:val="00784B03"/>
    <w:rsid w:val="00784F0E"/>
    <w:rsid w:val="00785A0B"/>
    <w:rsid w:val="0078648B"/>
    <w:rsid w:val="00786808"/>
    <w:rsid w:val="007878EE"/>
    <w:rsid w:val="00787C23"/>
    <w:rsid w:val="00790543"/>
    <w:rsid w:val="00790CE8"/>
    <w:rsid w:val="00790E95"/>
    <w:rsid w:val="00791B97"/>
    <w:rsid w:val="007926C1"/>
    <w:rsid w:val="0079281F"/>
    <w:rsid w:val="00792DAF"/>
    <w:rsid w:val="00793F24"/>
    <w:rsid w:val="00794055"/>
    <w:rsid w:val="00794420"/>
    <w:rsid w:val="0079624B"/>
    <w:rsid w:val="00797585"/>
    <w:rsid w:val="00797894"/>
    <w:rsid w:val="007A00AD"/>
    <w:rsid w:val="007A0B38"/>
    <w:rsid w:val="007A0C72"/>
    <w:rsid w:val="007A2513"/>
    <w:rsid w:val="007A2726"/>
    <w:rsid w:val="007A502A"/>
    <w:rsid w:val="007A644B"/>
    <w:rsid w:val="007A64C1"/>
    <w:rsid w:val="007A6954"/>
    <w:rsid w:val="007A6AD5"/>
    <w:rsid w:val="007A6DBD"/>
    <w:rsid w:val="007A7B1C"/>
    <w:rsid w:val="007A7DAE"/>
    <w:rsid w:val="007B0463"/>
    <w:rsid w:val="007B0D19"/>
    <w:rsid w:val="007B254A"/>
    <w:rsid w:val="007B400F"/>
    <w:rsid w:val="007B4124"/>
    <w:rsid w:val="007B4DEB"/>
    <w:rsid w:val="007B57DE"/>
    <w:rsid w:val="007B5E69"/>
    <w:rsid w:val="007B69F6"/>
    <w:rsid w:val="007B739E"/>
    <w:rsid w:val="007C1042"/>
    <w:rsid w:val="007C19AF"/>
    <w:rsid w:val="007C243C"/>
    <w:rsid w:val="007C2B61"/>
    <w:rsid w:val="007C4F6D"/>
    <w:rsid w:val="007C5979"/>
    <w:rsid w:val="007C6BF2"/>
    <w:rsid w:val="007C7339"/>
    <w:rsid w:val="007C7955"/>
    <w:rsid w:val="007C7F1B"/>
    <w:rsid w:val="007D0338"/>
    <w:rsid w:val="007D0CCE"/>
    <w:rsid w:val="007D0F74"/>
    <w:rsid w:val="007D2AB4"/>
    <w:rsid w:val="007D3150"/>
    <w:rsid w:val="007D3B43"/>
    <w:rsid w:val="007D4763"/>
    <w:rsid w:val="007D4C65"/>
    <w:rsid w:val="007D5525"/>
    <w:rsid w:val="007D57BB"/>
    <w:rsid w:val="007D5FBF"/>
    <w:rsid w:val="007D6DD7"/>
    <w:rsid w:val="007D7005"/>
    <w:rsid w:val="007D7C5B"/>
    <w:rsid w:val="007E13DD"/>
    <w:rsid w:val="007E156E"/>
    <w:rsid w:val="007E1A9B"/>
    <w:rsid w:val="007E1E71"/>
    <w:rsid w:val="007E1F56"/>
    <w:rsid w:val="007E2199"/>
    <w:rsid w:val="007E2EC3"/>
    <w:rsid w:val="007E397F"/>
    <w:rsid w:val="007E42AD"/>
    <w:rsid w:val="007E46A9"/>
    <w:rsid w:val="007E4D9D"/>
    <w:rsid w:val="007E5037"/>
    <w:rsid w:val="007E510D"/>
    <w:rsid w:val="007E5B2F"/>
    <w:rsid w:val="007E5BED"/>
    <w:rsid w:val="007E613A"/>
    <w:rsid w:val="007E6674"/>
    <w:rsid w:val="007E6ED5"/>
    <w:rsid w:val="007E7271"/>
    <w:rsid w:val="007E78C3"/>
    <w:rsid w:val="007F060C"/>
    <w:rsid w:val="007F0DCF"/>
    <w:rsid w:val="007F1A99"/>
    <w:rsid w:val="007F2F96"/>
    <w:rsid w:val="007F3BD7"/>
    <w:rsid w:val="007F3C78"/>
    <w:rsid w:val="007F5A99"/>
    <w:rsid w:val="007F6093"/>
    <w:rsid w:val="007F6270"/>
    <w:rsid w:val="00800680"/>
    <w:rsid w:val="0080104B"/>
    <w:rsid w:val="008011FC"/>
    <w:rsid w:val="00801D99"/>
    <w:rsid w:val="008020C0"/>
    <w:rsid w:val="00802773"/>
    <w:rsid w:val="00802B99"/>
    <w:rsid w:val="00804895"/>
    <w:rsid w:val="00805164"/>
    <w:rsid w:val="00805CF9"/>
    <w:rsid w:val="00807084"/>
    <w:rsid w:val="00810422"/>
    <w:rsid w:val="00811865"/>
    <w:rsid w:val="00811B87"/>
    <w:rsid w:val="00811EFF"/>
    <w:rsid w:val="00812750"/>
    <w:rsid w:val="0081326D"/>
    <w:rsid w:val="00813343"/>
    <w:rsid w:val="00814044"/>
    <w:rsid w:val="00814700"/>
    <w:rsid w:val="00814B64"/>
    <w:rsid w:val="0081536E"/>
    <w:rsid w:val="00815629"/>
    <w:rsid w:val="0081587D"/>
    <w:rsid w:val="00815957"/>
    <w:rsid w:val="00816952"/>
    <w:rsid w:val="00817797"/>
    <w:rsid w:val="00817CAD"/>
    <w:rsid w:val="00820DA6"/>
    <w:rsid w:val="00821C06"/>
    <w:rsid w:val="008226F8"/>
    <w:rsid w:val="00823031"/>
    <w:rsid w:val="008233FF"/>
    <w:rsid w:val="008237BD"/>
    <w:rsid w:val="008246DA"/>
    <w:rsid w:val="0082470C"/>
    <w:rsid w:val="0082550B"/>
    <w:rsid w:val="0082585C"/>
    <w:rsid w:val="00825C88"/>
    <w:rsid w:val="00826864"/>
    <w:rsid w:val="0082688D"/>
    <w:rsid w:val="00826B76"/>
    <w:rsid w:val="00826B82"/>
    <w:rsid w:val="00826FDA"/>
    <w:rsid w:val="0082775C"/>
    <w:rsid w:val="00827ACE"/>
    <w:rsid w:val="00827B7D"/>
    <w:rsid w:val="00827CB0"/>
    <w:rsid w:val="00827CD6"/>
    <w:rsid w:val="00827DDC"/>
    <w:rsid w:val="00830261"/>
    <w:rsid w:val="0083097E"/>
    <w:rsid w:val="00830A2D"/>
    <w:rsid w:val="0083165F"/>
    <w:rsid w:val="008326B6"/>
    <w:rsid w:val="008332D8"/>
    <w:rsid w:val="008335D4"/>
    <w:rsid w:val="0083376B"/>
    <w:rsid w:val="00834119"/>
    <w:rsid w:val="0083455C"/>
    <w:rsid w:val="00835605"/>
    <w:rsid w:val="008359E7"/>
    <w:rsid w:val="008368A4"/>
    <w:rsid w:val="00836B19"/>
    <w:rsid w:val="008371C7"/>
    <w:rsid w:val="00837610"/>
    <w:rsid w:val="00837DD9"/>
    <w:rsid w:val="00840BCA"/>
    <w:rsid w:val="00840F11"/>
    <w:rsid w:val="00841624"/>
    <w:rsid w:val="00842D1D"/>
    <w:rsid w:val="008435EA"/>
    <w:rsid w:val="0084387B"/>
    <w:rsid w:val="00843F6A"/>
    <w:rsid w:val="00844223"/>
    <w:rsid w:val="0084449E"/>
    <w:rsid w:val="0084467D"/>
    <w:rsid w:val="00847BBB"/>
    <w:rsid w:val="00847E9B"/>
    <w:rsid w:val="00847FCC"/>
    <w:rsid w:val="0085011F"/>
    <w:rsid w:val="008501A0"/>
    <w:rsid w:val="0085085C"/>
    <w:rsid w:val="00851959"/>
    <w:rsid w:val="00855101"/>
    <w:rsid w:val="00855105"/>
    <w:rsid w:val="008552A9"/>
    <w:rsid w:val="008557E6"/>
    <w:rsid w:val="00855F87"/>
    <w:rsid w:val="0085651B"/>
    <w:rsid w:val="008567AE"/>
    <w:rsid w:val="008569F0"/>
    <w:rsid w:val="00856C6C"/>
    <w:rsid w:val="00856FD5"/>
    <w:rsid w:val="00857BB2"/>
    <w:rsid w:val="00860A22"/>
    <w:rsid w:val="008610C3"/>
    <w:rsid w:val="008617F7"/>
    <w:rsid w:val="00863194"/>
    <w:rsid w:val="00863342"/>
    <w:rsid w:val="0086405C"/>
    <w:rsid w:val="00865090"/>
    <w:rsid w:val="0087045F"/>
    <w:rsid w:val="00870F08"/>
    <w:rsid w:val="00871D3F"/>
    <w:rsid w:val="008722C0"/>
    <w:rsid w:val="00872882"/>
    <w:rsid w:val="00872947"/>
    <w:rsid w:val="00872C86"/>
    <w:rsid w:val="008730B0"/>
    <w:rsid w:val="00873248"/>
    <w:rsid w:val="00873FBE"/>
    <w:rsid w:val="008742FF"/>
    <w:rsid w:val="00874595"/>
    <w:rsid w:val="008746CE"/>
    <w:rsid w:val="00874A76"/>
    <w:rsid w:val="00874F47"/>
    <w:rsid w:val="00875031"/>
    <w:rsid w:val="00875DD4"/>
    <w:rsid w:val="008763D1"/>
    <w:rsid w:val="00876798"/>
    <w:rsid w:val="00877363"/>
    <w:rsid w:val="00877815"/>
    <w:rsid w:val="00877B1E"/>
    <w:rsid w:val="00882247"/>
    <w:rsid w:val="0088255D"/>
    <w:rsid w:val="00882576"/>
    <w:rsid w:val="008858BB"/>
    <w:rsid w:val="00885CE3"/>
    <w:rsid w:val="008862D9"/>
    <w:rsid w:val="00886678"/>
    <w:rsid w:val="00886FB9"/>
    <w:rsid w:val="008870D9"/>
    <w:rsid w:val="008873CD"/>
    <w:rsid w:val="0088742B"/>
    <w:rsid w:val="008906B3"/>
    <w:rsid w:val="00890CF3"/>
    <w:rsid w:val="00891992"/>
    <w:rsid w:val="00892D34"/>
    <w:rsid w:val="00892F03"/>
    <w:rsid w:val="008935B1"/>
    <w:rsid w:val="008938D8"/>
    <w:rsid w:val="00893BA4"/>
    <w:rsid w:val="0089406B"/>
    <w:rsid w:val="008944B7"/>
    <w:rsid w:val="008951C8"/>
    <w:rsid w:val="0089682B"/>
    <w:rsid w:val="008978ED"/>
    <w:rsid w:val="008A03E8"/>
    <w:rsid w:val="008A04F5"/>
    <w:rsid w:val="008A0512"/>
    <w:rsid w:val="008A09AA"/>
    <w:rsid w:val="008A0EA1"/>
    <w:rsid w:val="008A1C14"/>
    <w:rsid w:val="008A2979"/>
    <w:rsid w:val="008A2C08"/>
    <w:rsid w:val="008A2C14"/>
    <w:rsid w:val="008A412E"/>
    <w:rsid w:val="008A46EF"/>
    <w:rsid w:val="008A4E24"/>
    <w:rsid w:val="008A53A1"/>
    <w:rsid w:val="008A6597"/>
    <w:rsid w:val="008A678B"/>
    <w:rsid w:val="008A74EC"/>
    <w:rsid w:val="008B1A98"/>
    <w:rsid w:val="008B1E78"/>
    <w:rsid w:val="008B2231"/>
    <w:rsid w:val="008B28F5"/>
    <w:rsid w:val="008B30B8"/>
    <w:rsid w:val="008B3F59"/>
    <w:rsid w:val="008B493F"/>
    <w:rsid w:val="008B50EE"/>
    <w:rsid w:val="008B56E1"/>
    <w:rsid w:val="008B5A3D"/>
    <w:rsid w:val="008B5FC0"/>
    <w:rsid w:val="008B6D83"/>
    <w:rsid w:val="008C00FC"/>
    <w:rsid w:val="008C0948"/>
    <w:rsid w:val="008C2163"/>
    <w:rsid w:val="008C22DD"/>
    <w:rsid w:val="008C2336"/>
    <w:rsid w:val="008C332D"/>
    <w:rsid w:val="008C3537"/>
    <w:rsid w:val="008C42F6"/>
    <w:rsid w:val="008C44C6"/>
    <w:rsid w:val="008C461F"/>
    <w:rsid w:val="008C4951"/>
    <w:rsid w:val="008C5657"/>
    <w:rsid w:val="008C6026"/>
    <w:rsid w:val="008C6AA1"/>
    <w:rsid w:val="008C7301"/>
    <w:rsid w:val="008C736E"/>
    <w:rsid w:val="008C7615"/>
    <w:rsid w:val="008D0602"/>
    <w:rsid w:val="008D0994"/>
    <w:rsid w:val="008D099A"/>
    <w:rsid w:val="008D0DFD"/>
    <w:rsid w:val="008D1CBA"/>
    <w:rsid w:val="008D1EEE"/>
    <w:rsid w:val="008D26C5"/>
    <w:rsid w:val="008D288A"/>
    <w:rsid w:val="008D2C22"/>
    <w:rsid w:val="008D3627"/>
    <w:rsid w:val="008D38A0"/>
    <w:rsid w:val="008D4F01"/>
    <w:rsid w:val="008D575C"/>
    <w:rsid w:val="008D61C2"/>
    <w:rsid w:val="008D6C9B"/>
    <w:rsid w:val="008D6E2F"/>
    <w:rsid w:val="008D7926"/>
    <w:rsid w:val="008D7DD4"/>
    <w:rsid w:val="008E02AB"/>
    <w:rsid w:val="008E092C"/>
    <w:rsid w:val="008E15CF"/>
    <w:rsid w:val="008E191A"/>
    <w:rsid w:val="008E1CC9"/>
    <w:rsid w:val="008E2353"/>
    <w:rsid w:val="008E32D2"/>
    <w:rsid w:val="008E4330"/>
    <w:rsid w:val="008E4576"/>
    <w:rsid w:val="008E47FB"/>
    <w:rsid w:val="008E4C9E"/>
    <w:rsid w:val="008E52EF"/>
    <w:rsid w:val="008E5DDE"/>
    <w:rsid w:val="008E6F09"/>
    <w:rsid w:val="008F0C0B"/>
    <w:rsid w:val="008F0CF5"/>
    <w:rsid w:val="008F117F"/>
    <w:rsid w:val="008F17A9"/>
    <w:rsid w:val="008F19E0"/>
    <w:rsid w:val="008F1E5B"/>
    <w:rsid w:val="008F2882"/>
    <w:rsid w:val="008F28D1"/>
    <w:rsid w:val="008F2A61"/>
    <w:rsid w:val="008F2E78"/>
    <w:rsid w:val="008F3634"/>
    <w:rsid w:val="008F4997"/>
    <w:rsid w:val="008F4C82"/>
    <w:rsid w:val="008F5248"/>
    <w:rsid w:val="008F5515"/>
    <w:rsid w:val="008F59A8"/>
    <w:rsid w:val="008F5EC8"/>
    <w:rsid w:val="008F7302"/>
    <w:rsid w:val="008F74E5"/>
    <w:rsid w:val="00901C32"/>
    <w:rsid w:val="00902162"/>
    <w:rsid w:val="00902853"/>
    <w:rsid w:val="00902CCC"/>
    <w:rsid w:val="0090378D"/>
    <w:rsid w:val="00903DDF"/>
    <w:rsid w:val="00904B2F"/>
    <w:rsid w:val="00904F0D"/>
    <w:rsid w:val="009055C3"/>
    <w:rsid w:val="009058ED"/>
    <w:rsid w:val="00905CA8"/>
    <w:rsid w:val="00905EF6"/>
    <w:rsid w:val="009073BF"/>
    <w:rsid w:val="00907B50"/>
    <w:rsid w:val="00907D7A"/>
    <w:rsid w:val="00910021"/>
    <w:rsid w:val="0091133D"/>
    <w:rsid w:val="00912006"/>
    <w:rsid w:val="00912F19"/>
    <w:rsid w:val="00912F35"/>
    <w:rsid w:val="0091375F"/>
    <w:rsid w:val="00913D06"/>
    <w:rsid w:val="00914258"/>
    <w:rsid w:val="00914DD8"/>
    <w:rsid w:val="00915752"/>
    <w:rsid w:val="00915CFF"/>
    <w:rsid w:val="00916487"/>
    <w:rsid w:val="00916AFE"/>
    <w:rsid w:val="00916D49"/>
    <w:rsid w:val="00917AEB"/>
    <w:rsid w:val="00917B03"/>
    <w:rsid w:val="0092131F"/>
    <w:rsid w:val="0092146C"/>
    <w:rsid w:val="00921DE9"/>
    <w:rsid w:val="00922241"/>
    <w:rsid w:val="00922286"/>
    <w:rsid w:val="009226D7"/>
    <w:rsid w:val="00922DF0"/>
    <w:rsid w:val="009232D7"/>
    <w:rsid w:val="009236CB"/>
    <w:rsid w:val="00923960"/>
    <w:rsid w:val="00924002"/>
    <w:rsid w:val="00924A14"/>
    <w:rsid w:val="00924AF1"/>
    <w:rsid w:val="00924F16"/>
    <w:rsid w:val="00925501"/>
    <w:rsid w:val="00925F5F"/>
    <w:rsid w:val="00926673"/>
    <w:rsid w:val="00926D43"/>
    <w:rsid w:val="00927C18"/>
    <w:rsid w:val="00927F27"/>
    <w:rsid w:val="0093089E"/>
    <w:rsid w:val="00930FA6"/>
    <w:rsid w:val="00931CB4"/>
    <w:rsid w:val="00932326"/>
    <w:rsid w:val="0093261F"/>
    <w:rsid w:val="009326D4"/>
    <w:rsid w:val="009329F1"/>
    <w:rsid w:val="00933F8D"/>
    <w:rsid w:val="0093463B"/>
    <w:rsid w:val="00934DA3"/>
    <w:rsid w:val="00935001"/>
    <w:rsid w:val="00935670"/>
    <w:rsid w:val="00935FF3"/>
    <w:rsid w:val="00937074"/>
    <w:rsid w:val="00937485"/>
    <w:rsid w:val="00940AEE"/>
    <w:rsid w:val="009442EC"/>
    <w:rsid w:val="00944DC6"/>
    <w:rsid w:val="009461F3"/>
    <w:rsid w:val="00946EE5"/>
    <w:rsid w:val="00947316"/>
    <w:rsid w:val="0094761E"/>
    <w:rsid w:val="00950781"/>
    <w:rsid w:val="00951618"/>
    <w:rsid w:val="0095274E"/>
    <w:rsid w:val="00953A13"/>
    <w:rsid w:val="00954954"/>
    <w:rsid w:val="00955623"/>
    <w:rsid w:val="0095750F"/>
    <w:rsid w:val="00957A5A"/>
    <w:rsid w:val="00957E15"/>
    <w:rsid w:val="0096069A"/>
    <w:rsid w:val="00960DDC"/>
    <w:rsid w:val="00960F2E"/>
    <w:rsid w:val="009618A4"/>
    <w:rsid w:val="00961975"/>
    <w:rsid w:val="00961AB5"/>
    <w:rsid w:val="00962E13"/>
    <w:rsid w:val="0096309F"/>
    <w:rsid w:val="009636A0"/>
    <w:rsid w:val="00963BF7"/>
    <w:rsid w:val="009640C4"/>
    <w:rsid w:val="009644DC"/>
    <w:rsid w:val="0096617F"/>
    <w:rsid w:val="00966E78"/>
    <w:rsid w:val="0096775D"/>
    <w:rsid w:val="00967BD9"/>
    <w:rsid w:val="00970321"/>
    <w:rsid w:val="00970594"/>
    <w:rsid w:val="00971304"/>
    <w:rsid w:val="009716D9"/>
    <w:rsid w:val="00971818"/>
    <w:rsid w:val="0097181D"/>
    <w:rsid w:val="0097255F"/>
    <w:rsid w:val="00973869"/>
    <w:rsid w:val="00973D53"/>
    <w:rsid w:val="00973F9F"/>
    <w:rsid w:val="0097401A"/>
    <w:rsid w:val="00974105"/>
    <w:rsid w:val="0097477E"/>
    <w:rsid w:val="00975728"/>
    <w:rsid w:val="00975A05"/>
    <w:rsid w:val="00975BD5"/>
    <w:rsid w:val="0097616C"/>
    <w:rsid w:val="0097654D"/>
    <w:rsid w:val="00976F8B"/>
    <w:rsid w:val="00977C08"/>
    <w:rsid w:val="00980A34"/>
    <w:rsid w:val="0098151D"/>
    <w:rsid w:val="00981524"/>
    <w:rsid w:val="0098164A"/>
    <w:rsid w:val="009818B0"/>
    <w:rsid w:val="00981989"/>
    <w:rsid w:val="00981CA8"/>
    <w:rsid w:val="00982147"/>
    <w:rsid w:val="0098218E"/>
    <w:rsid w:val="00982B81"/>
    <w:rsid w:val="00982CF3"/>
    <w:rsid w:val="009832C1"/>
    <w:rsid w:val="00983FE3"/>
    <w:rsid w:val="00984AA2"/>
    <w:rsid w:val="00984B39"/>
    <w:rsid w:val="00985021"/>
    <w:rsid w:val="00985131"/>
    <w:rsid w:val="00985538"/>
    <w:rsid w:val="0098670B"/>
    <w:rsid w:val="0098690B"/>
    <w:rsid w:val="0099009B"/>
    <w:rsid w:val="0099049A"/>
    <w:rsid w:val="00991512"/>
    <w:rsid w:val="00991C0A"/>
    <w:rsid w:val="00991CC0"/>
    <w:rsid w:val="00992771"/>
    <w:rsid w:val="00992A9A"/>
    <w:rsid w:val="00993AF8"/>
    <w:rsid w:val="00994004"/>
    <w:rsid w:val="00997B94"/>
    <w:rsid w:val="009A05E4"/>
    <w:rsid w:val="009A063E"/>
    <w:rsid w:val="009A08CB"/>
    <w:rsid w:val="009A0EDE"/>
    <w:rsid w:val="009A121E"/>
    <w:rsid w:val="009A1221"/>
    <w:rsid w:val="009A12D3"/>
    <w:rsid w:val="009A169D"/>
    <w:rsid w:val="009A28DD"/>
    <w:rsid w:val="009A3C80"/>
    <w:rsid w:val="009A3D97"/>
    <w:rsid w:val="009A410F"/>
    <w:rsid w:val="009A4491"/>
    <w:rsid w:val="009A46B3"/>
    <w:rsid w:val="009A5790"/>
    <w:rsid w:val="009A5B2C"/>
    <w:rsid w:val="009A5B4F"/>
    <w:rsid w:val="009A63DA"/>
    <w:rsid w:val="009A68DD"/>
    <w:rsid w:val="009A6BA3"/>
    <w:rsid w:val="009A7272"/>
    <w:rsid w:val="009A7892"/>
    <w:rsid w:val="009A7ADB"/>
    <w:rsid w:val="009A7E03"/>
    <w:rsid w:val="009A7E60"/>
    <w:rsid w:val="009A7F04"/>
    <w:rsid w:val="009B0D49"/>
    <w:rsid w:val="009B144F"/>
    <w:rsid w:val="009B1F60"/>
    <w:rsid w:val="009B3A18"/>
    <w:rsid w:val="009B4147"/>
    <w:rsid w:val="009B41BE"/>
    <w:rsid w:val="009B45A1"/>
    <w:rsid w:val="009B4C1D"/>
    <w:rsid w:val="009B4E3F"/>
    <w:rsid w:val="009B5540"/>
    <w:rsid w:val="009B5EA5"/>
    <w:rsid w:val="009B6227"/>
    <w:rsid w:val="009B67AA"/>
    <w:rsid w:val="009B694E"/>
    <w:rsid w:val="009B6E38"/>
    <w:rsid w:val="009B704F"/>
    <w:rsid w:val="009C1067"/>
    <w:rsid w:val="009C13C0"/>
    <w:rsid w:val="009C1578"/>
    <w:rsid w:val="009C22D0"/>
    <w:rsid w:val="009C325E"/>
    <w:rsid w:val="009C3613"/>
    <w:rsid w:val="009C389E"/>
    <w:rsid w:val="009C3E91"/>
    <w:rsid w:val="009C3F20"/>
    <w:rsid w:val="009C514D"/>
    <w:rsid w:val="009C5195"/>
    <w:rsid w:val="009C5A81"/>
    <w:rsid w:val="009C630F"/>
    <w:rsid w:val="009C643E"/>
    <w:rsid w:val="009C6648"/>
    <w:rsid w:val="009C737A"/>
    <w:rsid w:val="009D031D"/>
    <w:rsid w:val="009D1160"/>
    <w:rsid w:val="009D1F75"/>
    <w:rsid w:val="009D22B5"/>
    <w:rsid w:val="009D2B18"/>
    <w:rsid w:val="009D3ED1"/>
    <w:rsid w:val="009D40A3"/>
    <w:rsid w:val="009D40AB"/>
    <w:rsid w:val="009D4E2E"/>
    <w:rsid w:val="009D604E"/>
    <w:rsid w:val="009D6C3F"/>
    <w:rsid w:val="009D7EA1"/>
    <w:rsid w:val="009E1E05"/>
    <w:rsid w:val="009E2143"/>
    <w:rsid w:val="009E2982"/>
    <w:rsid w:val="009E31B1"/>
    <w:rsid w:val="009E48C7"/>
    <w:rsid w:val="009E4D97"/>
    <w:rsid w:val="009E5A22"/>
    <w:rsid w:val="009E5D66"/>
    <w:rsid w:val="009E601E"/>
    <w:rsid w:val="009E60DC"/>
    <w:rsid w:val="009E6B8B"/>
    <w:rsid w:val="009E6EA8"/>
    <w:rsid w:val="009F11A9"/>
    <w:rsid w:val="009F1560"/>
    <w:rsid w:val="009F1F67"/>
    <w:rsid w:val="009F3974"/>
    <w:rsid w:val="009F46AB"/>
    <w:rsid w:val="009F5310"/>
    <w:rsid w:val="009F598D"/>
    <w:rsid w:val="009F5D4A"/>
    <w:rsid w:val="009F63C5"/>
    <w:rsid w:val="009F6612"/>
    <w:rsid w:val="009F7111"/>
    <w:rsid w:val="009F77B4"/>
    <w:rsid w:val="009F7B98"/>
    <w:rsid w:val="00A0114D"/>
    <w:rsid w:val="00A014FE"/>
    <w:rsid w:val="00A01B1A"/>
    <w:rsid w:val="00A02860"/>
    <w:rsid w:val="00A02C14"/>
    <w:rsid w:val="00A03DFE"/>
    <w:rsid w:val="00A04465"/>
    <w:rsid w:val="00A04506"/>
    <w:rsid w:val="00A045F2"/>
    <w:rsid w:val="00A04BA1"/>
    <w:rsid w:val="00A052E8"/>
    <w:rsid w:val="00A054D6"/>
    <w:rsid w:val="00A05CA0"/>
    <w:rsid w:val="00A05CD1"/>
    <w:rsid w:val="00A0609D"/>
    <w:rsid w:val="00A06807"/>
    <w:rsid w:val="00A10970"/>
    <w:rsid w:val="00A10B82"/>
    <w:rsid w:val="00A11E6B"/>
    <w:rsid w:val="00A12171"/>
    <w:rsid w:val="00A12312"/>
    <w:rsid w:val="00A12E85"/>
    <w:rsid w:val="00A130E1"/>
    <w:rsid w:val="00A13186"/>
    <w:rsid w:val="00A138B8"/>
    <w:rsid w:val="00A13CC1"/>
    <w:rsid w:val="00A13CDF"/>
    <w:rsid w:val="00A14C05"/>
    <w:rsid w:val="00A15870"/>
    <w:rsid w:val="00A16F8B"/>
    <w:rsid w:val="00A1710C"/>
    <w:rsid w:val="00A17F05"/>
    <w:rsid w:val="00A20050"/>
    <w:rsid w:val="00A201DE"/>
    <w:rsid w:val="00A21078"/>
    <w:rsid w:val="00A21641"/>
    <w:rsid w:val="00A21834"/>
    <w:rsid w:val="00A222D1"/>
    <w:rsid w:val="00A22518"/>
    <w:rsid w:val="00A22CDD"/>
    <w:rsid w:val="00A239BC"/>
    <w:rsid w:val="00A23AED"/>
    <w:rsid w:val="00A241ED"/>
    <w:rsid w:val="00A242BE"/>
    <w:rsid w:val="00A24381"/>
    <w:rsid w:val="00A24FA5"/>
    <w:rsid w:val="00A251E0"/>
    <w:rsid w:val="00A25EE7"/>
    <w:rsid w:val="00A275DD"/>
    <w:rsid w:val="00A30204"/>
    <w:rsid w:val="00A3021B"/>
    <w:rsid w:val="00A302F3"/>
    <w:rsid w:val="00A3125F"/>
    <w:rsid w:val="00A31C49"/>
    <w:rsid w:val="00A32419"/>
    <w:rsid w:val="00A32ADC"/>
    <w:rsid w:val="00A32C87"/>
    <w:rsid w:val="00A33792"/>
    <w:rsid w:val="00A34812"/>
    <w:rsid w:val="00A34D08"/>
    <w:rsid w:val="00A3506F"/>
    <w:rsid w:val="00A36BDA"/>
    <w:rsid w:val="00A36C81"/>
    <w:rsid w:val="00A3746E"/>
    <w:rsid w:val="00A40A71"/>
    <w:rsid w:val="00A40C3A"/>
    <w:rsid w:val="00A42F3C"/>
    <w:rsid w:val="00A43671"/>
    <w:rsid w:val="00A43A1A"/>
    <w:rsid w:val="00A44004"/>
    <w:rsid w:val="00A44AF3"/>
    <w:rsid w:val="00A462CD"/>
    <w:rsid w:val="00A464DD"/>
    <w:rsid w:val="00A46594"/>
    <w:rsid w:val="00A46C8B"/>
    <w:rsid w:val="00A46D38"/>
    <w:rsid w:val="00A477AF"/>
    <w:rsid w:val="00A47A5F"/>
    <w:rsid w:val="00A47DFF"/>
    <w:rsid w:val="00A52134"/>
    <w:rsid w:val="00A52A3A"/>
    <w:rsid w:val="00A535C2"/>
    <w:rsid w:val="00A539A7"/>
    <w:rsid w:val="00A53C16"/>
    <w:rsid w:val="00A54CE1"/>
    <w:rsid w:val="00A55566"/>
    <w:rsid w:val="00A5562D"/>
    <w:rsid w:val="00A567E3"/>
    <w:rsid w:val="00A575CB"/>
    <w:rsid w:val="00A60739"/>
    <w:rsid w:val="00A60C45"/>
    <w:rsid w:val="00A60FC9"/>
    <w:rsid w:val="00A618B7"/>
    <w:rsid w:val="00A61BE7"/>
    <w:rsid w:val="00A62269"/>
    <w:rsid w:val="00A62464"/>
    <w:rsid w:val="00A62E2A"/>
    <w:rsid w:val="00A63C7F"/>
    <w:rsid w:val="00A64D79"/>
    <w:rsid w:val="00A6503D"/>
    <w:rsid w:val="00A65567"/>
    <w:rsid w:val="00A660C6"/>
    <w:rsid w:val="00A66C90"/>
    <w:rsid w:val="00A67DF5"/>
    <w:rsid w:val="00A70289"/>
    <w:rsid w:val="00A70748"/>
    <w:rsid w:val="00A70D39"/>
    <w:rsid w:val="00A70EC3"/>
    <w:rsid w:val="00A718F6"/>
    <w:rsid w:val="00A72818"/>
    <w:rsid w:val="00A72F06"/>
    <w:rsid w:val="00A74D72"/>
    <w:rsid w:val="00A75B3D"/>
    <w:rsid w:val="00A764BC"/>
    <w:rsid w:val="00A76CB6"/>
    <w:rsid w:val="00A77327"/>
    <w:rsid w:val="00A774A6"/>
    <w:rsid w:val="00A77E69"/>
    <w:rsid w:val="00A8037B"/>
    <w:rsid w:val="00A8044A"/>
    <w:rsid w:val="00A81B90"/>
    <w:rsid w:val="00A81CCE"/>
    <w:rsid w:val="00A82B9C"/>
    <w:rsid w:val="00A82E87"/>
    <w:rsid w:val="00A8352A"/>
    <w:rsid w:val="00A83900"/>
    <w:rsid w:val="00A84769"/>
    <w:rsid w:val="00A84776"/>
    <w:rsid w:val="00A85C28"/>
    <w:rsid w:val="00A863A3"/>
    <w:rsid w:val="00A86B2F"/>
    <w:rsid w:val="00A86DA1"/>
    <w:rsid w:val="00A8777C"/>
    <w:rsid w:val="00A90226"/>
    <w:rsid w:val="00A90295"/>
    <w:rsid w:val="00A902BB"/>
    <w:rsid w:val="00A90951"/>
    <w:rsid w:val="00A90991"/>
    <w:rsid w:val="00A90E1E"/>
    <w:rsid w:val="00A912AC"/>
    <w:rsid w:val="00A91C59"/>
    <w:rsid w:val="00A9249A"/>
    <w:rsid w:val="00A924DD"/>
    <w:rsid w:val="00A92962"/>
    <w:rsid w:val="00A92AED"/>
    <w:rsid w:val="00A93166"/>
    <w:rsid w:val="00A93DFE"/>
    <w:rsid w:val="00A942ED"/>
    <w:rsid w:val="00A947CF"/>
    <w:rsid w:val="00A94A6C"/>
    <w:rsid w:val="00A94F42"/>
    <w:rsid w:val="00A959EE"/>
    <w:rsid w:val="00A95F35"/>
    <w:rsid w:val="00A96288"/>
    <w:rsid w:val="00A963F9"/>
    <w:rsid w:val="00A96ABD"/>
    <w:rsid w:val="00A96D9C"/>
    <w:rsid w:val="00AA02A2"/>
    <w:rsid w:val="00AA03B0"/>
    <w:rsid w:val="00AA1850"/>
    <w:rsid w:val="00AA1A2F"/>
    <w:rsid w:val="00AA217C"/>
    <w:rsid w:val="00AA275B"/>
    <w:rsid w:val="00AA2DC6"/>
    <w:rsid w:val="00AA3F6A"/>
    <w:rsid w:val="00AA40F5"/>
    <w:rsid w:val="00AA50D7"/>
    <w:rsid w:val="00AA6B66"/>
    <w:rsid w:val="00AA7A63"/>
    <w:rsid w:val="00AB01C9"/>
    <w:rsid w:val="00AB027F"/>
    <w:rsid w:val="00AB0754"/>
    <w:rsid w:val="00AB1422"/>
    <w:rsid w:val="00AB1CD5"/>
    <w:rsid w:val="00AB1E4E"/>
    <w:rsid w:val="00AB250A"/>
    <w:rsid w:val="00AB293E"/>
    <w:rsid w:val="00AB49CE"/>
    <w:rsid w:val="00AB4C7B"/>
    <w:rsid w:val="00AB4D57"/>
    <w:rsid w:val="00AB4F6B"/>
    <w:rsid w:val="00AB5290"/>
    <w:rsid w:val="00AB6467"/>
    <w:rsid w:val="00AB71ED"/>
    <w:rsid w:val="00AB74A5"/>
    <w:rsid w:val="00AB78F0"/>
    <w:rsid w:val="00AB7EE7"/>
    <w:rsid w:val="00AB7F25"/>
    <w:rsid w:val="00AC007B"/>
    <w:rsid w:val="00AC050E"/>
    <w:rsid w:val="00AC0A04"/>
    <w:rsid w:val="00AC0CFE"/>
    <w:rsid w:val="00AC1570"/>
    <w:rsid w:val="00AC2757"/>
    <w:rsid w:val="00AC4710"/>
    <w:rsid w:val="00AC5096"/>
    <w:rsid w:val="00AC547D"/>
    <w:rsid w:val="00AC5D93"/>
    <w:rsid w:val="00AC66F6"/>
    <w:rsid w:val="00AC6C77"/>
    <w:rsid w:val="00AC6DAC"/>
    <w:rsid w:val="00AC720C"/>
    <w:rsid w:val="00AC7C87"/>
    <w:rsid w:val="00AD020D"/>
    <w:rsid w:val="00AD11D7"/>
    <w:rsid w:val="00AD1590"/>
    <w:rsid w:val="00AD259A"/>
    <w:rsid w:val="00AD285D"/>
    <w:rsid w:val="00AD35DF"/>
    <w:rsid w:val="00AD39CD"/>
    <w:rsid w:val="00AD3F33"/>
    <w:rsid w:val="00AD446D"/>
    <w:rsid w:val="00AD4B47"/>
    <w:rsid w:val="00AD4EFF"/>
    <w:rsid w:val="00AD4F6E"/>
    <w:rsid w:val="00AD4F8B"/>
    <w:rsid w:val="00AD6A86"/>
    <w:rsid w:val="00AD6B32"/>
    <w:rsid w:val="00AD6E3C"/>
    <w:rsid w:val="00AD6F2C"/>
    <w:rsid w:val="00AD705D"/>
    <w:rsid w:val="00AD75BE"/>
    <w:rsid w:val="00AE07F5"/>
    <w:rsid w:val="00AE1009"/>
    <w:rsid w:val="00AE1F27"/>
    <w:rsid w:val="00AE27E5"/>
    <w:rsid w:val="00AE2895"/>
    <w:rsid w:val="00AE3A03"/>
    <w:rsid w:val="00AE3A0E"/>
    <w:rsid w:val="00AE3D33"/>
    <w:rsid w:val="00AE402C"/>
    <w:rsid w:val="00AE41A3"/>
    <w:rsid w:val="00AE426A"/>
    <w:rsid w:val="00AE4305"/>
    <w:rsid w:val="00AE495C"/>
    <w:rsid w:val="00AE4A60"/>
    <w:rsid w:val="00AE4D4B"/>
    <w:rsid w:val="00AE4DF7"/>
    <w:rsid w:val="00AE5096"/>
    <w:rsid w:val="00AE521D"/>
    <w:rsid w:val="00AE5681"/>
    <w:rsid w:val="00AE5D6F"/>
    <w:rsid w:val="00AE6138"/>
    <w:rsid w:val="00AE7642"/>
    <w:rsid w:val="00AF122E"/>
    <w:rsid w:val="00AF1AFD"/>
    <w:rsid w:val="00AF270B"/>
    <w:rsid w:val="00AF2AA1"/>
    <w:rsid w:val="00AF42E4"/>
    <w:rsid w:val="00AF42FC"/>
    <w:rsid w:val="00AF436F"/>
    <w:rsid w:val="00AF43D2"/>
    <w:rsid w:val="00AF4966"/>
    <w:rsid w:val="00AF5478"/>
    <w:rsid w:val="00AF5C04"/>
    <w:rsid w:val="00AF6650"/>
    <w:rsid w:val="00AF682E"/>
    <w:rsid w:val="00AF699B"/>
    <w:rsid w:val="00AF6B6B"/>
    <w:rsid w:val="00AF7461"/>
    <w:rsid w:val="00AF74B0"/>
    <w:rsid w:val="00AF77A9"/>
    <w:rsid w:val="00AF77F4"/>
    <w:rsid w:val="00B0002F"/>
    <w:rsid w:val="00B00B77"/>
    <w:rsid w:val="00B012B1"/>
    <w:rsid w:val="00B016A4"/>
    <w:rsid w:val="00B01A35"/>
    <w:rsid w:val="00B01BD1"/>
    <w:rsid w:val="00B0354A"/>
    <w:rsid w:val="00B04161"/>
    <w:rsid w:val="00B04944"/>
    <w:rsid w:val="00B04972"/>
    <w:rsid w:val="00B04E09"/>
    <w:rsid w:val="00B058EA"/>
    <w:rsid w:val="00B0598B"/>
    <w:rsid w:val="00B060ED"/>
    <w:rsid w:val="00B06538"/>
    <w:rsid w:val="00B06561"/>
    <w:rsid w:val="00B06E39"/>
    <w:rsid w:val="00B07A51"/>
    <w:rsid w:val="00B07C7B"/>
    <w:rsid w:val="00B1009A"/>
    <w:rsid w:val="00B10E89"/>
    <w:rsid w:val="00B122DC"/>
    <w:rsid w:val="00B12830"/>
    <w:rsid w:val="00B13AEB"/>
    <w:rsid w:val="00B141D9"/>
    <w:rsid w:val="00B14498"/>
    <w:rsid w:val="00B16479"/>
    <w:rsid w:val="00B1655A"/>
    <w:rsid w:val="00B16974"/>
    <w:rsid w:val="00B175F5"/>
    <w:rsid w:val="00B17DFA"/>
    <w:rsid w:val="00B21F70"/>
    <w:rsid w:val="00B227C6"/>
    <w:rsid w:val="00B23619"/>
    <w:rsid w:val="00B25333"/>
    <w:rsid w:val="00B254D7"/>
    <w:rsid w:val="00B27556"/>
    <w:rsid w:val="00B27873"/>
    <w:rsid w:val="00B30370"/>
    <w:rsid w:val="00B3047D"/>
    <w:rsid w:val="00B317E9"/>
    <w:rsid w:val="00B31DE9"/>
    <w:rsid w:val="00B3264A"/>
    <w:rsid w:val="00B3349D"/>
    <w:rsid w:val="00B33F20"/>
    <w:rsid w:val="00B347AA"/>
    <w:rsid w:val="00B35BFF"/>
    <w:rsid w:val="00B36938"/>
    <w:rsid w:val="00B37136"/>
    <w:rsid w:val="00B3774D"/>
    <w:rsid w:val="00B4115F"/>
    <w:rsid w:val="00B4133F"/>
    <w:rsid w:val="00B42FBD"/>
    <w:rsid w:val="00B4361E"/>
    <w:rsid w:val="00B43F91"/>
    <w:rsid w:val="00B44638"/>
    <w:rsid w:val="00B44786"/>
    <w:rsid w:val="00B4482F"/>
    <w:rsid w:val="00B448A6"/>
    <w:rsid w:val="00B44BBF"/>
    <w:rsid w:val="00B45CCB"/>
    <w:rsid w:val="00B460C0"/>
    <w:rsid w:val="00B46FBF"/>
    <w:rsid w:val="00B47577"/>
    <w:rsid w:val="00B47C78"/>
    <w:rsid w:val="00B47F9B"/>
    <w:rsid w:val="00B50CFA"/>
    <w:rsid w:val="00B517A9"/>
    <w:rsid w:val="00B51AD4"/>
    <w:rsid w:val="00B523CB"/>
    <w:rsid w:val="00B530A7"/>
    <w:rsid w:val="00B53767"/>
    <w:rsid w:val="00B53E1D"/>
    <w:rsid w:val="00B53F84"/>
    <w:rsid w:val="00B54864"/>
    <w:rsid w:val="00B54A9A"/>
    <w:rsid w:val="00B54E0B"/>
    <w:rsid w:val="00B550DE"/>
    <w:rsid w:val="00B552FB"/>
    <w:rsid w:val="00B55D8E"/>
    <w:rsid w:val="00B55EC7"/>
    <w:rsid w:val="00B574EC"/>
    <w:rsid w:val="00B57579"/>
    <w:rsid w:val="00B576A3"/>
    <w:rsid w:val="00B577D6"/>
    <w:rsid w:val="00B57E66"/>
    <w:rsid w:val="00B60E65"/>
    <w:rsid w:val="00B61162"/>
    <w:rsid w:val="00B623B1"/>
    <w:rsid w:val="00B63505"/>
    <w:rsid w:val="00B6359C"/>
    <w:rsid w:val="00B63691"/>
    <w:rsid w:val="00B637A3"/>
    <w:rsid w:val="00B640CC"/>
    <w:rsid w:val="00B651CE"/>
    <w:rsid w:val="00B65712"/>
    <w:rsid w:val="00B661C8"/>
    <w:rsid w:val="00B66A92"/>
    <w:rsid w:val="00B66C73"/>
    <w:rsid w:val="00B6719C"/>
    <w:rsid w:val="00B67770"/>
    <w:rsid w:val="00B67D24"/>
    <w:rsid w:val="00B70005"/>
    <w:rsid w:val="00B70729"/>
    <w:rsid w:val="00B71660"/>
    <w:rsid w:val="00B716AA"/>
    <w:rsid w:val="00B716C7"/>
    <w:rsid w:val="00B7192B"/>
    <w:rsid w:val="00B71D88"/>
    <w:rsid w:val="00B71E96"/>
    <w:rsid w:val="00B71FAA"/>
    <w:rsid w:val="00B725C4"/>
    <w:rsid w:val="00B72979"/>
    <w:rsid w:val="00B72D67"/>
    <w:rsid w:val="00B7454B"/>
    <w:rsid w:val="00B74D22"/>
    <w:rsid w:val="00B76D50"/>
    <w:rsid w:val="00B77B11"/>
    <w:rsid w:val="00B77B49"/>
    <w:rsid w:val="00B77C44"/>
    <w:rsid w:val="00B77CCF"/>
    <w:rsid w:val="00B77D5E"/>
    <w:rsid w:val="00B80549"/>
    <w:rsid w:val="00B80F72"/>
    <w:rsid w:val="00B8111F"/>
    <w:rsid w:val="00B81794"/>
    <w:rsid w:val="00B81957"/>
    <w:rsid w:val="00B82423"/>
    <w:rsid w:val="00B83608"/>
    <w:rsid w:val="00B8401A"/>
    <w:rsid w:val="00B86877"/>
    <w:rsid w:val="00B87C05"/>
    <w:rsid w:val="00B901C0"/>
    <w:rsid w:val="00B90938"/>
    <w:rsid w:val="00B91C3C"/>
    <w:rsid w:val="00B921FE"/>
    <w:rsid w:val="00B92CC1"/>
    <w:rsid w:val="00B94B17"/>
    <w:rsid w:val="00B95B4B"/>
    <w:rsid w:val="00B96828"/>
    <w:rsid w:val="00B96FBB"/>
    <w:rsid w:val="00B977A7"/>
    <w:rsid w:val="00B97864"/>
    <w:rsid w:val="00BA04D5"/>
    <w:rsid w:val="00BA2186"/>
    <w:rsid w:val="00BA21E0"/>
    <w:rsid w:val="00BA2A55"/>
    <w:rsid w:val="00BA2FD5"/>
    <w:rsid w:val="00BA3E6B"/>
    <w:rsid w:val="00BA40C3"/>
    <w:rsid w:val="00BA5660"/>
    <w:rsid w:val="00BA64A4"/>
    <w:rsid w:val="00BA69E0"/>
    <w:rsid w:val="00BA6A6C"/>
    <w:rsid w:val="00BA7536"/>
    <w:rsid w:val="00BA772A"/>
    <w:rsid w:val="00BA7E6F"/>
    <w:rsid w:val="00BB1519"/>
    <w:rsid w:val="00BB2092"/>
    <w:rsid w:val="00BB223D"/>
    <w:rsid w:val="00BB3066"/>
    <w:rsid w:val="00BB39C2"/>
    <w:rsid w:val="00BB3B77"/>
    <w:rsid w:val="00BB5867"/>
    <w:rsid w:val="00BB5AE0"/>
    <w:rsid w:val="00BB61D7"/>
    <w:rsid w:val="00BB6A92"/>
    <w:rsid w:val="00BB6F5A"/>
    <w:rsid w:val="00BB72A0"/>
    <w:rsid w:val="00BB7D01"/>
    <w:rsid w:val="00BC174C"/>
    <w:rsid w:val="00BC175D"/>
    <w:rsid w:val="00BC1C45"/>
    <w:rsid w:val="00BC2545"/>
    <w:rsid w:val="00BC4D55"/>
    <w:rsid w:val="00BC502C"/>
    <w:rsid w:val="00BC5081"/>
    <w:rsid w:val="00BC56EC"/>
    <w:rsid w:val="00BC57D8"/>
    <w:rsid w:val="00BC5B4A"/>
    <w:rsid w:val="00BC64AD"/>
    <w:rsid w:val="00BC7B45"/>
    <w:rsid w:val="00BD06A4"/>
    <w:rsid w:val="00BD0F00"/>
    <w:rsid w:val="00BD12D8"/>
    <w:rsid w:val="00BD162F"/>
    <w:rsid w:val="00BD2014"/>
    <w:rsid w:val="00BD2CF7"/>
    <w:rsid w:val="00BD2ECC"/>
    <w:rsid w:val="00BD32EF"/>
    <w:rsid w:val="00BD3433"/>
    <w:rsid w:val="00BD37F2"/>
    <w:rsid w:val="00BD40C1"/>
    <w:rsid w:val="00BD4337"/>
    <w:rsid w:val="00BD4C4F"/>
    <w:rsid w:val="00BD579E"/>
    <w:rsid w:val="00BD5961"/>
    <w:rsid w:val="00BD70E9"/>
    <w:rsid w:val="00BE0122"/>
    <w:rsid w:val="00BE09B3"/>
    <w:rsid w:val="00BE0A7D"/>
    <w:rsid w:val="00BE0B8D"/>
    <w:rsid w:val="00BE0BA0"/>
    <w:rsid w:val="00BE1343"/>
    <w:rsid w:val="00BE146E"/>
    <w:rsid w:val="00BE1D38"/>
    <w:rsid w:val="00BE31EF"/>
    <w:rsid w:val="00BE3E9F"/>
    <w:rsid w:val="00BE4FDE"/>
    <w:rsid w:val="00BE5D28"/>
    <w:rsid w:val="00BE6184"/>
    <w:rsid w:val="00BE695F"/>
    <w:rsid w:val="00BE6F8B"/>
    <w:rsid w:val="00BE702F"/>
    <w:rsid w:val="00BE7B25"/>
    <w:rsid w:val="00BF1356"/>
    <w:rsid w:val="00BF14A3"/>
    <w:rsid w:val="00BF168C"/>
    <w:rsid w:val="00BF1DB6"/>
    <w:rsid w:val="00BF256F"/>
    <w:rsid w:val="00BF2943"/>
    <w:rsid w:val="00BF2D47"/>
    <w:rsid w:val="00BF2F8B"/>
    <w:rsid w:val="00BF41E4"/>
    <w:rsid w:val="00BF6738"/>
    <w:rsid w:val="00BF779B"/>
    <w:rsid w:val="00BF7B80"/>
    <w:rsid w:val="00C00698"/>
    <w:rsid w:val="00C00722"/>
    <w:rsid w:val="00C0090E"/>
    <w:rsid w:val="00C01E51"/>
    <w:rsid w:val="00C02985"/>
    <w:rsid w:val="00C050DE"/>
    <w:rsid w:val="00C05807"/>
    <w:rsid w:val="00C05E9A"/>
    <w:rsid w:val="00C069BF"/>
    <w:rsid w:val="00C077D0"/>
    <w:rsid w:val="00C07884"/>
    <w:rsid w:val="00C0797E"/>
    <w:rsid w:val="00C079BE"/>
    <w:rsid w:val="00C10F77"/>
    <w:rsid w:val="00C11726"/>
    <w:rsid w:val="00C119A1"/>
    <w:rsid w:val="00C1214D"/>
    <w:rsid w:val="00C12427"/>
    <w:rsid w:val="00C12825"/>
    <w:rsid w:val="00C12FBD"/>
    <w:rsid w:val="00C1362A"/>
    <w:rsid w:val="00C1584B"/>
    <w:rsid w:val="00C15D70"/>
    <w:rsid w:val="00C173A7"/>
    <w:rsid w:val="00C17497"/>
    <w:rsid w:val="00C1774F"/>
    <w:rsid w:val="00C17B00"/>
    <w:rsid w:val="00C17EFB"/>
    <w:rsid w:val="00C21A45"/>
    <w:rsid w:val="00C22E67"/>
    <w:rsid w:val="00C22F53"/>
    <w:rsid w:val="00C23E84"/>
    <w:rsid w:val="00C24729"/>
    <w:rsid w:val="00C24C85"/>
    <w:rsid w:val="00C2532B"/>
    <w:rsid w:val="00C26115"/>
    <w:rsid w:val="00C269DB"/>
    <w:rsid w:val="00C2716E"/>
    <w:rsid w:val="00C27A02"/>
    <w:rsid w:val="00C3013B"/>
    <w:rsid w:val="00C3092C"/>
    <w:rsid w:val="00C30FD9"/>
    <w:rsid w:val="00C31626"/>
    <w:rsid w:val="00C343E4"/>
    <w:rsid w:val="00C3444B"/>
    <w:rsid w:val="00C34829"/>
    <w:rsid w:val="00C34D42"/>
    <w:rsid w:val="00C35654"/>
    <w:rsid w:val="00C35CC9"/>
    <w:rsid w:val="00C36697"/>
    <w:rsid w:val="00C36AFE"/>
    <w:rsid w:val="00C37C3B"/>
    <w:rsid w:val="00C40703"/>
    <w:rsid w:val="00C4095D"/>
    <w:rsid w:val="00C40DF1"/>
    <w:rsid w:val="00C422E4"/>
    <w:rsid w:val="00C4394F"/>
    <w:rsid w:val="00C446DC"/>
    <w:rsid w:val="00C44901"/>
    <w:rsid w:val="00C4498C"/>
    <w:rsid w:val="00C4519D"/>
    <w:rsid w:val="00C464CE"/>
    <w:rsid w:val="00C4699F"/>
    <w:rsid w:val="00C46D48"/>
    <w:rsid w:val="00C46ECC"/>
    <w:rsid w:val="00C47420"/>
    <w:rsid w:val="00C47B40"/>
    <w:rsid w:val="00C47E98"/>
    <w:rsid w:val="00C50477"/>
    <w:rsid w:val="00C50516"/>
    <w:rsid w:val="00C5053B"/>
    <w:rsid w:val="00C506A6"/>
    <w:rsid w:val="00C510B7"/>
    <w:rsid w:val="00C512C9"/>
    <w:rsid w:val="00C513BB"/>
    <w:rsid w:val="00C51A1E"/>
    <w:rsid w:val="00C52980"/>
    <w:rsid w:val="00C54EC7"/>
    <w:rsid w:val="00C54EF1"/>
    <w:rsid w:val="00C54FE6"/>
    <w:rsid w:val="00C5547B"/>
    <w:rsid w:val="00C56DFF"/>
    <w:rsid w:val="00C56F3C"/>
    <w:rsid w:val="00C57CCD"/>
    <w:rsid w:val="00C60558"/>
    <w:rsid w:val="00C61FDD"/>
    <w:rsid w:val="00C6353C"/>
    <w:rsid w:val="00C63C98"/>
    <w:rsid w:val="00C641B8"/>
    <w:rsid w:val="00C654E6"/>
    <w:rsid w:val="00C65613"/>
    <w:rsid w:val="00C66D4F"/>
    <w:rsid w:val="00C67701"/>
    <w:rsid w:val="00C67C1B"/>
    <w:rsid w:val="00C67F7F"/>
    <w:rsid w:val="00C67FD5"/>
    <w:rsid w:val="00C70AB2"/>
    <w:rsid w:val="00C70DFB"/>
    <w:rsid w:val="00C71AD0"/>
    <w:rsid w:val="00C72BAB"/>
    <w:rsid w:val="00C72D4B"/>
    <w:rsid w:val="00C73C2E"/>
    <w:rsid w:val="00C73D0E"/>
    <w:rsid w:val="00C74772"/>
    <w:rsid w:val="00C748BA"/>
    <w:rsid w:val="00C74A68"/>
    <w:rsid w:val="00C74DE9"/>
    <w:rsid w:val="00C74EE8"/>
    <w:rsid w:val="00C754CA"/>
    <w:rsid w:val="00C75DE3"/>
    <w:rsid w:val="00C7609A"/>
    <w:rsid w:val="00C76317"/>
    <w:rsid w:val="00C771B3"/>
    <w:rsid w:val="00C77207"/>
    <w:rsid w:val="00C7733E"/>
    <w:rsid w:val="00C80092"/>
    <w:rsid w:val="00C805C2"/>
    <w:rsid w:val="00C8146D"/>
    <w:rsid w:val="00C81569"/>
    <w:rsid w:val="00C81E33"/>
    <w:rsid w:val="00C82474"/>
    <w:rsid w:val="00C8293D"/>
    <w:rsid w:val="00C82960"/>
    <w:rsid w:val="00C84176"/>
    <w:rsid w:val="00C84773"/>
    <w:rsid w:val="00C8496A"/>
    <w:rsid w:val="00C8599A"/>
    <w:rsid w:val="00C86150"/>
    <w:rsid w:val="00C871AC"/>
    <w:rsid w:val="00C87CF5"/>
    <w:rsid w:val="00C9071C"/>
    <w:rsid w:val="00C90CC6"/>
    <w:rsid w:val="00C9117A"/>
    <w:rsid w:val="00C920D1"/>
    <w:rsid w:val="00C939B9"/>
    <w:rsid w:val="00C93A79"/>
    <w:rsid w:val="00C946D7"/>
    <w:rsid w:val="00C95178"/>
    <w:rsid w:val="00C95380"/>
    <w:rsid w:val="00C95C03"/>
    <w:rsid w:val="00C96489"/>
    <w:rsid w:val="00C968AC"/>
    <w:rsid w:val="00C96FA8"/>
    <w:rsid w:val="00C971A6"/>
    <w:rsid w:val="00C975CF"/>
    <w:rsid w:val="00C97789"/>
    <w:rsid w:val="00C977AA"/>
    <w:rsid w:val="00CA059D"/>
    <w:rsid w:val="00CA06AA"/>
    <w:rsid w:val="00CA0C9A"/>
    <w:rsid w:val="00CA13CC"/>
    <w:rsid w:val="00CA17B3"/>
    <w:rsid w:val="00CA195B"/>
    <w:rsid w:val="00CA215C"/>
    <w:rsid w:val="00CA2624"/>
    <w:rsid w:val="00CA3C40"/>
    <w:rsid w:val="00CA43AA"/>
    <w:rsid w:val="00CA4AC3"/>
    <w:rsid w:val="00CA52CC"/>
    <w:rsid w:val="00CA59EE"/>
    <w:rsid w:val="00CA6010"/>
    <w:rsid w:val="00CA607E"/>
    <w:rsid w:val="00CA688E"/>
    <w:rsid w:val="00CA68B7"/>
    <w:rsid w:val="00CA6A93"/>
    <w:rsid w:val="00CA6C78"/>
    <w:rsid w:val="00CA740D"/>
    <w:rsid w:val="00CA743D"/>
    <w:rsid w:val="00CB07D3"/>
    <w:rsid w:val="00CB0D60"/>
    <w:rsid w:val="00CB1411"/>
    <w:rsid w:val="00CB1702"/>
    <w:rsid w:val="00CB19DF"/>
    <w:rsid w:val="00CB1B21"/>
    <w:rsid w:val="00CB1EB7"/>
    <w:rsid w:val="00CB2628"/>
    <w:rsid w:val="00CB28F0"/>
    <w:rsid w:val="00CB2F0E"/>
    <w:rsid w:val="00CB31C0"/>
    <w:rsid w:val="00CB3674"/>
    <w:rsid w:val="00CB3CF4"/>
    <w:rsid w:val="00CB42D6"/>
    <w:rsid w:val="00CB439A"/>
    <w:rsid w:val="00CB4585"/>
    <w:rsid w:val="00CB4793"/>
    <w:rsid w:val="00CB601E"/>
    <w:rsid w:val="00CB65DF"/>
    <w:rsid w:val="00CB6952"/>
    <w:rsid w:val="00CB7797"/>
    <w:rsid w:val="00CB7B65"/>
    <w:rsid w:val="00CB7B9E"/>
    <w:rsid w:val="00CB7F50"/>
    <w:rsid w:val="00CC1893"/>
    <w:rsid w:val="00CC1FDF"/>
    <w:rsid w:val="00CC3D51"/>
    <w:rsid w:val="00CC5693"/>
    <w:rsid w:val="00CC593D"/>
    <w:rsid w:val="00CC5F24"/>
    <w:rsid w:val="00CC69C0"/>
    <w:rsid w:val="00CC69E5"/>
    <w:rsid w:val="00CC7F97"/>
    <w:rsid w:val="00CD019D"/>
    <w:rsid w:val="00CD0482"/>
    <w:rsid w:val="00CD0539"/>
    <w:rsid w:val="00CD0BDA"/>
    <w:rsid w:val="00CD1593"/>
    <w:rsid w:val="00CD1E01"/>
    <w:rsid w:val="00CD1FFC"/>
    <w:rsid w:val="00CD3B21"/>
    <w:rsid w:val="00CD4ABC"/>
    <w:rsid w:val="00CD4CDE"/>
    <w:rsid w:val="00CD4EFC"/>
    <w:rsid w:val="00CD593F"/>
    <w:rsid w:val="00CD6EA4"/>
    <w:rsid w:val="00CD73A7"/>
    <w:rsid w:val="00CD73E4"/>
    <w:rsid w:val="00CD755D"/>
    <w:rsid w:val="00CD77A7"/>
    <w:rsid w:val="00CD7B22"/>
    <w:rsid w:val="00CD7B7A"/>
    <w:rsid w:val="00CD7CDA"/>
    <w:rsid w:val="00CE01BB"/>
    <w:rsid w:val="00CE05C3"/>
    <w:rsid w:val="00CE2A5F"/>
    <w:rsid w:val="00CE4028"/>
    <w:rsid w:val="00CE46BB"/>
    <w:rsid w:val="00CE4CED"/>
    <w:rsid w:val="00CE4FCF"/>
    <w:rsid w:val="00CE61D0"/>
    <w:rsid w:val="00CE672D"/>
    <w:rsid w:val="00CE6B59"/>
    <w:rsid w:val="00CE6D5F"/>
    <w:rsid w:val="00CE70F3"/>
    <w:rsid w:val="00CF16AD"/>
    <w:rsid w:val="00CF208B"/>
    <w:rsid w:val="00CF3162"/>
    <w:rsid w:val="00CF38FC"/>
    <w:rsid w:val="00CF3DD6"/>
    <w:rsid w:val="00CF48CC"/>
    <w:rsid w:val="00CF5082"/>
    <w:rsid w:val="00CF5A74"/>
    <w:rsid w:val="00CF5BD0"/>
    <w:rsid w:val="00CF647F"/>
    <w:rsid w:val="00CF6F59"/>
    <w:rsid w:val="00CF6FA7"/>
    <w:rsid w:val="00CF7F81"/>
    <w:rsid w:val="00D0153C"/>
    <w:rsid w:val="00D018DE"/>
    <w:rsid w:val="00D019A4"/>
    <w:rsid w:val="00D01E0C"/>
    <w:rsid w:val="00D01FC7"/>
    <w:rsid w:val="00D034E1"/>
    <w:rsid w:val="00D034E5"/>
    <w:rsid w:val="00D0376A"/>
    <w:rsid w:val="00D038B7"/>
    <w:rsid w:val="00D03DC9"/>
    <w:rsid w:val="00D03EC1"/>
    <w:rsid w:val="00D04CB6"/>
    <w:rsid w:val="00D05052"/>
    <w:rsid w:val="00D05246"/>
    <w:rsid w:val="00D05DFF"/>
    <w:rsid w:val="00D062AD"/>
    <w:rsid w:val="00D06A80"/>
    <w:rsid w:val="00D06B58"/>
    <w:rsid w:val="00D06C55"/>
    <w:rsid w:val="00D0766F"/>
    <w:rsid w:val="00D101B8"/>
    <w:rsid w:val="00D10583"/>
    <w:rsid w:val="00D111EC"/>
    <w:rsid w:val="00D111FC"/>
    <w:rsid w:val="00D11A20"/>
    <w:rsid w:val="00D122A4"/>
    <w:rsid w:val="00D1266A"/>
    <w:rsid w:val="00D13F34"/>
    <w:rsid w:val="00D14FDF"/>
    <w:rsid w:val="00D1559E"/>
    <w:rsid w:val="00D15708"/>
    <w:rsid w:val="00D158FC"/>
    <w:rsid w:val="00D16AD3"/>
    <w:rsid w:val="00D17255"/>
    <w:rsid w:val="00D203FB"/>
    <w:rsid w:val="00D22468"/>
    <w:rsid w:val="00D2276A"/>
    <w:rsid w:val="00D22FE9"/>
    <w:rsid w:val="00D2343E"/>
    <w:rsid w:val="00D238F2"/>
    <w:rsid w:val="00D23E36"/>
    <w:rsid w:val="00D244A5"/>
    <w:rsid w:val="00D247C5"/>
    <w:rsid w:val="00D24F1D"/>
    <w:rsid w:val="00D25E96"/>
    <w:rsid w:val="00D26175"/>
    <w:rsid w:val="00D2633E"/>
    <w:rsid w:val="00D273DF"/>
    <w:rsid w:val="00D27DCC"/>
    <w:rsid w:val="00D30974"/>
    <w:rsid w:val="00D30FB5"/>
    <w:rsid w:val="00D30FEE"/>
    <w:rsid w:val="00D3111C"/>
    <w:rsid w:val="00D31E62"/>
    <w:rsid w:val="00D33F70"/>
    <w:rsid w:val="00D340B8"/>
    <w:rsid w:val="00D3438F"/>
    <w:rsid w:val="00D3472C"/>
    <w:rsid w:val="00D34B04"/>
    <w:rsid w:val="00D34C13"/>
    <w:rsid w:val="00D350D5"/>
    <w:rsid w:val="00D35EE2"/>
    <w:rsid w:val="00D3618E"/>
    <w:rsid w:val="00D36650"/>
    <w:rsid w:val="00D37534"/>
    <w:rsid w:val="00D37C96"/>
    <w:rsid w:val="00D37E13"/>
    <w:rsid w:val="00D41229"/>
    <w:rsid w:val="00D4123D"/>
    <w:rsid w:val="00D41A55"/>
    <w:rsid w:val="00D41B7E"/>
    <w:rsid w:val="00D4217B"/>
    <w:rsid w:val="00D42897"/>
    <w:rsid w:val="00D43EFB"/>
    <w:rsid w:val="00D449B7"/>
    <w:rsid w:val="00D4743F"/>
    <w:rsid w:val="00D47967"/>
    <w:rsid w:val="00D50190"/>
    <w:rsid w:val="00D501C9"/>
    <w:rsid w:val="00D5025F"/>
    <w:rsid w:val="00D51A3C"/>
    <w:rsid w:val="00D51DE7"/>
    <w:rsid w:val="00D5359A"/>
    <w:rsid w:val="00D535B7"/>
    <w:rsid w:val="00D5468C"/>
    <w:rsid w:val="00D547BE"/>
    <w:rsid w:val="00D54DF7"/>
    <w:rsid w:val="00D55363"/>
    <w:rsid w:val="00D5589F"/>
    <w:rsid w:val="00D55A07"/>
    <w:rsid w:val="00D55B19"/>
    <w:rsid w:val="00D5680F"/>
    <w:rsid w:val="00D56906"/>
    <w:rsid w:val="00D56B9E"/>
    <w:rsid w:val="00D57252"/>
    <w:rsid w:val="00D574C3"/>
    <w:rsid w:val="00D5792D"/>
    <w:rsid w:val="00D57E1D"/>
    <w:rsid w:val="00D6114C"/>
    <w:rsid w:val="00D61B87"/>
    <w:rsid w:val="00D626AF"/>
    <w:rsid w:val="00D6299E"/>
    <w:rsid w:val="00D62C32"/>
    <w:rsid w:val="00D63ACB"/>
    <w:rsid w:val="00D63C31"/>
    <w:rsid w:val="00D63C6B"/>
    <w:rsid w:val="00D63D11"/>
    <w:rsid w:val="00D63FD9"/>
    <w:rsid w:val="00D64744"/>
    <w:rsid w:val="00D64AD1"/>
    <w:rsid w:val="00D65322"/>
    <w:rsid w:val="00D65475"/>
    <w:rsid w:val="00D65594"/>
    <w:rsid w:val="00D65838"/>
    <w:rsid w:val="00D65C2C"/>
    <w:rsid w:val="00D65FC2"/>
    <w:rsid w:val="00D670BD"/>
    <w:rsid w:val="00D67242"/>
    <w:rsid w:val="00D67330"/>
    <w:rsid w:val="00D676E3"/>
    <w:rsid w:val="00D67807"/>
    <w:rsid w:val="00D67F82"/>
    <w:rsid w:val="00D704A9"/>
    <w:rsid w:val="00D704D9"/>
    <w:rsid w:val="00D724EB"/>
    <w:rsid w:val="00D7277E"/>
    <w:rsid w:val="00D73035"/>
    <w:rsid w:val="00D73160"/>
    <w:rsid w:val="00D731CE"/>
    <w:rsid w:val="00D73BF8"/>
    <w:rsid w:val="00D743C5"/>
    <w:rsid w:val="00D74622"/>
    <w:rsid w:val="00D7495F"/>
    <w:rsid w:val="00D7697D"/>
    <w:rsid w:val="00D778AB"/>
    <w:rsid w:val="00D77984"/>
    <w:rsid w:val="00D80A78"/>
    <w:rsid w:val="00D80DEE"/>
    <w:rsid w:val="00D8150E"/>
    <w:rsid w:val="00D82101"/>
    <w:rsid w:val="00D823F8"/>
    <w:rsid w:val="00D82907"/>
    <w:rsid w:val="00D83459"/>
    <w:rsid w:val="00D83711"/>
    <w:rsid w:val="00D83EC2"/>
    <w:rsid w:val="00D844EF"/>
    <w:rsid w:val="00D84AD8"/>
    <w:rsid w:val="00D857DF"/>
    <w:rsid w:val="00D85B7D"/>
    <w:rsid w:val="00D863A3"/>
    <w:rsid w:val="00D86D70"/>
    <w:rsid w:val="00D875F1"/>
    <w:rsid w:val="00D87888"/>
    <w:rsid w:val="00D87964"/>
    <w:rsid w:val="00D879DF"/>
    <w:rsid w:val="00D91CA6"/>
    <w:rsid w:val="00D92B36"/>
    <w:rsid w:val="00D935FB"/>
    <w:rsid w:val="00D93888"/>
    <w:rsid w:val="00D93D2A"/>
    <w:rsid w:val="00D94D73"/>
    <w:rsid w:val="00D9545D"/>
    <w:rsid w:val="00D95CB4"/>
    <w:rsid w:val="00D9703C"/>
    <w:rsid w:val="00D9716F"/>
    <w:rsid w:val="00D975DA"/>
    <w:rsid w:val="00D97992"/>
    <w:rsid w:val="00D97EF7"/>
    <w:rsid w:val="00DA0814"/>
    <w:rsid w:val="00DA0F58"/>
    <w:rsid w:val="00DA1D18"/>
    <w:rsid w:val="00DA3001"/>
    <w:rsid w:val="00DA31CB"/>
    <w:rsid w:val="00DA41AB"/>
    <w:rsid w:val="00DA43DB"/>
    <w:rsid w:val="00DA473C"/>
    <w:rsid w:val="00DA5154"/>
    <w:rsid w:val="00DA68BF"/>
    <w:rsid w:val="00DA6BF3"/>
    <w:rsid w:val="00DA7031"/>
    <w:rsid w:val="00DB0997"/>
    <w:rsid w:val="00DB13D0"/>
    <w:rsid w:val="00DB1526"/>
    <w:rsid w:val="00DB2A24"/>
    <w:rsid w:val="00DB4177"/>
    <w:rsid w:val="00DB43B4"/>
    <w:rsid w:val="00DB4C00"/>
    <w:rsid w:val="00DB5FC7"/>
    <w:rsid w:val="00DB65AC"/>
    <w:rsid w:val="00DB6727"/>
    <w:rsid w:val="00DB6EBF"/>
    <w:rsid w:val="00DB73DE"/>
    <w:rsid w:val="00DC0B73"/>
    <w:rsid w:val="00DC1C81"/>
    <w:rsid w:val="00DC1F96"/>
    <w:rsid w:val="00DC20D4"/>
    <w:rsid w:val="00DC2D38"/>
    <w:rsid w:val="00DC2ECF"/>
    <w:rsid w:val="00DC3E9D"/>
    <w:rsid w:val="00DC3F34"/>
    <w:rsid w:val="00DC44AE"/>
    <w:rsid w:val="00DC4602"/>
    <w:rsid w:val="00DC46C4"/>
    <w:rsid w:val="00DC4787"/>
    <w:rsid w:val="00DC59C8"/>
    <w:rsid w:val="00DC5EBF"/>
    <w:rsid w:val="00DC6762"/>
    <w:rsid w:val="00DC6928"/>
    <w:rsid w:val="00DC6F97"/>
    <w:rsid w:val="00DD09A0"/>
    <w:rsid w:val="00DD17DF"/>
    <w:rsid w:val="00DD2D68"/>
    <w:rsid w:val="00DD3119"/>
    <w:rsid w:val="00DD3626"/>
    <w:rsid w:val="00DD439C"/>
    <w:rsid w:val="00DD4575"/>
    <w:rsid w:val="00DD4B46"/>
    <w:rsid w:val="00DD520E"/>
    <w:rsid w:val="00DD65CD"/>
    <w:rsid w:val="00DD6711"/>
    <w:rsid w:val="00DD6CF3"/>
    <w:rsid w:val="00DD73E0"/>
    <w:rsid w:val="00DD769C"/>
    <w:rsid w:val="00DD7A9B"/>
    <w:rsid w:val="00DE020E"/>
    <w:rsid w:val="00DE04B7"/>
    <w:rsid w:val="00DE0510"/>
    <w:rsid w:val="00DE07C2"/>
    <w:rsid w:val="00DE1DDD"/>
    <w:rsid w:val="00DE23D2"/>
    <w:rsid w:val="00DE28A8"/>
    <w:rsid w:val="00DE318E"/>
    <w:rsid w:val="00DE324A"/>
    <w:rsid w:val="00DE3357"/>
    <w:rsid w:val="00DE3375"/>
    <w:rsid w:val="00DE40DB"/>
    <w:rsid w:val="00DE4B33"/>
    <w:rsid w:val="00DE594C"/>
    <w:rsid w:val="00DE59D6"/>
    <w:rsid w:val="00DE5B9C"/>
    <w:rsid w:val="00DF01CA"/>
    <w:rsid w:val="00DF0216"/>
    <w:rsid w:val="00DF0DC8"/>
    <w:rsid w:val="00DF1231"/>
    <w:rsid w:val="00DF14F9"/>
    <w:rsid w:val="00DF1ACB"/>
    <w:rsid w:val="00DF1F98"/>
    <w:rsid w:val="00DF2D76"/>
    <w:rsid w:val="00DF32B3"/>
    <w:rsid w:val="00DF35B4"/>
    <w:rsid w:val="00DF3EA9"/>
    <w:rsid w:val="00DF4864"/>
    <w:rsid w:val="00DF55E9"/>
    <w:rsid w:val="00DF594B"/>
    <w:rsid w:val="00DF634F"/>
    <w:rsid w:val="00DF6AB1"/>
    <w:rsid w:val="00DF6FC5"/>
    <w:rsid w:val="00DF7751"/>
    <w:rsid w:val="00E002EE"/>
    <w:rsid w:val="00E0075B"/>
    <w:rsid w:val="00E01032"/>
    <w:rsid w:val="00E010EF"/>
    <w:rsid w:val="00E012DD"/>
    <w:rsid w:val="00E01A61"/>
    <w:rsid w:val="00E01B83"/>
    <w:rsid w:val="00E02A84"/>
    <w:rsid w:val="00E039D1"/>
    <w:rsid w:val="00E03B1B"/>
    <w:rsid w:val="00E03F4F"/>
    <w:rsid w:val="00E03FE1"/>
    <w:rsid w:val="00E040EC"/>
    <w:rsid w:val="00E04CFB"/>
    <w:rsid w:val="00E04E2A"/>
    <w:rsid w:val="00E05A94"/>
    <w:rsid w:val="00E05A9B"/>
    <w:rsid w:val="00E05BE5"/>
    <w:rsid w:val="00E05C09"/>
    <w:rsid w:val="00E05F6B"/>
    <w:rsid w:val="00E068EC"/>
    <w:rsid w:val="00E06B89"/>
    <w:rsid w:val="00E077FF"/>
    <w:rsid w:val="00E07882"/>
    <w:rsid w:val="00E100FC"/>
    <w:rsid w:val="00E1015A"/>
    <w:rsid w:val="00E109EA"/>
    <w:rsid w:val="00E1117F"/>
    <w:rsid w:val="00E11B6D"/>
    <w:rsid w:val="00E11BF5"/>
    <w:rsid w:val="00E11C53"/>
    <w:rsid w:val="00E12FE8"/>
    <w:rsid w:val="00E1381E"/>
    <w:rsid w:val="00E1437C"/>
    <w:rsid w:val="00E1453D"/>
    <w:rsid w:val="00E145B7"/>
    <w:rsid w:val="00E1508B"/>
    <w:rsid w:val="00E15136"/>
    <w:rsid w:val="00E155F6"/>
    <w:rsid w:val="00E15BD1"/>
    <w:rsid w:val="00E164C1"/>
    <w:rsid w:val="00E16E7E"/>
    <w:rsid w:val="00E1715D"/>
    <w:rsid w:val="00E17309"/>
    <w:rsid w:val="00E17316"/>
    <w:rsid w:val="00E1779A"/>
    <w:rsid w:val="00E17B00"/>
    <w:rsid w:val="00E20320"/>
    <w:rsid w:val="00E20DC1"/>
    <w:rsid w:val="00E21284"/>
    <w:rsid w:val="00E2145B"/>
    <w:rsid w:val="00E221F8"/>
    <w:rsid w:val="00E223BC"/>
    <w:rsid w:val="00E22A14"/>
    <w:rsid w:val="00E22ED3"/>
    <w:rsid w:val="00E23509"/>
    <w:rsid w:val="00E23C9E"/>
    <w:rsid w:val="00E23FB5"/>
    <w:rsid w:val="00E244F9"/>
    <w:rsid w:val="00E26857"/>
    <w:rsid w:val="00E27650"/>
    <w:rsid w:val="00E2776A"/>
    <w:rsid w:val="00E30A6E"/>
    <w:rsid w:val="00E30B7A"/>
    <w:rsid w:val="00E31E33"/>
    <w:rsid w:val="00E334BC"/>
    <w:rsid w:val="00E33EBA"/>
    <w:rsid w:val="00E34052"/>
    <w:rsid w:val="00E34367"/>
    <w:rsid w:val="00E34D69"/>
    <w:rsid w:val="00E352A7"/>
    <w:rsid w:val="00E3546E"/>
    <w:rsid w:val="00E356D7"/>
    <w:rsid w:val="00E36212"/>
    <w:rsid w:val="00E363C2"/>
    <w:rsid w:val="00E3767D"/>
    <w:rsid w:val="00E4070C"/>
    <w:rsid w:val="00E40750"/>
    <w:rsid w:val="00E40786"/>
    <w:rsid w:val="00E41855"/>
    <w:rsid w:val="00E41E61"/>
    <w:rsid w:val="00E41F18"/>
    <w:rsid w:val="00E41FA7"/>
    <w:rsid w:val="00E423CE"/>
    <w:rsid w:val="00E42522"/>
    <w:rsid w:val="00E426C6"/>
    <w:rsid w:val="00E431FC"/>
    <w:rsid w:val="00E437C6"/>
    <w:rsid w:val="00E45262"/>
    <w:rsid w:val="00E46CA1"/>
    <w:rsid w:val="00E46FE0"/>
    <w:rsid w:val="00E472D1"/>
    <w:rsid w:val="00E5111E"/>
    <w:rsid w:val="00E532A1"/>
    <w:rsid w:val="00E5346C"/>
    <w:rsid w:val="00E5347F"/>
    <w:rsid w:val="00E5418D"/>
    <w:rsid w:val="00E55EF1"/>
    <w:rsid w:val="00E5658E"/>
    <w:rsid w:val="00E566F5"/>
    <w:rsid w:val="00E56A7E"/>
    <w:rsid w:val="00E57C45"/>
    <w:rsid w:val="00E60035"/>
    <w:rsid w:val="00E60917"/>
    <w:rsid w:val="00E60B3A"/>
    <w:rsid w:val="00E60D3F"/>
    <w:rsid w:val="00E61327"/>
    <w:rsid w:val="00E618D6"/>
    <w:rsid w:val="00E61B38"/>
    <w:rsid w:val="00E61B42"/>
    <w:rsid w:val="00E61D96"/>
    <w:rsid w:val="00E61F2D"/>
    <w:rsid w:val="00E62A9F"/>
    <w:rsid w:val="00E63AF8"/>
    <w:rsid w:val="00E63DD2"/>
    <w:rsid w:val="00E649CF"/>
    <w:rsid w:val="00E64AAA"/>
    <w:rsid w:val="00E66264"/>
    <w:rsid w:val="00E66D66"/>
    <w:rsid w:val="00E67672"/>
    <w:rsid w:val="00E67D7A"/>
    <w:rsid w:val="00E71E99"/>
    <w:rsid w:val="00E71F6E"/>
    <w:rsid w:val="00E7208B"/>
    <w:rsid w:val="00E72474"/>
    <w:rsid w:val="00E727B6"/>
    <w:rsid w:val="00E72D12"/>
    <w:rsid w:val="00E7331D"/>
    <w:rsid w:val="00E73B44"/>
    <w:rsid w:val="00E7523C"/>
    <w:rsid w:val="00E75622"/>
    <w:rsid w:val="00E75788"/>
    <w:rsid w:val="00E757A7"/>
    <w:rsid w:val="00E76AF5"/>
    <w:rsid w:val="00E76D34"/>
    <w:rsid w:val="00E77980"/>
    <w:rsid w:val="00E802AF"/>
    <w:rsid w:val="00E80339"/>
    <w:rsid w:val="00E80880"/>
    <w:rsid w:val="00E81559"/>
    <w:rsid w:val="00E826F3"/>
    <w:rsid w:val="00E82C2F"/>
    <w:rsid w:val="00E82F0C"/>
    <w:rsid w:val="00E83EFB"/>
    <w:rsid w:val="00E848C8"/>
    <w:rsid w:val="00E87336"/>
    <w:rsid w:val="00E87CC2"/>
    <w:rsid w:val="00E87CDD"/>
    <w:rsid w:val="00E87D27"/>
    <w:rsid w:val="00E90B83"/>
    <w:rsid w:val="00E91788"/>
    <w:rsid w:val="00E9195D"/>
    <w:rsid w:val="00E91CD8"/>
    <w:rsid w:val="00E92066"/>
    <w:rsid w:val="00E92FC3"/>
    <w:rsid w:val="00E92FCA"/>
    <w:rsid w:val="00E93444"/>
    <w:rsid w:val="00E93CB4"/>
    <w:rsid w:val="00E94439"/>
    <w:rsid w:val="00E947AE"/>
    <w:rsid w:val="00E94E78"/>
    <w:rsid w:val="00E958E1"/>
    <w:rsid w:val="00E95CB5"/>
    <w:rsid w:val="00E96332"/>
    <w:rsid w:val="00E9683B"/>
    <w:rsid w:val="00E96B69"/>
    <w:rsid w:val="00E96DE6"/>
    <w:rsid w:val="00E973C4"/>
    <w:rsid w:val="00E97E0F"/>
    <w:rsid w:val="00EA0C71"/>
    <w:rsid w:val="00EA2993"/>
    <w:rsid w:val="00EA3209"/>
    <w:rsid w:val="00EA404A"/>
    <w:rsid w:val="00EA4371"/>
    <w:rsid w:val="00EA4A5B"/>
    <w:rsid w:val="00EA4C8A"/>
    <w:rsid w:val="00EA53E8"/>
    <w:rsid w:val="00EA568D"/>
    <w:rsid w:val="00EA57DA"/>
    <w:rsid w:val="00EA607B"/>
    <w:rsid w:val="00EA688E"/>
    <w:rsid w:val="00EB00D6"/>
    <w:rsid w:val="00EB0332"/>
    <w:rsid w:val="00EB071F"/>
    <w:rsid w:val="00EB0DFB"/>
    <w:rsid w:val="00EB12CA"/>
    <w:rsid w:val="00EB1DF3"/>
    <w:rsid w:val="00EB2211"/>
    <w:rsid w:val="00EB2A85"/>
    <w:rsid w:val="00EB2CA8"/>
    <w:rsid w:val="00EB3958"/>
    <w:rsid w:val="00EB4E9C"/>
    <w:rsid w:val="00EB50CF"/>
    <w:rsid w:val="00EB5C4C"/>
    <w:rsid w:val="00EB793D"/>
    <w:rsid w:val="00EC02B7"/>
    <w:rsid w:val="00EC0441"/>
    <w:rsid w:val="00EC0694"/>
    <w:rsid w:val="00EC0C48"/>
    <w:rsid w:val="00EC1236"/>
    <w:rsid w:val="00EC1BE0"/>
    <w:rsid w:val="00EC1D7B"/>
    <w:rsid w:val="00EC1F70"/>
    <w:rsid w:val="00EC236B"/>
    <w:rsid w:val="00EC2379"/>
    <w:rsid w:val="00EC296A"/>
    <w:rsid w:val="00EC31F5"/>
    <w:rsid w:val="00EC34A0"/>
    <w:rsid w:val="00EC3B33"/>
    <w:rsid w:val="00EC3DA4"/>
    <w:rsid w:val="00EC400E"/>
    <w:rsid w:val="00EC40DB"/>
    <w:rsid w:val="00EC5613"/>
    <w:rsid w:val="00EC56E8"/>
    <w:rsid w:val="00EC5959"/>
    <w:rsid w:val="00EC5E84"/>
    <w:rsid w:val="00EC6A42"/>
    <w:rsid w:val="00EC77FF"/>
    <w:rsid w:val="00EC7A8C"/>
    <w:rsid w:val="00EC7C27"/>
    <w:rsid w:val="00EC7CC0"/>
    <w:rsid w:val="00EC7D6A"/>
    <w:rsid w:val="00ED0523"/>
    <w:rsid w:val="00ED0604"/>
    <w:rsid w:val="00ED126A"/>
    <w:rsid w:val="00ED15DD"/>
    <w:rsid w:val="00ED1C10"/>
    <w:rsid w:val="00ED2741"/>
    <w:rsid w:val="00ED29EB"/>
    <w:rsid w:val="00ED382B"/>
    <w:rsid w:val="00ED3BA8"/>
    <w:rsid w:val="00ED41A5"/>
    <w:rsid w:val="00ED5BBB"/>
    <w:rsid w:val="00ED5BD5"/>
    <w:rsid w:val="00ED61C8"/>
    <w:rsid w:val="00ED66D1"/>
    <w:rsid w:val="00ED72FE"/>
    <w:rsid w:val="00EE01F7"/>
    <w:rsid w:val="00EE03E8"/>
    <w:rsid w:val="00EE099E"/>
    <w:rsid w:val="00EE0BD4"/>
    <w:rsid w:val="00EE0D77"/>
    <w:rsid w:val="00EE140F"/>
    <w:rsid w:val="00EE179F"/>
    <w:rsid w:val="00EE195E"/>
    <w:rsid w:val="00EE2680"/>
    <w:rsid w:val="00EE3973"/>
    <w:rsid w:val="00EE3B37"/>
    <w:rsid w:val="00EE458E"/>
    <w:rsid w:val="00EE4D4A"/>
    <w:rsid w:val="00EE55CD"/>
    <w:rsid w:val="00EE5730"/>
    <w:rsid w:val="00EE5772"/>
    <w:rsid w:val="00EE6096"/>
    <w:rsid w:val="00EE6556"/>
    <w:rsid w:val="00EE7294"/>
    <w:rsid w:val="00EE76D0"/>
    <w:rsid w:val="00EF05BA"/>
    <w:rsid w:val="00EF088E"/>
    <w:rsid w:val="00EF0DE5"/>
    <w:rsid w:val="00EF1902"/>
    <w:rsid w:val="00EF213F"/>
    <w:rsid w:val="00EF24D7"/>
    <w:rsid w:val="00EF2B33"/>
    <w:rsid w:val="00EF2C47"/>
    <w:rsid w:val="00EF2E85"/>
    <w:rsid w:val="00EF32DA"/>
    <w:rsid w:val="00EF34F4"/>
    <w:rsid w:val="00EF3DC7"/>
    <w:rsid w:val="00EF46D7"/>
    <w:rsid w:val="00EF471F"/>
    <w:rsid w:val="00EF473B"/>
    <w:rsid w:val="00EF4941"/>
    <w:rsid w:val="00EF55C9"/>
    <w:rsid w:val="00EF5C94"/>
    <w:rsid w:val="00EF5E80"/>
    <w:rsid w:val="00EF5F3D"/>
    <w:rsid w:val="00EF5F78"/>
    <w:rsid w:val="00EF60F7"/>
    <w:rsid w:val="00EF712B"/>
    <w:rsid w:val="00EF7762"/>
    <w:rsid w:val="00EF7AC5"/>
    <w:rsid w:val="00EF7F55"/>
    <w:rsid w:val="00F00844"/>
    <w:rsid w:val="00F00EA2"/>
    <w:rsid w:val="00F00EC2"/>
    <w:rsid w:val="00F01633"/>
    <w:rsid w:val="00F01761"/>
    <w:rsid w:val="00F034F2"/>
    <w:rsid w:val="00F04056"/>
    <w:rsid w:val="00F0582C"/>
    <w:rsid w:val="00F05942"/>
    <w:rsid w:val="00F05F24"/>
    <w:rsid w:val="00F060B7"/>
    <w:rsid w:val="00F06EF2"/>
    <w:rsid w:val="00F077FC"/>
    <w:rsid w:val="00F07F0E"/>
    <w:rsid w:val="00F10D07"/>
    <w:rsid w:val="00F10DE6"/>
    <w:rsid w:val="00F11100"/>
    <w:rsid w:val="00F11265"/>
    <w:rsid w:val="00F11E19"/>
    <w:rsid w:val="00F12BCE"/>
    <w:rsid w:val="00F12F67"/>
    <w:rsid w:val="00F138F4"/>
    <w:rsid w:val="00F13AB2"/>
    <w:rsid w:val="00F13B16"/>
    <w:rsid w:val="00F13EBA"/>
    <w:rsid w:val="00F14104"/>
    <w:rsid w:val="00F1418A"/>
    <w:rsid w:val="00F146A9"/>
    <w:rsid w:val="00F14DF2"/>
    <w:rsid w:val="00F16DF5"/>
    <w:rsid w:val="00F1796B"/>
    <w:rsid w:val="00F201CD"/>
    <w:rsid w:val="00F20604"/>
    <w:rsid w:val="00F21670"/>
    <w:rsid w:val="00F21787"/>
    <w:rsid w:val="00F21F79"/>
    <w:rsid w:val="00F2478B"/>
    <w:rsid w:val="00F2498C"/>
    <w:rsid w:val="00F25038"/>
    <w:rsid w:val="00F25532"/>
    <w:rsid w:val="00F25820"/>
    <w:rsid w:val="00F266AA"/>
    <w:rsid w:val="00F26F3C"/>
    <w:rsid w:val="00F30128"/>
    <w:rsid w:val="00F30793"/>
    <w:rsid w:val="00F309D9"/>
    <w:rsid w:val="00F31D72"/>
    <w:rsid w:val="00F31FED"/>
    <w:rsid w:val="00F31FF9"/>
    <w:rsid w:val="00F322DE"/>
    <w:rsid w:val="00F32406"/>
    <w:rsid w:val="00F32C03"/>
    <w:rsid w:val="00F32DB9"/>
    <w:rsid w:val="00F3357A"/>
    <w:rsid w:val="00F33799"/>
    <w:rsid w:val="00F33E42"/>
    <w:rsid w:val="00F34B72"/>
    <w:rsid w:val="00F34D91"/>
    <w:rsid w:val="00F357AE"/>
    <w:rsid w:val="00F36262"/>
    <w:rsid w:val="00F366EB"/>
    <w:rsid w:val="00F36CF9"/>
    <w:rsid w:val="00F375F2"/>
    <w:rsid w:val="00F409B7"/>
    <w:rsid w:val="00F40C27"/>
    <w:rsid w:val="00F40D0F"/>
    <w:rsid w:val="00F415B2"/>
    <w:rsid w:val="00F41A86"/>
    <w:rsid w:val="00F42487"/>
    <w:rsid w:val="00F4333B"/>
    <w:rsid w:val="00F4348D"/>
    <w:rsid w:val="00F43A4A"/>
    <w:rsid w:val="00F43BB8"/>
    <w:rsid w:val="00F441D0"/>
    <w:rsid w:val="00F445DD"/>
    <w:rsid w:val="00F469D9"/>
    <w:rsid w:val="00F4716F"/>
    <w:rsid w:val="00F50364"/>
    <w:rsid w:val="00F514BD"/>
    <w:rsid w:val="00F5189E"/>
    <w:rsid w:val="00F51DB2"/>
    <w:rsid w:val="00F51E72"/>
    <w:rsid w:val="00F52208"/>
    <w:rsid w:val="00F52262"/>
    <w:rsid w:val="00F5240C"/>
    <w:rsid w:val="00F52430"/>
    <w:rsid w:val="00F55268"/>
    <w:rsid w:val="00F55566"/>
    <w:rsid w:val="00F56508"/>
    <w:rsid w:val="00F57409"/>
    <w:rsid w:val="00F574B4"/>
    <w:rsid w:val="00F578C4"/>
    <w:rsid w:val="00F60475"/>
    <w:rsid w:val="00F60919"/>
    <w:rsid w:val="00F60E95"/>
    <w:rsid w:val="00F623D2"/>
    <w:rsid w:val="00F634F2"/>
    <w:rsid w:val="00F63A08"/>
    <w:rsid w:val="00F640F9"/>
    <w:rsid w:val="00F6453E"/>
    <w:rsid w:val="00F64AA3"/>
    <w:rsid w:val="00F64DF5"/>
    <w:rsid w:val="00F6519E"/>
    <w:rsid w:val="00F6678E"/>
    <w:rsid w:val="00F6699B"/>
    <w:rsid w:val="00F673D8"/>
    <w:rsid w:val="00F705D7"/>
    <w:rsid w:val="00F71C04"/>
    <w:rsid w:val="00F7200B"/>
    <w:rsid w:val="00F7228A"/>
    <w:rsid w:val="00F72A8B"/>
    <w:rsid w:val="00F72BD7"/>
    <w:rsid w:val="00F72ED0"/>
    <w:rsid w:val="00F733FC"/>
    <w:rsid w:val="00F734EE"/>
    <w:rsid w:val="00F73898"/>
    <w:rsid w:val="00F73974"/>
    <w:rsid w:val="00F73CDF"/>
    <w:rsid w:val="00F748C8"/>
    <w:rsid w:val="00F74E92"/>
    <w:rsid w:val="00F75646"/>
    <w:rsid w:val="00F75A04"/>
    <w:rsid w:val="00F75F39"/>
    <w:rsid w:val="00F77515"/>
    <w:rsid w:val="00F77788"/>
    <w:rsid w:val="00F77F87"/>
    <w:rsid w:val="00F81E33"/>
    <w:rsid w:val="00F8325E"/>
    <w:rsid w:val="00F83480"/>
    <w:rsid w:val="00F838C4"/>
    <w:rsid w:val="00F839BE"/>
    <w:rsid w:val="00F841BD"/>
    <w:rsid w:val="00F8426E"/>
    <w:rsid w:val="00F848E6"/>
    <w:rsid w:val="00F84C1A"/>
    <w:rsid w:val="00F84D3B"/>
    <w:rsid w:val="00F85034"/>
    <w:rsid w:val="00F85120"/>
    <w:rsid w:val="00F85425"/>
    <w:rsid w:val="00F85784"/>
    <w:rsid w:val="00F86238"/>
    <w:rsid w:val="00F86577"/>
    <w:rsid w:val="00F870EC"/>
    <w:rsid w:val="00F87550"/>
    <w:rsid w:val="00F9040C"/>
    <w:rsid w:val="00F9046C"/>
    <w:rsid w:val="00F90F5B"/>
    <w:rsid w:val="00F913D4"/>
    <w:rsid w:val="00F91DC0"/>
    <w:rsid w:val="00F92360"/>
    <w:rsid w:val="00F9280A"/>
    <w:rsid w:val="00F92DE6"/>
    <w:rsid w:val="00F93C66"/>
    <w:rsid w:val="00F93D8C"/>
    <w:rsid w:val="00F940F9"/>
    <w:rsid w:val="00F945AD"/>
    <w:rsid w:val="00F945B3"/>
    <w:rsid w:val="00F95DF1"/>
    <w:rsid w:val="00F95F83"/>
    <w:rsid w:val="00F963D4"/>
    <w:rsid w:val="00F97BFA"/>
    <w:rsid w:val="00F97E7D"/>
    <w:rsid w:val="00FA06D3"/>
    <w:rsid w:val="00FA1032"/>
    <w:rsid w:val="00FA136F"/>
    <w:rsid w:val="00FA1588"/>
    <w:rsid w:val="00FA1C79"/>
    <w:rsid w:val="00FA2330"/>
    <w:rsid w:val="00FA2F68"/>
    <w:rsid w:val="00FA32D7"/>
    <w:rsid w:val="00FA3E44"/>
    <w:rsid w:val="00FA43E4"/>
    <w:rsid w:val="00FA4EF6"/>
    <w:rsid w:val="00FA58BD"/>
    <w:rsid w:val="00FA5BE8"/>
    <w:rsid w:val="00FA5FA0"/>
    <w:rsid w:val="00FA61E0"/>
    <w:rsid w:val="00FA6C03"/>
    <w:rsid w:val="00FA719C"/>
    <w:rsid w:val="00FA73A7"/>
    <w:rsid w:val="00FA7BC1"/>
    <w:rsid w:val="00FB0238"/>
    <w:rsid w:val="00FB0C82"/>
    <w:rsid w:val="00FB0F7C"/>
    <w:rsid w:val="00FB27F5"/>
    <w:rsid w:val="00FB287F"/>
    <w:rsid w:val="00FB2B1E"/>
    <w:rsid w:val="00FB39C9"/>
    <w:rsid w:val="00FB3F37"/>
    <w:rsid w:val="00FB41F7"/>
    <w:rsid w:val="00FB494C"/>
    <w:rsid w:val="00FB4E0C"/>
    <w:rsid w:val="00FB6D82"/>
    <w:rsid w:val="00FB6DAD"/>
    <w:rsid w:val="00FB71BB"/>
    <w:rsid w:val="00FB7920"/>
    <w:rsid w:val="00FB7A5F"/>
    <w:rsid w:val="00FB7C4B"/>
    <w:rsid w:val="00FC1760"/>
    <w:rsid w:val="00FC2839"/>
    <w:rsid w:val="00FC3BDD"/>
    <w:rsid w:val="00FC414A"/>
    <w:rsid w:val="00FC4AC2"/>
    <w:rsid w:val="00FC5301"/>
    <w:rsid w:val="00FC553D"/>
    <w:rsid w:val="00FC5B0C"/>
    <w:rsid w:val="00FC6E3B"/>
    <w:rsid w:val="00FC719F"/>
    <w:rsid w:val="00FC7A92"/>
    <w:rsid w:val="00FC7F8F"/>
    <w:rsid w:val="00FD0023"/>
    <w:rsid w:val="00FD038A"/>
    <w:rsid w:val="00FD048F"/>
    <w:rsid w:val="00FD0C2F"/>
    <w:rsid w:val="00FD178A"/>
    <w:rsid w:val="00FD1D71"/>
    <w:rsid w:val="00FD2392"/>
    <w:rsid w:val="00FD2CDC"/>
    <w:rsid w:val="00FD4363"/>
    <w:rsid w:val="00FD4748"/>
    <w:rsid w:val="00FD4BD1"/>
    <w:rsid w:val="00FD4C07"/>
    <w:rsid w:val="00FD4C7D"/>
    <w:rsid w:val="00FD4F1B"/>
    <w:rsid w:val="00FD5717"/>
    <w:rsid w:val="00FD7721"/>
    <w:rsid w:val="00FD7EEC"/>
    <w:rsid w:val="00FE0482"/>
    <w:rsid w:val="00FE05DE"/>
    <w:rsid w:val="00FE0950"/>
    <w:rsid w:val="00FE18A0"/>
    <w:rsid w:val="00FE2C6C"/>
    <w:rsid w:val="00FE3A12"/>
    <w:rsid w:val="00FE4297"/>
    <w:rsid w:val="00FE4467"/>
    <w:rsid w:val="00FE48FE"/>
    <w:rsid w:val="00FE4AA6"/>
    <w:rsid w:val="00FE4ED1"/>
    <w:rsid w:val="00FE5721"/>
    <w:rsid w:val="00FE5764"/>
    <w:rsid w:val="00FE60C8"/>
    <w:rsid w:val="00FE6280"/>
    <w:rsid w:val="00FE6341"/>
    <w:rsid w:val="00FE6F10"/>
    <w:rsid w:val="00FE7A45"/>
    <w:rsid w:val="00FE7D89"/>
    <w:rsid w:val="00FF04FF"/>
    <w:rsid w:val="00FF12D2"/>
    <w:rsid w:val="00FF1404"/>
    <w:rsid w:val="00FF150E"/>
    <w:rsid w:val="00FF16FF"/>
    <w:rsid w:val="00FF18C0"/>
    <w:rsid w:val="00FF1E08"/>
    <w:rsid w:val="00FF2035"/>
    <w:rsid w:val="00FF2542"/>
    <w:rsid w:val="00FF28B7"/>
    <w:rsid w:val="00FF37DE"/>
    <w:rsid w:val="00FF38F2"/>
    <w:rsid w:val="00FF3D60"/>
    <w:rsid w:val="00FF3EAC"/>
    <w:rsid w:val="00FF435E"/>
    <w:rsid w:val="00FF4783"/>
    <w:rsid w:val="00FF496E"/>
    <w:rsid w:val="00FF4992"/>
    <w:rsid w:val="00FF563D"/>
    <w:rsid w:val="00FF620E"/>
    <w:rsid w:val="00FF643D"/>
    <w:rsid w:val="00FF6451"/>
    <w:rsid w:val="00FF7CD4"/>
    <w:rsid w:val="013D1F1A"/>
    <w:rsid w:val="01482B90"/>
    <w:rsid w:val="016601DA"/>
    <w:rsid w:val="0168263D"/>
    <w:rsid w:val="016B45F4"/>
    <w:rsid w:val="01877EDC"/>
    <w:rsid w:val="01C15251"/>
    <w:rsid w:val="01CB4BF2"/>
    <w:rsid w:val="01F52FEB"/>
    <w:rsid w:val="02087C76"/>
    <w:rsid w:val="02095AB2"/>
    <w:rsid w:val="02334B8B"/>
    <w:rsid w:val="02426636"/>
    <w:rsid w:val="02650658"/>
    <w:rsid w:val="02C93214"/>
    <w:rsid w:val="02D643DC"/>
    <w:rsid w:val="02D90D02"/>
    <w:rsid w:val="02E84104"/>
    <w:rsid w:val="02F235AB"/>
    <w:rsid w:val="03295323"/>
    <w:rsid w:val="0349516D"/>
    <w:rsid w:val="036876B3"/>
    <w:rsid w:val="037D1E03"/>
    <w:rsid w:val="037E123A"/>
    <w:rsid w:val="03886609"/>
    <w:rsid w:val="03902467"/>
    <w:rsid w:val="03A92976"/>
    <w:rsid w:val="03B0049B"/>
    <w:rsid w:val="03E35E5F"/>
    <w:rsid w:val="041E7559"/>
    <w:rsid w:val="04722109"/>
    <w:rsid w:val="047A3B0C"/>
    <w:rsid w:val="04E900BB"/>
    <w:rsid w:val="05514D98"/>
    <w:rsid w:val="05566720"/>
    <w:rsid w:val="05753368"/>
    <w:rsid w:val="05754D6C"/>
    <w:rsid w:val="058712D5"/>
    <w:rsid w:val="05AC1F98"/>
    <w:rsid w:val="05AF6C73"/>
    <w:rsid w:val="05B52D4D"/>
    <w:rsid w:val="05B74115"/>
    <w:rsid w:val="05C24AEE"/>
    <w:rsid w:val="05D67EAE"/>
    <w:rsid w:val="05DD656B"/>
    <w:rsid w:val="05F43034"/>
    <w:rsid w:val="060D0BBF"/>
    <w:rsid w:val="06255E18"/>
    <w:rsid w:val="06485E32"/>
    <w:rsid w:val="0651072A"/>
    <w:rsid w:val="06683E10"/>
    <w:rsid w:val="06826BED"/>
    <w:rsid w:val="06924CA1"/>
    <w:rsid w:val="06DF034A"/>
    <w:rsid w:val="072B7983"/>
    <w:rsid w:val="07AB3F5B"/>
    <w:rsid w:val="07B1273F"/>
    <w:rsid w:val="07E33F3D"/>
    <w:rsid w:val="08177A91"/>
    <w:rsid w:val="08287DF5"/>
    <w:rsid w:val="082B11B0"/>
    <w:rsid w:val="08470494"/>
    <w:rsid w:val="086908B3"/>
    <w:rsid w:val="086D2684"/>
    <w:rsid w:val="08764578"/>
    <w:rsid w:val="08CC0D79"/>
    <w:rsid w:val="0923288D"/>
    <w:rsid w:val="09257496"/>
    <w:rsid w:val="0949572E"/>
    <w:rsid w:val="0950254A"/>
    <w:rsid w:val="096045A9"/>
    <w:rsid w:val="09712962"/>
    <w:rsid w:val="09BD7EB2"/>
    <w:rsid w:val="09E65B30"/>
    <w:rsid w:val="0A257CF2"/>
    <w:rsid w:val="0A2F6456"/>
    <w:rsid w:val="0A335DA3"/>
    <w:rsid w:val="0A9E18AA"/>
    <w:rsid w:val="0AA27C6D"/>
    <w:rsid w:val="0AC96028"/>
    <w:rsid w:val="0ADC3CD1"/>
    <w:rsid w:val="0B577CD5"/>
    <w:rsid w:val="0B6501C7"/>
    <w:rsid w:val="0B7044D3"/>
    <w:rsid w:val="0B971CA7"/>
    <w:rsid w:val="0BAA513A"/>
    <w:rsid w:val="0BC82911"/>
    <w:rsid w:val="0C245E65"/>
    <w:rsid w:val="0C270819"/>
    <w:rsid w:val="0C363B7C"/>
    <w:rsid w:val="0C932D74"/>
    <w:rsid w:val="0CBA3508"/>
    <w:rsid w:val="0CCC67D0"/>
    <w:rsid w:val="0CD62950"/>
    <w:rsid w:val="0CE023F4"/>
    <w:rsid w:val="0D215C21"/>
    <w:rsid w:val="0D35518A"/>
    <w:rsid w:val="0D4B6C5D"/>
    <w:rsid w:val="0D5770C7"/>
    <w:rsid w:val="0D8760BB"/>
    <w:rsid w:val="0D926958"/>
    <w:rsid w:val="0D9B3EED"/>
    <w:rsid w:val="0DA73AB3"/>
    <w:rsid w:val="0DBA2877"/>
    <w:rsid w:val="0DBC087F"/>
    <w:rsid w:val="0DE01C47"/>
    <w:rsid w:val="0E014494"/>
    <w:rsid w:val="0E073567"/>
    <w:rsid w:val="0E1D52AA"/>
    <w:rsid w:val="0E697E02"/>
    <w:rsid w:val="0E803068"/>
    <w:rsid w:val="0EA65B7A"/>
    <w:rsid w:val="0EE56C62"/>
    <w:rsid w:val="0EEF11EE"/>
    <w:rsid w:val="0F2267BB"/>
    <w:rsid w:val="0F462468"/>
    <w:rsid w:val="0FD667E4"/>
    <w:rsid w:val="0FFD6EE9"/>
    <w:rsid w:val="100545D0"/>
    <w:rsid w:val="10215DEF"/>
    <w:rsid w:val="10641588"/>
    <w:rsid w:val="10D6492C"/>
    <w:rsid w:val="10D858D6"/>
    <w:rsid w:val="10F508C1"/>
    <w:rsid w:val="111317D2"/>
    <w:rsid w:val="116050AE"/>
    <w:rsid w:val="11692530"/>
    <w:rsid w:val="119503CC"/>
    <w:rsid w:val="11C5463F"/>
    <w:rsid w:val="11D85FCC"/>
    <w:rsid w:val="121440E0"/>
    <w:rsid w:val="125829BA"/>
    <w:rsid w:val="12615ED1"/>
    <w:rsid w:val="12A94BF1"/>
    <w:rsid w:val="12D61506"/>
    <w:rsid w:val="13022C49"/>
    <w:rsid w:val="131A74E6"/>
    <w:rsid w:val="13254E9B"/>
    <w:rsid w:val="135B725C"/>
    <w:rsid w:val="136C6A8A"/>
    <w:rsid w:val="137A01D6"/>
    <w:rsid w:val="138471CB"/>
    <w:rsid w:val="138F0D9D"/>
    <w:rsid w:val="13A648A2"/>
    <w:rsid w:val="13D47EAC"/>
    <w:rsid w:val="13DB52D2"/>
    <w:rsid w:val="13E764D3"/>
    <w:rsid w:val="13ED58A4"/>
    <w:rsid w:val="13F3603B"/>
    <w:rsid w:val="13F80E39"/>
    <w:rsid w:val="14252B33"/>
    <w:rsid w:val="148F1DA5"/>
    <w:rsid w:val="14985B51"/>
    <w:rsid w:val="14D5643E"/>
    <w:rsid w:val="14EB311C"/>
    <w:rsid w:val="14FE4D8A"/>
    <w:rsid w:val="15513D4E"/>
    <w:rsid w:val="15621F77"/>
    <w:rsid w:val="1579142F"/>
    <w:rsid w:val="159334A4"/>
    <w:rsid w:val="159B0C10"/>
    <w:rsid w:val="159C2EE1"/>
    <w:rsid w:val="15B54994"/>
    <w:rsid w:val="15B62300"/>
    <w:rsid w:val="15CB10AB"/>
    <w:rsid w:val="15DE7699"/>
    <w:rsid w:val="15E76E63"/>
    <w:rsid w:val="16004EA0"/>
    <w:rsid w:val="16032F9A"/>
    <w:rsid w:val="166535C2"/>
    <w:rsid w:val="166A0752"/>
    <w:rsid w:val="169F7429"/>
    <w:rsid w:val="16A16D9B"/>
    <w:rsid w:val="16AC6C78"/>
    <w:rsid w:val="16B55466"/>
    <w:rsid w:val="16BC3DEE"/>
    <w:rsid w:val="16FA5883"/>
    <w:rsid w:val="17041F86"/>
    <w:rsid w:val="170C4234"/>
    <w:rsid w:val="17174A5C"/>
    <w:rsid w:val="17203685"/>
    <w:rsid w:val="17232C1F"/>
    <w:rsid w:val="1724665A"/>
    <w:rsid w:val="17402E93"/>
    <w:rsid w:val="175C68FF"/>
    <w:rsid w:val="17A94818"/>
    <w:rsid w:val="17C43E60"/>
    <w:rsid w:val="17F14F55"/>
    <w:rsid w:val="17F95088"/>
    <w:rsid w:val="17FC05E6"/>
    <w:rsid w:val="18221805"/>
    <w:rsid w:val="183527E2"/>
    <w:rsid w:val="18420E6C"/>
    <w:rsid w:val="186D707D"/>
    <w:rsid w:val="187949D4"/>
    <w:rsid w:val="187A5F31"/>
    <w:rsid w:val="1884219A"/>
    <w:rsid w:val="188624A2"/>
    <w:rsid w:val="188D5986"/>
    <w:rsid w:val="189B7445"/>
    <w:rsid w:val="18C01B80"/>
    <w:rsid w:val="18CC5959"/>
    <w:rsid w:val="190F29F1"/>
    <w:rsid w:val="19145D4E"/>
    <w:rsid w:val="192D3D7C"/>
    <w:rsid w:val="194A330B"/>
    <w:rsid w:val="196E79B5"/>
    <w:rsid w:val="198C0A61"/>
    <w:rsid w:val="199269C8"/>
    <w:rsid w:val="199C2461"/>
    <w:rsid w:val="19C70723"/>
    <w:rsid w:val="19E44002"/>
    <w:rsid w:val="1A12521C"/>
    <w:rsid w:val="1A2163FB"/>
    <w:rsid w:val="1A7526A6"/>
    <w:rsid w:val="1A910287"/>
    <w:rsid w:val="1A9A1044"/>
    <w:rsid w:val="1AA552BB"/>
    <w:rsid w:val="1AB52954"/>
    <w:rsid w:val="1AD1070C"/>
    <w:rsid w:val="1ADE4DF1"/>
    <w:rsid w:val="1AED3831"/>
    <w:rsid w:val="1B0961ED"/>
    <w:rsid w:val="1B0F0EC3"/>
    <w:rsid w:val="1B1C7E6E"/>
    <w:rsid w:val="1B243F07"/>
    <w:rsid w:val="1BDC58A1"/>
    <w:rsid w:val="1BF14109"/>
    <w:rsid w:val="1C292817"/>
    <w:rsid w:val="1C3719B6"/>
    <w:rsid w:val="1C3F4451"/>
    <w:rsid w:val="1C5422C9"/>
    <w:rsid w:val="1C6D08C7"/>
    <w:rsid w:val="1CBC5C5B"/>
    <w:rsid w:val="1CD06F38"/>
    <w:rsid w:val="1CF34163"/>
    <w:rsid w:val="1D0D4C74"/>
    <w:rsid w:val="1D465D4E"/>
    <w:rsid w:val="1D5A0E63"/>
    <w:rsid w:val="1D6F1555"/>
    <w:rsid w:val="1D987EA0"/>
    <w:rsid w:val="1DAC44A4"/>
    <w:rsid w:val="1DB6734B"/>
    <w:rsid w:val="1DC632DE"/>
    <w:rsid w:val="1E0D1F6D"/>
    <w:rsid w:val="1E437F7D"/>
    <w:rsid w:val="1E5C22F6"/>
    <w:rsid w:val="1E5C50EA"/>
    <w:rsid w:val="1E8A62F6"/>
    <w:rsid w:val="1EC43D73"/>
    <w:rsid w:val="1F52796E"/>
    <w:rsid w:val="1F73454A"/>
    <w:rsid w:val="1F8D6A78"/>
    <w:rsid w:val="1F991020"/>
    <w:rsid w:val="1FA3019B"/>
    <w:rsid w:val="1FC55AD5"/>
    <w:rsid w:val="1FF26321"/>
    <w:rsid w:val="1FF56C10"/>
    <w:rsid w:val="202760CA"/>
    <w:rsid w:val="2030769D"/>
    <w:rsid w:val="20360EE6"/>
    <w:rsid w:val="204228A9"/>
    <w:rsid w:val="2055511E"/>
    <w:rsid w:val="20B800C1"/>
    <w:rsid w:val="20C61F5B"/>
    <w:rsid w:val="21044B7E"/>
    <w:rsid w:val="210C0AD1"/>
    <w:rsid w:val="21140994"/>
    <w:rsid w:val="21182BCB"/>
    <w:rsid w:val="211B5B81"/>
    <w:rsid w:val="21221223"/>
    <w:rsid w:val="21283842"/>
    <w:rsid w:val="21803F45"/>
    <w:rsid w:val="218D4F00"/>
    <w:rsid w:val="218E51C9"/>
    <w:rsid w:val="21A032A8"/>
    <w:rsid w:val="21C2441F"/>
    <w:rsid w:val="21DC221E"/>
    <w:rsid w:val="21F04275"/>
    <w:rsid w:val="21F5470F"/>
    <w:rsid w:val="22337017"/>
    <w:rsid w:val="225E52E4"/>
    <w:rsid w:val="226825F8"/>
    <w:rsid w:val="227D6BA0"/>
    <w:rsid w:val="228F546B"/>
    <w:rsid w:val="22980FC5"/>
    <w:rsid w:val="22EC3AE3"/>
    <w:rsid w:val="23500A7A"/>
    <w:rsid w:val="236C4FA4"/>
    <w:rsid w:val="241B7A2B"/>
    <w:rsid w:val="24235666"/>
    <w:rsid w:val="246D3FF2"/>
    <w:rsid w:val="24A0126F"/>
    <w:rsid w:val="24D77AE4"/>
    <w:rsid w:val="251A3585"/>
    <w:rsid w:val="25693D2A"/>
    <w:rsid w:val="256A60D5"/>
    <w:rsid w:val="25974DA3"/>
    <w:rsid w:val="25985FF1"/>
    <w:rsid w:val="25CA1FB2"/>
    <w:rsid w:val="25DF54DB"/>
    <w:rsid w:val="25E5586D"/>
    <w:rsid w:val="260933D3"/>
    <w:rsid w:val="26136EE3"/>
    <w:rsid w:val="261711A7"/>
    <w:rsid w:val="266040E4"/>
    <w:rsid w:val="267250F2"/>
    <w:rsid w:val="26841D5A"/>
    <w:rsid w:val="26EE3B0F"/>
    <w:rsid w:val="26FC1DB2"/>
    <w:rsid w:val="27025762"/>
    <w:rsid w:val="27040B5A"/>
    <w:rsid w:val="270B5E11"/>
    <w:rsid w:val="271233BC"/>
    <w:rsid w:val="272E73CA"/>
    <w:rsid w:val="272F5149"/>
    <w:rsid w:val="27403EA8"/>
    <w:rsid w:val="2745023D"/>
    <w:rsid w:val="275C2A83"/>
    <w:rsid w:val="27612D4D"/>
    <w:rsid w:val="27A578BA"/>
    <w:rsid w:val="27E502D5"/>
    <w:rsid w:val="27F93156"/>
    <w:rsid w:val="28495F45"/>
    <w:rsid w:val="284C4E51"/>
    <w:rsid w:val="287E53D8"/>
    <w:rsid w:val="28930984"/>
    <w:rsid w:val="28BD3551"/>
    <w:rsid w:val="28C645A7"/>
    <w:rsid w:val="28E2290C"/>
    <w:rsid w:val="28E2563F"/>
    <w:rsid w:val="29015B01"/>
    <w:rsid w:val="296A0D2F"/>
    <w:rsid w:val="29707385"/>
    <w:rsid w:val="298B7F42"/>
    <w:rsid w:val="299D2272"/>
    <w:rsid w:val="29DF05EB"/>
    <w:rsid w:val="2A1535A8"/>
    <w:rsid w:val="2A2C52F8"/>
    <w:rsid w:val="2A56313E"/>
    <w:rsid w:val="2A666490"/>
    <w:rsid w:val="2A8A20AC"/>
    <w:rsid w:val="2A914E08"/>
    <w:rsid w:val="2AEC1BB4"/>
    <w:rsid w:val="2B061750"/>
    <w:rsid w:val="2B0B6E85"/>
    <w:rsid w:val="2B2A664B"/>
    <w:rsid w:val="2B454FA8"/>
    <w:rsid w:val="2B621EC9"/>
    <w:rsid w:val="2B692F44"/>
    <w:rsid w:val="2B78186A"/>
    <w:rsid w:val="2B877467"/>
    <w:rsid w:val="2B906C0E"/>
    <w:rsid w:val="2B9306A4"/>
    <w:rsid w:val="2B9E5744"/>
    <w:rsid w:val="2BB236BE"/>
    <w:rsid w:val="2BCB4CA1"/>
    <w:rsid w:val="2BFA1BCC"/>
    <w:rsid w:val="2C021A03"/>
    <w:rsid w:val="2C6504C5"/>
    <w:rsid w:val="2C9F068C"/>
    <w:rsid w:val="2CA75337"/>
    <w:rsid w:val="2CD52B72"/>
    <w:rsid w:val="2CD57E69"/>
    <w:rsid w:val="2CF13C6C"/>
    <w:rsid w:val="2D1E35EA"/>
    <w:rsid w:val="2D406A7C"/>
    <w:rsid w:val="2D9E2196"/>
    <w:rsid w:val="2DA50CE3"/>
    <w:rsid w:val="2DB425E9"/>
    <w:rsid w:val="2DEA4657"/>
    <w:rsid w:val="2DEC2C62"/>
    <w:rsid w:val="2DF31E39"/>
    <w:rsid w:val="2DF56EAD"/>
    <w:rsid w:val="2E034C90"/>
    <w:rsid w:val="2E3803D8"/>
    <w:rsid w:val="2E461CCA"/>
    <w:rsid w:val="2E9A609B"/>
    <w:rsid w:val="2EA92D2A"/>
    <w:rsid w:val="2F073B13"/>
    <w:rsid w:val="2F0E3490"/>
    <w:rsid w:val="2F173E52"/>
    <w:rsid w:val="2F3E6169"/>
    <w:rsid w:val="2F4200A9"/>
    <w:rsid w:val="2F5922F8"/>
    <w:rsid w:val="2F5D5A54"/>
    <w:rsid w:val="2F6A7F08"/>
    <w:rsid w:val="2F720DA7"/>
    <w:rsid w:val="2FAB7B24"/>
    <w:rsid w:val="2FBA64B4"/>
    <w:rsid w:val="2FDD7657"/>
    <w:rsid w:val="2FEB0E2F"/>
    <w:rsid w:val="30177CFF"/>
    <w:rsid w:val="305A3482"/>
    <w:rsid w:val="308F132C"/>
    <w:rsid w:val="30B07E74"/>
    <w:rsid w:val="30B90EC8"/>
    <w:rsid w:val="31010EA8"/>
    <w:rsid w:val="310979FD"/>
    <w:rsid w:val="31364FDF"/>
    <w:rsid w:val="31576017"/>
    <w:rsid w:val="315952DD"/>
    <w:rsid w:val="315A0677"/>
    <w:rsid w:val="31894326"/>
    <w:rsid w:val="319335C0"/>
    <w:rsid w:val="31B021B3"/>
    <w:rsid w:val="31B47140"/>
    <w:rsid w:val="31B8606B"/>
    <w:rsid w:val="31EC1545"/>
    <w:rsid w:val="321851E2"/>
    <w:rsid w:val="322D1154"/>
    <w:rsid w:val="324E33B1"/>
    <w:rsid w:val="32665B2B"/>
    <w:rsid w:val="32752B1E"/>
    <w:rsid w:val="328D6D53"/>
    <w:rsid w:val="32A16303"/>
    <w:rsid w:val="32A3726A"/>
    <w:rsid w:val="32C27C3B"/>
    <w:rsid w:val="332C03CD"/>
    <w:rsid w:val="332C2238"/>
    <w:rsid w:val="33404BE2"/>
    <w:rsid w:val="33476B70"/>
    <w:rsid w:val="33740F16"/>
    <w:rsid w:val="33790CCD"/>
    <w:rsid w:val="338C407B"/>
    <w:rsid w:val="33B04416"/>
    <w:rsid w:val="33D03E3F"/>
    <w:rsid w:val="34100915"/>
    <w:rsid w:val="342E58EB"/>
    <w:rsid w:val="3447419E"/>
    <w:rsid w:val="346B3055"/>
    <w:rsid w:val="34B32637"/>
    <w:rsid w:val="34D76783"/>
    <w:rsid w:val="34DD3A61"/>
    <w:rsid w:val="35057F8B"/>
    <w:rsid w:val="350E4D46"/>
    <w:rsid w:val="35402FDA"/>
    <w:rsid w:val="35734536"/>
    <w:rsid w:val="35AD6085"/>
    <w:rsid w:val="35D2089A"/>
    <w:rsid w:val="35D76DBA"/>
    <w:rsid w:val="35F723EB"/>
    <w:rsid w:val="36021D3F"/>
    <w:rsid w:val="361B076D"/>
    <w:rsid w:val="361D3792"/>
    <w:rsid w:val="365477FB"/>
    <w:rsid w:val="367729C3"/>
    <w:rsid w:val="36831920"/>
    <w:rsid w:val="36894491"/>
    <w:rsid w:val="368F70F5"/>
    <w:rsid w:val="36950618"/>
    <w:rsid w:val="36951FA9"/>
    <w:rsid w:val="36986965"/>
    <w:rsid w:val="36A73B30"/>
    <w:rsid w:val="36D969F7"/>
    <w:rsid w:val="37293FBA"/>
    <w:rsid w:val="37296585"/>
    <w:rsid w:val="372C6300"/>
    <w:rsid w:val="37535DDF"/>
    <w:rsid w:val="37C54A34"/>
    <w:rsid w:val="37D01877"/>
    <w:rsid w:val="37D025B7"/>
    <w:rsid w:val="37D23E10"/>
    <w:rsid w:val="386D47D6"/>
    <w:rsid w:val="387D1B40"/>
    <w:rsid w:val="38854250"/>
    <w:rsid w:val="38AC2C3B"/>
    <w:rsid w:val="38C05494"/>
    <w:rsid w:val="38D05EBF"/>
    <w:rsid w:val="39064188"/>
    <w:rsid w:val="394255E6"/>
    <w:rsid w:val="394E336B"/>
    <w:rsid w:val="39616566"/>
    <w:rsid w:val="396F4D38"/>
    <w:rsid w:val="399D6466"/>
    <w:rsid w:val="39D16FFF"/>
    <w:rsid w:val="39D24FCF"/>
    <w:rsid w:val="39EA6316"/>
    <w:rsid w:val="3A016FD2"/>
    <w:rsid w:val="3A312C11"/>
    <w:rsid w:val="3A874278"/>
    <w:rsid w:val="3A9534E4"/>
    <w:rsid w:val="3AA51D31"/>
    <w:rsid w:val="3AA95A9F"/>
    <w:rsid w:val="3AB031B9"/>
    <w:rsid w:val="3AB41A70"/>
    <w:rsid w:val="3ACC3F0A"/>
    <w:rsid w:val="3ADE4603"/>
    <w:rsid w:val="3B031BBE"/>
    <w:rsid w:val="3B0C5D1D"/>
    <w:rsid w:val="3B2E639D"/>
    <w:rsid w:val="3B751A9B"/>
    <w:rsid w:val="3B7C0CE4"/>
    <w:rsid w:val="3B9315AE"/>
    <w:rsid w:val="3BD00077"/>
    <w:rsid w:val="3C146EBA"/>
    <w:rsid w:val="3C173F29"/>
    <w:rsid w:val="3C4D1929"/>
    <w:rsid w:val="3CA22C6D"/>
    <w:rsid w:val="3CB469A7"/>
    <w:rsid w:val="3CC96E78"/>
    <w:rsid w:val="3D106E41"/>
    <w:rsid w:val="3D203913"/>
    <w:rsid w:val="3D297C9D"/>
    <w:rsid w:val="3D462CDD"/>
    <w:rsid w:val="3E467DCB"/>
    <w:rsid w:val="3E6F7678"/>
    <w:rsid w:val="3E7D379B"/>
    <w:rsid w:val="3E883EB5"/>
    <w:rsid w:val="3EAF631B"/>
    <w:rsid w:val="3EC84EF4"/>
    <w:rsid w:val="3ECA06C1"/>
    <w:rsid w:val="3ED01BB7"/>
    <w:rsid w:val="3EE554F1"/>
    <w:rsid w:val="3F20336E"/>
    <w:rsid w:val="3F633A15"/>
    <w:rsid w:val="3F6977DC"/>
    <w:rsid w:val="3FE827EA"/>
    <w:rsid w:val="3FEB6ADA"/>
    <w:rsid w:val="404570E8"/>
    <w:rsid w:val="40651E55"/>
    <w:rsid w:val="407406DB"/>
    <w:rsid w:val="40B85867"/>
    <w:rsid w:val="40DC561F"/>
    <w:rsid w:val="40F462E2"/>
    <w:rsid w:val="4120050B"/>
    <w:rsid w:val="413C6BBA"/>
    <w:rsid w:val="41432D5E"/>
    <w:rsid w:val="415501F4"/>
    <w:rsid w:val="41724C00"/>
    <w:rsid w:val="41794BC9"/>
    <w:rsid w:val="417E784C"/>
    <w:rsid w:val="418A4979"/>
    <w:rsid w:val="41D15CE0"/>
    <w:rsid w:val="422102AB"/>
    <w:rsid w:val="42272F7B"/>
    <w:rsid w:val="422B4FDE"/>
    <w:rsid w:val="423F12C2"/>
    <w:rsid w:val="427331D0"/>
    <w:rsid w:val="432B112E"/>
    <w:rsid w:val="43942737"/>
    <w:rsid w:val="439E681F"/>
    <w:rsid w:val="444F1FFD"/>
    <w:rsid w:val="445615AB"/>
    <w:rsid w:val="4469457B"/>
    <w:rsid w:val="448F0FCD"/>
    <w:rsid w:val="44E1106F"/>
    <w:rsid w:val="451F2F53"/>
    <w:rsid w:val="45324320"/>
    <w:rsid w:val="453A0CC3"/>
    <w:rsid w:val="45527F87"/>
    <w:rsid w:val="45825E44"/>
    <w:rsid w:val="4588130D"/>
    <w:rsid w:val="45892E2D"/>
    <w:rsid w:val="45B64902"/>
    <w:rsid w:val="46B22349"/>
    <w:rsid w:val="46C628E0"/>
    <w:rsid w:val="46DD3004"/>
    <w:rsid w:val="46EC314E"/>
    <w:rsid w:val="47456240"/>
    <w:rsid w:val="47D9332B"/>
    <w:rsid w:val="47DA5982"/>
    <w:rsid w:val="47E12807"/>
    <w:rsid w:val="483D242A"/>
    <w:rsid w:val="485A0E8B"/>
    <w:rsid w:val="48D2701D"/>
    <w:rsid w:val="48FE0EA0"/>
    <w:rsid w:val="492257EF"/>
    <w:rsid w:val="492D296C"/>
    <w:rsid w:val="49360C04"/>
    <w:rsid w:val="4946147F"/>
    <w:rsid w:val="497F70E3"/>
    <w:rsid w:val="49880263"/>
    <w:rsid w:val="498C2035"/>
    <w:rsid w:val="499F3E23"/>
    <w:rsid w:val="49A12289"/>
    <w:rsid w:val="49B55832"/>
    <w:rsid w:val="4A2C67BB"/>
    <w:rsid w:val="4A5B000E"/>
    <w:rsid w:val="4A8A4526"/>
    <w:rsid w:val="4A9B222A"/>
    <w:rsid w:val="4AB1344F"/>
    <w:rsid w:val="4AB463D1"/>
    <w:rsid w:val="4AE94219"/>
    <w:rsid w:val="4B034D23"/>
    <w:rsid w:val="4B1274B9"/>
    <w:rsid w:val="4B946EBE"/>
    <w:rsid w:val="4BAC3AC5"/>
    <w:rsid w:val="4BBA3A00"/>
    <w:rsid w:val="4BC53661"/>
    <w:rsid w:val="4BF95AF1"/>
    <w:rsid w:val="4BFA4BF4"/>
    <w:rsid w:val="4C232853"/>
    <w:rsid w:val="4C2D2B33"/>
    <w:rsid w:val="4C4A3CAB"/>
    <w:rsid w:val="4C4D3164"/>
    <w:rsid w:val="4C520F4E"/>
    <w:rsid w:val="4C747EE5"/>
    <w:rsid w:val="4C7547D5"/>
    <w:rsid w:val="4C7A710B"/>
    <w:rsid w:val="4C823D12"/>
    <w:rsid w:val="4C851C14"/>
    <w:rsid w:val="4C93189C"/>
    <w:rsid w:val="4CA83B47"/>
    <w:rsid w:val="4CBC2B07"/>
    <w:rsid w:val="4CDD3B77"/>
    <w:rsid w:val="4CF62EC3"/>
    <w:rsid w:val="4D37356A"/>
    <w:rsid w:val="4DAF6412"/>
    <w:rsid w:val="4DC94534"/>
    <w:rsid w:val="4DDD1994"/>
    <w:rsid w:val="4DDF7277"/>
    <w:rsid w:val="4E311A51"/>
    <w:rsid w:val="4E540B55"/>
    <w:rsid w:val="4E7554E5"/>
    <w:rsid w:val="4E794727"/>
    <w:rsid w:val="4E966AC8"/>
    <w:rsid w:val="4EB75DAF"/>
    <w:rsid w:val="4EC11A05"/>
    <w:rsid w:val="4EC913BF"/>
    <w:rsid w:val="4ECE709E"/>
    <w:rsid w:val="4EE24AB3"/>
    <w:rsid w:val="4EF811DB"/>
    <w:rsid w:val="4F2111B3"/>
    <w:rsid w:val="4F41726E"/>
    <w:rsid w:val="4F4D6993"/>
    <w:rsid w:val="4F716D4F"/>
    <w:rsid w:val="4FB715EB"/>
    <w:rsid w:val="4FE54738"/>
    <w:rsid w:val="4FE90420"/>
    <w:rsid w:val="4FFE0B87"/>
    <w:rsid w:val="508C7B95"/>
    <w:rsid w:val="50B840E5"/>
    <w:rsid w:val="50E8474A"/>
    <w:rsid w:val="50FD6B82"/>
    <w:rsid w:val="510D039E"/>
    <w:rsid w:val="51145E70"/>
    <w:rsid w:val="51277CC2"/>
    <w:rsid w:val="51416286"/>
    <w:rsid w:val="514A4967"/>
    <w:rsid w:val="515C1D9E"/>
    <w:rsid w:val="519A1BA5"/>
    <w:rsid w:val="51CC04EB"/>
    <w:rsid w:val="52074FA0"/>
    <w:rsid w:val="52177C3C"/>
    <w:rsid w:val="52195439"/>
    <w:rsid w:val="5247328A"/>
    <w:rsid w:val="52AB5658"/>
    <w:rsid w:val="52B12185"/>
    <w:rsid w:val="52BA6B21"/>
    <w:rsid w:val="52BA75D3"/>
    <w:rsid w:val="52BB2AD1"/>
    <w:rsid w:val="52DC7C3B"/>
    <w:rsid w:val="530B34D6"/>
    <w:rsid w:val="531922B4"/>
    <w:rsid w:val="53216C6D"/>
    <w:rsid w:val="53232399"/>
    <w:rsid w:val="53356A84"/>
    <w:rsid w:val="533942BC"/>
    <w:rsid w:val="53622348"/>
    <w:rsid w:val="53641B5F"/>
    <w:rsid w:val="5373750E"/>
    <w:rsid w:val="538D1759"/>
    <w:rsid w:val="5392385D"/>
    <w:rsid w:val="53F506AB"/>
    <w:rsid w:val="5494390A"/>
    <w:rsid w:val="54C774F7"/>
    <w:rsid w:val="54D7055D"/>
    <w:rsid w:val="550A5043"/>
    <w:rsid w:val="553F1BE2"/>
    <w:rsid w:val="55447243"/>
    <w:rsid w:val="554622B6"/>
    <w:rsid w:val="55632120"/>
    <w:rsid w:val="556E6E4F"/>
    <w:rsid w:val="557D2020"/>
    <w:rsid w:val="55C30E7B"/>
    <w:rsid w:val="55DF0DB6"/>
    <w:rsid w:val="55FA0B41"/>
    <w:rsid w:val="56174595"/>
    <w:rsid w:val="566618D8"/>
    <w:rsid w:val="5679137E"/>
    <w:rsid w:val="56794440"/>
    <w:rsid w:val="56900BEE"/>
    <w:rsid w:val="56B16F90"/>
    <w:rsid w:val="56B53CFC"/>
    <w:rsid w:val="573E2D4E"/>
    <w:rsid w:val="578220DC"/>
    <w:rsid w:val="578A7211"/>
    <w:rsid w:val="578E18A0"/>
    <w:rsid w:val="581F5C62"/>
    <w:rsid w:val="58221BB4"/>
    <w:rsid w:val="585D1EDF"/>
    <w:rsid w:val="5863631E"/>
    <w:rsid w:val="5871516F"/>
    <w:rsid w:val="58C37327"/>
    <w:rsid w:val="58E73528"/>
    <w:rsid w:val="59023F8A"/>
    <w:rsid w:val="59106019"/>
    <w:rsid w:val="593F06E9"/>
    <w:rsid w:val="595364EE"/>
    <w:rsid w:val="59545403"/>
    <w:rsid w:val="599E0BCE"/>
    <w:rsid w:val="59DE6389"/>
    <w:rsid w:val="5A124A93"/>
    <w:rsid w:val="5A1349EF"/>
    <w:rsid w:val="5A1666D7"/>
    <w:rsid w:val="5A353AD4"/>
    <w:rsid w:val="5A364F51"/>
    <w:rsid w:val="5A4065C0"/>
    <w:rsid w:val="5A786C36"/>
    <w:rsid w:val="5A956435"/>
    <w:rsid w:val="5A9F2A72"/>
    <w:rsid w:val="5AC24136"/>
    <w:rsid w:val="5ACD19B4"/>
    <w:rsid w:val="5AFF4DDE"/>
    <w:rsid w:val="5B043D56"/>
    <w:rsid w:val="5B2B2A5C"/>
    <w:rsid w:val="5B3D5296"/>
    <w:rsid w:val="5BE11490"/>
    <w:rsid w:val="5C1252B4"/>
    <w:rsid w:val="5C2A48E5"/>
    <w:rsid w:val="5C31236B"/>
    <w:rsid w:val="5C5E6751"/>
    <w:rsid w:val="5C681AB8"/>
    <w:rsid w:val="5C705C3A"/>
    <w:rsid w:val="5CAF0EA4"/>
    <w:rsid w:val="5D726261"/>
    <w:rsid w:val="5D785F1C"/>
    <w:rsid w:val="5D8D1635"/>
    <w:rsid w:val="5DAD436A"/>
    <w:rsid w:val="5DAFBFCA"/>
    <w:rsid w:val="5DD26C71"/>
    <w:rsid w:val="5E3F4A4E"/>
    <w:rsid w:val="5E541A00"/>
    <w:rsid w:val="5EB21F46"/>
    <w:rsid w:val="5EC9677C"/>
    <w:rsid w:val="5F094402"/>
    <w:rsid w:val="5F4C1FF5"/>
    <w:rsid w:val="5F74216E"/>
    <w:rsid w:val="5F744801"/>
    <w:rsid w:val="5FAF4A5B"/>
    <w:rsid w:val="5FB1254C"/>
    <w:rsid w:val="5FB60359"/>
    <w:rsid w:val="5FC10268"/>
    <w:rsid w:val="5FC95B1E"/>
    <w:rsid w:val="5FD23A8B"/>
    <w:rsid w:val="5FD80FB4"/>
    <w:rsid w:val="61125476"/>
    <w:rsid w:val="614D3654"/>
    <w:rsid w:val="61536EC5"/>
    <w:rsid w:val="61703E86"/>
    <w:rsid w:val="61865290"/>
    <w:rsid w:val="619A1EF7"/>
    <w:rsid w:val="61BC703D"/>
    <w:rsid w:val="61CB1933"/>
    <w:rsid w:val="61D8579F"/>
    <w:rsid w:val="61ED04E6"/>
    <w:rsid w:val="620E4568"/>
    <w:rsid w:val="625717BA"/>
    <w:rsid w:val="62581F12"/>
    <w:rsid w:val="62592DC8"/>
    <w:rsid w:val="62D001F1"/>
    <w:rsid w:val="62D85AE1"/>
    <w:rsid w:val="62FE11EA"/>
    <w:rsid w:val="630A2701"/>
    <w:rsid w:val="63507D54"/>
    <w:rsid w:val="636528BD"/>
    <w:rsid w:val="637A182D"/>
    <w:rsid w:val="639A0A3C"/>
    <w:rsid w:val="63A40DE6"/>
    <w:rsid w:val="63B92F92"/>
    <w:rsid w:val="63D84D1F"/>
    <w:rsid w:val="63E53C6D"/>
    <w:rsid w:val="63F016FA"/>
    <w:rsid w:val="64164903"/>
    <w:rsid w:val="64251F39"/>
    <w:rsid w:val="649D7AFB"/>
    <w:rsid w:val="64E1777C"/>
    <w:rsid w:val="64F67D7D"/>
    <w:rsid w:val="650B77AC"/>
    <w:rsid w:val="651F3208"/>
    <w:rsid w:val="65395E86"/>
    <w:rsid w:val="65410720"/>
    <w:rsid w:val="654B06CF"/>
    <w:rsid w:val="65544ABB"/>
    <w:rsid w:val="655A6F77"/>
    <w:rsid w:val="655B6A93"/>
    <w:rsid w:val="65681695"/>
    <w:rsid w:val="6589320F"/>
    <w:rsid w:val="65981D5A"/>
    <w:rsid w:val="65B01884"/>
    <w:rsid w:val="65B67AC8"/>
    <w:rsid w:val="66143B41"/>
    <w:rsid w:val="66D86A44"/>
    <w:rsid w:val="672B25F9"/>
    <w:rsid w:val="67560E36"/>
    <w:rsid w:val="67723AF7"/>
    <w:rsid w:val="677977FF"/>
    <w:rsid w:val="67B40574"/>
    <w:rsid w:val="681834D1"/>
    <w:rsid w:val="683E22B3"/>
    <w:rsid w:val="684273D4"/>
    <w:rsid w:val="68477FAE"/>
    <w:rsid w:val="6878604D"/>
    <w:rsid w:val="688103B0"/>
    <w:rsid w:val="688776B6"/>
    <w:rsid w:val="68A948C1"/>
    <w:rsid w:val="68C02D23"/>
    <w:rsid w:val="68DE7B37"/>
    <w:rsid w:val="68F169C2"/>
    <w:rsid w:val="68F42EEA"/>
    <w:rsid w:val="69224CB3"/>
    <w:rsid w:val="69447CDA"/>
    <w:rsid w:val="698D043C"/>
    <w:rsid w:val="69DF3154"/>
    <w:rsid w:val="6A310E9F"/>
    <w:rsid w:val="6A393E00"/>
    <w:rsid w:val="6A3F579D"/>
    <w:rsid w:val="6A525099"/>
    <w:rsid w:val="6A675954"/>
    <w:rsid w:val="6A9B338C"/>
    <w:rsid w:val="6ADE2BDB"/>
    <w:rsid w:val="6AF618A4"/>
    <w:rsid w:val="6B19517D"/>
    <w:rsid w:val="6B1B26BF"/>
    <w:rsid w:val="6B274103"/>
    <w:rsid w:val="6B770F91"/>
    <w:rsid w:val="6B854396"/>
    <w:rsid w:val="6BFA2C07"/>
    <w:rsid w:val="6C042D27"/>
    <w:rsid w:val="6C0E0B7E"/>
    <w:rsid w:val="6C2F1D4B"/>
    <w:rsid w:val="6C481B79"/>
    <w:rsid w:val="6C4B13D1"/>
    <w:rsid w:val="6C5F6F46"/>
    <w:rsid w:val="6C7B3149"/>
    <w:rsid w:val="6C8D6DD7"/>
    <w:rsid w:val="6C933D89"/>
    <w:rsid w:val="6CAA3F1D"/>
    <w:rsid w:val="6CAA4E31"/>
    <w:rsid w:val="6CDD228E"/>
    <w:rsid w:val="6D085969"/>
    <w:rsid w:val="6D307363"/>
    <w:rsid w:val="6D392CAA"/>
    <w:rsid w:val="6D5453F1"/>
    <w:rsid w:val="6D73404B"/>
    <w:rsid w:val="6D9312B1"/>
    <w:rsid w:val="6DA93888"/>
    <w:rsid w:val="6DC76EA1"/>
    <w:rsid w:val="6DDF310B"/>
    <w:rsid w:val="6DEA22F8"/>
    <w:rsid w:val="6DEA5030"/>
    <w:rsid w:val="6DF72058"/>
    <w:rsid w:val="6E0A4AF6"/>
    <w:rsid w:val="6E4E7458"/>
    <w:rsid w:val="6E735846"/>
    <w:rsid w:val="6E8A24FD"/>
    <w:rsid w:val="6E8C1B0D"/>
    <w:rsid w:val="6EAA6740"/>
    <w:rsid w:val="6EAC3842"/>
    <w:rsid w:val="6ED96C7B"/>
    <w:rsid w:val="6EF83F98"/>
    <w:rsid w:val="6EF94E1F"/>
    <w:rsid w:val="6F26302C"/>
    <w:rsid w:val="6F4D1259"/>
    <w:rsid w:val="6F9A1EC4"/>
    <w:rsid w:val="6FAF7AA8"/>
    <w:rsid w:val="6FC65579"/>
    <w:rsid w:val="6FDE3873"/>
    <w:rsid w:val="6FE61E12"/>
    <w:rsid w:val="6FF12A18"/>
    <w:rsid w:val="701D076E"/>
    <w:rsid w:val="701F1D05"/>
    <w:rsid w:val="7020011F"/>
    <w:rsid w:val="702F47BC"/>
    <w:rsid w:val="7050088A"/>
    <w:rsid w:val="70576B42"/>
    <w:rsid w:val="707753E9"/>
    <w:rsid w:val="71065693"/>
    <w:rsid w:val="715841F2"/>
    <w:rsid w:val="715F317F"/>
    <w:rsid w:val="71A523D6"/>
    <w:rsid w:val="71AE03B2"/>
    <w:rsid w:val="71C2587E"/>
    <w:rsid w:val="71C25FA2"/>
    <w:rsid w:val="71CC594E"/>
    <w:rsid w:val="71E372BB"/>
    <w:rsid w:val="71E515D2"/>
    <w:rsid w:val="71F5361F"/>
    <w:rsid w:val="725F69FF"/>
    <w:rsid w:val="72717E73"/>
    <w:rsid w:val="72966774"/>
    <w:rsid w:val="729946DD"/>
    <w:rsid w:val="72B40F17"/>
    <w:rsid w:val="72C91007"/>
    <w:rsid w:val="72CE787B"/>
    <w:rsid w:val="72FD2C48"/>
    <w:rsid w:val="72FF13B1"/>
    <w:rsid w:val="73184235"/>
    <w:rsid w:val="7334528C"/>
    <w:rsid w:val="7335005C"/>
    <w:rsid w:val="734B48AF"/>
    <w:rsid w:val="73590A58"/>
    <w:rsid w:val="736206AF"/>
    <w:rsid w:val="73C271BD"/>
    <w:rsid w:val="73FA1278"/>
    <w:rsid w:val="73FE1521"/>
    <w:rsid w:val="743A3925"/>
    <w:rsid w:val="745A2FD7"/>
    <w:rsid w:val="746C501B"/>
    <w:rsid w:val="74D43BFF"/>
    <w:rsid w:val="74E53E64"/>
    <w:rsid w:val="74EB5B7C"/>
    <w:rsid w:val="75090E0C"/>
    <w:rsid w:val="751165E4"/>
    <w:rsid w:val="756357C0"/>
    <w:rsid w:val="75661B2D"/>
    <w:rsid w:val="757B7CE1"/>
    <w:rsid w:val="75802AD7"/>
    <w:rsid w:val="759311AD"/>
    <w:rsid w:val="75B64170"/>
    <w:rsid w:val="763B575F"/>
    <w:rsid w:val="76534C90"/>
    <w:rsid w:val="768240C6"/>
    <w:rsid w:val="76921CF2"/>
    <w:rsid w:val="76954168"/>
    <w:rsid w:val="769C0E37"/>
    <w:rsid w:val="76A80D99"/>
    <w:rsid w:val="76B43C4D"/>
    <w:rsid w:val="76BF37ED"/>
    <w:rsid w:val="76C77D58"/>
    <w:rsid w:val="76F065BA"/>
    <w:rsid w:val="771423C1"/>
    <w:rsid w:val="771769BE"/>
    <w:rsid w:val="77407272"/>
    <w:rsid w:val="774968A7"/>
    <w:rsid w:val="77600663"/>
    <w:rsid w:val="77CD2CEE"/>
    <w:rsid w:val="77D21876"/>
    <w:rsid w:val="77E3682E"/>
    <w:rsid w:val="780865A6"/>
    <w:rsid w:val="783E3F4B"/>
    <w:rsid w:val="784B3C7E"/>
    <w:rsid w:val="7874370B"/>
    <w:rsid w:val="78B24385"/>
    <w:rsid w:val="78D16161"/>
    <w:rsid w:val="78E472AE"/>
    <w:rsid w:val="790F7F7A"/>
    <w:rsid w:val="791A460A"/>
    <w:rsid w:val="793540D7"/>
    <w:rsid w:val="794B4D38"/>
    <w:rsid w:val="79733C57"/>
    <w:rsid w:val="79AB6742"/>
    <w:rsid w:val="7A495681"/>
    <w:rsid w:val="7A6A3138"/>
    <w:rsid w:val="7A7674BF"/>
    <w:rsid w:val="7AA57F30"/>
    <w:rsid w:val="7ABA1AC1"/>
    <w:rsid w:val="7AE8772E"/>
    <w:rsid w:val="7B0054A5"/>
    <w:rsid w:val="7B2A74E6"/>
    <w:rsid w:val="7B2F67C9"/>
    <w:rsid w:val="7B5402A7"/>
    <w:rsid w:val="7B7902E8"/>
    <w:rsid w:val="7BA25773"/>
    <w:rsid w:val="7BB31EB1"/>
    <w:rsid w:val="7BB64C3D"/>
    <w:rsid w:val="7BD35D5D"/>
    <w:rsid w:val="7BEA4A45"/>
    <w:rsid w:val="7C330F03"/>
    <w:rsid w:val="7C467C63"/>
    <w:rsid w:val="7C4E7077"/>
    <w:rsid w:val="7C5206B2"/>
    <w:rsid w:val="7C8613AC"/>
    <w:rsid w:val="7CAB2F8F"/>
    <w:rsid w:val="7CBE5259"/>
    <w:rsid w:val="7CE56285"/>
    <w:rsid w:val="7D2A6339"/>
    <w:rsid w:val="7D32526E"/>
    <w:rsid w:val="7D841EF6"/>
    <w:rsid w:val="7D8910FE"/>
    <w:rsid w:val="7DA011F9"/>
    <w:rsid w:val="7DA336C2"/>
    <w:rsid w:val="7DEA5C34"/>
    <w:rsid w:val="7DFE04B4"/>
    <w:rsid w:val="7E347740"/>
    <w:rsid w:val="7E3A3FA0"/>
    <w:rsid w:val="7E7A023D"/>
    <w:rsid w:val="7EB37BD6"/>
    <w:rsid w:val="7EC64010"/>
    <w:rsid w:val="7ECD1525"/>
    <w:rsid w:val="7EF307AC"/>
    <w:rsid w:val="7F014AED"/>
    <w:rsid w:val="7F0539A8"/>
    <w:rsid w:val="7F2152AD"/>
    <w:rsid w:val="7F3814A3"/>
    <w:rsid w:val="7F4511DD"/>
    <w:rsid w:val="7F511074"/>
    <w:rsid w:val="7F6D4DC0"/>
    <w:rsid w:val="7F963EA6"/>
    <w:rsid w:val="7FAB572B"/>
    <w:rsid w:val="7FB03387"/>
    <w:rsid w:val="7FC46B77"/>
    <w:rsid w:val="7FF057D5"/>
    <w:rsid w:val="95F727D6"/>
    <w:rsid w:val="EFFA9F65"/>
    <w:rsid w:val="FBE658B3"/>
    <w:rsid w:val="FFF7A6D3"/>
  </w:rsids>
  <m:mathPr>
    <m:mathFont m:val="Cambria Math"/>
    <m:brkBin m:val="before"/>
    <m:brkBinSub m:val="--"/>
    <m:smallFrac m:val="1"/>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uiPriority="0" w:name="endnote text"/>
    <w:lsdException w:unhideWhenUsed="0" w:uiPriority="0" w:semiHidden="0" w:name="table of authorities"/>
    <w:lsdException w:uiPriority="0" w:name="macro"/>
    <w:lsdException w:qFormat="1" w:unhideWhenUsed="0" w:uiPriority="0"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99" w:semiHidden="0" w:name="Subtitle"/>
    <w:lsdException w:uiPriority="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uiPriority="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20" w:semiHidden="0" w:name="Emphasis" w:locked="1"/>
    <w:lsdException w:qFormat="1" w:unhideWhenUsed="0" w:uiPriority="99"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4"/>
    <w:qFormat/>
    <w:uiPriority w:val="9"/>
    <w:pPr>
      <w:keepNext/>
      <w:keepLines/>
      <w:tabs>
        <w:tab w:val="left" w:pos="360"/>
      </w:tabs>
      <w:adjustRightInd w:val="0"/>
      <w:spacing w:before="120" w:line="360" w:lineRule="auto"/>
      <w:ind w:left="284" w:hanging="284"/>
      <w:textAlignment w:val="baseline"/>
      <w:outlineLvl w:val="0"/>
    </w:pPr>
    <w:rPr>
      <w:b/>
      <w:bCs/>
      <w:kern w:val="44"/>
      <w:sz w:val="44"/>
      <w:szCs w:val="44"/>
    </w:rPr>
  </w:style>
  <w:style w:type="paragraph" w:styleId="4">
    <w:name w:val="heading 2"/>
    <w:basedOn w:val="1"/>
    <w:next w:val="1"/>
    <w:link w:val="51"/>
    <w:qFormat/>
    <w:uiPriority w:val="0"/>
    <w:pPr>
      <w:keepNext/>
      <w:tabs>
        <w:tab w:val="left" w:pos="360"/>
        <w:tab w:val="left" w:pos="1021"/>
      </w:tabs>
      <w:adjustRightInd w:val="0"/>
      <w:spacing w:before="120" w:line="360" w:lineRule="auto"/>
      <w:ind w:left="1021" w:hanging="596"/>
      <w:textAlignment w:val="baseline"/>
      <w:outlineLvl w:val="1"/>
    </w:pPr>
    <w:rPr>
      <w:rFonts w:eastAsia="黑体"/>
      <w:b/>
      <w:kern w:val="0"/>
      <w:sz w:val="28"/>
      <w:szCs w:val="20"/>
    </w:rPr>
  </w:style>
  <w:style w:type="paragraph" w:styleId="5">
    <w:name w:val="heading 3"/>
    <w:basedOn w:val="1"/>
    <w:next w:val="1"/>
    <w:link w:val="47"/>
    <w:qFormat/>
    <w:uiPriority w:val="9"/>
    <w:pPr>
      <w:tabs>
        <w:tab w:val="left" w:pos="360"/>
        <w:tab w:val="left" w:pos="900"/>
        <w:tab w:val="left" w:pos="1588"/>
      </w:tabs>
      <w:adjustRightInd w:val="0"/>
      <w:spacing w:before="120" w:line="360" w:lineRule="auto"/>
      <w:ind w:left="1588" w:hanging="737"/>
      <w:textAlignment w:val="baseline"/>
      <w:outlineLvl w:val="2"/>
    </w:pPr>
    <w:rPr>
      <w:b/>
      <w:bCs/>
      <w:kern w:val="0"/>
      <w:sz w:val="32"/>
      <w:szCs w:val="32"/>
    </w:rPr>
  </w:style>
  <w:style w:type="paragraph" w:styleId="6">
    <w:name w:val="heading 4"/>
    <w:basedOn w:val="1"/>
    <w:next w:val="1"/>
    <w:link w:val="59"/>
    <w:qFormat/>
    <w:uiPriority w:val="9"/>
    <w:pPr>
      <w:tabs>
        <w:tab w:val="left" w:pos="2155"/>
      </w:tabs>
      <w:adjustRightInd w:val="0"/>
      <w:spacing w:before="120" w:line="360" w:lineRule="auto"/>
      <w:ind w:left="2155" w:hanging="1078"/>
      <w:textAlignment w:val="baseline"/>
      <w:outlineLvl w:val="3"/>
    </w:pPr>
    <w:rPr>
      <w:rFonts w:ascii="Cambria" w:hAnsi="Cambria"/>
      <w:b/>
      <w:bCs/>
      <w:kern w:val="0"/>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toc 7"/>
    <w:basedOn w:val="1"/>
    <w:next w:val="1"/>
    <w:qFormat/>
    <w:uiPriority w:val="99"/>
    <w:pPr>
      <w:ind w:left="1260"/>
      <w:jc w:val="left"/>
    </w:pPr>
    <w:rPr>
      <w:sz w:val="18"/>
      <w:szCs w:val="18"/>
    </w:rPr>
  </w:style>
  <w:style w:type="paragraph" w:styleId="8">
    <w:name w:val="Normal Indent"/>
    <w:basedOn w:val="1"/>
    <w:link w:val="50"/>
    <w:qFormat/>
    <w:uiPriority w:val="99"/>
    <w:pPr>
      <w:ind w:firstLine="420"/>
    </w:pPr>
    <w:rPr>
      <w:szCs w:val="20"/>
    </w:rPr>
  </w:style>
  <w:style w:type="paragraph" w:styleId="9">
    <w:name w:val="Document Map"/>
    <w:basedOn w:val="1"/>
    <w:link w:val="78"/>
    <w:qFormat/>
    <w:uiPriority w:val="99"/>
    <w:pPr>
      <w:shd w:val="clear" w:color="auto" w:fill="000080"/>
    </w:pPr>
    <w:rPr>
      <w:kern w:val="0"/>
      <w:sz w:val="2"/>
      <w:szCs w:val="20"/>
    </w:rPr>
  </w:style>
  <w:style w:type="paragraph" w:styleId="10">
    <w:name w:val="toa heading"/>
    <w:basedOn w:val="1"/>
    <w:next w:val="1"/>
    <w:qFormat/>
    <w:uiPriority w:val="0"/>
    <w:pPr>
      <w:spacing w:before="120"/>
    </w:pPr>
    <w:rPr>
      <w:rFonts w:ascii="Cambria" w:hAnsi="Cambria"/>
    </w:rPr>
  </w:style>
  <w:style w:type="paragraph" w:styleId="11">
    <w:name w:val="annotation text"/>
    <w:basedOn w:val="1"/>
    <w:link w:val="85"/>
    <w:semiHidden/>
    <w:qFormat/>
    <w:uiPriority w:val="99"/>
    <w:pPr>
      <w:jc w:val="left"/>
    </w:pPr>
    <w:rPr>
      <w:kern w:val="0"/>
      <w:sz w:val="24"/>
    </w:rPr>
  </w:style>
  <w:style w:type="paragraph" w:styleId="12">
    <w:name w:val="Body Text 3"/>
    <w:basedOn w:val="1"/>
    <w:link w:val="75"/>
    <w:qFormat/>
    <w:uiPriority w:val="99"/>
    <w:rPr>
      <w:kern w:val="0"/>
      <w:sz w:val="16"/>
      <w:szCs w:val="16"/>
    </w:rPr>
  </w:style>
  <w:style w:type="paragraph" w:styleId="13">
    <w:name w:val="Body Text"/>
    <w:basedOn w:val="1"/>
    <w:link w:val="61"/>
    <w:qFormat/>
    <w:uiPriority w:val="99"/>
    <w:rPr>
      <w:kern w:val="0"/>
      <w:sz w:val="24"/>
    </w:rPr>
  </w:style>
  <w:style w:type="paragraph" w:styleId="14">
    <w:name w:val="Body Text Indent"/>
    <w:basedOn w:val="1"/>
    <w:next w:val="15"/>
    <w:link w:val="73"/>
    <w:qFormat/>
    <w:uiPriority w:val="99"/>
    <w:pPr>
      <w:spacing w:line="200" w:lineRule="exact"/>
      <w:ind w:firstLine="301"/>
    </w:pPr>
    <w:rPr>
      <w:kern w:val="0"/>
      <w:sz w:val="24"/>
    </w:rPr>
  </w:style>
  <w:style w:type="paragraph" w:styleId="15">
    <w:name w:val="Body Text First Indent 2"/>
    <w:basedOn w:val="14"/>
    <w:next w:val="16"/>
    <w:link w:val="53"/>
    <w:unhideWhenUsed/>
    <w:qFormat/>
    <w:uiPriority w:val="99"/>
    <w:pPr>
      <w:ind w:firstLine="420" w:firstLineChars="200"/>
    </w:pPr>
  </w:style>
  <w:style w:type="paragraph" w:styleId="16">
    <w:name w:val="Body Text First Indent"/>
    <w:basedOn w:val="13"/>
    <w:next w:val="1"/>
    <w:link w:val="60"/>
    <w:qFormat/>
    <w:uiPriority w:val="99"/>
    <w:pPr>
      <w:spacing w:after="120"/>
      <w:ind w:firstLine="420" w:firstLineChars="100"/>
    </w:pPr>
  </w:style>
  <w:style w:type="paragraph" w:styleId="17">
    <w:name w:val="toc 5"/>
    <w:basedOn w:val="1"/>
    <w:next w:val="1"/>
    <w:qFormat/>
    <w:uiPriority w:val="99"/>
    <w:pPr>
      <w:ind w:left="840"/>
      <w:jc w:val="left"/>
    </w:pPr>
    <w:rPr>
      <w:sz w:val="18"/>
      <w:szCs w:val="18"/>
    </w:rPr>
  </w:style>
  <w:style w:type="paragraph" w:styleId="18">
    <w:name w:val="toc 3"/>
    <w:basedOn w:val="1"/>
    <w:next w:val="1"/>
    <w:qFormat/>
    <w:uiPriority w:val="39"/>
    <w:pPr>
      <w:ind w:left="300" w:leftChars="300"/>
      <w:jc w:val="left"/>
    </w:pPr>
    <w:rPr>
      <w:iCs/>
      <w:szCs w:val="20"/>
    </w:rPr>
  </w:style>
  <w:style w:type="paragraph" w:styleId="19">
    <w:name w:val="Plain Text"/>
    <w:basedOn w:val="1"/>
    <w:link w:val="57"/>
    <w:qFormat/>
    <w:uiPriority w:val="0"/>
    <w:rPr>
      <w:rFonts w:ascii="宋体"/>
      <w:szCs w:val="20"/>
    </w:rPr>
  </w:style>
  <w:style w:type="paragraph" w:styleId="20">
    <w:name w:val="toc 8"/>
    <w:basedOn w:val="1"/>
    <w:next w:val="1"/>
    <w:qFormat/>
    <w:uiPriority w:val="99"/>
    <w:pPr>
      <w:ind w:left="1470"/>
      <w:jc w:val="left"/>
    </w:pPr>
    <w:rPr>
      <w:sz w:val="18"/>
      <w:szCs w:val="18"/>
    </w:rPr>
  </w:style>
  <w:style w:type="paragraph" w:styleId="21">
    <w:name w:val="Date"/>
    <w:basedOn w:val="1"/>
    <w:next w:val="1"/>
    <w:link w:val="62"/>
    <w:qFormat/>
    <w:uiPriority w:val="99"/>
    <w:pPr>
      <w:ind w:left="100" w:leftChars="2500"/>
    </w:pPr>
    <w:rPr>
      <w:kern w:val="0"/>
      <w:sz w:val="24"/>
    </w:rPr>
  </w:style>
  <w:style w:type="paragraph" w:styleId="22">
    <w:name w:val="Body Text Indent 2"/>
    <w:basedOn w:val="1"/>
    <w:link w:val="55"/>
    <w:qFormat/>
    <w:uiPriority w:val="99"/>
    <w:pPr>
      <w:spacing w:after="120" w:line="480" w:lineRule="auto"/>
      <w:ind w:left="200" w:leftChars="200"/>
    </w:pPr>
    <w:rPr>
      <w:kern w:val="0"/>
      <w:sz w:val="24"/>
    </w:rPr>
  </w:style>
  <w:style w:type="paragraph" w:styleId="23">
    <w:name w:val="Balloon Text"/>
    <w:basedOn w:val="1"/>
    <w:link w:val="83"/>
    <w:qFormat/>
    <w:uiPriority w:val="99"/>
    <w:rPr>
      <w:sz w:val="18"/>
      <w:szCs w:val="20"/>
    </w:rPr>
  </w:style>
  <w:style w:type="paragraph" w:styleId="24">
    <w:name w:val="footer"/>
    <w:basedOn w:val="1"/>
    <w:next w:val="1"/>
    <w:link w:val="64"/>
    <w:qFormat/>
    <w:uiPriority w:val="99"/>
    <w:pPr>
      <w:tabs>
        <w:tab w:val="center" w:pos="4153"/>
        <w:tab w:val="right" w:pos="8306"/>
      </w:tabs>
      <w:snapToGrid w:val="0"/>
      <w:jc w:val="left"/>
    </w:pPr>
    <w:rPr>
      <w:sz w:val="18"/>
      <w:szCs w:val="18"/>
    </w:rPr>
  </w:style>
  <w:style w:type="paragraph" w:styleId="25">
    <w:name w:val="header"/>
    <w:basedOn w:val="1"/>
    <w:link w:val="67"/>
    <w:qFormat/>
    <w:uiPriority w:val="99"/>
    <w:pPr>
      <w:pBdr>
        <w:bottom w:val="single" w:color="auto" w:sz="6" w:space="1"/>
      </w:pBdr>
      <w:tabs>
        <w:tab w:val="center" w:pos="4153"/>
        <w:tab w:val="right" w:pos="8306"/>
      </w:tabs>
      <w:snapToGrid w:val="0"/>
      <w:jc w:val="center"/>
    </w:pPr>
    <w:rPr>
      <w:sz w:val="18"/>
      <w:szCs w:val="20"/>
    </w:rPr>
  </w:style>
  <w:style w:type="paragraph" w:styleId="26">
    <w:name w:val="toc 1"/>
    <w:basedOn w:val="1"/>
    <w:next w:val="1"/>
    <w:qFormat/>
    <w:uiPriority w:val="39"/>
    <w:pPr>
      <w:adjustRightInd w:val="0"/>
      <w:spacing w:before="120" w:after="120"/>
      <w:ind w:firstLine="50" w:firstLineChars="50"/>
      <w:jc w:val="left"/>
      <w:outlineLvl w:val="0"/>
    </w:pPr>
    <w:rPr>
      <w:bCs/>
      <w:caps/>
      <w:szCs w:val="20"/>
    </w:rPr>
  </w:style>
  <w:style w:type="paragraph" w:styleId="27">
    <w:name w:val="toc 4"/>
    <w:basedOn w:val="1"/>
    <w:next w:val="1"/>
    <w:qFormat/>
    <w:uiPriority w:val="99"/>
    <w:pPr>
      <w:ind w:left="630"/>
      <w:jc w:val="left"/>
    </w:pPr>
    <w:rPr>
      <w:sz w:val="18"/>
      <w:szCs w:val="18"/>
    </w:rPr>
  </w:style>
  <w:style w:type="paragraph" w:styleId="28">
    <w:name w:val="Subtitle"/>
    <w:basedOn w:val="1"/>
    <w:next w:val="1"/>
    <w:link w:val="69"/>
    <w:qFormat/>
    <w:uiPriority w:val="99"/>
    <w:pPr>
      <w:spacing w:before="240" w:after="60" w:line="360" w:lineRule="auto"/>
      <w:jc w:val="left"/>
      <w:outlineLvl w:val="1"/>
    </w:pPr>
    <w:rPr>
      <w:rFonts w:ascii="Cambria" w:hAnsi="Cambria"/>
      <w:b/>
      <w:kern w:val="28"/>
      <w:sz w:val="32"/>
      <w:szCs w:val="32"/>
    </w:rPr>
  </w:style>
  <w:style w:type="paragraph" w:styleId="29">
    <w:name w:val="toc 6"/>
    <w:basedOn w:val="1"/>
    <w:next w:val="1"/>
    <w:qFormat/>
    <w:uiPriority w:val="99"/>
    <w:pPr>
      <w:ind w:left="1050"/>
      <w:jc w:val="left"/>
    </w:pPr>
    <w:rPr>
      <w:sz w:val="18"/>
      <w:szCs w:val="18"/>
    </w:rPr>
  </w:style>
  <w:style w:type="paragraph" w:styleId="30">
    <w:name w:val="List 5"/>
    <w:basedOn w:val="1"/>
    <w:next w:val="31"/>
    <w:qFormat/>
    <w:uiPriority w:val="0"/>
    <w:pPr>
      <w:spacing w:after="200" w:line="276" w:lineRule="auto"/>
      <w:ind w:left="100" w:hanging="200"/>
    </w:pPr>
    <w:rPr>
      <w:rFonts w:ascii="Calibri" w:hAnsi="Calibri"/>
    </w:rPr>
  </w:style>
  <w:style w:type="paragraph" w:customStyle="1" w:styleId="31">
    <w:name w:val="目录 51"/>
    <w:next w:val="1"/>
    <w:qFormat/>
    <w:uiPriority w:val="0"/>
    <w:pPr>
      <w:widowControl w:val="0"/>
      <w:spacing w:after="200" w:line="276" w:lineRule="auto"/>
      <w:ind w:left="630"/>
      <w:jc w:val="both"/>
    </w:pPr>
    <w:rPr>
      <w:rFonts w:ascii="Calibri" w:hAnsi="Calibri" w:eastAsia="宋体" w:cs="Times New Roman"/>
      <w:kern w:val="2"/>
      <w:szCs w:val="24"/>
      <w:lang w:val="en-US" w:eastAsia="zh-CN" w:bidi="ar-SA"/>
    </w:rPr>
  </w:style>
  <w:style w:type="paragraph" w:styleId="32">
    <w:name w:val="Body Text Indent 3"/>
    <w:basedOn w:val="1"/>
    <w:link w:val="76"/>
    <w:qFormat/>
    <w:uiPriority w:val="99"/>
    <w:pPr>
      <w:spacing w:line="400" w:lineRule="exact"/>
      <w:ind w:left="360"/>
    </w:pPr>
    <w:rPr>
      <w:kern w:val="0"/>
      <w:sz w:val="16"/>
      <w:szCs w:val="16"/>
    </w:rPr>
  </w:style>
  <w:style w:type="paragraph" w:styleId="33">
    <w:name w:val="toc 2"/>
    <w:basedOn w:val="1"/>
    <w:next w:val="1"/>
    <w:qFormat/>
    <w:uiPriority w:val="39"/>
    <w:pPr>
      <w:tabs>
        <w:tab w:val="right" w:leader="dot" w:pos="9344"/>
      </w:tabs>
      <w:ind w:left="200" w:leftChars="200"/>
      <w:jc w:val="left"/>
    </w:pPr>
    <w:rPr>
      <w:smallCaps/>
      <w:szCs w:val="20"/>
    </w:rPr>
  </w:style>
  <w:style w:type="paragraph" w:styleId="34">
    <w:name w:val="toc 9"/>
    <w:basedOn w:val="1"/>
    <w:next w:val="1"/>
    <w:qFormat/>
    <w:uiPriority w:val="99"/>
    <w:pPr>
      <w:ind w:left="1680"/>
      <w:jc w:val="left"/>
    </w:pPr>
    <w:rPr>
      <w:sz w:val="18"/>
      <w:szCs w:val="18"/>
    </w:rPr>
  </w:style>
  <w:style w:type="paragraph" w:styleId="35">
    <w:name w:val="Body Text 2"/>
    <w:basedOn w:val="1"/>
    <w:link w:val="71"/>
    <w:qFormat/>
    <w:uiPriority w:val="99"/>
    <w:rPr>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semiHidden/>
    <w:qFormat/>
    <w:uiPriority w:val="99"/>
  </w:style>
  <w:style w:type="paragraph" w:styleId="38">
    <w:name w:val="annotation subject"/>
    <w:basedOn w:val="11"/>
    <w:next w:val="11"/>
    <w:link w:val="81"/>
    <w:semiHidden/>
    <w:qFormat/>
    <w:uiPriority w:val="99"/>
    <w:rPr>
      <w:b/>
      <w:bCs/>
    </w:rPr>
  </w:style>
  <w:style w:type="table" w:styleId="40">
    <w:name w:val="Table Grid"/>
    <w:basedOn w:val="3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locked/>
    <w:uiPriority w:val="0"/>
    <w:rPr>
      <w:b/>
      <w:bCs/>
    </w:rPr>
  </w:style>
  <w:style w:type="character" w:styleId="43">
    <w:name w:val="page number"/>
    <w:qFormat/>
    <w:uiPriority w:val="99"/>
    <w:rPr>
      <w:rFonts w:ascii="仿宋_GB2312" w:eastAsia="仿宋_GB2312" w:cs="仿宋_GB2312"/>
      <w:b/>
      <w:kern w:val="2"/>
      <w:sz w:val="32"/>
      <w:szCs w:val="32"/>
    </w:rPr>
  </w:style>
  <w:style w:type="character" w:styleId="44">
    <w:name w:val="FollowedHyperlink"/>
    <w:qFormat/>
    <w:uiPriority w:val="99"/>
    <w:rPr>
      <w:rFonts w:cs="Times New Roman"/>
      <w:color w:val="555555"/>
      <w:u w:val="none"/>
    </w:rPr>
  </w:style>
  <w:style w:type="character" w:styleId="45">
    <w:name w:val="Hyperlink"/>
    <w:qFormat/>
    <w:uiPriority w:val="99"/>
    <w:rPr>
      <w:rFonts w:cs="Times New Roman"/>
      <w:color w:val="555555"/>
      <w:u w:val="none"/>
    </w:rPr>
  </w:style>
  <w:style w:type="character" w:styleId="46">
    <w:name w:val="annotation reference"/>
    <w:semiHidden/>
    <w:qFormat/>
    <w:uiPriority w:val="99"/>
    <w:rPr>
      <w:rFonts w:cs="Times New Roman"/>
      <w:sz w:val="21"/>
    </w:rPr>
  </w:style>
  <w:style w:type="character" w:customStyle="1" w:styleId="47">
    <w:name w:val="标题 3 字符"/>
    <w:link w:val="5"/>
    <w:qFormat/>
    <w:locked/>
    <w:uiPriority w:val="9"/>
    <w:rPr>
      <w:b/>
      <w:bCs/>
      <w:sz w:val="32"/>
      <w:szCs w:val="32"/>
    </w:rPr>
  </w:style>
  <w:style w:type="paragraph" w:customStyle="1" w:styleId="4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9">
    <w:name w:val="正文缩进1"/>
    <w:next w:val="30"/>
    <w:qFormat/>
    <w:uiPriority w:val="0"/>
    <w:pPr>
      <w:spacing w:after="200" w:line="276" w:lineRule="auto"/>
      <w:ind w:firstLine="420"/>
      <w:jc w:val="both"/>
    </w:pPr>
    <w:rPr>
      <w:rFonts w:ascii="Calibri" w:hAnsi="Calibri" w:eastAsia="宋体" w:cs="Times New Roman"/>
      <w:kern w:val="2"/>
      <w:szCs w:val="24"/>
      <w:lang w:val="en-US" w:eastAsia="zh-CN" w:bidi="ar-SA"/>
    </w:rPr>
  </w:style>
  <w:style w:type="character" w:customStyle="1" w:styleId="50">
    <w:name w:val="正文缩进 字符1"/>
    <w:link w:val="8"/>
    <w:qFormat/>
    <w:locked/>
    <w:uiPriority w:val="99"/>
    <w:rPr>
      <w:rFonts w:eastAsia="宋体"/>
      <w:kern w:val="2"/>
      <w:sz w:val="21"/>
      <w:lang w:val="en-US" w:eastAsia="zh-CN"/>
    </w:rPr>
  </w:style>
  <w:style w:type="character" w:customStyle="1" w:styleId="51">
    <w:name w:val="标题 2 字符1"/>
    <w:link w:val="4"/>
    <w:qFormat/>
    <w:locked/>
    <w:uiPriority w:val="99"/>
    <w:rPr>
      <w:rFonts w:eastAsia="黑体"/>
      <w:b/>
      <w:sz w:val="28"/>
    </w:rPr>
  </w:style>
  <w:style w:type="character" w:customStyle="1" w:styleId="52">
    <w:name w:val="font31"/>
    <w:qFormat/>
    <w:uiPriority w:val="99"/>
    <w:rPr>
      <w:rFonts w:ascii="宋体" w:hAnsi="宋体" w:eastAsia="宋体" w:cs="宋体"/>
      <w:color w:val="000000"/>
      <w:sz w:val="20"/>
      <w:szCs w:val="20"/>
      <w:u w:val="none"/>
    </w:rPr>
  </w:style>
  <w:style w:type="character" w:customStyle="1" w:styleId="53">
    <w:name w:val="正文文本首行缩进 2 字符"/>
    <w:link w:val="15"/>
    <w:qFormat/>
    <w:uiPriority w:val="99"/>
    <w:rPr>
      <w:sz w:val="24"/>
      <w:szCs w:val="24"/>
    </w:rPr>
  </w:style>
  <w:style w:type="character" w:customStyle="1" w:styleId="54">
    <w:name w:val="grame"/>
    <w:qFormat/>
    <w:uiPriority w:val="99"/>
    <w:rPr>
      <w:rFonts w:cs="Times New Roman"/>
    </w:rPr>
  </w:style>
  <w:style w:type="character" w:customStyle="1" w:styleId="55">
    <w:name w:val="正文文本缩进 2 字符"/>
    <w:link w:val="22"/>
    <w:semiHidden/>
    <w:qFormat/>
    <w:locked/>
    <w:uiPriority w:val="99"/>
    <w:rPr>
      <w:rFonts w:ascii="Times New Roman" w:hAnsi="Times New Roman" w:cs="Times New Roman"/>
      <w:sz w:val="24"/>
      <w:szCs w:val="24"/>
    </w:rPr>
  </w:style>
  <w:style w:type="character" w:customStyle="1" w:styleId="56">
    <w:name w:val="@他1"/>
    <w:qFormat/>
    <w:uiPriority w:val="99"/>
    <w:rPr>
      <w:color w:val="2B579A"/>
      <w:shd w:val="clear" w:color="auto" w:fill="E6E6E6"/>
    </w:rPr>
  </w:style>
  <w:style w:type="character" w:customStyle="1" w:styleId="57">
    <w:name w:val="纯文本 字符"/>
    <w:link w:val="19"/>
    <w:qFormat/>
    <w:locked/>
    <w:uiPriority w:val="0"/>
    <w:rPr>
      <w:rFonts w:ascii="宋体" w:eastAsia="宋体" w:cs="Times New Roman"/>
      <w:kern w:val="2"/>
      <w:sz w:val="21"/>
      <w:lang w:val="en-US" w:eastAsia="zh-CN"/>
    </w:rPr>
  </w:style>
  <w:style w:type="character" w:customStyle="1" w:styleId="58">
    <w:name w:val="font81"/>
    <w:qFormat/>
    <w:uiPriority w:val="0"/>
    <w:rPr>
      <w:rFonts w:hint="eastAsia" w:ascii="宋体" w:hAnsi="宋体" w:eastAsia="宋体" w:cs="宋体"/>
      <w:b/>
      <w:color w:val="000000"/>
      <w:sz w:val="22"/>
      <w:szCs w:val="22"/>
      <w:u w:val="none"/>
    </w:rPr>
  </w:style>
  <w:style w:type="character" w:customStyle="1" w:styleId="59">
    <w:name w:val="标题 4 字符"/>
    <w:link w:val="6"/>
    <w:qFormat/>
    <w:locked/>
    <w:uiPriority w:val="9"/>
    <w:rPr>
      <w:rFonts w:ascii="Cambria" w:hAnsi="Cambria"/>
      <w:b/>
      <w:bCs/>
      <w:sz w:val="28"/>
      <w:szCs w:val="28"/>
    </w:rPr>
  </w:style>
  <w:style w:type="character" w:customStyle="1" w:styleId="60">
    <w:name w:val="正文文本首行缩进 字符"/>
    <w:link w:val="16"/>
    <w:semiHidden/>
    <w:qFormat/>
    <w:locked/>
    <w:uiPriority w:val="99"/>
    <w:rPr>
      <w:rFonts w:ascii="Times New Roman" w:hAnsi="Times New Roman" w:cs="Times New Roman"/>
      <w:sz w:val="24"/>
      <w:szCs w:val="24"/>
    </w:rPr>
  </w:style>
  <w:style w:type="character" w:customStyle="1" w:styleId="61">
    <w:name w:val="正文文本 字符"/>
    <w:link w:val="13"/>
    <w:semiHidden/>
    <w:qFormat/>
    <w:locked/>
    <w:uiPriority w:val="99"/>
    <w:rPr>
      <w:rFonts w:ascii="Times New Roman" w:hAnsi="Times New Roman" w:cs="Times New Roman"/>
      <w:sz w:val="24"/>
      <w:szCs w:val="24"/>
    </w:rPr>
  </w:style>
  <w:style w:type="character" w:customStyle="1" w:styleId="62">
    <w:name w:val="日期 字符"/>
    <w:link w:val="21"/>
    <w:semiHidden/>
    <w:qFormat/>
    <w:locked/>
    <w:uiPriority w:val="99"/>
    <w:rPr>
      <w:rFonts w:ascii="Times New Roman" w:hAnsi="Times New Roman" w:cs="Times New Roman"/>
      <w:sz w:val="24"/>
      <w:szCs w:val="24"/>
    </w:rPr>
  </w:style>
  <w:style w:type="character" w:customStyle="1" w:styleId="63">
    <w:name w:val="font101"/>
    <w:qFormat/>
    <w:uiPriority w:val="0"/>
    <w:rPr>
      <w:rFonts w:hint="eastAsia" w:ascii="宋体" w:hAnsi="宋体" w:eastAsia="宋体" w:cs="宋体"/>
      <w:color w:val="000000"/>
      <w:sz w:val="22"/>
      <w:szCs w:val="22"/>
      <w:u w:val="none"/>
    </w:rPr>
  </w:style>
  <w:style w:type="character" w:customStyle="1" w:styleId="64">
    <w:name w:val="页脚 字符"/>
    <w:link w:val="24"/>
    <w:qFormat/>
    <w:locked/>
    <w:uiPriority w:val="99"/>
    <w:rPr>
      <w:rFonts w:cs="Times New Roman"/>
      <w:kern w:val="2"/>
      <w:sz w:val="18"/>
      <w:szCs w:val="18"/>
    </w:rPr>
  </w:style>
  <w:style w:type="character" w:customStyle="1" w:styleId="65">
    <w:name w:val="纯文本 Char"/>
    <w:qFormat/>
    <w:uiPriority w:val="99"/>
    <w:rPr>
      <w:rFonts w:ascii="宋体" w:eastAsia="宋体"/>
      <w:kern w:val="2"/>
      <w:sz w:val="21"/>
      <w:lang w:val="en-US" w:eastAsia="zh-CN"/>
    </w:rPr>
  </w:style>
  <w:style w:type="character" w:customStyle="1" w:styleId="66">
    <w:name w:val="font21"/>
    <w:qFormat/>
    <w:uiPriority w:val="99"/>
    <w:rPr>
      <w:rFonts w:ascii="Times New Roman" w:hAnsi="Times New Roman" w:cs="Times New Roman"/>
      <w:color w:val="000000"/>
      <w:sz w:val="16"/>
      <w:szCs w:val="16"/>
      <w:u w:val="none"/>
    </w:rPr>
  </w:style>
  <w:style w:type="character" w:customStyle="1" w:styleId="67">
    <w:name w:val="页眉 字符"/>
    <w:link w:val="25"/>
    <w:qFormat/>
    <w:locked/>
    <w:uiPriority w:val="99"/>
    <w:rPr>
      <w:rFonts w:cs="Times New Roman"/>
      <w:kern w:val="2"/>
      <w:sz w:val="18"/>
    </w:rPr>
  </w:style>
  <w:style w:type="character" w:customStyle="1" w:styleId="68">
    <w:name w:val="普通文字1 Char2"/>
    <w:qFormat/>
    <w:uiPriority w:val="99"/>
    <w:rPr>
      <w:rFonts w:ascii="宋体" w:eastAsia="宋体"/>
      <w:kern w:val="2"/>
      <w:sz w:val="21"/>
      <w:lang w:val="en-US" w:eastAsia="zh-CN"/>
    </w:rPr>
  </w:style>
  <w:style w:type="character" w:customStyle="1" w:styleId="69">
    <w:name w:val="副标题 字符"/>
    <w:link w:val="28"/>
    <w:qFormat/>
    <w:locked/>
    <w:uiPriority w:val="99"/>
    <w:rPr>
      <w:rFonts w:ascii="Cambria" w:hAnsi="Cambria" w:cs="Times New Roman"/>
      <w:b/>
      <w:kern w:val="28"/>
      <w:sz w:val="32"/>
      <w:szCs w:val="32"/>
    </w:rPr>
  </w:style>
  <w:style w:type="character" w:customStyle="1" w:styleId="70">
    <w:name w:val="标题 2 字符"/>
    <w:qFormat/>
    <w:uiPriority w:val="0"/>
    <w:rPr>
      <w:rFonts w:eastAsia="黑体"/>
      <w:b/>
      <w:sz w:val="28"/>
    </w:rPr>
  </w:style>
  <w:style w:type="character" w:customStyle="1" w:styleId="71">
    <w:name w:val="正文文本 2 字符"/>
    <w:link w:val="35"/>
    <w:semiHidden/>
    <w:qFormat/>
    <w:locked/>
    <w:uiPriority w:val="99"/>
    <w:rPr>
      <w:rFonts w:ascii="Times New Roman" w:hAnsi="Times New Roman" w:cs="Times New Roman"/>
      <w:sz w:val="24"/>
      <w:szCs w:val="24"/>
    </w:rPr>
  </w:style>
  <w:style w:type="character" w:customStyle="1" w:styleId="72">
    <w:name w:val="标题 3 Char"/>
    <w:qFormat/>
    <w:uiPriority w:val="99"/>
    <w:rPr>
      <w:rFonts w:ascii="Arial" w:hAnsi="Arial" w:eastAsia="黑体"/>
      <w:b/>
      <w:sz w:val="28"/>
      <w:lang w:val="en-US" w:eastAsia="zh-CN"/>
    </w:rPr>
  </w:style>
  <w:style w:type="character" w:customStyle="1" w:styleId="73">
    <w:name w:val="正文文本缩进 字符"/>
    <w:link w:val="14"/>
    <w:semiHidden/>
    <w:qFormat/>
    <w:locked/>
    <w:uiPriority w:val="99"/>
    <w:rPr>
      <w:rFonts w:ascii="Times New Roman" w:hAnsi="Times New Roman" w:cs="Times New Roman"/>
      <w:sz w:val="24"/>
      <w:szCs w:val="24"/>
    </w:rPr>
  </w:style>
  <w:style w:type="character" w:customStyle="1" w:styleId="74">
    <w:name w:val="16"/>
    <w:qFormat/>
    <w:uiPriority w:val="99"/>
    <w:rPr>
      <w:rFonts w:ascii="Calibri" w:hAnsi="Calibri" w:cs="Times New Roman"/>
      <w:color w:val="555555"/>
    </w:rPr>
  </w:style>
  <w:style w:type="character" w:customStyle="1" w:styleId="75">
    <w:name w:val="正文文本 3 字符"/>
    <w:link w:val="12"/>
    <w:semiHidden/>
    <w:qFormat/>
    <w:locked/>
    <w:uiPriority w:val="99"/>
    <w:rPr>
      <w:rFonts w:ascii="Times New Roman" w:hAnsi="Times New Roman" w:cs="Times New Roman"/>
      <w:sz w:val="16"/>
      <w:szCs w:val="16"/>
    </w:rPr>
  </w:style>
  <w:style w:type="character" w:customStyle="1" w:styleId="76">
    <w:name w:val="正文文本缩进 3 字符"/>
    <w:link w:val="32"/>
    <w:semiHidden/>
    <w:qFormat/>
    <w:locked/>
    <w:uiPriority w:val="99"/>
    <w:rPr>
      <w:rFonts w:ascii="Times New Roman" w:hAnsi="Times New Roman" w:cs="Times New Roman"/>
      <w:sz w:val="16"/>
      <w:szCs w:val="16"/>
    </w:rPr>
  </w:style>
  <w:style w:type="character" w:customStyle="1" w:styleId="77">
    <w:name w:val="font71"/>
    <w:qFormat/>
    <w:uiPriority w:val="99"/>
    <w:rPr>
      <w:rFonts w:ascii="宋体" w:hAnsi="宋体" w:eastAsia="宋体" w:cs="宋体"/>
      <w:color w:val="000000"/>
      <w:sz w:val="16"/>
      <w:szCs w:val="16"/>
      <w:u w:val="none"/>
    </w:rPr>
  </w:style>
  <w:style w:type="character" w:customStyle="1" w:styleId="78">
    <w:name w:val="文档结构图 字符"/>
    <w:link w:val="9"/>
    <w:semiHidden/>
    <w:qFormat/>
    <w:locked/>
    <w:uiPriority w:val="99"/>
    <w:rPr>
      <w:rFonts w:ascii="Times New Roman" w:hAnsi="Times New Roman" w:cs="Times New Roman"/>
      <w:sz w:val="2"/>
    </w:rPr>
  </w:style>
  <w:style w:type="character" w:customStyle="1" w:styleId="79">
    <w:name w:val="font51"/>
    <w:qFormat/>
    <w:uiPriority w:val="99"/>
    <w:rPr>
      <w:rFonts w:ascii="宋体" w:hAnsi="宋体" w:eastAsia="宋体" w:cs="宋体"/>
      <w:color w:val="000000"/>
      <w:sz w:val="16"/>
      <w:szCs w:val="16"/>
      <w:u w:val="none"/>
    </w:rPr>
  </w:style>
  <w:style w:type="character" w:customStyle="1" w:styleId="80">
    <w:name w:val="font41"/>
    <w:qFormat/>
    <w:uiPriority w:val="99"/>
    <w:rPr>
      <w:rFonts w:ascii="font-weight : 400" w:hAnsi="font-weight : 400" w:cs="font-weight : 400"/>
      <w:color w:val="000000"/>
      <w:sz w:val="16"/>
      <w:szCs w:val="16"/>
      <w:u w:val="none"/>
    </w:rPr>
  </w:style>
  <w:style w:type="character" w:customStyle="1" w:styleId="81">
    <w:name w:val="批注主题 字符"/>
    <w:link w:val="38"/>
    <w:semiHidden/>
    <w:qFormat/>
    <w:locked/>
    <w:uiPriority w:val="99"/>
    <w:rPr>
      <w:rFonts w:ascii="Times New Roman" w:hAnsi="Times New Roman" w:cs="Times New Roman"/>
      <w:b/>
      <w:bCs/>
      <w:sz w:val="24"/>
      <w:szCs w:val="24"/>
    </w:rPr>
  </w:style>
  <w:style w:type="character" w:customStyle="1" w:styleId="82">
    <w:name w:val="副标题 Char"/>
    <w:qFormat/>
    <w:locked/>
    <w:uiPriority w:val="99"/>
    <w:rPr>
      <w:rFonts w:ascii="Cambria" w:hAnsi="Cambria" w:eastAsia="黑体" w:cs="Cambria"/>
      <w:b/>
      <w:kern w:val="28"/>
      <w:sz w:val="32"/>
      <w:szCs w:val="32"/>
    </w:rPr>
  </w:style>
  <w:style w:type="character" w:customStyle="1" w:styleId="83">
    <w:name w:val="批注框文本 字符"/>
    <w:link w:val="23"/>
    <w:qFormat/>
    <w:locked/>
    <w:uiPriority w:val="99"/>
    <w:rPr>
      <w:rFonts w:cs="Times New Roman"/>
      <w:kern w:val="2"/>
      <w:sz w:val="18"/>
    </w:rPr>
  </w:style>
  <w:style w:type="character" w:customStyle="1" w:styleId="84">
    <w:name w:val="标题 1 字符"/>
    <w:qFormat/>
    <w:locked/>
    <w:uiPriority w:val="9"/>
    <w:rPr>
      <w:b/>
      <w:bCs/>
      <w:kern w:val="44"/>
      <w:sz w:val="44"/>
      <w:szCs w:val="44"/>
    </w:rPr>
  </w:style>
  <w:style w:type="character" w:customStyle="1" w:styleId="85">
    <w:name w:val="批注文字 字符"/>
    <w:link w:val="11"/>
    <w:semiHidden/>
    <w:qFormat/>
    <w:locked/>
    <w:uiPriority w:val="99"/>
    <w:rPr>
      <w:rFonts w:ascii="Times New Roman" w:hAnsi="Times New Roman" w:cs="Times New Roman"/>
      <w:sz w:val="24"/>
      <w:szCs w:val="24"/>
    </w:rPr>
  </w:style>
  <w:style w:type="character" w:customStyle="1" w:styleId="86">
    <w:name w:val="正文缩进 字符"/>
    <w:qFormat/>
    <w:uiPriority w:val="99"/>
    <w:rPr>
      <w:rFonts w:eastAsia="宋体"/>
      <w:kern w:val="2"/>
      <w:sz w:val="21"/>
      <w:lang w:val="en-US" w:eastAsia="zh-CN"/>
    </w:rPr>
  </w:style>
  <w:style w:type="paragraph" w:customStyle="1" w:styleId="87">
    <w:name w:val="xl70"/>
    <w:basedOn w:val="1"/>
    <w:qFormat/>
    <w:uiPriority w:val="0"/>
    <w:pPr>
      <w:widowControl/>
      <w:spacing w:before="100" w:beforeAutospacing="1" w:after="100" w:afterAutospacing="1"/>
      <w:jc w:val="left"/>
    </w:pPr>
    <w:rPr>
      <w:rFonts w:ascii="宋体" w:hAnsi="宋体" w:cs="宋体"/>
      <w:b/>
      <w:bCs/>
      <w:color w:val="FF0000"/>
      <w:kern w:val="0"/>
      <w:sz w:val="24"/>
    </w:rPr>
  </w:style>
  <w:style w:type="paragraph" w:customStyle="1" w:styleId="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9">
    <w:name w:val="项目书正文"/>
    <w:basedOn w:val="1"/>
    <w:qFormat/>
    <w:uiPriority w:val="99"/>
    <w:pPr>
      <w:widowControl/>
      <w:spacing w:beforeLines="50" w:afterLines="50" w:line="420" w:lineRule="auto"/>
      <w:ind w:firstLine="200" w:firstLineChars="200"/>
      <w:jc w:val="left"/>
    </w:pPr>
    <w:rPr>
      <w:rFonts w:ascii="Calibri" w:hAnsi="Calibri" w:cs="宋体"/>
      <w:kern w:val="0"/>
      <w:sz w:val="24"/>
      <w:szCs w:val="20"/>
    </w:rPr>
  </w:style>
  <w:style w:type="paragraph" w:customStyle="1" w:styleId="9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91">
    <w:name w:val="正文 New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采购申报表正文"/>
    <w:basedOn w:val="1"/>
    <w:qFormat/>
    <w:uiPriority w:val="99"/>
    <w:rPr>
      <w:rFonts w:ascii="仿宋_GB2312" w:eastAsia="仿宋_GB2312"/>
      <w:szCs w:val="28"/>
    </w:rPr>
  </w:style>
  <w:style w:type="paragraph" w:customStyle="1" w:styleId="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94">
    <w:name w:val="Char Char2 Char"/>
    <w:basedOn w:val="1"/>
    <w:qFormat/>
    <w:uiPriority w:val="99"/>
    <w:pPr>
      <w:keepNext/>
      <w:keepLines/>
      <w:pageBreakBefore/>
      <w:tabs>
        <w:tab w:val="left" w:pos="390"/>
      </w:tabs>
      <w:ind w:left="390" w:hanging="390"/>
    </w:pPr>
    <w:rPr>
      <w:rFonts w:ascii="Tahoma" w:hAnsi="Tahoma"/>
      <w:sz w:val="24"/>
      <w:szCs w:val="20"/>
    </w:rPr>
  </w:style>
  <w:style w:type="paragraph" w:customStyle="1" w:styleId="95">
    <w:name w:val="列出段落11"/>
    <w:basedOn w:val="1"/>
    <w:qFormat/>
    <w:uiPriority w:val="99"/>
    <w:pPr>
      <w:ind w:firstLine="420" w:firstLineChars="200"/>
    </w:pPr>
  </w:style>
  <w:style w:type="paragraph" w:customStyle="1" w:styleId="9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97">
    <w:name w:val="Char Char1 Char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98">
    <w:name w:val="样式1"/>
    <w:basedOn w:val="4"/>
    <w:qFormat/>
    <w:uiPriority w:val="99"/>
  </w:style>
  <w:style w:type="paragraph" w:customStyle="1" w:styleId="99">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01">
    <w:name w:val="xl73"/>
    <w:basedOn w:val="1"/>
    <w:qFormat/>
    <w:uiPriority w:val="0"/>
    <w:pPr>
      <w:widowControl/>
      <w:pBdr>
        <w:lef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02">
    <w:name w:val="p2"/>
    <w:basedOn w:val="1"/>
    <w:qFormat/>
    <w:uiPriority w:val="99"/>
    <w:pPr>
      <w:widowControl/>
      <w:spacing w:line="480" w:lineRule="auto"/>
      <w:ind w:firstLine="420"/>
      <w:jc w:val="left"/>
    </w:pPr>
    <w:rPr>
      <w:rFonts w:ascii="宋体" w:hAnsi="宋体" w:cs="宋体"/>
      <w:kern w:val="0"/>
      <w:szCs w:val="21"/>
    </w:rPr>
  </w:style>
  <w:style w:type="paragraph" w:customStyle="1" w:styleId="103">
    <w:name w:val="列出段落2"/>
    <w:basedOn w:val="1"/>
    <w:qFormat/>
    <w:uiPriority w:val="99"/>
    <w:pPr>
      <w:ind w:firstLine="420" w:firstLineChars="200"/>
    </w:pPr>
  </w:style>
  <w:style w:type="paragraph" w:customStyle="1" w:styleId="104">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color w:val="000000"/>
      <w:kern w:val="0"/>
      <w:sz w:val="24"/>
    </w:rPr>
  </w:style>
  <w:style w:type="paragraph" w:customStyle="1" w:styleId="105">
    <w:name w:val="Char Char Char"/>
    <w:basedOn w:val="1"/>
    <w:qFormat/>
    <w:uiPriority w:val="99"/>
    <w:pPr>
      <w:ind w:firstLine="200" w:firstLineChars="200"/>
    </w:pPr>
    <w:rPr>
      <w:sz w:val="24"/>
    </w:rPr>
  </w:style>
  <w:style w:type="paragraph" w:customStyle="1" w:styleId="106">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7">
    <w:name w:val="Char1"/>
    <w:basedOn w:val="1"/>
    <w:qFormat/>
    <w:uiPriority w:val="99"/>
    <w:pPr>
      <w:widowControl/>
      <w:spacing w:after="160" w:line="240" w:lineRule="exact"/>
      <w:jc w:val="left"/>
    </w:pPr>
  </w:style>
  <w:style w:type="paragraph" w:customStyle="1" w:styleId="108">
    <w:name w:val="正文 New"/>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Char11"/>
    <w:basedOn w:val="1"/>
    <w:qFormat/>
    <w:uiPriority w:val="99"/>
  </w:style>
  <w:style w:type="paragraph" w:customStyle="1" w:styleId="110">
    <w:name w:val="列出段落1"/>
    <w:basedOn w:val="1"/>
    <w:qFormat/>
    <w:uiPriority w:val="99"/>
    <w:pPr>
      <w:ind w:firstLine="420" w:firstLineChars="200"/>
    </w:pPr>
    <w:rPr>
      <w:rFonts w:ascii="Calibri" w:hAnsi="Calibri"/>
      <w:szCs w:val="22"/>
    </w:rPr>
  </w:style>
  <w:style w:type="paragraph" w:customStyle="1" w:styleId="111">
    <w:name w:val="纯文本 New New"/>
    <w:basedOn w:val="1"/>
    <w:next w:val="1"/>
    <w:qFormat/>
    <w:uiPriority w:val="99"/>
    <w:pPr>
      <w:autoSpaceDE w:val="0"/>
      <w:autoSpaceDN w:val="0"/>
      <w:adjustRightInd w:val="0"/>
      <w:jc w:val="left"/>
    </w:pPr>
    <w:rPr>
      <w:rFonts w:ascii="宋体"/>
    </w:rPr>
  </w:style>
  <w:style w:type="paragraph" w:customStyle="1" w:styleId="112">
    <w:name w:val="样式3"/>
    <w:basedOn w:val="5"/>
    <w:qFormat/>
    <w:uiPriority w:val="99"/>
    <w:pPr>
      <w:ind w:left="101" w:hanging="101" w:hangingChars="101"/>
      <w:jc w:val="left"/>
    </w:pPr>
    <w:rPr>
      <w:b w:val="0"/>
      <w:bCs w:val="0"/>
      <w:sz w:val="24"/>
      <w:szCs w:val="24"/>
    </w:rPr>
  </w:style>
  <w:style w:type="paragraph" w:customStyle="1" w:styleId="113">
    <w:name w:val="g3"/>
    <w:basedOn w:val="1"/>
    <w:qFormat/>
    <w:uiPriority w:val="99"/>
    <w:pPr>
      <w:widowControl/>
      <w:spacing w:before="100" w:beforeAutospacing="1" w:after="100" w:afterAutospacing="1" w:line="675" w:lineRule="atLeast"/>
      <w:jc w:val="left"/>
    </w:pPr>
    <w:rPr>
      <w:rFonts w:ascii="华文中宋" w:hAnsi="华文中宋" w:eastAsia="华文中宋"/>
      <w:kern w:val="0"/>
      <w:sz w:val="42"/>
      <w:szCs w:val="42"/>
    </w:rPr>
  </w:style>
  <w:style w:type="paragraph" w:customStyle="1" w:styleId="114">
    <w:name w:val="第四行"/>
    <w:basedOn w:val="1"/>
    <w:qFormat/>
    <w:uiPriority w:val="99"/>
    <w:pPr>
      <w:tabs>
        <w:tab w:val="left" w:pos="1200"/>
      </w:tabs>
      <w:spacing w:line="360" w:lineRule="auto"/>
      <w:jc w:val="center"/>
    </w:pPr>
    <w:rPr>
      <w:rFonts w:ascii="宋体"/>
      <w:b/>
      <w:bCs/>
      <w:spacing w:val="40"/>
      <w:sz w:val="28"/>
      <w:szCs w:val="28"/>
    </w:rPr>
  </w:style>
  <w:style w:type="paragraph" w:customStyle="1" w:styleId="115">
    <w:name w:val="Char Char Char Char Char Char Char Char Char Char Char Char 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16">
    <w:name w:val="列表段落1"/>
    <w:basedOn w:val="1"/>
    <w:qFormat/>
    <w:uiPriority w:val="34"/>
    <w:pPr>
      <w:ind w:firstLine="420" w:firstLineChars="200"/>
    </w:pPr>
  </w:style>
  <w:style w:type="paragraph" w:customStyle="1" w:styleId="117">
    <w:name w:val="xl10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18">
    <w:name w:val="Content"/>
    <w:basedOn w:val="13"/>
    <w:qFormat/>
    <w:uiPriority w:val="99"/>
    <w:pPr>
      <w:spacing w:line="360" w:lineRule="auto"/>
      <w:ind w:firstLine="480"/>
    </w:pPr>
    <w:rPr>
      <w:rFonts w:eastAsia="全真簡粗明"/>
      <w:b/>
      <w:lang w:eastAsia="zh-TW"/>
    </w:rPr>
  </w:style>
  <w:style w:type="paragraph" w:customStyle="1" w:styleId="119">
    <w:name w:val="para"/>
    <w:basedOn w:val="1"/>
    <w:qFormat/>
    <w:uiPriority w:val="99"/>
    <w:pPr>
      <w:widowControl/>
      <w:adjustRightInd w:val="0"/>
      <w:spacing w:before="160" w:line="360" w:lineRule="auto"/>
      <w:ind w:firstLine="425"/>
      <w:textAlignment w:val="baseline"/>
    </w:pPr>
    <w:rPr>
      <w:kern w:val="0"/>
      <w:sz w:val="24"/>
      <w:szCs w:val="20"/>
      <w:lang w:eastAsia="en-US"/>
    </w:rPr>
  </w:style>
  <w:style w:type="paragraph" w:customStyle="1" w:styleId="120">
    <w:name w:val="纯文本 New New New"/>
    <w:basedOn w:val="1"/>
    <w:next w:val="1"/>
    <w:qFormat/>
    <w:uiPriority w:val="99"/>
    <w:pPr>
      <w:autoSpaceDE w:val="0"/>
      <w:autoSpaceDN w:val="0"/>
      <w:adjustRightInd w:val="0"/>
      <w:jc w:val="left"/>
    </w:pPr>
    <w:rPr>
      <w:rFonts w:ascii="宋体"/>
    </w:rPr>
  </w:style>
  <w:style w:type="paragraph" w:customStyle="1" w:styleId="121">
    <w:name w:val="flName"/>
    <w:basedOn w:val="1"/>
    <w:qFormat/>
    <w:uiPriority w:val="99"/>
    <w:pPr>
      <w:adjustRightInd w:val="0"/>
      <w:spacing w:before="320" w:after="160" w:line="360" w:lineRule="atLeast"/>
      <w:jc w:val="center"/>
      <w:textAlignment w:val="baseline"/>
    </w:pPr>
    <w:rPr>
      <w:rFonts w:ascii="Arial" w:eastAsia="黑体" w:cs="Arial"/>
      <w:kern w:val="0"/>
      <w:sz w:val="32"/>
      <w:szCs w:val="32"/>
    </w:rPr>
  </w:style>
  <w:style w:type="paragraph" w:customStyle="1" w:styleId="122">
    <w:name w:val="Table Paragraph"/>
    <w:basedOn w:val="1"/>
    <w:qFormat/>
    <w:uiPriority w:val="99"/>
    <w:pPr>
      <w:jc w:val="center"/>
    </w:pPr>
    <w:rPr>
      <w:rFonts w:ascii="宋体" w:hAnsi="宋体" w:cs="宋体"/>
      <w:lang w:val="zh-CN"/>
    </w:rPr>
  </w:style>
  <w:style w:type="paragraph" w:customStyle="1" w:styleId="123">
    <w:name w:val="_Style 2"/>
    <w:basedOn w:val="1"/>
    <w:qFormat/>
    <w:uiPriority w:val="99"/>
    <w:pPr>
      <w:ind w:firstLine="420" w:firstLineChars="200"/>
    </w:pPr>
  </w:style>
  <w:style w:type="paragraph" w:customStyle="1" w:styleId="124">
    <w:name w:val="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125">
    <w:name w:val="Char"/>
    <w:basedOn w:val="1"/>
    <w:qFormat/>
    <w:uiPriority w:val="99"/>
  </w:style>
  <w:style w:type="paragraph" w:customStyle="1" w:styleId="126">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textAlignment w:val="bottom"/>
    </w:pPr>
    <w:rPr>
      <w:rFonts w:ascii="宋体" w:hAnsi="宋体" w:cs="宋体"/>
      <w:b/>
      <w:bCs/>
      <w:color w:val="000000"/>
      <w:kern w:val="0"/>
      <w:sz w:val="24"/>
    </w:rPr>
  </w:style>
  <w:style w:type="paragraph" w:customStyle="1" w:styleId="127">
    <w:name w:val="样式2"/>
    <w:basedOn w:val="4"/>
    <w:qFormat/>
    <w:uiPriority w:val="99"/>
    <w:pPr>
      <w:spacing w:line="440" w:lineRule="exact"/>
      <w:jc w:val="center"/>
    </w:pPr>
    <w:rPr>
      <w:rFonts w:ascii="宋体" w:hAnsi="宋体"/>
      <w:b w:val="0"/>
      <w:sz w:val="32"/>
    </w:rPr>
  </w:style>
  <w:style w:type="paragraph" w:customStyle="1" w:styleId="128">
    <w:name w:val="_Style 5"/>
    <w:basedOn w:val="1"/>
    <w:qFormat/>
    <w:uiPriority w:val="99"/>
    <w:pPr>
      <w:keepNext/>
      <w:keepLines/>
      <w:pageBreakBefore/>
      <w:tabs>
        <w:tab w:val="left" w:pos="390"/>
      </w:tabs>
      <w:ind w:left="390" w:hanging="390"/>
    </w:pPr>
    <w:rPr>
      <w:rFonts w:ascii="Tahoma" w:hAnsi="Tahoma"/>
      <w:sz w:val="24"/>
      <w:szCs w:val="20"/>
    </w:rPr>
  </w:style>
  <w:style w:type="paragraph" w:customStyle="1" w:styleId="129">
    <w:name w:val="样式 首行缩进:  2 字符"/>
    <w:basedOn w:val="1"/>
    <w:qFormat/>
    <w:uiPriority w:val="99"/>
    <w:pPr>
      <w:spacing w:line="400" w:lineRule="exact"/>
      <w:ind w:firstLine="200" w:firstLineChars="200"/>
    </w:pPr>
    <w:rPr>
      <w:rFonts w:cs="宋体"/>
      <w:sz w:val="24"/>
    </w:rPr>
  </w:style>
  <w:style w:type="paragraph" w:customStyle="1" w:styleId="130">
    <w:name w:val="xl23"/>
    <w:basedOn w:val="1"/>
    <w:qFormat/>
    <w:uiPriority w:val="99"/>
    <w:pPr>
      <w:widowControl/>
      <w:spacing w:before="100" w:beforeAutospacing="1" w:after="100" w:afterAutospacing="1"/>
      <w:jc w:val="center"/>
    </w:pPr>
    <w:rPr>
      <w:rFonts w:ascii="Arial Unicode MS" w:hAnsi="Arial Unicode MS"/>
      <w:kern w:val="0"/>
      <w:sz w:val="24"/>
      <w:szCs w:val="20"/>
    </w:rPr>
  </w:style>
  <w:style w:type="paragraph" w:customStyle="1" w:styleId="131">
    <w:name w:val="纯文本 New New New New"/>
    <w:basedOn w:val="1"/>
    <w:next w:val="1"/>
    <w:qFormat/>
    <w:uiPriority w:val="99"/>
    <w:pPr>
      <w:autoSpaceDE w:val="0"/>
      <w:autoSpaceDN w:val="0"/>
      <w:adjustRightInd w:val="0"/>
      <w:jc w:val="left"/>
    </w:pPr>
    <w:rPr>
      <w:rFonts w:ascii="宋体"/>
    </w:rPr>
  </w:style>
  <w:style w:type="paragraph" w:customStyle="1" w:styleId="132">
    <w:name w:val="p0"/>
    <w:basedOn w:val="1"/>
    <w:qFormat/>
    <w:uiPriority w:val="99"/>
    <w:pPr>
      <w:widowControl/>
    </w:pPr>
    <w:rPr>
      <w:rFonts w:ascii="仿宋" w:eastAsia="仿宋"/>
      <w:kern w:val="0"/>
      <w:sz w:val="32"/>
      <w:szCs w:val="21"/>
    </w:rPr>
  </w:style>
  <w:style w:type="paragraph" w:customStyle="1" w:styleId="133">
    <w:name w:val="表格"/>
    <w:basedOn w:val="1"/>
    <w:qFormat/>
    <w:uiPriority w:val="99"/>
    <w:pPr>
      <w:tabs>
        <w:tab w:val="left" w:pos="1200"/>
      </w:tabs>
      <w:spacing w:line="500" w:lineRule="exact"/>
      <w:jc w:val="center"/>
    </w:pPr>
    <w:rPr>
      <w:rFonts w:ascii="宋体"/>
      <w:sz w:val="24"/>
      <w:szCs w:val="18"/>
    </w:rPr>
  </w:style>
  <w:style w:type="paragraph" w:customStyle="1" w:styleId="134">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35">
    <w:name w:val="xl72"/>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3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37">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38">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139">
    <w:name w:val="xl79"/>
    <w:basedOn w:val="1"/>
    <w:qFormat/>
    <w:uiPriority w:val="0"/>
    <w:pPr>
      <w:widowControl/>
      <w:pBdr>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4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rPr>
  </w:style>
  <w:style w:type="paragraph" w:customStyle="1" w:styleId="14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42">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143">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4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45">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4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4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4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4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15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51">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4"/>
    </w:rPr>
  </w:style>
  <w:style w:type="paragraph" w:customStyle="1" w:styleId="152">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8"/>
      <w:szCs w:val="28"/>
    </w:rPr>
  </w:style>
  <w:style w:type="paragraph" w:customStyle="1" w:styleId="153">
    <w:name w:val="xl9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154">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55">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FF0000"/>
      <w:kern w:val="0"/>
      <w:sz w:val="24"/>
    </w:rPr>
  </w:style>
  <w:style w:type="paragraph" w:customStyle="1" w:styleId="156">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textAlignment w:val="bottom"/>
    </w:pPr>
    <w:rPr>
      <w:rFonts w:ascii="宋体" w:hAnsi="宋体" w:cs="宋体"/>
      <w:b/>
      <w:bCs/>
      <w:kern w:val="0"/>
      <w:sz w:val="24"/>
    </w:rPr>
  </w:style>
  <w:style w:type="paragraph" w:customStyle="1" w:styleId="157">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textAlignment w:val="bottom"/>
    </w:pPr>
    <w:rPr>
      <w:rFonts w:ascii="宋体" w:hAnsi="宋体" w:cs="宋体"/>
      <w:b/>
      <w:bCs/>
      <w:kern w:val="0"/>
      <w:sz w:val="24"/>
    </w:rPr>
  </w:style>
  <w:style w:type="paragraph" w:customStyle="1" w:styleId="158">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textAlignment w:val="bottom"/>
    </w:pPr>
    <w:rPr>
      <w:rFonts w:ascii="宋体" w:hAnsi="宋体" w:cs="宋体"/>
      <w:b/>
      <w:bCs/>
      <w:color w:val="000000"/>
      <w:kern w:val="0"/>
      <w:sz w:val="24"/>
    </w:rPr>
  </w:style>
  <w:style w:type="paragraph" w:customStyle="1" w:styleId="159">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cs="宋体"/>
      <w:b/>
      <w:bCs/>
      <w:kern w:val="0"/>
      <w:sz w:val="24"/>
    </w:rPr>
  </w:style>
  <w:style w:type="paragraph" w:customStyle="1" w:styleId="160">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cs="宋体"/>
      <w:b/>
      <w:bCs/>
      <w:color w:val="000000"/>
      <w:kern w:val="0"/>
      <w:sz w:val="24"/>
    </w:rPr>
  </w:style>
  <w:style w:type="paragraph" w:customStyle="1" w:styleId="161">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62">
    <w:name w:val="xl10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3">
    <w:name w:val="xl11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4">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6">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7">
    <w:name w:val="xl11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8">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rPr>
  </w:style>
  <w:style w:type="paragraph" w:customStyle="1" w:styleId="170">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7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72">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3">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74">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8"/>
      <w:szCs w:val="28"/>
    </w:rPr>
  </w:style>
  <w:style w:type="paragraph" w:customStyle="1" w:styleId="175">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17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8"/>
      <w:szCs w:val="28"/>
    </w:rPr>
  </w:style>
  <w:style w:type="paragraph" w:customStyle="1" w:styleId="17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178">
    <w:name w:val="xl12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C00000"/>
      <w:kern w:val="0"/>
      <w:sz w:val="32"/>
      <w:szCs w:val="32"/>
    </w:rPr>
  </w:style>
  <w:style w:type="paragraph" w:customStyle="1" w:styleId="179">
    <w:name w:val="xl12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36"/>
      <w:szCs w:val="36"/>
    </w:rPr>
  </w:style>
  <w:style w:type="paragraph" w:customStyle="1" w:styleId="180">
    <w:name w:val="xl12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36"/>
      <w:szCs w:val="36"/>
    </w:rPr>
  </w:style>
  <w:style w:type="paragraph" w:customStyle="1" w:styleId="181">
    <w:name w:val="列出段落3"/>
    <w:basedOn w:val="1"/>
    <w:qFormat/>
    <w:uiPriority w:val="99"/>
    <w:pPr>
      <w:ind w:firstLine="420" w:firstLineChars="200"/>
    </w:pPr>
  </w:style>
  <w:style w:type="paragraph" w:customStyle="1" w:styleId="182">
    <w:name w:val="无间隔1"/>
    <w:qFormat/>
    <w:uiPriority w:val="99"/>
    <w:pPr>
      <w:widowControl w:val="0"/>
      <w:spacing w:line="360" w:lineRule="auto"/>
      <w:ind w:firstLine="200" w:firstLineChars="200"/>
      <w:jc w:val="both"/>
      <w:textAlignment w:val="bottom"/>
    </w:pPr>
    <w:rPr>
      <w:rFonts w:ascii="Times New Roman" w:hAnsi="Times New Roman" w:eastAsia="宋体" w:cs="Times New Roman"/>
      <w:sz w:val="24"/>
      <w:lang w:val="en-US" w:eastAsia="zh-CN" w:bidi="ar-SA"/>
    </w:rPr>
  </w:style>
  <w:style w:type="paragraph" w:customStyle="1" w:styleId="183">
    <w:name w:val="正文-2字符首行缩进"/>
    <w:basedOn w:val="1"/>
    <w:qFormat/>
    <w:uiPriority w:val="0"/>
    <w:pPr>
      <w:ind w:firstLine="200" w:firstLineChars="200"/>
    </w:pPr>
  </w:style>
  <w:style w:type="character" w:customStyle="1" w:styleId="184">
    <w:name w:val="标题 1 字符1"/>
    <w:basedOn w:val="41"/>
    <w:link w:val="3"/>
    <w:qFormat/>
    <w:uiPriority w:val="0"/>
    <w:rPr>
      <w:rFonts w:hint="default" w:ascii="Times New Roman" w:hAnsi="Times New Roman" w:eastAsia="宋体" w:cs="Times New Roman"/>
      <w:b/>
      <w:kern w:val="44"/>
      <w:sz w:val="44"/>
      <w:szCs w:val="44"/>
    </w:rPr>
  </w:style>
  <w:style w:type="paragraph" w:customStyle="1" w:styleId="185">
    <w:name w:val="WPSOffice手动目录 1"/>
    <w:qFormat/>
    <w:uiPriority w:val="0"/>
    <w:rPr>
      <w:rFonts w:ascii="Times New Roman" w:hAnsi="Times New Roman" w:eastAsia="宋体" w:cs="Times New Roman"/>
      <w:lang w:val="en-US" w:eastAsia="zh-CN" w:bidi="ar-SA"/>
    </w:rPr>
  </w:style>
  <w:style w:type="paragraph" w:customStyle="1" w:styleId="18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87">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88">
    <w:name w:val="正文1"/>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189">
    <w:name w:val="正文_4"/>
    <w:next w:val="1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0">
    <w:name w:val="表格文字"/>
    <w:basedOn w:val="1"/>
    <w:qFormat/>
    <w:uiPriority w:val="0"/>
    <w:pPr>
      <w:wordWrap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ZYQ</Company>
  <Pages>78</Pages>
  <Words>2862</Words>
  <Characters>3421</Characters>
  <Lines>272</Lines>
  <Paragraphs>76</Paragraphs>
  <TotalTime>1</TotalTime>
  <ScaleCrop>false</ScaleCrop>
  <LinksUpToDate>false</LinksUpToDate>
  <CharactersWithSpaces>3501</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2022-04-20T17:01:00Z</dcterms:created>
  <dc:creator>kaka</dc:creator>
  <cp:lastModifiedBy>Administrator</cp:lastModifiedBy>
  <cp:lastPrinted>2023-03-08T08:18:00Z</cp:lastPrinted>
  <dcterms:modified xsi:type="dcterms:W3CDTF">2026-07-07T08:52:03Z</dcterms:modified>
  <dc:title>附件1</dc:title>
  <cp:revision>588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A4753F4B8DDD4590987C4206EEC676E9</vt:lpwstr>
  </property>
  <property fmtid="{D5CDD505-2E9C-101B-9397-08002B2CF9AE}" pid="4" name="KSOTemplateDocerSaveRecord">
    <vt:lpwstr>eyJoZGlkIjoiNDY0MWNmY2ZjMGI2MDkyZDY4MjBmMjI1ZDRhMjYyMzYiLCJ1c2VySWQiOiIzMTkxMzAwNjcifQ==</vt:lpwstr>
  </property>
</Properties>
</file>