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公开招标文件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潍坊市中心血站云桌面采购项目(二次)</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SDGP370700000202602000363-1</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潍坊市中心血站</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潍坊华成项目管理咨询有限公司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both"/>
      </w:pPr>
      <w:r>
        <w:rPr>
          <w:rFonts w:ascii="仿宋_GB2312" w:hAnsi="仿宋_GB2312" w:cs="仿宋_GB2312" w:eastAsia="仿宋_GB2312"/>
        </w:rPr>
        <w:t>潍坊华成项目管理咨询有限公司</w:t>
      </w:r>
      <w:r>
        <w:rPr>
          <w:rFonts w:ascii="仿宋_GB2312" w:hAnsi="仿宋_GB2312" w:cs="仿宋_GB2312" w:eastAsia="仿宋_GB2312"/>
        </w:rPr>
        <w:t>（以下简称“代理机构”）受</w:t>
      </w:r>
      <w:r>
        <w:rPr>
          <w:rFonts w:ascii="仿宋_GB2312" w:hAnsi="仿宋_GB2312" w:cs="仿宋_GB2312" w:eastAsia="仿宋_GB2312"/>
        </w:rPr>
        <w:t>潍坊市中心血站</w:t>
      </w:r>
      <w:r>
        <w:rPr>
          <w:rFonts w:ascii="仿宋_GB2312" w:hAnsi="仿宋_GB2312" w:cs="仿宋_GB2312" w:eastAsia="仿宋_GB2312"/>
        </w:rPr>
        <w:t>（以下简称“采购人”）委托，对</w:t>
      </w:r>
      <w:r>
        <w:rPr>
          <w:rFonts w:ascii="仿宋_GB2312" w:hAnsi="仿宋_GB2312" w:cs="仿宋_GB2312" w:eastAsia="仿宋_GB2312"/>
        </w:rPr>
        <w:t>潍坊市中心血站云桌面采购项目(二次)</w:t>
      </w:r>
      <w:r>
        <w:rPr>
          <w:rFonts w:ascii="仿宋_GB2312" w:hAnsi="仿宋_GB2312" w:cs="仿宋_GB2312" w:eastAsia="仿宋_GB2312"/>
        </w:rPr>
        <w:t>采用公开招标采购方式进行采购，兹邀请潜在供应商参加。本项目为山东省</w:t>
      </w:r>
      <w:r>
        <w:rPr>
          <w:rFonts w:ascii="仿宋_GB2312" w:hAnsi="仿宋_GB2312" w:cs="仿宋_GB2312" w:eastAsia="仿宋_GB2312"/>
        </w:rPr>
        <w:t>潍坊市本级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SDGP370700000202602000363-1</w:t>
      </w:r>
    </w:p>
    <w:p>
      <w:pPr>
        <w:pStyle w:val="null5"/>
        <w:ind w:firstLine="480"/>
        <w:jc w:val="left"/>
        <w:outlineLvl w:val="2"/>
      </w:pPr>
      <w:r>
        <w:rPr>
          <w:rFonts w:ascii="仿宋_GB2312" w:hAnsi="仿宋_GB2312" w:cs="仿宋_GB2312" w:eastAsia="仿宋_GB2312"/>
          <w:sz w:val="28"/>
          <w:b/>
        </w:rPr>
        <w:t>1.2.项目名称：</w:t>
      </w:r>
      <w:r>
        <w:rPr>
          <w:rFonts w:ascii="仿宋_GB2312" w:hAnsi="仿宋_GB2312" w:cs="仿宋_GB2312" w:eastAsia="仿宋_GB2312"/>
          <w:sz w:val="28"/>
          <w:b/>
        </w:rPr>
        <w:t>潍坊市中心血站云桌面采购项目(二次)</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为满足潍坊市中心血站业务工作需求，为信息化建设提供支持，拟对云桌面进行采购。预算78.44万元。</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本项目以公告的方式邀请供应商参加投标，招标公告在“中国山东政府采购网”（www.ccgp-shandong.gov.cn）发布。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1、具有独立承担民事责任的能力：提供有效的营业执照。</w:t>
      </w:r>
    </w:p>
    <w:p>
      <w:pPr>
        <w:pStyle w:val="null5"/>
        <w:jc w:val="left"/>
      </w:pPr>
      <w:r>
        <w:rPr>
          <w:rFonts w:ascii="仿宋_GB2312" w:hAnsi="仿宋_GB2312" w:cs="仿宋_GB2312" w:eastAsia="仿宋_GB2312"/>
        </w:rPr>
        <w:t>2、单位负责人为同一人或者存在直接控股、管理关系的不同供应商，不得参加同一合同项下的采购活动。：代理机构进行供应商关联性查询。</w:t>
      </w:r>
    </w:p>
    <w:p>
      <w:pPr>
        <w:pStyle w:val="null5"/>
        <w:jc w:val="left"/>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5"/>
        <w:jc w:val="left"/>
      </w:pPr>
      <w:r>
        <w:rPr>
          <w:rFonts w:ascii="仿宋_GB2312" w:hAnsi="仿宋_GB2312" w:cs="仿宋_GB2312" w:eastAsia="仿宋_GB2312"/>
        </w:rPr>
        <w:t>4、参加政府采购活动前三年内，在经营活动中没有重大违法记录。：提供无重大违法记录声明函，加盖公章。</w:t>
      </w:r>
    </w:p>
    <w:p>
      <w:pPr>
        <w:pStyle w:val="null5"/>
        <w:jc w:val="left"/>
      </w:pPr>
      <w:r>
        <w:rPr>
          <w:rFonts w:ascii="仿宋_GB2312" w:hAnsi="仿宋_GB2312" w:cs="仿宋_GB2312" w:eastAsia="仿宋_GB2312"/>
        </w:rPr>
        <w:t>5、投标人无不良信用记录：资格评审阶段，通过“信用中国”、“中国政府采购网”渠道查询投标人信用记录，对查询时列入失信被执行人、重大税收违法失信主体、政府采购严重违法失信行为记录名单的供应商，拒绝其参与政府采购活动。</w:t>
      </w:r>
    </w:p>
    <w:p>
      <w:pPr>
        <w:pStyle w:val="null5"/>
        <w:jc w:val="left"/>
      </w:pPr>
      <w:r>
        <w:rPr>
          <w:rFonts w:ascii="仿宋_GB2312" w:hAnsi="仿宋_GB2312" w:cs="仿宋_GB2312" w:eastAsia="仿宋_GB2312"/>
        </w:rPr>
        <w:t>6、具有履行合同所必需的设备和专业技术能力：具有履行政府采购合同所必需的设备和专业技术能力声明函。</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both"/>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1、生产或销售相关产品，具有承担本项目的能力。：生产或销售相关产品，具有承担本项目的能力。</w:t>
      </w:r>
    </w:p>
    <w:p>
      <w:pPr>
        <w:pStyle w:val="null5"/>
        <w:ind w:firstLine="480"/>
        <w:jc w:val="left"/>
        <w:outlineLvl w:val="2"/>
      </w:pPr>
      <w:r>
        <w:rPr>
          <w:rFonts w:ascii="仿宋_GB2312" w:hAnsi="仿宋_GB2312" w:cs="仿宋_GB2312" w:eastAsia="仿宋_GB2312"/>
          <w:sz w:val="28"/>
          <w:b/>
        </w:rPr>
        <w:t>1.6.招标文件获取时间、方式及地址</w:t>
      </w:r>
    </w:p>
    <w:p>
      <w:pPr>
        <w:pStyle w:val="null5"/>
        <w:ind w:firstLine="480"/>
        <w:jc w:val="both"/>
      </w:pPr>
      <w:r>
        <w:rPr>
          <w:rFonts w:ascii="仿宋_GB2312" w:hAnsi="仿宋_GB2312" w:cs="仿宋_GB2312" w:eastAsia="仿宋_GB2312"/>
        </w:rPr>
        <w:t>一、招标文件获取时间、方式及地址：详见采购公告。</w:t>
      </w:r>
    </w:p>
    <w:p>
      <w:pPr>
        <w:pStyle w:val="null5"/>
        <w:ind w:firstLine="480"/>
        <w:jc w:val="both"/>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5"/>
        <w:ind w:firstLine="480"/>
        <w:jc w:val="both"/>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1.7.投标截止时间及开标时间、方式、地点</w:t>
      </w:r>
    </w:p>
    <w:p>
      <w:pPr>
        <w:pStyle w:val="null5"/>
        <w:ind w:firstLine="480"/>
        <w:jc w:val="both"/>
      </w:pPr>
      <w:r>
        <w:rPr>
          <w:rFonts w:ascii="仿宋_GB2312" w:hAnsi="仿宋_GB2312" w:cs="仿宋_GB2312" w:eastAsia="仿宋_GB2312"/>
        </w:rPr>
        <w:t>一、投标截止时间及开标时间、方式、地点：详见采购公告。</w:t>
      </w:r>
    </w:p>
    <w:p>
      <w:pPr>
        <w:pStyle w:val="null5"/>
        <w:ind w:firstLine="480"/>
        <w:jc w:val="both"/>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5"/>
        <w:ind w:firstLine="480"/>
        <w:jc w:val="both"/>
      </w:pPr>
      <w:r>
        <w:rPr>
          <w:rFonts w:ascii="仿宋_GB2312" w:hAnsi="仿宋_GB2312" w:cs="仿宋_GB2312" w:eastAsia="仿宋_GB2312"/>
        </w:rPr>
        <w:t>三、本项目采取网上开标，采购人或者代理机构通过交易系统“开标/开启大厅”组织在线开标。</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both"/>
      </w:pPr>
      <w:r>
        <w:rPr>
          <w:rFonts w:ascii="仿宋_GB2312" w:hAnsi="仿宋_GB2312" w:cs="仿宋_GB2312" w:eastAsia="仿宋_GB2312"/>
        </w:rPr>
        <w:t>本项目实行电子化采购，供应商应当按照以下要求，参与本次电子化采购活动。</w:t>
      </w:r>
    </w:p>
    <w:p>
      <w:pPr>
        <w:pStyle w:val="null5"/>
        <w:ind w:firstLine="480"/>
        <w:jc w:val="both"/>
      </w:pPr>
      <w:r>
        <w:rPr>
          <w:rFonts w:ascii="仿宋_GB2312" w:hAnsi="仿宋_GB2312" w:cs="仿宋_GB2312" w:eastAsia="仿宋_GB2312"/>
        </w:rPr>
        <w:t>一、供应商参与本项目电子化采购活动的范围主要包括：获取招标文件，编制、签章、加密并提交投标文件，参加开标、解密投标文件和电子评标等。</w:t>
      </w:r>
    </w:p>
    <w:p>
      <w:pPr>
        <w:pStyle w:val="null5"/>
        <w:ind w:firstLine="480"/>
        <w:jc w:val="both"/>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both"/>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潍坊市中心血站</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山东省潍坊市奎文区文化路1886号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261043</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杜新强</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0536-8522076</w:t>
      </w:r>
    </w:p>
    <w:p>
      <w:pPr>
        <w:pStyle w:val="null5"/>
        <w:ind w:firstLine="480"/>
        <w:jc w:val="left"/>
      </w:pPr>
      <w:r>
        <w:rPr>
          <w:rFonts w:ascii="仿宋_GB2312" w:hAnsi="仿宋_GB2312" w:cs="仿宋_GB2312" w:eastAsia="仿宋_GB2312"/>
        </w:rPr>
        <w:t>代理机构：</w:t>
      </w:r>
      <w:r>
        <w:rPr>
          <w:rFonts w:ascii="仿宋_GB2312" w:hAnsi="仿宋_GB2312" w:cs="仿宋_GB2312" w:eastAsia="仿宋_GB2312"/>
        </w:rPr>
        <w:t>潍坊华成项目管理咨询有限公司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山东省潍坊高新区富潍大厦B座6楼</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261061</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宋利伯、宋洪君</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0536-2256757</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ind w:firstLine="480"/>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采购包1：784,400.00元</w:t>
            </w:r>
          </w:p>
          <w:p>
            <w:pPr>
              <w:pStyle w:val="null5"/>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评标方法</w:t>
            </w:r>
          </w:p>
        </w:tc>
        <w:tc>
          <w:tcPr>
            <w:tcW w:type="dxa" w:w="5814"/>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 xml:space="preserve">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投标有效期</w:t>
            </w:r>
          </w:p>
        </w:tc>
        <w:tc>
          <w:tcPr>
            <w:tcW w:type="dxa" w:w="5814"/>
          </w:tcPr>
          <w:p>
            <w:pPr>
              <w:pStyle w:val="null5"/>
              <w:jc w:val="left"/>
            </w:pPr>
            <w:r>
              <w:rPr>
                <w:rFonts w:ascii="仿宋_GB2312" w:hAnsi="仿宋_GB2312" w:cs="仿宋_GB2312" w:eastAsia="仿宋_GB2312"/>
              </w:rPr>
              <w:t>投标有效期为从提交响应文件的截止之日起计算60天（日历日）</w:t>
            </w:r>
            <w:r>
              <w:rPr>
                <w:rFonts w:ascii="仿宋_GB2312" w:hAnsi="仿宋_GB2312" w:cs="仿宋_GB2312" w:eastAsia="仿宋_GB2312"/>
              </w:rPr>
              <w:t>。投标文件未明确投标有效期或者少于前述规定天数的，其投标文件按无效处理。</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代理服务费收费标准：按中标金额的1.5%计算。</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中标结果公告</w:t>
            </w:r>
          </w:p>
        </w:tc>
        <w:tc>
          <w:tcPr>
            <w:tcW w:type="dxa" w:w="5814"/>
          </w:tcPr>
          <w:p>
            <w:pPr>
              <w:pStyle w:val="null5"/>
              <w:jc w:val="left"/>
            </w:pPr>
            <w:r>
              <w:rPr>
                <w:rFonts w:ascii="仿宋_GB2312" w:hAnsi="仿宋_GB2312" w:cs="仿宋_GB2312" w:eastAsia="仿宋_GB2312"/>
              </w:rPr>
              <w:t>中标结果将在“中国山东政府采购网”予以公告。</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是否组织潜在投标人现场考察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是否召开开标前答疑会</w:t>
            </w:r>
          </w:p>
        </w:tc>
        <w:tc>
          <w:tcPr>
            <w:tcW w:type="dxa" w:w="5814"/>
          </w:tcPr>
          <w:p>
            <w:pPr>
              <w:pStyle w:val="null5"/>
              <w:jc w:val="left"/>
            </w:pPr>
            <w:r>
              <w:rPr>
                <w:rFonts w:ascii="仿宋_GB2312" w:hAnsi="仿宋_GB2312" w:cs="仿宋_GB2312" w:eastAsia="仿宋_GB2312"/>
              </w:rPr>
              <w:t>本项目组织标前答疑</w:t>
            </w:r>
          </w:p>
          <w:p>
            <w:pPr>
              <w:pStyle w:val="null5"/>
              <w:jc w:val="left"/>
            </w:pPr>
            <w:r>
              <w:rPr>
                <w:rFonts w:ascii="仿宋_GB2312" w:hAnsi="仿宋_GB2312" w:cs="仿宋_GB2312" w:eastAsia="仿宋_GB2312"/>
              </w:rPr>
              <w:t>答疑地点：通过邮箱hczbweifang@163.com接受答疑。将疑问以书面形式（加盖公章）后发送邮箱。</w:t>
            </w:r>
          </w:p>
          <w:p>
            <w:pPr>
              <w:pStyle w:val="null5"/>
              <w:jc w:val="left"/>
            </w:pPr>
            <w:r>
              <w:rPr>
                <w:rFonts w:ascii="仿宋_GB2312" w:hAnsi="仿宋_GB2312" w:cs="仿宋_GB2312" w:eastAsia="仿宋_GB2312"/>
              </w:rPr>
              <w:t>答疑时间：2026-08-12 10:00:00</w:t>
            </w:r>
          </w:p>
          <w:p>
            <w:pPr>
              <w:pStyle w:val="null5"/>
              <w:jc w:val="left"/>
            </w:pPr>
            <w:r>
              <w:rPr>
                <w:rFonts w:ascii="仿宋_GB2312" w:hAnsi="仿宋_GB2312" w:cs="仿宋_GB2312" w:eastAsia="仿宋_GB2312"/>
              </w:rPr>
              <w:t>联系人：宋利伯、宋洪君</w:t>
            </w:r>
          </w:p>
          <w:p>
            <w:pPr>
              <w:pStyle w:val="null5"/>
              <w:jc w:val="left"/>
            </w:pPr>
            <w:r>
              <w:rPr>
                <w:rFonts w:ascii="仿宋_GB2312" w:hAnsi="仿宋_GB2312" w:cs="仿宋_GB2312" w:eastAsia="仿宋_GB2312"/>
              </w:rPr>
              <w:t>联系电话：0536-2256757</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本项目可兼投1包，本项目可兼中1包</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 2 位，超出小数点位的数值采用四舍五入的方式进行保留。</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本招标文件所称的“以上”、“以下”、“内”、“以内”、“不少于”包括本数；所称的“不足”、“低于”、“超过”不包括本数。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both"/>
      </w:pPr>
      <w:r>
        <w:rPr>
          <w:rFonts w:ascii="仿宋_GB2312" w:hAnsi="仿宋_GB2312" w:cs="仿宋_GB2312" w:eastAsia="仿宋_GB2312"/>
        </w:rPr>
        <w:t>2.2.1.适用范围</w:t>
      </w:r>
    </w:p>
    <w:p>
      <w:pPr>
        <w:pStyle w:val="null5"/>
        <w:ind w:firstLine="480"/>
        <w:jc w:val="both"/>
      </w:pPr>
      <w:r>
        <w:rPr>
          <w:rFonts w:ascii="仿宋_GB2312" w:hAnsi="仿宋_GB2312" w:cs="仿宋_GB2312" w:eastAsia="仿宋_GB2312"/>
        </w:rPr>
        <w:t>一、本招标文件仅适用于本次公开招标采购项目。</w:t>
      </w:r>
    </w:p>
    <w:p>
      <w:pPr>
        <w:pStyle w:val="null5"/>
        <w:ind w:firstLine="480"/>
        <w:jc w:val="both"/>
      </w:pPr>
      <w:r>
        <w:rPr>
          <w:rFonts w:ascii="仿宋_GB2312" w:hAnsi="仿宋_GB2312" w:cs="仿宋_GB2312" w:eastAsia="仿宋_GB2312"/>
        </w:rPr>
        <w:t xml:space="preserve">二、本招标文件由 </w:t>
      </w:r>
      <w:r>
        <w:rPr>
          <w:rFonts w:ascii="仿宋_GB2312" w:hAnsi="仿宋_GB2312" w:cs="仿宋_GB2312" w:eastAsia="仿宋_GB2312"/>
        </w:rPr>
        <w:t>潍坊市中心血站</w:t>
      </w:r>
      <w:r>
        <w:rPr>
          <w:rFonts w:ascii="仿宋_GB2312" w:hAnsi="仿宋_GB2312" w:cs="仿宋_GB2312" w:eastAsia="仿宋_GB2312"/>
        </w:rPr>
        <w:t xml:space="preserve"> 和 </w:t>
      </w:r>
      <w:r>
        <w:rPr>
          <w:rFonts w:ascii="仿宋_GB2312" w:hAnsi="仿宋_GB2312" w:cs="仿宋_GB2312" w:eastAsia="仿宋_GB2312"/>
        </w:rPr>
        <w:t>潍坊华成项目管理咨询有限公司</w:t>
      </w:r>
      <w:r>
        <w:rPr>
          <w:rFonts w:ascii="仿宋_GB2312" w:hAnsi="仿宋_GB2312" w:cs="仿宋_GB2312" w:eastAsia="仿宋_GB2312"/>
        </w:rPr>
        <w:t xml:space="preserve"> 负责解释。</w:t>
      </w:r>
    </w:p>
    <w:p>
      <w:pPr>
        <w:pStyle w:val="null5"/>
        <w:ind w:firstLine="480"/>
        <w:jc w:val="both"/>
      </w:pPr>
      <w:r>
        <w:rPr>
          <w:rFonts w:ascii="仿宋_GB2312" w:hAnsi="仿宋_GB2312" w:cs="仿宋_GB2312" w:eastAsia="仿宋_GB2312"/>
        </w:rPr>
        <w:t>2.2.2.有关定义</w:t>
      </w:r>
    </w:p>
    <w:p>
      <w:pPr>
        <w:pStyle w:val="null5"/>
        <w:ind w:firstLine="480"/>
        <w:jc w:val="both"/>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潍坊市中心血站</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二、“投标人”是指按照采购公告规定获取招标文件，参加投标竞争的法人、其他组织或者自然人。</w:t>
      </w:r>
    </w:p>
    <w:p>
      <w:pPr>
        <w:pStyle w:val="null5"/>
        <w:ind w:firstLine="480"/>
        <w:jc w:val="both"/>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潍坊华成项目管理咨询有限公司</w:t>
      </w:r>
      <w:r>
        <w:rPr>
          <w:rFonts w:ascii="仿宋_GB2312" w:hAnsi="仿宋_GB2312" w:cs="仿宋_GB2312" w:eastAsia="仿宋_GB2312"/>
        </w:rPr>
        <w:t xml:space="preserve"> 。</w:t>
      </w:r>
    </w:p>
    <w:p>
      <w:pPr>
        <w:pStyle w:val="null5"/>
        <w:ind w:firstLine="480"/>
        <w:jc w:val="both"/>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5"/>
        <w:ind w:firstLine="480"/>
        <w:jc w:val="both"/>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5"/>
        <w:ind w:firstLine="480"/>
        <w:jc w:val="left"/>
        <w:outlineLvl w:val="2"/>
      </w:pPr>
      <w:r>
        <w:rPr>
          <w:rFonts w:ascii="仿宋_GB2312" w:hAnsi="仿宋_GB2312" w:cs="仿宋_GB2312" w:eastAsia="仿宋_GB2312"/>
          <w:sz w:val="28"/>
          <w:b/>
        </w:rPr>
        <w:t>2.3.招标文件</w:t>
      </w:r>
    </w:p>
    <w:p>
      <w:pPr>
        <w:pStyle w:val="null5"/>
        <w:ind w:firstLine="480"/>
        <w:jc w:val="both"/>
      </w:pPr>
      <w:r>
        <w:rPr>
          <w:rFonts w:ascii="仿宋_GB2312" w:hAnsi="仿宋_GB2312" w:cs="仿宋_GB2312" w:eastAsia="仿宋_GB2312"/>
        </w:rPr>
        <w:t>2.3.1.招标文件的构成</w:t>
      </w:r>
    </w:p>
    <w:p>
      <w:pPr>
        <w:pStyle w:val="null5"/>
        <w:ind w:firstLine="480"/>
        <w:jc w:val="both"/>
      </w:pPr>
      <w:r>
        <w:rPr>
          <w:rFonts w:ascii="仿宋_GB2312" w:hAnsi="仿宋_GB2312" w:cs="仿宋_GB2312" w:eastAsia="仿宋_GB2312"/>
        </w:rPr>
        <w:t>招标文件由采购人、代理机构编制，是项目采购活动开展的基本依据，主要包括以下内容：</w:t>
      </w:r>
    </w:p>
    <w:p>
      <w:pPr>
        <w:pStyle w:val="null5"/>
        <w:ind w:firstLine="480"/>
        <w:jc w:val="both"/>
      </w:pPr>
      <w:r>
        <w:rPr>
          <w:rFonts w:ascii="仿宋_GB2312" w:hAnsi="仿宋_GB2312" w:cs="仿宋_GB2312" w:eastAsia="仿宋_GB2312"/>
        </w:rPr>
        <w:t>一、投标邀请；</w:t>
      </w:r>
    </w:p>
    <w:p>
      <w:pPr>
        <w:pStyle w:val="null5"/>
        <w:ind w:firstLine="480"/>
        <w:jc w:val="both"/>
      </w:pPr>
      <w:r>
        <w:rPr>
          <w:rFonts w:ascii="仿宋_GB2312" w:hAnsi="仿宋_GB2312" w:cs="仿宋_GB2312" w:eastAsia="仿宋_GB2312"/>
        </w:rPr>
        <w:t>二、投标人须知；</w:t>
      </w:r>
    </w:p>
    <w:p>
      <w:pPr>
        <w:pStyle w:val="null5"/>
        <w:ind w:firstLine="480"/>
        <w:jc w:val="both"/>
      </w:pPr>
      <w:r>
        <w:rPr>
          <w:rFonts w:ascii="仿宋_GB2312" w:hAnsi="仿宋_GB2312" w:cs="仿宋_GB2312" w:eastAsia="仿宋_GB2312"/>
        </w:rPr>
        <w:t>三、技术、服务及其他要求；</w:t>
      </w:r>
    </w:p>
    <w:p>
      <w:pPr>
        <w:pStyle w:val="null5"/>
        <w:ind w:firstLine="480"/>
        <w:jc w:val="both"/>
      </w:pPr>
      <w:r>
        <w:rPr>
          <w:rFonts w:ascii="仿宋_GB2312" w:hAnsi="仿宋_GB2312" w:cs="仿宋_GB2312" w:eastAsia="仿宋_GB2312"/>
        </w:rPr>
        <w:t>四、资格审查；</w:t>
      </w:r>
    </w:p>
    <w:p>
      <w:pPr>
        <w:pStyle w:val="null5"/>
        <w:ind w:firstLine="480"/>
        <w:jc w:val="both"/>
      </w:pPr>
      <w:r>
        <w:rPr>
          <w:rFonts w:ascii="仿宋_GB2312" w:hAnsi="仿宋_GB2312" w:cs="仿宋_GB2312" w:eastAsia="仿宋_GB2312"/>
        </w:rPr>
        <w:t>五、评标办法；</w:t>
      </w:r>
    </w:p>
    <w:p>
      <w:pPr>
        <w:pStyle w:val="null5"/>
        <w:ind w:firstLine="480"/>
        <w:jc w:val="both"/>
      </w:pPr>
      <w:r>
        <w:rPr>
          <w:rFonts w:ascii="仿宋_GB2312" w:hAnsi="仿宋_GB2312" w:cs="仿宋_GB2312" w:eastAsia="仿宋_GB2312"/>
        </w:rPr>
        <w:t>六、投标文件格式；</w:t>
      </w:r>
    </w:p>
    <w:p>
      <w:pPr>
        <w:pStyle w:val="null5"/>
        <w:ind w:firstLine="480"/>
        <w:jc w:val="both"/>
      </w:pPr>
      <w:r>
        <w:rPr>
          <w:rFonts w:ascii="仿宋_GB2312" w:hAnsi="仿宋_GB2312" w:cs="仿宋_GB2312" w:eastAsia="仿宋_GB2312"/>
        </w:rPr>
        <w:t>七、拟签订采购合同文本。</w:t>
      </w:r>
    </w:p>
    <w:p>
      <w:pPr>
        <w:pStyle w:val="null5"/>
        <w:ind w:firstLine="480"/>
        <w:jc w:val="both"/>
      </w:pPr>
      <w:r>
        <w:rPr>
          <w:rFonts w:ascii="仿宋_GB2312" w:hAnsi="仿宋_GB2312" w:cs="仿宋_GB2312" w:eastAsia="仿宋_GB2312"/>
        </w:rPr>
        <w:t>2.3.2.招标文件的澄清或者修改</w:t>
      </w:r>
    </w:p>
    <w:p>
      <w:pPr>
        <w:pStyle w:val="null5"/>
        <w:ind w:firstLine="480"/>
        <w:jc w:val="both"/>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5"/>
        <w:ind w:firstLine="480"/>
        <w:jc w:val="both"/>
      </w:pPr>
      <w:r>
        <w:rPr>
          <w:rFonts w:ascii="仿宋_GB2312" w:hAnsi="仿宋_GB2312" w:cs="仿宋_GB2312" w:eastAsia="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pPr>
        <w:pStyle w:val="null5"/>
        <w:ind w:firstLine="480"/>
        <w:jc w:val="both"/>
      </w:pPr>
      <w:r>
        <w:rPr>
          <w:rFonts w:ascii="仿宋_GB2312" w:hAnsi="仿宋_GB2312" w:cs="仿宋_GB2312" w:eastAsia="仿宋_GB2312"/>
        </w:rPr>
        <w:t>三、投标人根据更正公告、更正信息要求，下载更正后的招标文件，进行投标文件编制。</w:t>
      </w:r>
    </w:p>
    <w:p>
      <w:pPr>
        <w:pStyle w:val="null5"/>
        <w:ind w:firstLine="480"/>
        <w:jc w:val="both"/>
      </w:pPr>
      <w:r>
        <w:rPr>
          <w:rFonts w:ascii="仿宋_GB2312" w:hAnsi="仿宋_GB2312" w:cs="仿宋_GB2312" w:eastAsia="仿宋_GB2312"/>
        </w:rPr>
        <w:t>2.4.投标文件</w:t>
      </w:r>
    </w:p>
    <w:p>
      <w:pPr>
        <w:pStyle w:val="null5"/>
        <w:ind w:firstLine="480"/>
        <w:jc w:val="both"/>
      </w:pPr>
      <w:r>
        <w:rPr>
          <w:rFonts w:ascii="仿宋_GB2312" w:hAnsi="仿宋_GB2312" w:cs="仿宋_GB2312" w:eastAsia="仿宋_GB2312"/>
        </w:rPr>
        <w:t>2.4.1.投标文件的语言</w:t>
      </w:r>
    </w:p>
    <w:p>
      <w:pPr>
        <w:pStyle w:val="null5"/>
        <w:ind w:firstLine="480"/>
        <w:jc w:val="both"/>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5"/>
        <w:ind w:firstLine="480"/>
        <w:jc w:val="both"/>
      </w:pPr>
      <w:r>
        <w:rPr>
          <w:rFonts w:ascii="仿宋_GB2312" w:hAnsi="仿宋_GB2312" w:cs="仿宋_GB2312" w:eastAsia="仿宋_GB2312"/>
        </w:rPr>
        <w:t>（一）投标人的法定代表人为外籍人士的，法定代表人的签字和护照。</w:t>
      </w:r>
    </w:p>
    <w:p>
      <w:pPr>
        <w:pStyle w:val="null5"/>
        <w:ind w:firstLine="480"/>
        <w:jc w:val="both"/>
      </w:pPr>
      <w:r>
        <w:rPr>
          <w:rFonts w:ascii="仿宋_GB2312" w:hAnsi="仿宋_GB2312" w:cs="仿宋_GB2312" w:eastAsia="仿宋_GB2312"/>
        </w:rPr>
        <w:t>（二）对于如生产厂家授权书、原厂技术证明资料及一些行业标准、国家标准、国际标准或者行业认证等需要以非中文表述且不宜翻 译为中文的。</w:t>
      </w:r>
    </w:p>
    <w:p>
      <w:pPr>
        <w:pStyle w:val="null5"/>
        <w:ind w:firstLine="480"/>
        <w:jc w:val="both"/>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both"/>
      </w:pPr>
      <w:r>
        <w:rPr>
          <w:rFonts w:ascii="仿宋_GB2312" w:hAnsi="仿宋_GB2312" w:cs="仿宋_GB2312" w:eastAsia="仿宋_GB2312"/>
        </w:rPr>
        <w:t>三、如因未翻译而造成对投标人的不利后果，由投标人承担。</w:t>
      </w:r>
    </w:p>
    <w:p>
      <w:pPr>
        <w:pStyle w:val="null5"/>
        <w:ind w:firstLine="480"/>
        <w:jc w:val="both"/>
      </w:pPr>
      <w:r>
        <w:rPr>
          <w:rFonts w:ascii="仿宋_GB2312" w:hAnsi="仿宋_GB2312" w:cs="仿宋_GB2312" w:eastAsia="仿宋_GB2312"/>
        </w:rPr>
        <w:t>2.4.2.计量单位</w:t>
      </w:r>
    </w:p>
    <w:p>
      <w:pPr>
        <w:pStyle w:val="null5"/>
        <w:ind w:firstLine="480"/>
        <w:jc w:val="both"/>
      </w:pPr>
      <w:r>
        <w:rPr>
          <w:rFonts w:ascii="仿宋_GB2312" w:hAnsi="仿宋_GB2312" w:cs="仿宋_GB2312" w:eastAsia="仿宋_GB2312"/>
        </w:rPr>
        <w:t>除招标文件中另有规定外，本项目均采用国家法定的计量单位。</w:t>
      </w:r>
    </w:p>
    <w:p>
      <w:pPr>
        <w:pStyle w:val="null5"/>
        <w:ind w:firstLine="480"/>
        <w:jc w:val="both"/>
      </w:pPr>
      <w:r>
        <w:rPr>
          <w:rFonts w:ascii="仿宋_GB2312" w:hAnsi="仿宋_GB2312" w:cs="仿宋_GB2312" w:eastAsia="仿宋_GB2312"/>
        </w:rPr>
        <w:t>2.4.3.投标货币</w:t>
      </w:r>
    </w:p>
    <w:p>
      <w:pPr>
        <w:pStyle w:val="null5"/>
        <w:ind w:firstLine="480"/>
        <w:jc w:val="both"/>
      </w:pPr>
      <w:r>
        <w:rPr>
          <w:rFonts w:ascii="仿宋_GB2312" w:hAnsi="仿宋_GB2312" w:cs="仿宋_GB2312" w:eastAsia="仿宋_GB2312"/>
        </w:rPr>
        <w:t>本项目均以人民币报价。</w:t>
      </w:r>
    </w:p>
    <w:p>
      <w:pPr>
        <w:pStyle w:val="null5"/>
        <w:ind w:firstLine="480"/>
        <w:jc w:val="both"/>
      </w:pPr>
      <w:r>
        <w:rPr>
          <w:rFonts w:ascii="仿宋_GB2312" w:hAnsi="仿宋_GB2312" w:cs="仿宋_GB2312" w:eastAsia="仿宋_GB2312"/>
        </w:rPr>
        <w:t>2.4.4.知识产权</w:t>
      </w:r>
    </w:p>
    <w:p>
      <w:pPr>
        <w:pStyle w:val="null5"/>
        <w:ind w:firstLine="480"/>
        <w:jc w:val="both"/>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5"/>
        <w:ind w:firstLine="480"/>
        <w:jc w:val="both"/>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5"/>
        <w:ind w:firstLine="480"/>
        <w:jc w:val="both"/>
      </w:pPr>
      <w:r>
        <w:rPr>
          <w:rFonts w:ascii="仿宋_GB2312" w:hAnsi="仿宋_GB2312" w:cs="仿宋_GB2312" w:eastAsia="仿宋_GB2312"/>
        </w:rPr>
        <w:t>三、如使用投标人所不拥有的知识产权，则在投标报价中必须包括合法使用该知识产权的相关费用。</w:t>
      </w:r>
    </w:p>
    <w:p>
      <w:pPr>
        <w:pStyle w:val="null5"/>
        <w:ind w:firstLine="480"/>
        <w:jc w:val="both"/>
      </w:pPr>
      <w:r>
        <w:rPr>
          <w:rFonts w:ascii="仿宋_GB2312" w:hAnsi="仿宋_GB2312" w:cs="仿宋_GB2312" w:eastAsia="仿宋_GB2312"/>
        </w:rPr>
        <w:t>2.4.5.投标报价</w:t>
      </w:r>
    </w:p>
    <w:p>
      <w:pPr>
        <w:pStyle w:val="null5"/>
        <w:ind w:firstLine="480"/>
        <w:jc w:val="both"/>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5"/>
        <w:ind w:firstLine="480"/>
        <w:jc w:val="both"/>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5"/>
        <w:ind w:firstLine="480"/>
        <w:jc w:val="both"/>
      </w:pPr>
      <w:r>
        <w:rPr>
          <w:rFonts w:ascii="仿宋_GB2312" w:hAnsi="仿宋_GB2312" w:cs="仿宋_GB2312" w:eastAsia="仿宋_GB2312"/>
        </w:rPr>
        <w:t>2.4.6.投标文件的编制、签章和加密</w:t>
      </w:r>
    </w:p>
    <w:p>
      <w:pPr>
        <w:pStyle w:val="null5"/>
        <w:ind w:firstLine="480"/>
        <w:jc w:val="both"/>
      </w:pPr>
      <w:r>
        <w:rPr>
          <w:rFonts w:ascii="仿宋_GB2312" w:hAnsi="仿宋_GB2312" w:cs="仿宋_GB2312" w:eastAsia="仿宋_GB2312"/>
        </w:rPr>
        <w:t>一、投标人应当按照招标文件规定编制投标文件，招标文件第六章对投标文件格式有要求的，按照格式要求编制投标文件，没有格式 要求的，由投标人自行编写。</w:t>
      </w:r>
    </w:p>
    <w:p>
      <w:pPr>
        <w:pStyle w:val="null5"/>
        <w:ind w:firstLine="480"/>
        <w:jc w:val="both"/>
      </w:pPr>
      <w:r>
        <w:rPr>
          <w:rFonts w:ascii="仿宋_GB2312" w:hAnsi="仿宋_GB2312" w:cs="仿宋_GB2312" w:eastAsia="仿宋_GB2312"/>
        </w:rPr>
        <w:t>二、投标人使用投标（响应）客户端编制投标文件，完成投标文件编制、加盖电子印章和加密。</w:t>
      </w:r>
    </w:p>
    <w:p>
      <w:pPr>
        <w:pStyle w:val="null5"/>
        <w:ind w:firstLine="480"/>
        <w:jc w:val="both"/>
      </w:pPr>
      <w:r>
        <w:rPr>
          <w:rFonts w:ascii="仿宋_GB2312" w:hAnsi="仿宋_GB2312" w:cs="仿宋_GB2312" w:eastAsia="仿宋_GB2312"/>
        </w:rPr>
        <w:t>2.4.7.投标文件的提交</w:t>
      </w:r>
    </w:p>
    <w:p>
      <w:pPr>
        <w:pStyle w:val="null5"/>
        <w:ind w:firstLine="480"/>
        <w:jc w:val="both"/>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5"/>
        <w:ind w:firstLine="480"/>
        <w:jc w:val="both"/>
      </w:pPr>
      <w:r>
        <w:rPr>
          <w:rFonts w:ascii="仿宋_GB2312" w:hAnsi="仿宋_GB2312" w:cs="仿宋_GB2312" w:eastAsia="仿宋_GB2312"/>
        </w:rPr>
        <w:t>未按招标文件和采购平台操作规范编制、确认、加密、盖章和提交的投标文件，将被拒绝接收。</w:t>
      </w:r>
    </w:p>
    <w:p>
      <w:pPr>
        <w:pStyle w:val="null5"/>
        <w:ind w:firstLine="480"/>
        <w:jc w:val="both"/>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5"/>
        <w:ind w:firstLine="480"/>
        <w:jc w:val="both"/>
      </w:pPr>
      <w:r>
        <w:rPr>
          <w:rFonts w:ascii="仿宋_GB2312" w:hAnsi="仿宋_GB2312" w:cs="仿宋_GB2312" w:eastAsia="仿宋_GB2312"/>
        </w:rPr>
        <w:t>三、除投标人外，其他任何单位和个人不得解密投标文件或者调整修改已提交投标文件的内容及提交状态。</w:t>
      </w:r>
    </w:p>
    <w:p>
      <w:pPr>
        <w:pStyle w:val="null5"/>
        <w:ind w:firstLine="480"/>
        <w:jc w:val="both"/>
      </w:pPr>
      <w:r>
        <w:rPr>
          <w:rFonts w:ascii="仿宋_GB2312" w:hAnsi="仿宋_GB2312" w:cs="仿宋_GB2312" w:eastAsia="仿宋_GB2312"/>
        </w:rPr>
        <w:t>2.4.8.投标文件的补充、修改、撤回</w:t>
      </w:r>
    </w:p>
    <w:p>
      <w:pPr>
        <w:pStyle w:val="null5"/>
        <w:ind w:firstLine="480"/>
        <w:jc w:val="both"/>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5"/>
        <w:ind w:firstLine="480"/>
        <w:jc w:val="both"/>
      </w:pPr>
      <w:r>
        <w:rPr>
          <w:rFonts w:ascii="仿宋_GB2312" w:hAnsi="仿宋_GB2312" w:cs="仿宋_GB2312" w:eastAsia="仿宋_GB2312"/>
        </w:rPr>
        <w:t>投标人投标文件撤回后，视为未提交过投标文件。</w:t>
      </w:r>
    </w:p>
    <w:p>
      <w:pPr>
        <w:pStyle w:val="null5"/>
        <w:ind w:firstLine="480"/>
        <w:jc w:val="left"/>
        <w:outlineLvl w:val="2"/>
      </w:pPr>
      <w:r>
        <w:rPr>
          <w:rFonts w:ascii="仿宋_GB2312" w:hAnsi="仿宋_GB2312" w:cs="仿宋_GB2312" w:eastAsia="仿宋_GB2312"/>
          <w:sz w:val="28"/>
          <w:b/>
        </w:rPr>
        <w:t>2.5.开标、资格审查、评标和中标</w:t>
      </w:r>
    </w:p>
    <w:p>
      <w:pPr>
        <w:pStyle w:val="null5"/>
        <w:ind w:firstLine="480"/>
        <w:jc w:val="both"/>
      </w:pPr>
      <w:r>
        <w:rPr>
          <w:rFonts w:ascii="仿宋_GB2312" w:hAnsi="仿宋_GB2312" w:cs="仿宋_GB2312" w:eastAsia="仿宋_GB2312"/>
        </w:rPr>
        <w:t>2.5.1.开标</w:t>
      </w:r>
    </w:p>
    <w:p>
      <w:pPr>
        <w:pStyle w:val="null5"/>
        <w:ind w:firstLine="480"/>
        <w:jc w:val="both"/>
      </w:pPr>
      <w:r>
        <w:rPr>
          <w:rFonts w:ascii="仿宋_GB2312" w:hAnsi="仿宋_GB2312" w:cs="仿宋_GB2312" w:eastAsia="仿宋_GB2312"/>
        </w:rPr>
        <w:t>2.5.1.1.开标程序</w:t>
      </w:r>
    </w:p>
    <w:p>
      <w:pPr>
        <w:pStyle w:val="null5"/>
        <w:ind w:firstLine="480"/>
        <w:jc w:val="both"/>
      </w:pPr>
      <w:r>
        <w:rPr>
          <w:rFonts w:ascii="仿宋_GB2312" w:hAnsi="仿宋_GB2312" w:cs="仿宋_GB2312" w:eastAsia="仿宋_GB2312"/>
        </w:rPr>
        <w:t>投标截止时间后，通过交易系统“开标/开启大厅”网上开标，在线解密投标文件。</w:t>
      </w:r>
    </w:p>
    <w:p>
      <w:pPr>
        <w:pStyle w:val="null5"/>
        <w:ind w:firstLine="480"/>
        <w:jc w:val="both"/>
      </w:pPr>
      <w:r>
        <w:rPr>
          <w:rFonts w:ascii="仿宋_GB2312" w:hAnsi="仿宋_GB2312" w:cs="仿宋_GB2312" w:eastAsia="仿宋_GB2312"/>
        </w:rPr>
        <w:t>2.5.1.2.解密投标文件</w:t>
      </w:r>
    </w:p>
    <w:p>
      <w:pPr>
        <w:pStyle w:val="null5"/>
        <w:ind w:firstLine="480"/>
        <w:jc w:val="left"/>
      </w:pPr>
      <w:r>
        <w:rPr>
          <w:rFonts w:ascii="仿宋_GB2312" w:hAnsi="仿宋_GB2312" w:cs="仿宋_GB2312" w:eastAsia="仿宋_GB2312"/>
        </w:rPr>
        <w:t>投标截止时间后，成功提交投标文件的投标人符合招标文件规定数量的，代理机构将启动投标文件解密程序，解密时间为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分钟；投标人应在规定的解密时间内，使用加密投标文件的数字证书进行投标文件解密。除因平台系统故障导致投标人未按时完成解密外，投标人未在规定的解密时间内完成解密的，按无效投标处理。</w:t>
      </w:r>
    </w:p>
    <w:p>
      <w:pPr>
        <w:pStyle w:val="null5"/>
        <w:ind w:firstLine="480"/>
        <w:jc w:val="both"/>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5"/>
        <w:ind w:firstLine="480"/>
        <w:jc w:val="both"/>
      </w:pPr>
      <w:r>
        <w:rPr>
          <w:rFonts w:ascii="仿宋_GB2312" w:hAnsi="仿宋_GB2312" w:cs="仿宋_GB2312" w:eastAsia="仿宋_GB2312"/>
        </w:rPr>
        <w:t>开标过程中，投标人对开标过程有疑义，可向代理机构提出询问，代理机构应当及时予以答复。</w:t>
      </w:r>
    </w:p>
    <w:p>
      <w:pPr>
        <w:pStyle w:val="null5"/>
        <w:ind w:firstLine="480"/>
        <w:jc w:val="both"/>
      </w:pPr>
      <w:r>
        <w:rPr>
          <w:rFonts w:ascii="仿宋_GB2312" w:hAnsi="仿宋_GB2312" w:cs="仿宋_GB2312" w:eastAsia="仿宋_GB2312"/>
        </w:rPr>
        <w:t>投标人完成投标文件解密后，自主决定是否参加在线开标，未参加的，视同认可开标结果。</w:t>
      </w:r>
    </w:p>
    <w:p>
      <w:pPr>
        <w:pStyle w:val="null5"/>
        <w:ind w:firstLine="480"/>
        <w:jc w:val="both"/>
      </w:pPr>
      <w:r>
        <w:rPr>
          <w:rFonts w:ascii="仿宋_GB2312" w:hAnsi="仿宋_GB2312" w:cs="仿宋_GB2312" w:eastAsia="仿宋_GB2312"/>
        </w:rPr>
        <w:t>成功提交或者成功解密电子投标文件的投标人不足 3 家的，采购人或者代理机构将作废标处理。</w:t>
      </w:r>
    </w:p>
    <w:p>
      <w:pPr>
        <w:pStyle w:val="null5"/>
        <w:ind w:firstLine="480"/>
        <w:jc w:val="both"/>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pPr>
        <w:pStyle w:val="null5"/>
        <w:ind w:firstLine="480"/>
        <w:jc w:val="both"/>
      </w:pPr>
      <w:r>
        <w:rPr>
          <w:rFonts w:ascii="仿宋_GB2312" w:hAnsi="仿宋_GB2312" w:cs="仿宋_GB2312" w:eastAsia="仿宋_GB2312"/>
        </w:rPr>
        <w:t>2.5.3.资格审查</w:t>
      </w:r>
    </w:p>
    <w:p>
      <w:pPr>
        <w:pStyle w:val="null5"/>
        <w:ind w:firstLine="480"/>
        <w:jc w:val="both"/>
      </w:pPr>
      <w:r>
        <w:rPr>
          <w:rFonts w:ascii="仿宋_GB2312" w:hAnsi="仿宋_GB2312" w:cs="仿宋_GB2312" w:eastAsia="仿宋_GB2312"/>
        </w:rPr>
        <w:t>详见招标文件第四章。</w:t>
      </w:r>
    </w:p>
    <w:p>
      <w:pPr>
        <w:pStyle w:val="null5"/>
        <w:ind w:firstLine="480"/>
        <w:jc w:val="both"/>
      </w:pPr>
      <w:r>
        <w:rPr>
          <w:rFonts w:ascii="仿宋_GB2312" w:hAnsi="仿宋_GB2312" w:cs="仿宋_GB2312" w:eastAsia="仿宋_GB2312"/>
        </w:rPr>
        <w:t>2.5.4.评标</w:t>
      </w:r>
    </w:p>
    <w:p>
      <w:pPr>
        <w:pStyle w:val="null5"/>
        <w:ind w:firstLine="480"/>
        <w:jc w:val="both"/>
      </w:pPr>
      <w:r>
        <w:rPr>
          <w:rFonts w:ascii="仿宋_GB2312" w:hAnsi="仿宋_GB2312" w:cs="仿宋_GB2312" w:eastAsia="仿宋_GB2312"/>
        </w:rPr>
        <w:t>详见招标文件第五章。</w:t>
      </w:r>
    </w:p>
    <w:p>
      <w:pPr>
        <w:pStyle w:val="null5"/>
        <w:ind w:firstLine="480"/>
        <w:jc w:val="both"/>
      </w:pPr>
      <w:r>
        <w:rPr>
          <w:rFonts w:ascii="仿宋_GB2312" w:hAnsi="仿宋_GB2312" w:cs="仿宋_GB2312" w:eastAsia="仿宋_GB2312"/>
        </w:rPr>
        <w:t>2.5.5.中标通知书</w:t>
      </w:r>
    </w:p>
    <w:p>
      <w:pPr>
        <w:pStyle w:val="null5"/>
        <w:ind w:firstLine="480"/>
        <w:jc w:val="both"/>
      </w:pPr>
      <w:r>
        <w:rPr>
          <w:rFonts w:ascii="仿宋_GB2312" w:hAnsi="仿宋_GB2312" w:cs="仿宋_GB2312" w:eastAsia="仿宋_GB2312"/>
        </w:rPr>
        <w:t>一、采购人或者评标委员会确认中标人后，代理机构在“中国山东政府采购网”发布中标结果公告、通过交易系统发出中标通知书，中标人通过交易系统获取中标通知书。</w:t>
      </w:r>
    </w:p>
    <w:p>
      <w:pPr>
        <w:pStyle w:val="null5"/>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5"/>
        <w:ind w:firstLine="480"/>
        <w:jc w:val="left"/>
      </w:pPr>
      <w:r>
        <w:rPr>
          <w:rFonts w:ascii="仿宋_GB2312" w:hAnsi="仿宋_GB2312" w:cs="仿宋_GB2312" w:eastAsia="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both"/>
      </w:pPr>
      <w:r>
        <w:rPr>
          <w:rFonts w:ascii="仿宋_GB2312" w:hAnsi="仿宋_GB2312" w:cs="仿宋_GB2312" w:eastAsia="仿宋_GB2312"/>
        </w:rPr>
        <w:t>2.6.1.签订合同</w:t>
      </w:r>
    </w:p>
    <w:p>
      <w:pPr>
        <w:pStyle w:val="null5"/>
        <w:ind w:firstLine="480"/>
        <w:jc w:val="both"/>
      </w:pPr>
      <w:r>
        <w:rPr>
          <w:rFonts w:ascii="仿宋_GB2312" w:hAnsi="仿宋_GB2312" w:cs="仿宋_GB2312" w:eastAsia="仿宋_GB2312"/>
        </w:rPr>
        <w:t>一、采购人应在中标通知书发出之日起30 日内与中标人签订书面合同，采购人因不可抗力原因迟延签订合同的，应当自不可抗力事由消除之日起 7 日内完成合同签订事宜。</w:t>
      </w:r>
    </w:p>
    <w:p>
      <w:pPr>
        <w:pStyle w:val="null5"/>
        <w:ind w:firstLine="480"/>
        <w:jc w:val="both"/>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5"/>
        <w:ind w:firstLine="480"/>
        <w:jc w:val="both"/>
      </w:pPr>
      <w:r>
        <w:rPr>
          <w:rFonts w:ascii="仿宋_GB2312" w:hAnsi="仿宋_GB2312" w:cs="仿宋_GB2312" w:eastAsia="仿宋_GB2312"/>
        </w:rPr>
        <w:t>三、政府采购合同自采购人和中标人在书面合同上签章之日起生效。</w:t>
      </w:r>
    </w:p>
    <w:p>
      <w:pPr>
        <w:pStyle w:val="null5"/>
        <w:ind w:firstLine="480"/>
        <w:jc w:val="both"/>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5"/>
        <w:ind w:firstLine="480"/>
        <w:jc w:val="both"/>
      </w:pPr>
      <w:r>
        <w:rPr>
          <w:rFonts w:ascii="仿宋_GB2312" w:hAnsi="仿宋_GB2312" w:cs="仿宋_GB2312" w:eastAsia="仿宋_GB2312"/>
        </w:rPr>
        <w:t>2.6.2.政府采购合同公告、备案</w:t>
      </w:r>
    </w:p>
    <w:p>
      <w:pPr>
        <w:pStyle w:val="null5"/>
        <w:ind w:firstLine="480"/>
        <w:jc w:val="both"/>
      </w:pPr>
      <w:r>
        <w:rPr>
          <w:rFonts w:ascii="仿宋_GB2312" w:hAnsi="仿宋_GB2312" w:cs="仿宋_GB2312" w:eastAsia="仿宋_GB2312"/>
        </w:rPr>
        <w:t>政府采购合同签订之日起 2 个工作日内，采购人将政府采购合同在“中国山东政府采购网”予以公告；政府采购合同签订之日起 7 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both"/>
      </w:pPr>
      <w:r>
        <w:rPr>
          <w:rFonts w:ascii="仿宋_GB2312" w:hAnsi="仿宋_GB2312" w:cs="仿宋_GB2312" w:eastAsia="仿宋_GB2312"/>
        </w:rPr>
        <w:t>2.6.3.合同分包和转包</w:t>
      </w:r>
    </w:p>
    <w:p>
      <w:pPr>
        <w:pStyle w:val="null5"/>
        <w:ind w:firstLine="480"/>
        <w:jc w:val="both"/>
      </w:pPr>
      <w:r>
        <w:rPr>
          <w:rFonts w:ascii="仿宋_GB2312" w:hAnsi="仿宋_GB2312" w:cs="仿宋_GB2312" w:eastAsia="仿宋_GB2312"/>
        </w:rPr>
        <w:t>2.6.3.1.合同分包</w:t>
      </w:r>
    </w:p>
    <w:p>
      <w:pPr>
        <w:pStyle w:val="null5"/>
        <w:ind w:firstLine="480"/>
        <w:jc w:val="left"/>
      </w:pPr>
      <w:r>
        <w:rPr>
          <w:rFonts w:ascii="仿宋_GB2312" w:hAnsi="仿宋_GB2312" w:cs="仿宋_GB2312" w:eastAsia="仿宋_GB2312"/>
        </w:rPr>
        <w:t>采购包1：不允许分包；</w:t>
      </w:r>
    </w:p>
    <w:p>
      <w:pPr>
        <w:pStyle w:val="null5"/>
        <w:ind w:firstLine="480"/>
        <w:jc w:val="both"/>
      </w:pPr>
      <w:r>
        <w:rPr>
          <w:rFonts w:ascii="仿宋_GB2312" w:hAnsi="仿宋_GB2312" w:cs="仿宋_GB2312" w:eastAsia="仿宋_GB2312"/>
        </w:rPr>
        <w:t>注：</w:t>
      </w:r>
    </w:p>
    <w:p>
      <w:pPr>
        <w:pStyle w:val="null5"/>
        <w:ind w:firstLine="480"/>
        <w:jc w:val="both"/>
      </w:pPr>
      <w:r>
        <w:rPr>
          <w:rFonts w:ascii="仿宋_GB2312" w:hAnsi="仿宋_GB2312" w:cs="仿宋_GB2312" w:eastAsia="仿宋_GB2312"/>
        </w:rPr>
        <w:t>1.投标人根据招标文件的规定和采购项目的实际情况，拟在中标后将中标项目的非主体、非关键性工作分包的，应当在投标文件中载明分包承担主体，分包承担主体应当具备相应资质条件且不得再次分包。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5"/>
        <w:ind w:firstLine="480"/>
        <w:jc w:val="both"/>
      </w:pPr>
      <w:r>
        <w:rPr>
          <w:rFonts w:ascii="仿宋_GB2312" w:hAnsi="仿宋_GB2312" w:cs="仿宋_GB2312" w:eastAsia="仿宋_GB2312"/>
        </w:rPr>
        <w:t>2.采购合同实行分包履行的，中标人就采购项目和分包项目向采购人负责，分包供应商就分包项目承担责任。</w:t>
      </w:r>
    </w:p>
    <w:p>
      <w:pPr>
        <w:pStyle w:val="null5"/>
        <w:ind w:firstLine="480"/>
        <w:jc w:val="both"/>
      </w:pPr>
      <w:r>
        <w:rPr>
          <w:rFonts w:ascii="仿宋_GB2312" w:hAnsi="仿宋_GB2312" w:cs="仿宋_GB2312" w:eastAsia="仿宋_GB2312"/>
        </w:rPr>
        <w:t>3.中小企业依据《政府采购促进中小企业发展管理办法》（财库〔2020〕46 号） 规定的政策获取政府采购合同后，小型、微型企业，不得将合同分包给大型、中型企业，中型企业不得将合同分包给大型企业。</w:t>
      </w:r>
    </w:p>
    <w:p>
      <w:pPr>
        <w:pStyle w:val="null5"/>
        <w:ind w:firstLine="480"/>
        <w:jc w:val="both"/>
      </w:pPr>
      <w:r>
        <w:rPr>
          <w:rFonts w:ascii="仿宋_GB2312" w:hAnsi="仿宋_GB2312" w:cs="仿宋_GB2312" w:eastAsia="仿宋_GB2312"/>
        </w:rPr>
        <w:t>2.6.3.2.合同转包</w:t>
      </w:r>
    </w:p>
    <w:p>
      <w:pPr>
        <w:pStyle w:val="null5"/>
        <w:ind w:firstLine="480"/>
        <w:jc w:val="both"/>
      </w:pPr>
      <w:r>
        <w:rPr>
          <w:rFonts w:ascii="仿宋_GB2312" w:hAnsi="仿宋_GB2312" w:cs="仿宋_GB2312" w:eastAsia="仿宋_GB2312"/>
        </w:rPr>
        <w:t>一、严禁中标人将本项目合同转包。</w:t>
      </w:r>
    </w:p>
    <w:p>
      <w:pPr>
        <w:pStyle w:val="null5"/>
        <w:ind w:firstLine="480"/>
        <w:jc w:val="both"/>
      </w:pPr>
      <w:r>
        <w:rPr>
          <w:rFonts w:ascii="仿宋_GB2312" w:hAnsi="仿宋_GB2312" w:cs="仿宋_GB2312" w:eastAsia="仿宋_GB2312"/>
        </w:rPr>
        <w:t>二、中标人将合同转包的，将依法追究法律责任。</w:t>
      </w:r>
    </w:p>
    <w:p>
      <w:pPr>
        <w:pStyle w:val="null5"/>
        <w:ind w:firstLine="480"/>
        <w:jc w:val="both"/>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5"/>
        <w:ind w:firstLine="480"/>
        <w:jc w:val="both"/>
      </w:pPr>
      <w:r>
        <w:rPr>
          <w:rFonts w:ascii="仿宋_GB2312" w:hAnsi="仿宋_GB2312" w:cs="仿宋_GB2312" w:eastAsia="仿宋_GB2312"/>
        </w:rPr>
        <w:t>2.6.5.履行合同</w:t>
      </w:r>
    </w:p>
    <w:p>
      <w:pPr>
        <w:pStyle w:val="null5"/>
        <w:ind w:firstLine="480"/>
        <w:jc w:val="both"/>
      </w:pPr>
      <w:r>
        <w:rPr>
          <w:rFonts w:ascii="仿宋_GB2312" w:hAnsi="仿宋_GB2312" w:cs="仿宋_GB2312" w:eastAsia="仿宋_GB2312"/>
        </w:rPr>
        <w:t>一、采购人与中标人应当根据合同的约定依法履行合同义务。</w:t>
      </w:r>
    </w:p>
    <w:p>
      <w:pPr>
        <w:pStyle w:val="null5"/>
        <w:ind w:firstLine="480"/>
        <w:jc w:val="both"/>
      </w:pPr>
      <w:r>
        <w:rPr>
          <w:rFonts w:ascii="仿宋_GB2312" w:hAnsi="仿宋_GB2312" w:cs="仿宋_GB2312" w:eastAsia="仿宋_GB2312"/>
        </w:rPr>
        <w:t>二、政府采购合同的履行、违约责任和解决争议的方法等适用《中华人民共和国民法典》。</w:t>
      </w:r>
    </w:p>
    <w:p>
      <w:pPr>
        <w:pStyle w:val="null5"/>
        <w:ind w:firstLine="480"/>
        <w:jc w:val="both"/>
      </w:pPr>
      <w:r>
        <w:rPr>
          <w:rFonts w:ascii="仿宋_GB2312" w:hAnsi="仿宋_GB2312" w:cs="仿宋_GB2312" w:eastAsia="仿宋_GB2312"/>
        </w:rPr>
        <w:t>2.6.6.履约验收方案</w:t>
      </w:r>
    </w:p>
    <w:p>
      <w:pPr>
        <w:pStyle w:val="null5"/>
        <w:ind w:firstLine="480"/>
        <w:jc w:val="both"/>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both"/>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both"/>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完成招标文件要求的全部内容，甲方组织验收</w:t>
      </w:r>
    </w:p>
    <w:p>
      <w:pPr>
        <w:pStyle w:val="null5"/>
        <w:ind w:firstLine="480"/>
        <w:jc w:val="both"/>
      </w:pPr>
      <w:r>
        <w:rPr>
          <w:rFonts w:ascii="仿宋_GB2312" w:hAnsi="仿宋_GB2312" w:cs="仿宋_GB2312" w:eastAsia="仿宋_GB2312"/>
        </w:rPr>
        <w:t>四、验收组织的其他事项：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本项目验收按照《山东省财政厅关于进一步加强政府采购履约验收工作的指导意见》及采购文件相关要求由采购人及成交供应商双方共同组织实施。</w:t>
      </w:r>
    </w:p>
    <w:p>
      <w:pPr>
        <w:pStyle w:val="null5"/>
        <w:ind w:firstLine="480"/>
        <w:jc w:val="both"/>
      </w:pPr>
      <w:r>
        <w:rPr>
          <w:rFonts w:ascii="仿宋_GB2312" w:hAnsi="仿宋_GB2312" w:cs="仿宋_GB2312" w:eastAsia="仿宋_GB2312"/>
        </w:rPr>
        <w:t>五、技术履约验收内容：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完成招标文件要求的全部内容，符合招标文件及国家相关标准要求。</w:t>
      </w:r>
    </w:p>
    <w:p>
      <w:pPr>
        <w:pStyle w:val="null5"/>
        <w:ind w:firstLine="480"/>
        <w:jc w:val="both"/>
      </w:pPr>
      <w:r>
        <w:rPr>
          <w:rFonts w:ascii="仿宋_GB2312" w:hAnsi="仿宋_GB2312" w:cs="仿宋_GB2312" w:eastAsia="仿宋_GB2312"/>
        </w:rPr>
        <w:t>六、商务履约验收内容：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根据采购人需求及时供货</w:t>
      </w:r>
    </w:p>
    <w:p>
      <w:pPr>
        <w:pStyle w:val="null5"/>
        <w:ind w:firstLine="480"/>
        <w:jc w:val="both"/>
      </w:pPr>
      <w:r>
        <w:rPr>
          <w:rFonts w:ascii="仿宋_GB2312" w:hAnsi="仿宋_GB2312" w:cs="仿宋_GB2312" w:eastAsia="仿宋_GB2312"/>
        </w:rPr>
        <w:t>七、履约验收标准：</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招标文件要求及国家相关标准</w:t>
      </w:r>
    </w:p>
    <w:p>
      <w:pPr>
        <w:pStyle w:val="null5"/>
        <w:ind w:firstLine="480"/>
        <w:jc w:val="both"/>
      </w:pPr>
      <w:r>
        <w:rPr>
          <w:rFonts w:ascii="仿宋_GB2312" w:hAnsi="仿宋_GB2312" w:cs="仿宋_GB2312" w:eastAsia="仿宋_GB2312"/>
        </w:rPr>
        <w:t>八、履约验收其他事项：</w:t>
      </w:r>
    </w:p>
    <w:p>
      <w:pPr>
        <w:pStyle w:val="null5"/>
        <w:ind w:firstLine="480"/>
        <w:jc w:val="both"/>
      </w:pPr>
      <w:r>
        <w:rPr>
          <w:rFonts w:ascii="仿宋_GB2312" w:hAnsi="仿宋_GB2312" w:cs="仿宋_GB2312" w:eastAsia="仿宋_GB2312"/>
        </w:rPr>
        <w:t>采购包1：</w:t>
      </w:r>
      <w:r>
        <w:rPr>
          <w:rFonts w:ascii="仿宋_GB2312" w:hAnsi="仿宋_GB2312" w:cs="仿宋_GB2312" w:eastAsia="仿宋_GB2312"/>
        </w:rPr>
        <w:t>执行《山东省财政厅关于进一步加强政府采购履约验收工作的指导意见》及采购文件相关要求</w:t>
      </w:r>
    </w:p>
    <w:p>
      <w:pPr>
        <w:pStyle w:val="null5"/>
        <w:ind w:firstLine="480"/>
        <w:jc w:val="both"/>
      </w:pPr>
      <w:r>
        <w:rPr>
          <w:rFonts w:ascii="仿宋_GB2312" w:hAnsi="仿宋_GB2312" w:cs="仿宋_GB2312" w:eastAsia="仿宋_GB2312"/>
        </w:rPr>
        <w:t>2.6.7.资金支付</w:t>
      </w:r>
    </w:p>
    <w:p>
      <w:pPr>
        <w:pStyle w:val="null5"/>
        <w:ind w:firstLine="480"/>
        <w:jc w:val="both"/>
      </w:pPr>
      <w:r>
        <w:rPr>
          <w:rFonts w:ascii="仿宋_GB2312" w:hAnsi="仿宋_GB2312" w:cs="仿宋_GB2312" w:eastAsia="仿宋_GB2312"/>
        </w:rPr>
        <w:t>采购人将按照政府采购合同规定，及时向中标人支付采购资金。具体支付约定详见第三章。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both"/>
      </w:pPr>
      <w:r>
        <w:rPr>
          <w:rFonts w:ascii="仿宋_GB2312" w:hAnsi="仿宋_GB2312" w:cs="仿宋_GB2312" w:eastAsia="仿宋_GB2312"/>
        </w:rPr>
        <w:t>2.7.1.保密要求</w:t>
      </w:r>
    </w:p>
    <w:p>
      <w:pPr>
        <w:pStyle w:val="null5"/>
        <w:ind w:firstLine="480"/>
        <w:jc w:val="both"/>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5"/>
        <w:ind w:firstLine="480"/>
        <w:jc w:val="both"/>
      </w:pPr>
      <w:r>
        <w:rPr>
          <w:rFonts w:ascii="仿宋_GB2312" w:hAnsi="仿宋_GB2312" w:cs="仿宋_GB2312" w:eastAsia="仿宋_GB2312"/>
        </w:rPr>
        <w:t>有关人员对评标情况以及在评标过程中获悉的国家秘密、商业秘密负有保密责任。</w:t>
      </w:r>
    </w:p>
    <w:p>
      <w:pPr>
        <w:pStyle w:val="null5"/>
        <w:ind w:firstLine="480"/>
        <w:jc w:val="both"/>
      </w:pPr>
      <w:r>
        <w:rPr>
          <w:rFonts w:ascii="仿宋_GB2312" w:hAnsi="仿宋_GB2312" w:cs="仿宋_GB2312" w:eastAsia="仿宋_GB2312"/>
        </w:rPr>
        <w:t>2.7.2.投标人不得具有的情形</w:t>
      </w:r>
    </w:p>
    <w:p>
      <w:pPr>
        <w:pStyle w:val="null5"/>
        <w:ind w:firstLine="480"/>
        <w:jc w:val="both"/>
      </w:pPr>
      <w:r>
        <w:rPr>
          <w:rFonts w:ascii="仿宋_GB2312" w:hAnsi="仿宋_GB2312" w:cs="仿宋_GB2312" w:eastAsia="仿宋_GB2312"/>
        </w:rPr>
        <w:t>投标人参加投标不得有下列情形：</w:t>
      </w:r>
    </w:p>
    <w:p>
      <w:pPr>
        <w:pStyle w:val="null5"/>
        <w:ind w:firstLine="480"/>
        <w:jc w:val="both"/>
      </w:pPr>
      <w:r>
        <w:rPr>
          <w:rFonts w:ascii="仿宋_GB2312" w:hAnsi="仿宋_GB2312" w:cs="仿宋_GB2312" w:eastAsia="仿宋_GB2312"/>
        </w:rPr>
        <w:t>一、有下列情形之一的，视为投标人串通投标：</w:t>
      </w:r>
    </w:p>
    <w:p>
      <w:pPr>
        <w:pStyle w:val="null5"/>
        <w:ind w:firstLine="480"/>
        <w:jc w:val="both"/>
      </w:pPr>
      <w:r>
        <w:rPr>
          <w:rFonts w:ascii="仿宋_GB2312" w:hAnsi="仿宋_GB2312" w:cs="仿宋_GB2312" w:eastAsia="仿宋_GB2312"/>
        </w:rPr>
        <w:t>（一）不同投标人的投标文件由同一单位或者个人编制；</w:t>
      </w:r>
    </w:p>
    <w:p>
      <w:pPr>
        <w:pStyle w:val="null5"/>
        <w:ind w:firstLine="480"/>
        <w:jc w:val="both"/>
      </w:pPr>
      <w:r>
        <w:rPr>
          <w:rFonts w:ascii="仿宋_GB2312" w:hAnsi="仿宋_GB2312" w:cs="仿宋_GB2312" w:eastAsia="仿宋_GB2312"/>
        </w:rPr>
        <w:t>（二）不同投标人委托同一单位或者个人办理投标事宜；</w:t>
      </w:r>
    </w:p>
    <w:p>
      <w:pPr>
        <w:pStyle w:val="null5"/>
        <w:ind w:firstLine="480"/>
        <w:jc w:val="both"/>
      </w:pPr>
      <w:r>
        <w:rPr>
          <w:rFonts w:ascii="仿宋_GB2312" w:hAnsi="仿宋_GB2312" w:cs="仿宋_GB2312" w:eastAsia="仿宋_GB2312"/>
        </w:rPr>
        <w:t>（三）不同投标人的投标文件载明的项目管理成员或者联系人员为同一人；</w:t>
      </w:r>
    </w:p>
    <w:p>
      <w:pPr>
        <w:pStyle w:val="null5"/>
        <w:ind w:firstLine="480"/>
        <w:jc w:val="both"/>
      </w:pPr>
      <w:r>
        <w:rPr>
          <w:rFonts w:ascii="仿宋_GB2312" w:hAnsi="仿宋_GB2312" w:cs="仿宋_GB2312" w:eastAsia="仿宋_GB2312"/>
        </w:rPr>
        <w:t>（四）不同投标人的投标文件异常一致或者投标报价呈规律性差异；</w:t>
      </w:r>
    </w:p>
    <w:p>
      <w:pPr>
        <w:pStyle w:val="null5"/>
        <w:ind w:firstLine="480"/>
        <w:jc w:val="both"/>
      </w:pPr>
      <w:r>
        <w:rPr>
          <w:rFonts w:ascii="仿宋_GB2312" w:hAnsi="仿宋_GB2312" w:cs="仿宋_GB2312" w:eastAsia="仿宋_GB2312"/>
        </w:rPr>
        <w:t>（五）不同投标人的投标文件相互混装；</w:t>
      </w:r>
    </w:p>
    <w:p>
      <w:pPr>
        <w:pStyle w:val="null5"/>
        <w:ind w:firstLine="480"/>
        <w:jc w:val="both"/>
      </w:pPr>
      <w:r>
        <w:rPr>
          <w:rFonts w:ascii="仿宋_GB2312" w:hAnsi="仿宋_GB2312" w:cs="仿宋_GB2312" w:eastAsia="仿宋_GB2312"/>
        </w:rPr>
        <w:t>（六）不同投标人的投标保证金从同一单位或者个人的账户转出。</w:t>
      </w:r>
    </w:p>
    <w:p>
      <w:pPr>
        <w:pStyle w:val="null5"/>
        <w:ind w:firstLine="480"/>
        <w:jc w:val="both"/>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both"/>
      </w:pPr>
      <w:r>
        <w:rPr>
          <w:rFonts w:ascii="仿宋_GB2312" w:hAnsi="仿宋_GB2312" w:cs="仿宋_GB2312" w:eastAsia="仿宋_GB2312"/>
        </w:rPr>
        <w:t>（一）投标人直接或者间接从采购人或者代理机构处获得其他投标人的相关情况并修改其投标文件；</w:t>
      </w:r>
    </w:p>
    <w:p>
      <w:pPr>
        <w:pStyle w:val="null5"/>
        <w:ind w:firstLine="480"/>
        <w:jc w:val="both"/>
      </w:pPr>
      <w:r>
        <w:rPr>
          <w:rFonts w:ascii="仿宋_GB2312" w:hAnsi="仿宋_GB2312" w:cs="仿宋_GB2312" w:eastAsia="仿宋_GB2312"/>
        </w:rPr>
        <w:t>（二）投标人按照采购人或者代理机构的授意撤换、修改投标文件；</w:t>
      </w:r>
    </w:p>
    <w:p>
      <w:pPr>
        <w:pStyle w:val="null5"/>
        <w:ind w:firstLine="480"/>
        <w:jc w:val="left"/>
      </w:pPr>
      <w:r>
        <w:rPr>
          <w:rFonts w:ascii="仿宋_GB2312" w:hAnsi="仿宋_GB2312" w:cs="仿宋_GB2312" w:eastAsia="仿宋_GB2312"/>
        </w:rPr>
        <w:t>（三）投标人之间协商报价、技术方案等投标文件的实质性内容；</w:t>
      </w:r>
    </w:p>
    <w:p>
      <w:pPr>
        <w:pStyle w:val="null5"/>
        <w:ind w:firstLine="480"/>
        <w:jc w:val="both"/>
      </w:pPr>
      <w:r>
        <w:rPr>
          <w:rFonts w:ascii="仿宋_GB2312" w:hAnsi="仿宋_GB2312" w:cs="仿宋_GB2312" w:eastAsia="仿宋_GB2312"/>
        </w:rPr>
        <w:t>（四）属于同一集团、协会、商会等组织成员的投标人按照该组织要求协同参加政府采购活动；</w:t>
      </w:r>
    </w:p>
    <w:p>
      <w:pPr>
        <w:pStyle w:val="null5"/>
        <w:ind w:firstLine="480"/>
        <w:jc w:val="both"/>
      </w:pPr>
      <w:r>
        <w:rPr>
          <w:rFonts w:ascii="仿宋_GB2312" w:hAnsi="仿宋_GB2312" w:cs="仿宋_GB2312" w:eastAsia="仿宋_GB2312"/>
        </w:rPr>
        <w:t>（五）投标人之间事先约定由某一特定投标人中标；</w:t>
      </w:r>
    </w:p>
    <w:p>
      <w:pPr>
        <w:pStyle w:val="null5"/>
        <w:ind w:firstLine="480"/>
        <w:jc w:val="both"/>
      </w:pPr>
      <w:r>
        <w:rPr>
          <w:rFonts w:ascii="仿宋_GB2312" w:hAnsi="仿宋_GB2312" w:cs="仿宋_GB2312" w:eastAsia="仿宋_GB2312"/>
        </w:rPr>
        <w:t>（六）投标人之间商定部分投标人放弃参加政府采购活动或者放弃中标；</w:t>
      </w:r>
    </w:p>
    <w:p>
      <w:pPr>
        <w:pStyle w:val="null5"/>
        <w:ind w:firstLine="480"/>
        <w:jc w:val="both"/>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5"/>
        <w:ind w:firstLine="480"/>
        <w:jc w:val="both"/>
      </w:pPr>
      <w:r>
        <w:rPr>
          <w:rFonts w:ascii="仿宋_GB2312" w:hAnsi="仿宋_GB2312" w:cs="仿宋_GB2312" w:eastAsia="仿宋_GB2312"/>
        </w:rPr>
        <w:t>三、提供虚假材料谋取中标；</w:t>
      </w:r>
    </w:p>
    <w:p>
      <w:pPr>
        <w:pStyle w:val="null5"/>
        <w:ind w:firstLine="480"/>
        <w:jc w:val="both"/>
      </w:pPr>
      <w:r>
        <w:rPr>
          <w:rFonts w:ascii="仿宋_GB2312" w:hAnsi="仿宋_GB2312" w:cs="仿宋_GB2312" w:eastAsia="仿宋_GB2312"/>
        </w:rPr>
        <w:t>四、采取不正当手段诋毁、排挤其他投标人；</w:t>
      </w:r>
    </w:p>
    <w:p>
      <w:pPr>
        <w:pStyle w:val="null5"/>
        <w:ind w:firstLine="480"/>
        <w:jc w:val="both"/>
      </w:pPr>
      <w:r>
        <w:rPr>
          <w:rFonts w:ascii="仿宋_GB2312" w:hAnsi="仿宋_GB2312" w:cs="仿宋_GB2312" w:eastAsia="仿宋_GB2312"/>
        </w:rPr>
        <w:t>五、与采购人或者代理机构、其他投标人恶意串通；</w:t>
      </w:r>
    </w:p>
    <w:p>
      <w:pPr>
        <w:pStyle w:val="null5"/>
        <w:ind w:firstLine="480"/>
        <w:jc w:val="both"/>
      </w:pPr>
      <w:r>
        <w:rPr>
          <w:rFonts w:ascii="仿宋_GB2312" w:hAnsi="仿宋_GB2312" w:cs="仿宋_GB2312" w:eastAsia="仿宋_GB2312"/>
        </w:rPr>
        <w:t>六、向采购人或者代理机构、评标委员会成员行贿或者提供其他不正当利益；</w:t>
      </w:r>
    </w:p>
    <w:p>
      <w:pPr>
        <w:pStyle w:val="null5"/>
        <w:ind w:firstLine="480"/>
        <w:jc w:val="both"/>
      </w:pPr>
      <w:r>
        <w:rPr>
          <w:rFonts w:ascii="仿宋_GB2312" w:hAnsi="仿宋_GB2312" w:cs="仿宋_GB2312" w:eastAsia="仿宋_GB2312"/>
        </w:rPr>
        <w:t>七、在招标过程中与采购人或者代理机构进行协商谈判；</w:t>
      </w:r>
    </w:p>
    <w:p>
      <w:pPr>
        <w:pStyle w:val="null5"/>
        <w:ind w:firstLine="480"/>
        <w:jc w:val="both"/>
      </w:pPr>
      <w:r>
        <w:rPr>
          <w:rFonts w:ascii="仿宋_GB2312" w:hAnsi="仿宋_GB2312" w:cs="仿宋_GB2312" w:eastAsia="仿宋_GB2312"/>
        </w:rPr>
        <w:t>八、中标后无正当理由拒不与采购人签订政府采购合同；</w:t>
      </w:r>
    </w:p>
    <w:p>
      <w:pPr>
        <w:pStyle w:val="null5"/>
        <w:ind w:firstLine="480"/>
        <w:jc w:val="both"/>
      </w:pPr>
      <w:r>
        <w:rPr>
          <w:rFonts w:ascii="仿宋_GB2312" w:hAnsi="仿宋_GB2312" w:cs="仿宋_GB2312" w:eastAsia="仿宋_GB2312"/>
        </w:rPr>
        <w:t>九、未按照招标文件确定的事项签订政府采购合同；</w:t>
      </w:r>
    </w:p>
    <w:p>
      <w:pPr>
        <w:pStyle w:val="null5"/>
        <w:ind w:firstLine="480"/>
        <w:jc w:val="both"/>
      </w:pPr>
      <w:r>
        <w:rPr>
          <w:rFonts w:ascii="仿宋_GB2312" w:hAnsi="仿宋_GB2312" w:cs="仿宋_GB2312" w:eastAsia="仿宋_GB2312"/>
        </w:rPr>
        <w:t>十、将政府采购合同转包或者违规分包；</w:t>
      </w:r>
    </w:p>
    <w:p>
      <w:pPr>
        <w:pStyle w:val="null5"/>
        <w:ind w:firstLine="480"/>
        <w:jc w:val="both"/>
      </w:pPr>
      <w:r>
        <w:rPr>
          <w:rFonts w:ascii="仿宋_GB2312" w:hAnsi="仿宋_GB2312" w:cs="仿宋_GB2312" w:eastAsia="仿宋_GB2312"/>
        </w:rPr>
        <w:t>十一、提供假冒伪劣产品；</w:t>
      </w:r>
    </w:p>
    <w:p>
      <w:pPr>
        <w:pStyle w:val="null5"/>
        <w:ind w:firstLine="480"/>
        <w:jc w:val="both"/>
      </w:pPr>
      <w:r>
        <w:rPr>
          <w:rFonts w:ascii="仿宋_GB2312" w:hAnsi="仿宋_GB2312" w:cs="仿宋_GB2312" w:eastAsia="仿宋_GB2312"/>
        </w:rPr>
        <w:t>十二、擅自变更、中止或者终止政府采购合同；</w:t>
      </w:r>
    </w:p>
    <w:p>
      <w:pPr>
        <w:pStyle w:val="null5"/>
        <w:ind w:firstLine="480"/>
        <w:jc w:val="both"/>
      </w:pPr>
      <w:r>
        <w:rPr>
          <w:rFonts w:ascii="仿宋_GB2312" w:hAnsi="仿宋_GB2312" w:cs="仿宋_GB2312" w:eastAsia="仿宋_GB2312"/>
        </w:rPr>
        <w:t>十三、拒绝有关部门的监督检查或者向监督检查部门提供虚假情况；</w:t>
      </w:r>
    </w:p>
    <w:p>
      <w:pPr>
        <w:pStyle w:val="null5"/>
        <w:ind w:firstLine="480"/>
        <w:jc w:val="both"/>
      </w:pPr>
      <w:r>
        <w:rPr>
          <w:rFonts w:ascii="仿宋_GB2312" w:hAnsi="仿宋_GB2312" w:cs="仿宋_GB2312" w:eastAsia="仿宋_GB2312"/>
        </w:rPr>
        <w:t>十四、法律法规规定的其他禁止情形。</w:t>
      </w:r>
    </w:p>
    <w:p>
      <w:pPr>
        <w:pStyle w:val="null5"/>
        <w:ind w:firstLine="480"/>
        <w:jc w:val="both"/>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5"/>
        <w:ind w:firstLine="480"/>
        <w:jc w:val="both"/>
      </w:pPr>
      <w:r>
        <w:rPr>
          <w:rFonts w:ascii="仿宋_GB2312" w:hAnsi="仿宋_GB2312" w:cs="仿宋_GB2312" w:eastAsia="仿宋_GB2312"/>
        </w:rPr>
        <w:t>2.7.3.采购人员及相关人员回避要求</w:t>
      </w:r>
    </w:p>
    <w:p>
      <w:pPr>
        <w:pStyle w:val="null5"/>
        <w:ind w:firstLine="480"/>
        <w:jc w:val="both"/>
      </w:pPr>
      <w:r>
        <w:rPr>
          <w:rFonts w:ascii="仿宋_GB2312" w:hAnsi="仿宋_GB2312" w:cs="仿宋_GB2312" w:eastAsia="仿宋_GB2312"/>
        </w:rPr>
        <w:t>政府采购活动中，采购人员及相关人员与投标人有下列利害关系之一的，应当回避：</w:t>
      </w:r>
    </w:p>
    <w:p>
      <w:pPr>
        <w:pStyle w:val="null5"/>
        <w:ind w:firstLine="480"/>
        <w:jc w:val="both"/>
      </w:pPr>
      <w:r>
        <w:rPr>
          <w:rFonts w:ascii="仿宋_GB2312" w:hAnsi="仿宋_GB2312" w:cs="仿宋_GB2312" w:eastAsia="仿宋_GB2312"/>
        </w:rPr>
        <w:t>一、参加采购活动前 3 年内与投标人存在劳动关系；</w:t>
      </w:r>
    </w:p>
    <w:p>
      <w:pPr>
        <w:pStyle w:val="null5"/>
        <w:ind w:firstLine="480"/>
        <w:jc w:val="both"/>
      </w:pPr>
      <w:r>
        <w:rPr>
          <w:rFonts w:ascii="仿宋_GB2312" w:hAnsi="仿宋_GB2312" w:cs="仿宋_GB2312" w:eastAsia="仿宋_GB2312"/>
        </w:rPr>
        <w:t>二、参加采购活动前 3 年内担任投标人的董事、监事；</w:t>
      </w:r>
    </w:p>
    <w:p>
      <w:pPr>
        <w:pStyle w:val="null5"/>
        <w:ind w:firstLine="480"/>
        <w:jc w:val="both"/>
      </w:pPr>
      <w:r>
        <w:rPr>
          <w:rFonts w:ascii="仿宋_GB2312" w:hAnsi="仿宋_GB2312" w:cs="仿宋_GB2312" w:eastAsia="仿宋_GB2312"/>
        </w:rPr>
        <w:t>三、参加采购活动前 3 年内是投标人的控股股东或者实际控制人；</w:t>
      </w:r>
    </w:p>
    <w:p>
      <w:pPr>
        <w:pStyle w:val="null5"/>
        <w:ind w:firstLine="480"/>
        <w:jc w:val="both"/>
      </w:pPr>
      <w:r>
        <w:rPr>
          <w:rFonts w:ascii="仿宋_GB2312" w:hAnsi="仿宋_GB2312" w:cs="仿宋_GB2312" w:eastAsia="仿宋_GB2312"/>
        </w:rPr>
        <w:t>四、与投标人的法定代表人或者负责人有夫妻、直系血亲、三代以内旁系血亲或者近姻亲关系；</w:t>
      </w:r>
    </w:p>
    <w:p>
      <w:pPr>
        <w:pStyle w:val="null5"/>
        <w:ind w:firstLine="480"/>
        <w:jc w:val="both"/>
      </w:pPr>
      <w:r>
        <w:rPr>
          <w:rFonts w:ascii="仿宋_GB2312" w:hAnsi="仿宋_GB2312" w:cs="仿宋_GB2312" w:eastAsia="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both"/>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both"/>
      </w:pPr>
      <w:r>
        <w:rPr>
          <w:rFonts w:ascii="仿宋_GB2312" w:hAnsi="仿宋_GB2312" w:cs="仿宋_GB2312" w:eastAsia="仿宋_GB2312"/>
        </w:rPr>
        <w:t>二、投标人询问、质疑的答复主体：</w:t>
      </w:r>
    </w:p>
    <w:p>
      <w:pPr>
        <w:pStyle w:val="null5"/>
        <w:ind w:firstLine="480"/>
        <w:jc w:val="both"/>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潍坊市中心血站</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潍坊华成项目管理咨询有限公司</w:t>
      </w:r>
      <w:r>
        <w:rPr>
          <w:rFonts w:ascii="仿宋_GB2312" w:hAnsi="仿宋_GB2312" w:cs="仿宋_GB2312" w:eastAsia="仿宋_GB2312"/>
        </w:rPr>
        <w:t>负责答复；投标人对采购过程、采购结果的询问、质疑由</w:t>
      </w:r>
      <w:r>
        <w:rPr>
          <w:rFonts w:ascii="仿宋_GB2312" w:hAnsi="仿宋_GB2312" w:cs="仿宋_GB2312" w:eastAsia="仿宋_GB2312"/>
        </w:rPr>
        <w:t>潍坊华成项目管理咨询有限公司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联系人：宋利伯、宋洪君</w:t>
      </w:r>
    </w:p>
    <w:p>
      <w:pPr>
        <w:pStyle w:val="null5"/>
        <w:jc w:val="left"/>
      </w:pPr>
      <w:r>
        <w:rPr>
          <w:rFonts w:ascii="仿宋_GB2312" w:hAnsi="仿宋_GB2312" w:cs="仿宋_GB2312" w:eastAsia="仿宋_GB2312"/>
        </w:rPr>
        <w:t>联系电话：0536-2256757</w:t>
      </w:r>
    </w:p>
    <w:p>
      <w:pPr>
        <w:pStyle w:val="null5"/>
        <w:jc w:val="left"/>
      </w:pPr>
      <w:r>
        <w:rPr>
          <w:rFonts w:ascii="仿宋_GB2312" w:hAnsi="仿宋_GB2312" w:cs="仿宋_GB2312" w:eastAsia="仿宋_GB2312"/>
        </w:rPr>
        <w:t>地址：山东省潍坊高新区富潍大厦B座6楼</w:t>
      </w:r>
    </w:p>
    <w:p>
      <w:pPr>
        <w:pStyle w:val="null5"/>
        <w:jc w:val="left"/>
      </w:pPr>
      <w:r>
        <w:rPr>
          <w:rFonts w:ascii="仿宋_GB2312" w:hAnsi="仿宋_GB2312" w:cs="仿宋_GB2312" w:eastAsia="仿宋_GB2312"/>
        </w:rPr>
        <w:t>邮编：261061</w:t>
      </w:r>
    </w:p>
    <w:p>
      <w:pPr>
        <w:pStyle w:val="null5"/>
        <w:ind w:firstLine="480"/>
        <w:jc w:val="both"/>
      </w:pPr>
      <w:r>
        <w:rPr>
          <w:rFonts w:ascii="仿宋_GB2312" w:hAnsi="仿宋_GB2312" w:cs="仿宋_GB2312" w:eastAsia="仿宋_GB2312"/>
        </w:rPr>
        <w:t>三、投标人提出的询问，应当明确询问事项，如以书面形式提出的，=应由投标人签字并加盖公章。</w:t>
      </w:r>
    </w:p>
    <w:p>
      <w:pPr>
        <w:pStyle w:val="null5"/>
        <w:ind w:firstLine="480"/>
        <w:jc w:val="both"/>
      </w:pPr>
      <w:r>
        <w:rPr>
          <w:rFonts w:ascii="仿宋_GB2312" w:hAnsi="仿宋_GB2312" w:cs="仿宋_GB2312" w:eastAsia="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pPr>
        <w:pStyle w:val="null5"/>
        <w:ind w:firstLine="480"/>
        <w:jc w:val="both"/>
      </w:pPr>
      <w:r>
        <w:rPr>
          <w:rFonts w:ascii="仿宋_GB2312" w:hAnsi="仿宋_GB2312" w:cs="仿宋_GB2312" w:eastAsia="仿宋_GB2312"/>
        </w:rPr>
        <w:t>（一）对可以质疑的招标文件提出质疑的，为收到招标文件之日或者招标文件公告期限届满之日；</w:t>
      </w:r>
    </w:p>
    <w:p>
      <w:pPr>
        <w:pStyle w:val="null5"/>
        <w:ind w:firstLine="480"/>
        <w:jc w:val="both"/>
      </w:pPr>
      <w:r>
        <w:rPr>
          <w:rFonts w:ascii="仿宋_GB2312" w:hAnsi="仿宋_GB2312" w:cs="仿宋_GB2312" w:eastAsia="仿宋_GB2312"/>
        </w:rPr>
        <w:t>（二）对采购过程提出质疑的，为各采购程序环节结束之日；</w:t>
      </w:r>
    </w:p>
    <w:p>
      <w:pPr>
        <w:pStyle w:val="null5"/>
        <w:ind w:firstLine="480"/>
        <w:jc w:val="both"/>
      </w:pPr>
      <w:r>
        <w:rPr>
          <w:rFonts w:ascii="仿宋_GB2312" w:hAnsi="仿宋_GB2312" w:cs="仿宋_GB2312" w:eastAsia="仿宋_GB2312"/>
        </w:rPr>
        <w:t>（三）对中标结果提出质疑的，为中标结果公告期限届满之日。</w:t>
      </w:r>
    </w:p>
    <w:p>
      <w:pPr>
        <w:pStyle w:val="null5"/>
        <w:ind w:firstLine="480"/>
        <w:jc w:val="both"/>
      </w:pPr>
      <w:r>
        <w:rPr>
          <w:rFonts w:ascii="仿宋_GB2312" w:hAnsi="仿宋_GB2312" w:cs="仿宋_GB2312" w:eastAsia="仿宋_GB2312"/>
        </w:rPr>
        <w:t>五、投标人通过书面形式向采购人或者代理机构提交质疑资料。</w:t>
      </w:r>
    </w:p>
    <w:p>
      <w:pPr>
        <w:pStyle w:val="null5"/>
        <w:ind w:firstLine="480"/>
        <w:jc w:val="both"/>
      </w:pPr>
      <w:r>
        <w:rPr>
          <w:rFonts w:ascii="仿宋_GB2312" w:hAnsi="仿宋_GB2312" w:cs="仿宋_GB2312" w:eastAsia="仿宋_GB2312"/>
        </w:rPr>
        <w:t>六、投标人提出质疑时应当准备的资料:</w:t>
      </w:r>
    </w:p>
    <w:p>
      <w:pPr>
        <w:pStyle w:val="null5"/>
        <w:ind w:firstLine="480"/>
        <w:jc w:val="both"/>
      </w:pPr>
      <w:r>
        <w:rPr>
          <w:rFonts w:ascii="仿宋_GB2312" w:hAnsi="仿宋_GB2312" w:cs="仿宋_GB2312" w:eastAsia="仿宋_GB2312"/>
        </w:rPr>
        <w:t>（一）质疑函正本 1 份；</w:t>
      </w:r>
    </w:p>
    <w:p>
      <w:pPr>
        <w:pStyle w:val="null5"/>
        <w:ind w:firstLine="480"/>
        <w:jc w:val="both"/>
      </w:pPr>
      <w:r>
        <w:rPr>
          <w:rFonts w:ascii="仿宋_GB2312" w:hAnsi="仿宋_GB2312" w:cs="仿宋_GB2312" w:eastAsia="仿宋_GB2312"/>
        </w:rPr>
        <w:t>（二）法定代表人或主要负责人授权委托书 1 份（委托代理人办理质疑事宜的需提供）；</w:t>
      </w:r>
    </w:p>
    <w:p>
      <w:pPr>
        <w:pStyle w:val="null5"/>
        <w:ind w:firstLine="480"/>
        <w:jc w:val="both"/>
      </w:pPr>
      <w:r>
        <w:rPr>
          <w:rFonts w:ascii="仿宋_GB2312" w:hAnsi="仿宋_GB2312" w:cs="仿宋_GB2312" w:eastAsia="仿宋_GB2312"/>
        </w:rPr>
        <w:t>（三）法定代表人或主要负责人身份证复印件 1 份；</w:t>
      </w:r>
    </w:p>
    <w:p>
      <w:pPr>
        <w:pStyle w:val="null5"/>
        <w:ind w:firstLine="480"/>
        <w:jc w:val="both"/>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5"/>
        <w:ind w:firstLine="480"/>
        <w:jc w:val="both"/>
      </w:pPr>
      <w:r>
        <w:rPr>
          <w:rFonts w:ascii="仿宋_GB2312" w:hAnsi="仿宋_GB2312" w:cs="仿宋_GB2312" w:eastAsia="仿宋_GB2312"/>
        </w:rPr>
        <w:t>注：根据《中华人民共和国政府采购法》的规定，投标人质疑不得超出招标文件、采购过程、采购结果的范围。</w:t>
      </w:r>
    </w:p>
    <w:p>
      <w:pPr>
        <w:pStyle w:val="null5"/>
        <w:ind w:firstLine="480"/>
        <w:jc w:val="both"/>
      </w:pPr>
      <w:r>
        <w:rPr>
          <w:rFonts w:ascii="仿宋_GB2312" w:hAnsi="仿宋_GB2312" w:cs="仿宋_GB2312" w:eastAsia="仿宋_GB2312"/>
        </w:rPr>
        <w:t>七、投标人对采购人或者代理机构的质疑答复不满意、采购人或者代理机构未在规定期限内作出答复的，投标人可以在答复期满后 15 个工作日内向同级财政部门提起投诉。</w:t>
      </w:r>
    </w:p>
    <w:p>
      <w:pPr>
        <w:pStyle w:val="null5"/>
        <w:ind w:firstLine="480"/>
        <w:jc w:val="both"/>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 由其行政主管部门或者有关机关给予处分，并予通报：</w:t>
      </w:r>
    </w:p>
    <w:p>
      <w:pPr>
        <w:pStyle w:val="null5"/>
        <w:ind w:firstLine="480"/>
        <w:jc w:val="both"/>
      </w:pPr>
      <w:r>
        <w:rPr>
          <w:rFonts w:ascii="仿宋_GB2312" w:hAnsi="仿宋_GB2312" w:cs="仿宋_GB2312" w:eastAsia="仿宋_GB2312"/>
        </w:rPr>
        <w:t>（一）拒收质疑供应商在法定质疑期内发出的质疑函；</w:t>
      </w:r>
    </w:p>
    <w:p>
      <w:pPr>
        <w:pStyle w:val="null5"/>
        <w:ind w:firstLine="480"/>
        <w:jc w:val="both"/>
      </w:pPr>
      <w:r>
        <w:rPr>
          <w:rFonts w:ascii="仿宋_GB2312" w:hAnsi="仿宋_GB2312" w:cs="仿宋_GB2312" w:eastAsia="仿宋_GB2312"/>
        </w:rPr>
        <w:t>（二）对质疑不予答复或者答复与事实明显不符，并不能作出合理说明；</w:t>
      </w:r>
    </w:p>
    <w:p>
      <w:pPr>
        <w:pStyle w:val="null5"/>
        <w:ind w:firstLine="480"/>
        <w:jc w:val="both"/>
      </w:pPr>
      <w:r>
        <w:rPr>
          <w:rFonts w:ascii="仿宋_GB2312" w:hAnsi="仿宋_GB2312" w:cs="仿宋_GB2312" w:eastAsia="仿宋_GB2312"/>
        </w:rPr>
        <w:t>（三）拒绝配合财政部门处理投诉事宜。</w:t>
      </w:r>
    </w:p>
    <w:p>
      <w:pPr>
        <w:pStyle w:val="null5"/>
        <w:jc w:val="both"/>
      </w:pPr>
      <w:r>
        <w:rPr>
          <w:rFonts w:ascii="仿宋_GB2312" w:hAnsi="仿宋_GB2312" w:cs="仿宋_GB2312" w:eastAsia="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pPr>
        <w:pStyle w:val="null5"/>
        <w:ind w:firstLine="480"/>
        <w:jc w:val="both"/>
      </w:pPr>
      <w:r>
        <w:rPr>
          <w:rFonts w:ascii="仿宋_GB2312" w:hAnsi="仿宋_GB2312" w:cs="仿宋_GB2312" w:eastAsia="仿宋_GB2312"/>
        </w:rPr>
        <w:t>（一）捏造事实；</w:t>
      </w:r>
    </w:p>
    <w:p>
      <w:pPr>
        <w:pStyle w:val="null5"/>
        <w:ind w:firstLine="480"/>
        <w:jc w:val="both"/>
      </w:pPr>
      <w:r>
        <w:rPr>
          <w:rFonts w:ascii="仿宋_GB2312" w:hAnsi="仿宋_GB2312" w:cs="仿宋_GB2312" w:eastAsia="仿宋_GB2312"/>
        </w:rPr>
        <w:t>（二）提供虚假材料；</w:t>
      </w:r>
    </w:p>
    <w:p>
      <w:pPr>
        <w:pStyle w:val="null5"/>
        <w:ind w:firstLine="480"/>
        <w:jc w:val="both"/>
      </w:pPr>
      <w:r>
        <w:rPr>
          <w:rFonts w:ascii="仿宋_GB2312" w:hAnsi="仿宋_GB2312" w:cs="仿宋_GB2312" w:eastAsia="仿宋_GB2312"/>
        </w:rPr>
        <w:t>（三）以非法手段取得证明材料。证据来源的合法性存在明显疑问，投标人无法证明其取得方式合法的，视为以非法手段取得证明材 料。</w:t>
      </w:r>
    </w:p>
    <w:p>
      <w:pPr>
        <w:pStyle w:val="null5"/>
        <w:ind w:firstLine="480"/>
        <w:jc w:val="both"/>
      </w:pPr>
      <w:r>
        <w:rPr>
          <w:rFonts w:ascii="仿宋_GB2312" w:hAnsi="仿宋_GB2312" w:cs="仿宋_GB2312" w:eastAsia="仿宋_GB2312"/>
        </w:rPr>
        <w:t>2.9.电子化采购特殊情形处理</w:t>
      </w:r>
    </w:p>
    <w:p>
      <w:pPr>
        <w:pStyle w:val="null5"/>
        <w:ind w:firstLine="480"/>
        <w:jc w:val="left"/>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both"/>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both"/>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 专线电话等渠道进行反馈。</w:t>
      </w:r>
    </w:p>
    <w:p>
      <w:pPr>
        <w:pStyle w:val="null5"/>
        <w:ind w:firstLine="480"/>
        <w:jc w:val="both"/>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both"/>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 平台前做好必要的准备和验证工作，并承担准备验证不充分产生的不利后果。</w:t>
      </w:r>
    </w:p>
    <w:p>
      <w:pPr>
        <w:pStyle w:val="null5"/>
        <w:ind w:firstLine="480"/>
        <w:jc w:val="both"/>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both"/>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both"/>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784,400.00</w:t>
      </w:r>
    </w:p>
    <w:p>
      <w:pPr>
        <w:pStyle w:val="null5"/>
        <w:jc w:val="left"/>
      </w:pPr>
      <w:r>
        <w:rPr>
          <w:rFonts w:ascii="仿宋_GB2312" w:hAnsi="仿宋_GB2312" w:cs="仿宋_GB2312" w:eastAsia="仿宋_GB2312"/>
        </w:rPr>
        <w:t>采购包最高限价（元）: 784,400.00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云桌面采购</w:t>
            </w:r>
          </w:p>
        </w:tc>
        <w:tc>
          <w:tcPr>
            <w:tcW w:type="dxa" w:w="923"/>
          </w:tcPr>
          <w:p>
            <w:pPr>
              <w:pStyle w:val="null5"/>
              <w:jc w:val="right"/>
            </w:pPr>
            <w:r>
              <w:rPr>
                <w:rFonts w:ascii="仿宋_GB2312" w:hAnsi="仿宋_GB2312" w:cs="仿宋_GB2312" w:eastAsia="仿宋_GB2312"/>
              </w:rPr>
              <w:t>1.00（批）</w:t>
            </w:r>
          </w:p>
        </w:tc>
        <w:tc>
          <w:tcPr>
            <w:tcW w:type="dxa" w:w="923"/>
          </w:tcPr>
          <w:p>
            <w:pPr>
              <w:pStyle w:val="null5"/>
              <w:jc w:val="right"/>
            </w:pPr>
            <w:r>
              <w:rPr>
                <w:rFonts w:ascii="仿宋_GB2312" w:hAnsi="仿宋_GB2312" w:cs="仿宋_GB2312" w:eastAsia="仿宋_GB2312"/>
              </w:rPr>
              <w:t>784,400.00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both"/>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云桌面采购</w:t>
            </w:r>
          </w:p>
        </w:tc>
        <w:tc>
          <w:tcPr>
            <w:tcW w:type="dxa" w:w="554"/>
          </w:tcPr>
          <w:p>
            <w:pPr>
              <w:pStyle w:val="null5"/>
              <w:jc w:val="left"/>
            </w:pPr>
            <w:r>
              <w:rPr>
                <w:rFonts w:ascii="仿宋_GB2312" w:hAnsi="仿宋_GB2312" w:cs="仿宋_GB2312" w:eastAsia="仿宋_GB2312"/>
              </w:rPr>
              <w:t>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784,400.00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云桌面采购</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云桌面采购</w:t>
            </w:r>
          </w:p>
        </w:tc>
        <w:tc>
          <w:tcPr>
            <w:tcW w:type="dxa" w:w="2076"/>
          </w:tcPr>
          <w:p>
            <w:pPr>
              <w:pStyle w:val="null5"/>
              <w:jc w:val="left"/>
            </w:pPr>
            <w:r>
              <w:rPr>
                <w:rFonts w:ascii="仿宋_GB2312" w:hAnsi="仿宋_GB2312" w:cs="仿宋_GB2312" w:eastAsia="仿宋_GB2312"/>
              </w:rPr>
              <w:t>云桌面采购</w:t>
            </w:r>
          </w:p>
        </w:tc>
        <w:tc>
          <w:tcPr>
            <w:tcW w:type="dxa" w:w="415"/>
          </w:tcPr>
          <w:p>
            <w:pPr>
              <w:pStyle w:val="null5"/>
              <w:jc w:val="left"/>
            </w:pPr>
            <w:r>
              <w:rPr>
                <w:rFonts w:ascii="仿宋_GB2312" w:hAnsi="仿宋_GB2312" w:cs="仿宋_GB2312" w:eastAsia="仿宋_GB2312"/>
              </w:rPr>
              <w:t>批</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784,400.00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both"/>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其他信息化设备</w:t>
            </w:r>
          </w:p>
        </w:tc>
        <w:tc>
          <w:tcPr>
            <w:tcW w:type="dxa" w:w="2492"/>
          </w:tcPr>
          <w:p>
            <w:pPr>
              <w:pStyle w:val="null5"/>
              <w:jc w:val="left"/>
            </w:pPr>
            <w:r>
              <w:rPr>
                <w:rFonts w:ascii="仿宋_GB2312" w:hAnsi="仿宋_GB2312" w:cs="仿宋_GB2312" w:eastAsia="仿宋_GB2312"/>
              </w:rPr>
              <w:t>云桌面采购</w:t>
            </w:r>
          </w:p>
        </w:tc>
        <w:tc>
          <w:tcPr>
            <w:tcW w:type="dxa" w:w="2492"/>
          </w:tcPr>
          <w:p>
            <w:pPr>
              <w:pStyle w:val="null5"/>
              <w:jc w:val="left"/>
            </w:pPr>
            <w:r>
              <w:rPr>
                <w:rFonts w:ascii="仿宋_GB2312" w:hAnsi="仿宋_GB2312" w:cs="仿宋_GB2312" w:eastAsia="仿宋_GB2312"/>
              </w:rPr>
              <w:t>桌面云一体机</w:t>
            </w:r>
          </w:p>
        </w:tc>
      </w:tr>
    </w:tbl>
    <w:p>
      <w:pPr>
        <w:pStyle w:val="null5"/>
        <w:ind w:firstLine="480"/>
        <w:jc w:val="both"/>
      </w:pPr>
      <w:r>
        <w:rPr>
          <w:rFonts w:ascii="仿宋_GB2312" w:hAnsi="仿宋_GB2312" w:cs="仿宋_GB2312" w:eastAsia="仿宋_GB2312"/>
        </w:rPr>
        <w:t>注：涉及核心产品的，具体评审规定见第五章。</w:t>
      </w:r>
    </w:p>
    <w:p>
      <w:pPr>
        <w:pStyle w:val="null5"/>
        <w:ind w:firstLine="480"/>
        <w:jc w:val="both"/>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5"/>
        <w:ind w:firstLine="480"/>
        <w:jc w:val="both"/>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5"/>
        <w:ind w:firstLine="480"/>
        <w:jc w:val="both"/>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注：响应产品属于《节能产品政府采购品目清单》中优先采购的产品，投标人提供由国家确定的认证机构出具的、处于有效期之内的 节能产品认证证书的原件扫描件或“全国认证认可信息公共服务平台”（http://cx.cnca.cn）的认证信息截图，可以享受优先采购政策。具体要求详见第五章规定。</w:t>
      </w:r>
    </w:p>
    <w:p>
      <w:pPr>
        <w:pStyle w:val="null5"/>
        <w:ind w:firstLine="480"/>
        <w:jc w:val="both"/>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标的名称：云桌面采购</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桌面云一体机</w:t>
            </w:r>
          </w:p>
        </w:tc>
        <w:tc>
          <w:tcPr>
            <w:tcW w:type="dxa" w:w="2076"/>
          </w:tcPr>
          <w:p>
            <w:pPr>
              <w:pStyle w:val="null5"/>
              <w:ind w:firstLine="480"/>
              <w:jc w:val="left"/>
            </w:pPr>
            <w:r>
              <w:rPr>
                <w:rFonts w:ascii="仿宋_GB2312" w:hAnsi="仿宋_GB2312" w:cs="仿宋_GB2312" w:eastAsia="仿宋_GB2312"/>
              </w:rPr>
              <w:t>数量：2台</w:t>
            </w:r>
          </w:p>
          <w:p>
            <w:pPr>
              <w:pStyle w:val="null5"/>
              <w:ind w:firstLine="480"/>
              <w:jc w:val="left"/>
            </w:pPr>
            <w:r>
              <w:rPr>
                <w:rFonts w:ascii="仿宋_GB2312" w:hAnsi="仿宋_GB2312" w:cs="仿宋_GB2312" w:eastAsia="仿宋_GB2312"/>
              </w:rPr>
              <w:t>1、硬件参数：规格：2U，CPU≥1颗Hygon 7470 48C 2.6GHZ（48C），内存≥512GB DDR5 5600，系统盘≥两块480GB SATA SSD，缓存盘≥两块1.92T-U.2 NVME SSD，数据盘≥4块机械硬盘10T，标配盘位数≥12，电源：白金冗余电源，接口≥4千兆电口+≥2万兆光口。</w:t>
            </w:r>
          </w:p>
          <w:p>
            <w:pPr>
              <w:pStyle w:val="null5"/>
              <w:ind w:firstLine="480"/>
              <w:jc w:val="left"/>
            </w:pPr>
            <w:r>
              <w:rPr>
                <w:rFonts w:ascii="仿宋_GB2312" w:hAnsi="仿宋_GB2312" w:cs="仿宋_GB2312" w:eastAsia="仿宋_GB2312"/>
              </w:rPr>
              <w:t>2、为了确保平台稳定性；产品可靠性≥20万小时，并提供第三方MTBF证书及报告。</w:t>
            </w:r>
          </w:p>
          <w:p>
            <w:pPr>
              <w:pStyle w:val="null5"/>
              <w:ind w:firstLine="480"/>
              <w:jc w:val="left"/>
            </w:pPr>
            <w:r>
              <w:rPr>
                <w:rFonts w:ascii="仿宋_GB2312" w:hAnsi="仿宋_GB2312" w:cs="仿宋_GB2312" w:eastAsia="仿宋_GB2312"/>
              </w:rPr>
              <w:t>3、支持虚拟机集中备份与恢复，可按需选择多个虚拟机或全部虚拟机备份至外置服务器（NAS、FTP、CIFS等），支持设置备份策略，实现办公环境数据全自动化备份。</w:t>
            </w:r>
          </w:p>
          <w:p>
            <w:pPr>
              <w:pStyle w:val="null5"/>
              <w:ind w:firstLine="480"/>
              <w:jc w:val="left"/>
            </w:pPr>
            <w:r>
              <w:rPr>
                <w:rFonts w:ascii="仿宋_GB2312" w:hAnsi="仿宋_GB2312" w:cs="仿宋_GB2312" w:eastAsia="仿宋_GB2312"/>
              </w:rPr>
              <w:t>4、支持集群冗余技术，集群中各主机互为监控，一旦发现某个主机故障，HA机制就会自动触发虚机迁移动作，在另一正常服务器快速拉起、确保VM继续可用。</w:t>
            </w:r>
          </w:p>
          <w:p>
            <w:pPr>
              <w:pStyle w:val="null5"/>
              <w:ind w:firstLine="480"/>
              <w:jc w:val="left"/>
            </w:pPr>
            <w:r>
              <w:rPr>
                <w:rFonts w:ascii="仿宋_GB2312" w:hAnsi="仿宋_GB2312" w:cs="仿宋_GB2312" w:eastAsia="仿宋_GB2312"/>
              </w:rPr>
              <w:t>5、支持全局热备盘技术，管理员可配置在集群中保留多块磁盘作为热备盘，分布在不同主机上，当任何一台主机的任意一块硬盘出现故障后，会自动选择其中1块热备盘进行替换和重建。</w:t>
            </w:r>
          </w:p>
          <w:p>
            <w:pPr>
              <w:pStyle w:val="null5"/>
              <w:ind w:firstLine="480"/>
              <w:jc w:val="left"/>
            </w:pPr>
            <w:r>
              <w:rPr>
                <w:rFonts w:ascii="仿宋_GB2312" w:hAnsi="仿宋_GB2312" w:cs="仿宋_GB2312" w:eastAsia="仿宋_GB2312"/>
              </w:rPr>
              <w:t>▲6、在多应用办公场景下，可针对当下使用频率较高的软件做进程加速，管理员也可自定义需做进程加速应用，以保障应用使用体验。（提供功能截图并加盖公章）</w:t>
            </w:r>
          </w:p>
          <w:p>
            <w:pPr>
              <w:pStyle w:val="null5"/>
              <w:ind w:firstLine="480"/>
              <w:jc w:val="left"/>
            </w:pPr>
            <w:r>
              <w:rPr>
                <w:rFonts w:ascii="仿宋_GB2312" w:hAnsi="仿宋_GB2312" w:cs="仿宋_GB2312" w:eastAsia="仿宋_GB2312"/>
              </w:rPr>
              <w:t>7、支持自助快照恢复，当用户自己误操作导致云桌面卡慢、蓝屏、死机或者中病毒的时候，用户通过导航条按钮，可以自助进行系统盘快照还原操作。</w:t>
            </w:r>
          </w:p>
          <w:p>
            <w:pPr>
              <w:pStyle w:val="null5"/>
              <w:ind w:firstLine="480"/>
              <w:jc w:val="left"/>
            </w:pPr>
            <w:r>
              <w:rPr>
                <w:rFonts w:ascii="仿宋_GB2312" w:hAnsi="仿宋_GB2312" w:cs="仿宋_GB2312" w:eastAsia="仿宋_GB2312"/>
              </w:rPr>
              <w:t>8、为了满足用户安全性的需求，所投产品需满足，在不使用第三方产品的情况下，在虚拟化管理平台可配置基于ip、虚拟机、用户的ACL策略访问控制，以解决网络隔离配置的复杂性以及实现虚拟机直接的隔离安全。</w:t>
            </w:r>
          </w:p>
          <w:p>
            <w:pPr>
              <w:pStyle w:val="null5"/>
              <w:ind w:firstLine="480"/>
              <w:jc w:val="left"/>
            </w:pPr>
            <w:r>
              <w:rPr>
                <w:rFonts w:ascii="仿宋_GB2312" w:hAnsi="仿宋_GB2312" w:cs="仿宋_GB2312" w:eastAsia="仿宋_GB2312"/>
              </w:rPr>
              <w:t>▲9、支持根据接入环境不同匹配不同安全级别的策略，场景可基于IP范围、终端类型等，实现用户从不同接入地点、接入终端，匹配不同安全等级的认证策略及桌面策略。如用户从内网、外网访问桌面时获取不同策略，内网登录时可以使用U盘，外网登录时禁用所有外设；如用户在外网登陆时需要叠加辅助认证。（提供功能截图并加盖公章）</w:t>
            </w:r>
          </w:p>
          <w:p>
            <w:pPr>
              <w:pStyle w:val="null5"/>
              <w:ind w:firstLine="480"/>
              <w:jc w:val="left"/>
            </w:pPr>
            <w:r>
              <w:rPr>
                <w:rFonts w:ascii="仿宋_GB2312" w:hAnsi="仿宋_GB2312" w:cs="仿宋_GB2312" w:eastAsia="仿宋_GB2312"/>
              </w:rPr>
              <w:t>10、支持USB3.0高速存储设备，千兆网络环境中传输读速率最高可达60MB/s, 满足用户从桌面云高速访问本地大容量文件的需求</w:t>
            </w:r>
          </w:p>
          <w:p>
            <w:pPr>
              <w:pStyle w:val="null5"/>
              <w:jc w:val="left"/>
            </w:pPr>
            <w:r>
              <w:rPr>
                <w:rFonts w:ascii="仿宋_GB2312" w:hAnsi="仿宋_GB2312" w:cs="仿宋_GB2312" w:eastAsia="仿宋_GB2312"/>
              </w:rPr>
              <w:t>11、为节约服务器资源的使用，应用虚拟化管理平台需要支持会话复用功能，保障同一台应用虚拟化服务器的应用程序会分配到同一个会话中</w:t>
            </w:r>
          </w:p>
          <w:p>
            <w:pPr>
              <w:pStyle w:val="null5"/>
              <w:jc w:val="left"/>
            </w:pPr>
            <w:r>
              <w:rPr>
                <w:rFonts w:ascii="仿宋_GB2312" w:hAnsi="仿宋_GB2312" w:cs="仿宋_GB2312" w:eastAsia="仿宋_GB2312"/>
              </w:rPr>
              <w:t>12、桌面云能支持提供U盘、读卡器等数据移动存储设备的双向拷贝管控功能，可控制U盘的只读和读写权限，防止数据外泄。</w:t>
            </w:r>
            <w:r>
              <w:br/>
            </w:r>
            <w:r>
              <w:rPr>
                <w:rFonts w:ascii="仿宋_GB2312" w:hAnsi="仿宋_GB2312" w:cs="仿宋_GB2312" w:eastAsia="仿宋_GB2312"/>
                <w:color w:val="000000"/>
              </w:rPr>
              <w:t>1</w:t>
            </w:r>
            <w:r>
              <w:rPr>
                <w:rFonts w:ascii="仿宋_GB2312" w:hAnsi="仿宋_GB2312" w:cs="仿宋_GB2312" w:eastAsia="仿宋_GB2312"/>
                <w:color w:val="000000"/>
              </w:rPr>
              <w:t>3</w:t>
            </w:r>
            <w:r>
              <w:rPr>
                <w:rFonts w:ascii="仿宋_GB2312" w:hAnsi="仿宋_GB2312" w:cs="仿宋_GB2312" w:eastAsia="仿宋_GB2312"/>
                <w:color w:val="000000"/>
              </w:rPr>
              <w:t>、</w:t>
            </w:r>
            <w:r>
              <w:rPr>
                <w:rFonts w:ascii="仿宋_GB2312" w:hAnsi="仿宋_GB2312" w:cs="仿宋_GB2312" w:eastAsia="仿宋_GB2312"/>
                <w:color w:val="000000"/>
              </w:rPr>
              <w:t>产品提供三年硬件质保软件升级</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云终端</w:t>
            </w:r>
          </w:p>
        </w:tc>
        <w:tc>
          <w:tcPr>
            <w:tcW w:type="dxa" w:w="2076"/>
          </w:tcPr>
          <w:p>
            <w:pPr>
              <w:pStyle w:val="null5"/>
              <w:ind w:firstLine="480"/>
              <w:jc w:val="left"/>
            </w:pPr>
            <w:r>
              <w:rPr>
                <w:rFonts w:ascii="仿宋_GB2312" w:hAnsi="仿宋_GB2312" w:cs="仿宋_GB2312" w:eastAsia="仿宋_GB2312"/>
              </w:rPr>
              <w:t>数量：80台</w:t>
            </w:r>
          </w:p>
          <w:p>
            <w:pPr>
              <w:pStyle w:val="null5"/>
              <w:ind w:firstLine="480"/>
              <w:jc w:val="left"/>
            </w:pPr>
            <w:r>
              <w:rPr>
                <w:rFonts w:ascii="仿宋_GB2312" w:hAnsi="仿宋_GB2312" w:cs="仿宋_GB2312" w:eastAsia="仿宋_GB2312"/>
                <w:sz w:val="21"/>
              </w:rPr>
              <w:t>1、硬件参数：CPU≥ 2.0GHz内存≥2GB，硬盘容量≥8GB（板载），接口≥2千兆电口，接口类型≥1*HDMI，≥1*VGA，USB≥2*USB2.0，≥4*USB3.0。</w:t>
            </w:r>
          </w:p>
          <w:p>
            <w:pPr>
              <w:pStyle w:val="null5"/>
              <w:ind w:firstLine="480"/>
              <w:jc w:val="left"/>
            </w:pPr>
            <w:r>
              <w:rPr>
                <w:rFonts w:ascii="仿宋_GB2312" w:hAnsi="仿宋_GB2312" w:cs="仿宋_GB2312" w:eastAsia="仿宋_GB2312"/>
                <w:sz w:val="21"/>
              </w:rPr>
              <w:t>2、本次招标为桌面云瘦客户机，不允许采用台式计算机、便携式计算机代替。终端采用嵌入式操作系统，比如Android、Linux，若使用windows为底层操作系统，则需要提供正版授权。</w:t>
            </w:r>
          </w:p>
          <w:p>
            <w:pPr>
              <w:pStyle w:val="null5"/>
              <w:ind w:firstLine="480"/>
              <w:jc w:val="left"/>
            </w:pPr>
            <w:r>
              <w:rPr>
                <w:rFonts w:ascii="仿宋_GB2312" w:hAnsi="仿宋_GB2312" w:cs="仿宋_GB2312" w:eastAsia="仿宋_GB2312"/>
                <w:sz w:val="21"/>
              </w:rPr>
              <w:t>3、为了防止使用者修改云终端本地配置带来不必要的管理麻烦，支持配置是否允许登陆盒子本地系统，支持设置修改云终端配置和登陆信息需要密码功能，支持配置是否允许新的云终端接入。</w:t>
            </w:r>
          </w:p>
          <w:p>
            <w:pPr>
              <w:pStyle w:val="null5"/>
              <w:ind w:firstLine="480"/>
              <w:jc w:val="left"/>
            </w:pPr>
            <w:r>
              <w:rPr>
                <w:rFonts w:ascii="仿宋_GB2312" w:hAnsi="仿宋_GB2312" w:cs="仿宋_GB2312" w:eastAsia="仿宋_GB2312"/>
                <w:sz w:val="21"/>
              </w:rPr>
              <w:t>▲4、在瘦终端的管理方面，需支持分组管理、批量移动、删除、关闭瘦终端，支持配置定时开关机计划及加电自启动功能，支持自定义开机画面、支持联动关机功能、配置自动登录和保存密码。（提供功能截图及第三方检测报告证明）；</w:t>
            </w:r>
          </w:p>
          <w:p>
            <w:pPr>
              <w:pStyle w:val="null5"/>
              <w:jc w:val="left"/>
            </w:pPr>
            <w:r>
              <w:rPr>
                <w:rFonts w:ascii="仿宋_GB2312" w:hAnsi="仿宋_GB2312" w:cs="仿宋_GB2312" w:eastAsia="仿宋_GB2312"/>
                <w:sz w:val="21"/>
              </w:rPr>
              <w:t>5、</w:t>
            </w:r>
            <w:r>
              <w:rPr>
                <w:rFonts w:ascii="仿宋_GB2312" w:hAnsi="仿宋_GB2312" w:cs="仿宋_GB2312" w:eastAsia="仿宋_GB2312"/>
                <w:sz w:val="21"/>
              </w:rPr>
              <w:t>支持空闲虚拟机识别，通过算法分析识别一段时间内的空闲和僵尸虚拟机，并能导出统计报告，用于管理员做计报表和分析，避免不必要的开销。</w:t>
            </w:r>
          </w:p>
          <w:p>
            <w:pPr>
              <w:pStyle w:val="null5"/>
              <w:jc w:val="left"/>
            </w:pPr>
            <w:r>
              <w:rPr>
                <w:rFonts w:ascii="仿宋_GB2312" w:hAnsi="仿宋_GB2312" w:cs="仿宋_GB2312" w:eastAsia="仿宋_GB2312"/>
                <w:sz w:val="21"/>
              </w:rPr>
              <w:t>▲</w:t>
            </w:r>
            <w:r>
              <w:rPr>
                <w:rFonts w:ascii="仿宋_GB2312" w:hAnsi="仿宋_GB2312" w:cs="仿宋_GB2312" w:eastAsia="仿宋_GB2312"/>
                <w:sz w:val="21"/>
              </w:rPr>
              <w:t>6、支持</w:t>
            </w:r>
            <w:r>
              <w:rPr>
                <w:rFonts w:ascii="仿宋_GB2312" w:hAnsi="仿宋_GB2312" w:cs="仿宋_GB2312" w:eastAsia="仿宋_GB2312"/>
                <w:sz w:val="21"/>
              </w:rPr>
              <w:t>通过硬件切换开关，在内外网等物理隔离的网络之间实现终端网络和桌面云业务的自动快速切换</w:t>
            </w:r>
            <w:r>
              <w:rPr>
                <w:rFonts w:ascii="仿宋_GB2312" w:hAnsi="仿宋_GB2312" w:cs="仿宋_GB2312" w:eastAsia="仿宋_GB2312"/>
                <w:sz w:val="21"/>
              </w:rPr>
              <w:t>（</w:t>
            </w:r>
            <w:r>
              <w:rPr>
                <w:rFonts w:ascii="仿宋_GB2312" w:hAnsi="仿宋_GB2312" w:cs="仿宋_GB2312" w:eastAsia="仿宋_GB2312"/>
                <w:sz w:val="21"/>
              </w:rPr>
              <w:t>提供相关证明材料</w:t>
            </w:r>
            <w:r>
              <w:rPr>
                <w:rFonts w:ascii="仿宋_GB2312" w:hAnsi="仿宋_GB2312" w:cs="仿宋_GB2312" w:eastAsia="仿宋_GB2312"/>
                <w:sz w:val="21"/>
              </w:rPr>
              <w:t>）</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虚拟化管理接入授权</w:t>
            </w:r>
          </w:p>
        </w:tc>
        <w:tc>
          <w:tcPr>
            <w:tcW w:type="dxa" w:w="2076"/>
          </w:tcPr>
          <w:p>
            <w:pPr>
              <w:pStyle w:val="null5"/>
              <w:ind w:firstLine="480"/>
              <w:jc w:val="left"/>
            </w:pPr>
            <w:r>
              <w:rPr>
                <w:rFonts w:ascii="仿宋_GB2312" w:hAnsi="仿宋_GB2312" w:cs="仿宋_GB2312" w:eastAsia="仿宋_GB2312"/>
                <w:sz w:val="21"/>
              </w:rPr>
              <w:t>桌面云接入软件授权，数量：80套。</w:t>
            </w:r>
          </w:p>
          <w:p>
            <w:pPr>
              <w:pStyle w:val="null5"/>
              <w:ind w:firstLine="480"/>
              <w:jc w:val="left"/>
            </w:pPr>
            <w:r>
              <w:rPr>
                <w:rFonts w:ascii="仿宋_GB2312" w:hAnsi="仿宋_GB2312" w:cs="仿宋_GB2312" w:eastAsia="仿宋_GB2312"/>
                <w:sz w:val="21"/>
              </w:rPr>
              <w:t>1、本项目要求提供专用版VDI用户授权，支持发布专有桌面、还原桌面、池化桌面、共享桌面、远程应用至少5种桌面资源，具备移动端接入的能力。</w:t>
            </w:r>
          </w:p>
          <w:p>
            <w:pPr>
              <w:pStyle w:val="null5"/>
              <w:ind w:firstLine="480"/>
              <w:jc w:val="left"/>
            </w:pPr>
            <w:r>
              <w:rPr>
                <w:rFonts w:ascii="仿宋_GB2312" w:hAnsi="仿宋_GB2312" w:cs="仿宋_GB2312" w:eastAsia="仿宋_GB2312"/>
                <w:sz w:val="21"/>
              </w:rPr>
              <w:t>2、在桌面部署时，通过PC方式过度，支持PC磁盘映射，即PC本地硬盘可直接映射到虚拟桌面上使用，并可根据策略进行文件读写权限设置和数据读写审计。</w:t>
            </w:r>
          </w:p>
          <w:p>
            <w:pPr>
              <w:pStyle w:val="null5"/>
              <w:ind w:firstLine="480"/>
              <w:jc w:val="left"/>
            </w:pPr>
            <w:r>
              <w:rPr>
                <w:rFonts w:ascii="仿宋_GB2312" w:hAnsi="仿宋_GB2312" w:cs="仿宋_GB2312" w:eastAsia="仿宋_GB2312"/>
                <w:sz w:val="21"/>
              </w:rPr>
              <w:t>3、考虑到接入安全，需支持修改云终端配置和登录信息时需要密码，可限制未接入过环境的瘦终端的接入或者接入桌面环境需要输入密码。</w:t>
            </w:r>
          </w:p>
          <w:p>
            <w:pPr>
              <w:pStyle w:val="null5"/>
              <w:ind w:firstLine="480"/>
              <w:jc w:val="left"/>
            </w:pPr>
            <w:r>
              <w:rPr>
                <w:rFonts w:ascii="仿宋_GB2312" w:hAnsi="仿宋_GB2312" w:cs="仿宋_GB2312" w:eastAsia="仿宋_GB2312"/>
                <w:sz w:val="21"/>
              </w:rPr>
              <w:t>4、账号密码、usb-key认证、短信认证、硬件特征绑定、动态口令、ldap认证、raduis认证、AD域认证、瘦终端客户机认证、802.1x等多种方式，满足多种接入的组合需求。</w:t>
            </w:r>
          </w:p>
          <w:p>
            <w:pPr>
              <w:pStyle w:val="null5"/>
              <w:ind w:firstLine="480"/>
              <w:jc w:val="left"/>
            </w:pPr>
            <w:r>
              <w:rPr>
                <w:rFonts w:ascii="仿宋_GB2312" w:hAnsi="仿宋_GB2312" w:cs="仿宋_GB2312" w:eastAsia="仿宋_GB2312"/>
                <w:sz w:val="21"/>
              </w:rPr>
              <w:t>5、支持桌面会话保持功能，在多桌面切换、更换不同终端接入、临时性网络中断（自动重连）等情况下，用户重新登录后不会影响原先的桌面操作行为。</w:t>
            </w:r>
          </w:p>
          <w:p>
            <w:pPr>
              <w:pStyle w:val="null5"/>
              <w:ind w:firstLine="480"/>
              <w:jc w:val="left"/>
            </w:pPr>
            <w:r>
              <w:rPr>
                <w:rFonts w:ascii="仿宋_GB2312" w:hAnsi="仿宋_GB2312" w:cs="仿宋_GB2312" w:eastAsia="仿宋_GB2312"/>
                <w:sz w:val="21"/>
              </w:rPr>
              <w:t>6、考虑空闲虚拟机不占用实际资源，支持设置用户在一定时间没有对虚拟机操作后自动注销该用户，以释放资源。</w:t>
            </w:r>
          </w:p>
          <w:p>
            <w:pPr>
              <w:pStyle w:val="null5"/>
              <w:ind w:firstLine="480"/>
              <w:jc w:val="left"/>
            </w:pPr>
            <w:r>
              <w:rPr>
                <w:rFonts w:ascii="仿宋_GB2312" w:hAnsi="仿宋_GB2312" w:cs="仿宋_GB2312" w:eastAsia="仿宋_GB2312"/>
                <w:sz w:val="21"/>
              </w:rPr>
              <w:t>7、客户端连接虚拟桌面无需依赖虚拟机IP，具体表现为禁用虚机网卡或者随意更改IP，桌面会话不会中断，用户可以正常办公和播放视频，避免因误操作而导致业务中断。</w:t>
            </w:r>
          </w:p>
          <w:p>
            <w:pPr>
              <w:pStyle w:val="null5"/>
              <w:ind w:firstLine="480"/>
              <w:jc w:val="left"/>
            </w:pPr>
            <w:r>
              <w:rPr>
                <w:rFonts w:ascii="仿宋_GB2312" w:hAnsi="仿宋_GB2312" w:cs="仿宋_GB2312" w:eastAsia="仿宋_GB2312"/>
                <w:sz w:val="21"/>
              </w:rPr>
              <w:t>8、为了方便管理，管理方式为虚拟机和瘦终端统一管理，降低管理难度。</w:t>
            </w:r>
          </w:p>
          <w:p>
            <w:pPr>
              <w:pStyle w:val="null5"/>
              <w:ind w:firstLine="480"/>
              <w:jc w:val="left"/>
            </w:pPr>
            <w:r>
              <w:rPr>
                <w:rFonts w:ascii="仿宋_GB2312" w:hAnsi="仿宋_GB2312" w:cs="仿宋_GB2312" w:eastAsia="仿宋_GB2312"/>
                <w:sz w:val="21"/>
              </w:rPr>
              <w:t>9、为了降低用户的使用难度，需要瘦终端的使用可以和PC一致，在关机方面，在虚拟机中点击“开始”菜单、点击“关机”按钮，云终端和操作系统将会一体化关闭。</w:t>
            </w:r>
          </w:p>
          <w:p>
            <w:pPr>
              <w:pStyle w:val="null5"/>
              <w:ind w:firstLine="480"/>
              <w:jc w:val="left"/>
            </w:pPr>
            <w:r>
              <w:rPr>
                <w:rFonts w:ascii="仿宋_GB2312" w:hAnsi="仿宋_GB2312" w:cs="仿宋_GB2312" w:eastAsia="仿宋_GB2312"/>
                <w:sz w:val="21"/>
              </w:rPr>
              <w:t>10、为减少不必要投资，本次所投桌面云接入授权软件支持利旧原有桌面云瘦终端设备，提供加盖公章的说明函。</w:t>
            </w:r>
          </w:p>
          <w:p>
            <w:pPr>
              <w:pStyle w:val="null5"/>
              <w:ind w:firstLine="480"/>
              <w:jc w:val="left"/>
            </w:pPr>
            <w:r>
              <w:rPr>
                <w:rFonts w:ascii="仿宋_GB2312" w:hAnsi="仿宋_GB2312" w:cs="仿宋_GB2312" w:eastAsia="仿宋_GB2312"/>
                <w:sz w:val="21"/>
              </w:rPr>
              <w:t>▲11、软件资源占用统计和业务软件识别，针对软件资源（含CPU、内存、使用人、安装目录和供应商）占用进行统计分析，如果消耗较高会提供告警；同时提供业务软件标识功能，管理员可以将特定软件标记为业务软件和非业务软件，用于管理员对企业组织软件安装和使用情况做分析（提供功能截图）</w:t>
            </w:r>
          </w:p>
          <w:p>
            <w:pPr>
              <w:pStyle w:val="null5"/>
              <w:ind w:firstLine="480"/>
              <w:jc w:val="left"/>
            </w:pPr>
            <w:r>
              <w:rPr>
                <w:rFonts w:ascii="仿宋_GB2312" w:hAnsi="仿宋_GB2312" w:cs="仿宋_GB2312" w:eastAsia="仿宋_GB2312"/>
                <w:sz w:val="21"/>
              </w:rPr>
              <w:t>12、支持将应用虚拟化管理平台直接映射到互联网，要求自带SSL加密功能，不要借助第三方设备，并且能够用于固定IP线路和动态IP线路2种方式，其中动态IP不依赖第三方插件，降低部署复杂度。</w:t>
            </w:r>
          </w:p>
          <w:p>
            <w:pPr>
              <w:pStyle w:val="null5"/>
              <w:jc w:val="left"/>
            </w:pPr>
            <w:r>
              <w:rPr>
                <w:rFonts w:ascii="仿宋_GB2312" w:hAnsi="仿宋_GB2312" w:cs="仿宋_GB2312" w:eastAsia="仿宋_GB2312"/>
                <w:sz w:val="21"/>
              </w:rPr>
              <w:t>13、支持就近打印配置，可以根据客户机对象或者终端ip对象关联打印机配置，用户通过终端登录桌面，自动匹配终端管理的打印机配置，实现就近打印。</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桌面云管理控制器</w:t>
            </w:r>
          </w:p>
        </w:tc>
        <w:tc>
          <w:tcPr>
            <w:tcW w:type="dxa" w:w="2076"/>
          </w:tcPr>
          <w:p>
            <w:pPr>
              <w:pStyle w:val="null5"/>
              <w:ind w:firstLine="480"/>
              <w:jc w:val="left"/>
            </w:pPr>
            <w:r>
              <w:rPr>
                <w:rFonts w:ascii="仿宋_GB2312" w:hAnsi="仿宋_GB2312" w:cs="仿宋_GB2312" w:eastAsia="仿宋_GB2312"/>
                <w:sz w:val="21"/>
              </w:rPr>
              <w:t>桌面云管理控制器，数量2套。</w:t>
            </w:r>
          </w:p>
          <w:p>
            <w:pPr>
              <w:pStyle w:val="null5"/>
              <w:ind w:firstLine="480"/>
              <w:jc w:val="left"/>
            </w:pPr>
            <w:r>
              <w:rPr>
                <w:rFonts w:ascii="仿宋_GB2312" w:hAnsi="仿宋_GB2312" w:cs="仿宋_GB2312" w:eastAsia="仿宋_GB2312"/>
                <w:sz w:val="21"/>
              </w:rPr>
              <w:t>1、提供服务器虚拟化和存储虚拟化授权，服务器虚拟化授权要求满足本项目性能需求，存储虚拟化授权要求无容量限制，提供2pb存储使用授权，便于后续存储扩容。（提供说明文档）</w:t>
            </w:r>
          </w:p>
          <w:p>
            <w:pPr>
              <w:pStyle w:val="null5"/>
              <w:ind w:firstLine="480"/>
              <w:jc w:val="left"/>
            </w:pPr>
            <w:r>
              <w:rPr>
                <w:rFonts w:ascii="仿宋_GB2312" w:hAnsi="仿宋_GB2312" w:cs="仿宋_GB2312" w:eastAsia="仿宋_GB2312"/>
                <w:sz w:val="21"/>
              </w:rPr>
              <w:t>2、桌面云软件兼容市场上主流服务器</w:t>
            </w:r>
            <w:r>
              <w:rPr>
                <w:rFonts w:ascii="仿宋_GB2312" w:hAnsi="仿宋_GB2312" w:cs="仿宋_GB2312" w:eastAsia="仿宋_GB2312"/>
                <w:sz w:val="21"/>
              </w:rPr>
              <w:t>和存储设备，支持品牌不局限于联想、戴尔、浪潮等。</w:t>
            </w:r>
          </w:p>
          <w:p>
            <w:pPr>
              <w:pStyle w:val="null5"/>
              <w:ind w:firstLine="480"/>
              <w:jc w:val="left"/>
            </w:pPr>
            <w:r>
              <w:rPr>
                <w:rFonts w:ascii="仿宋_GB2312" w:hAnsi="仿宋_GB2312" w:cs="仿宋_GB2312" w:eastAsia="仿宋_GB2312"/>
                <w:sz w:val="21"/>
              </w:rPr>
              <w:t>▲3、支持主机集群迁移虚拟机建议，通过主机监控、虚拟机监控数据，当某个主机负载达到一定阈值，监控平台能够建议管理员做迁移动作，以保障用户体验，（提供功能截图并加盖供应商</w:t>
            </w:r>
            <w:r>
              <w:rPr>
                <w:rFonts w:ascii="仿宋_GB2312" w:hAnsi="仿宋_GB2312" w:cs="仿宋_GB2312" w:eastAsia="仿宋_GB2312"/>
                <w:sz w:val="21"/>
              </w:rPr>
              <w:t>公章）</w:t>
            </w:r>
          </w:p>
          <w:p>
            <w:pPr>
              <w:pStyle w:val="null5"/>
              <w:ind w:firstLine="480"/>
              <w:jc w:val="left"/>
            </w:pPr>
            <w:r>
              <w:rPr>
                <w:rFonts w:ascii="仿宋_GB2312" w:hAnsi="仿宋_GB2312" w:cs="仿宋_GB2312" w:eastAsia="仿宋_GB2312"/>
                <w:sz w:val="21"/>
              </w:rPr>
              <w:t>4、为满足不同用户的安全访问需求，所投产品需支持虚拟门户，不同用户通过不同地址接入虚拟桌面，在互联网访问场景，可以指定特定账号在外网访问桌面云，而其他用户只能在内网访问。</w:t>
            </w:r>
          </w:p>
          <w:p>
            <w:pPr>
              <w:pStyle w:val="null5"/>
              <w:ind w:firstLine="480"/>
              <w:jc w:val="left"/>
            </w:pPr>
            <w:r>
              <w:rPr>
                <w:rFonts w:ascii="仿宋_GB2312" w:hAnsi="仿宋_GB2312" w:cs="仿宋_GB2312" w:eastAsia="仿宋_GB2312"/>
                <w:sz w:val="21"/>
              </w:rPr>
              <w:t>5、为保障使用的安全性，桌面云控制器内置防火墙，包括设置过滤规则、NAT设置、访问监控、防DOS攻击。</w:t>
            </w:r>
          </w:p>
          <w:p>
            <w:pPr>
              <w:pStyle w:val="null5"/>
              <w:ind w:firstLine="480"/>
              <w:jc w:val="left"/>
            </w:pPr>
            <w:r>
              <w:rPr>
                <w:rFonts w:ascii="仿宋_GB2312" w:hAnsi="仿宋_GB2312" w:cs="仿宋_GB2312" w:eastAsia="仿宋_GB2312"/>
                <w:sz w:val="21"/>
              </w:rPr>
              <w:t>6、支持PC防截屏、防录屏，在PC利旧场景下，支持PC客户端接入虚拟机后，保护窗口内容，屏蔽本地任意截屏、录屏软件、远程会议软件等获取窗口画面，防止数据外泄，以保护桌面数据安全。</w:t>
            </w:r>
          </w:p>
          <w:p>
            <w:pPr>
              <w:pStyle w:val="null5"/>
              <w:jc w:val="left"/>
            </w:pPr>
            <w:r>
              <w:rPr>
                <w:rFonts w:ascii="仿宋_GB2312" w:hAnsi="仿宋_GB2312" w:cs="仿宋_GB2312" w:eastAsia="仿宋_GB2312"/>
                <w:sz w:val="21"/>
              </w:rPr>
              <w:t>7、为了实现大规模部署及简化管理，需支持跨多个虚拟化资源池的模板统一管理、统一下发、统一更新。</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备注</w:t>
            </w:r>
          </w:p>
        </w:tc>
        <w:tc>
          <w:tcPr>
            <w:tcW w:type="dxa" w:w="2076"/>
          </w:tcPr>
          <w:p>
            <w:pPr>
              <w:pStyle w:val="null5"/>
              <w:jc w:val="left"/>
            </w:pPr>
            <w:r>
              <w:rPr>
                <w:rFonts w:ascii="仿宋_GB2312" w:hAnsi="仿宋_GB2312" w:cs="仿宋_GB2312" w:eastAsia="仿宋_GB2312"/>
                <w:b/>
              </w:rPr>
              <w:t>1、本项目核心产品：桌面云一体机</w:t>
            </w:r>
          </w:p>
          <w:p>
            <w:pPr>
              <w:pStyle w:val="null5"/>
              <w:jc w:val="left"/>
            </w:pPr>
            <w:r>
              <w:rPr>
                <w:rFonts w:ascii="仿宋_GB2312" w:hAnsi="仿宋_GB2312" w:cs="仿宋_GB2312" w:eastAsia="仿宋_GB2312"/>
              </w:rPr>
              <w:t>2、对于招标文件中没有列出，而对将来正常使用必不可少的备件、专用工具和消耗品，供应商应一并提供，包含在设备单价中。</w:t>
            </w:r>
          </w:p>
          <w:p>
            <w:pPr>
              <w:pStyle w:val="null5"/>
              <w:jc w:val="left"/>
            </w:pPr>
            <w:r>
              <w:rPr>
                <w:rFonts w:ascii="仿宋_GB2312" w:hAnsi="仿宋_GB2312" w:cs="仿宋_GB2312" w:eastAsia="仿宋_GB2312"/>
                <w:sz w:val="21"/>
              </w:rPr>
              <w:t>3、如果涉及到品牌、型号等，并不表明该标的被指定，而是仅作为投标参考，投标人所投报的产品只要优于或相当于此品牌、型号，都将被视为对招标文件作出了实质性响应。</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both"/>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提供及时专业的售后服务</w:t>
            </w:r>
          </w:p>
        </w:tc>
        <w:tc>
          <w:tcPr>
            <w:tcW w:type="dxa" w:w="4153"/>
          </w:tcPr>
          <w:p>
            <w:pPr>
              <w:pStyle w:val="null5"/>
              <w:jc w:val="left"/>
            </w:pPr>
            <w:r>
              <w:rPr>
                <w:rFonts w:ascii="仿宋_GB2312" w:hAnsi="仿宋_GB2312" w:cs="仿宋_GB2312" w:eastAsia="仿宋_GB2312"/>
              </w:rPr>
              <w:t>1、按照投标人的售后服务承诺及附带的说明执行。 2、投标人要把针对本项目的售后服务承诺写入响应文件。</w:t>
            </w:r>
          </w:p>
        </w:tc>
      </w:tr>
    </w:tbl>
    <w:p>
      <w:pPr>
        <w:pStyle w:val="null5"/>
        <w:ind w:firstLine="480"/>
        <w:jc w:val="both"/>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合同签订后，60天安装对接调试完成，具备验收条件。</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潍坊市中心血站，具体地点由采购人指定。</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付款方式：供货安装对接调试完毕验收合格后支付合同总金额的90%，余款验收合格一年后无质量问题付清。备注：成交供应商向采购人提供全额发票。合同款全部付清后，乙方仍须履行货物更换、质量保证等合同约定义务，否则按费用的10倍支付违约金。</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免费质保期：不少于3年（其中桌面云一体机提供不少于5年免费维保）。免费质保期自验收合格之日起计算。投标人有延长质保期承诺的，执行其承诺。</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1、对于招标文件中没有列出，而对将来正常使用必不可少的备件、专用工具和消耗品，供应商应一并提供，包含在设备单价中。 2、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其他同品牌投标人不作为中标候选人。非单一产品采购项目，多家投标人提供的核心产品品牌相同的，按前两款规定处理。 3、对投标人其他要求 （1）投标人须制定详细的服务方案； （2）为保证产品质量以及售后服务，投标人须制定应急售后服务方案及处理措施； （3）投标人须制定运输、供货、调试方案； （4）投标人须对使用人员进行必要的培训，保证使用人员熟练操作设备。 （5）投标人须提供所投产品必要的技术资料。 4、其他说明 ①中标人须负责将设备供货、安装、对接、调试到位，须制定相应实施方案，确保设备能够正常使用，相关费用包含在报价中，不再另行支付。并在交付使用前对采购人处使用人员进行培训，保证使用人员熟练掌握设备使用方法。 ②项目实施过程中安全由中标人负责。中标人在本项目实施过程中应遵守国家相关规定，在项目验收前发生任何意外事故，所造成的一切损失均由中标人承担。 ③中标人所供产品保证达到国家相关标准，且必须为全新的、未使用过、未拆装的原装正品。 ④项目验收由采购人及相关人员依据国家有关标准、合同及相关附件要求进行。验收不合格时，中标人必须在采购人指定的时间内无条件更换，由此造成的损失和责任由中标人承担。 ⑤投标人的报价明显低于其他通过符合性审查投标人的报价，有可能影响产品质量或者不能诚信履约的，应当按要求在规定的合理时间内提供书面说明，必要时提交相关证明材料。 ⑥投标人须保证提供的产品、服务以及其中任何一部分不受第三方提出侵犯专利、商标、工业设计权或其他的指控。投标人确保提供的产品、服务等取得有关知识产权的权利人的合法授权。如发生涉及到专利权、著作权、商标权等争议，投标人负责处理并承担由此引起的全部法律及经济责任。：</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资格审查</w:t>
      </w:r>
    </w:p>
    <w:p>
      <w:pPr>
        <w:pStyle w:val="null5"/>
        <w:ind w:firstLine="480"/>
        <w:jc w:val="both"/>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5"/>
        <w:ind w:firstLine="480"/>
        <w:jc w:val="left"/>
        <w:outlineLvl w:val="2"/>
      </w:pPr>
      <w:r>
        <w:rPr>
          <w:rFonts w:ascii="仿宋_GB2312" w:hAnsi="仿宋_GB2312" w:cs="仿宋_GB2312" w:eastAsia="仿宋_GB2312"/>
          <w:sz w:val="28"/>
          <w:b/>
        </w:rPr>
        <w:t>4.1.一般资格审查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具有独立承担民事责任的能力</w:t>
            </w:r>
          </w:p>
        </w:tc>
        <w:tc>
          <w:tcPr>
            <w:tcW w:type="dxa" w:w="3322"/>
          </w:tcPr>
          <w:p>
            <w:pPr>
              <w:pStyle w:val="null5"/>
              <w:jc w:val="left"/>
            </w:pPr>
            <w:r>
              <w:rPr>
                <w:rFonts w:ascii="仿宋_GB2312" w:hAnsi="仿宋_GB2312" w:cs="仿宋_GB2312" w:eastAsia="仿宋_GB2312"/>
              </w:rPr>
              <w:t>提供有效的营业执照。</w:t>
            </w:r>
          </w:p>
        </w:tc>
        <w:tc>
          <w:tcPr>
            <w:tcW w:type="dxa" w:w="1661"/>
          </w:tcPr>
          <w:p>
            <w:pPr>
              <w:pStyle w:val="null5"/>
              <w:jc w:val="left"/>
            </w:pPr>
            <w:r>
              <w:rPr>
                <w:rFonts w:ascii="仿宋_GB2312" w:hAnsi="仿宋_GB2312" w:cs="仿宋_GB2312" w:eastAsia="仿宋_GB2312"/>
              </w:rPr>
              <w:t>具有独立承担民事责任的能力证明文件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单位负责人为同一人或者存在直接控股、管理关系的不同供应商，不得参加同一合同项下的采购活动。</w:t>
            </w:r>
          </w:p>
        </w:tc>
        <w:tc>
          <w:tcPr>
            <w:tcW w:type="dxa" w:w="3322"/>
          </w:tcPr>
          <w:p>
            <w:pPr>
              <w:pStyle w:val="null5"/>
              <w:jc w:val="left"/>
            </w:pPr>
            <w:r>
              <w:rPr>
                <w:rFonts w:ascii="仿宋_GB2312" w:hAnsi="仿宋_GB2312" w:cs="仿宋_GB2312" w:eastAsia="仿宋_GB2312"/>
              </w:rPr>
              <w:t>代理机构进行供应商关联性查询。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5"/>
              <w:jc w:val="left"/>
            </w:pPr>
            <w:r>
              <w:rPr>
                <w:rFonts w:ascii="仿宋_GB2312" w:hAnsi="仿宋_GB2312" w:cs="仿宋_GB2312" w:eastAsia="仿宋_GB2312"/>
              </w:rPr>
              <w:t>提供商业信誉、财务会计制度、缴纳税收和社保的承诺函，加盖公章。</w:t>
            </w:r>
          </w:p>
        </w:tc>
        <w:tc>
          <w:tcPr>
            <w:tcW w:type="dxa" w:w="1661"/>
          </w:tcPr>
          <w:p>
            <w:pPr>
              <w:pStyle w:val="null5"/>
              <w:jc w:val="left"/>
            </w:pPr>
            <w:r>
              <w:rPr>
                <w:rFonts w:ascii="仿宋_GB2312" w:hAnsi="仿宋_GB2312" w:cs="仿宋_GB2312" w:eastAsia="仿宋_GB2312"/>
              </w:rPr>
              <w:t>自觉抵制政府采购领域商业贿赂行为承诺书、商业信誉、财务会计制度、缴纳税收和社保的承诺函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参加政府采购活动前三年内，在经营活动中没有重大违法记录。</w:t>
            </w:r>
          </w:p>
        </w:tc>
        <w:tc>
          <w:tcPr>
            <w:tcW w:type="dxa" w:w="3322"/>
          </w:tcPr>
          <w:p>
            <w:pPr>
              <w:pStyle w:val="null5"/>
              <w:jc w:val="left"/>
            </w:pPr>
            <w:r>
              <w:rPr>
                <w:rFonts w:ascii="仿宋_GB2312" w:hAnsi="仿宋_GB2312" w:cs="仿宋_GB2312" w:eastAsia="仿宋_GB2312"/>
              </w:rPr>
              <w:t>提供无重大违法记录声明函，加盖公章。</w:t>
            </w:r>
          </w:p>
        </w:tc>
        <w:tc>
          <w:tcPr>
            <w:tcW w:type="dxa" w:w="1661"/>
          </w:tcPr>
          <w:p>
            <w:pPr>
              <w:pStyle w:val="null5"/>
              <w:jc w:val="left"/>
            </w:pPr>
            <w:r>
              <w:rPr>
                <w:rFonts w:ascii="仿宋_GB2312" w:hAnsi="仿宋_GB2312" w:cs="仿宋_GB2312" w:eastAsia="仿宋_GB2312"/>
              </w:rPr>
              <w:t>无重大违法记录声明函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投标人无不良信用记录</w:t>
            </w:r>
          </w:p>
        </w:tc>
        <w:tc>
          <w:tcPr>
            <w:tcW w:type="dxa" w:w="3322"/>
          </w:tcPr>
          <w:p>
            <w:pPr>
              <w:pStyle w:val="null5"/>
              <w:jc w:val="left"/>
            </w:pPr>
            <w:r>
              <w:rPr>
                <w:rFonts w:ascii="仿宋_GB2312" w:hAnsi="仿宋_GB2312" w:cs="仿宋_GB2312" w:eastAsia="仿宋_GB2312"/>
              </w:rPr>
              <w:t>资格评审阶段，通过“信用中国”、“中国政府采购网”渠道查询投标人信用记录，对查询时列入失信被执行人、重大税收违法失信主体、政府采购严重违法失信行为记录名单的供应商，拒绝其参与政府采购活动。</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w:t>
            </w:r>
          </w:p>
        </w:tc>
        <w:tc>
          <w:tcPr>
            <w:tcW w:type="dxa" w:w="1661"/>
          </w:tcPr>
          <w:p>
            <w:pPr>
              <w:pStyle w:val="null5"/>
              <w:jc w:val="left"/>
            </w:pPr>
            <w:r>
              <w:rPr>
                <w:rFonts w:ascii="仿宋_GB2312" w:hAnsi="仿宋_GB2312" w:cs="仿宋_GB2312" w:eastAsia="仿宋_GB2312"/>
              </w:rPr>
              <w:t>具备履行合同所必需设备和专业技术能力的声明函</w:t>
            </w:r>
          </w:p>
        </w:tc>
      </w:tr>
    </w:tbl>
    <w:p>
      <w:pPr>
        <w:pStyle w:val="null5"/>
        <w:ind w:firstLine="480"/>
        <w:jc w:val="left"/>
        <w:outlineLvl w:val="2"/>
      </w:pPr>
      <w:r>
        <w:rPr>
          <w:rFonts w:ascii="仿宋_GB2312" w:hAnsi="仿宋_GB2312" w:cs="仿宋_GB2312" w:eastAsia="仿宋_GB2312"/>
          <w:sz w:val="28"/>
          <w:b/>
        </w:rPr>
        <w:t>4.2.落实政府采购政策资格审查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outlineLvl w:val="2"/>
      </w:pPr>
      <w:r>
        <w:rPr>
          <w:rFonts w:ascii="仿宋_GB2312" w:hAnsi="仿宋_GB2312" w:cs="仿宋_GB2312" w:eastAsia="仿宋_GB2312"/>
          <w:sz w:val="28"/>
          <w:b/>
        </w:rPr>
        <w:t>4.3.特定资格审查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生产或销售相关产品，具有承担本项目的能力。</w:t>
            </w:r>
          </w:p>
        </w:tc>
        <w:tc>
          <w:tcPr>
            <w:tcW w:type="dxa" w:w="3322"/>
          </w:tcPr>
          <w:p>
            <w:pPr>
              <w:pStyle w:val="null5"/>
              <w:jc w:val="left"/>
            </w:pPr>
            <w:r>
              <w:rPr>
                <w:rFonts w:ascii="仿宋_GB2312" w:hAnsi="仿宋_GB2312" w:cs="仿宋_GB2312" w:eastAsia="仿宋_GB2312"/>
              </w:rPr>
              <w:t>生产或销售相关产品，具有承担本项目的能力。</w:t>
            </w:r>
          </w:p>
        </w:tc>
        <w:tc>
          <w:tcPr>
            <w:tcW w:type="dxa" w:w="1661"/>
          </w:tcPr>
          <w:p>
            <w:pPr>
              <w:pStyle w:val="null5"/>
              <w:jc w:val="left"/>
            </w:pPr>
            <w:r>
              <w:rPr>
                <w:rFonts w:ascii="仿宋_GB2312" w:hAnsi="仿宋_GB2312" w:cs="仿宋_GB2312" w:eastAsia="仿宋_GB2312"/>
              </w:rPr>
              <w:t>具有独立承担民事责任的能力证明文件、具备履行合同所必需设备和专业技术能力的声明函</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both"/>
      </w:pPr>
      <w:r>
        <w:rPr>
          <w:rFonts w:ascii="仿宋_GB2312" w:hAnsi="仿宋_GB2312" w:cs="仿宋_GB2312" w:eastAsia="仿宋_GB2312"/>
        </w:rPr>
        <w:t>一、根据《中华人民共和国政府采购法》《中华人民共和国政府采购法实施条例》《政府采购货物和服务招标投标管理办法》等法律 制度规定，结合采购项目特点制定本评标办法。</w:t>
      </w:r>
    </w:p>
    <w:p>
      <w:pPr>
        <w:pStyle w:val="null5"/>
        <w:ind w:firstLine="480"/>
        <w:jc w:val="both"/>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5"/>
        <w:ind w:firstLine="480"/>
        <w:jc w:val="both"/>
      </w:pPr>
      <w:r>
        <w:rPr>
          <w:rFonts w:ascii="仿宋_GB2312" w:hAnsi="仿宋_GB2312" w:cs="仿宋_GB2312" w:eastAsia="仿宋_GB2312"/>
        </w:rPr>
        <w:t>三、评标工作应遵循客观、公正、审慎的原则，根据招标文件规定的评标程序、评标方法和评标标准进行独立评标。</w:t>
      </w:r>
    </w:p>
    <w:p>
      <w:pPr>
        <w:pStyle w:val="null5"/>
        <w:ind w:firstLine="480"/>
        <w:jc w:val="both"/>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5"/>
        <w:ind w:firstLine="480"/>
        <w:jc w:val="both"/>
      </w:pPr>
      <w:r>
        <w:rPr>
          <w:rFonts w:ascii="仿宋_GB2312" w:hAnsi="仿宋_GB2312" w:cs="仿宋_GB2312" w:eastAsia="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5"/>
        <w:ind w:firstLine="480"/>
        <w:jc w:val="both"/>
      </w:pPr>
      <w:r>
        <w:rPr>
          <w:rFonts w:ascii="仿宋_GB2312" w:hAnsi="仿宋_GB2312" w:cs="仿宋_GB2312" w:eastAsia="仿宋_GB2312"/>
        </w:rPr>
        <w:t>六、评标过程应当独立、保密，任何单位和个人不得非法干预评标活动。代理机构、采购人及其工作人员、采购人监督人员违法干预评标活动的，将依法追究其责任。</w:t>
      </w:r>
    </w:p>
    <w:p>
      <w:pPr>
        <w:pStyle w:val="null5"/>
        <w:ind w:firstLine="480"/>
        <w:jc w:val="left"/>
        <w:outlineLvl w:val="2"/>
      </w:pPr>
      <w:r>
        <w:rPr>
          <w:rFonts w:ascii="仿宋_GB2312" w:hAnsi="仿宋_GB2312" w:cs="仿宋_GB2312" w:eastAsia="仿宋_GB2312"/>
          <w:sz w:val="28"/>
          <w:b/>
        </w:rPr>
        <w:t>5.2.评标委员会</w:t>
      </w:r>
    </w:p>
    <w:p>
      <w:pPr>
        <w:pStyle w:val="null5"/>
        <w:ind w:firstLine="480"/>
        <w:jc w:val="both"/>
      </w:pPr>
      <w:r>
        <w:rPr>
          <w:rFonts w:ascii="仿宋_GB2312" w:hAnsi="仿宋_GB2312" w:cs="仿宋_GB2312" w:eastAsia="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5"/>
        <w:ind w:firstLine="480"/>
        <w:jc w:val="both"/>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5"/>
        <w:ind w:firstLine="480"/>
        <w:jc w:val="both"/>
      </w:pPr>
      <w:r>
        <w:rPr>
          <w:rFonts w:ascii="仿宋_GB2312" w:hAnsi="仿宋_GB2312" w:cs="仿宋_GB2312" w:eastAsia="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5"/>
        <w:ind w:firstLine="480"/>
        <w:jc w:val="both"/>
      </w:pPr>
      <w:r>
        <w:rPr>
          <w:rFonts w:ascii="仿宋_GB2312" w:hAnsi="仿宋_GB2312" w:cs="仿宋_GB2312" w:eastAsia="仿宋_GB2312"/>
        </w:rPr>
        <w:t>四、评标委员会应当履行下列职责：</w:t>
      </w:r>
    </w:p>
    <w:p>
      <w:pPr>
        <w:pStyle w:val="null5"/>
        <w:ind w:firstLine="480"/>
        <w:jc w:val="both"/>
      </w:pPr>
      <w:r>
        <w:rPr>
          <w:rFonts w:ascii="仿宋_GB2312" w:hAnsi="仿宋_GB2312" w:cs="仿宋_GB2312" w:eastAsia="仿宋_GB2312"/>
        </w:rPr>
        <w:t>（一）熟悉和理解招标文件；</w:t>
      </w:r>
    </w:p>
    <w:p>
      <w:pPr>
        <w:pStyle w:val="null5"/>
        <w:ind w:firstLine="480"/>
        <w:jc w:val="both"/>
      </w:pPr>
      <w:r>
        <w:rPr>
          <w:rFonts w:ascii="仿宋_GB2312" w:hAnsi="仿宋_GB2312" w:cs="仿宋_GB2312" w:eastAsia="仿宋_GB2312"/>
        </w:rPr>
        <w:t>（二）审查、评价投标文件是否符合招标文件的商务、技术等实质性要求；</w:t>
      </w:r>
    </w:p>
    <w:p>
      <w:pPr>
        <w:pStyle w:val="null5"/>
        <w:ind w:firstLine="480"/>
        <w:jc w:val="both"/>
      </w:pPr>
      <w:r>
        <w:rPr>
          <w:rFonts w:ascii="仿宋_GB2312" w:hAnsi="仿宋_GB2312" w:cs="仿宋_GB2312" w:eastAsia="仿宋_GB2312"/>
        </w:rPr>
        <w:t>（三）对投标文件进行比较和评价；</w:t>
      </w:r>
    </w:p>
    <w:p>
      <w:pPr>
        <w:pStyle w:val="null5"/>
        <w:ind w:firstLine="480"/>
        <w:jc w:val="both"/>
      </w:pPr>
      <w:r>
        <w:rPr>
          <w:rFonts w:ascii="仿宋_GB2312" w:hAnsi="仿宋_GB2312" w:cs="仿宋_GB2312" w:eastAsia="仿宋_GB2312"/>
        </w:rPr>
        <w:t>（四）根据需要要求采购人、代理机构对招标文件作出解释；根据需要要求投标人对投标文件有关事项作出澄清 、说明或者补正；</w:t>
      </w:r>
    </w:p>
    <w:p>
      <w:pPr>
        <w:pStyle w:val="null5"/>
        <w:ind w:firstLine="480"/>
        <w:jc w:val="both"/>
      </w:pPr>
      <w:r>
        <w:rPr>
          <w:rFonts w:ascii="仿宋_GB2312" w:hAnsi="仿宋_GB2312" w:cs="仿宋_GB2312" w:eastAsia="仿宋_GB2312"/>
        </w:rPr>
        <w:t>（五）确定中标候选人名单，以及根据采购人委托直接确定中标人；</w:t>
      </w:r>
    </w:p>
    <w:p>
      <w:pPr>
        <w:pStyle w:val="null5"/>
        <w:ind w:firstLine="480"/>
        <w:jc w:val="both"/>
      </w:pPr>
      <w:r>
        <w:rPr>
          <w:rFonts w:ascii="仿宋_GB2312" w:hAnsi="仿宋_GB2312" w:cs="仿宋_GB2312" w:eastAsia="仿宋_GB2312"/>
        </w:rPr>
        <w:t>（六）起草评标报告并进行签署；</w:t>
      </w:r>
    </w:p>
    <w:p>
      <w:pPr>
        <w:pStyle w:val="null5"/>
        <w:ind w:firstLine="480"/>
        <w:jc w:val="both"/>
      </w:pPr>
      <w:r>
        <w:rPr>
          <w:rFonts w:ascii="仿宋_GB2312" w:hAnsi="仿宋_GB2312" w:cs="仿宋_GB2312" w:eastAsia="仿宋_GB2312"/>
        </w:rPr>
        <w:t>（七）向采购人、代理机构或者有关部门报告评标中发现的违法行为；</w:t>
      </w:r>
    </w:p>
    <w:p>
      <w:pPr>
        <w:pStyle w:val="null5"/>
        <w:ind w:firstLine="480"/>
        <w:jc w:val="both"/>
      </w:pPr>
      <w:r>
        <w:rPr>
          <w:rFonts w:ascii="仿宋_GB2312" w:hAnsi="仿宋_GB2312" w:cs="仿宋_GB2312" w:eastAsia="仿宋_GB2312"/>
        </w:rPr>
        <w:t>（八）法律、法规和规章规定的其他职责。</w:t>
      </w:r>
    </w:p>
    <w:p>
      <w:pPr>
        <w:pStyle w:val="null5"/>
        <w:ind w:firstLine="480"/>
        <w:jc w:val="left"/>
        <w:outlineLvl w:val="2"/>
      </w:pPr>
      <w:r>
        <w:rPr>
          <w:rFonts w:ascii="仿宋_GB2312" w:hAnsi="仿宋_GB2312" w:cs="仿宋_GB2312" w:eastAsia="仿宋_GB2312"/>
          <w:sz w:val="28"/>
          <w:b/>
        </w:rPr>
        <w:t>5.3.评标程序</w:t>
      </w:r>
    </w:p>
    <w:p>
      <w:pPr>
        <w:pStyle w:val="null5"/>
        <w:ind w:firstLine="480"/>
        <w:jc w:val="both"/>
      </w:pPr>
      <w:r>
        <w:rPr>
          <w:rFonts w:ascii="仿宋_GB2312" w:hAnsi="仿宋_GB2312" w:cs="仿宋_GB2312" w:eastAsia="仿宋_GB2312"/>
        </w:rPr>
        <w:t>5.3.1.熟悉和理解招标文件</w:t>
      </w:r>
    </w:p>
    <w:p>
      <w:pPr>
        <w:pStyle w:val="null5"/>
        <w:jc w:val="both"/>
      </w:pPr>
      <w:r>
        <w:rPr>
          <w:rFonts w:ascii="仿宋_GB2312" w:hAnsi="仿宋_GB2312" w:cs="仿宋_GB2312" w:eastAsia="仿宋_GB2312"/>
        </w:rPr>
        <w:t>评标委员会正式评审前，应当对招标文件进行熟悉和理解，内容主要包括招标文件中采购项目技术、服务和商务要求、评审方法和标 准以及政府采购合同的内容等。</w:t>
      </w:r>
    </w:p>
    <w:p>
      <w:pPr>
        <w:pStyle w:val="null5"/>
        <w:ind w:firstLine="480"/>
        <w:jc w:val="both"/>
      </w:pPr>
      <w:r>
        <w:rPr>
          <w:rFonts w:ascii="仿宋_GB2312" w:hAnsi="仿宋_GB2312" w:cs="仿宋_GB2312" w:eastAsia="仿宋_GB2312"/>
        </w:rPr>
        <w:t>5.3.2.停止评标的情形</w:t>
      </w:r>
    </w:p>
    <w:p>
      <w:pPr>
        <w:pStyle w:val="null5"/>
        <w:ind w:firstLine="480"/>
        <w:jc w:val="both"/>
      </w:pPr>
      <w:r>
        <w:rPr>
          <w:rFonts w:ascii="仿宋_GB2312" w:hAnsi="仿宋_GB2312" w:cs="仿宋_GB2312" w:eastAsia="仿宋_GB2312"/>
        </w:rPr>
        <w:t>本招标文件有下列情形之一的，评标委员会应当停止评标：</w:t>
      </w:r>
    </w:p>
    <w:p>
      <w:pPr>
        <w:pStyle w:val="null5"/>
        <w:ind w:firstLine="480"/>
        <w:jc w:val="both"/>
      </w:pPr>
      <w:r>
        <w:rPr>
          <w:rFonts w:ascii="仿宋_GB2312" w:hAnsi="仿宋_GB2312" w:cs="仿宋_GB2312" w:eastAsia="仿宋_GB2312"/>
        </w:rPr>
        <w:t>一、招标文件的规定存在歧义、重大缺陷，导致评标工作无法进行的；</w:t>
      </w:r>
    </w:p>
    <w:p>
      <w:pPr>
        <w:pStyle w:val="null5"/>
        <w:ind w:firstLine="480"/>
        <w:jc w:val="both"/>
      </w:pPr>
      <w:r>
        <w:rPr>
          <w:rFonts w:ascii="仿宋_GB2312" w:hAnsi="仿宋_GB2312" w:cs="仿宋_GB2312" w:eastAsia="仿宋_GB2312"/>
        </w:rPr>
        <w:t>二、招标文件明显以不合理条件对投标人实行差别待遇或者歧视待遇的；</w:t>
      </w:r>
    </w:p>
    <w:p>
      <w:pPr>
        <w:pStyle w:val="null5"/>
        <w:ind w:firstLine="480"/>
        <w:jc w:val="both"/>
      </w:pPr>
      <w:r>
        <w:rPr>
          <w:rFonts w:ascii="仿宋_GB2312" w:hAnsi="仿宋_GB2312" w:cs="仿宋_GB2312" w:eastAsia="仿宋_GB2312"/>
        </w:rPr>
        <w:t>三、采购项目属于国家规定的优先、强制采购范围，但是招标文件未依法体现优先、强制采购相关规定的；</w:t>
      </w:r>
    </w:p>
    <w:p>
      <w:pPr>
        <w:pStyle w:val="null5"/>
        <w:ind w:firstLine="480"/>
        <w:jc w:val="both"/>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5"/>
        <w:ind w:firstLine="480"/>
        <w:jc w:val="both"/>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5"/>
        <w:ind w:firstLine="480"/>
        <w:jc w:val="both"/>
      </w:pPr>
      <w:r>
        <w:rPr>
          <w:rFonts w:ascii="仿宋_GB2312" w:hAnsi="仿宋_GB2312" w:cs="仿宋_GB2312" w:eastAsia="仿宋_GB2312"/>
        </w:rPr>
        <w:t>六、招标文件将投标人的资格条件列为评分因素的；</w:t>
      </w:r>
    </w:p>
    <w:p>
      <w:pPr>
        <w:pStyle w:val="null5"/>
        <w:ind w:firstLine="480"/>
        <w:jc w:val="both"/>
      </w:pPr>
      <w:r>
        <w:rPr>
          <w:rFonts w:ascii="仿宋_GB2312" w:hAnsi="仿宋_GB2312" w:cs="仿宋_GB2312" w:eastAsia="仿宋_GB2312"/>
        </w:rPr>
        <w:t>七、招标文件有违反国家其他有关强制性规定的情形。</w:t>
      </w:r>
    </w:p>
    <w:p>
      <w:pPr>
        <w:pStyle w:val="null5"/>
        <w:ind w:firstLine="480"/>
        <w:jc w:val="both"/>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5"/>
        <w:ind w:firstLine="480"/>
        <w:jc w:val="both"/>
      </w:pPr>
      <w:r>
        <w:rPr>
          <w:rFonts w:ascii="仿宋_GB2312" w:hAnsi="仿宋_GB2312" w:cs="仿宋_GB2312" w:eastAsia="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pPr>
        <w:pStyle w:val="null5"/>
        <w:ind w:firstLine="480"/>
        <w:jc w:val="both"/>
      </w:pPr>
      <w:r>
        <w:rPr>
          <w:rFonts w:ascii="仿宋_GB2312" w:hAnsi="仿宋_GB2312" w:cs="仿宋_GB2312" w:eastAsia="仿宋_GB2312"/>
        </w:rPr>
        <w:t>5.3.3.符合性审查</w:t>
      </w:r>
    </w:p>
    <w:p>
      <w:pPr>
        <w:pStyle w:val="null5"/>
        <w:ind w:firstLine="480"/>
        <w:jc w:val="both"/>
      </w:pPr>
      <w:r>
        <w:rPr>
          <w:rFonts w:ascii="仿宋_GB2312" w:hAnsi="仿宋_GB2312" w:cs="仿宋_GB2312" w:eastAsia="仿宋_GB2312"/>
        </w:rPr>
        <w:t>评标委员会依据本招标文件的符合性审查要求，对符合资格要求投标人的投标文件进行符合性审查。</w:t>
      </w:r>
    </w:p>
    <w:p>
      <w:pPr>
        <w:pStyle w:val="null5"/>
        <w:ind w:firstLine="480"/>
        <w:jc w:val="both"/>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5"/>
        <w:ind w:firstLine="480"/>
        <w:jc w:val="both"/>
      </w:pPr>
      <w:r>
        <w:rPr>
          <w:rFonts w:ascii="仿宋_GB2312" w:hAnsi="仿宋_GB2312" w:cs="仿宋_GB2312" w:eastAsia="仿宋_GB2312"/>
        </w:rPr>
        <w:t>符合性审查标准见下表：</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式样、签署和盖章</w:t>
            </w:r>
          </w:p>
        </w:tc>
        <w:tc>
          <w:tcPr>
            <w:tcW w:type="dxa" w:w="3322"/>
          </w:tcPr>
          <w:p>
            <w:pPr>
              <w:pStyle w:val="null5"/>
              <w:jc w:val="left"/>
            </w:pPr>
            <w:r>
              <w:rPr>
                <w:rFonts w:ascii="仿宋_GB2312" w:hAnsi="仿宋_GB2312" w:cs="仿宋_GB2312" w:eastAsia="仿宋_GB2312"/>
              </w:rPr>
              <w:t>须符合招标文件的式样、签署和盖章要求且内容完整无缺漏。</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5"/>
              <w:jc w:val="left"/>
            </w:pPr>
            <w:r>
              <w:rPr>
                <w:rFonts w:ascii="仿宋_GB2312" w:hAnsi="仿宋_GB2312" w:cs="仿宋_GB2312" w:eastAsia="仿宋_GB2312"/>
              </w:rPr>
              <w:t>其他材料、封面、法定代表人资格证明书或法定代表人授权委托书</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投标报价</w:t>
            </w:r>
          </w:p>
        </w:tc>
        <w:tc>
          <w:tcPr>
            <w:tcW w:type="dxa" w:w="3322"/>
          </w:tcPr>
          <w:p>
            <w:pPr>
              <w:pStyle w:val="null5"/>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投标有效期（从递交投标文件的截止之日起算）</w:t>
            </w:r>
          </w:p>
        </w:tc>
        <w:tc>
          <w:tcPr>
            <w:tcW w:type="dxa" w:w="3322"/>
          </w:tcPr>
          <w:p>
            <w:pPr>
              <w:pStyle w:val="null5"/>
              <w:jc w:val="left"/>
            </w:pPr>
            <w:r>
              <w:rPr>
                <w:rFonts w:ascii="仿宋_GB2312" w:hAnsi="仿宋_GB2312" w:cs="仿宋_GB2312" w:eastAsia="仿宋_GB2312"/>
              </w:rPr>
              <w:t>投标有效期须满足投标人须知附表。</w:t>
            </w:r>
          </w:p>
        </w:tc>
        <w:tc>
          <w:tcPr>
            <w:tcW w:type="dxa" w:w="1661"/>
          </w:tcPr>
          <w:p>
            <w:pPr>
              <w:pStyle w:val="null5"/>
              <w:jc w:val="left"/>
            </w:pPr>
            <w:r>
              <w:rPr>
                <w:rFonts w:ascii="仿宋_GB2312" w:hAnsi="仿宋_GB2312" w:cs="仿宋_GB2312" w:eastAsia="仿宋_GB2312"/>
              </w:rPr>
              <w:t>投标函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无串通投标的情形</w:t>
            </w:r>
          </w:p>
        </w:tc>
        <w:tc>
          <w:tcPr>
            <w:tcW w:type="dxa" w:w="3322"/>
          </w:tcPr>
          <w:p>
            <w:pPr>
              <w:pStyle w:val="null5"/>
              <w:jc w:val="left"/>
            </w:pPr>
            <w:r>
              <w:rPr>
                <w:rFonts w:ascii="仿宋_GB2312" w:hAnsi="仿宋_GB2312" w:cs="仿宋_GB2312" w:eastAsia="仿宋_GB2312"/>
              </w:rPr>
              <w:t>无串通投标的情形。</w:t>
            </w:r>
          </w:p>
        </w:tc>
        <w:tc>
          <w:tcPr>
            <w:tcW w:type="dxa" w:w="1661"/>
          </w:tcPr>
          <w:p>
            <w:pPr>
              <w:pStyle w:val="null5"/>
              <w:jc w:val="left"/>
            </w:pPr>
            <w:r>
              <w:rPr>
                <w:rFonts w:ascii="仿宋_GB2312" w:hAnsi="仿宋_GB2312" w:cs="仿宋_GB2312" w:eastAsia="仿宋_GB2312"/>
              </w:rPr>
              <w:t>投标人承诺函</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无认定为“投标无效”的其他情形</w:t>
            </w:r>
          </w:p>
        </w:tc>
        <w:tc>
          <w:tcPr>
            <w:tcW w:type="dxa" w:w="3322"/>
          </w:tcPr>
          <w:p>
            <w:pPr>
              <w:pStyle w:val="null5"/>
              <w:jc w:val="left"/>
            </w:pPr>
            <w:r>
              <w:rPr>
                <w:rFonts w:ascii="仿宋_GB2312" w:hAnsi="仿宋_GB2312" w:cs="仿宋_GB2312" w:eastAsia="仿宋_GB2312"/>
              </w:rPr>
              <w:t>无认定为“投标无效”的其他情形。</w:t>
            </w:r>
          </w:p>
        </w:tc>
        <w:tc>
          <w:tcPr>
            <w:tcW w:type="dxa" w:w="1661"/>
          </w:tcPr>
          <w:p>
            <w:pPr>
              <w:pStyle w:val="null5"/>
              <w:jc w:val="left"/>
            </w:pPr>
            <w:r>
              <w:rPr>
                <w:rFonts w:ascii="仿宋_GB2312" w:hAnsi="仿宋_GB2312" w:cs="仿宋_GB2312" w:eastAsia="仿宋_GB2312"/>
              </w:rPr>
              <w:t>{{未填写}}</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交付（服务）期、交付（服务）地点</w:t>
            </w:r>
          </w:p>
        </w:tc>
        <w:tc>
          <w:tcPr>
            <w:tcW w:type="dxa" w:w="3322"/>
          </w:tcPr>
          <w:p>
            <w:pPr>
              <w:pStyle w:val="null5"/>
              <w:jc w:val="left"/>
            </w:pPr>
            <w:r>
              <w:rPr>
                <w:rFonts w:ascii="仿宋_GB2312" w:hAnsi="仿宋_GB2312" w:cs="仿宋_GB2312" w:eastAsia="仿宋_GB2312"/>
              </w:rPr>
              <w:t>交付（服务）期、交付（服务）地点须满足招标文件要求。</w:t>
            </w:r>
          </w:p>
        </w:tc>
        <w:tc>
          <w:tcPr>
            <w:tcW w:type="dxa" w:w="1661"/>
          </w:tcPr>
          <w:p>
            <w:pPr>
              <w:pStyle w:val="null5"/>
              <w:jc w:val="left"/>
            </w:pPr>
            <w:r>
              <w:rPr>
                <w:rFonts w:ascii="仿宋_GB2312" w:hAnsi="仿宋_GB2312" w:cs="仿宋_GB2312" w:eastAsia="仿宋_GB2312"/>
              </w:rPr>
              <w:t>商务应答表</w:t>
            </w:r>
          </w:p>
        </w:tc>
      </w:tr>
    </w:tbl>
    <w:p>
      <w:pPr>
        <w:pStyle w:val="null5"/>
        <w:ind w:firstLine="480"/>
        <w:jc w:val="both"/>
      </w:pPr>
      <w:r>
        <w:rPr>
          <w:rFonts w:ascii="仿宋_GB2312" w:hAnsi="仿宋_GB2312" w:cs="仿宋_GB2312" w:eastAsia="仿宋_GB2312"/>
        </w:rPr>
        <w:t>投标文件满足以上符合性审查要求的，则通过符合性审查；如有任意一项未满足符合性审查要求的，则按无效投标处理，并在评标报告中载明未通过符合性审查的具体原因。</w:t>
      </w:r>
    </w:p>
    <w:p>
      <w:pPr>
        <w:pStyle w:val="null5"/>
        <w:ind w:firstLine="480"/>
        <w:jc w:val="both"/>
      </w:pPr>
      <w:r>
        <w:rPr>
          <w:rFonts w:ascii="仿宋_GB2312" w:hAnsi="仿宋_GB2312" w:cs="仿宋_GB2312" w:eastAsia="仿宋_GB2312"/>
        </w:rPr>
        <w:t>5.3.4.解释、澄清、说明的有关问题</w:t>
      </w:r>
    </w:p>
    <w:p>
      <w:pPr>
        <w:pStyle w:val="null5"/>
        <w:ind w:firstLine="480"/>
        <w:jc w:val="both"/>
      </w:pPr>
      <w:r>
        <w:rPr>
          <w:rFonts w:ascii="仿宋_GB2312" w:hAnsi="仿宋_GB2312" w:cs="仿宋_GB2312" w:eastAsia="仿宋_GB2312"/>
        </w:rPr>
        <w:t>一、评标过程中，评标委员会认为招标文件有关事项表述不明确或需要说明的，可以要求采购人或者代理机构书面解释。采购人或者 代理机构的解释不得改变招标文件的原义或者影响公平、公正。</w:t>
      </w:r>
    </w:p>
    <w:p>
      <w:pPr>
        <w:pStyle w:val="null5"/>
        <w:ind w:firstLine="480"/>
        <w:jc w:val="both"/>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5"/>
        <w:ind w:firstLine="480"/>
        <w:jc w:val="both"/>
      </w:pPr>
      <w:r>
        <w:rPr>
          <w:rFonts w:ascii="仿宋_GB2312" w:hAnsi="仿宋_GB2312" w:cs="仿宋_GB2312" w:eastAsia="仿宋_GB2312"/>
        </w:rPr>
        <w:t>三、投标文件报价出现前后不一致的，除招标文件另有规定外，按照下列规定修正：</w:t>
      </w:r>
    </w:p>
    <w:p>
      <w:pPr>
        <w:pStyle w:val="null5"/>
        <w:ind w:firstLine="480"/>
        <w:jc w:val="both"/>
      </w:pPr>
      <w:r>
        <w:rPr>
          <w:rFonts w:ascii="仿宋_GB2312" w:hAnsi="仿宋_GB2312" w:cs="仿宋_GB2312" w:eastAsia="仿宋_GB2312"/>
        </w:rPr>
        <w:t>（一）投标文件中报价表内容与投标文件中相应内容不一致的，以报价表为准；</w:t>
      </w:r>
    </w:p>
    <w:p>
      <w:pPr>
        <w:pStyle w:val="null5"/>
        <w:ind w:firstLine="480"/>
        <w:jc w:val="both"/>
      </w:pPr>
      <w:r>
        <w:rPr>
          <w:rFonts w:ascii="仿宋_GB2312" w:hAnsi="仿宋_GB2312" w:cs="仿宋_GB2312" w:eastAsia="仿宋_GB2312"/>
        </w:rPr>
        <w:t>（二）大写金额和小写金额不一致的，以大写金额为准；</w:t>
      </w:r>
    </w:p>
    <w:p>
      <w:pPr>
        <w:pStyle w:val="null5"/>
        <w:ind w:firstLine="480"/>
        <w:jc w:val="both"/>
      </w:pPr>
      <w:r>
        <w:rPr>
          <w:rFonts w:ascii="仿宋_GB2312" w:hAnsi="仿宋_GB2312" w:cs="仿宋_GB2312" w:eastAsia="仿宋_GB2312"/>
        </w:rPr>
        <w:t>（三）单价金额小数点或者百分比有明显错位的，以报价表总价为准，并修改单价；</w:t>
      </w:r>
    </w:p>
    <w:p>
      <w:pPr>
        <w:pStyle w:val="null5"/>
        <w:ind w:firstLine="480"/>
        <w:jc w:val="both"/>
      </w:pPr>
      <w:r>
        <w:rPr>
          <w:rFonts w:ascii="仿宋_GB2312" w:hAnsi="仿宋_GB2312" w:cs="仿宋_GB2312" w:eastAsia="仿宋_GB2312"/>
        </w:rPr>
        <w:t>（四）总价金额与按单价汇总金额不一致的，以单价金额计算结果为准。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5"/>
        <w:ind w:firstLine="480"/>
        <w:jc w:val="both"/>
      </w:pPr>
      <w:r>
        <w:rPr>
          <w:rFonts w:ascii="仿宋_GB2312" w:hAnsi="仿宋_GB2312" w:cs="仿宋_GB2312" w:eastAsia="仿宋_GB2312"/>
        </w:rPr>
        <w:t>四、对不同语言文本投标文件的解释发生异议的，以中文文本为准。</w:t>
      </w:r>
    </w:p>
    <w:p>
      <w:pPr>
        <w:pStyle w:val="null5"/>
        <w:ind w:firstLine="480"/>
        <w:jc w:val="both"/>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5"/>
        <w:ind w:firstLine="480"/>
        <w:jc w:val="both"/>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5"/>
        <w:ind w:firstLine="480"/>
        <w:jc w:val="both"/>
      </w:pPr>
      <w:r>
        <w:rPr>
          <w:rFonts w:ascii="仿宋_GB2312" w:hAnsi="仿宋_GB2312" w:cs="仿宋_GB2312" w:eastAsia="仿宋_GB2312"/>
        </w:rPr>
        <w:t>5.3.5.比较与评价</w:t>
      </w:r>
    </w:p>
    <w:p>
      <w:pPr>
        <w:pStyle w:val="null5"/>
        <w:ind w:firstLine="480"/>
        <w:jc w:val="both"/>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5"/>
        <w:ind w:firstLine="480"/>
        <w:jc w:val="both"/>
      </w:pPr>
      <w:r>
        <w:rPr>
          <w:rFonts w:ascii="仿宋_GB2312" w:hAnsi="仿宋_GB2312" w:cs="仿宋_GB2312" w:eastAsia="仿宋_GB2312"/>
        </w:rPr>
        <w:t>5.3.6.评标委员会复核</w:t>
      </w:r>
    </w:p>
    <w:p>
      <w:pPr>
        <w:pStyle w:val="null5"/>
        <w:ind w:firstLine="480"/>
        <w:jc w:val="both"/>
      </w:pPr>
      <w:r>
        <w:rPr>
          <w:rFonts w:ascii="仿宋_GB2312" w:hAnsi="仿宋_GB2312" w:cs="仿宋_GB2312" w:eastAsia="仿宋_GB2312"/>
        </w:rPr>
        <w:t>评分汇总结束后，评标委员会应当进行复核，对拟推荐为中标候选人的、报价最低的、投标文件被认定为无效的进行重点复核。</w:t>
      </w:r>
    </w:p>
    <w:p>
      <w:pPr>
        <w:pStyle w:val="null5"/>
        <w:ind w:firstLine="480"/>
        <w:jc w:val="both"/>
      </w:pPr>
      <w:r>
        <w:rPr>
          <w:rFonts w:ascii="仿宋_GB2312" w:hAnsi="仿宋_GB2312" w:cs="仿宋_GB2312" w:eastAsia="仿宋_GB2312"/>
        </w:rPr>
        <w:t>5.3.7.代理机构现场复核评审结果</w:t>
      </w:r>
    </w:p>
    <w:p>
      <w:pPr>
        <w:pStyle w:val="null5"/>
        <w:ind w:firstLine="480"/>
        <w:jc w:val="both"/>
      </w:pPr>
      <w:r>
        <w:rPr>
          <w:rFonts w:ascii="仿宋_GB2312" w:hAnsi="仿宋_GB2312" w:cs="仿宋_GB2312" w:eastAsia="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 员会现场修改评审结果或者重新评审，由评标委员会自主决定是否采纳代理机构的书面建议，并承担独立评审责任：</w:t>
      </w:r>
    </w:p>
    <w:p>
      <w:pPr>
        <w:pStyle w:val="null5"/>
        <w:ind w:firstLine="480"/>
        <w:jc w:val="both"/>
      </w:pPr>
      <w:r>
        <w:rPr>
          <w:rFonts w:ascii="仿宋_GB2312" w:hAnsi="仿宋_GB2312" w:cs="仿宋_GB2312" w:eastAsia="仿宋_GB2312"/>
        </w:rPr>
        <w:t>（一）分值汇总计算错误的；</w:t>
      </w:r>
    </w:p>
    <w:p>
      <w:pPr>
        <w:pStyle w:val="null5"/>
        <w:ind w:firstLine="480"/>
        <w:jc w:val="both"/>
      </w:pPr>
      <w:r>
        <w:rPr>
          <w:rFonts w:ascii="仿宋_GB2312" w:hAnsi="仿宋_GB2312" w:cs="仿宋_GB2312" w:eastAsia="仿宋_GB2312"/>
        </w:rPr>
        <w:t>（二）分项评分超出评分标准范围的；</w:t>
      </w:r>
    </w:p>
    <w:p>
      <w:pPr>
        <w:pStyle w:val="null5"/>
        <w:ind w:firstLine="480"/>
        <w:jc w:val="both"/>
      </w:pPr>
      <w:r>
        <w:rPr>
          <w:rFonts w:ascii="仿宋_GB2312" w:hAnsi="仿宋_GB2312" w:cs="仿宋_GB2312" w:eastAsia="仿宋_GB2312"/>
        </w:rPr>
        <w:t>（三）评标委员会成员对客观评审因素评分不一致的；</w:t>
      </w:r>
    </w:p>
    <w:p>
      <w:pPr>
        <w:pStyle w:val="null5"/>
        <w:ind w:firstLine="480"/>
        <w:jc w:val="both"/>
      </w:pPr>
      <w:r>
        <w:rPr>
          <w:rFonts w:ascii="仿宋_GB2312" w:hAnsi="仿宋_GB2312" w:cs="仿宋_GB2312" w:eastAsia="仿宋_GB2312"/>
        </w:rPr>
        <w:t>（四）经评标委员会认定评分畸高、畸低的。</w:t>
      </w:r>
    </w:p>
    <w:p>
      <w:pPr>
        <w:pStyle w:val="null5"/>
        <w:ind w:firstLine="480"/>
        <w:jc w:val="both"/>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5"/>
        <w:ind w:firstLine="480"/>
        <w:jc w:val="both"/>
      </w:pPr>
      <w:r>
        <w:rPr>
          <w:rFonts w:ascii="仿宋_GB2312" w:hAnsi="仿宋_GB2312" w:cs="仿宋_GB2312" w:eastAsia="仿宋_GB2312"/>
        </w:rPr>
        <w:t>三、代理机构复核过程中，评标委员会成员不得离开评审现场。</w:t>
      </w:r>
    </w:p>
    <w:p>
      <w:pPr>
        <w:pStyle w:val="null5"/>
        <w:ind w:firstLine="480"/>
        <w:jc w:val="both"/>
      </w:pPr>
      <w:r>
        <w:rPr>
          <w:rFonts w:ascii="仿宋_GB2312" w:hAnsi="仿宋_GB2312" w:cs="仿宋_GB2312" w:eastAsia="仿宋_GB2312"/>
        </w:rPr>
        <w:t>5.3.8.确定中标候选人名单</w:t>
      </w:r>
    </w:p>
    <w:p>
      <w:pPr>
        <w:pStyle w:val="null5"/>
        <w:ind w:firstLine="480"/>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5"/>
        <w:ind w:firstLine="480"/>
        <w:jc w:val="both"/>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w:t>
      </w:r>
    </w:p>
    <w:p>
      <w:pPr>
        <w:pStyle w:val="null5"/>
        <w:ind w:firstLine="480"/>
        <w:jc w:val="both"/>
      </w:pPr>
      <w:r>
        <w:rPr>
          <w:rFonts w:ascii="仿宋_GB2312" w:hAnsi="仿宋_GB2312" w:cs="仿宋_GB2312" w:eastAsia="仿宋_GB2312"/>
        </w:rPr>
        <w:t>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5"/>
        <w:ind w:firstLine="480"/>
        <w:jc w:val="both"/>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5"/>
        <w:ind w:firstLine="480"/>
        <w:jc w:val="both"/>
      </w:pPr>
      <w:r>
        <w:rPr>
          <w:rFonts w:ascii="仿宋_GB2312" w:hAnsi="仿宋_GB2312" w:cs="仿宋_GB2312" w:eastAsia="仿宋_GB2312"/>
        </w:rPr>
        <w:t>5.3.9.出具评标报告</w:t>
      </w:r>
    </w:p>
    <w:p>
      <w:pPr>
        <w:pStyle w:val="null5"/>
        <w:ind w:firstLine="480"/>
        <w:jc w:val="both"/>
      </w:pPr>
      <w:r>
        <w:rPr>
          <w:rFonts w:ascii="仿宋_GB2312" w:hAnsi="仿宋_GB2312" w:cs="仿宋_GB2312" w:eastAsia="仿宋_GB2312"/>
        </w:rPr>
        <w:t>评标报告是评标委员会根据全体评标成员签署的评标记录和评标结果编写的报告，其主要内容包括：</w:t>
      </w:r>
    </w:p>
    <w:p>
      <w:pPr>
        <w:pStyle w:val="null5"/>
        <w:ind w:firstLine="480"/>
        <w:jc w:val="both"/>
      </w:pPr>
      <w:r>
        <w:rPr>
          <w:rFonts w:ascii="仿宋_GB2312" w:hAnsi="仿宋_GB2312" w:cs="仿宋_GB2312" w:eastAsia="仿宋_GB2312"/>
        </w:rPr>
        <w:t>一、招标公告刊登的媒体名称、开标日期和地点；</w:t>
      </w:r>
    </w:p>
    <w:p>
      <w:pPr>
        <w:pStyle w:val="null5"/>
        <w:ind w:firstLine="480"/>
        <w:jc w:val="both"/>
      </w:pPr>
      <w:r>
        <w:rPr>
          <w:rFonts w:ascii="仿宋_GB2312" w:hAnsi="仿宋_GB2312" w:cs="仿宋_GB2312" w:eastAsia="仿宋_GB2312"/>
        </w:rPr>
        <w:t>二、投标人名单和评标委员会成员名单；</w:t>
      </w:r>
    </w:p>
    <w:p>
      <w:pPr>
        <w:pStyle w:val="null5"/>
        <w:ind w:firstLine="480"/>
        <w:jc w:val="both"/>
      </w:pPr>
      <w:r>
        <w:rPr>
          <w:rFonts w:ascii="仿宋_GB2312" w:hAnsi="仿宋_GB2312" w:cs="仿宋_GB2312" w:eastAsia="仿宋_GB2312"/>
        </w:rPr>
        <w:t>三、评标方法和标准；</w:t>
      </w:r>
    </w:p>
    <w:p>
      <w:pPr>
        <w:pStyle w:val="null5"/>
        <w:ind w:firstLine="480"/>
        <w:jc w:val="both"/>
      </w:pPr>
      <w:r>
        <w:rPr>
          <w:rFonts w:ascii="仿宋_GB2312" w:hAnsi="仿宋_GB2312" w:cs="仿宋_GB2312" w:eastAsia="仿宋_GB2312"/>
        </w:rPr>
        <w:t>四、开标记录和评标情况及说明，包括投标无效投标人名单及原因；</w:t>
      </w:r>
    </w:p>
    <w:p>
      <w:pPr>
        <w:pStyle w:val="null5"/>
        <w:ind w:firstLine="480"/>
        <w:jc w:val="both"/>
      </w:pPr>
      <w:r>
        <w:rPr>
          <w:rFonts w:ascii="仿宋_GB2312" w:hAnsi="仿宋_GB2312" w:cs="仿宋_GB2312" w:eastAsia="仿宋_GB2312"/>
        </w:rPr>
        <w:t>五、评标结果，确定的中标候选人名单或者经采购人委托直接确定的中标人；</w:t>
      </w:r>
    </w:p>
    <w:p>
      <w:pPr>
        <w:pStyle w:val="null5"/>
        <w:ind w:firstLine="480"/>
        <w:jc w:val="both"/>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5"/>
        <w:ind w:firstLine="480"/>
        <w:jc w:val="both"/>
      </w:pPr>
      <w:r>
        <w:rPr>
          <w:rFonts w:ascii="仿宋_GB2312" w:hAnsi="仿宋_GB2312" w:cs="仿宋_GB2312" w:eastAsia="仿宋_GB2312"/>
        </w:rPr>
        <w:t>七、报价最高的投标人为中标候选人的，评标委员会应当对其报价的合理性予以特别说明。</w:t>
      </w:r>
    </w:p>
    <w:p>
      <w:pPr>
        <w:pStyle w:val="null5"/>
        <w:ind w:firstLine="480"/>
        <w:jc w:val="both"/>
      </w:pPr>
      <w:r>
        <w:rPr>
          <w:rFonts w:ascii="仿宋_GB2312" w:hAnsi="仿宋_GB2312" w:cs="仿宋_GB2312" w:eastAsia="仿宋_GB2312"/>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5"/>
        <w:ind w:firstLine="480"/>
        <w:jc w:val="both"/>
      </w:pPr>
      <w:r>
        <w:rPr>
          <w:rFonts w:ascii="仿宋_GB2312" w:hAnsi="仿宋_GB2312" w:cs="仿宋_GB2312" w:eastAsia="仿宋_GB2312"/>
        </w:rPr>
        <w:t>5.3.10.评标争议处理规则</w:t>
      </w:r>
    </w:p>
    <w:p>
      <w:pPr>
        <w:pStyle w:val="null5"/>
        <w:ind w:firstLine="480"/>
        <w:jc w:val="both"/>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5.4.评标方法、细则及标准</w:t>
      </w:r>
    </w:p>
    <w:p>
      <w:pPr>
        <w:pStyle w:val="null5"/>
        <w:ind w:firstLine="480"/>
        <w:jc w:val="both"/>
      </w:pPr>
      <w:r>
        <w:rPr>
          <w:rFonts w:ascii="仿宋_GB2312" w:hAnsi="仿宋_GB2312" w:cs="仿宋_GB2312" w:eastAsia="仿宋_GB2312"/>
        </w:rPr>
        <w:t>5.4.1.评标方法</w:t>
      </w:r>
    </w:p>
    <w:p>
      <w:pPr>
        <w:pStyle w:val="null5"/>
        <w:ind w:firstLine="480"/>
        <w:jc w:val="both"/>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5"/>
        <w:ind w:firstLine="480"/>
        <w:jc w:val="both"/>
      </w:pPr>
      <w:r>
        <w:rPr>
          <w:rFonts w:ascii="仿宋_GB2312" w:hAnsi="仿宋_GB2312" w:cs="仿宋_GB2312" w:eastAsia="仿宋_GB2312"/>
        </w:rPr>
        <w:t>投标报价得分=（评标基准价／投标报价）×100</w:t>
      </w:r>
    </w:p>
    <w:p>
      <w:pPr>
        <w:pStyle w:val="null5"/>
        <w:ind w:firstLine="480"/>
        <w:jc w:val="both"/>
      </w:pPr>
      <w:r>
        <w:rPr>
          <w:rFonts w:ascii="仿宋_GB2312" w:hAnsi="仿宋_GB2312" w:cs="仿宋_GB2312" w:eastAsia="仿宋_GB2312"/>
        </w:rPr>
        <w:t>评标总得分＝F1×A1＋F2×A2+ … … +Fn ×An</w:t>
      </w:r>
    </w:p>
    <w:p>
      <w:pPr>
        <w:pStyle w:val="null5"/>
        <w:ind w:firstLine="480"/>
        <w:jc w:val="both"/>
      </w:pPr>
      <w:r>
        <w:rPr>
          <w:rFonts w:ascii="仿宋_GB2312" w:hAnsi="仿宋_GB2312" w:cs="仿宋_GB2312" w:eastAsia="仿宋_GB2312"/>
        </w:rPr>
        <w:t>F1、F2……Fn分别为各项评审因素的得分；</w:t>
      </w:r>
    </w:p>
    <w:p>
      <w:pPr>
        <w:pStyle w:val="null5"/>
        <w:ind w:firstLine="480"/>
        <w:jc w:val="both"/>
      </w:pPr>
      <w:r>
        <w:rPr>
          <w:rFonts w:ascii="仿宋_GB2312" w:hAnsi="仿宋_GB2312" w:cs="仿宋_GB2312" w:eastAsia="仿宋_GB2312"/>
        </w:rPr>
        <w:t>A1、A2、……An分别为各项评审因素所占的权重（A1＋A2+… …+An＝1）。</w:t>
      </w:r>
    </w:p>
    <w:p>
      <w:pPr>
        <w:pStyle w:val="null5"/>
        <w:ind w:firstLine="480"/>
        <w:jc w:val="both"/>
      </w:pPr>
      <w:r>
        <w:rPr>
          <w:rFonts w:ascii="仿宋_GB2312" w:hAnsi="仿宋_GB2312" w:cs="仿宋_GB2312" w:eastAsia="仿宋_GB2312"/>
        </w:rPr>
        <w:t>评标过程中，不得去掉报价中的最高报价和最低报价。</w:t>
      </w:r>
    </w:p>
    <w:p>
      <w:pPr>
        <w:pStyle w:val="null5"/>
        <w:ind w:firstLine="480"/>
        <w:jc w:val="both"/>
      </w:pPr>
      <w:r>
        <w:rPr>
          <w:rFonts w:ascii="仿宋_GB2312" w:hAnsi="仿宋_GB2312" w:cs="仿宋_GB2312" w:eastAsia="仿宋_GB2312"/>
        </w:rPr>
        <w:t>说明：</w:t>
      </w:r>
    </w:p>
    <w:p>
      <w:pPr>
        <w:pStyle w:val="null5"/>
        <w:ind w:firstLine="480"/>
        <w:jc w:val="both"/>
      </w:pPr>
      <w:r>
        <w:rPr>
          <w:rFonts w:ascii="仿宋_GB2312" w:hAnsi="仿宋_GB2312" w:cs="仿宋_GB2312" w:eastAsia="仿宋_GB2312"/>
        </w:rPr>
        <w:t>1.评分的取值按四舍五入法，保留小数点后两位；</w:t>
      </w:r>
    </w:p>
    <w:p>
      <w:pPr>
        <w:pStyle w:val="null5"/>
        <w:ind w:firstLine="480"/>
        <w:jc w:val="both"/>
      </w:pPr>
      <w:r>
        <w:rPr>
          <w:rFonts w:ascii="仿宋_GB2312" w:hAnsi="仿宋_GB2312" w:cs="仿宋_GB2312" w:eastAsia="仿宋_GB2312"/>
        </w:rPr>
        <w:t>2.评分标准中要求提供的证明材料须清晰可辨。</w:t>
      </w:r>
    </w:p>
    <w:p>
      <w:pPr>
        <w:pStyle w:val="null5"/>
        <w:ind w:firstLine="480"/>
        <w:jc w:val="both"/>
      </w:pPr>
      <w:r>
        <w:rPr>
          <w:rFonts w:ascii="仿宋_GB2312" w:hAnsi="仿宋_GB2312" w:cs="仿宋_GB2312" w:eastAsia="仿宋_GB2312"/>
        </w:rPr>
        <w:t>因落实政府采购政策进行价格调整的，以调整后的价格计算评标基准价和投标报价。</w:t>
      </w:r>
    </w:p>
    <w:p>
      <w:pPr>
        <w:pStyle w:val="null5"/>
        <w:ind w:firstLine="480"/>
        <w:jc w:val="both"/>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5"/>
        <w:ind w:firstLine="480"/>
        <w:jc w:val="both"/>
      </w:pPr>
      <w:r>
        <w:rPr>
          <w:rFonts w:ascii="仿宋_GB2312" w:hAnsi="仿宋_GB2312" w:cs="仿宋_GB2312" w:eastAsia="仿宋_GB2312"/>
        </w:rPr>
        <w:t>5.4.2.评标细则及标准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jc w:val="left"/>
            </w:pPr>
            <w:r>
              <w:rPr>
                <w:rFonts w:ascii="仿宋_GB2312" w:hAnsi="仿宋_GB2312" w:cs="仿宋_GB2312" w:eastAsia="仿宋_GB2312"/>
              </w:rPr>
              <w:t>技术部分40.00分</w:t>
            </w:r>
          </w:p>
          <w:p>
            <w:pPr>
              <w:pStyle w:val="null5"/>
              <w:jc w:val="left"/>
            </w:pPr>
            <w:r>
              <w:rPr>
                <w:rFonts w:ascii="仿宋_GB2312" w:hAnsi="仿宋_GB2312" w:cs="仿宋_GB2312" w:eastAsia="仿宋_GB2312"/>
              </w:rPr>
              <w:t>商务部分30.00分</w:t>
            </w:r>
          </w:p>
          <w:p>
            <w:pPr>
              <w:pStyle w:val="null5"/>
              <w:jc w:val="left"/>
            </w:pPr>
            <w:r>
              <w:rPr>
                <w:rFonts w:ascii="仿宋_GB2312" w:hAnsi="仿宋_GB2312" w:cs="仿宋_GB2312" w:eastAsia="仿宋_GB2312"/>
              </w:rPr>
              <w:t>报价得分30.00分</w:t>
            </w:r>
          </w:p>
          <w:p>
            <w:pPr>
              <w:pStyle w:val="null5"/>
              <w:jc w:val="left"/>
            </w:pPr>
            <w:r>
              <w:rPr>
                <w:rFonts w:ascii="仿宋_GB2312" w:hAnsi="仿宋_GB2312" w:cs="仿宋_GB2312" w:eastAsia="仿宋_GB2312"/>
              </w:rPr>
              <w:t>附加分7.00分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jc w:val="left"/>
            </w:pPr>
            <w:r>
              <w:rPr>
                <w:rFonts w:ascii="仿宋_GB2312" w:hAnsi="仿宋_GB2312" w:cs="仿宋_GB2312" w:eastAsia="仿宋_GB2312"/>
              </w:rPr>
              <w:t>技术评审</w:t>
            </w:r>
          </w:p>
        </w:tc>
        <w:tc>
          <w:tcPr>
            <w:tcW w:type="dxa" w:w="1661"/>
          </w:tcPr>
          <w:p>
            <w:pPr>
              <w:pStyle w:val="null5"/>
              <w:jc w:val="left"/>
            </w:pPr>
            <w:r>
              <w:rPr>
                <w:rFonts w:ascii="仿宋_GB2312" w:hAnsi="仿宋_GB2312" w:cs="仿宋_GB2312" w:eastAsia="仿宋_GB2312"/>
              </w:rPr>
              <w:t>1.技术偏离</w:t>
            </w:r>
          </w:p>
        </w:tc>
        <w:tc>
          <w:tcPr>
            <w:tcW w:type="dxa" w:w="2575"/>
          </w:tcPr>
          <w:p>
            <w:pPr>
              <w:pStyle w:val="null5"/>
              <w:jc w:val="left"/>
            </w:pPr>
            <w:r>
              <w:rPr>
                <w:rFonts w:ascii="仿宋_GB2312" w:hAnsi="仿宋_GB2312" w:cs="仿宋_GB2312" w:eastAsia="仿宋_GB2312"/>
              </w:rPr>
              <w:t>1.技术偏离（12分） 所投产品标▲项无任何负偏离的得12分，标▲项出现负偏离的每项扣2分。若评标委员会认定所投产品技术参数与采购要求出现重大偏离，不满足采购要求时，按无效响应处理。</w:t>
            </w:r>
          </w:p>
        </w:tc>
        <w:tc>
          <w:tcPr>
            <w:tcW w:type="dxa" w:w="831"/>
          </w:tcPr>
          <w:p>
            <w:pPr>
              <w:pStyle w:val="null5"/>
              <w:jc w:val="center"/>
            </w:pPr>
            <w:r>
              <w:rPr>
                <w:rFonts w:ascii="仿宋_GB2312" w:hAnsi="仿宋_GB2312" w:cs="仿宋_GB2312" w:eastAsia="仿宋_GB2312"/>
              </w:rPr>
              <w:t>12.0000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技术偏离表</w:t>
            </w:r>
          </w:p>
        </w:tc>
      </w:tr>
      <w:tr>
        <w:tc>
          <w:tcPr>
            <w:tcW w:type="dxa" w:w="831"/>
            <w:vMerge/>
          </w:tcPr>
          <w:p/>
        </w:tc>
        <w:tc>
          <w:tcPr>
            <w:tcW w:type="dxa" w:w="1661"/>
          </w:tcPr>
          <w:p>
            <w:pPr>
              <w:pStyle w:val="null5"/>
              <w:jc w:val="left"/>
            </w:pPr>
            <w:r>
              <w:rPr>
                <w:rFonts w:ascii="仿宋_GB2312" w:hAnsi="仿宋_GB2312" w:cs="仿宋_GB2312" w:eastAsia="仿宋_GB2312"/>
              </w:rPr>
              <w:t>2.所投产品的整体技术性能配置</w:t>
            </w:r>
          </w:p>
        </w:tc>
        <w:tc>
          <w:tcPr>
            <w:tcW w:type="dxa" w:w="2575"/>
          </w:tcPr>
          <w:p>
            <w:pPr>
              <w:pStyle w:val="null5"/>
              <w:jc w:val="left"/>
            </w:pPr>
            <w:r>
              <w:rPr>
                <w:rFonts w:ascii="仿宋_GB2312" w:hAnsi="仿宋_GB2312" w:cs="仿宋_GB2312" w:eastAsia="仿宋_GB2312"/>
              </w:rPr>
              <w:t>2.对供应商所投产品的整体技术性能（稳定、精确、安全、耐用）产品配置、后期使用成本、维护等因素进行综合评价。 产品整体技术性能完全符合采购要求，稳定、精确、安全、耐用，硬件及云桌面功能配置全面，后期使用成本低，易于维护的得10分；每有一项欠缺或不完善扣2分。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技术部分</w:t>
            </w:r>
          </w:p>
        </w:tc>
      </w:tr>
      <w:tr>
        <w:tc>
          <w:tcPr>
            <w:tcW w:type="dxa" w:w="831"/>
            <w:vMerge/>
          </w:tcPr>
          <w:p/>
        </w:tc>
        <w:tc>
          <w:tcPr>
            <w:tcW w:type="dxa" w:w="1661"/>
          </w:tcPr>
          <w:p>
            <w:pPr>
              <w:pStyle w:val="null5"/>
              <w:jc w:val="left"/>
            </w:pPr>
            <w:r>
              <w:rPr>
                <w:rFonts w:ascii="仿宋_GB2312" w:hAnsi="仿宋_GB2312" w:cs="仿宋_GB2312" w:eastAsia="仿宋_GB2312"/>
              </w:rPr>
              <w:t>3.所投产品的技术资料</w:t>
            </w:r>
          </w:p>
        </w:tc>
        <w:tc>
          <w:tcPr>
            <w:tcW w:type="dxa" w:w="2575"/>
          </w:tcPr>
          <w:p>
            <w:pPr>
              <w:pStyle w:val="null5"/>
              <w:jc w:val="left"/>
            </w:pPr>
            <w:r>
              <w:rPr>
                <w:rFonts w:ascii="仿宋_GB2312" w:hAnsi="仿宋_GB2312" w:cs="仿宋_GB2312" w:eastAsia="仿宋_GB2312"/>
              </w:rPr>
              <w:t>3.对供应商所投产品的技术资料（如：认证资料、生产厂家说明书、彩页、官网截图等资料）的进行评价。技术资料完整，内容齐全，详实的得8分，每有一项欠缺或不完善扣2分。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技术部分</w:t>
            </w:r>
          </w:p>
        </w:tc>
      </w:tr>
      <w:tr>
        <w:tc>
          <w:tcPr>
            <w:tcW w:type="dxa" w:w="831"/>
            <w:vMerge/>
          </w:tcPr>
          <w:p/>
        </w:tc>
        <w:tc>
          <w:tcPr>
            <w:tcW w:type="dxa" w:w="1661"/>
          </w:tcPr>
          <w:p>
            <w:pPr>
              <w:pStyle w:val="null5"/>
              <w:jc w:val="left"/>
            </w:pPr>
            <w:r>
              <w:rPr>
                <w:rFonts w:ascii="仿宋_GB2312" w:hAnsi="仿宋_GB2312" w:cs="仿宋_GB2312" w:eastAsia="仿宋_GB2312"/>
              </w:rPr>
              <w:t>4.信息安全保障方案及措施</w:t>
            </w:r>
          </w:p>
        </w:tc>
        <w:tc>
          <w:tcPr>
            <w:tcW w:type="dxa" w:w="2575"/>
          </w:tcPr>
          <w:p>
            <w:pPr>
              <w:pStyle w:val="null5"/>
              <w:jc w:val="left"/>
            </w:pPr>
            <w:r>
              <w:rPr>
                <w:rFonts w:ascii="仿宋_GB2312" w:hAnsi="仿宋_GB2312" w:cs="仿宋_GB2312" w:eastAsia="仿宋_GB2312"/>
              </w:rPr>
              <w:t>4.对供应商的项目信息安全保障方案及措施进行评审。 系统数据对接时数据传输安全可靠，方案内容全面、详细，条理清晰，措施得当，紧扣项目实际情况的得10分，每有一项欠缺或不完善扣2分。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技术部分</w:t>
            </w:r>
          </w:p>
        </w:tc>
      </w:tr>
      <w:tr>
        <w:tc>
          <w:tcPr>
            <w:tcW w:type="dxa" w:w="831"/>
            <w:vMerge w:val="restart"/>
          </w:tcPr>
          <w:p>
            <w:pPr>
              <w:pStyle w:val="null5"/>
              <w:jc w:val="left"/>
            </w:pPr>
            <w:r>
              <w:rPr>
                <w:rFonts w:ascii="仿宋_GB2312" w:hAnsi="仿宋_GB2312" w:cs="仿宋_GB2312" w:eastAsia="仿宋_GB2312"/>
              </w:rPr>
              <w:t>商务评审</w:t>
            </w:r>
          </w:p>
        </w:tc>
        <w:tc>
          <w:tcPr>
            <w:tcW w:type="dxa" w:w="1661"/>
          </w:tcPr>
          <w:p>
            <w:pPr>
              <w:pStyle w:val="null5"/>
              <w:jc w:val="left"/>
            </w:pPr>
            <w:r>
              <w:rPr>
                <w:rFonts w:ascii="仿宋_GB2312" w:hAnsi="仿宋_GB2312" w:cs="仿宋_GB2312" w:eastAsia="仿宋_GB2312"/>
              </w:rPr>
              <w:t>同类业绩</w:t>
            </w:r>
          </w:p>
        </w:tc>
        <w:tc>
          <w:tcPr>
            <w:tcW w:type="dxa" w:w="2575"/>
          </w:tcPr>
          <w:p>
            <w:pPr>
              <w:pStyle w:val="null5"/>
              <w:jc w:val="left"/>
            </w:pPr>
            <w:r>
              <w:rPr>
                <w:rFonts w:ascii="仿宋_GB2312" w:hAnsi="仿宋_GB2312" w:cs="仿宋_GB2312" w:eastAsia="仿宋_GB2312"/>
              </w:rPr>
              <w:t>投标人提供2023年1月1日以来（以合同签订之日计），投标人承担的类似项目业绩，每提供一个得1分，最多得3分。注：以响应文件中提供的的合同原件扫描件为准，否则不得分。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投标人同类项目业绩表</w:t>
            </w:r>
          </w:p>
        </w:tc>
      </w:tr>
      <w:tr>
        <w:tc>
          <w:tcPr>
            <w:tcW w:type="dxa" w:w="831"/>
            <w:vMerge/>
          </w:tcPr>
          <w:p/>
        </w:tc>
        <w:tc>
          <w:tcPr>
            <w:tcW w:type="dxa" w:w="1661"/>
          </w:tcPr>
          <w:p>
            <w:pPr>
              <w:pStyle w:val="null5"/>
              <w:jc w:val="left"/>
            </w:pPr>
            <w:r>
              <w:rPr>
                <w:rFonts w:ascii="仿宋_GB2312" w:hAnsi="仿宋_GB2312" w:cs="仿宋_GB2312" w:eastAsia="仿宋_GB2312"/>
              </w:rPr>
              <w:t>服务部分1.供货、安装调试对接、配合验收方案</w:t>
            </w:r>
          </w:p>
        </w:tc>
        <w:tc>
          <w:tcPr>
            <w:tcW w:type="dxa" w:w="2575"/>
          </w:tcPr>
          <w:p>
            <w:pPr>
              <w:pStyle w:val="null5"/>
              <w:jc w:val="left"/>
            </w:pPr>
            <w:r>
              <w:rPr>
                <w:rFonts w:ascii="仿宋_GB2312" w:hAnsi="仿宋_GB2312" w:cs="仿宋_GB2312" w:eastAsia="仿宋_GB2312"/>
              </w:rPr>
              <w:t>1.对供应商的供货、安装调试对接、配合验收方案内容进行评价。内容符合实际情况，内容完整、详细，流程规范，条理清楚，措施得当的得10分，每有一项欠缺或不完善扣2分。</w:t>
            </w:r>
          </w:p>
        </w:tc>
        <w:tc>
          <w:tcPr>
            <w:tcW w:type="dxa" w:w="831"/>
          </w:tcPr>
          <w:p>
            <w:pPr>
              <w:pStyle w:val="null5"/>
              <w:jc w:val="center"/>
            </w:pPr>
            <w:r>
              <w:rPr>
                <w:rFonts w:ascii="仿宋_GB2312" w:hAnsi="仿宋_GB2312" w:cs="仿宋_GB2312" w:eastAsia="仿宋_GB2312"/>
              </w:rPr>
              <w:t>10.0000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服务部分</w:t>
            </w:r>
          </w:p>
        </w:tc>
      </w:tr>
      <w:tr>
        <w:tc>
          <w:tcPr>
            <w:tcW w:type="dxa" w:w="831"/>
            <w:vMerge/>
          </w:tcPr>
          <w:p/>
        </w:tc>
        <w:tc>
          <w:tcPr>
            <w:tcW w:type="dxa" w:w="1661"/>
          </w:tcPr>
          <w:p>
            <w:pPr>
              <w:pStyle w:val="null5"/>
              <w:jc w:val="left"/>
            </w:pPr>
            <w:r>
              <w:rPr>
                <w:rFonts w:ascii="仿宋_GB2312" w:hAnsi="仿宋_GB2312" w:cs="仿宋_GB2312" w:eastAsia="仿宋_GB2312"/>
              </w:rPr>
              <w:t>服务部分2.针对本项目制定的培训方案</w:t>
            </w:r>
          </w:p>
        </w:tc>
        <w:tc>
          <w:tcPr>
            <w:tcW w:type="dxa" w:w="2575"/>
          </w:tcPr>
          <w:p>
            <w:pPr>
              <w:pStyle w:val="null5"/>
              <w:jc w:val="left"/>
            </w:pPr>
            <w:r>
              <w:rPr>
                <w:rFonts w:ascii="仿宋_GB2312" w:hAnsi="仿宋_GB2312" w:cs="仿宋_GB2312" w:eastAsia="仿宋_GB2312"/>
              </w:rPr>
              <w:t>2.对供应商针对本项目制定的培训方案进行评审。 培训方案完整、详细，培训内容全面，培训形式多样，时间合理，具有本项目针对性的得3分，每有一项欠缺或不完善扣1分。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服务部分</w:t>
            </w:r>
          </w:p>
        </w:tc>
      </w:tr>
      <w:tr>
        <w:tc>
          <w:tcPr>
            <w:tcW w:type="dxa" w:w="831"/>
            <w:vMerge/>
          </w:tcPr>
          <w:p/>
        </w:tc>
        <w:tc>
          <w:tcPr>
            <w:tcW w:type="dxa" w:w="1661"/>
          </w:tcPr>
          <w:p>
            <w:pPr>
              <w:pStyle w:val="null5"/>
              <w:jc w:val="left"/>
            </w:pPr>
            <w:r>
              <w:rPr>
                <w:rFonts w:ascii="仿宋_GB2312" w:hAnsi="仿宋_GB2312" w:cs="仿宋_GB2312" w:eastAsia="仿宋_GB2312"/>
              </w:rPr>
              <w:t>服务部分3.针对本项目制定的应急预案</w:t>
            </w:r>
          </w:p>
        </w:tc>
        <w:tc>
          <w:tcPr>
            <w:tcW w:type="dxa" w:w="2575"/>
          </w:tcPr>
          <w:p>
            <w:pPr>
              <w:pStyle w:val="null5"/>
              <w:jc w:val="left"/>
            </w:pPr>
            <w:r>
              <w:rPr>
                <w:rFonts w:ascii="仿宋_GB2312" w:hAnsi="仿宋_GB2312" w:cs="仿宋_GB2312" w:eastAsia="仿宋_GB2312"/>
              </w:rPr>
              <w:t>3.对供应商针对本项目制定的应急预案（包括服务响应时间、响应程度、解决问题的能力、紧急情况处理预案等)进行评价。应急预案内容完整、条理清晰，应急响应迅速，应急能力突出，解决方案得当的得6分，每有一项欠缺或不完善扣1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服务部分</w:t>
            </w:r>
          </w:p>
        </w:tc>
      </w:tr>
      <w:tr>
        <w:tc>
          <w:tcPr>
            <w:tcW w:type="dxa" w:w="831"/>
            <w:vMerge/>
          </w:tcPr>
          <w:p/>
        </w:tc>
        <w:tc>
          <w:tcPr>
            <w:tcW w:type="dxa" w:w="1661"/>
          </w:tcPr>
          <w:p>
            <w:pPr>
              <w:pStyle w:val="null5"/>
              <w:jc w:val="left"/>
            </w:pPr>
            <w:r>
              <w:rPr>
                <w:rFonts w:ascii="仿宋_GB2312" w:hAnsi="仿宋_GB2312" w:cs="仿宋_GB2312" w:eastAsia="仿宋_GB2312"/>
              </w:rPr>
              <w:t>服务部分4.针对本项目制定的售后服务方案</w:t>
            </w:r>
          </w:p>
        </w:tc>
        <w:tc>
          <w:tcPr>
            <w:tcW w:type="dxa" w:w="2575"/>
          </w:tcPr>
          <w:p>
            <w:pPr>
              <w:pStyle w:val="null5"/>
              <w:jc w:val="left"/>
            </w:pPr>
            <w:r>
              <w:rPr>
                <w:rFonts w:ascii="仿宋_GB2312" w:hAnsi="仿宋_GB2312" w:cs="仿宋_GB2312" w:eastAsia="仿宋_GB2312"/>
              </w:rPr>
              <w:t>4.对供应商针对本项目制定的售后服务方案（售后服务体系、保修、维护响应时间，问题解决措施、人员等）进行评价，服务体系完整，服务人员配备充足，响应及时，技术支持迅速，问题解决措施合理，得当的，得8分，每有一项欠缺或不完善扣2分。</w:t>
            </w:r>
          </w:p>
        </w:tc>
        <w:tc>
          <w:tcPr>
            <w:tcW w:type="dxa" w:w="831"/>
          </w:tcPr>
          <w:p>
            <w:pPr>
              <w:pStyle w:val="null5"/>
              <w:jc w:val="center"/>
            </w:pPr>
            <w:r>
              <w:rPr>
                <w:rFonts w:ascii="仿宋_GB2312" w:hAnsi="仿宋_GB2312" w:cs="仿宋_GB2312" w:eastAsia="仿宋_GB2312"/>
              </w:rPr>
              <w:t>8.0000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jc w:val="left"/>
            </w:pPr>
            <w:r>
              <w:rPr>
                <w:rFonts w:ascii="仿宋_GB2312" w:hAnsi="仿宋_GB2312" w:cs="仿宋_GB2312" w:eastAsia="仿宋_GB2312"/>
              </w:rPr>
              <w:t>服务部分</w:t>
            </w:r>
          </w:p>
        </w:tc>
      </w:tr>
      <w:tr>
        <w:tc>
          <w:tcPr>
            <w:tcW w:type="dxa" w:w="831"/>
          </w:tcPr>
          <w:p>
            <w:pPr>
              <w:pStyle w:val="null5"/>
              <w:jc w:val="left"/>
            </w:pPr>
            <w:r>
              <w:rPr>
                <w:rFonts w:ascii="仿宋_GB2312" w:hAnsi="仿宋_GB2312" w:cs="仿宋_GB2312" w:eastAsia="仿宋_GB2312"/>
              </w:rPr>
              <w:t>异常低价审查</w:t>
            </w:r>
          </w:p>
        </w:tc>
        <w:tc>
          <w:tcPr>
            <w:tcW w:type="dxa" w:w="1661"/>
          </w:tcPr>
          <w:p>
            <w:pPr>
              <w:pStyle w:val="null5"/>
              <w:jc w:val="left"/>
            </w:pPr>
            <w:r>
              <w:rPr>
                <w:rFonts w:ascii="仿宋_GB2312" w:hAnsi="仿宋_GB2312" w:cs="仿宋_GB2312" w:eastAsia="仿宋_GB2312"/>
              </w:rPr>
              <w:t>异常低价审查</w:t>
            </w:r>
          </w:p>
        </w:tc>
        <w:tc>
          <w:tcPr>
            <w:tcW w:type="dxa" w:w="2575"/>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（1）潍坊市中心血站云桌面采购响应报价低于全部通过符合性审查供应商响应报价平均值50%的，即潍坊市中心血站云桌面采购响应报价&lt;全部通过符合性审查供应商响应报价平均值×50%。 （2）潍坊市中心血站云桌面采购响应报价低于通过符合性审查且报价次低供应商响应报价50%的，即潍坊市中心血站云桌面采购响应报价&lt;通过符合性审查且报价次低供应商响应报价×50%。 （3）潍坊市中心血站云桌面采购响应报价低于最高限价45%的，即潍坊市中心血站云桌面采购响应报价&lt;最高限价×45%。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所投产品的报价明细表</w:t>
            </w:r>
          </w:p>
        </w:tc>
      </w:tr>
      <w:tr>
        <w:tc>
          <w:tcPr>
            <w:tcW w:type="dxa" w:w="831"/>
          </w:tcPr>
          <w:p>
            <w:pPr>
              <w:pStyle w:val="null5"/>
              <w:jc w:val="left"/>
            </w:pPr>
            <w:r>
              <w:rPr>
                <w:rFonts w:ascii="仿宋_GB2312" w:hAnsi="仿宋_GB2312" w:cs="仿宋_GB2312" w:eastAsia="仿宋_GB2312"/>
              </w:rPr>
              <w:t>价格评审</w:t>
            </w:r>
          </w:p>
        </w:tc>
        <w:tc>
          <w:tcPr>
            <w:tcW w:type="dxa" w:w="1661"/>
          </w:tcPr>
          <w:p>
            <w:pPr>
              <w:pStyle w:val="null5"/>
              <w:jc w:val="left"/>
            </w:pPr>
            <w:r>
              <w:rPr>
                <w:rFonts w:ascii="仿宋_GB2312" w:hAnsi="仿宋_GB2312" w:cs="仿宋_GB2312" w:eastAsia="仿宋_GB2312"/>
              </w:rPr>
              <w:t>投标价格得分</w:t>
            </w:r>
          </w:p>
        </w:tc>
        <w:tc>
          <w:tcPr>
            <w:tcW w:type="dxa" w:w="2575"/>
          </w:tcPr>
          <w:p>
            <w:pPr>
              <w:pStyle w:val="null5"/>
              <w:jc w:val="left"/>
            </w:pPr>
            <w:r>
              <w:rPr>
                <w:rFonts w:ascii="仿宋_GB2312" w:hAnsi="仿宋_GB2312" w:cs="仿宋_GB2312" w:eastAsia="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type="dxa" w:w="831"/>
          </w:tcPr>
          <w:p>
            <w:pPr>
              <w:pStyle w:val="null5"/>
              <w:jc w:val="center"/>
            </w:pPr>
            <w:r>
              <w:rPr>
                <w:rFonts w:ascii="仿宋_GB2312" w:hAnsi="仿宋_GB2312" w:cs="仿宋_GB2312" w:eastAsia="仿宋_GB2312"/>
              </w:rPr>
              <w:t>30.0000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投标（响应）报价明细表</w:t>
            </w:r>
          </w:p>
        </w:tc>
      </w:tr>
      <w:tr>
        <w:tc>
          <w:tcPr>
            <w:tcW w:type="dxa" w:w="831"/>
          </w:tcPr>
          <w:p>
            <w:pPr>
              <w:pStyle w:val="null5"/>
              <w:jc w:val="left"/>
            </w:pPr>
            <w:r>
              <w:rPr>
                <w:rFonts w:ascii="仿宋_GB2312" w:hAnsi="仿宋_GB2312" w:cs="仿宋_GB2312" w:eastAsia="仿宋_GB2312"/>
              </w:rPr>
              <w:t>附加分</w:t>
            </w:r>
          </w:p>
        </w:tc>
        <w:tc>
          <w:tcPr>
            <w:tcW w:type="dxa" w:w="1661"/>
          </w:tcPr>
          <w:p>
            <w:pPr>
              <w:pStyle w:val="null5"/>
              <w:jc w:val="left"/>
            </w:pPr>
            <w:r>
              <w:rPr>
                <w:rFonts w:ascii="仿宋_GB2312" w:hAnsi="仿宋_GB2312" w:cs="仿宋_GB2312" w:eastAsia="仿宋_GB2312"/>
              </w:rPr>
              <w:t>节能环保产品</w:t>
            </w:r>
          </w:p>
        </w:tc>
        <w:tc>
          <w:tcPr>
            <w:tcW w:type="dxa" w:w="2575"/>
          </w:tcPr>
          <w:p>
            <w:pPr>
              <w:pStyle w:val="null5"/>
              <w:jc w:val="left"/>
            </w:pPr>
            <w:r>
              <w:rPr>
                <w:rFonts w:ascii="仿宋_GB2312" w:hAnsi="仿宋_GB2312" w:cs="仿宋_GB2312" w:eastAsia="仿宋_GB2312"/>
              </w:rPr>
              <w:t>供应商所报设备列入财政部、发展改革委、生态环境部等部门发布的《品目清单》中节能、环保产品的： 在价格评审项中，对节能、环保设备分别给予加分（加分=报价评标总分值×5%×节能、环保设备价格在投标报价中所占比例）； 在技术评审项中，对节能、环保设备分别给予加分（加分=技术性能评标总分值×5%×节能、环保设备价格在投标报价中所占比例）。 说明：本项计分以供应商提供的处于有效期之内的节能、环保产品认证证书扫描件或国家认证认可监督管理委员会网站查询截图或中国政府采购网节能产品查询截图加盖供应商公章为准，认证机构必须在市场监管总局发布的《参与实施政府采购节能产品、环境标志产品认证机构名录》中，否则不给予价格、技术评审加分。供应商所填写的内容必须真实、可靠，如有虚假或隐瞒，一经查实将导致投标被拒绝。属于国家强制采购节能产品范围的在评审时不给予节能政策的加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jc w:val="left"/>
            </w:pPr>
            <w:r>
              <w:rPr>
                <w:rFonts w:ascii="仿宋_GB2312" w:hAnsi="仿宋_GB2312" w:cs="仿宋_GB2312" w:eastAsia="仿宋_GB2312"/>
              </w:rPr>
              <w:t>节能环保产品</w:t>
            </w:r>
          </w:p>
        </w:tc>
      </w:tr>
    </w:tbl>
    <w:p>
      <w:pPr>
        <w:pStyle w:val="null5"/>
        <w:ind w:firstLine="480"/>
        <w:jc w:val="both"/>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10.00%</w:t>
            </w:r>
          </w:p>
        </w:tc>
        <w:tc>
          <w:tcPr>
            <w:tcW w:type="dxa" w:w="1661"/>
          </w:tcPr>
          <w:p>
            <w:pPr>
              <w:pStyle w:val="null5"/>
              <w:jc w:val="left"/>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910"/>
          </w:tcPr>
          <w:p>
            <w:pPr>
              <w:pStyle w:val="null5"/>
              <w:jc w:val="left"/>
            </w:pPr>
            <w:r>
              <w:rPr>
                <w:rFonts w:ascii="仿宋_GB2312" w:hAnsi="仿宋_GB2312" w:cs="仿宋_GB2312" w:eastAsia="仿宋_GB2312"/>
              </w:rPr>
              <w:t>中小企业声明函、残疾人福利性单位声明函、监狱企业的证明文件</w:t>
            </w:r>
          </w:p>
        </w:tc>
      </w:tr>
    </w:tbl>
    <w:p>
      <w:pPr>
        <w:pStyle w:val="null5"/>
        <w:ind w:firstLine="480"/>
        <w:jc w:val="both"/>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（1）潍坊市中心血站云桌面采购响应报价低于全部通过符合性审查供应商响应报价平均值50%的，即潍坊市中心血站云桌面采购响应报价&lt;全部通过符合性审查供应商响应报价平均值×50%。</w:t>
              <w:br/>
              <w:t>（2）潍坊市中心血站云桌面采购响应报价低于通过符合性审查且报价次低供应商响应报价50%的，即潍坊市中心血站云桌面采购响应报价&lt;通过符合性审查且报价次低供应商响应报价×50%。</w:t>
              <w:br/>
              <w:t>（3）潍坊市中心血站云桌面采购响应报价低于最高限价45%的，即潍坊市中心血站云桌面采购响应报价&lt;最高限价×45%。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w:t>
            </w:r>
          </w:p>
        </w:tc>
      </w:tr>
    </w:tbl>
    <w:p>
      <w:pPr>
        <w:pStyle w:val="null5"/>
        <w:ind w:firstLine="480"/>
        <w:jc w:val="left"/>
      </w:pPr>
      <w:r>
        <w:rPr>
          <w:rFonts w:ascii="仿宋_GB2312" w:hAnsi="仿宋_GB2312" w:cs="仿宋_GB2312" w:eastAsia="仿宋_GB2312"/>
        </w:rPr>
        <w:t>本国产品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8305"/>
            <w:gridSpan w:val="4"/>
          </w:tcPr>
          <w:p>
            <w:pPr>
              <w:pStyle w:val="null5"/>
              <w:jc w:val="center"/>
            </w:pPr>
            <w:r>
              <w:rPr>
                <w:rFonts w:ascii="仿宋_GB2312" w:hAnsi="仿宋_GB2312" w:cs="仿宋_GB2312" w:eastAsia="仿宋_GB2312"/>
              </w:rPr>
              <w:t xml:space="preserve"> 不涉及</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5.5.废标</w:t>
      </w:r>
    </w:p>
    <w:p>
      <w:pPr>
        <w:pStyle w:val="null5"/>
        <w:ind w:firstLine="480"/>
        <w:jc w:val="both"/>
      </w:pPr>
      <w:r>
        <w:rPr>
          <w:rFonts w:ascii="仿宋_GB2312" w:hAnsi="仿宋_GB2312" w:cs="仿宋_GB2312" w:eastAsia="仿宋_GB2312"/>
        </w:rPr>
        <w:t>本次政府采购活动中，出现下列情形之一的，予以废标：</w:t>
      </w:r>
    </w:p>
    <w:p>
      <w:pPr>
        <w:pStyle w:val="null5"/>
        <w:ind w:firstLine="480"/>
        <w:jc w:val="both"/>
      </w:pPr>
      <w:r>
        <w:rPr>
          <w:rFonts w:ascii="仿宋_GB2312" w:hAnsi="仿宋_GB2312" w:cs="仿宋_GB2312" w:eastAsia="仿宋_GB2312"/>
        </w:rPr>
        <w:t>一、符合专业条件的投标人或者对招标文件作实质响应的投标人不足 3 家的（如本项目采购包涉及核心产品，经符合性审查，提供核心产品品牌不足 3 个的， 视为有效投标人不足 3 家）；</w:t>
      </w:r>
    </w:p>
    <w:p>
      <w:pPr>
        <w:pStyle w:val="null5"/>
        <w:ind w:firstLine="480"/>
        <w:jc w:val="both"/>
      </w:pPr>
      <w:r>
        <w:rPr>
          <w:rFonts w:ascii="仿宋_GB2312" w:hAnsi="仿宋_GB2312" w:cs="仿宋_GB2312" w:eastAsia="仿宋_GB2312"/>
        </w:rPr>
        <w:t>二、出现影响采购公正的违法、违规行为的；</w:t>
      </w:r>
    </w:p>
    <w:p>
      <w:pPr>
        <w:pStyle w:val="null5"/>
        <w:ind w:firstLine="480"/>
        <w:jc w:val="both"/>
      </w:pPr>
      <w:r>
        <w:rPr>
          <w:rFonts w:ascii="仿宋_GB2312" w:hAnsi="仿宋_GB2312" w:cs="仿宋_GB2312" w:eastAsia="仿宋_GB2312"/>
        </w:rPr>
        <w:t>三、投标人的报价均超过了采购预算，采购人不能支付的；</w:t>
      </w:r>
    </w:p>
    <w:p>
      <w:pPr>
        <w:pStyle w:val="null5"/>
        <w:ind w:firstLine="480"/>
        <w:jc w:val="both"/>
      </w:pPr>
      <w:r>
        <w:rPr>
          <w:rFonts w:ascii="仿宋_GB2312" w:hAnsi="仿宋_GB2312" w:cs="仿宋_GB2312" w:eastAsia="仿宋_GB2312"/>
        </w:rPr>
        <w:t>四、因重大变故，采购任务取消的。</w:t>
      </w:r>
    </w:p>
    <w:p>
      <w:pPr>
        <w:pStyle w:val="null5"/>
        <w:ind w:firstLine="480"/>
        <w:jc w:val="both"/>
      </w:pPr>
      <w:r>
        <w:rPr>
          <w:rFonts w:ascii="仿宋_GB2312" w:hAnsi="仿宋_GB2312" w:cs="仿宋_GB2312" w:eastAsia="仿宋_GB2312"/>
        </w:rPr>
        <w:t>废标后，代理机构将在“中国山东政府采购网”公告。</w:t>
      </w:r>
    </w:p>
    <w:p>
      <w:pPr>
        <w:pStyle w:val="null5"/>
        <w:ind w:firstLine="480"/>
        <w:jc w:val="left"/>
        <w:outlineLvl w:val="2"/>
      </w:pPr>
      <w:r>
        <w:rPr>
          <w:rFonts w:ascii="仿宋_GB2312" w:hAnsi="仿宋_GB2312" w:cs="仿宋_GB2312" w:eastAsia="仿宋_GB2312"/>
          <w:sz w:val="28"/>
          <w:b/>
        </w:rPr>
        <w:t>5.6.定标</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both"/>
      </w:pPr>
      <w:r>
        <w:rPr>
          <w:rFonts w:ascii="仿宋_GB2312" w:hAnsi="仿宋_GB2312" w:cs="仿宋_GB2312" w:eastAsia="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5"/>
        <w:ind w:firstLine="480"/>
        <w:jc w:val="both"/>
      </w:pPr>
      <w:r>
        <w:rPr>
          <w:rFonts w:ascii="仿宋_GB2312" w:hAnsi="仿宋_GB2312" w:cs="仿宋_GB2312" w:eastAsia="仿宋_GB2312"/>
        </w:rPr>
        <w:t>二、采购人或者代理机构应当自中标人确定之日起 2 个工作日内，在“中国山东政府采购网”公告中标结果，招标文件应当随中标结果同时公告。</w:t>
      </w:r>
    </w:p>
    <w:p>
      <w:pPr>
        <w:pStyle w:val="null5"/>
        <w:ind w:firstLine="480"/>
        <w:jc w:val="left"/>
        <w:outlineLvl w:val="2"/>
      </w:pPr>
      <w:r>
        <w:rPr>
          <w:rFonts w:ascii="仿宋_GB2312" w:hAnsi="仿宋_GB2312" w:cs="仿宋_GB2312" w:eastAsia="仿宋_GB2312"/>
          <w:sz w:val="28"/>
          <w:b/>
        </w:rPr>
        <w:t>5.7.评标委员会义务</w:t>
      </w:r>
    </w:p>
    <w:p>
      <w:pPr>
        <w:pStyle w:val="null5"/>
        <w:ind w:firstLine="480"/>
        <w:jc w:val="both"/>
      </w:pPr>
      <w:r>
        <w:rPr>
          <w:rFonts w:ascii="仿宋_GB2312" w:hAnsi="仿宋_GB2312" w:cs="仿宋_GB2312" w:eastAsia="仿宋_GB2312"/>
        </w:rPr>
        <w:t>评标委员会在政府采购活动中应当履行下列义务：</w:t>
      </w:r>
    </w:p>
    <w:p>
      <w:pPr>
        <w:pStyle w:val="null5"/>
        <w:ind w:firstLine="480"/>
        <w:jc w:val="both"/>
      </w:pPr>
      <w:r>
        <w:rPr>
          <w:rFonts w:ascii="仿宋_GB2312" w:hAnsi="仿宋_GB2312" w:cs="仿宋_GB2312" w:eastAsia="仿宋_GB2312"/>
        </w:rPr>
        <w:t>一、遵守评审工作纪律；</w:t>
      </w:r>
    </w:p>
    <w:p>
      <w:pPr>
        <w:pStyle w:val="null5"/>
        <w:ind w:firstLine="480"/>
        <w:jc w:val="both"/>
      </w:pPr>
      <w:r>
        <w:rPr>
          <w:rFonts w:ascii="仿宋_GB2312" w:hAnsi="仿宋_GB2312" w:cs="仿宋_GB2312" w:eastAsia="仿宋_GB2312"/>
        </w:rPr>
        <w:t>二、按照客观、公正、审慎的原则，根据招标文件规定的评审程序、评审方法和评审标准进行独立评审；</w:t>
      </w:r>
    </w:p>
    <w:p>
      <w:pPr>
        <w:pStyle w:val="null5"/>
        <w:ind w:firstLine="480"/>
        <w:jc w:val="both"/>
      </w:pPr>
      <w:r>
        <w:rPr>
          <w:rFonts w:ascii="仿宋_GB2312" w:hAnsi="仿宋_GB2312" w:cs="仿宋_GB2312" w:eastAsia="仿宋_GB2312"/>
        </w:rPr>
        <w:t>三、不得泄露评审文件、评审情况和在评审过程中获悉的商业秘密；</w:t>
      </w:r>
    </w:p>
    <w:p>
      <w:pPr>
        <w:pStyle w:val="null5"/>
        <w:ind w:firstLine="480"/>
        <w:jc w:val="both"/>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5"/>
        <w:ind w:firstLine="480"/>
        <w:jc w:val="both"/>
      </w:pPr>
      <w:r>
        <w:rPr>
          <w:rFonts w:ascii="仿宋_GB2312" w:hAnsi="仿宋_GB2312" w:cs="仿宋_GB2312" w:eastAsia="仿宋_GB2312"/>
        </w:rPr>
        <w:t>五、发现招标文件内容违反国家有关强制性规定或者存在歧义、重大缺陷导致评审工作无法进行时，停止评审并通过交易系统向代理 机构书面说明情况，说明停止评审的情形和具体理由；</w:t>
      </w:r>
    </w:p>
    <w:p>
      <w:pPr>
        <w:pStyle w:val="null5"/>
        <w:ind w:firstLine="480"/>
        <w:jc w:val="both"/>
      </w:pPr>
      <w:r>
        <w:rPr>
          <w:rFonts w:ascii="仿宋_GB2312" w:hAnsi="仿宋_GB2312" w:cs="仿宋_GB2312" w:eastAsia="仿宋_GB2312"/>
        </w:rPr>
        <w:t>六、配合答复处理供应商的询问、质疑和投诉等事项；</w:t>
      </w:r>
    </w:p>
    <w:p>
      <w:pPr>
        <w:pStyle w:val="null5"/>
        <w:ind w:firstLine="480"/>
        <w:jc w:val="both"/>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5.8.评标委员会成员工作纪律</w:t>
      </w:r>
    </w:p>
    <w:p>
      <w:pPr>
        <w:pStyle w:val="null5"/>
        <w:ind w:firstLine="480"/>
        <w:jc w:val="both"/>
      </w:pPr>
      <w:r>
        <w:rPr>
          <w:rFonts w:ascii="仿宋_GB2312" w:hAnsi="仿宋_GB2312" w:cs="仿宋_GB2312" w:eastAsia="仿宋_GB2312"/>
        </w:rPr>
        <w:t>评标委员会成员在政府采购活动中应当遵守以下工作纪律：</w:t>
      </w:r>
    </w:p>
    <w:p>
      <w:pPr>
        <w:pStyle w:val="null5"/>
        <w:ind w:firstLine="480"/>
        <w:jc w:val="both"/>
      </w:pPr>
      <w:r>
        <w:rPr>
          <w:rFonts w:ascii="仿宋_GB2312" w:hAnsi="仿宋_GB2312" w:cs="仿宋_GB2312" w:eastAsia="仿宋_GB2312"/>
        </w:rPr>
        <w:t>一、严格遵守政府采购法律制度关于评标委员会成员回避的规定。</w:t>
      </w:r>
    </w:p>
    <w:p>
      <w:pPr>
        <w:pStyle w:val="null5"/>
        <w:ind w:firstLine="480"/>
        <w:jc w:val="both"/>
      </w:pPr>
      <w:r>
        <w:rPr>
          <w:rFonts w:ascii="仿宋_GB2312" w:hAnsi="仿宋_GB2312" w:cs="仿宋_GB2312" w:eastAsia="仿宋_GB2312"/>
        </w:rPr>
        <w:t>二、评审前，应当将通讯工具或者相关电子设备交由代理机构统一保管。</w:t>
      </w:r>
    </w:p>
    <w:p>
      <w:pPr>
        <w:pStyle w:val="null5"/>
        <w:ind w:firstLine="480"/>
        <w:jc w:val="both"/>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both"/>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5"/>
        <w:ind w:firstLine="480"/>
        <w:jc w:val="both"/>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both"/>
      </w:pPr>
      <w:r>
        <w:rPr>
          <w:rFonts w:ascii="仿宋_GB2312" w:hAnsi="仿宋_GB2312" w:cs="仿宋_GB2312" w:eastAsia="仿宋_GB2312"/>
        </w:rPr>
        <w:t>六、服从评审现场代理机构的现场秩序管理，接受评审现场监督人员的合法监督。</w:t>
      </w:r>
    </w:p>
    <w:p>
      <w:pPr>
        <w:pStyle w:val="null5"/>
        <w:ind w:firstLine="480"/>
        <w:jc w:val="both"/>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5"/>
        <w:jc w:val="center"/>
        <w:outlineLvl w:val="1"/>
      </w:pPr>
      <w:r>
        <w:rPr>
          <w:rFonts w:ascii="仿宋_GB2312" w:hAnsi="仿宋_GB2312" w:cs="仿宋_GB2312" w:eastAsia="仿宋_GB2312"/>
          <w:sz w:val="36"/>
          <w:b/>
        </w:rPr>
        <w:t>第六章 投标文件格式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详见附件：商业信誉、财务会计制度、缴纳税收和社保的承诺函</w:t>
      </w:r>
    </w:p>
    <w:p>
      <w:pPr>
        <w:pStyle w:val="null5"/>
        <w:ind w:firstLine="960"/>
        <w:jc w:val="left"/>
      </w:pPr>
      <w:r>
        <w:rPr>
          <w:rFonts w:ascii="仿宋_GB2312" w:hAnsi="仿宋_GB2312" w:cs="仿宋_GB2312" w:eastAsia="仿宋_GB2312"/>
        </w:rPr>
        <w:t>详见附件：无重大违法记录声明函</w:t>
      </w:r>
    </w:p>
    <w:p>
      <w:pPr>
        <w:pStyle w:val="null5"/>
        <w:ind w:firstLine="960"/>
        <w:jc w:val="left"/>
      </w:pPr>
      <w:r>
        <w:rPr>
          <w:rFonts w:ascii="仿宋_GB2312" w:hAnsi="仿宋_GB2312" w:cs="仿宋_GB2312" w:eastAsia="仿宋_GB2312"/>
        </w:rPr>
        <w:t>详见附件：具备履行合同所必需设备和专业技术能力的声明函</w:t>
      </w:r>
    </w:p>
    <w:p>
      <w:pPr>
        <w:pStyle w:val="null5"/>
        <w:ind w:firstLine="960"/>
        <w:jc w:val="left"/>
      </w:pPr>
      <w:r>
        <w:rPr>
          <w:rFonts w:ascii="仿宋_GB2312" w:hAnsi="仿宋_GB2312" w:cs="仿宋_GB2312" w:eastAsia="仿宋_GB2312"/>
        </w:rPr>
        <w:t>详见附件：自觉抵制政府采购领域商业贿赂行为承诺书</w:t>
      </w:r>
    </w:p>
    <w:p>
      <w:pPr>
        <w:pStyle w:val="null5"/>
        <w:ind w:firstLine="960"/>
        <w:jc w:val="left"/>
      </w:pPr>
      <w:r>
        <w:rPr>
          <w:rFonts w:ascii="仿宋_GB2312" w:hAnsi="仿宋_GB2312" w:cs="仿宋_GB2312" w:eastAsia="仿宋_GB2312"/>
        </w:rPr>
        <w:t>详见附件：投标人承诺函</w:t>
      </w:r>
    </w:p>
    <w:p>
      <w:pPr>
        <w:pStyle w:val="null5"/>
        <w:ind w:firstLine="960"/>
        <w:jc w:val="left"/>
      </w:pPr>
      <w:r>
        <w:rPr>
          <w:rFonts w:ascii="仿宋_GB2312" w:hAnsi="仿宋_GB2312" w:cs="仿宋_GB2312" w:eastAsia="仿宋_GB2312"/>
        </w:rPr>
        <w:t>详见附件：中小企业声明函</w:t>
      </w:r>
    </w:p>
    <w:p>
      <w:pPr>
        <w:pStyle w:val="null5"/>
        <w:ind w:firstLine="96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详见附件：监狱企业的证明文件</w:t>
      </w:r>
    </w:p>
    <w:p>
      <w:pPr>
        <w:pStyle w:val="null5"/>
        <w:ind w:firstLine="960"/>
        <w:jc w:val="left"/>
      </w:pPr>
      <w:r>
        <w:rPr>
          <w:rFonts w:ascii="仿宋_GB2312" w:hAnsi="仿宋_GB2312" w:cs="仿宋_GB2312" w:eastAsia="仿宋_GB2312"/>
        </w:rPr>
        <w:t>详见附件：其他材料</w:t>
      </w:r>
    </w:p>
    <w:p>
      <w:pPr>
        <w:pStyle w:val="null5"/>
        <w:ind w:firstLine="960"/>
        <w:jc w:val="left"/>
      </w:pPr>
      <w:r>
        <w:rPr>
          <w:rFonts w:ascii="仿宋_GB2312" w:hAnsi="仿宋_GB2312" w:cs="仿宋_GB2312" w:eastAsia="仿宋_GB2312"/>
        </w:rPr>
        <w:t>详见附件：商务应答表</w:t>
      </w:r>
    </w:p>
    <w:p>
      <w:pPr>
        <w:pStyle w:val="null5"/>
        <w:ind w:firstLine="960"/>
        <w:jc w:val="left"/>
      </w:pPr>
      <w:r>
        <w:rPr>
          <w:rFonts w:ascii="仿宋_GB2312" w:hAnsi="仿宋_GB2312" w:cs="仿宋_GB2312" w:eastAsia="仿宋_GB2312"/>
        </w:rPr>
        <w:t>详见附件：具有独立承担民事责任的能力证明文件</w:t>
      </w:r>
    </w:p>
    <w:p>
      <w:pPr>
        <w:pStyle w:val="null5"/>
        <w:ind w:firstLine="960"/>
        <w:jc w:val="left"/>
      </w:pPr>
      <w:r>
        <w:rPr>
          <w:rFonts w:ascii="仿宋_GB2312" w:hAnsi="仿宋_GB2312" w:cs="仿宋_GB2312" w:eastAsia="仿宋_GB2312"/>
        </w:rPr>
        <w:t>详见附件：法定代表人资格证明书或法定代表人授权委托书</w:t>
      </w:r>
    </w:p>
    <w:p>
      <w:pPr>
        <w:pStyle w:val="null5"/>
        <w:ind w:firstLine="960"/>
        <w:jc w:val="left"/>
      </w:pPr>
      <w:r>
        <w:rPr>
          <w:rFonts w:ascii="仿宋_GB2312" w:hAnsi="仿宋_GB2312" w:cs="仿宋_GB2312" w:eastAsia="仿宋_GB2312"/>
        </w:rPr>
        <w:t>详见附件：投标人同类项目业绩表</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详见附件：投标函</w:t>
      </w:r>
    </w:p>
    <w:p>
      <w:pPr>
        <w:pStyle w:val="null5"/>
        <w:ind w:firstLine="960"/>
        <w:jc w:val="left"/>
      </w:pPr>
      <w:r>
        <w:rPr>
          <w:rFonts w:ascii="仿宋_GB2312" w:hAnsi="仿宋_GB2312" w:cs="仿宋_GB2312" w:eastAsia="仿宋_GB2312"/>
        </w:rPr>
        <w:t>详见附件：节能环保产品</w:t>
      </w:r>
    </w:p>
    <w:p>
      <w:pPr>
        <w:pStyle w:val="null5"/>
        <w:ind w:firstLine="960"/>
        <w:jc w:val="left"/>
      </w:pPr>
      <w:r>
        <w:rPr>
          <w:rFonts w:ascii="仿宋_GB2312" w:hAnsi="仿宋_GB2312" w:cs="仿宋_GB2312" w:eastAsia="仿宋_GB2312"/>
        </w:rPr>
        <w:t>详见附件：技术部分</w:t>
      </w:r>
    </w:p>
    <w:p>
      <w:pPr>
        <w:pStyle w:val="null5"/>
        <w:ind w:firstLine="960"/>
        <w:jc w:val="left"/>
      </w:pPr>
      <w:r>
        <w:rPr>
          <w:rFonts w:ascii="仿宋_GB2312" w:hAnsi="仿宋_GB2312" w:cs="仿宋_GB2312" w:eastAsia="仿宋_GB2312"/>
        </w:rPr>
        <w:t>详见附件：服务部分</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详见附件：所投产品的报价明细表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详见附件：拟签订的合同文本.docx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