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94867">
      <w:pPr>
        <w:keepNext w:val="0"/>
        <w:keepLines w:val="0"/>
        <w:widowControl/>
        <w:suppressLineNumbers w:val="0"/>
        <w:snapToGrid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69FAA959">
      <w:pPr>
        <w:keepNext w:val="0"/>
        <w:keepLines w:val="0"/>
        <w:widowControl/>
        <w:suppressLineNumbers w:val="0"/>
        <w:snapToGrid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7CFA9032">
      <w:pPr>
        <w:keepNext w:val="0"/>
        <w:keepLines w:val="0"/>
        <w:widowControl/>
        <w:suppressLineNumbers w:val="0"/>
        <w:snapToGrid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4E96C84D">
      <w:pPr>
        <w:keepNext w:val="0"/>
        <w:keepLines w:val="0"/>
        <w:widowControl/>
        <w:suppressLineNumbers w:val="0"/>
        <w:snapToGrid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07FD4319">
      <w:pPr>
        <w:keepNext w:val="0"/>
        <w:keepLines w:val="0"/>
        <w:widowControl/>
        <w:suppressLineNumbers w:val="0"/>
        <w:snapToGrid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1524405E">
      <w:pPr>
        <w:keepNext w:val="0"/>
        <w:keepLines w:val="0"/>
        <w:widowControl/>
        <w:suppressLineNumbers w:val="0"/>
        <w:snapToGrid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635B6DC4">
      <w:pPr>
        <w:spacing w:line="360" w:lineRule="auto"/>
        <w:jc w:val="center"/>
        <w:rPr>
          <w:rFonts w:ascii="宋体"/>
          <w:color w:val="auto"/>
          <w:sz w:val="44"/>
          <w:szCs w:val="44"/>
          <w:highlight w:val="none"/>
        </w:rPr>
      </w:pPr>
      <w:r>
        <w:rPr>
          <w:rFonts w:hint="eastAsia" w:ascii="宋体" w:hAnsi="宋体"/>
          <w:color w:val="auto"/>
          <w:sz w:val="44"/>
          <w:szCs w:val="44"/>
          <w:highlight w:val="none"/>
        </w:rPr>
        <w:t>山东省政府采购合同</w:t>
      </w:r>
    </w:p>
    <w:p w14:paraId="3BC39857">
      <w:pPr>
        <w:snapToGrid w:val="0"/>
        <w:spacing w:line="360" w:lineRule="auto"/>
        <w:jc w:val="center"/>
        <w:rPr>
          <w:rFonts w:hint="eastAsia" w:ascii="宋体" w:eastAsia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/>
          <w:color w:val="auto"/>
          <w:sz w:val="28"/>
          <w:szCs w:val="28"/>
          <w:highlight w:val="none"/>
          <w:lang w:val="en-US" w:eastAsia="zh-CN"/>
        </w:rPr>
        <w:t>货物类</w:t>
      </w:r>
      <w:r>
        <w:rPr>
          <w:rFonts w:hint="eastAsia" w:ascii="宋体"/>
          <w:color w:val="auto"/>
          <w:sz w:val="28"/>
          <w:szCs w:val="28"/>
          <w:highlight w:val="none"/>
          <w:lang w:eastAsia="zh-CN"/>
        </w:rPr>
        <w:t>）</w:t>
      </w:r>
    </w:p>
    <w:p w14:paraId="4FDE341B">
      <w:pPr>
        <w:snapToGrid w:val="0"/>
        <w:spacing w:line="360" w:lineRule="auto"/>
        <w:jc w:val="center"/>
        <w:rPr>
          <w:rFonts w:ascii="宋体"/>
          <w:color w:val="auto"/>
          <w:sz w:val="28"/>
          <w:szCs w:val="28"/>
          <w:highlight w:val="none"/>
        </w:rPr>
      </w:pPr>
    </w:p>
    <w:p w14:paraId="6F2909A8">
      <w:pPr>
        <w:snapToGrid w:val="0"/>
        <w:spacing w:line="360" w:lineRule="auto"/>
        <w:jc w:val="center"/>
        <w:rPr>
          <w:rFonts w:ascii="宋体"/>
          <w:color w:val="auto"/>
          <w:sz w:val="28"/>
          <w:szCs w:val="28"/>
          <w:highlight w:val="none"/>
        </w:rPr>
      </w:pPr>
    </w:p>
    <w:p w14:paraId="6FEB0193">
      <w:pPr>
        <w:spacing w:line="360" w:lineRule="auto"/>
        <w:ind w:firstLine="640" w:firstLineChars="200"/>
        <w:rPr>
          <w:rFonts w:ascii="宋体"/>
          <w:color w:val="auto"/>
          <w:sz w:val="32"/>
          <w:highlight w:val="none"/>
        </w:rPr>
      </w:pPr>
      <w:r>
        <w:rPr>
          <w:rFonts w:hint="eastAsia" w:ascii="宋体" w:hAnsi="宋体"/>
          <w:color w:val="auto"/>
          <w:sz w:val="32"/>
          <w:highlight w:val="none"/>
        </w:rPr>
        <w:t>项目名称</w:t>
      </w:r>
      <w:r>
        <w:rPr>
          <w:rFonts w:hint="eastAsia" w:ascii="宋体" w:hAnsi="宋体"/>
          <w:color w:val="auto"/>
          <w:sz w:val="32"/>
          <w:highlight w:val="none"/>
          <w:lang w:eastAsia="zh-CN"/>
        </w:rPr>
        <w:t>：</w:t>
      </w:r>
      <w:r>
        <w:rPr>
          <w:rFonts w:hint="eastAsia" w:ascii="宋体" w:hAnsi="宋体"/>
          <w:color w:val="auto"/>
          <w:sz w:val="32"/>
          <w:highlight w:val="none"/>
          <w:u w:val="single"/>
          <w:lang w:val="en-US" w:eastAsia="zh-CN"/>
        </w:rPr>
        <w:t xml:space="preserve">                       </w:t>
      </w:r>
    </w:p>
    <w:p w14:paraId="3C29A1BF">
      <w:pPr>
        <w:spacing w:line="360" w:lineRule="auto"/>
        <w:ind w:firstLine="640" w:firstLineChars="200"/>
        <w:rPr>
          <w:rFonts w:hint="default" w:ascii="宋体" w:eastAsia="宋体"/>
          <w:color w:val="auto"/>
          <w:sz w:val="32"/>
          <w:highlight w:val="none"/>
          <w:u w:val="single"/>
          <w:lang w:val="en-US" w:eastAsia="zh-CN"/>
        </w:rPr>
      </w:pPr>
      <w:r>
        <w:rPr>
          <w:rFonts w:hint="eastAsia" w:ascii="宋体" w:hAnsi="宋体"/>
          <w:color w:val="auto"/>
          <w:sz w:val="32"/>
          <w:highlight w:val="none"/>
        </w:rPr>
        <w:t>合同编号</w:t>
      </w:r>
      <w:r>
        <w:rPr>
          <w:rFonts w:hint="eastAsia" w:ascii="宋体" w:hAnsi="宋体"/>
          <w:color w:val="auto"/>
          <w:sz w:val="32"/>
          <w:highlight w:val="none"/>
          <w:lang w:eastAsia="zh-CN"/>
        </w:rPr>
        <w:t>：</w:t>
      </w:r>
      <w:r>
        <w:rPr>
          <w:rFonts w:hint="eastAsia" w:ascii="宋体" w:hAnsi="宋体"/>
          <w:color w:val="auto"/>
          <w:sz w:val="32"/>
          <w:highlight w:val="none"/>
          <w:u w:val="single"/>
          <w:lang w:val="en-US" w:eastAsia="zh-CN"/>
        </w:rPr>
        <w:t xml:space="preserve">                       </w:t>
      </w:r>
    </w:p>
    <w:p w14:paraId="0805AE08">
      <w:pPr>
        <w:spacing w:line="360" w:lineRule="auto"/>
        <w:ind w:firstLine="640" w:firstLineChars="200"/>
        <w:rPr>
          <w:rFonts w:ascii="宋体"/>
          <w:b/>
          <w:color w:val="auto"/>
          <w:sz w:val="32"/>
          <w:highlight w:val="none"/>
          <w:u w:val="single"/>
        </w:rPr>
      </w:pPr>
      <w:r>
        <w:rPr>
          <w:rFonts w:hint="eastAsia" w:ascii="宋体" w:hAnsi="宋体"/>
          <w:color w:val="auto"/>
          <w:sz w:val="32"/>
          <w:highlight w:val="none"/>
        </w:rPr>
        <w:t>计划编号</w:t>
      </w:r>
      <w:r>
        <w:rPr>
          <w:rFonts w:hint="eastAsia" w:ascii="宋体" w:hAnsi="宋体"/>
          <w:color w:val="auto"/>
          <w:sz w:val="32"/>
          <w:highlight w:val="none"/>
          <w:lang w:eastAsia="zh-CN"/>
        </w:rPr>
        <w:t>：</w:t>
      </w:r>
      <w:r>
        <w:rPr>
          <w:rFonts w:hint="eastAsia" w:ascii="宋体" w:hAnsi="宋体"/>
          <w:color w:val="auto"/>
          <w:sz w:val="32"/>
          <w:highlight w:val="none"/>
          <w:u w:val="single"/>
          <w:lang w:val="en-US" w:eastAsia="zh-CN"/>
        </w:rPr>
        <w:t xml:space="preserve">                       </w:t>
      </w:r>
    </w:p>
    <w:p w14:paraId="5EF67B96">
      <w:pPr>
        <w:spacing w:line="360" w:lineRule="auto"/>
        <w:jc w:val="center"/>
        <w:rPr>
          <w:rFonts w:ascii="宋体"/>
          <w:b/>
          <w:color w:val="auto"/>
          <w:sz w:val="24"/>
          <w:highlight w:val="none"/>
        </w:rPr>
      </w:pPr>
    </w:p>
    <w:p w14:paraId="3CEB4E93">
      <w:pPr>
        <w:spacing w:line="360" w:lineRule="auto"/>
        <w:jc w:val="center"/>
        <w:rPr>
          <w:rFonts w:ascii="宋体"/>
          <w:b/>
          <w:color w:val="auto"/>
          <w:sz w:val="24"/>
          <w:highlight w:val="none"/>
        </w:rPr>
      </w:pPr>
    </w:p>
    <w:p w14:paraId="5D8E2E59">
      <w:pPr>
        <w:spacing w:line="360" w:lineRule="auto"/>
        <w:jc w:val="center"/>
        <w:rPr>
          <w:rFonts w:ascii="宋体"/>
          <w:b/>
          <w:color w:val="auto"/>
          <w:sz w:val="24"/>
          <w:highlight w:val="none"/>
        </w:rPr>
      </w:pPr>
    </w:p>
    <w:p w14:paraId="0AB47DB4">
      <w:pPr>
        <w:spacing w:line="360" w:lineRule="auto"/>
        <w:jc w:val="center"/>
        <w:rPr>
          <w:rFonts w:ascii="宋体"/>
          <w:b/>
          <w:color w:val="auto"/>
          <w:sz w:val="24"/>
          <w:highlight w:val="none"/>
        </w:rPr>
      </w:pPr>
    </w:p>
    <w:p w14:paraId="667BD755">
      <w:pPr>
        <w:spacing w:line="360" w:lineRule="auto"/>
        <w:jc w:val="center"/>
        <w:rPr>
          <w:rFonts w:ascii="宋体"/>
          <w:b/>
          <w:color w:val="auto"/>
          <w:sz w:val="24"/>
          <w:highlight w:val="none"/>
        </w:rPr>
      </w:pPr>
    </w:p>
    <w:p w14:paraId="74C2DDED">
      <w:pPr>
        <w:spacing w:line="360" w:lineRule="auto"/>
        <w:jc w:val="center"/>
        <w:rPr>
          <w:rFonts w:ascii="宋体"/>
          <w:b/>
          <w:color w:val="auto"/>
          <w:sz w:val="24"/>
          <w:highlight w:val="none"/>
        </w:rPr>
      </w:pPr>
    </w:p>
    <w:p w14:paraId="2B1B157A">
      <w:pPr>
        <w:spacing w:line="360" w:lineRule="auto"/>
        <w:jc w:val="center"/>
        <w:rPr>
          <w:rFonts w:ascii="宋体"/>
          <w:b/>
          <w:color w:val="auto"/>
          <w:sz w:val="24"/>
          <w:highlight w:val="none"/>
        </w:rPr>
      </w:pPr>
    </w:p>
    <w:p w14:paraId="5ADEE46D">
      <w:pPr>
        <w:spacing w:line="360" w:lineRule="auto"/>
        <w:ind w:firstLine="843" w:firstLineChars="300"/>
        <w:rPr>
          <w:rFonts w:ascii="宋体"/>
          <w:b/>
          <w:color w:val="auto"/>
          <w:sz w:val="28"/>
          <w:highlight w:val="none"/>
        </w:rPr>
      </w:pPr>
      <w:r>
        <w:rPr>
          <w:rFonts w:hint="eastAsia" w:ascii="宋体" w:hAnsi="宋体"/>
          <w:b/>
          <w:color w:val="auto"/>
          <w:sz w:val="28"/>
          <w:highlight w:val="none"/>
        </w:rPr>
        <w:t>采</w:t>
      </w:r>
      <w:r>
        <w:rPr>
          <w:rFonts w:ascii="宋体" w:hAnsi="宋体"/>
          <w:b/>
          <w:color w:val="auto"/>
          <w:sz w:val="28"/>
          <w:highlight w:val="none"/>
        </w:rPr>
        <w:t xml:space="preserve"> </w:t>
      </w:r>
      <w:r>
        <w:rPr>
          <w:rFonts w:hint="eastAsia" w:ascii="宋体" w:hAnsi="宋体"/>
          <w:b/>
          <w:color w:val="auto"/>
          <w:sz w:val="28"/>
          <w:highlight w:val="none"/>
        </w:rPr>
        <w:t>购</w:t>
      </w:r>
      <w:r>
        <w:rPr>
          <w:rFonts w:ascii="宋体" w:hAnsi="宋体"/>
          <w:b/>
          <w:color w:val="auto"/>
          <w:sz w:val="28"/>
          <w:highlight w:val="none"/>
        </w:rPr>
        <w:t xml:space="preserve"> </w:t>
      </w:r>
      <w:r>
        <w:rPr>
          <w:rFonts w:hint="eastAsia" w:ascii="宋体" w:hAnsi="宋体"/>
          <w:b/>
          <w:color w:val="auto"/>
          <w:sz w:val="28"/>
          <w:highlight w:val="none"/>
        </w:rPr>
        <w:t>人</w:t>
      </w:r>
      <w:r>
        <w:rPr>
          <w:rFonts w:hint="eastAsia" w:ascii="宋体" w:hAnsi="宋体"/>
          <w:b/>
          <w:color w:val="auto"/>
          <w:sz w:val="28"/>
          <w:highlight w:val="none"/>
          <w:lang w:eastAsia="zh-CN"/>
        </w:rPr>
        <w:t>：</w:t>
      </w:r>
      <w:r>
        <w:rPr>
          <w:rFonts w:hint="eastAsia" w:ascii="宋体" w:hAnsi="宋体"/>
          <w:color w:val="auto"/>
          <w:sz w:val="32"/>
          <w:highlight w:val="none"/>
          <w:u w:val="single"/>
          <w:lang w:val="en-US" w:eastAsia="zh-CN"/>
        </w:rPr>
        <w:t xml:space="preserve">                          </w:t>
      </w:r>
    </w:p>
    <w:p w14:paraId="698947D8">
      <w:pPr>
        <w:spacing w:line="360" w:lineRule="auto"/>
        <w:ind w:firstLine="843" w:firstLineChars="300"/>
        <w:rPr>
          <w:rFonts w:ascii="宋体"/>
          <w:b/>
          <w:color w:val="auto"/>
          <w:sz w:val="28"/>
          <w:highlight w:val="none"/>
          <w:u w:val="single"/>
        </w:rPr>
      </w:pPr>
      <w:r>
        <w:rPr>
          <w:rFonts w:hint="eastAsia" w:ascii="宋体" w:hAnsi="宋体"/>
          <w:b/>
          <w:color w:val="auto"/>
          <w:sz w:val="28"/>
          <w:highlight w:val="none"/>
        </w:rPr>
        <w:t>供</w:t>
      </w:r>
      <w:r>
        <w:rPr>
          <w:rFonts w:ascii="宋体" w:hAnsi="宋体"/>
          <w:b/>
          <w:color w:val="auto"/>
          <w:sz w:val="28"/>
          <w:highlight w:val="none"/>
        </w:rPr>
        <w:t xml:space="preserve"> </w:t>
      </w:r>
      <w:r>
        <w:rPr>
          <w:rFonts w:hint="eastAsia" w:ascii="宋体" w:hAnsi="宋体"/>
          <w:b/>
          <w:color w:val="auto"/>
          <w:sz w:val="28"/>
          <w:highlight w:val="none"/>
        </w:rPr>
        <w:t>应</w:t>
      </w:r>
      <w:r>
        <w:rPr>
          <w:rFonts w:ascii="宋体" w:hAnsi="宋体"/>
          <w:b/>
          <w:color w:val="auto"/>
          <w:sz w:val="28"/>
          <w:highlight w:val="none"/>
        </w:rPr>
        <w:t xml:space="preserve"> </w:t>
      </w:r>
      <w:r>
        <w:rPr>
          <w:rFonts w:hint="eastAsia" w:ascii="宋体" w:hAnsi="宋体"/>
          <w:b/>
          <w:color w:val="auto"/>
          <w:sz w:val="28"/>
          <w:highlight w:val="none"/>
        </w:rPr>
        <w:t>商</w:t>
      </w:r>
      <w:r>
        <w:rPr>
          <w:rFonts w:hint="eastAsia" w:ascii="宋体" w:hAnsi="宋体"/>
          <w:b/>
          <w:color w:val="auto"/>
          <w:sz w:val="28"/>
          <w:highlight w:val="none"/>
          <w:lang w:eastAsia="zh-CN"/>
        </w:rPr>
        <w:t>：</w:t>
      </w:r>
      <w:r>
        <w:rPr>
          <w:rFonts w:hint="eastAsia" w:ascii="宋体" w:hAnsi="宋体"/>
          <w:color w:val="auto"/>
          <w:sz w:val="32"/>
          <w:highlight w:val="none"/>
          <w:u w:val="single"/>
          <w:lang w:val="en-US" w:eastAsia="zh-CN"/>
        </w:rPr>
        <w:t xml:space="preserve">                          </w:t>
      </w:r>
    </w:p>
    <w:p w14:paraId="47CC2D39">
      <w:pPr>
        <w:spacing w:line="360" w:lineRule="auto"/>
        <w:ind w:firstLine="843" w:firstLineChars="300"/>
        <w:rPr>
          <w:rFonts w:ascii="宋体"/>
          <w:b/>
          <w:color w:val="auto"/>
          <w:sz w:val="28"/>
          <w:highlight w:val="none"/>
          <w:u w:val="single"/>
        </w:rPr>
      </w:pPr>
      <w:r>
        <w:rPr>
          <w:rFonts w:hint="eastAsia" w:ascii="宋体" w:hAnsi="宋体"/>
          <w:b/>
          <w:color w:val="auto"/>
          <w:sz w:val="28"/>
          <w:highlight w:val="none"/>
        </w:rPr>
        <w:t>采购代理机构</w:t>
      </w:r>
      <w:r>
        <w:rPr>
          <w:rFonts w:hint="eastAsia" w:ascii="宋体" w:hAnsi="宋体"/>
          <w:b/>
          <w:color w:val="auto"/>
          <w:sz w:val="28"/>
          <w:highlight w:val="none"/>
          <w:lang w:eastAsia="zh-CN"/>
        </w:rPr>
        <w:t>：</w:t>
      </w:r>
      <w:r>
        <w:rPr>
          <w:rFonts w:hint="eastAsia" w:ascii="宋体" w:hAnsi="宋体"/>
          <w:color w:val="auto"/>
          <w:sz w:val="32"/>
          <w:highlight w:val="none"/>
          <w:u w:val="single"/>
          <w:lang w:val="en-US" w:eastAsia="zh-CN"/>
        </w:rPr>
        <w:t xml:space="preserve">                       </w:t>
      </w:r>
    </w:p>
    <w:p w14:paraId="05DE00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jc w:val="center"/>
        <w:textAlignment w:val="auto"/>
        <w:rPr>
          <w:rFonts w:hint="eastAsia" w:ascii="宋体" w:hAnsi="宋体"/>
          <w:color w:val="auto"/>
          <w:sz w:val="30"/>
          <w:szCs w:val="30"/>
          <w:highlight w:val="none"/>
          <w:lang w:val="en-US" w:eastAsia="zh-CN"/>
        </w:rPr>
      </w:pPr>
    </w:p>
    <w:p w14:paraId="338158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jc w:val="center"/>
        <w:textAlignment w:val="auto"/>
        <w:rPr>
          <w:rFonts w:hint="eastAsia" w:ascii="宋体" w:hAnsi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30"/>
          <w:szCs w:val="30"/>
          <w:highlight w:val="none"/>
          <w:lang w:val="en-US" w:eastAsia="zh-CN"/>
        </w:rPr>
        <w:t>签订时间：</w:t>
      </w:r>
      <w:bookmarkStart w:id="0" w:name="chineseContractDate"/>
      <w:r>
        <w:rPr>
          <w:rFonts w:hint="eastAsia" w:ascii="宋体" w:hAnsi="宋体"/>
          <w:color w:val="auto"/>
          <w:sz w:val="30"/>
          <w:szCs w:val="30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color w:val="auto"/>
          <w:sz w:val="30"/>
          <w:szCs w:val="30"/>
          <w:highlight w:val="none"/>
          <w:lang w:val="en-US" w:eastAsia="zh-CN"/>
        </w:rPr>
        <w:t>年</w:t>
      </w:r>
      <w:r>
        <w:rPr>
          <w:rFonts w:hint="eastAsia" w:ascii="宋体" w:hAnsi="宋体"/>
          <w:color w:val="auto"/>
          <w:sz w:val="30"/>
          <w:szCs w:val="30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/>
          <w:color w:val="auto"/>
          <w:sz w:val="30"/>
          <w:szCs w:val="30"/>
          <w:highlight w:val="none"/>
          <w:lang w:val="en-US" w:eastAsia="zh-CN"/>
        </w:rPr>
        <w:t>月</w:t>
      </w:r>
      <w:r>
        <w:rPr>
          <w:rFonts w:hint="eastAsia" w:ascii="宋体" w:hAnsi="宋体"/>
          <w:color w:val="auto"/>
          <w:sz w:val="30"/>
          <w:szCs w:val="30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/>
          <w:color w:val="auto"/>
          <w:sz w:val="30"/>
          <w:szCs w:val="30"/>
          <w:highlight w:val="none"/>
          <w:lang w:val="en-US" w:eastAsia="zh-CN"/>
        </w:rPr>
        <w:t>日</w:t>
      </w:r>
      <w:bookmarkEnd w:id="0"/>
    </w:p>
    <w:p w14:paraId="6AFDB71C">
      <w:pPr>
        <w:tabs>
          <w:tab w:val="left" w:pos="2160"/>
        </w:tabs>
        <w:spacing w:before="240" w:beforeLines="100" w:line="60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br w:type="pag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甲方（采购人）：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  <w:t>潍坊市中心血站</w:t>
      </w:r>
    </w:p>
    <w:p w14:paraId="385746B0">
      <w:pPr>
        <w:spacing w:line="60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乙方（中标人）：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</w:t>
      </w:r>
    </w:p>
    <w:p w14:paraId="1CB72A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根据《中华人民共和国民法典》、《中华人民共和国产品质量法》、《中华人民共和国政府采购法》及其他有关法律法规，双方经过友好协商，本着诚实守信、互惠互利的原则，就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  <w:t>项目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(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项目编号：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)采购与供应事宜签订本合同条款，共同达成如下协议：</w:t>
      </w:r>
    </w:p>
    <w:p w14:paraId="12E6DF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一、</w:t>
      </w:r>
      <w:bookmarkStart w:id="1" w:name="_Toc12617"/>
      <w:bookmarkStart w:id="2" w:name="_Toc8492"/>
      <w:bookmarkStart w:id="3" w:name="_Toc24404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合同文本</w:t>
      </w:r>
      <w:bookmarkEnd w:id="1"/>
      <w:bookmarkEnd w:id="2"/>
      <w:bookmarkEnd w:id="3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构成</w:t>
      </w:r>
    </w:p>
    <w:p w14:paraId="2214E1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（一）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合同格式及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合同条款；</w:t>
      </w:r>
    </w:p>
    <w:p w14:paraId="6F1B59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（二）招标文件；</w:t>
      </w:r>
    </w:p>
    <w:p w14:paraId="7CB74D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（三）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投标文件；</w:t>
      </w:r>
    </w:p>
    <w:p w14:paraId="1F329E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（四）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在评标过程中做出的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有关澄清、说明、承诺或者补正文件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；</w:t>
      </w:r>
    </w:p>
    <w:p w14:paraId="256D62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（五）中标通知书；</w:t>
      </w:r>
    </w:p>
    <w:p w14:paraId="2ACAA3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（六）技术规格和要求；</w:t>
      </w:r>
    </w:p>
    <w:p w14:paraId="7B6692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（七）本合同附件。</w:t>
      </w:r>
    </w:p>
    <w:p w14:paraId="08D5BD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二、货物名称、型号、规格、技术参数及数量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：</w:t>
      </w:r>
    </w:p>
    <w:tbl>
      <w:tblPr>
        <w:tblStyle w:val="7"/>
        <w:tblW w:w="100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2700"/>
        <w:gridCol w:w="3084"/>
        <w:gridCol w:w="1260"/>
        <w:gridCol w:w="1056"/>
        <w:gridCol w:w="1056"/>
      </w:tblGrid>
      <w:tr w14:paraId="110522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BAE3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2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9D5E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货物名称</w:t>
            </w:r>
          </w:p>
        </w:tc>
        <w:tc>
          <w:tcPr>
            <w:tcW w:w="30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3E2F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型号、规格及技术参数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4823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98A7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单价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57940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备注</w:t>
            </w:r>
          </w:p>
        </w:tc>
      </w:tr>
      <w:tr w14:paraId="2DF87F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32D5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1618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30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3F6B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CAA5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C31EC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D7F3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0E74A8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C56D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6869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30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B0E14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BBCD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D40D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1A54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5CC80F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22E3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CFCB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30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6555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AFCB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F4347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F4F60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</w:tbl>
    <w:p w14:paraId="61FFCA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三、合同金额</w:t>
      </w:r>
    </w:p>
    <w:p w14:paraId="7667E8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小写：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>。</w:t>
      </w:r>
    </w:p>
    <w:p w14:paraId="586B87B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textAlignment w:val="auto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>大写：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>。</w:t>
      </w:r>
    </w:p>
    <w:p w14:paraId="2573AF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四、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付款方式：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            </w:t>
      </w:r>
    </w:p>
    <w:p w14:paraId="7156FE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五、交货</w:t>
      </w:r>
    </w:p>
    <w:p w14:paraId="2C4BE8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（一）交货时间</w:t>
      </w:r>
    </w:p>
    <w:p w14:paraId="43B916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                                         </w:t>
      </w:r>
    </w:p>
    <w:p w14:paraId="7BF204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（二）交货地点</w:t>
      </w:r>
    </w:p>
    <w:p w14:paraId="5C6690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潍坊市中心血站，具体地点由甲方指定。</w:t>
      </w:r>
    </w:p>
    <w:p w14:paraId="6ABE1C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（三）风险负担</w:t>
      </w:r>
    </w:p>
    <w:p w14:paraId="435697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货物毁损、火灾等非甲方原因造成的风险在该货物通过联合验收前由乙方承担；</w:t>
      </w:r>
    </w:p>
    <w:p w14:paraId="267A14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乙方须负责将设备供货、安装、系统对接、调试到位，须制定相应实施方案，确保设备能够正常使用，相关费用包含在报价中，不再另行支付。</w:t>
      </w:r>
    </w:p>
    <w:p w14:paraId="09CCBF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货物在运输、安装、调试过程中造成的人员损伤及相关责任由乙方承担。</w:t>
      </w:r>
    </w:p>
    <w:p w14:paraId="4A69E3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六、质量</w:t>
      </w:r>
    </w:p>
    <w:p w14:paraId="69E26E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货物的质量应符合采购文件、响应文件及乙方在评标过程中做出的书面说明或承诺；货物的质量还应符合国家对环保和节能产品的要求。</w:t>
      </w:r>
    </w:p>
    <w:p w14:paraId="4727BB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货物必须为合格产品，货物的质量应符合采购文件、响应文件、国家有关标准。</w:t>
      </w:r>
    </w:p>
    <w:p w14:paraId="4EB8FC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七、货物包装及运输要求</w:t>
      </w:r>
    </w:p>
    <w:p w14:paraId="6B8953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货物的包装应符合国家或行业包装标准，如没有国家或行业包装标准的，应当采取足以保护货物安全、完好的包装方式。运输及相关费用由乙方承担。</w:t>
      </w:r>
    </w:p>
    <w:p w14:paraId="33B17C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八、履约验收</w:t>
      </w:r>
    </w:p>
    <w:p w14:paraId="736FB0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达到招标文件及国家有关标准。货物运抵现场后，甲方将对货物数量、质量、规格等进行检验。如发现货物的质量、规格与招标文件、投标文件、合同不符，甲方有权要求乙方立即更换或者提出索赔要求。</w:t>
      </w:r>
    </w:p>
    <w:p w14:paraId="164359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九、售后服务</w:t>
      </w:r>
    </w:p>
    <w:p w14:paraId="4FCB25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乙方应按招标（采购）文件、投标（响应）文件及乙方在评标过程中做出的书面说明或承诺提供及时、快速、优质的售后服务。</w:t>
      </w:r>
    </w:p>
    <w:p w14:paraId="2A07C9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其他售后服务内容：免费质保期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年。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免费质保期自验收合格之日起算。国家主管部门或者行业标准对货物本身有更高要求的，从其规定。</w:t>
      </w:r>
    </w:p>
    <w:p w14:paraId="307DC39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中标人应提供及时周到的售后服务，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供应商应确保设备出现故障后24小时之内到场维修，一般情况下，最迟48小时之内排除故障。</w:t>
      </w:r>
    </w:p>
    <w:p w14:paraId="4A9FF0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十、违约</w:t>
      </w:r>
    </w:p>
    <w:p w14:paraId="07BBEC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（一）甲方未按合同约定履行义务，给乙方造成经济损失应予以赔偿；因甲方责任造成货物供应延期的，合同工期顺延。</w:t>
      </w:r>
    </w:p>
    <w:p w14:paraId="04F8F3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（二）交付货物的规格和技术参数、质量达不到合同及规范要求的，甲方有权要求重新发货，其相应费用由乙方承担，影响工期的，由乙方承担违约责任。</w:t>
      </w:r>
    </w:p>
    <w:p w14:paraId="59792A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（三）乙方不履行合同条款或只履行部分合同条款，或拒绝履行合同义务的，甲方有权中止或解除合同，乙方应承担因此造成的损失及相关法律责任。</w:t>
      </w:r>
    </w:p>
    <w:p w14:paraId="4C8FE0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（四）甲方电话订货之日起，乙方需保证甲方按时接到货物，不得以其他理由拖延供货，如因供应商发货不及时影响采购人正常工作的，每拖延一天，扣除本批货款的1%。</w:t>
      </w:r>
    </w:p>
    <w:p w14:paraId="162911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（五）货物必须为合格产品，货物的质量应符合采购文件、响应文件、国家有关标准。</w:t>
      </w:r>
    </w:p>
    <w:p w14:paraId="0F67B5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（六）其他未尽事宜，以</w:t>
      </w:r>
      <w:bookmarkStart w:id="4" w:name="_GoBack"/>
      <w:bookmarkEnd w:id="4"/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《中华人民共和国民法典》和其它有关法律、法规为准，无相关规定的，双方协商解决。</w:t>
      </w:r>
    </w:p>
    <w:p w14:paraId="4E44CC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十一、不可抗力</w:t>
      </w:r>
    </w:p>
    <w:p w14:paraId="27F26C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双方中任何一方因法定不可抗力不能及时或完全履行合同的，应在不可抗力发生后7日内向对方通报，以减轻可能给对方造成的损失，在取得有关机构的不可抗力证明或双方谅解确认后，允许延期履行或修订合同，并可根据情况部分或全部免于承担违约责任。</w:t>
      </w:r>
    </w:p>
    <w:p w14:paraId="089EBF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十二、合同的终止</w:t>
      </w:r>
    </w:p>
    <w:p w14:paraId="58620F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有下列情形之一的可终止合同：</w:t>
      </w:r>
    </w:p>
    <w:p w14:paraId="0985C5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（一）本合同期满，双方未续签合同的；</w:t>
      </w:r>
    </w:p>
    <w:p w14:paraId="5539E3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（二）乙方供货能力丧失，致使本合同供货无法正常提供的；</w:t>
      </w:r>
    </w:p>
    <w:p w14:paraId="48FC1B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（三）在履行合同过程中，发现乙方已不符合国家规定的投标人（供应商）应具备的条件，造成合同无法履行的；</w:t>
      </w:r>
    </w:p>
    <w:p w14:paraId="742CA2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（四）受国家政策或法律法规变动影响，经双方协商终止本合同的。</w:t>
      </w:r>
    </w:p>
    <w:p w14:paraId="7B234C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十三、争议解决</w:t>
      </w:r>
    </w:p>
    <w:p w14:paraId="56E39F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合同发生纠纷时，双方应协商解决，协商不成依法向甲方所在地人民法院起诉。</w:t>
      </w:r>
    </w:p>
    <w:p w14:paraId="641C72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十四、补充协议</w:t>
      </w:r>
    </w:p>
    <w:p w14:paraId="587AB3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合同未尽事宜，经双方协商可签订补充协议，所签订的补充协议与本合同具有同等的法律效力。补充协议的生效应符合本合同的有关规定，合同补充条款应同时报相关部门备案。</w:t>
      </w:r>
    </w:p>
    <w:p w14:paraId="1212EB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十五、合同生效</w:t>
      </w:r>
    </w:p>
    <w:p w14:paraId="764A63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本合同经双方签字盖章时生效。</w:t>
      </w:r>
    </w:p>
    <w:p w14:paraId="71B174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本合同一式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份，甲方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份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、乙方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份，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备案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份，具有同等法律效力。</w:t>
      </w:r>
    </w:p>
    <w:p w14:paraId="167A63C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72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甲      方：（公章）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乙      方：（公章）</w:t>
      </w:r>
    </w:p>
    <w:p w14:paraId="0672EFC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72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地      址：  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地      址：</w:t>
      </w:r>
    </w:p>
    <w:p w14:paraId="5AEE509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72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法定代表人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法定代表人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或</w:t>
      </w:r>
    </w:p>
    <w:p w14:paraId="46783E6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72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委托代理人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签字或盖章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：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委托代理人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签字或盖章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：</w:t>
      </w:r>
    </w:p>
    <w:p w14:paraId="3FBC556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72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电      话：  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电      话：</w:t>
      </w:r>
    </w:p>
    <w:p w14:paraId="7C4F843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720" w:lineRule="exact"/>
        <w:ind w:firstLine="4760" w:firstLineChars="17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开户银行：</w:t>
      </w:r>
    </w:p>
    <w:p w14:paraId="16D77CB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720" w:lineRule="exact"/>
        <w:ind w:firstLine="4760" w:firstLineChars="17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账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    号：</w:t>
      </w:r>
    </w:p>
    <w:p w14:paraId="7170D19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720" w:lineRule="exact"/>
        <w:jc w:val="righ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0213FA46">
      <w:pPr>
        <w:jc w:val="righ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年    月    日</w:t>
      </w:r>
    </w:p>
    <w:p w14:paraId="5C37A08E">
      <w:pPr>
        <w:tabs>
          <w:tab w:val="left" w:pos="1620"/>
        </w:tabs>
        <w:spacing w:line="480" w:lineRule="exact"/>
        <w:ind w:firstLine="422" w:firstLineChars="200"/>
      </w:pPr>
      <w:r>
        <w:rPr>
          <w:rFonts w:hint="eastAsia" w:ascii="宋体" w:hAnsi="宋体" w:eastAsia="宋体" w:cs="宋体"/>
          <w:b/>
          <w:bCs/>
          <w:color w:val="auto"/>
          <w:szCs w:val="28"/>
          <w:highlight w:val="none"/>
        </w:rPr>
        <w:t>注：本合同使用过程中，经双方同意可以结合项目特点，充实补充条款，但不得更改项目实质性内容。</w:t>
      </w:r>
    </w:p>
    <w:sectPr>
      <w:footerReference r:id="rId3" w:type="default"/>
      <w:pgSz w:w="11906" w:h="16838"/>
      <w:pgMar w:top="1440" w:right="1440" w:bottom="144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E92B34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BC44679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BC44679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3A57EB"/>
    <w:rsid w:val="5B303A55"/>
    <w:rsid w:val="6974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格式"/>
    <w:basedOn w:val="3"/>
    <w:next w:val="1"/>
    <w:qFormat/>
    <w:uiPriority w:val="0"/>
    <w:pPr>
      <w:spacing w:line="360" w:lineRule="auto"/>
      <w:ind w:firstLine="200" w:firstLineChars="200"/>
    </w:pPr>
    <w:rPr>
      <w:rFonts w:ascii="宋体" w:hAnsi="宋体"/>
      <w:kern w:val="2"/>
      <w:sz w:val="28"/>
      <w:szCs w:val="22"/>
      <w:lang w:val="en-US" w:eastAsia="zh-CN" w:bidi="ar-SA"/>
    </w:rPr>
  </w:style>
  <w:style w:type="paragraph" w:styleId="3">
    <w:name w:val="Body Text"/>
    <w:basedOn w:val="1"/>
    <w:next w:val="1"/>
    <w:uiPriority w:val="0"/>
    <w:pPr>
      <w:spacing w:after="120"/>
    </w:pPr>
    <w:rPr>
      <w:rFonts w:ascii="Calibri" w:hAnsi="Calibri" w:eastAsia="宋体" w:cs="Times New Roman"/>
      <w:kern w:val="0"/>
      <w:sz w:val="20"/>
    </w:rPr>
  </w:style>
  <w:style w:type="paragraph" w:styleId="4">
    <w:name w:val="Normal Indent"/>
    <w:basedOn w:val="1"/>
    <w:next w:val="1"/>
    <w:uiPriority w:val="0"/>
    <w:pPr>
      <w:ind w:firstLine="420" w:firstLineChars="200"/>
    </w:pPr>
    <w:rPr>
      <w:rFonts w:ascii="Calibri" w:hAnsi="Calibri" w:eastAsia="宋体" w:cs="Times New Roma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2026-07-11T00:33:53Z</dcterms:created>
  <dc:creator>Laptop</dc:creator>
  <cp:lastModifiedBy>song～伯</cp:lastModifiedBy>
  <dcterms:modified xsi:type="dcterms:W3CDTF">2026-07-11T00:36:57Z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eyJoZGlkIjoiMWMxYTBmM2ExNDA5MTI5NmEwNjA4YTk5MmRmY2Y2MzgiLCJ1c2VySWQiOiIyMzYwMDk1MTkifQ==</vt:lpwstr>
  </property>
  <property fmtid="{D5CDD505-2E9C-101B-9397-08002B2CF9AE}" pid="4" name="ICV">
    <vt:lpwstr>655328482A3B4662B0C1405E3F69E189_12</vt:lpwstr>
  </property>
</Properties>
</file>