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99CD6B">
      <w:pPr>
        <w:spacing w:line="480" w:lineRule="auto"/>
        <w:rPr>
          <w:rFonts w:hint="eastAsia" w:ascii="黑体" w:hAnsi="黑体" w:eastAsia="黑体"/>
          <w:bCs/>
          <w:color w:val="auto"/>
        </w:rPr>
      </w:pPr>
    </w:p>
    <w:p w14:paraId="0D455830">
      <w:pPr>
        <w:spacing w:line="480" w:lineRule="auto"/>
        <w:jc w:val="center"/>
        <w:rPr>
          <w:rFonts w:hint="eastAsia" w:ascii="黑体" w:hAnsi="黑体" w:eastAsia="黑体"/>
          <w:bCs/>
          <w:color w:val="auto"/>
          <w:sz w:val="48"/>
          <w:szCs w:val="48"/>
          <w:lang w:eastAsia="zh-CN"/>
        </w:rPr>
      </w:pPr>
      <w:r>
        <w:rPr>
          <w:rFonts w:hint="eastAsia" w:ascii="黑体" w:hAnsi="黑体" w:eastAsia="黑体"/>
          <w:bCs/>
          <w:color w:val="auto"/>
          <w:sz w:val="48"/>
          <w:szCs w:val="48"/>
          <w:lang w:eastAsia="zh-CN"/>
        </w:rPr>
        <w:t>西山区芳草地国际学校建设项目设施设备</w:t>
      </w:r>
    </w:p>
    <w:p w14:paraId="3ED13555">
      <w:pPr>
        <w:spacing w:line="480" w:lineRule="auto"/>
        <w:jc w:val="center"/>
        <w:rPr>
          <w:rFonts w:hint="eastAsia" w:ascii="黑体" w:hAnsi="黑体" w:eastAsia="黑体"/>
          <w:bCs/>
          <w:color w:val="auto"/>
          <w:sz w:val="30"/>
          <w:lang w:eastAsia="zh-CN"/>
        </w:rPr>
      </w:pPr>
      <w:r>
        <w:rPr>
          <w:rFonts w:hint="eastAsia" w:ascii="黑体" w:hAnsi="黑体" w:eastAsia="黑体"/>
          <w:bCs/>
          <w:color w:val="auto"/>
          <w:sz w:val="48"/>
          <w:szCs w:val="48"/>
          <w:lang w:eastAsia="zh-CN"/>
        </w:rPr>
        <w:t>（电脑类、家具类）</w:t>
      </w:r>
    </w:p>
    <w:p w14:paraId="7AF7C402">
      <w:pPr>
        <w:spacing w:line="480" w:lineRule="auto"/>
        <w:jc w:val="center"/>
        <w:rPr>
          <w:rFonts w:hint="eastAsia" w:ascii="黑体" w:hAnsi="黑体" w:eastAsia="黑体"/>
          <w:bCs/>
          <w:color w:val="auto"/>
          <w:sz w:val="30"/>
        </w:rPr>
      </w:pPr>
    </w:p>
    <w:p w14:paraId="6FC72AF0">
      <w:pPr>
        <w:spacing w:line="480" w:lineRule="auto"/>
        <w:jc w:val="center"/>
        <w:rPr>
          <w:rFonts w:hint="eastAsia" w:ascii="黑体" w:hAnsi="黑体" w:eastAsia="黑体"/>
          <w:bCs/>
          <w:color w:val="auto"/>
          <w:sz w:val="30"/>
        </w:rPr>
      </w:pPr>
    </w:p>
    <w:p w14:paraId="0E278188">
      <w:pPr>
        <w:spacing w:line="480" w:lineRule="auto"/>
        <w:jc w:val="center"/>
        <w:rPr>
          <w:rFonts w:hint="eastAsia" w:ascii="黑体" w:hAnsi="黑体" w:eastAsia="黑体"/>
          <w:bCs/>
          <w:color w:val="auto"/>
          <w:sz w:val="30"/>
        </w:rPr>
      </w:pPr>
    </w:p>
    <w:p w14:paraId="61C93F94">
      <w:pPr>
        <w:spacing w:line="480" w:lineRule="auto"/>
        <w:jc w:val="center"/>
        <w:rPr>
          <w:rFonts w:hint="eastAsia" w:ascii="黑体" w:hAnsi="黑体" w:eastAsia="黑体"/>
          <w:bCs/>
          <w:color w:val="auto"/>
          <w:sz w:val="30"/>
        </w:rPr>
      </w:pPr>
    </w:p>
    <w:p w14:paraId="66D0ACBC">
      <w:pPr>
        <w:spacing w:line="480" w:lineRule="auto"/>
        <w:jc w:val="center"/>
        <w:rPr>
          <w:rFonts w:hint="eastAsia" w:ascii="黑体" w:hAnsi="黑体" w:eastAsia="黑体"/>
          <w:bCs/>
          <w:color w:val="auto"/>
          <w:sz w:val="30"/>
        </w:rPr>
      </w:pPr>
    </w:p>
    <w:p w14:paraId="6E7F9BC2">
      <w:pPr>
        <w:spacing w:line="480" w:lineRule="auto"/>
        <w:jc w:val="center"/>
        <w:rPr>
          <w:rFonts w:hint="eastAsia" w:ascii="黑体" w:hAnsi="黑体" w:eastAsia="黑体"/>
          <w:bCs/>
          <w:color w:val="auto"/>
          <w:sz w:val="30"/>
        </w:rPr>
      </w:pPr>
    </w:p>
    <w:p w14:paraId="30875E29">
      <w:pPr>
        <w:spacing w:line="480" w:lineRule="auto"/>
        <w:jc w:val="center"/>
        <w:rPr>
          <w:rFonts w:hint="eastAsia" w:ascii="黑体" w:hAnsi="黑体" w:eastAsia="黑体"/>
          <w:bCs/>
          <w:color w:val="auto"/>
          <w:sz w:val="56"/>
          <w:szCs w:val="52"/>
        </w:rPr>
      </w:pPr>
      <w:r>
        <w:rPr>
          <w:rFonts w:hint="eastAsia" w:ascii="黑体" w:hAnsi="黑体" w:eastAsia="黑体"/>
          <w:bCs/>
          <w:color w:val="auto"/>
          <w:sz w:val="56"/>
          <w:szCs w:val="52"/>
        </w:rPr>
        <w:t>竞争性谈判文件</w:t>
      </w:r>
    </w:p>
    <w:p w14:paraId="543407F6">
      <w:pPr>
        <w:spacing w:line="480" w:lineRule="auto"/>
        <w:jc w:val="center"/>
        <w:rPr>
          <w:rFonts w:hint="eastAsia" w:ascii="黑体" w:hAnsi="黑体" w:eastAsia="黑体"/>
          <w:bCs/>
          <w:color w:val="auto"/>
          <w:sz w:val="28"/>
          <w:lang w:eastAsia="zh-CN"/>
        </w:rPr>
      </w:pPr>
      <w:r>
        <w:rPr>
          <w:rFonts w:hint="eastAsia" w:ascii="黑体" w:hAnsi="黑体" w:eastAsia="黑体"/>
          <w:bCs/>
          <w:color w:val="auto"/>
          <w:sz w:val="28"/>
          <w:szCs w:val="32"/>
        </w:rPr>
        <w:t>项目编号：</w:t>
      </w:r>
      <w:r>
        <w:rPr>
          <w:rFonts w:hint="eastAsia" w:ascii="黑体" w:hAnsi="黑体" w:eastAsia="黑体"/>
          <w:bCs/>
          <w:color w:val="auto"/>
          <w:sz w:val="28"/>
          <w:szCs w:val="32"/>
          <w:lang w:eastAsia="zh-CN"/>
        </w:rPr>
        <w:t>KMZC2026-J1-01871-XSQZ-0012</w:t>
      </w:r>
    </w:p>
    <w:p w14:paraId="6B2243A1">
      <w:pPr>
        <w:spacing w:line="480" w:lineRule="auto"/>
        <w:jc w:val="center"/>
        <w:rPr>
          <w:rFonts w:hint="eastAsia" w:ascii="黑体" w:hAnsi="黑体" w:eastAsia="黑体"/>
          <w:bCs/>
          <w:color w:val="auto"/>
          <w:sz w:val="30"/>
        </w:rPr>
      </w:pPr>
    </w:p>
    <w:p w14:paraId="1C895A79">
      <w:pPr>
        <w:spacing w:line="480" w:lineRule="auto"/>
        <w:jc w:val="center"/>
        <w:rPr>
          <w:rFonts w:hint="eastAsia" w:ascii="黑体" w:hAnsi="黑体" w:eastAsia="黑体"/>
          <w:bCs/>
          <w:color w:val="auto"/>
          <w:sz w:val="30"/>
        </w:rPr>
      </w:pPr>
    </w:p>
    <w:p w14:paraId="7DEDC25B">
      <w:pPr>
        <w:spacing w:line="480" w:lineRule="auto"/>
        <w:jc w:val="center"/>
        <w:rPr>
          <w:rFonts w:hint="eastAsia" w:ascii="黑体" w:hAnsi="黑体" w:eastAsia="黑体"/>
          <w:bCs/>
          <w:color w:val="auto"/>
          <w:sz w:val="30"/>
        </w:rPr>
      </w:pPr>
    </w:p>
    <w:p w14:paraId="254614DF">
      <w:pPr>
        <w:spacing w:line="480" w:lineRule="auto"/>
        <w:jc w:val="center"/>
        <w:rPr>
          <w:rFonts w:hint="eastAsia" w:ascii="黑体" w:hAnsi="黑体" w:eastAsia="黑体"/>
          <w:bCs/>
          <w:color w:val="auto"/>
          <w:sz w:val="30"/>
        </w:rPr>
      </w:pPr>
    </w:p>
    <w:p w14:paraId="0C9B7393">
      <w:pPr>
        <w:spacing w:line="480" w:lineRule="auto"/>
        <w:jc w:val="center"/>
        <w:rPr>
          <w:rFonts w:hint="eastAsia" w:ascii="黑体" w:hAnsi="黑体" w:eastAsia="黑体"/>
          <w:bCs/>
          <w:color w:val="auto"/>
          <w:sz w:val="30"/>
        </w:rPr>
      </w:pPr>
      <w:bookmarkStart w:id="562" w:name="_GoBack"/>
      <w:bookmarkEnd w:id="562"/>
    </w:p>
    <w:p w14:paraId="42AD8999">
      <w:pPr>
        <w:tabs>
          <w:tab w:val="left" w:pos="5931"/>
        </w:tabs>
        <w:spacing w:line="480" w:lineRule="auto"/>
        <w:jc w:val="center"/>
        <w:rPr>
          <w:rFonts w:hint="eastAsia" w:ascii="黑体" w:hAnsi="黑体" w:eastAsia="黑体"/>
          <w:bCs/>
          <w:color w:val="auto"/>
          <w:sz w:val="30"/>
          <w:lang w:eastAsia="zh-CN"/>
        </w:rPr>
      </w:pPr>
    </w:p>
    <w:p w14:paraId="16847918">
      <w:pPr>
        <w:spacing w:line="480" w:lineRule="auto"/>
        <w:jc w:val="center"/>
        <w:rPr>
          <w:rFonts w:hint="eastAsia" w:ascii="黑体" w:hAnsi="黑体" w:eastAsia="黑体"/>
          <w:bCs/>
          <w:color w:val="auto"/>
          <w:sz w:val="30"/>
        </w:rPr>
      </w:pPr>
    </w:p>
    <w:p w14:paraId="6139EF6F">
      <w:pPr>
        <w:spacing w:line="480" w:lineRule="auto"/>
        <w:jc w:val="center"/>
        <w:rPr>
          <w:rFonts w:hint="eastAsia" w:ascii="黑体" w:hAnsi="黑体" w:eastAsia="黑体"/>
          <w:bCs/>
          <w:color w:val="auto"/>
          <w:sz w:val="30"/>
        </w:rPr>
      </w:pPr>
    </w:p>
    <w:p w14:paraId="73263E45">
      <w:pPr>
        <w:spacing w:line="480" w:lineRule="auto"/>
        <w:ind w:firstLine="1701" w:firstLineChars="567"/>
        <w:rPr>
          <w:rFonts w:hint="eastAsia" w:ascii="黑体" w:hAnsi="黑体" w:eastAsia="黑体"/>
          <w:bCs/>
          <w:color w:val="auto"/>
          <w:sz w:val="30"/>
          <w:lang w:eastAsia="zh-CN"/>
        </w:rPr>
      </w:pPr>
      <w:r>
        <w:rPr>
          <w:rFonts w:hint="eastAsia" w:ascii="黑体" w:hAnsi="黑体" w:eastAsia="黑体"/>
          <w:bCs/>
          <w:color w:val="auto"/>
          <w:sz w:val="30"/>
        </w:rPr>
        <w:t>采购人：</w:t>
      </w:r>
      <w:r>
        <w:rPr>
          <w:rFonts w:hint="eastAsia" w:ascii="黑体" w:hAnsi="黑体" w:eastAsia="黑体"/>
          <w:bCs/>
          <w:color w:val="auto"/>
          <w:sz w:val="30"/>
          <w:lang w:eastAsia="zh-CN"/>
        </w:rPr>
        <w:t>昆明市西山区芳草地国际学校</w:t>
      </w:r>
    </w:p>
    <w:p w14:paraId="1D2FD1E2">
      <w:pPr>
        <w:spacing w:line="480" w:lineRule="auto"/>
        <w:ind w:firstLine="1695" w:firstLineChars="565"/>
        <w:jc w:val="left"/>
        <w:rPr>
          <w:rFonts w:hint="eastAsia" w:ascii="黑体" w:hAnsi="黑体" w:eastAsia="黑体"/>
          <w:bCs/>
          <w:color w:val="auto"/>
          <w:sz w:val="30"/>
          <w:lang w:eastAsia="zh-CN"/>
        </w:rPr>
      </w:pPr>
      <w:r>
        <w:rPr>
          <w:rFonts w:hint="eastAsia" w:ascii="黑体" w:hAnsi="黑体" w:eastAsia="黑体"/>
          <w:bCs/>
          <w:color w:val="auto"/>
          <w:sz w:val="30"/>
        </w:rPr>
        <w:t>采购代理机构：</w:t>
      </w:r>
      <w:r>
        <w:rPr>
          <w:rFonts w:hint="eastAsia" w:ascii="黑体" w:hAnsi="黑体" w:eastAsia="黑体"/>
          <w:bCs/>
          <w:color w:val="auto"/>
          <w:sz w:val="30"/>
          <w:lang w:eastAsia="zh-CN"/>
        </w:rPr>
        <w:t>西山区政府采购中心</w:t>
      </w:r>
    </w:p>
    <w:p w14:paraId="4019B566">
      <w:pPr>
        <w:snapToGrid w:val="0"/>
        <w:spacing w:line="480" w:lineRule="auto"/>
        <w:jc w:val="center"/>
        <w:rPr>
          <w:rFonts w:hint="eastAsia" w:ascii="黑体" w:hAnsi="黑体" w:eastAsia="黑体"/>
          <w:bCs/>
          <w:color w:val="auto"/>
          <w:sz w:val="30"/>
        </w:rPr>
        <w:sectPr>
          <w:headerReference r:id="rId4" w:type="first"/>
          <w:headerReference r:id="rId3" w:type="default"/>
          <w:footerReference r:id="rId5" w:type="default"/>
          <w:footerReference r:id="rId6" w:type="even"/>
          <w:pgSz w:w="11906" w:h="16838"/>
          <w:pgMar w:top="1134" w:right="1134" w:bottom="1134" w:left="1276" w:header="680" w:footer="992" w:gutter="0"/>
          <w:pgNumType w:fmt="decimal" w:start="0"/>
          <w:cols w:space="720" w:num="1"/>
          <w:titlePg/>
          <w:docGrid w:type="lines" w:linePitch="312" w:charSpace="0"/>
        </w:sectPr>
      </w:pPr>
      <w:r>
        <w:rPr>
          <w:rFonts w:hint="eastAsia" w:ascii="黑体" w:hAnsi="黑体" w:eastAsia="黑体"/>
          <w:bCs/>
          <w:color w:val="auto"/>
          <w:sz w:val="30"/>
        </w:rPr>
        <w:t>2</w:t>
      </w:r>
      <w:r>
        <w:rPr>
          <w:rFonts w:ascii="黑体" w:hAnsi="黑体" w:eastAsia="黑体"/>
          <w:bCs/>
          <w:color w:val="auto"/>
          <w:sz w:val="30"/>
        </w:rPr>
        <w:t>02</w:t>
      </w:r>
      <w:r>
        <w:rPr>
          <w:rFonts w:hint="eastAsia" w:ascii="黑体" w:hAnsi="黑体" w:eastAsia="黑体"/>
          <w:bCs/>
          <w:color w:val="auto"/>
          <w:sz w:val="30"/>
          <w:lang w:val="en-US" w:eastAsia="zh-CN"/>
        </w:rPr>
        <w:t>6</w:t>
      </w:r>
      <w:r>
        <w:rPr>
          <w:rFonts w:hint="eastAsia" w:ascii="黑体" w:hAnsi="黑体" w:eastAsia="黑体"/>
          <w:bCs/>
          <w:color w:val="auto"/>
          <w:sz w:val="30"/>
        </w:rPr>
        <w:t>年</w:t>
      </w:r>
      <w:r>
        <w:rPr>
          <w:rFonts w:hint="eastAsia" w:ascii="黑体" w:hAnsi="黑体" w:eastAsia="黑体"/>
          <w:bCs/>
          <w:color w:val="auto"/>
          <w:sz w:val="30"/>
          <w:lang w:val="en-US" w:eastAsia="zh-CN"/>
        </w:rPr>
        <w:t>7</w:t>
      </w:r>
      <w:r>
        <w:rPr>
          <w:rFonts w:hint="eastAsia" w:ascii="黑体" w:hAnsi="黑体" w:eastAsia="黑体"/>
          <w:bCs/>
          <w:color w:val="auto"/>
          <w:sz w:val="30"/>
        </w:rPr>
        <w:t>月</w:t>
      </w:r>
    </w:p>
    <w:p w14:paraId="0D5B2726">
      <w:pPr>
        <w:jc w:val="center"/>
        <w:rPr>
          <w:rFonts w:hint="eastAsia" w:ascii="黑体" w:hAnsi="黑体" w:eastAsia="黑体"/>
          <w:b/>
          <w:color w:val="auto"/>
          <w:sz w:val="32"/>
          <w:szCs w:val="32"/>
        </w:rPr>
      </w:pPr>
      <w:r>
        <w:rPr>
          <w:rFonts w:hint="eastAsia" w:ascii="黑体" w:hAnsi="黑体" w:eastAsia="黑体"/>
          <w:b/>
          <w:color w:val="auto"/>
          <w:sz w:val="32"/>
          <w:szCs w:val="32"/>
        </w:rPr>
        <w:t>目  录</w:t>
      </w:r>
    </w:p>
    <w:p w14:paraId="6D88365B">
      <w:pPr>
        <w:pStyle w:val="30"/>
        <w:tabs>
          <w:tab w:val="right" w:leader="dot" w:pos="9066"/>
          <w:tab w:val="clear" w:pos="9628"/>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color w:val="auto"/>
          <w:sz w:val="24"/>
          <w:szCs w:val="24"/>
        </w:rPr>
        <w:instrText xml:space="preserve"> TOC \o "1-4" \h \z \u </w:instrText>
      </w:r>
      <w:r>
        <w:rPr>
          <w:rFonts w:hint="eastAsia" w:ascii="黑体" w:hAnsi="黑体" w:eastAsia="黑体" w:cs="黑体"/>
          <w:color w:val="auto"/>
          <w:sz w:val="24"/>
          <w:szCs w:val="24"/>
        </w:rPr>
        <w:fldChar w:fldCharType="separate"/>
      </w: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_Toc24374 </w:instrText>
      </w:r>
      <w:r>
        <w:rPr>
          <w:rFonts w:hint="eastAsia" w:ascii="黑体" w:hAnsi="黑体" w:eastAsia="黑体" w:cs="黑体"/>
          <w:sz w:val="24"/>
          <w:szCs w:val="24"/>
        </w:rPr>
        <w:fldChar w:fldCharType="separate"/>
      </w:r>
      <w:r>
        <w:rPr>
          <w:rFonts w:hint="eastAsia" w:ascii="黑体" w:hAnsi="黑体" w:eastAsia="黑体" w:cs="黑体"/>
          <w:sz w:val="24"/>
          <w:szCs w:val="24"/>
        </w:rPr>
        <w:t>第一章  竞争性谈判公告</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_Toc24374 \h </w:instrText>
      </w:r>
      <w:r>
        <w:rPr>
          <w:rFonts w:hint="eastAsia" w:ascii="黑体" w:hAnsi="黑体" w:eastAsia="黑体" w:cs="黑体"/>
          <w:sz w:val="24"/>
          <w:szCs w:val="24"/>
        </w:rPr>
        <w:fldChar w:fldCharType="separate"/>
      </w:r>
      <w:r>
        <w:rPr>
          <w:rFonts w:hint="eastAsia" w:ascii="黑体" w:hAnsi="黑体" w:eastAsia="黑体" w:cs="黑体"/>
          <w:sz w:val="24"/>
          <w:szCs w:val="24"/>
        </w:rPr>
        <w:t>5</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62BF40FB">
      <w:pPr>
        <w:pStyle w:val="30"/>
        <w:tabs>
          <w:tab w:val="right" w:leader="dot" w:pos="9066"/>
          <w:tab w:val="clear" w:pos="9628"/>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_Toc4456 </w:instrText>
      </w:r>
      <w:r>
        <w:rPr>
          <w:rFonts w:hint="eastAsia" w:ascii="黑体" w:hAnsi="黑体" w:eastAsia="黑体" w:cs="黑体"/>
          <w:sz w:val="24"/>
          <w:szCs w:val="24"/>
        </w:rPr>
        <w:fldChar w:fldCharType="separate"/>
      </w:r>
      <w:r>
        <w:rPr>
          <w:rFonts w:hint="eastAsia" w:ascii="黑体" w:hAnsi="黑体" w:eastAsia="黑体" w:cs="黑体"/>
          <w:sz w:val="24"/>
          <w:szCs w:val="24"/>
        </w:rPr>
        <w:t>第二章  供应商须知</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_Toc4456 \h </w:instrText>
      </w:r>
      <w:r>
        <w:rPr>
          <w:rFonts w:hint="eastAsia" w:ascii="黑体" w:hAnsi="黑体" w:eastAsia="黑体" w:cs="黑体"/>
          <w:sz w:val="24"/>
          <w:szCs w:val="24"/>
        </w:rPr>
        <w:fldChar w:fldCharType="separate"/>
      </w:r>
      <w:r>
        <w:rPr>
          <w:rFonts w:hint="eastAsia" w:ascii="黑体" w:hAnsi="黑体" w:eastAsia="黑体" w:cs="黑体"/>
          <w:sz w:val="24"/>
          <w:szCs w:val="24"/>
        </w:rPr>
        <w:t>10</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660CC4A2">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_Toc26113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1. 总则</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_Toc26113 \h </w:instrText>
      </w:r>
      <w:r>
        <w:rPr>
          <w:rFonts w:hint="eastAsia" w:ascii="黑体" w:hAnsi="黑体" w:eastAsia="黑体" w:cs="黑体"/>
          <w:sz w:val="24"/>
          <w:szCs w:val="24"/>
        </w:rPr>
        <w:fldChar w:fldCharType="separate"/>
      </w:r>
      <w:r>
        <w:rPr>
          <w:rFonts w:hint="eastAsia" w:ascii="黑体" w:hAnsi="黑体" w:eastAsia="黑体" w:cs="黑体"/>
          <w:sz w:val="24"/>
          <w:szCs w:val="24"/>
        </w:rPr>
        <w:t>16</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56C7E5E9">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_Toc12190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2. 谈判文件</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_Toc12190 \h </w:instrText>
      </w:r>
      <w:r>
        <w:rPr>
          <w:rFonts w:hint="eastAsia" w:ascii="黑体" w:hAnsi="黑体" w:eastAsia="黑体" w:cs="黑体"/>
          <w:sz w:val="24"/>
          <w:szCs w:val="24"/>
        </w:rPr>
        <w:fldChar w:fldCharType="separate"/>
      </w:r>
      <w:r>
        <w:rPr>
          <w:rFonts w:hint="eastAsia" w:ascii="黑体" w:hAnsi="黑体" w:eastAsia="黑体" w:cs="黑体"/>
          <w:sz w:val="24"/>
          <w:szCs w:val="24"/>
        </w:rPr>
        <w:t>17</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145AB55D">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_Toc8639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3. 响应文件</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_Toc8639 \h </w:instrText>
      </w:r>
      <w:r>
        <w:rPr>
          <w:rFonts w:hint="eastAsia" w:ascii="黑体" w:hAnsi="黑体" w:eastAsia="黑体" w:cs="黑体"/>
          <w:sz w:val="24"/>
          <w:szCs w:val="24"/>
        </w:rPr>
        <w:fldChar w:fldCharType="separate"/>
      </w:r>
      <w:r>
        <w:rPr>
          <w:rFonts w:hint="eastAsia" w:ascii="黑体" w:hAnsi="黑体" w:eastAsia="黑体" w:cs="黑体"/>
          <w:sz w:val="24"/>
          <w:szCs w:val="24"/>
        </w:rPr>
        <w:t>18</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0C1597C1">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_Toc11999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4. 响应文件的递交</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_Toc11999 \h </w:instrText>
      </w:r>
      <w:r>
        <w:rPr>
          <w:rFonts w:hint="eastAsia" w:ascii="黑体" w:hAnsi="黑体" w:eastAsia="黑体" w:cs="黑体"/>
          <w:sz w:val="24"/>
          <w:szCs w:val="24"/>
        </w:rPr>
        <w:fldChar w:fldCharType="separate"/>
      </w:r>
      <w:r>
        <w:rPr>
          <w:rFonts w:hint="eastAsia" w:ascii="黑体" w:hAnsi="黑体" w:eastAsia="黑体" w:cs="黑体"/>
          <w:sz w:val="24"/>
          <w:szCs w:val="24"/>
        </w:rPr>
        <w:t>20</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450B9DAA">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_Toc11172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5. 谈判</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_Toc11172 \h </w:instrText>
      </w:r>
      <w:r>
        <w:rPr>
          <w:rFonts w:hint="eastAsia" w:ascii="黑体" w:hAnsi="黑体" w:eastAsia="黑体" w:cs="黑体"/>
          <w:sz w:val="24"/>
          <w:szCs w:val="24"/>
        </w:rPr>
        <w:fldChar w:fldCharType="separate"/>
      </w:r>
      <w:r>
        <w:rPr>
          <w:rFonts w:hint="eastAsia" w:ascii="黑体" w:hAnsi="黑体" w:eastAsia="黑体" w:cs="黑体"/>
          <w:sz w:val="24"/>
          <w:szCs w:val="24"/>
        </w:rPr>
        <w:t>21</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5F2E130E">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_Toc7385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6. 评审</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_Toc7385 \h </w:instrText>
      </w:r>
      <w:r>
        <w:rPr>
          <w:rFonts w:hint="eastAsia" w:ascii="黑体" w:hAnsi="黑体" w:eastAsia="黑体" w:cs="黑体"/>
          <w:sz w:val="24"/>
          <w:szCs w:val="24"/>
        </w:rPr>
        <w:fldChar w:fldCharType="separate"/>
      </w:r>
      <w:r>
        <w:rPr>
          <w:rFonts w:hint="eastAsia" w:ascii="黑体" w:hAnsi="黑体" w:eastAsia="黑体" w:cs="黑体"/>
          <w:sz w:val="24"/>
          <w:szCs w:val="24"/>
        </w:rPr>
        <w:t>22</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114CD31D">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_Toc22239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7. 合同授予</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_Toc22239 \h </w:instrText>
      </w:r>
      <w:r>
        <w:rPr>
          <w:rFonts w:hint="eastAsia" w:ascii="黑体" w:hAnsi="黑体" w:eastAsia="黑体" w:cs="黑体"/>
          <w:sz w:val="24"/>
          <w:szCs w:val="24"/>
        </w:rPr>
        <w:fldChar w:fldCharType="separate"/>
      </w:r>
      <w:r>
        <w:rPr>
          <w:rFonts w:hint="eastAsia" w:ascii="黑体" w:hAnsi="黑体" w:eastAsia="黑体" w:cs="黑体"/>
          <w:sz w:val="24"/>
          <w:szCs w:val="24"/>
        </w:rPr>
        <w:t>23</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062E85F5">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_Toc29516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8. 纪律和监督</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_Toc29516 \h </w:instrText>
      </w:r>
      <w:r>
        <w:rPr>
          <w:rFonts w:hint="eastAsia" w:ascii="黑体" w:hAnsi="黑体" w:eastAsia="黑体" w:cs="黑体"/>
          <w:sz w:val="24"/>
          <w:szCs w:val="24"/>
        </w:rPr>
        <w:fldChar w:fldCharType="separate"/>
      </w:r>
      <w:r>
        <w:rPr>
          <w:rFonts w:hint="eastAsia" w:ascii="黑体" w:hAnsi="黑体" w:eastAsia="黑体" w:cs="黑体"/>
          <w:sz w:val="24"/>
          <w:szCs w:val="24"/>
        </w:rPr>
        <w:t>24</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0E86BE43">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_Toc9274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9. 质疑接收、回复</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_Toc9274 \h </w:instrText>
      </w:r>
      <w:r>
        <w:rPr>
          <w:rFonts w:hint="eastAsia" w:ascii="黑体" w:hAnsi="黑体" w:eastAsia="黑体" w:cs="黑体"/>
          <w:sz w:val="24"/>
          <w:szCs w:val="24"/>
        </w:rPr>
        <w:fldChar w:fldCharType="separate"/>
      </w:r>
      <w:r>
        <w:rPr>
          <w:rFonts w:hint="eastAsia" w:ascii="黑体" w:hAnsi="黑体" w:eastAsia="黑体" w:cs="黑体"/>
          <w:sz w:val="24"/>
          <w:szCs w:val="24"/>
        </w:rPr>
        <w:t>24</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691C9B03">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_Toc3516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10. 需要补充的其他内容</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_Toc3516 \h </w:instrText>
      </w:r>
      <w:r>
        <w:rPr>
          <w:rFonts w:hint="eastAsia" w:ascii="黑体" w:hAnsi="黑体" w:eastAsia="黑体" w:cs="黑体"/>
          <w:sz w:val="24"/>
          <w:szCs w:val="24"/>
        </w:rPr>
        <w:fldChar w:fldCharType="separate"/>
      </w:r>
      <w:r>
        <w:rPr>
          <w:rFonts w:hint="eastAsia" w:ascii="黑体" w:hAnsi="黑体" w:eastAsia="黑体" w:cs="黑体"/>
          <w:sz w:val="24"/>
          <w:szCs w:val="24"/>
        </w:rPr>
        <w:t>25</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48EB2D5B">
      <w:pPr>
        <w:pStyle w:val="30"/>
        <w:tabs>
          <w:tab w:val="right" w:leader="dot" w:pos="9066"/>
          <w:tab w:val="clear" w:pos="9628"/>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_Toc28548 </w:instrText>
      </w:r>
      <w:r>
        <w:rPr>
          <w:rFonts w:hint="eastAsia" w:ascii="黑体" w:hAnsi="黑体" w:eastAsia="黑体" w:cs="黑体"/>
          <w:sz w:val="24"/>
          <w:szCs w:val="24"/>
        </w:rPr>
        <w:fldChar w:fldCharType="separate"/>
      </w:r>
      <w:r>
        <w:rPr>
          <w:rFonts w:hint="eastAsia" w:ascii="黑体" w:hAnsi="黑体" w:eastAsia="黑体" w:cs="黑体"/>
          <w:sz w:val="24"/>
          <w:szCs w:val="24"/>
        </w:rPr>
        <w:t>第三章  谈判程序及评审办法</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_Toc28548 \h </w:instrText>
      </w:r>
      <w:r>
        <w:rPr>
          <w:rFonts w:hint="eastAsia" w:ascii="黑体" w:hAnsi="黑体" w:eastAsia="黑体" w:cs="黑体"/>
          <w:sz w:val="24"/>
          <w:szCs w:val="24"/>
        </w:rPr>
        <w:fldChar w:fldCharType="separate"/>
      </w:r>
      <w:r>
        <w:rPr>
          <w:rFonts w:hint="eastAsia" w:ascii="黑体" w:hAnsi="黑体" w:eastAsia="黑体" w:cs="黑体"/>
          <w:sz w:val="24"/>
          <w:szCs w:val="24"/>
        </w:rPr>
        <w:t>26</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51AC6A7D">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_Toc30127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1.总则</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_Toc30127 \h </w:instrText>
      </w:r>
      <w:r>
        <w:rPr>
          <w:rFonts w:hint="eastAsia" w:ascii="黑体" w:hAnsi="黑体" w:eastAsia="黑体" w:cs="黑体"/>
          <w:sz w:val="24"/>
          <w:szCs w:val="24"/>
        </w:rPr>
        <w:fldChar w:fldCharType="separate"/>
      </w:r>
      <w:r>
        <w:rPr>
          <w:rFonts w:hint="eastAsia" w:ascii="黑体" w:hAnsi="黑体" w:eastAsia="黑体" w:cs="黑体"/>
          <w:sz w:val="24"/>
          <w:szCs w:val="24"/>
        </w:rPr>
        <w:t>29</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6346E6DB">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_Toc3413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2.评审机构</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_Toc3413 \h </w:instrText>
      </w:r>
      <w:r>
        <w:rPr>
          <w:rFonts w:hint="eastAsia" w:ascii="黑体" w:hAnsi="黑体" w:eastAsia="黑体" w:cs="黑体"/>
          <w:sz w:val="24"/>
          <w:szCs w:val="24"/>
        </w:rPr>
        <w:fldChar w:fldCharType="separate"/>
      </w:r>
      <w:r>
        <w:rPr>
          <w:rFonts w:hint="eastAsia" w:ascii="黑体" w:hAnsi="黑体" w:eastAsia="黑体" w:cs="黑体"/>
          <w:sz w:val="24"/>
          <w:szCs w:val="24"/>
        </w:rPr>
        <w:t>29</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12984739">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_Toc481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3.评审原则</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_Toc481 \h </w:instrText>
      </w:r>
      <w:r>
        <w:rPr>
          <w:rFonts w:hint="eastAsia" w:ascii="黑体" w:hAnsi="黑体" w:eastAsia="黑体" w:cs="黑体"/>
          <w:sz w:val="24"/>
          <w:szCs w:val="24"/>
        </w:rPr>
        <w:fldChar w:fldCharType="separate"/>
      </w:r>
      <w:r>
        <w:rPr>
          <w:rFonts w:hint="eastAsia" w:ascii="黑体" w:hAnsi="黑体" w:eastAsia="黑体" w:cs="黑体"/>
          <w:sz w:val="24"/>
          <w:szCs w:val="24"/>
        </w:rPr>
        <w:t>29</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1C98212D">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_Toc1009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4.评审纪律</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_Toc1009 \h </w:instrText>
      </w:r>
      <w:r>
        <w:rPr>
          <w:rFonts w:hint="eastAsia" w:ascii="黑体" w:hAnsi="黑体" w:eastAsia="黑体" w:cs="黑体"/>
          <w:sz w:val="24"/>
          <w:szCs w:val="24"/>
        </w:rPr>
        <w:fldChar w:fldCharType="separate"/>
      </w:r>
      <w:r>
        <w:rPr>
          <w:rFonts w:hint="eastAsia" w:ascii="黑体" w:hAnsi="黑体" w:eastAsia="黑体" w:cs="黑体"/>
          <w:sz w:val="24"/>
          <w:szCs w:val="24"/>
        </w:rPr>
        <w:t>29</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229B60A8">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_Toc26646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5.评审目的</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_Toc26646 \h </w:instrText>
      </w:r>
      <w:r>
        <w:rPr>
          <w:rFonts w:hint="eastAsia" w:ascii="黑体" w:hAnsi="黑体" w:eastAsia="黑体" w:cs="黑体"/>
          <w:sz w:val="24"/>
          <w:szCs w:val="24"/>
        </w:rPr>
        <w:fldChar w:fldCharType="separate"/>
      </w:r>
      <w:r>
        <w:rPr>
          <w:rFonts w:hint="eastAsia" w:ascii="黑体" w:hAnsi="黑体" w:eastAsia="黑体" w:cs="黑体"/>
          <w:sz w:val="24"/>
          <w:szCs w:val="24"/>
        </w:rPr>
        <w:t>30</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612E2781">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_Toc8282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6.评审办法</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_Toc8282 \h </w:instrText>
      </w:r>
      <w:r>
        <w:rPr>
          <w:rFonts w:hint="eastAsia" w:ascii="黑体" w:hAnsi="黑体" w:eastAsia="黑体" w:cs="黑体"/>
          <w:sz w:val="24"/>
          <w:szCs w:val="24"/>
        </w:rPr>
        <w:fldChar w:fldCharType="separate"/>
      </w:r>
      <w:r>
        <w:rPr>
          <w:rFonts w:hint="eastAsia" w:ascii="黑体" w:hAnsi="黑体" w:eastAsia="黑体" w:cs="黑体"/>
          <w:sz w:val="24"/>
          <w:szCs w:val="24"/>
        </w:rPr>
        <w:t>30</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7463C83C">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_Toc7788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7.异常低价投标（响应）审查程序</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_Toc7788 \h </w:instrText>
      </w:r>
      <w:r>
        <w:rPr>
          <w:rFonts w:hint="eastAsia" w:ascii="黑体" w:hAnsi="黑体" w:eastAsia="黑体" w:cs="黑体"/>
          <w:sz w:val="24"/>
          <w:szCs w:val="24"/>
        </w:rPr>
        <w:fldChar w:fldCharType="separate"/>
      </w:r>
      <w:r>
        <w:rPr>
          <w:rFonts w:hint="eastAsia" w:ascii="黑体" w:hAnsi="黑体" w:eastAsia="黑体" w:cs="黑体"/>
          <w:sz w:val="24"/>
          <w:szCs w:val="24"/>
        </w:rPr>
        <w:t>31</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7FAD40E0">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_Toc28874 </w:instrText>
      </w:r>
      <w:r>
        <w:rPr>
          <w:rFonts w:hint="eastAsia" w:ascii="黑体" w:hAnsi="黑体" w:eastAsia="黑体" w:cs="黑体"/>
          <w:sz w:val="24"/>
          <w:szCs w:val="24"/>
        </w:rPr>
        <w:fldChar w:fldCharType="separate"/>
      </w:r>
      <w:r>
        <w:rPr>
          <w:rFonts w:hint="eastAsia" w:ascii="黑体" w:hAnsi="黑体" w:eastAsia="黑体" w:cs="黑体"/>
          <w:kern w:val="0"/>
          <w:sz w:val="24"/>
          <w:szCs w:val="24"/>
          <w:lang w:val="en-US" w:eastAsia="zh-CN"/>
        </w:rPr>
        <w:t>8</w:t>
      </w:r>
      <w:r>
        <w:rPr>
          <w:rFonts w:hint="eastAsia" w:ascii="黑体" w:hAnsi="黑体" w:eastAsia="黑体" w:cs="黑体"/>
          <w:kern w:val="0"/>
          <w:sz w:val="24"/>
          <w:szCs w:val="24"/>
        </w:rPr>
        <w:t>.谈判结果</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_Toc28874 \h </w:instrText>
      </w:r>
      <w:r>
        <w:rPr>
          <w:rFonts w:hint="eastAsia" w:ascii="黑体" w:hAnsi="黑体" w:eastAsia="黑体" w:cs="黑体"/>
          <w:sz w:val="24"/>
          <w:szCs w:val="24"/>
        </w:rPr>
        <w:fldChar w:fldCharType="separate"/>
      </w:r>
      <w:r>
        <w:rPr>
          <w:rFonts w:hint="eastAsia" w:ascii="黑体" w:hAnsi="黑体" w:eastAsia="黑体" w:cs="黑体"/>
          <w:sz w:val="24"/>
          <w:szCs w:val="24"/>
        </w:rPr>
        <w:t>32</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6465AA5D">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_Toc4194 </w:instrText>
      </w:r>
      <w:r>
        <w:rPr>
          <w:rFonts w:hint="eastAsia" w:ascii="黑体" w:hAnsi="黑体" w:eastAsia="黑体" w:cs="黑体"/>
          <w:sz w:val="24"/>
          <w:szCs w:val="24"/>
        </w:rPr>
        <w:fldChar w:fldCharType="separate"/>
      </w:r>
      <w:r>
        <w:rPr>
          <w:rFonts w:hint="eastAsia" w:ascii="黑体" w:hAnsi="黑体" w:eastAsia="黑体" w:cs="黑体"/>
          <w:kern w:val="0"/>
          <w:sz w:val="24"/>
          <w:szCs w:val="24"/>
          <w:lang w:val="en-US" w:eastAsia="zh-CN"/>
        </w:rPr>
        <w:t>9</w:t>
      </w:r>
      <w:r>
        <w:rPr>
          <w:rFonts w:hint="eastAsia" w:ascii="黑体" w:hAnsi="黑体" w:eastAsia="黑体" w:cs="黑体"/>
          <w:kern w:val="0"/>
          <w:sz w:val="24"/>
          <w:szCs w:val="24"/>
        </w:rPr>
        <w:t>.关于中小企业</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_Toc4194 \h </w:instrText>
      </w:r>
      <w:r>
        <w:rPr>
          <w:rFonts w:hint="eastAsia" w:ascii="黑体" w:hAnsi="黑体" w:eastAsia="黑体" w:cs="黑体"/>
          <w:sz w:val="24"/>
          <w:szCs w:val="24"/>
        </w:rPr>
        <w:fldChar w:fldCharType="separate"/>
      </w:r>
      <w:r>
        <w:rPr>
          <w:rFonts w:hint="eastAsia" w:ascii="黑体" w:hAnsi="黑体" w:eastAsia="黑体" w:cs="黑体"/>
          <w:sz w:val="24"/>
          <w:szCs w:val="24"/>
        </w:rPr>
        <w:t>32</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0B0938F3">
      <w:pPr>
        <w:pStyle w:val="30"/>
        <w:tabs>
          <w:tab w:val="right" w:leader="dot" w:pos="9066"/>
          <w:tab w:val="clear" w:pos="9628"/>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_Toc14385 </w:instrText>
      </w:r>
      <w:r>
        <w:rPr>
          <w:rFonts w:hint="eastAsia" w:ascii="黑体" w:hAnsi="黑体" w:eastAsia="黑体" w:cs="黑体"/>
          <w:sz w:val="24"/>
          <w:szCs w:val="24"/>
        </w:rPr>
        <w:fldChar w:fldCharType="separate"/>
      </w:r>
      <w:r>
        <w:rPr>
          <w:rFonts w:hint="eastAsia" w:ascii="黑体" w:hAnsi="黑体" w:eastAsia="黑体" w:cs="黑体"/>
          <w:sz w:val="24"/>
          <w:szCs w:val="24"/>
        </w:rPr>
        <w:t>第四章  合同主要条款及格式</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_Toc14385 \h </w:instrText>
      </w:r>
      <w:r>
        <w:rPr>
          <w:rFonts w:hint="eastAsia" w:ascii="黑体" w:hAnsi="黑体" w:eastAsia="黑体" w:cs="黑体"/>
          <w:sz w:val="24"/>
          <w:szCs w:val="24"/>
        </w:rPr>
        <w:fldChar w:fldCharType="separate"/>
      </w:r>
      <w:r>
        <w:rPr>
          <w:rFonts w:hint="eastAsia" w:ascii="黑体" w:hAnsi="黑体" w:eastAsia="黑体" w:cs="黑体"/>
          <w:sz w:val="24"/>
          <w:szCs w:val="24"/>
        </w:rPr>
        <w:t>36</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3168F3E5">
      <w:pPr>
        <w:pStyle w:val="30"/>
        <w:tabs>
          <w:tab w:val="right" w:leader="dot" w:pos="9066"/>
          <w:tab w:val="clear" w:pos="9628"/>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_Toc24293 </w:instrText>
      </w:r>
      <w:r>
        <w:rPr>
          <w:rFonts w:hint="eastAsia" w:ascii="黑体" w:hAnsi="黑体" w:eastAsia="黑体" w:cs="黑体"/>
          <w:sz w:val="24"/>
          <w:szCs w:val="24"/>
        </w:rPr>
        <w:fldChar w:fldCharType="separate"/>
      </w:r>
      <w:r>
        <w:rPr>
          <w:rFonts w:hint="eastAsia" w:ascii="黑体" w:hAnsi="黑体" w:eastAsia="黑体" w:cs="黑体"/>
          <w:sz w:val="24"/>
          <w:szCs w:val="24"/>
        </w:rPr>
        <w:t xml:space="preserve">第五章 </w:t>
      </w:r>
      <w:r>
        <w:rPr>
          <w:rFonts w:hint="eastAsia" w:ascii="黑体" w:hAnsi="黑体" w:eastAsia="黑体" w:cs="黑体"/>
          <w:sz w:val="24"/>
          <w:szCs w:val="24"/>
          <w:lang w:val="en-US" w:eastAsia="zh-CN"/>
        </w:rPr>
        <w:t xml:space="preserve"> </w:t>
      </w:r>
      <w:r>
        <w:rPr>
          <w:rFonts w:hint="eastAsia" w:ascii="黑体" w:hAnsi="黑体" w:eastAsia="黑体" w:cs="黑体"/>
          <w:sz w:val="24"/>
          <w:szCs w:val="24"/>
        </w:rPr>
        <w:t>采购需求</w:t>
      </w:r>
      <w:r>
        <w:rPr>
          <w:rFonts w:hint="eastAsia" w:ascii="黑体" w:hAnsi="黑体" w:eastAsia="黑体" w:cs="黑体"/>
          <w:sz w:val="24"/>
          <w:szCs w:val="24"/>
          <w:lang w:val="en-US" w:eastAsia="zh-CN"/>
        </w:rPr>
        <w:t>及技术要求</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_Toc24293 \h </w:instrText>
      </w:r>
      <w:r>
        <w:rPr>
          <w:rFonts w:hint="eastAsia" w:ascii="黑体" w:hAnsi="黑体" w:eastAsia="黑体" w:cs="黑体"/>
          <w:sz w:val="24"/>
          <w:szCs w:val="24"/>
        </w:rPr>
        <w:fldChar w:fldCharType="separate"/>
      </w:r>
      <w:r>
        <w:rPr>
          <w:rFonts w:hint="eastAsia" w:ascii="黑体" w:hAnsi="黑体" w:eastAsia="黑体" w:cs="黑体"/>
          <w:sz w:val="24"/>
          <w:szCs w:val="24"/>
        </w:rPr>
        <w:t>56</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4FE7B574">
      <w:pPr>
        <w:pStyle w:val="30"/>
        <w:tabs>
          <w:tab w:val="right" w:leader="dot" w:pos="9066"/>
          <w:tab w:val="clear" w:pos="9628"/>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_Toc1221 </w:instrText>
      </w:r>
      <w:r>
        <w:rPr>
          <w:rFonts w:hint="eastAsia" w:ascii="黑体" w:hAnsi="黑体" w:eastAsia="黑体" w:cs="黑体"/>
          <w:sz w:val="24"/>
          <w:szCs w:val="24"/>
        </w:rPr>
        <w:fldChar w:fldCharType="separate"/>
      </w:r>
      <w:r>
        <w:rPr>
          <w:rFonts w:hint="eastAsia" w:ascii="黑体" w:hAnsi="黑体" w:eastAsia="黑体" w:cs="黑体"/>
          <w:sz w:val="24"/>
          <w:szCs w:val="24"/>
        </w:rPr>
        <w:t>第六章  响应文件格式</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_Toc1221 \h </w:instrText>
      </w:r>
      <w:r>
        <w:rPr>
          <w:rFonts w:hint="eastAsia" w:ascii="黑体" w:hAnsi="黑体" w:eastAsia="黑体" w:cs="黑体"/>
          <w:sz w:val="24"/>
          <w:szCs w:val="24"/>
        </w:rPr>
        <w:fldChar w:fldCharType="separate"/>
      </w:r>
      <w:r>
        <w:rPr>
          <w:rFonts w:hint="eastAsia" w:ascii="黑体" w:hAnsi="黑体" w:eastAsia="黑体" w:cs="黑体"/>
          <w:sz w:val="24"/>
          <w:szCs w:val="24"/>
        </w:rPr>
        <w:t>80</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12C012D1">
      <w:pPr>
        <w:pStyle w:val="30"/>
        <w:tabs>
          <w:tab w:val="right" w:leader="dot" w:pos="9066"/>
          <w:tab w:val="clear" w:pos="9628"/>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_Toc24355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一、报价</w:t>
      </w:r>
      <w:r>
        <w:rPr>
          <w:rFonts w:hint="eastAsia" w:ascii="黑体" w:hAnsi="黑体" w:eastAsia="黑体" w:cs="黑体"/>
          <w:sz w:val="24"/>
          <w:szCs w:val="24"/>
        </w:rPr>
        <w:t>部分</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_Toc24355 \h </w:instrText>
      </w:r>
      <w:r>
        <w:rPr>
          <w:rFonts w:hint="eastAsia" w:ascii="黑体" w:hAnsi="黑体" w:eastAsia="黑体" w:cs="黑体"/>
          <w:sz w:val="24"/>
          <w:szCs w:val="24"/>
        </w:rPr>
        <w:fldChar w:fldCharType="separate"/>
      </w:r>
      <w:r>
        <w:rPr>
          <w:rFonts w:hint="eastAsia" w:ascii="黑体" w:hAnsi="黑体" w:eastAsia="黑体" w:cs="黑体"/>
          <w:sz w:val="24"/>
          <w:szCs w:val="24"/>
        </w:rPr>
        <w:t>83</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112D751A">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_Toc2878 </w:instrText>
      </w:r>
      <w:r>
        <w:rPr>
          <w:rFonts w:hint="eastAsia" w:ascii="黑体" w:hAnsi="黑体" w:eastAsia="黑体" w:cs="黑体"/>
          <w:sz w:val="24"/>
          <w:szCs w:val="24"/>
        </w:rPr>
        <w:fldChar w:fldCharType="separate"/>
      </w:r>
      <w:r>
        <w:rPr>
          <w:rFonts w:hint="eastAsia" w:ascii="黑体" w:hAnsi="黑体" w:eastAsia="黑体" w:cs="黑体"/>
          <w:sz w:val="24"/>
          <w:szCs w:val="24"/>
          <w:highlight w:val="none"/>
          <w:lang w:eastAsia="zh-CN"/>
        </w:rPr>
        <w:t>（</w:t>
      </w:r>
      <w:r>
        <w:rPr>
          <w:rFonts w:hint="eastAsia" w:ascii="黑体" w:hAnsi="黑体" w:eastAsia="黑体" w:cs="黑体"/>
          <w:sz w:val="24"/>
          <w:szCs w:val="24"/>
          <w:highlight w:val="none"/>
          <w:lang w:val="en-US" w:eastAsia="zh-CN"/>
        </w:rPr>
        <w:t>一</w:t>
      </w:r>
      <w:r>
        <w:rPr>
          <w:rFonts w:hint="eastAsia" w:ascii="黑体" w:hAnsi="黑体" w:eastAsia="黑体" w:cs="黑体"/>
          <w:sz w:val="24"/>
          <w:szCs w:val="24"/>
          <w:highlight w:val="none"/>
          <w:lang w:eastAsia="zh-CN"/>
        </w:rPr>
        <w:t>）</w:t>
      </w:r>
      <w:r>
        <w:rPr>
          <w:rFonts w:hint="eastAsia" w:ascii="黑体" w:hAnsi="黑体" w:eastAsia="黑体" w:cs="黑体"/>
          <w:sz w:val="24"/>
          <w:szCs w:val="24"/>
          <w:highlight w:val="none"/>
        </w:rPr>
        <w:t>首轮报价一览表</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_Toc2878 \h </w:instrText>
      </w:r>
      <w:r>
        <w:rPr>
          <w:rFonts w:hint="eastAsia" w:ascii="黑体" w:hAnsi="黑体" w:eastAsia="黑体" w:cs="黑体"/>
          <w:sz w:val="24"/>
          <w:szCs w:val="24"/>
        </w:rPr>
        <w:fldChar w:fldCharType="separate"/>
      </w:r>
      <w:r>
        <w:rPr>
          <w:rFonts w:hint="eastAsia" w:ascii="黑体" w:hAnsi="黑体" w:eastAsia="黑体" w:cs="黑体"/>
          <w:sz w:val="24"/>
          <w:szCs w:val="24"/>
        </w:rPr>
        <w:t>84</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19AFE8CC">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_Toc14267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（二）响应</w:t>
      </w:r>
      <w:r>
        <w:rPr>
          <w:rFonts w:hint="eastAsia" w:ascii="黑体" w:hAnsi="黑体" w:eastAsia="黑体" w:cs="黑体"/>
          <w:sz w:val="24"/>
          <w:szCs w:val="24"/>
        </w:rPr>
        <w:t>函</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_Toc14267 \h </w:instrText>
      </w:r>
      <w:r>
        <w:rPr>
          <w:rFonts w:hint="eastAsia" w:ascii="黑体" w:hAnsi="黑体" w:eastAsia="黑体" w:cs="黑体"/>
          <w:sz w:val="24"/>
          <w:szCs w:val="24"/>
        </w:rPr>
        <w:fldChar w:fldCharType="separate"/>
      </w:r>
      <w:r>
        <w:rPr>
          <w:rFonts w:hint="eastAsia" w:ascii="黑体" w:hAnsi="黑体" w:eastAsia="黑体" w:cs="黑体"/>
          <w:sz w:val="24"/>
          <w:szCs w:val="24"/>
        </w:rPr>
        <w:t>85</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3BF45F47">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_Toc14473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（三）投标分项报价表</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_Toc14473 \h </w:instrText>
      </w:r>
      <w:r>
        <w:rPr>
          <w:rFonts w:hint="eastAsia" w:ascii="黑体" w:hAnsi="黑体" w:eastAsia="黑体" w:cs="黑体"/>
          <w:sz w:val="24"/>
          <w:szCs w:val="24"/>
        </w:rPr>
        <w:fldChar w:fldCharType="separate"/>
      </w:r>
      <w:r>
        <w:rPr>
          <w:rFonts w:hint="eastAsia" w:ascii="黑体" w:hAnsi="黑体" w:eastAsia="黑体" w:cs="黑体"/>
          <w:sz w:val="24"/>
          <w:szCs w:val="24"/>
        </w:rPr>
        <w:t>86</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00670B8B">
      <w:pPr>
        <w:pStyle w:val="30"/>
        <w:tabs>
          <w:tab w:val="right" w:leader="dot" w:pos="9066"/>
          <w:tab w:val="clear" w:pos="9628"/>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_Toc6465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二、</w:t>
      </w:r>
      <w:r>
        <w:rPr>
          <w:rFonts w:hint="eastAsia" w:ascii="黑体" w:hAnsi="黑体" w:eastAsia="黑体" w:cs="黑体"/>
          <w:sz w:val="24"/>
          <w:szCs w:val="24"/>
        </w:rPr>
        <w:t>资格审查部分</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_Toc6465 \h </w:instrText>
      </w:r>
      <w:r>
        <w:rPr>
          <w:rFonts w:hint="eastAsia" w:ascii="黑体" w:hAnsi="黑体" w:eastAsia="黑体" w:cs="黑体"/>
          <w:sz w:val="24"/>
          <w:szCs w:val="24"/>
        </w:rPr>
        <w:fldChar w:fldCharType="separate"/>
      </w:r>
      <w:r>
        <w:rPr>
          <w:rFonts w:hint="eastAsia" w:ascii="黑体" w:hAnsi="黑体" w:eastAsia="黑体" w:cs="黑体"/>
          <w:sz w:val="24"/>
          <w:szCs w:val="24"/>
        </w:rPr>
        <w:t>87</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64B37E2B">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_Toc11235 </w:instrText>
      </w:r>
      <w:r>
        <w:rPr>
          <w:rFonts w:hint="eastAsia" w:ascii="黑体" w:hAnsi="黑体" w:eastAsia="黑体" w:cs="黑体"/>
          <w:sz w:val="24"/>
          <w:szCs w:val="24"/>
        </w:rPr>
        <w:fldChar w:fldCharType="separate"/>
      </w:r>
      <w:r>
        <w:rPr>
          <w:rFonts w:hint="eastAsia" w:ascii="黑体" w:hAnsi="黑体" w:eastAsia="黑体" w:cs="黑体"/>
          <w:sz w:val="24"/>
          <w:szCs w:val="24"/>
          <w:lang w:eastAsia="zh-CN"/>
        </w:rPr>
        <w:t>（</w:t>
      </w:r>
      <w:r>
        <w:rPr>
          <w:rFonts w:hint="eastAsia" w:ascii="黑体" w:hAnsi="黑体" w:eastAsia="黑体" w:cs="黑体"/>
          <w:sz w:val="24"/>
          <w:szCs w:val="24"/>
          <w:lang w:val="en-US" w:eastAsia="zh-CN"/>
        </w:rPr>
        <w:t>一</w:t>
      </w:r>
      <w:r>
        <w:rPr>
          <w:rFonts w:hint="eastAsia" w:ascii="黑体" w:hAnsi="黑体" w:eastAsia="黑体" w:cs="黑体"/>
          <w:sz w:val="24"/>
          <w:szCs w:val="24"/>
          <w:lang w:eastAsia="zh-CN"/>
        </w:rPr>
        <w:t>）</w:t>
      </w:r>
      <w:r>
        <w:rPr>
          <w:rFonts w:hint="eastAsia" w:ascii="黑体" w:hAnsi="黑体" w:eastAsia="黑体" w:cs="黑体"/>
          <w:sz w:val="24"/>
          <w:szCs w:val="24"/>
        </w:rPr>
        <w:t>具有独立承担民事责任的能力</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_Toc11235 \h </w:instrText>
      </w:r>
      <w:r>
        <w:rPr>
          <w:rFonts w:hint="eastAsia" w:ascii="黑体" w:hAnsi="黑体" w:eastAsia="黑体" w:cs="黑体"/>
          <w:sz w:val="24"/>
          <w:szCs w:val="24"/>
        </w:rPr>
        <w:fldChar w:fldCharType="separate"/>
      </w:r>
      <w:r>
        <w:rPr>
          <w:rFonts w:hint="eastAsia" w:ascii="黑体" w:hAnsi="黑体" w:eastAsia="黑体" w:cs="黑体"/>
          <w:sz w:val="24"/>
          <w:szCs w:val="24"/>
        </w:rPr>
        <w:t>88</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039834CD">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_Toc31500 </w:instrText>
      </w:r>
      <w:r>
        <w:rPr>
          <w:rFonts w:hint="eastAsia" w:ascii="黑体" w:hAnsi="黑体" w:eastAsia="黑体" w:cs="黑体"/>
          <w:sz w:val="24"/>
          <w:szCs w:val="24"/>
        </w:rPr>
        <w:fldChar w:fldCharType="separate"/>
      </w:r>
      <w:r>
        <w:rPr>
          <w:rFonts w:hint="eastAsia" w:ascii="黑体" w:hAnsi="黑体" w:eastAsia="黑体" w:cs="黑体"/>
          <w:sz w:val="24"/>
          <w:szCs w:val="24"/>
          <w:lang w:eastAsia="zh-CN"/>
        </w:rPr>
        <w:t>（</w:t>
      </w:r>
      <w:r>
        <w:rPr>
          <w:rFonts w:hint="eastAsia" w:ascii="黑体" w:hAnsi="黑体" w:eastAsia="黑体" w:cs="黑体"/>
          <w:sz w:val="24"/>
          <w:szCs w:val="24"/>
          <w:lang w:val="en-US" w:eastAsia="zh-CN"/>
        </w:rPr>
        <w:t>二</w:t>
      </w:r>
      <w:r>
        <w:rPr>
          <w:rFonts w:hint="eastAsia" w:ascii="黑体" w:hAnsi="黑体" w:eastAsia="黑体" w:cs="黑体"/>
          <w:sz w:val="24"/>
          <w:szCs w:val="24"/>
          <w:lang w:eastAsia="zh-CN"/>
        </w:rPr>
        <w:t>）</w:t>
      </w:r>
      <w:r>
        <w:rPr>
          <w:rFonts w:hint="eastAsia" w:ascii="黑体" w:hAnsi="黑体" w:eastAsia="黑体" w:cs="黑体"/>
          <w:sz w:val="24"/>
          <w:szCs w:val="24"/>
        </w:rPr>
        <w:t>具有良好的商业信誉和健全的财务会计制度</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_Toc31500 \h </w:instrText>
      </w:r>
      <w:r>
        <w:rPr>
          <w:rFonts w:hint="eastAsia" w:ascii="黑体" w:hAnsi="黑体" w:eastAsia="黑体" w:cs="黑体"/>
          <w:sz w:val="24"/>
          <w:szCs w:val="24"/>
        </w:rPr>
        <w:fldChar w:fldCharType="separate"/>
      </w:r>
      <w:r>
        <w:rPr>
          <w:rFonts w:hint="eastAsia" w:ascii="黑体" w:hAnsi="黑体" w:eastAsia="黑体" w:cs="黑体"/>
          <w:sz w:val="24"/>
          <w:szCs w:val="24"/>
        </w:rPr>
        <w:t>88</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2391A160">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_Toc18448 </w:instrText>
      </w:r>
      <w:r>
        <w:rPr>
          <w:rFonts w:hint="eastAsia" w:ascii="黑体" w:hAnsi="黑体" w:eastAsia="黑体" w:cs="黑体"/>
          <w:sz w:val="24"/>
          <w:szCs w:val="24"/>
        </w:rPr>
        <w:fldChar w:fldCharType="separate"/>
      </w:r>
      <w:r>
        <w:rPr>
          <w:rFonts w:hint="eastAsia" w:ascii="黑体" w:hAnsi="黑体" w:eastAsia="黑体" w:cs="黑体"/>
          <w:sz w:val="24"/>
          <w:szCs w:val="24"/>
          <w:lang w:eastAsia="zh-CN"/>
        </w:rPr>
        <w:t>（</w:t>
      </w:r>
      <w:r>
        <w:rPr>
          <w:rFonts w:hint="eastAsia" w:ascii="黑体" w:hAnsi="黑体" w:eastAsia="黑体" w:cs="黑体"/>
          <w:sz w:val="24"/>
          <w:szCs w:val="24"/>
          <w:lang w:val="en-US" w:eastAsia="zh-CN"/>
        </w:rPr>
        <w:t>三</w:t>
      </w:r>
      <w:r>
        <w:rPr>
          <w:rFonts w:hint="eastAsia" w:ascii="黑体" w:hAnsi="黑体" w:eastAsia="黑体" w:cs="黑体"/>
          <w:sz w:val="24"/>
          <w:szCs w:val="24"/>
          <w:lang w:eastAsia="zh-CN"/>
        </w:rPr>
        <w:t>）</w:t>
      </w:r>
      <w:r>
        <w:rPr>
          <w:rFonts w:hint="eastAsia" w:ascii="黑体" w:hAnsi="黑体" w:eastAsia="黑体" w:cs="黑体"/>
          <w:sz w:val="24"/>
          <w:szCs w:val="24"/>
        </w:rPr>
        <w:t>具有履行合同所必需的设备和专业技术能力</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_Toc18448 \h </w:instrText>
      </w:r>
      <w:r>
        <w:rPr>
          <w:rFonts w:hint="eastAsia" w:ascii="黑体" w:hAnsi="黑体" w:eastAsia="黑体" w:cs="黑体"/>
          <w:sz w:val="24"/>
          <w:szCs w:val="24"/>
        </w:rPr>
        <w:fldChar w:fldCharType="separate"/>
      </w:r>
      <w:r>
        <w:rPr>
          <w:rFonts w:hint="eastAsia" w:ascii="黑体" w:hAnsi="黑体" w:eastAsia="黑体" w:cs="黑体"/>
          <w:sz w:val="24"/>
          <w:szCs w:val="24"/>
        </w:rPr>
        <w:t>88</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5B2752C7">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_Toc631 </w:instrText>
      </w:r>
      <w:r>
        <w:rPr>
          <w:rFonts w:hint="eastAsia" w:ascii="黑体" w:hAnsi="黑体" w:eastAsia="黑体" w:cs="黑体"/>
          <w:sz w:val="24"/>
          <w:szCs w:val="24"/>
        </w:rPr>
        <w:fldChar w:fldCharType="separate"/>
      </w:r>
      <w:r>
        <w:rPr>
          <w:rFonts w:hint="eastAsia" w:ascii="黑体" w:hAnsi="黑体" w:eastAsia="黑体" w:cs="黑体"/>
          <w:sz w:val="24"/>
          <w:szCs w:val="24"/>
          <w:lang w:eastAsia="zh-CN"/>
        </w:rPr>
        <w:t>（</w:t>
      </w:r>
      <w:r>
        <w:rPr>
          <w:rFonts w:hint="eastAsia" w:ascii="黑体" w:hAnsi="黑体" w:eastAsia="黑体" w:cs="黑体"/>
          <w:sz w:val="24"/>
          <w:szCs w:val="24"/>
          <w:lang w:val="en-US" w:eastAsia="zh-CN"/>
        </w:rPr>
        <w:t>四</w:t>
      </w:r>
      <w:r>
        <w:rPr>
          <w:rFonts w:hint="eastAsia" w:ascii="黑体" w:hAnsi="黑体" w:eastAsia="黑体" w:cs="黑体"/>
          <w:sz w:val="24"/>
          <w:szCs w:val="24"/>
          <w:lang w:eastAsia="zh-CN"/>
        </w:rPr>
        <w:t>）</w:t>
      </w:r>
      <w:r>
        <w:rPr>
          <w:rFonts w:hint="eastAsia" w:ascii="黑体" w:hAnsi="黑体" w:eastAsia="黑体" w:cs="黑体"/>
          <w:sz w:val="24"/>
          <w:szCs w:val="24"/>
        </w:rPr>
        <w:t>有依法缴纳税收和社会保障资金的良好记录</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_Toc631 \h </w:instrText>
      </w:r>
      <w:r>
        <w:rPr>
          <w:rFonts w:hint="eastAsia" w:ascii="黑体" w:hAnsi="黑体" w:eastAsia="黑体" w:cs="黑体"/>
          <w:sz w:val="24"/>
          <w:szCs w:val="24"/>
        </w:rPr>
        <w:fldChar w:fldCharType="separate"/>
      </w:r>
      <w:r>
        <w:rPr>
          <w:rFonts w:hint="eastAsia" w:ascii="黑体" w:hAnsi="黑体" w:eastAsia="黑体" w:cs="黑体"/>
          <w:sz w:val="24"/>
          <w:szCs w:val="24"/>
        </w:rPr>
        <w:t>88</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31D5CB38">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_Toc15391 </w:instrText>
      </w:r>
      <w:r>
        <w:rPr>
          <w:rFonts w:hint="eastAsia" w:ascii="黑体" w:hAnsi="黑体" w:eastAsia="黑体" w:cs="黑体"/>
          <w:sz w:val="24"/>
          <w:szCs w:val="24"/>
        </w:rPr>
        <w:fldChar w:fldCharType="separate"/>
      </w:r>
      <w:r>
        <w:rPr>
          <w:rFonts w:hint="eastAsia" w:ascii="黑体" w:hAnsi="黑体" w:eastAsia="黑体" w:cs="黑体"/>
          <w:sz w:val="24"/>
          <w:szCs w:val="24"/>
          <w:lang w:eastAsia="zh-CN"/>
        </w:rPr>
        <w:t>（</w:t>
      </w:r>
      <w:r>
        <w:rPr>
          <w:rFonts w:hint="eastAsia" w:ascii="黑体" w:hAnsi="黑体" w:eastAsia="黑体" w:cs="黑体"/>
          <w:sz w:val="24"/>
          <w:szCs w:val="24"/>
          <w:lang w:val="en-US" w:eastAsia="zh-CN"/>
        </w:rPr>
        <w:t>五</w:t>
      </w:r>
      <w:r>
        <w:rPr>
          <w:rFonts w:hint="eastAsia" w:ascii="黑体" w:hAnsi="黑体" w:eastAsia="黑体" w:cs="黑体"/>
          <w:sz w:val="24"/>
          <w:szCs w:val="24"/>
          <w:lang w:eastAsia="zh-CN"/>
        </w:rPr>
        <w:t>）</w:t>
      </w:r>
      <w:r>
        <w:rPr>
          <w:rFonts w:hint="eastAsia" w:ascii="黑体" w:hAnsi="黑体" w:eastAsia="黑体" w:cs="黑体"/>
          <w:sz w:val="24"/>
          <w:szCs w:val="24"/>
        </w:rPr>
        <w:t>参加本次采购活动前三年内，在经营活动中没有重大违法记录</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_Toc15391 \h </w:instrText>
      </w:r>
      <w:r>
        <w:rPr>
          <w:rFonts w:hint="eastAsia" w:ascii="黑体" w:hAnsi="黑体" w:eastAsia="黑体" w:cs="黑体"/>
          <w:sz w:val="24"/>
          <w:szCs w:val="24"/>
        </w:rPr>
        <w:fldChar w:fldCharType="separate"/>
      </w:r>
      <w:r>
        <w:rPr>
          <w:rFonts w:hint="eastAsia" w:ascii="黑体" w:hAnsi="黑体" w:eastAsia="黑体" w:cs="黑体"/>
          <w:sz w:val="24"/>
          <w:szCs w:val="24"/>
        </w:rPr>
        <w:t>88</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2D25F14D">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_Toc11524 </w:instrText>
      </w:r>
      <w:r>
        <w:rPr>
          <w:rFonts w:hint="eastAsia" w:ascii="黑体" w:hAnsi="黑体" w:eastAsia="黑体" w:cs="黑体"/>
          <w:sz w:val="24"/>
          <w:szCs w:val="24"/>
        </w:rPr>
        <w:fldChar w:fldCharType="separate"/>
      </w:r>
      <w:r>
        <w:rPr>
          <w:rFonts w:hint="eastAsia" w:ascii="黑体" w:hAnsi="黑体" w:eastAsia="黑体" w:cs="黑体"/>
          <w:sz w:val="24"/>
          <w:szCs w:val="24"/>
          <w:lang w:eastAsia="zh-CN"/>
        </w:rPr>
        <w:t>（</w:t>
      </w:r>
      <w:r>
        <w:rPr>
          <w:rFonts w:hint="eastAsia" w:ascii="黑体" w:hAnsi="黑体" w:eastAsia="黑体" w:cs="黑体"/>
          <w:sz w:val="24"/>
          <w:szCs w:val="24"/>
          <w:lang w:val="en-US" w:eastAsia="zh-CN"/>
        </w:rPr>
        <w:t>六</w:t>
      </w:r>
      <w:r>
        <w:rPr>
          <w:rFonts w:hint="eastAsia" w:ascii="黑体" w:hAnsi="黑体" w:eastAsia="黑体" w:cs="黑体"/>
          <w:sz w:val="24"/>
          <w:szCs w:val="24"/>
          <w:lang w:eastAsia="zh-CN"/>
        </w:rPr>
        <w:t>）</w:t>
      </w:r>
      <w:r>
        <w:rPr>
          <w:rFonts w:hint="eastAsia" w:ascii="黑体" w:hAnsi="黑体" w:eastAsia="黑体" w:cs="黑体"/>
          <w:sz w:val="24"/>
          <w:szCs w:val="24"/>
        </w:rPr>
        <w:t>特定资格要求</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_Toc11524 \h </w:instrText>
      </w:r>
      <w:r>
        <w:rPr>
          <w:rFonts w:hint="eastAsia" w:ascii="黑体" w:hAnsi="黑体" w:eastAsia="黑体" w:cs="黑体"/>
          <w:sz w:val="24"/>
          <w:szCs w:val="24"/>
        </w:rPr>
        <w:fldChar w:fldCharType="separate"/>
      </w:r>
      <w:r>
        <w:rPr>
          <w:rFonts w:hint="eastAsia" w:ascii="黑体" w:hAnsi="黑体" w:eastAsia="黑体" w:cs="黑体"/>
          <w:sz w:val="24"/>
          <w:szCs w:val="24"/>
        </w:rPr>
        <w:t>88</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76A10F3E">
      <w:pPr>
        <w:pStyle w:val="30"/>
        <w:tabs>
          <w:tab w:val="right" w:leader="dot" w:pos="9066"/>
          <w:tab w:val="clear" w:pos="9628"/>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_Toc14186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三、</w:t>
      </w:r>
      <w:r>
        <w:rPr>
          <w:rFonts w:hint="eastAsia" w:ascii="黑体" w:hAnsi="黑体" w:eastAsia="黑体" w:cs="黑体"/>
          <w:sz w:val="24"/>
          <w:szCs w:val="24"/>
        </w:rPr>
        <w:t>商务部分</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_Toc14186 \h </w:instrText>
      </w:r>
      <w:r>
        <w:rPr>
          <w:rFonts w:hint="eastAsia" w:ascii="黑体" w:hAnsi="黑体" w:eastAsia="黑体" w:cs="黑体"/>
          <w:sz w:val="24"/>
          <w:szCs w:val="24"/>
        </w:rPr>
        <w:fldChar w:fldCharType="separate"/>
      </w:r>
      <w:r>
        <w:rPr>
          <w:rFonts w:hint="eastAsia" w:ascii="黑体" w:hAnsi="黑体" w:eastAsia="黑体" w:cs="黑体"/>
          <w:sz w:val="24"/>
          <w:szCs w:val="24"/>
        </w:rPr>
        <w:t>90</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56D6D651">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_Toc7398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（一）</w:t>
      </w:r>
      <w:r>
        <w:rPr>
          <w:rFonts w:hint="eastAsia" w:ascii="黑体" w:hAnsi="黑体" w:eastAsia="黑体" w:cs="黑体"/>
          <w:sz w:val="24"/>
          <w:szCs w:val="24"/>
        </w:rPr>
        <w:t>法定代表人身份证明书</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_Toc7398 \h </w:instrText>
      </w:r>
      <w:r>
        <w:rPr>
          <w:rFonts w:hint="eastAsia" w:ascii="黑体" w:hAnsi="黑体" w:eastAsia="黑体" w:cs="黑体"/>
          <w:sz w:val="24"/>
          <w:szCs w:val="24"/>
        </w:rPr>
        <w:fldChar w:fldCharType="separate"/>
      </w:r>
      <w:r>
        <w:rPr>
          <w:rFonts w:hint="eastAsia" w:ascii="黑体" w:hAnsi="黑体" w:eastAsia="黑体" w:cs="黑体"/>
          <w:sz w:val="24"/>
          <w:szCs w:val="24"/>
        </w:rPr>
        <w:t>91</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010F8E5F">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_Toc19098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（二）</w:t>
      </w:r>
      <w:r>
        <w:rPr>
          <w:rFonts w:hint="eastAsia" w:ascii="黑体" w:hAnsi="黑体" w:eastAsia="黑体" w:cs="黑体"/>
          <w:sz w:val="24"/>
          <w:szCs w:val="24"/>
        </w:rPr>
        <w:t>法定代表人授权委托书</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_Toc19098 \h </w:instrText>
      </w:r>
      <w:r>
        <w:rPr>
          <w:rFonts w:hint="eastAsia" w:ascii="黑体" w:hAnsi="黑体" w:eastAsia="黑体" w:cs="黑体"/>
          <w:sz w:val="24"/>
          <w:szCs w:val="24"/>
        </w:rPr>
        <w:fldChar w:fldCharType="separate"/>
      </w:r>
      <w:r>
        <w:rPr>
          <w:rFonts w:hint="eastAsia" w:ascii="黑体" w:hAnsi="黑体" w:eastAsia="黑体" w:cs="黑体"/>
          <w:sz w:val="24"/>
          <w:szCs w:val="24"/>
        </w:rPr>
        <w:t>92</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1F13102F">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_Toc8820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（三）</w:t>
      </w:r>
      <w:r>
        <w:rPr>
          <w:rFonts w:hint="eastAsia" w:ascii="黑体" w:hAnsi="黑体" w:eastAsia="黑体" w:cs="黑体"/>
          <w:sz w:val="24"/>
          <w:szCs w:val="24"/>
        </w:rPr>
        <w:t>投标人基本情况表</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_Toc8820 \h </w:instrText>
      </w:r>
      <w:r>
        <w:rPr>
          <w:rFonts w:hint="eastAsia" w:ascii="黑体" w:hAnsi="黑体" w:eastAsia="黑体" w:cs="黑体"/>
          <w:sz w:val="24"/>
          <w:szCs w:val="24"/>
        </w:rPr>
        <w:fldChar w:fldCharType="separate"/>
      </w:r>
      <w:r>
        <w:rPr>
          <w:rFonts w:hint="eastAsia" w:ascii="黑体" w:hAnsi="黑体" w:eastAsia="黑体" w:cs="黑体"/>
          <w:sz w:val="24"/>
          <w:szCs w:val="24"/>
        </w:rPr>
        <w:t>93</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5292EA24">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_Toc17840 </w:instrText>
      </w:r>
      <w:r>
        <w:rPr>
          <w:rFonts w:hint="eastAsia" w:ascii="黑体" w:hAnsi="黑体" w:eastAsia="黑体" w:cs="黑体"/>
          <w:sz w:val="24"/>
          <w:szCs w:val="24"/>
        </w:rPr>
        <w:fldChar w:fldCharType="separate"/>
      </w:r>
      <w:r>
        <w:rPr>
          <w:rFonts w:hint="eastAsia" w:ascii="黑体" w:hAnsi="黑体" w:eastAsia="黑体" w:cs="黑体"/>
          <w:sz w:val="24"/>
          <w:szCs w:val="24"/>
          <w:lang w:eastAsia="zh-CN"/>
        </w:rPr>
        <w:t>（</w:t>
      </w:r>
      <w:r>
        <w:rPr>
          <w:rFonts w:hint="eastAsia" w:ascii="黑体" w:hAnsi="黑体" w:eastAsia="黑体" w:cs="黑体"/>
          <w:sz w:val="24"/>
          <w:szCs w:val="24"/>
          <w:lang w:val="en-US" w:eastAsia="zh-CN"/>
        </w:rPr>
        <w:t>四</w:t>
      </w:r>
      <w:r>
        <w:rPr>
          <w:rFonts w:hint="eastAsia" w:ascii="黑体" w:hAnsi="黑体" w:eastAsia="黑体" w:cs="黑体"/>
          <w:sz w:val="24"/>
          <w:szCs w:val="24"/>
          <w:lang w:eastAsia="zh-CN"/>
        </w:rPr>
        <w:t>）</w:t>
      </w:r>
      <w:r>
        <w:rPr>
          <w:rFonts w:hint="eastAsia" w:ascii="黑体" w:hAnsi="黑体" w:eastAsia="黑体" w:cs="黑体"/>
          <w:sz w:val="24"/>
          <w:szCs w:val="24"/>
        </w:rPr>
        <w:t>商务条款偏离表</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_Toc17840 \h </w:instrText>
      </w:r>
      <w:r>
        <w:rPr>
          <w:rFonts w:hint="eastAsia" w:ascii="黑体" w:hAnsi="黑体" w:eastAsia="黑体" w:cs="黑体"/>
          <w:sz w:val="24"/>
          <w:szCs w:val="24"/>
        </w:rPr>
        <w:fldChar w:fldCharType="separate"/>
      </w:r>
      <w:r>
        <w:rPr>
          <w:rFonts w:hint="eastAsia" w:ascii="黑体" w:hAnsi="黑体" w:eastAsia="黑体" w:cs="黑体"/>
          <w:sz w:val="24"/>
          <w:szCs w:val="24"/>
        </w:rPr>
        <w:t>94</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6369DEE8">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_Toc12946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（五）</w:t>
      </w:r>
      <w:r>
        <w:rPr>
          <w:rFonts w:hint="eastAsia" w:ascii="黑体" w:hAnsi="黑体" w:eastAsia="黑体" w:cs="黑体"/>
          <w:sz w:val="24"/>
          <w:szCs w:val="24"/>
        </w:rPr>
        <w:t>中小企业声明函</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_Toc12946 \h </w:instrText>
      </w:r>
      <w:r>
        <w:rPr>
          <w:rFonts w:hint="eastAsia" w:ascii="黑体" w:hAnsi="黑体" w:eastAsia="黑体" w:cs="黑体"/>
          <w:sz w:val="24"/>
          <w:szCs w:val="24"/>
        </w:rPr>
        <w:fldChar w:fldCharType="separate"/>
      </w:r>
      <w:r>
        <w:rPr>
          <w:rFonts w:hint="eastAsia" w:ascii="黑体" w:hAnsi="黑体" w:eastAsia="黑体" w:cs="黑体"/>
          <w:sz w:val="24"/>
          <w:szCs w:val="24"/>
        </w:rPr>
        <w:t>95</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4F282D97">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_Toc9053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（六）</w:t>
      </w:r>
      <w:r>
        <w:rPr>
          <w:rFonts w:hint="eastAsia" w:ascii="黑体" w:hAnsi="黑体" w:eastAsia="黑体" w:cs="黑体"/>
          <w:sz w:val="24"/>
          <w:szCs w:val="24"/>
        </w:rPr>
        <w:t>残疾人福利性单位声明函</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_Toc9053 \h </w:instrText>
      </w:r>
      <w:r>
        <w:rPr>
          <w:rFonts w:hint="eastAsia" w:ascii="黑体" w:hAnsi="黑体" w:eastAsia="黑体" w:cs="黑体"/>
          <w:sz w:val="24"/>
          <w:szCs w:val="24"/>
        </w:rPr>
        <w:fldChar w:fldCharType="separate"/>
      </w:r>
      <w:r>
        <w:rPr>
          <w:rFonts w:hint="eastAsia" w:ascii="黑体" w:hAnsi="黑体" w:eastAsia="黑体" w:cs="黑体"/>
          <w:sz w:val="24"/>
          <w:szCs w:val="24"/>
        </w:rPr>
        <w:t>99</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694E548A">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_Toc14618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（七）</w:t>
      </w:r>
      <w:r>
        <w:rPr>
          <w:rFonts w:hint="eastAsia" w:ascii="黑体" w:hAnsi="黑体" w:eastAsia="黑体" w:cs="黑体"/>
          <w:sz w:val="24"/>
          <w:szCs w:val="24"/>
        </w:rPr>
        <w:t>监狱企业证明</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_Toc14618 \h </w:instrText>
      </w:r>
      <w:r>
        <w:rPr>
          <w:rFonts w:hint="eastAsia" w:ascii="黑体" w:hAnsi="黑体" w:eastAsia="黑体" w:cs="黑体"/>
          <w:sz w:val="24"/>
          <w:szCs w:val="24"/>
        </w:rPr>
        <w:fldChar w:fldCharType="separate"/>
      </w:r>
      <w:r>
        <w:rPr>
          <w:rFonts w:hint="eastAsia" w:ascii="黑体" w:hAnsi="黑体" w:eastAsia="黑体" w:cs="黑体"/>
          <w:sz w:val="24"/>
          <w:szCs w:val="24"/>
        </w:rPr>
        <w:t>100</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54565937">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_Toc21562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（八）</w:t>
      </w:r>
      <w:r>
        <w:rPr>
          <w:rFonts w:hint="eastAsia" w:ascii="黑体" w:hAnsi="黑体" w:eastAsia="黑体" w:cs="黑体"/>
          <w:sz w:val="24"/>
          <w:szCs w:val="24"/>
        </w:rPr>
        <w:t>节能产品/环境标志产品</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_Toc21562 \h </w:instrText>
      </w:r>
      <w:r>
        <w:rPr>
          <w:rFonts w:hint="eastAsia" w:ascii="黑体" w:hAnsi="黑体" w:eastAsia="黑体" w:cs="黑体"/>
          <w:sz w:val="24"/>
          <w:szCs w:val="24"/>
        </w:rPr>
        <w:fldChar w:fldCharType="separate"/>
      </w:r>
      <w:r>
        <w:rPr>
          <w:rFonts w:hint="eastAsia" w:ascii="黑体" w:hAnsi="黑体" w:eastAsia="黑体" w:cs="黑体"/>
          <w:sz w:val="24"/>
          <w:szCs w:val="24"/>
        </w:rPr>
        <w:t>101</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4545AF5C">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_Toc28611 </w:instrText>
      </w:r>
      <w:r>
        <w:rPr>
          <w:rFonts w:hint="eastAsia" w:ascii="黑体" w:hAnsi="黑体" w:eastAsia="黑体" w:cs="黑体"/>
          <w:sz w:val="24"/>
          <w:szCs w:val="24"/>
        </w:rPr>
        <w:fldChar w:fldCharType="separate"/>
      </w:r>
      <w:r>
        <w:rPr>
          <w:rFonts w:hint="eastAsia" w:ascii="黑体" w:hAnsi="黑体" w:eastAsia="黑体" w:cs="黑体"/>
          <w:sz w:val="24"/>
          <w:szCs w:val="24"/>
        </w:rPr>
        <w:t>（</w:t>
      </w:r>
      <w:r>
        <w:rPr>
          <w:rFonts w:hint="eastAsia" w:ascii="黑体" w:hAnsi="黑体" w:eastAsia="黑体" w:cs="黑体"/>
          <w:sz w:val="24"/>
          <w:szCs w:val="24"/>
          <w:lang w:val="en-US" w:eastAsia="zh-CN"/>
        </w:rPr>
        <w:t>九</w:t>
      </w:r>
      <w:r>
        <w:rPr>
          <w:rFonts w:hint="eastAsia" w:ascii="黑体" w:hAnsi="黑体" w:eastAsia="黑体" w:cs="黑体"/>
          <w:sz w:val="24"/>
          <w:szCs w:val="24"/>
        </w:rPr>
        <w:t>）关于符合本国产品标准的声明函或财政部规定的其他证明文件</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_Toc28611 \h </w:instrText>
      </w:r>
      <w:r>
        <w:rPr>
          <w:rFonts w:hint="eastAsia" w:ascii="黑体" w:hAnsi="黑体" w:eastAsia="黑体" w:cs="黑体"/>
          <w:sz w:val="24"/>
          <w:szCs w:val="24"/>
        </w:rPr>
        <w:fldChar w:fldCharType="separate"/>
      </w:r>
      <w:r>
        <w:rPr>
          <w:rFonts w:hint="eastAsia" w:ascii="黑体" w:hAnsi="黑体" w:eastAsia="黑体" w:cs="黑体"/>
          <w:sz w:val="24"/>
          <w:szCs w:val="24"/>
        </w:rPr>
        <w:t>102</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32E57FB1">
      <w:pPr>
        <w:pStyle w:val="3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_Toc4252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Hans"/>
        </w:rPr>
        <w:t>中国境内生产的组件成本核算基本规则</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_Toc4252 \h </w:instrText>
      </w:r>
      <w:r>
        <w:rPr>
          <w:rFonts w:hint="eastAsia" w:ascii="黑体" w:hAnsi="黑体" w:eastAsia="黑体" w:cs="黑体"/>
          <w:sz w:val="24"/>
          <w:szCs w:val="24"/>
        </w:rPr>
        <w:fldChar w:fldCharType="separate"/>
      </w:r>
      <w:r>
        <w:rPr>
          <w:rFonts w:hint="eastAsia" w:ascii="黑体" w:hAnsi="黑体" w:eastAsia="黑体" w:cs="黑体"/>
          <w:sz w:val="24"/>
          <w:szCs w:val="24"/>
        </w:rPr>
        <w:t>104</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12FBAC1A">
      <w:pPr>
        <w:pStyle w:val="3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_Toc25890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Hans"/>
        </w:rPr>
        <w:t>本国产品标准有关证明材料（如适用）</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_Toc25890 \h </w:instrText>
      </w:r>
      <w:r>
        <w:rPr>
          <w:rFonts w:hint="eastAsia" w:ascii="黑体" w:hAnsi="黑体" w:eastAsia="黑体" w:cs="黑体"/>
          <w:sz w:val="24"/>
          <w:szCs w:val="24"/>
        </w:rPr>
        <w:fldChar w:fldCharType="separate"/>
      </w:r>
      <w:r>
        <w:rPr>
          <w:rFonts w:hint="eastAsia" w:ascii="黑体" w:hAnsi="黑体" w:eastAsia="黑体" w:cs="黑体"/>
          <w:sz w:val="24"/>
          <w:szCs w:val="24"/>
        </w:rPr>
        <w:t>104</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4663763E">
      <w:pPr>
        <w:pStyle w:val="30"/>
        <w:tabs>
          <w:tab w:val="right" w:leader="dot" w:pos="9066"/>
          <w:tab w:val="clear" w:pos="9628"/>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_Toc31916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四、</w:t>
      </w:r>
      <w:r>
        <w:rPr>
          <w:rFonts w:hint="eastAsia" w:ascii="黑体" w:hAnsi="黑体" w:eastAsia="黑体" w:cs="黑体"/>
          <w:sz w:val="24"/>
          <w:szCs w:val="24"/>
        </w:rPr>
        <w:t>技术部分</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_Toc31916 \h </w:instrText>
      </w:r>
      <w:r>
        <w:rPr>
          <w:rFonts w:hint="eastAsia" w:ascii="黑体" w:hAnsi="黑体" w:eastAsia="黑体" w:cs="黑体"/>
          <w:sz w:val="24"/>
          <w:szCs w:val="24"/>
        </w:rPr>
        <w:fldChar w:fldCharType="separate"/>
      </w:r>
      <w:r>
        <w:rPr>
          <w:rFonts w:hint="eastAsia" w:ascii="黑体" w:hAnsi="黑体" w:eastAsia="黑体" w:cs="黑体"/>
          <w:sz w:val="24"/>
          <w:szCs w:val="24"/>
        </w:rPr>
        <w:t>105</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75622E17">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_Toc7634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（一）技术条款偏离表</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_Toc7634 \h </w:instrText>
      </w:r>
      <w:r>
        <w:rPr>
          <w:rFonts w:hint="eastAsia" w:ascii="黑体" w:hAnsi="黑体" w:eastAsia="黑体" w:cs="黑体"/>
          <w:sz w:val="24"/>
          <w:szCs w:val="24"/>
        </w:rPr>
        <w:fldChar w:fldCharType="separate"/>
      </w:r>
      <w:r>
        <w:rPr>
          <w:rFonts w:hint="eastAsia" w:ascii="黑体" w:hAnsi="黑体" w:eastAsia="黑体" w:cs="黑体"/>
          <w:sz w:val="24"/>
          <w:szCs w:val="24"/>
        </w:rPr>
        <w:t>106</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736538A8">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_Toc14316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（二）</w:t>
      </w:r>
      <w:r>
        <w:rPr>
          <w:rFonts w:hint="eastAsia" w:ascii="黑体" w:hAnsi="黑体" w:eastAsia="黑体" w:cs="黑体"/>
          <w:sz w:val="24"/>
          <w:szCs w:val="24"/>
        </w:rPr>
        <w:t>项目服务方案</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_Toc14316 \h </w:instrText>
      </w:r>
      <w:r>
        <w:rPr>
          <w:rFonts w:hint="eastAsia" w:ascii="黑体" w:hAnsi="黑体" w:eastAsia="黑体" w:cs="黑体"/>
          <w:sz w:val="24"/>
          <w:szCs w:val="24"/>
        </w:rPr>
        <w:fldChar w:fldCharType="separate"/>
      </w:r>
      <w:r>
        <w:rPr>
          <w:rFonts w:hint="eastAsia" w:ascii="黑体" w:hAnsi="黑体" w:eastAsia="黑体" w:cs="黑体"/>
          <w:sz w:val="24"/>
          <w:szCs w:val="24"/>
        </w:rPr>
        <w:t>107</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722CF284">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_Toc9127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（三）售后</w:t>
      </w:r>
      <w:r>
        <w:rPr>
          <w:rFonts w:hint="eastAsia" w:ascii="黑体" w:hAnsi="黑体" w:eastAsia="黑体" w:cs="黑体"/>
          <w:sz w:val="24"/>
          <w:szCs w:val="24"/>
        </w:rPr>
        <w:t>服务承诺及保证措施</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_Toc9127 \h </w:instrText>
      </w:r>
      <w:r>
        <w:rPr>
          <w:rFonts w:hint="eastAsia" w:ascii="黑体" w:hAnsi="黑体" w:eastAsia="黑体" w:cs="黑体"/>
          <w:sz w:val="24"/>
          <w:szCs w:val="24"/>
        </w:rPr>
        <w:fldChar w:fldCharType="separate"/>
      </w:r>
      <w:r>
        <w:rPr>
          <w:rFonts w:hint="eastAsia" w:ascii="黑体" w:hAnsi="黑体" w:eastAsia="黑体" w:cs="黑体"/>
          <w:sz w:val="24"/>
          <w:szCs w:val="24"/>
        </w:rPr>
        <w:t>107</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7F387577">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_Toc23115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（四）</w:t>
      </w:r>
      <w:r>
        <w:rPr>
          <w:rFonts w:hint="eastAsia" w:ascii="黑体" w:hAnsi="黑体" w:eastAsia="黑体" w:cs="黑体"/>
          <w:sz w:val="24"/>
          <w:szCs w:val="24"/>
        </w:rPr>
        <w:t>团队人员</w:t>
      </w:r>
      <w:r>
        <w:rPr>
          <w:rFonts w:hint="eastAsia" w:ascii="黑体" w:hAnsi="黑体" w:eastAsia="黑体" w:cs="黑体"/>
          <w:sz w:val="24"/>
          <w:szCs w:val="24"/>
          <w:lang w:val="en-US" w:eastAsia="zh-CN"/>
        </w:rPr>
        <w:t>配备</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_Toc23115 \h </w:instrText>
      </w:r>
      <w:r>
        <w:rPr>
          <w:rFonts w:hint="eastAsia" w:ascii="黑体" w:hAnsi="黑体" w:eastAsia="黑体" w:cs="黑体"/>
          <w:sz w:val="24"/>
          <w:szCs w:val="24"/>
        </w:rPr>
        <w:fldChar w:fldCharType="separate"/>
      </w:r>
      <w:r>
        <w:rPr>
          <w:rFonts w:hint="eastAsia" w:ascii="黑体" w:hAnsi="黑体" w:eastAsia="黑体" w:cs="黑体"/>
          <w:sz w:val="24"/>
          <w:szCs w:val="24"/>
        </w:rPr>
        <w:t>107</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7396B3DE">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_Toc4372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（五）</w:t>
      </w:r>
      <w:r>
        <w:rPr>
          <w:rFonts w:hint="eastAsia" w:ascii="黑体" w:hAnsi="黑体" w:eastAsia="黑体" w:cs="黑体"/>
          <w:sz w:val="24"/>
          <w:szCs w:val="24"/>
        </w:rPr>
        <w:t>业绩（如有）</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_Toc4372 \h </w:instrText>
      </w:r>
      <w:r>
        <w:rPr>
          <w:rFonts w:hint="eastAsia" w:ascii="黑体" w:hAnsi="黑体" w:eastAsia="黑体" w:cs="黑体"/>
          <w:sz w:val="24"/>
          <w:szCs w:val="24"/>
        </w:rPr>
        <w:fldChar w:fldCharType="separate"/>
      </w:r>
      <w:r>
        <w:rPr>
          <w:rFonts w:hint="eastAsia" w:ascii="黑体" w:hAnsi="黑体" w:eastAsia="黑体" w:cs="黑体"/>
          <w:sz w:val="24"/>
          <w:szCs w:val="24"/>
        </w:rPr>
        <w:t>107</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72DB572D">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_Toc17424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（六）</w:t>
      </w:r>
      <w:r>
        <w:rPr>
          <w:rFonts w:hint="eastAsia" w:ascii="黑体" w:hAnsi="黑体" w:eastAsia="黑体" w:cs="黑体"/>
          <w:sz w:val="24"/>
          <w:szCs w:val="24"/>
        </w:rPr>
        <w:t>其他资料</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_Toc17424 \h </w:instrText>
      </w:r>
      <w:r>
        <w:rPr>
          <w:rFonts w:hint="eastAsia" w:ascii="黑体" w:hAnsi="黑体" w:eastAsia="黑体" w:cs="黑体"/>
          <w:sz w:val="24"/>
          <w:szCs w:val="24"/>
        </w:rPr>
        <w:fldChar w:fldCharType="separate"/>
      </w:r>
      <w:r>
        <w:rPr>
          <w:rFonts w:hint="eastAsia" w:ascii="黑体" w:hAnsi="黑体" w:eastAsia="黑体" w:cs="黑体"/>
          <w:sz w:val="24"/>
          <w:szCs w:val="24"/>
        </w:rPr>
        <w:t>107</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47B2EAFF">
      <w:pPr>
        <w:tabs>
          <w:tab w:val="right" w:leader="dot" w:pos="9072"/>
          <w:tab w:val="right" w:leader="dot" w:pos="9214"/>
        </w:tabs>
        <w:spacing w:line="360" w:lineRule="auto"/>
        <w:rPr>
          <w:color w:val="auto"/>
        </w:rPr>
      </w:pPr>
      <w:r>
        <w:rPr>
          <w:rFonts w:hint="eastAsia" w:ascii="黑体" w:hAnsi="黑体" w:eastAsia="黑体" w:cs="黑体"/>
          <w:color w:val="auto"/>
          <w:sz w:val="24"/>
          <w:szCs w:val="24"/>
        </w:rPr>
        <w:fldChar w:fldCharType="end"/>
      </w:r>
      <w:bookmarkStart w:id="0" w:name="_Hlt276041081"/>
      <w:bookmarkEnd w:id="0"/>
      <w:bookmarkStart w:id="1" w:name="_Hlt276041080"/>
      <w:bookmarkEnd w:id="1"/>
      <w:bookmarkStart w:id="2" w:name="_Toc275889745"/>
      <w:bookmarkStart w:id="3" w:name="_Toc276300653"/>
    </w:p>
    <w:p w14:paraId="35EE1C11">
      <w:pPr>
        <w:rPr>
          <w:color w:val="auto"/>
        </w:rPr>
      </w:pPr>
      <w:r>
        <w:rPr>
          <w:color w:val="auto"/>
          <w:sz w:val="20"/>
          <w:szCs w:val="20"/>
        </w:rPr>
        <w:br w:type="page"/>
      </w:r>
    </w:p>
    <w:p w14:paraId="0AB79371">
      <w:pPr>
        <w:pStyle w:val="40"/>
        <w:rPr>
          <w:color w:val="auto"/>
        </w:rPr>
      </w:pPr>
      <w:bookmarkStart w:id="4" w:name="_Toc24374"/>
      <w:r>
        <w:rPr>
          <w:rFonts w:hint="eastAsia"/>
          <w:color w:val="auto"/>
        </w:rPr>
        <w:t xml:space="preserve">第一章  </w:t>
      </w:r>
      <w:bookmarkStart w:id="5" w:name="_Hlk107777305"/>
      <w:r>
        <w:rPr>
          <w:rFonts w:hint="eastAsia"/>
          <w:color w:val="auto"/>
        </w:rPr>
        <w:t>竞争性</w:t>
      </w:r>
      <w:bookmarkEnd w:id="2"/>
      <w:bookmarkEnd w:id="3"/>
      <w:r>
        <w:rPr>
          <w:rFonts w:hint="eastAsia"/>
          <w:color w:val="auto"/>
        </w:rPr>
        <w:t>谈判公告</w:t>
      </w:r>
      <w:bookmarkEnd w:id="4"/>
    </w:p>
    <w:p w14:paraId="7AF901EF">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s="宋体"/>
          <w:color w:val="auto"/>
          <w:szCs w:val="21"/>
        </w:rPr>
      </w:pPr>
      <w:r>
        <w:rPr>
          <w:rFonts w:hint="eastAsia" w:ascii="宋体" w:hAnsi="宋体" w:cs="宋体"/>
          <w:color w:val="auto"/>
          <w:szCs w:val="21"/>
        </w:rPr>
        <w:t>项目概况</w:t>
      </w:r>
    </w:p>
    <w:p w14:paraId="3DCC2988">
      <w:pPr>
        <w:pBdr>
          <w:top w:val="single" w:color="auto" w:sz="4" w:space="1"/>
          <w:left w:val="single" w:color="auto" w:sz="4" w:space="4"/>
          <w:bottom w:val="single" w:color="auto" w:sz="4" w:space="1"/>
          <w:right w:val="single" w:color="auto" w:sz="4" w:space="4"/>
        </w:pBdr>
        <w:spacing w:line="480" w:lineRule="exact"/>
        <w:ind w:firstLine="420" w:firstLineChars="200"/>
        <w:rPr>
          <w:rFonts w:hint="eastAsia" w:ascii="宋体" w:hAnsi="宋体"/>
          <w:color w:val="auto"/>
          <w:sz w:val="24"/>
        </w:rPr>
      </w:pPr>
      <w:r>
        <w:rPr>
          <w:rFonts w:hint="eastAsia" w:ascii="宋体" w:hAnsi="宋体"/>
          <w:color w:val="auto"/>
          <w:kern w:val="0"/>
          <w:szCs w:val="21"/>
          <w:u w:val="single"/>
          <w:shd w:val="clear" w:color="auto" w:fill="FFFFFF"/>
          <w:lang w:eastAsia="zh-CN" w:bidi="ar"/>
        </w:rPr>
        <w:t>西山区芳草地国际学校建设项目设施设备（电脑类、家具类）</w:t>
      </w:r>
      <w:r>
        <w:rPr>
          <w:rFonts w:hint="eastAsia" w:ascii="宋体" w:hAnsi="宋体"/>
          <w:color w:val="auto"/>
          <w:kern w:val="0"/>
          <w:szCs w:val="21"/>
          <w:u w:val="single"/>
          <w:shd w:val="clear" w:color="auto" w:fill="FFFFFF"/>
          <w:lang w:bidi="ar"/>
        </w:rPr>
        <w:t xml:space="preserve"> 的潜在供应商应在“政采云”平台（http://www.zcygov.cn）线上获取采购文件，并于202</w:t>
      </w:r>
      <w:r>
        <w:rPr>
          <w:rFonts w:hint="eastAsia" w:ascii="宋体" w:hAnsi="宋体"/>
          <w:color w:val="auto"/>
          <w:kern w:val="0"/>
          <w:szCs w:val="21"/>
          <w:u w:val="single"/>
          <w:shd w:val="clear" w:color="auto" w:fill="FFFFFF"/>
          <w:lang w:val="en-US" w:eastAsia="zh-CN" w:bidi="ar"/>
        </w:rPr>
        <w:t>6</w:t>
      </w:r>
      <w:r>
        <w:rPr>
          <w:rFonts w:hint="eastAsia" w:ascii="宋体" w:hAnsi="宋体"/>
          <w:color w:val="auto"/>
          <w:kern w:val="0"/>
          <w:szCs w:val="21"/>
          <w:u w:val="single"/>
          <w:shd w:val="clear" w:color="auto" w:fill="FFFFFF"/>
          <w:lang w:bidi="ar"/>
        </w:rPr>
        <w:t>年</w:t>
      </w:r>
      <w:r>
        <w:rPr>
          <w:rFonts w:hint="eastAsia" w:ascii="宋体" w:hAnsi="宋体"/>
          <w:color w:val="auto"/>
          <w:kern w:val="0"/>
          <w:szCs w:val="21"/>
          <w:u w:val="single"/>
          <w:shd w:val="clear" w:color="auto" w:fill="FFFFFF"/>
          <w:lang w:val="en-US" w:eastAsia="zh-CN" w:bidi="ar"/>
        </w:rPr>
        <w:t>8</w:t>
      </w:r>
      <w:r>
        <w:rPr>
          <w:rFonts w:hint="eastAsia" w:ascii="宋体" w:hAnsi="宋体"/>
          <w:color w:val="auto"/>
          <w:kern w:val="0"/>
          <w:szCs w:val="21"/>
          <w:u w:val="single"/>
          <w:shd w:val="clear" w:color="auto" w:fill="FFFFFF"/>
          <w:lang w:bidi="ar"/>
        </w:rPr>
        <w:t>月</w:t>
      </w:r>
      <w:r>
        <w:rPr>
          <w:rFonts w:hint="eastAsia" w:ascii="宋体" w:hAnsi="宋体"/>
          <w:color w:val="auto"/>
          <w:kern w:val="0"/>
          <w:szCs w:val="21"/>
          <w:u w:val="single"/>
          <w:shd w:val="clear" w:color="auto" w:fill="FFFFFF"/>
          <w:lang w:val="en-US" w:eastAsia="zh-CN" w:bidi="ar"/>
        </w:rPr>
        <w:t>7</w:t>
      </w:r>
      <w:r>
        <w:rPr>
          <w:rFonts w:hint="eastAsia" w:ascii="宋体" w:hAnsi="宋体"/>
          <w:color w:val="auto"/>
          <w:kern w:val="0"/>
          <w:szCs w:val="21"/>
          <w:u w:val="single"/>
          <w:shd w:val="clear" w:color="auto" w:fill="FFFFFF"/>
          <w:lang w:bidi="ar"/>
        </w:rPr>
        <w:t>日</w:t>
      </w:r>
      <w:r>
        <w:rPr>
          <w:rFonts w:hint="eastAsia" w:ascii="宋体" w:hAnsi="宋体"/>
          <w:color w:val="auto"/>
          <w:kern w:val="0"/>
          <w:szCs w:val="21"/>
          <w:u w:val="single"/>
          <w:shd w:val="clear" w:color="auto" w:fill="FFFFFF"/>
          <w:lang w:val="en-US" w:eastAsia="zh-CN" w:bidi="ar"/>
        </w:rPr>
        <w:t>09</w:t>
      </w:r>
      <w:r>
        <w:rPr>
          <w:rFonts w:hint="eastAsia" w:ascii="宋体" w:hAnsi="宋体"/>
          <w:color w:val="auto"/>
          <w:kern w:val="0"/>
          <w:szCs w:val="21"/>
          <w:u w:val="single"/>
          <w:shd w:val="clear" w:color="auto" w:fill="FFFFFF"/>
          <w:lang w:bidi="ar"/>
        </w:rPr>
        <w:t>时</w:t>
      </w:r>
      <w:r>
        <w:rPr>
          <w:rFonts w:hint="eastAsia" w:ascii="宋体" w:hAnsi="宋体"/>
          <w:color w:val="auto"/>
          <w:kern w:val="0"/>
          <w:szCs w:val="21"/>
          <w:u w:val="single"/>
          <w:shd w:val="clear" w:color="auto" w:fill="FFFFFF"/>
          <w:lang w:val="en-US" w:eastAsia="zh-CN" w:bidi="ar"/>
        </w:rPr>
        <w:t>30</w:t>
      </w:r>
      <w:r>
        <w:rPr>
          <w:rFonts w:hint="eastAsia" w:ascii="宋体" w:hAnsi="宋体"/>
          <w:color w:val="auto"/>
          <w:kern w:val="0"/>
          <w:szCs w:val="21"/>
          <w:u w:val="single"/>
          <w:shd w:val="clear" w:color="auto" w:fill="FFFFFF"/>
          <w:lang w:bidi="ar"/>
        </w:rPr>
        <w:t>分（北京时间）前提交响应文件。</w:t>
      </w:r>
    </w:p>
    <w:p w14:paraId="3ADAE9CD">
      <w:pPr>
        <w:spacing w:line="360" w:lineRule="auto"/>
        <w:rPr>
          <w:b/>
          <w:color w:val="auto"/>
        </w:rPr>
      </w:pPr>
      <w:r>
        <w:rPr>
          <w:rFonts w:hint="eastAsia"/>
          <w:b/>
          <w:color w:val="auto"/>
        </w:rPr>
        <w:t>一、</w:t>
      </w:r>
      <w:r>
        <w:rPr>
          <w:b/>
          <w:color w:val="auto"/>
        </w:rPr>
        <w:t>项目</w:t>
      </w:r>
      <w:r>
        <w:rPr>
          <w:rFonts w:hint="eastAsia"/>
          <w:b/>
          <w:color w:val="auto"/>
        </w:rPr>
        <w:t>基本情况</w:t>
      </w:r>
    </w:p>
    <w:p w14:paraId="7B483775">
      <w:pPr>
        <w:spacing w:line="360" w:lineRule="auto"/>
        <w:ind w:firstLine="424" w:firstLineChars="202"/>
        <w:rPr>
          <w:rFonts w:hint="eastAsia" w:eastAsia="宋体"/>
          <w:color w:val="auto"/>
          <w:lang w:eastAsia="zh-CN"/>
        </w:rPr>
      </w:pPr>
      <w:r>
        <w:rPr>
          <w:color w:val="auto"/>
        </w:rPr>
        <w:t>项目编号：</w:t>
      </w:r>
      <w:r>
        <w:rPr>
          <w:rFonts w:hint="eastAsia"/>
          <w:color w:val="auto"/>
          <w:lang w:eastAsia="zh-CN"/>
        </w:rPr>
        <w:t>KMZC2026-J1-01871-XSQZ-0012</w:t>
      </w:r>
    </w:p>
    <w:p w14:paraId="1C84897A">
      <w:pPr>
        <w:spacing w:line="360" w:lineRule="auto"/>
        <w:ind w:firstLine="424" w:firstLineChars="202"/>
        <w:rPr>
          <w:color w:val="auto"/>
        </w:rPr>
      </w:pPr>
      <w:r>
        <w:rPr>
          <w:color w:val="auto"/>
        </w:rPr>
        <w:t>项目名称：</w:t>
      </w:r>
      <w:r>
        <w:rPr>
          <w:rFonts w:hint="eastAsia"/>
          <w:color w:val="auto"/>
          <w:lang w:eastAsia="zh-CN"/>
        </w:rPr>
        <w:t>西山区芳草地国际学校建设项目设施设备（电脑类、家具类）</w:t>
      </w:r>
    </w:p>
    <w:p w14:paraId="239ADE78">
      <w:pPr>
        <w:spacing w:line="360" w:lineRule="auto"/>
        <w:ind w:firstLine="424" w:firstLineChars="202"/>
        <w:rPr>
          <w:color w:val="auto"/>
        </w:rPr>
      </w:pPr>
      <w:r>
        <w:rPr>
          <w:color w:val="auto"/>
        </w:rPr>
        <w:t>采购</w:t>
      </w:r>
      <w:r>
        <w:rPr>
          <w:rFonts w:hint="eastAsia"/>
          <w:color w:val="auto"/>
        </w:rPr>
        <w:t>方式</w:t>
      </w:r>
      <w:r>
        <w:rPr>
          <w:color w:val="auto"/>
        </w:rPr>
        <w:t>：</w:t>
      </w:r>
      <w:r>
        <w:rPr>
          <w:rFonts w:hint="eastAsia"/>
          <w:color w:val="auto"/>
        </w:rPr>
        <w:t>竞争性谈判</w:t>
      </w:r>
    </w:p>
    <w:p w14:paraId="07557092">
      <w:pPr>
        <w:spacing w:line="360" w:lineRule="auto"/>
        <w:ind w:firstLine="424" w:firstLineChars="202"/>
        <w:rPr>
          <w:color w:val="auto"/>
        </w:rPr>
      </w:pPr>
      <w:r>
        <w:rPr>
          <w:rFonts w:hint="eastAsia"/>
          <w:color w:val="auto"/>
        </w:rPr>
        <w:t>预算金额（万元）：</w:t>
      </w:r>
      <w:r>
        <w:rPr>
          <w:rFonts w:hint="eastAsia"/>
          <w:color w:val="auto"/>
          <w:lang w:val="en-US" w:eastAsia="zh-CN"/>
        </w:rPr>
        <w:t>114.422；</w:t>
      </w:r>
    </w:p>
    <w:p w14:paraId="73CC55BF">
      <w:pPr>
        <w:spacing w:line="360" w:lineRule="auto"/>
        <w:ind w:firstLine="424" w:firstLineChars="202"/>
        <w:rPr>
          <w:color w:val="auto"/>
        </w:rPr>
      </w:pPr>
      <w:r>
        <w:rPr>
          <w:rFonts w:hint="eastAsia"/>
          <w:color w:val="auto"/>
        </w:rPr>
        <w:t>最高限价（万元）：</w:t>
      </w:r>
      <w:r>
        <w:rPr>
          <w:rFonts w:hint="eastAsia"/>
          <w:color w:val="auto"/>
          <w:lang w:val="en-US" w:eastAsia="zh-CN"/>
        </w:rPr>
        <w:t>114.422（其中：标段1:69.50</w:t>
      </w:r>
      <w:r>
        <w:rPr>
          <w:rFonts w:hint="eastAsia"/>
          <w:color w:val="auto"/>
        </w:rPr>
        <w:t>万元</w:t>
      </w:r>
      <w:r>
        <w:rPr>
          <w:rFonts w:hint="eastAsia"/>
          <w:color w:val="auto"/>
          <w:lang w:val="en-US" w:eastAsia="zh-CN"/>
        </w:rPr>
        <w:t>；标段2:44.922</w:t>
      </w:r>
      <w:r>
        <w:rPr>
          <w:rFonts w:hint="eastAsia"/>
          <w:color w:val="auto"/>
        </w:rPr>
        <w:t>万元</w:t>
      </w:r>
      <w:r>
        <w:rPr>
          <w:rFonts w:hint="eastAsia"/>
          <w:color w:val="auto"/>
          <w:lang w:val="en-US" w:eastAsia="zh-CN"/>
        </w:rPr>
        <w:t>）；</w:t>
      </w:r>
    </w:p>
    <w:p w14:paraId="613343B6">
      <w:pPr>
        <w:spacing w:line="360" w:lineRule="auto"/>
        <w:ind w:firstLine="426" w:firstLineChars="202"/>
        <w:rPr>
          <w:rFonts w:hint="default" w:ascii="宋体" w:hAnsi="宋体" w:eastAsia="宋体" w:cs="宋体"/>
          <w:b/>
          <w:bCs/>
          <w:i w:val="0"/>
          <w:iCs w:val="0"/>
          <w:caps w:val="0"/>
          <w:color w:val="auto"/>
          <w:spacing w:val="0"/>
          <w:kern w:val="0"/>
          <w:sz w:val="21"/>
          <w:szCs w:val="21"/>
          <w:lang w:val="en-US" w:eastAsia="zh-CN" w:bidi="ar"/>
        </w:rPr>
      </w:pPr>
      <w:r>
        <w:rPr>
          <w:rFonts w:hint="eastAsia"/>
          <w:b/>
          <w:bCs/>
          <w:color w:val="auto"/>
        </w:rPr>
        <w:t>采购需求：</w:t>
      </w:r>
      <w:r>
        <w:rPr>
          <w:rFonts w:hint="eastAsia" w:ascii="宋体" w:hAnsi="宋体" w:cs="宋体"/>
          <w:b/>
          <w:bCs/>
          <w:i w:val="0"/>
          <w:iCs w:val="0"/>
          <w:caps w:val="0"/>
          <w:color w:val="auto"/>
          <w:spacing w:val="0"/>
          <w:kern w:val="0"/>
          <w:sz w:val="21"/>
          <w:szCs w:val="21"/>
          <w:lang w:val="en-US" w:eastAsia="zh-CN" w:bidi="ar"/>
        </w:rPr>
        <w:t>标段1：电子类</w:t>
      </w:r>
    </w:p>
    <w:tbl>
      <w:tblPr>
        <w:tblStyle w:val="119"/>
        <w:tblW w:w="930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38"/>
        <w:gridCol w:w="2992"/>
        <w:gridCol w:w="1307"/>
        <w:gridCol w:w="1290"/>
        <w:gridCol w:w="1275"/>
        <w:gridCol w:w="1305"/>
      </w:tblGrid>
      <w:tr w14:paraId="37E89A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1138" w:type="dxa"/>
            <w:shd w:val="clear" w:color="auto" w:fill="auto"/>
            <w:vAlign w:val="center"/>
          </w:tcPr>
          <w:p w14:paraId="1D4C96DC">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b/>
                <w:bCs/>
                <w:i w:val="0"/>
                <w:iCs w:val="0"/>
                <w:caps w:val="0"/>
                <w:color w:val="auto"/>
                <w:spacing w:val="0"/>
                <w:kern w:val="0"/>
                <w:sz w:val="21"/>
                <w:szCs w:val="21"/>
                <w:lang w:val="en-US" w:eastAsia="zh-CN" w:bidi="ar"/>
              </w:rPr>
            </w:pPr>
            <w:r>
              <w:rPr>
                <w:rFonts w:hint="eastAsia" w:ascii="宋体" w:hAnsi="宋体" w:eastAsia="宋体" w:cs="宋体"/>
                <w:b/>
                <w:bCs/>
                <w:i w:val="0"/>
                <w:iCs w:val="0"/>
                <w:caps w:val="0"/>
                <w:color w:val="auto"/>
                <w:spacing w:val="0"/>
                <w:kern w:val="0"/>
                <w:sz w:val="21"/>
                <w:szCs w:val="21"/>
                <w:lang w:val="en-US" w:eastAsia="zh-CN" w:bidi="ar"/>
              </w:rPr>
              <w:t>序号</w:t>
            </w:r>
          </w:p>
        </w:tc>
        <w:tc>
          <w:tcPr>
            <w:tcW w:w="2992" w:type="dxa"/>
            <w:vAlign w:val="center"/>
          </w:tcPr>
          <w:p w14:paraId="3BC7450E">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b/>
                <w:bCs/>
                <w:i w:val="0"/>
                <w:iCs w:val="0"/>
                <w:caps w:val="0"/>
                <w:color w:val="auto"/>
                <w:spacing w:val="0"/>
                <w:kern w:val="0"/>
                <w:sz w:val="21"/>
                <w:szCs w:val="21"/>
                <w:lang w:val="en-US" w:eastAsia="zh-CN" w:bidi="ar"/>
              </w:rPr>
            </w:pPr>
            <w:r>
              <w:rPr>
                <w:rFonts w:hint="eastAsia" w:ascii="宋体" w:hAnsi="宋体" w:eastAsia="宋体" w:cs="宋体"/>
                <w:b/>
                <w:bCs/>
                <w:i w:val="0"/>
                <w:iCs w:val="0"/>
                <w:caps w:val="0"/>
                <w:color w:val="auto"/>
                <w:spacing w:val="0"/>
                <w:kern w:val="0"/>
                <w:sz w:val="21"/>
                <w:szCs w:val="21"/>
                <w:lang w:val="en-US" w:eastAsia="zh-CN" w:bidi="ar"/>
              </w:rPr>
              <w:t>产品名称</w:t>
            </w:r>
          </w:p>
        </w:tc>
        <w:tc>
          <w:tcPr>
            <w:tcW w:w="1307" w:type="dxa"/>
            <w:vAlign w:val="center"/>
          </w:tcPr>
          <w:p w14:paraId="7CA305EA">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数量</w:t>
            </w:r>
          </w:p>
        </w:tc>
        <w:tc>
          <w:tcPr>
            <w:tcW w:w="1290" w:type="dxa"/>
            <w:vAlign w:val="center"/>
          </w:tcPr>
          <w:p w14:paraId="2FF4DFE6">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单价（元）</w:t>
            </w:r>
          </w:p>
        </w:tc>
        <w:tc>
          <w:tcPr>
            <w:tcW w:w="1275" w:type="dxa"/>
            <w:vAlign w:val="center"/>
          </w:tcPr>
          <w:p w14:paraId="55B61661">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总价（元）</w:t>
            </w:r>
          </w:p>
        </w:tc>
        <w:tc>
          <w:tcPr>
            <w:tcW w:w="1305" w:type="dxa"/>
            <w:vAlign w:val="center"/>
          </w:tcPr>
          <w:p w14:paraId="761638AA">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是否为核心产品</w:t>
            </w:r>
          </w:p>
        </w:tc>
      </w:tr>
      <w:tr w14:paraId="30D08A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9" w:hRule="atLeast"/>
          <w:jc w:val="center"/>
        </w:trPr>
        <w:tc>
          <w:tcPr>
            <w:tcW w:w="1138" w:type="dxa"/>
            <w:vMerge w:val="restart"/>
            <w:shd w:val="clear" w:color="auto" w:fill="auto"/>
            <w:vAlign w:val="center"/>
          </w:tcPr>
          <w:p w14:paraId="5E70F8B3">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1</w:t>
            </w:r>
          </w:p>
        </w:tc>
        <w:tc>
          <w:tcPr>
            <w:tcW w:w="2992" w:type="dxa"/>
            <w:vAlign w:val="center"/>
          </w:tcPr>
          <w:p w14:paraId="5C5C32B4">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教学一体机电脑</w:t>
            </w:r>
          </w:p>
        </w:tc>
        <w:tc>
          <w:tcPr>
            <w:tcW w:w="1307" w:type="dxa"/>
            <w:vMerge w:val="restart"/>
            <w:vAlign w:val="center"/>
          </w:tcPr>
          <w:p w14:paraId="378AF831">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20台</w:t>
            </w:r>
          </w:p>
        </w:tc>
        <w:tc>
          <w:tcPr>
            <w:tcW w:w="1290" w:type="dxa"/>
            <w:vMerge w:val="restart"/>
            <w:vAlign w:val="center"/>
          </w:tcPr>
          <w:p w14:paraId="06CAFAF9">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13500.00</w:t>
            </w:r>
          </w:p>
        </w:tc>
        <w:tc>
          <w:tcPr>
            <w:tcW w:w="1275" w:type="dxa"/>
            <w:vMerge w:val="restart"/>
            <w:vAlign w:val="center"/>
          </w:tcPr>
          <w:p w14:paraId="5A4BF1B9">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270000.00</w:t>
            </w:r>
          </w:p>
        </w:tc>
        <w:tc>
          <w:tcPr>
            <w:tcW w:w="1305" w:type="dxa"/>
            <w:vMerge w:val="restart"/>
            <w:vAlign w:val="center"/>
          </w:tcPr>
          <w:p w14:paraId="0EFC0BDF">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cs="宋体"/>
                <w:i w:val="0"/>
                <w:iCs w:val="0"/>
                <w:caps w:val="0"/>
                <w:color w:val="auto"/>
                <w:spacing w:val="0"/>
                <w:kern w:val="0"/>
                <w:sz w:val="21"/>
                <w:szCs w:val="21"/>
                <w:lang w:val="en-US" w:eastAsia="zh-CN" w:bidi="ar"/>
              </w:rPr>
              <w:t>否</w:t>
            </w:r>
          </w:p>
        </w:tc>
      </w:tr>
      <w:tr w14:paraId="29A687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9" w:hRule="atLeast"/>
          <w:jc w:val="center"/>
        </w:trPr>
        <w:tc>
          <w:tcPr>
            <w:tcW w:w="1138" w:type="dxa"/>
            <w:vMerge w:val="continue"/>
            <w:shd w:val="clear" w:color="auto" w:fill="auto"/>
            <w:vAlign w:val="center"/>
          </w:tcPr>
          <w:p w14:paraId="764BA754">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p>
        </w:tc>
        <w:tc>
          <w:tcPr>
            <w:tcW w:w="2992" w:type="dxa"/>
            <w:vAlign w:val="center"/>
          </w:tcPr>
          <w:p w14:paraId="324B5B74">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壁挂展台</w:t>
            </w:r>
          </w:p>
        </w:tc>
        <w:tc>
          <w:tcPr>
            <w:tcW w:w="1307" w:type="dxa"/>
            <w:vMerge w:val="continue"/>
            <w:vAlign w:val="center"/>
          </w:tcPr>
          <w:p w14:paraId="2EDB7347">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p>
        </w:tc>
        <w:tc>
          <w:tcPr>
            <w:tcW w:w="1290" w:type="dxa"/>
            <w:vMerge w:val="continue"/>
            <w:vAlign w:val="center"/>
          </w:tcPr>
          <w:p w14:paraId="06C927F3">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p>
        </w:tc>
        <w:tc>
          <w:tcPr>
            <w:tcW w:w="1275" w:type="dxa"/>
            <w:vMerge w:val="continue"/>
            <w:vAlign w:val="center"/>
          </w:tcPr>
          <w:p w14:paraId="4EB50782">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p>
        </w:tc>
        <w:tc>
          <w:tcPr>
            <w:tcW w:w="1305" w:type="dxa"/>
            <w:vMerge w:val="continue"/>
            <w:vAlign w:val="center"/>
          </w:tcPr>
          <w:p w14:paraId="2ED1A5FF">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p>
        </w:tc>
      </w:tr>
      <w:tr w14:paraId="2A469A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9" w:hRule="atLeast"/>
          <w:jc w:val="center"/>
        </w:trPr>
        <w:tc>
          <w:tcPr>
            <w:tcW w:w="1138" w:type="dxa"/>
            <w:shd w:val="clear" w:color="auto" w:fill="auto"/>
            <w:vAlign w:val="center"/>
          </w:tcPr>
          <w:p w14:paraId="58439CEE">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2</w:t>
            </w:r>
          </w:p>
        </w:tc>
        <w:tc>
          <w:tcPr>
            <w:tcW w:w="2992" w:type="dxa"/>
            <w:vAlign w:val="center"/>
          </w:tcPr>
          <w:p w14:paraId="4CE268F2">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信息技术教室（教师机）</w:t>
            </w:r>
          </w:p>
        </w:tc>
        <w:tc>
          <w:tcPr>
            <w:tcW w:w="1307" w:type="dxa"/>
            <w:vAlign w:val="center"/>
          </w:tcPr>
          <w:p w14:paraId="1631EFFE">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4台</w:t>
            </w:r>
          </w:p>
        </w:tc>
        <w:tc>
          <w:tcPr>
            <w:tcW w:w="1290" w:type="dxa"/>
            <w:vAlign w:val="center"/>
          </w:tcPr>
          <w:p w14:paraId="122172D9">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4500.00</w:t>
            </w:r>
          </w:p>
        </w:tc>
        <w:tc>
          <w:tcPr>
            <w:tcW w:w="1275" w:type="dxa"/>
            <w:vAlign w:val="center"/>
          </w:tcPr>
          <w:p w14:paraId="433F472C">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18000.00</w:t>
            </w:r>
          </w:p>
        </w:tc>
        <w:tc>
          <w:tcPr>
            <w:tcW w:w="1305" w:type="dxa"/>
            <w:vAlign w:val="center"/>
          </w:tcPr>
          <w:p w14:paraId="7761F515">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cs="宋体"/>
                <w:i w:val="0"/>
                <w:iCs w:val="0"/>
                <w:caps w:val="0"/>
                <w:color w:val="auto"/>
                <w:spacing w:val="0"/>
                <w:kern w:val="0"/>
                <w:sz w:val="21"/>
                <w:szCs w:val="21"/>
                <w:lang w:val="en-US" w:eastAsia="zh-CN" w:bidi="ar"/>
              </w:rPr>
              <w:t>是</w:t>
            </w:r>
          </w:p>
        </w:tc>
      </w:tr>
      <w:tr w14:paraId="5A915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1" w:hRule="atLeast"/>
          <w:jc w:val="center"/>
        </w:trPr>
        <w:tc>
          <w:tcPr>
            <w:tcW w:w="1138" w:type="dxa"/>
            <w:shd w:val="clear" w:color="auto" w:fill="auto"/>
            <w:vAlign w:val="center"/>
          </w:tcPr>
          <w:p w14:paraId="17C23374">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3</w:t>
            </w:r>
          </w:p>
        </w:tc>
        <w:tc>
          <w:tcPr>
            <w:tcW w:w="2992" w:type="dxa"/>
            <w:vAlign w:val="center"/>
          </w:tcPr>
          <w:p w14:paraId="4AD0F2C5">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信息技术教室（学生机）</w:t>
            </w:r>
          </w:p>
        </w:tc>
        <w:tc>
          <w:tcPr>
            <w:tcW w:w="1307" w:type="dxa"/>
            <w:vAlign w:val="center"/>
          </w:tcPr>
          <w:p w14:paraId="4D9DB6A1">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100台</w:t>
            </w:r>
          </w:p>
        </w:tc>
        <w:tc>
          <w:tcPr>
            <w:tcW w:w="1290" w:type="dxa"/>
            <w:vAlign w:val="center"/>
          </w:tcPr>
          <w:p w14:paraId="49690DC0">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4000.00</w:t>
            </w:r>
          </w:p>
        </w:tc>
        <w:tc>
          <w:tcPr>
            <w:tcW w:w="1275" w:type="dxa"/>
            <w:vAlign w:val="center"/>
          </w:tcPr>
          <w:p w14:paraId="436EBA13">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400000.00</w:t>
            </w:r>
          </w:p>
        </w:tc>
        <w:tc>
          <w:tcPr>
            <w:tcW w:w="1305" w:type="dxa"/>
            <w:vAlign w:val="center"/>
          </w:tcPr>
          <w:p w14:paraId="29AF8845">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cs="宋体"/>
                <w:i w:val="0"/>
                <w:iCs w:val="0"/>
                <w:caps w:val="0"/>
                <w:color w:val="auto"/>
                <w:spacing w:val="0"/>
                <w:kern w:val="0"/>
                <w:sz w:val="21"/>
                <w:szCs w:val="21"/>
                <w:lang w:val="en-US" w:eastAsia="zh-CN" w:bidi="ar"/>
              </w:rPr>
              <w:t>否</w:t>
            </w:r>
          </w:p>
        </w:tc>
      </w:tr>
      <w:tr w14:paraId="1B4E5D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4" w:hRule="atLeast"/>
          <w:jc w:val="center"/>
        </w:trPr>
        <w:tc>
          <w:tcPr>
            <w:tcW w:w="1138" w:type="dxa"/>
            <w:shd w:val="clear" w:color="auto" w:fill="auto"/>
            <w:vAlign w:val="center"/>
          </w:tcPr>
          <w:p w14:paraId="2FB7373A">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4</w:t>
            </w:r>
          </w:p>
        </w:tc>
        <w:tc>
          <w:tcPr>
            <w:tcW w:w="2992" w:type="dxa"/>
            <w:vAlign w:val="center"/>
          </w:tcPr>
          <w:p w14:paraId="3F10554C">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触控查询一体机</w:t>
            </w:r>
          </w:p>
        </w:tc>
        <w:tc>
          <w:tcPr>
            <w:tcW w:w="1307" w:type="dxa"/>
            <w:vAlign w:val="center"/>
          </w:tcPr>
          <w:p w14:paraId="4E5878F5">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1台</w:t>
            </w:r>
          </w:p>
        </w:tc>
        <w:tc>
          <w:tcPr>
            <w:tcW w:w="1290" w:type="dxa"/>
            <w:vAlign w:val="center"/>
          </w:tcPr>
          <w:p w14:paraId="7713CD37">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7000.00</w:t>
            </w:r>
          </w:p>
        </w:tc>
        <w:tc>
          <w:tcPr>
            <w:tcW w:w="1275" w:type="dxa"/>
            <w:vAlign w:val="center"/>
          </w:tcPr>
          <w:p w14:paraId="1AEB2C86">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7000.00</w:t>
            </w:r>
          </w:p>
        </w:tc>
        <w:tc>
          <w:tcPr>
            <w:tcW w:w="1305" w:type="dxa"/>
            <w:vAlign w:val="center"/>
          </w:tcPr>
          <w:p w14:paraId="612B1A4A">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cs="宋体"/>
                <w:i w:val="0"/>
                <w:iCs w:val="0"/>
                <w:caps w:val="0"/>
                <w:color w:val="auto"/>
                <w:spacing w:val="0"/>
                <w:kern w:val="0"/>
                <w:sz w:val="21"/>
                <w:szCs w:val="21"/>
                <w:lang w:val="en-US" w:eastAsia="zh-CN" w:bidi="ar"/>
              </w:rPr>
              <w:t>否</w:t>
            </w:r>
          </w:p>
        </w:tc>
      </w:tr>
    </w:tbl>
    <w:p w14:paraId="52E5FEBE">
      <w:pPr>
        <w:keepNext w:val="0"/>
        <w:keepLines w:val="0"/>
        <w:widowControl/>
        <w:suppressLineNumbers w:val="0"/>
        <w:spacing w:before="312" w:beforeAutospacing="0" w:after="100" w:afterAutospacing="0"/>
        <w:ind w:left="0" w:right="0" w:firstLine="0"/>
        <w:jc w:val="left"/>
        <w:rPr>
          <w:rFonts w:hint="default" w:ascii="宋体" w:hAnsi="宋体" w:eastAsia="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标段2：家具类</w:t>
      </w:r>
    </w:p>
    <w:tbl>
      <w:tblPr>
        <w:tblStyle w:val="119"/>
        <w:tblW w:w="937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38"/>
        <w:gridCol w:w="3041"/>
        <w:gridCol w:w="1260"/>
        <w:gridCol w:w="1290"/>
        <w:gridCol w:w="1255"/>
        <w:gridCol w:w="1392"/>
      </w:tblGrid>
      <w:tr w14:paraId="47FBF0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jc w:val="center"/>
        </w:trPr>
        <w:tc>
          <w:tcPr>
            <w:tcW w:w="1138" w:type="dxa"/>
            <w:shd w:val="clear" w:color="auto" w:fill="auto"/>
            <w:vAlign w:val="center"/>
          </w:tcPr>
          <w:p w14:paraId="37431973">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b/>
                <w:bCs/>
                <w:i w:val="0"/>
                <w:iCs w:val="0"/>
                <w:caps w:val="0"/>
                <w:color w:val="auto"/>
                <w:spacing w:val="0"/>
                <w:kern w:val="0"/>
                <w:sz w:val="21"/>
                <w:szCs w:val="21"/>
                <w:lang w:val="en-US" w:eastAsia="zh-CN" w:bidi="ar"/>
              </w:rPr>
            </w:pPr>
            <w:r>
              <w:rPr>
                <w:rFonts w:hint="eastAsia" w:ascii="宋体" w:hAnsi="宋体" w:eastAsia="宋体" w:cs="宋体"/>
                <w:b/>
                <w:bCs/>
                <w:i w:val="0"/>
                <w:iCs w:val="0"/>
                <w:caps w:val="0"/>
                <w:color w:val="auto"/>
                <w:spacing w:val="0"/>
                <w:kern w:val="0"/>
                <w:sz w:val="21"/>
                <w:szCs w:val="21"/>
                <w:lang w:val="en-US" w:eastAsia="zh-CN" w:bidi="ar"/>
              </w:rPr>
              <w:t>序号</w:t>
            </w:r>
          </w:p>
        </w:tc>
        <w:tc>
          <w:tcPr>
            <w:tcW w:w="3041" w:type="dxa"/>
            <w:vAlign w:val="center"/>
          </w:tcPr>
          <w:p w14:paraId="279F0DE8">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b/>
                <w:bCs/>
                <w:i w:val="0"/>
                <w:iCs w:val="0"/>
                <w:caps w:val="0"/>
                <w:color w:val="auto"/>
                <w:spacing w:val="0"/>
                <w:kern w:val="0"/>
                <w:sz w:val="21"/>
                <w:szCs w:val="21"/>
                <w:lang w:val="en-US" w:eastAsia="zh-CN" w:bidi="ar"/>
              </w:rPr>
            </w:pPr>
            <w:r>
              <w:rPr>
                <w:rFonts w:hint="eastAsia" w:ascii="宋体" w:hAnsi="宋体" w:eastAsia="宋体" w:cs="宋体"/>
                <w:b/>
                <w:bCs/>
                <w:i w:val="0"/>
                <w:iCs w:val="0"/>
                <w:caps w:val="0"/>
                <w:color w:val="auto"/>
                <w:spacing w:val="0"/>
                <w:kern w:val="0"/>
                <w:sz w:val="21"/>
                <w:szCs w:val="21"/>
                <w:lang w:val="en-US" w:eastAsia="zh-CN" w:bidi="ar"/>
              </w:rPr>
              <w:t>产品名称</w:t>
            </w:r>
          </w:p>
        </w:tc>
        <w:tc>
          <w:tcPr>
            <w:tcW w:w="1260" w:type="dxa"/>
            <w:vAlign w:val="center"/>
          </w:tcPr>
          <w:p w14:paraId="1EF83B72">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数量</w:t>
            </w:r>
          </w:p>
        </w:tc>
        <w:tc>
          <w:tcPr>
            <w:tcW w:w="1290" w:type="dxa"/>
            <w:vAlign w:val="center"/>
          </w:tcPr>
          <w:p w14:paraId="76549AD6">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单价（元）</w:t>
            </w:r>
          </w:p>
        </w:tc>
        <w:tc>
          <w:tcPr>
            <w:tcW w:w="1255" w:type="dxa"/>
            <w:vAlign w:val="center"/>
          </w:tcPr>
          <w:p w14:paraId="67C40456">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总价（元）</w:t>
            </w:r>
          </w:p>
        </w:tc>
        <w:tc>
          <w:tcPr>
            <w:tcW w:w="1392" w:type="dxa"/>
            <w:vAlign w:val="center"/>
          </w:tcPr>
          <w:p w14:paraId="1F579752">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是否为核心产品</w:t>
            </w:r>
          </w:p>
        </w:tc>
      </w:tr>
      <w:tr w14:paraId="73EBB1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4" w:hRule="atLeast"/>
          <w:jc w:val="center"/>
        </w:trPr>
        <w:tc>
          <w:tcPr>
            <w:tcW w:w="1138" w:type="dxa"/>
            <w:shd w:val="clear" w:color="auto" w:fill="auto"/>
            <w:vAlign w:val="center"/>
          </w:tcPr>
          <w:p w14:paraId="1E49530E">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1</w:t>
            </w:r>
          </w:p>
        </w:tc>
        <w:tc>
          <w:tcPr>
            <w:tcW w:w="3041" w:type="dxa"/>
            <w:vAlign w:val="center"/>
          </w:tcPr>
          <w:p w14:paraId="5247DAA2">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课桌椅</w:t>
            </w:r>
          </w:p>
        </w:tc>
        <w:tc>
          <w:tcPr>
            <w:tcW w:w="1260" w:type="dxa"/>
            <w:vAlign w:val="center"/>
          </w:tcPr>
          <w:p w14:paraId="75BB8157">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600套</w:t>
            </w:r>
          </w:p>
        </w:tc>
        <w:tc>
          <w:tcPr>
            <w:tcW w:w="1290" w:type="dxa"/>
            <w:vAlign w:val="center"/>
          </w:tcPr>
          <w:p w14:paraId="6E2FCC18">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300.00</w:t>
            </w:r>
          </w:p>
        </w:tc>
        <w:tc>
          <w:tcPr>
            <w:tcW w:w="1255" w:type="dxa"/>
            <w:vAlign w:val="center"/>
          </w:tcPr>
          <w:p w14:paraId="648A189E">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180000.00</w:t>
            </w:r>
          </w:p>
        </w:tc>
        <w:tc>
          <w:tcPr>
            <w:tcW w:w="1392" w:type="dxa"/>
            <w:vAlign w:val="center"/>
          </w:tcPr>
          <w:p w14:paraId="4F6DC0D2">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是</w:t>
            </w:r>
          </w:p>
        </w:tc>
      </w:tr>
      <w:tr w14:paraId="337F8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9" w:hRule="atLeast"/>
          <w:jc w:val="center"/>
        </w:trPr>
        <w:tc>
          <w:tcPr>
            <w:tcW w:w="1138" w:type="dxa"/>
            <w:shd w:val="clear" w:color="auto" w:fill="auto"/>
            <w:vAlign w:val="center"/>
          </w:tcPr>
          <w:p w14:paraId="22EC39E8">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2</w:t>
            </w:r>
          </w:p>
        </w:tc>
        <w:tc>
          <w:tcPr>
            <w:tcW w:w="3041" w:type="dxa"/>
            <w:vAlign w:val="center"/>
          </w:tcPr>
          <w:p w14:paraId="6003065A">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普通教室讲台</w:t>
            </w:r>
          </w:p>
        </w:tc>
        <w:tc>
          <w:tcPr>
            <w:tcW w:w="1260" w:type="dxa"/>
            <w:vAlign w:val="center"/>
          </w:tcPr>
          <w:p w14:paraId="1C7E9680">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12张</w:t>
            </w:r>
          </w:p>
        </w:tc>
        <w:tc>
          <w:tcPr>
            <w:tcW w:w="1290" w:type="dxa"/>
            <w:vAlign w:val="center"/>
          </w:tcPr>
          <w:p w14:paraId="17ACC8EF">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800.00</w:t>
            </w:r>
          </w:p>
        </w:tc>
        <w:tc>
          <w:tcPr>
            <w:tcW w:w="1255" w:type="dxa"/>
            <w:vAlign w:val="center"/>
          </w:tcPr>
          <w:p w14:paraId="2B65A7AD">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9600.00</w:t>
            </w:r>
          </w:p>
        </w:tc>
        <w:tc>
          <w:tcPr>
            <w:tcW w:w="1392" w:type="dxa"/>
            <w:vAlign w:val="center"/>
          </w:tcPr>
          <w:p w14:paraId="7B3DFBD3">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否</w:t>
            </w:r>
          </w:p>
        </w:tc>
      </w:tr>
      <w:tr w14:paraId="1FED46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6" w:hRule="atLeast"/>
          <w:jc w:val="center"/>
        </w:trPr>
        <w:tc>
          <w:tcPr>
            <w:tcW w:w="1138" w:type="dxa"/>
            <w:shd w:val="clear" w:color="auto" w:fill="auto"/>
            <w:vAlign w:val="center"/>
          </w:tcPr>
          <w:p w14:paraId="1F5363FF">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3</w:t>
            </w:r>
          </w:p>
        </w:tc>
        <w:tc>
          <w:tcPr>
            <w:tcW w:w="3041" w:type="dxa"/>
            <w:vAlign w:val="center"/>
          </w:tcPr>
          <w:p w14:paraId="4BC00745">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信息技术教室教师电脑桌</w:t>
            </w:r>
          </w:p>
        </w:tc>
        <w:tc>
          <w:tcPr>
            <w:tcW w:w="1260" w:type="dxa"/>
            <w:vAlign w:val="center"/>
          </w:tcPr>
          <w:p w14:paraId="3A0A0E29">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2套</w:t>
            </w:r>
          </w:p>
        </w:tc>
        <w:tc>
          <w:tcPr>
            <w:tcW w:w="1290" w:type="dxa"/>
            <w:vAlign w:val="center"/>
          </w:tcPr>
          <w:p w14:paraId="37E42685">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700.00</w:t>
            </w:r>
          </w:p>
        </w:tc>
        <w:tc>
          <w:tcPr>
            <w:tcW w:w="1255" w:type="dxa"/>
            <w:vAlign w:val="center"/>
          </w:tcPr>
          <w:p w14:paraId="3E70E428">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1400.00</w:t>
            </w:r>
          </w:p>
        </w:tc>
        <w:tc>
          <w:tcPr>
            <w:tcW w:w="1392" w:type="dxa"/>
            <w:vAlign w:val="center"/>
          </w:tcPr>
          <w:p w14:paraId="32734C8F">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否</w:t>
            </w:r>
          </w:p>
        </w:tc>
      </w:tr>
      <w:tr w14:paraId="686836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6" w:hRule="atLeast"/>
          <w:jc w:val="center"/>
        </w:trPr>
        <w:tc>
          <w:tcPr>
            <w:tcW w:w="1138" w:type="dxa"/>
            <w:shd w:val="clear" w:color="auto" w:fill="auto"/>
            <w:vAlign w:val="center"/>
          </w:tcPr>
          <w:p w14:paraId="781896DA">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4</w:t>
            </w:r>
          </w:p>
        </w:tc>
        <w:tc>
          <w:tcPr>
            <w:tcW w:w="3041" w:type="dxa"/>
            <w:vAlign w:val="center"/>
          </w:tcPr>
          <w:p w14:paraId="359EBFDE">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信息技术教室学生电脑桌</w:t>
            </w:r>
          </w:p>
        </w:tc>
        <w:tc>
          <w:tcPr>
            <w:tcW w:w="1260" w:type="dxa"/>
            <w:vAlign w:val="center"/>
          </w:tcPr>
          <w:p w14:paraId="692AF2F0">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50套</w:t>
            </w:r>
          </w:p>
        </w:tc>
        <w:tc>
          <w:tcPr>
            <w:tcW w:w="1290" w:type="dxa"/>
            <w:vAlign w:val="center"/>
          </w:tcPr>
          <w:p w14:paraId="6550704B">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700.00</w:t>
            </w:r>
          </w:p>
        </w:tc>
        <w:tc>
          <w:tcPr>
            <w:tcW w:w="1255" w:type="dxa"/>
            <w:vAlign w:val="center"/>
          </w:tcPr>
          <w:p w14:paraId="35D3FD7E">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35000.00</w:t>
            </w:r>
          </w:p>
        </w:tc>
        <w:tc>
          <w:tcPr>
            <w:tcW w:w="1392" w:type="dxa"/>
            <w:vAlign w:val="center"/>
          </w:tcPr>
          <w:p w14:paraId="4E0E2637">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b/>
                <w:bCs/>
                <w:color w:val="auto"/>
                <w:spacing w:val="-1"/>
                <w:sz w:val="21"/>
                <w:szCs w:val="21"/>
                <w:lang w:val="en-US" w:eastAsia="zh-CN"/>
              </w:rPr>
              <w:t>否</w:t>
            </w:r>
          </w:p>
        </w:tc>
      </w:tr>
      <w:tr w14:paraId="60DD17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1" w:hRule="atLeast"/>
          <w:jc w:val="center"/>
        </w:trPr>
        <w:tc>
          <w:tcPr>
            <w:tcW w:w="1138" w:type="dxa"/>
            <w:shd w:val="clear" w:color="auto" w:fill="auto"/>
            <w:vAlign w:val="center"/>
          </w:tcPr>
          <w:p w14:paraId="6909F952">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5</w:t>
            </w:r>
          </w:p>
        </w:tc>
        <w:tc>
          <w:tcPr>
            <w:tcW w:w="3041" w:type="dxa"/>
            <w:vAlign w:val="center"/>
          </w:tcPr>
          <w:p w14:paraId="75CA1464">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科学实验室（教师操作台）及凳子</w:t>
            </w:r>
          </w:p>
        </w:tc>
        <w:tc>
          <w:tcPr>
            <w:tcW w:w="1260" w:type="dxa"/>
            <w:vAlign w:val="center"/>
          </w:tcPr>
          <w:p w14:paraId="2DA8779D">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2套</w:t>
            </w:r>
          </w:p>
        </w:tc>
        <w:tc>
          <w:tcPr>
            <w:tcW w:w="1290" w:type="dxa"/>
            <w:vAlign w:val="center"/>
          </w:tcPr>
          <w:p w14:paraId="55222518">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2300.00</w:t>
            </w:r>
          </w:p>
        </w:tc>
        <w:tc>
          <w:tcPr>
            <w:tcW w:w="1255" w:type="dxa"/>
            <w:vAlign w:val="center"/>
          </w:tcPr>
          <w:p w14:paraId="4993449E">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4600.00</w:t>
            </w:r>
          </w:p>
        </w:tc>
        <w:tc>
          <w:tcPr>
            <w:tcW w:w="1392" w:type="dxa"/>
            <w:vAlign w:val="center"/>
          </w:tcPr>
          <w:p w14:paraId="20E31FAF">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否</w:t>
            </w:r>
          </w:p>
        </w:tc>
      </w:tr>
      <w:tr w14:paraId="21541D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6" w:hRule="atLeast"/>
          <w:jc w:val="center"/>
        </w:trPr>
        <w:tc>
          <w:tcPr>
            <w:tcW w:w="1138" w:type="dxa"/>
            <w:shd w:val="clear" w:color="auto" w:fill="auto"/>
            <w:vAlign w:val="center"/>
          </w:tcPr>
          <w:p w14:paraId="238F7135">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6</w:t>
            </w:r>
          </w:p>
        </w:tc>
        <w:tc>
          <w:tcPr>
            <w:tcW w:w="3041" w:type="dxa"/>
            <w:vAlign w:val="center"/>
          </w:tcPr>
          <w:p w14:paraId="6030C735">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实验室（学生实验桌）及凳子</w:t>
            </w:r>
          </w:p>
        </w:tc>
        <w:tc>
          <w:tcPr>
            <w:tcW w:w="1260" w:type="dxa"/>
            <w:vAlign w:val="center"/>
          </w:tcPr>
          <w:p w14:paraId="636FD199">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50套</w:t>
            </w:r>
          </w:p>
        </w:tc>
        <w:tc>
          <w:tcPr>
            <w:tcW w:w="1290" w:type="dxa"/>
            <w:vAlign w:val="center"/>
          </w:tcPr>
          <w:p w14:paraId="349106CB">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2300.00</w:t>
            </w:r>
          </w:p>
        </w:tc>
        <w:tc>
          <w:tcPr>
            <w:tcW w:w="1255" w:type="dxa"/>
            <w:vAlign w:val="center"/>
          </w:tcPr>
          <w:p w14:paraId="1A87F502">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115000.00</w:t>
            </w:r>
          </w:p>
        </w:tc>
        <w:tc>
          <w:tcPr>
            <w:tcW w:w="1392" w:type="dxa"/>
            <w:vAlign w:val="center"/>
          </w:tcPr>
          <w:p w14:paraId="11755EDA">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否</w:t>
            </w:r>
          </w:p>
        </w:tc>
      </w:tr>
      <w:tr w14:paraId="5A8F10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1" w:hRule="atLeast"/>
          <w:jc w:val="center"/>
        </w:trPr>
        <w:tc>
          <w:tcPr>
            <w:tcW w:w="1138" w:type="dxa"/>
            <w:shd w:val="clear" w:color="auto" w:fill="auto"/>
            <w:vAlign w:val="center"/>
          </w:tcPr>
          <w:p w14:paraId="011E0084">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7</w:t>
            </w:r>
          </w:p>
        </w:tc>
        <w:tc>
          <w:tcPr>
            <w:tcW w:w="3041" w:type="dxa"/>
            <w:vAlign w:val="center"/>
          </w:tcPr>
          <w:p w14:paraId="7F3B4A4D">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实验准备室实验药品柜</w:t>
            </w:r>
          </w:p>
        </w:tc>
        <w:tc>
          <w:tcPr>
            <w:tcW w:w="1260" w:type="dxa"/>
            <w:vAlign w:val="center"/>
          </w:tcPr>
          <w:p w14:paraId="43258D8A">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12个</w:t>
            </w:r>
          </w:p>
        </w:tc>
        <w:tc>
          <w:tcPr>
            <w:tcW w:w="1290" w:type="dxa"/>
            <w:vAlign w:val="center"/>
          </w:tcPr>
          <w:p w14:paraId="00EA32E1">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1500.00</w:t>
            </w:r>
          </w:p>
        </w:tc>
        <w:tc>
          <w:tcPr>
            <w:tcW w:w="1255" w:type="dxa"/>
            <w:vAlign w:val="center"/>
          </w:tcPr>
          <w:p w14:paraId="16342E82">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18000.00</w:t>
            </w:r>
          </w:p>
        </w:tc>
        <w:tc>
          <w:tcPr>
            <w:tcW w:w="1392" w:type="dxa"/>
            <w:vAlign w:val="center"/>
          </w:tcPr>
          <w:p w14:paraId="3EA5A826">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否</w:t>
            </w:r>
          </w:p>
        </w:tc>
      </w:tr>
      <w:tr w14:paraId="7019B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jc w:val="center"/>
        </w:trPr>
        <w:tc>
          <w:tcPr>
            <w:tcW w:w="1138" w:type="dxa"/>
            <w:shd w:val="clear" w:color="auto" w:fill="auto"/>
            <w:vAlign w:val="center"/>
          </w:tcPr>
          <w:p w14:paraId="4260BC4E">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8</w:t>
            </w:r>
          </w:p>
        </w:tc>
        <w:tc>
          <w:tcPr>
            <w:tcW w:w="3041" w:type="dxa"/>
            <w:vAlign w:val="center"/>
          </w:tcPr>
          <w:p w14:paraId="584E88E0">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音乐教室学生椅凳</w:t>
            </w:r>
          </w:p>
        </w:tc>
        <w:tc>
          <w:tcPr>
            <w:tcW w:w="1260" w:type="dxa"/>
            <w:vAlign w:val="center"/>
          </w:tcPr>
          <w:p w14:paraId="2289053C">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100个</w:t>
            </w:r>
          </w:p>
        </w:tc>
        <w:tc>
          <w:tcPr>
            <w:tcW w:w="1290" w:type="dxa"/>
            <w:vAlign w:val="center"/>
          </w:tcPr>
          <w:p w14:paraId="1FDF004D">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25.00</w:t>
            </w:r>
          </w:p>
        </w:tc>
        <w:tc>
          <w:tcPr>
            <w:tcW w:w="1255" w:type="dxa"/>
            <w:vAlign w:val="center"/>
          </w:tcPr>
          <w:p w14:paraId="1CE5D96A">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2500.00</w:t>
            </w:r>
          </w:p>
        </w:tc>
        <w:tc>
          <w:tcPr>
            <w:tcW w:w="1392" w:type="dxa"/>
            <w:vAlign w:val="center"/>
          </w:tcPr>
          <w:p w14:paraId="3C8C792B">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否</w:t>
            </w:r>
          </w:p>
        </w:tc>
      </w:tr>
      <w:tr w14:paraId="642A45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jc w:val="center"/>
        </w:trPr>
        <w:tc>
          <w:tcPr>
            <w:tcW w:w="1138" w:type="dxa"/>
            <w:shd w:val="clear" w:color="auto" w:fill="auto"/>
            <w:vAlign w:val="center"/>
          </w:tcPr>
          <w:p w14:paraId="43F7F314">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9</w:t>
            </w:r>
          </w:p>
        </w:tc>
        <w:tc>
          <w:tcPr>
            <w:tcW w:w="3041" w:type="dxa"/>
            <w:vAlign w:val="center"/>
          </w:tcPr>
          <w:p w14:paraId="0120293B">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音乐教室讲台（数量2套）</w:t>
            </w:r>
          </w:p>
        </w:tc>
        <w:tc>
          <w:tcPr>
            <w:tcW w:w="1260" w:type="dxa"/>
            <w:vAlign w:val="center"/>
          </w:tcPr>
          <w:p w14:paraId="360068CB">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2套</w:t>
            </w:r>
          </w:p>
        </w:tc>
        <w:tc>
          <w:tcPr>
            <w:tcW w:w="1290" w:type="dxa"/>
            <w:vAlign w:val="center"/>
          </w:tcPr>
          <w:p w14:paraId="4AFBF9AF">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800.00</w:t>
            </w:r>
          </w:p>
        </w:tc>
        <w:tc>
          <w:tcPr>
            <w:tcW w:w="1255" w:type="dxa"/>
            <w:vAlign w:val="center"/>
          </w:tcPr>
          <w:p w14:paraId="4906B7F2">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1600.00</w:t>
            </w:r>
          </w:p>
        </w:tc>
        <w:tc>
          <w:tcPr>
            <w:tcW w:w="1392" w:type="dxa"/>
            <w:vAlign w:val="center"/>
          </w:tcPr>
          <w:p w14:paraId="65633D1A">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否</w:t>
            </w:r>
          </w:p>
        </w:tc>
      </w:tr>
      <w:tr w14:paraId="3EFB0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1" w:hRule="atLeast"/>
          <w:jc w:val="center"/>
        </w:trPr>
        <w:tc>
          <w:tcPr>
            <w:tcW w:w="1138" w:type="dxa"/>
            <w:shd w:val="clear" w:color="auto" w:fill="auto"/>
            <w:vAlign w:val="center"/>
          </w:tcPr>
          <w:p w14:paraId="2D556C4D">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10</w:t>
            </w:r>
          </w:p>
        </w:tc>
        <w:tc>
          <w:tcPr>
            <w:tcW w:w="3041" w:type="dxa"/>
            <w:vAlign w:val="center"/>
          </w:tcPr>
          <w:p w14:paraId="18EDA310">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美术教室讲台</w:t>
            </w:r>
          </w:p>
        </w:tc>
        <w:tc>
          <w:tcPr>
            <w:tcW w:w="1260" w:type="dxa"/>
            <w:vAlign w:val="center"/>
          </w:tcPr>
          <w:p w14:paraId="6BB77ABE">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2套</w:t>
            </w:r>
          </w:p>
        </w:tc>
        <w:tc>
          <w:tcPr>
            <w:tcW w:w="1290" w:type="dxa"/>
            <w:vAlign w:val="center"/>
          </w:tcPr>
          <w:p w14:paraId="41277FCC">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800.00</w:t>
            </w:r>
          </w:p>
        </w:tc>
        <w:tc>
          <w:tcPr>
            <w:tcW w:w="1255" w:type="dxa"/>
            <w:vAlign w:val="center"/>
          </w:tcPr>
          <w:p w14:paraId="34B0FDD1">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1600.00</w:t>
            </w:r>
          </w:p>
        </w:tc>
        <w:tc>
          <w:tcPr>
            <w:tcW w:w="1392" w:type="dxa"/>
            <w:vAlign w:val="center"/>
          </w:tcPr>
          <w:p w14:paraId="5835E8FE">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否</w:t>
            </w:r>
          </w:p>
        </w:tc>
      </w:tr>
      <w:tr w14:paraId="4CF066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6" w:hRule="atLeast"/>
          <w:jc w:val="center"/>
        </w:trPr>
        <w:tc>
          <w:tcPr>
            <w:tcW w:w="1138" w:type="dxa"/>
            <w:shd w:val="clear" w:color="auto" w:fill="auto"/>
            <w:vAlign w:val="center"/>
          </w:tcPr>
          <w:p w14:paraId="1535BB99">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11</w:t>
            </w:r>
          </w:p>
        </w:tc>
        <w:tc>
          <w:tcPr>
            <w:tcW w:w="3041" w:type="dxa"/>
            <w:vAlign w:val="center"/>
          </w:tcPr>
          <w:p w14:paraId="6CF4CA78">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教师办公室柜子</w:t>
            </w:r>
          </w:p>
        </w:tc>
        <w:tc>
          <w:tcPr>
            <w:tcW w:w="1260" w:type="dxa"/>
            <w:vAlign w:val="center"/>
          </w:tcPr>
          <w:p w14:paraId="3BC77C1F">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6个</w:t>
            </w:r>
          </w:p>
        </w:tc>
        <w:tc>
          <w:tcPr>
            <w:tcW w:w="1290" w:type="dxa"/>
            <w:vAlign w:val="center"/>
          </w:tcPr>
          <w:p w14:paraId="3A9A1C43">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800.00</w:t>
            </w:r>
          </w:p>
        </w:tc>
        <w:tc>
          <w:tcPr>
            <w:tcW w:w="1255" w:type="dxa"/>
            <w:vAlign w:val="center"/>
          </w:tcPr>
          <w:p w14:paraId="22789A89">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4800.00</w:t>
            </w:r>
          </w:p>
        </w:tc>
        <w:tc>
          <w:tcPr>
            <w:tcW w:w="1392" w:type="dxa"/>
            <w:vAlign w:val="center"/>
          </w:tcPr>
          <w:p w14:paraId="12BE41D5">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否</w:t>
            </w:r>
          </w:p>
        </w:tc>
      </w:tr>
      <w:tr w14:paraId="702DDB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6" w:hRule="atLeast"/>
          <w:jc w:val="center"/>
        </w:trPr>
        <w:tc>
          <w:tcPr>
            <w:tcW w:w="1138" w:type="dxa"/>
            <w:shd w:val="clear" w:color="auto" w:fill="auto"/>
            <w:vAlign w:val="center"/>
          </w:tcPr>
          <w:p w14:paraId="5B152B18">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12</w:t>
            </w:r>
          </w:p>
        </w:tc>
        <w:tc>
          <w:tcPr>
            <w:tcW w:w="3041" w:type="dxa"/>
            <w:vAlign w:val="center"/>
          </w:tcPr>
          <w:p w14:paraId="073CC7A7">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教师办公室桌子</w:t>
            </w:r>
          </w:p>
        </w:tc>
        <w:tc>
          <w:tcPr>
            <w:tcW w:w="1260" w:type="dxa"/>
            <w:vAlign w:val="center"/>
          </w:tcPr>
          <w:p w14:paraId="5ABFEA8F">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16套</w:t>
            </w:r>
          </w:p>
        </w:tc>
        <w:tc>
          <w:tcPr>
            <w:tcW w:w="1290" w:type="dxa"/>
            <w:vAlign w:val="center"/>
          </w:tcPr>
          <w:p w14:paraId="1BA2FE9E">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1000.00</w:t>
            </w:r>
          </w:p>
        </w:tc>
        <w:tc>
          <w:tcPr>
            <w:tcW w:w="1255" w:type="dxa"/>
            <w:vAlign w:val="center"/>
          </w:tcPr>
          <w:p w14:paraId="374B11D4">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16000.00</w:t>
            </w:r>
          </w:p>
        </w:tc>
        <w:tc>
          <w:tcPr>
            <w:tcW w:w="1392" w:type="dxa"/>
            <w:vAlign w:val="center"/>
          </w:tcPr>
          <w:p w14:paraId="2D73D87C">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否</w:t>
            </w:r>
          </w:p>
        </w:tc>
      </w:tr>
      <w:tr w14:paraId="1895EF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 w:hRule="atLeast"/>
          <w:jc w:val="center"/>
        </w:trPr>
        <w:tc>
          <w:tcPr>
            <w:tcW w:w="1138" w:type="dxa"/>
            <w:shd w:val="clear" w:color="auto" w:fill="auto"/>
            <w:vAlign w:val="center"/>
          </w:tcPr>
          <w:p w14:paraId="43C96929">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13</w:t>
            </w:r>
          </w:p>
        </w:tc>
        <w:tc>
          <w:tcPr>
            <w:tcW w:w="3041" w:type="dxa"/>
            <w:vAlign w:val="center"/>
          </w:tcPr>
          <w:p w14:paraId="67FE379E">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教师办公室椅子</w:t>
            </w:r>
          </w:p>
        </w:tc>
        <w:tc>
          <w:tcPr>
            <w:tcW w:w="1260" w:type="dxa"/>
            <w:vAlign w:val="center"/>
          </w:tcPr>
          <w:p w14:paraId="316B4156">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16套</w:t>
            </w:r>
          </w:p>
        </w:tc>
        <w:tc>
          <w:tcPr>
            <w:tcW w:w="1290" w:type="dxa"/>
            <w:vAlign w:val="center"/>
          </w:tcPr>
          <w:p w14:paraId="38773F66">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320.00</w:t>
            </w:r>
          </w:p>
        </w:tc>
        <w:tc>
          <w:tcPr>
            <w:tcW w:w="1255" w:type="dxa"/>
            <w:vAlign w:val="center"/>
          </w:tcPr>
          <w:p w14:paraId="4D8657B2">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5120.00</w:t>
            </w:r>
          </w:p>
        </w:tc>
        <w:tc>
          <w:tcPr>
            <w:tcW w:w="1392" w:type="dxa"/>
            <w:vAlign w:val="center"/>
          </w:tcPr>
          <w:p w14:paraId="68E980C7">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否</w:t>
            </w:r>
          </w:p>
        </w:tc>
      </w:tr>
      <w:tr w14:paraId="59BA1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6" w:hRule="atLeast"/>
          <w:jc w:val="center"/>
        </w:trPr>
        <w:tc>
          <w:tcPr>
            <w:tcW w:w="1138" w:type="dxa"/>
            <w:shd w:val="clear" w:color="auto" w:fill="auto"/>
            <w:vAlign w:val="center"/>
          </w:tcPr>
          <w:p w14:paraId="3349ED76">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14</w:t>
            </w:r>
          </w:p>
        </w:tc>
        <w:tc>
          <w:tcPr>
            <w:tcW w:w="3041" w:type="dxa"/>
            <w:vAlign w:val="center"/>
          </w:tcPr>
          <w:p w14:paraId="0AA4F2E4">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八人位图书桌椅</w:t>
            </w:r>
          </w:p>
        </w:tc>
        <w:tc>
          <w:tcPr>
            <w:tcW w:w="1260" w:type="dxa"/>
            <w:vAlign w:val="center"/>
          </w:tcPr>
          <w:p w14:paraId="30F130E8">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40套</w:t>
            </w:r>
          </w:p>
        </w:tc>
        <w:tc>
          <w:tcPr>
            <w:tcW w:w="1290" w:type="dxa"/>
            <w:vAlign w:val="center"/>
          </w:tcPr>
          <w:p w14:paraId="388B20A1">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500.00</w:t>
            </w:r>
          </w:p>
        </w:tc>
        <w:tc>
          <w:tcPr>
            <w:tcW w:w="1255" w:type="dxa"/>
            <w:vAlign w:val="center"/>
          </w:tcPr>
          <w:p w14:paraId="0917E9D8">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20000.00</w:t>
            </w:r>
          </w:p>
        </w:tc>
        <w:tc>
          <w:tcPr>
            <w:tcW w:w="1392" w:type="dxa"/>
            <w:vAlign w:val="center"/>
          </w:tcPr>
          <w:p w14:paraId="3D2BBC94">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否</w:t>
            </w:r>
          </w:p>
        </w:tc>
      </w:tr>
      <w:tr w14:paraId="5C0656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6" w:hRule="atLeast"/>
          <w:jc w:val="center"/>
        </w:trPr>
        <w:tc>
          <w:tcPr>
            <w:tcW w:w="1138" w:type="dxa"/>
            <w:shd w:val="clear" w:color="auto" w:fill="auto"/>
            <w:vAlign w:val="center"/>
          </w:tcPr>
          <w:p w14:paraId="37A3290B">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val="en-US" w:eastAsia="zh-CN"/>
              </w:rPr>
              <w:t>15</w:t>
            </w:r>
          </w:p>
        </w:tc>
        <w:tc>
          <w:tcPr>
            <w:tcW w:w="3041" w:type="dxa"/>
            <w:vAlign w:val="center"/>
          </w:tcPr>
          <w:p w14:paraId="7395EFF8">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书架沙发</w:t>
            </w:r>
          </w:p>
        </w:tc>
        <w:tc>
          <w:tcPr>
            <w:tcW w:w="1260" w:type="dxa"/>
            <w:vAlign w:val="center"/>
          </w:tcPr>
          <w:p w14:paraId="29C1836C">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4套</w:t>
            </w:r>
          </w:p>
        </w:tc>
        <w:tc>
          <w:tcPr>
            <w:tcW w:w="1290" w:type="dxa"/>
            <w:vAlign w:val="center"/>
          </w:tcPr>
          <w:p w14:paraId="6E33AB82">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2500.00</w:t>
            </w:r>
          </w:p>
        </w:tc>
        <w:tc>
          <w:tcPr>
            <w:tcW w:w="1255" w:type="dxa"/>
            <w:vAlign w:val="center"/>
          </w:tcPr>
          <w:p w14:paraId="493B0545">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10000.00</w:t>
            </w:r>
          </w:p>
        </w:tc>
        <w:tc>
          <w:tcPr>
            <w:tcW w:w="1392" w:type="dxa"/>
            <w:vAlign w:val="center"/>
          </w:tcPr>
          <w:p w14:paraId="59A639F3">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否</w:t>
            </w:r>
          </w:p>
        </w:tc>
      </w:tr>
      <w:tr w14:paraId="7F6C80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6" w:hRule="atLeast"/>
          <w:jc w:val="center"/>
        </w:trPr>
        <w:tc>
          <w:tcPr>
            <w:tcW w:w="1138" w:type="dxa"/>
            <w:shd w:val="clear" w:color="auto" w:fill="auto"/>
            <w:vAlign w:val="center"/>
          </w:tcPr>
          <w:p w14:paraId="679ECD5A">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val="en-US" w:eastAsia="zh-CN"/>
              </w:rPr>
              <w:t>16</w:t>
            </w:r>
          </w:p>
        </w:tc>
        <w:tc>
          <w:tcPr>
            <w:tcW w:w="3041" w:type="dxa"/>
            <w:vAlign w:val="center"/>
          </w:tcPr>
          <w:p w14:paraId="0D1DA9BD">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组合黑板</w:t>
            </w:r>
          </w:p>
        </w:tc>
        <w:tc>
          <w:tcPr>
            <w:tcW w:w="1260" w:type="dxa"/>
            <w:vAlign w:val="center"/>
          </w:tcPr>
          <w:p w14:paraId="1466B9AD">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20套</w:t>
            </w:r>
          </w:p>
        </w:tc>
        <w:tc>
          <w:tcPr>
            <w:tcW w:w="1290" w:type="dxa"/>
            <w:vAlign w:val="center"/>
          </w:tcPr>
          <w:p w14:paraId="03C46D66">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1200.00</w:t>
            </w:r>
          </w:p>
        </w:tc>
        <w:tc>
          <w:tcPr>
            <w:tcW w:w="1255" w:type="dxa"/>
            <w:vAlign w:val="center"/>
          </w:tcPr>
          <w:p w14:paraId="7BE359F4">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24000.00</w:t>
            </w:r>
          </w:p>
        </w:tc>
        <w:tc>
          <w:tcPr>
            <w:tcW w:w="1392" w:type="dxa"/>
            <w:vAlign w:val="center"/>
          </w:tcPr>
          <w:p w14:paraId="2C3F4A5E">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否</w:t>
            </w:r>
          </w:p>
        </w:tc>
      </w:tr>
    </w:tbl>
    <w:p w14:paraId="17A00DE5">
      <w:pPr>
        <w:spacing w:line="360" w:lineRule="auto"/>
        <w:ind w:firstLine="424" w:firstLineChars="202"/>
        <w:rPr>
          <w:color w:val="auto"/>
        </w:rPr>
      </w:pPr>
      <w:r>
        <w:rPr>
          <w:rFonts w:hint="eastAsia"/>
          <w:color w:val="auto"/>
        </w:rPr>
        <w:t>投标要求：</w:t>
      </w:r>
      <w:r>
        <w:rPr>
          <w:rFonts w:hint="eastAsia" w:ascii="宋体" w:hAnsi="宋体"/>
          <w:b/>
          <w:bCs/>
          <w:color w:val="auto"/>
          <w:spacing w:val="-1"/>
          <w:sz w:val="21"/>
          <w:szCs w:val="21"/>
          <w:lang w:eastAsia="zh-CN"/>
        </w:rPr>
        <w:t>本项目分为</w:t>
      </w:r>
      <w:r>
        <w:rPr>
          <w:rFonts w:hint="eastAsia" w:ascii="宋体" w:hAnsi="宋体"/>
          <w:b/>
          <w:bCs/>
          <w:color w:val="auto"/>
          <w:spacing w:val="-1"/>
          <w:sz w:val="21"/>
          <w:szCs w:val="21"/>
          <w:lang w:val="en-US" w:eastAsia="zh-CN"/>
        </w:rPr>
        <w:t>2</w:t>
      </w:r>
      <w:r>
        <w:rPr>
          <w:rFonts w:hint="eastAsia" w:ascii="宋体" w:hAnsi="宋体"/>
          <w:b/>
          <w:bCs/>
          <w:color w:val="auto"/>
          <w:spacing w:val="-1"/>
          <w:sz w:val="21"/>
          <w:szCs w:val="21"/>
          <w:lang w:eastAsia="zh-CN"/>
        </w:rPr>
        <w:t>个标段，投标人可同时参与全部</w:t>
      </w:r>
      <w:r>
        <w:rPr>
          <w:rFonts w:hint="eastAsia" w:ascii="宋体" w:hAnsi="宋体"/>
          <w:b/>
          <w:bCs/>
          <w:color w:val="auto"/>
          <w:spacing w:val="-1"/>
          <w:sz w:val="21"/>
          <w:szCs w:val="21"/>
          <w:lang w:val="en-US" w:eastAsia="zh-CN"/>
        </w:rPr>
        <w:t>2</w:t>
      </w:r>
      <w:r>
        <w:rPr>
          <w:rFonts w:hint="eastAsia" w:ascii="宋体" w:hAnsi="宋体"/>
          <w:b/>
          <w:bCs/>
          <w:color w:val="auto"/>
          <w:spacing w:val="-1"/>
          <w:sz w:val="21"/>
          <w:szCs w:val="21"/>
          <w:lang w:eastAsia="zh-CN"/>
        </w:rPr>
        <w:t>个标段的投标。</w:t>
      </w:r>
      <w:r>
        <w:rPr>
          <w:rFonts w:hint="eastAsia" w:ascii="宋体" w:hAnsi="宋体"/>
          <w:color w:val="auto"/>
          <w:spacing w:val="-1"/>
          <w:sz w:val="21"/>
          <w:szCs w:val="21"/>
          <w:lang w:eastAsia="zh-CN"/>
        </w:rPr>
        <w:t>投标人必须对所投项目所有内容作出完整唯一的报价，不得缺项、漏项，否则投标文件将按废标处理。</w:t>
      </w:r>
      <w:r>
        <w:rPr>
          <w:rFonts w:hint="eastAsia"/>
          <w:color w:val="auto"/>
        </w:rPr>
        <w:t>本项目不得分包、转包；本项目不接受进口产品（进口产品是指通过中国海关报关验放进入中国境内且产自关境外的产品）。</w:t>
      </w:r>
    </w:p>
    <w:p w14:paraId="4F15DFB5">
      <w:pPr>
        <w:spacing w:line="360" w:lineRule="auto"/>
        <w:ind w:firstLine="424" w:firstLineChars="202"/>
        <w:rPr>
          <w:rFonts w:hint="eastAsia"/>
          <w:color w:val="auto"/>
          <w:sz w:val="21"/>
          <w:szCs w:val="21"/>
          <w:u w:val="none"/>
          <w:lang w:eastAsia="zh-CN"/>
        </w:rPr>
      </w:pPr>
      <w:r>
        <w:rPr>
          <w:rFonts w:hint="eastAsia"/>
          <w:color w:val="auto"/>
        </w:rPr>
        <w:t>合同履行期限</w:t>
      </w:r>
      <w:r>
        <w:rPr>
          <w:rFonts w:hint="eastAsia"/>
          <w:color w:val="auto"/>
          <w:lang w:eastAsia="zh-CN"/>
        </w:rPr>
        <w:t>（</w:t>
      </w:r>
      <w:r>
        <w:rPr>
          <w:rFonts w:hint="eastAsia"/>
          <w:color w:val="auto"/>
          <w:lang w:val="en-US" w:eastAsia="zh-CN"/>
        </w:rPr>
        <w:t>交货期限</w:t>
      </w:r>
      <w:r>
        <w:rPr>
          <w:rFonts w:hint="eastAsia"/>
          <w:color w:val="auto"/>
          <w:lang w:eastAsia="zh-CN"/>
        </w:rPr>
        <w:t>）</w:t>
      </w:r>
      <w:r>
        <w:rPr>
          <w:rFonts w:hint="eastAsia"/>
          <w:color w:val="auto"/>
        </w:rPr>
        <w:t>：合同签订后20日内交付，产品最终验收合格后履行规定的质保要求。</w:t>
      </w:r>
    </w:p>
    <w:p w14:paraId="57E25A86">
      <w:pPr>
        <w:adjustRightInd w:val="0"/>
        <w:spacing w:line="360" w:lineRule="auto"/>
        <w:ind w:firstLine="420" w:firstLineChars="200"/>
        <w:rPr>
          <w:rFonts w:hint="eastAsia"/>
          <w:color w:val="auto"/>
          <w:sz w:val="21"/>
          <w:szCs w:val="21"/>
          <w:lang w:eastAsia="zh-CN"/>
        </w:rPr>
      </w:pPr>
      <w:r>
        <w:rPr>
          <w:rFonts w:hint="eastAsia"/>
          <w:color w:val="auto"/>
          <w:sz w:val="21"/>
          <w:szCs w:val="21"/>
          <w:lang w:eastAsia="zh-CN"/>
        </w:rPr>
        <w:t>质保期：</w:t>
      </w:r>
      <w:r>
        <w:rPr>
          <w:rFonts w:hint="eastAsia" w:ascii="宋体" w:hAnsi="宋体" w:cs="宋体"/>
          <w:color w:val="auto"/>
          <w:spacing w:val="-1"/>
          <w:sz w:val="21"/>
          <w:szCs w:val="21"/>
          <w:lang w:eastAsia="zh-CN"/>
        </w:rPr>
        <w:t>自甲方最终验收合格出具书面验收意见显示的时间起进入质保期，货物（产品）质保期不少于</w:t>
      </w:r>
      <w:r>
        <w:rPr>
          <w:rFonts w:hint="eastAsia" w:ascii="宋体" w:hAnsi="宋体" w:cs="宋体"/>
          <w:color w:val="auto"/>
          <w:spacing w:val="-1"/>
          <w:sz w:val="21"/>
          <w:szCs w:val="21"/>
          <w:u w:val="single"/>
          <w:lang w:eastAsia="zh-CN"/>
        </w:rPr>
        <w:t xml:space="preserve"> 3 </w:t>
      </w:r>
      <w:r>
        <w:rPr>
          <w:rFonts w:hint="eastAsia" w:ascii="宋体" w:hAnsi="宋体" w:cs="宋体"/>
          <w:color w:val="auto"/>
          <w:spacing w:val="-1"/>
          <w:sz w:val="21"/>
          <w:szCs w:val="21"/>
          <w:lang w:eastAsia="zh-CN"/>
        </w:rPr>
        <w:t>年。（注：特别说明：技术参数、性能需求里有明确要求的除外）。</w:t>
      </w:r>
    </w:p>
    <w:p w14:paraId="5F527813">
      <w:pPr>
        <w:spacing w:line="360" w:lineRule="auto"/>
        <w:ind w:firstLine="424" w:firstLineChars="202"/>
        <w:rPr>
          <w:color w:val="auto"/>
        </w:rPr>
      </w:pPr>
      <w:r>
        <w:rPr>
          <w:rFonts w:hint="eastAsia"/>
          <w:color w:val="auto"/>
        </w:rPr>
        <w:t>本项目</w:t>
      </w:r>
      <w:r>
        <w:rPr>
          <w:color w:val="auto"/>
        </w:rPr>
        <w:t>不接受联合体参与谈判。</w:t>
      </w:r>
    </w:p>
    <w:p w14:paraId="79D566E9">
      <w:pPr>
        <w:spacing w:line="360" w:lineRule="auto"/>
        <w:rPr>
          <w:b/>
          <w:color w:val="auto"/>
        </w:rPr>
      </w:pPr>
      <w:r>
        <w:rPr>
          <w:rFonts w:hint="eastAsia"/>
          <w:b/>
          <w:color w:val="auto"/>
        </w:rPr>
        <w:t>二、供应商</w:t>
      </w:r>
      <w:r>
        <w:rPr>
          <w:b/>
          <w:color w:val="auto"/>
        </w:rPr>
        <w:t>资格要求</w:t>
      </w:r>
    </w:p>
    <w:p w14:paraId="44184DB6">
      <w:pPr>
        <w:widowControl/>
        <w:shd w:val="clear" w:color="auto" w:fill="FFFFFF"/>
        <w:spacing w:line="360" w:lineRule="auto"/>
        <w:ind w:firstLine="426"/>
        <w:rPr>
          <w:rFonts w:hint="eastAsia" w:ascii="宋体" w:hAnsi="宋体"/>
          <w:b/>
          <w:color w:val="auto"/>
          <w:sz w:val="21"/>
          <w:szCs w:val="21"/>
          <w:lang w:eastAsia="zh-CN"/>
        </w:rPr>
      </w:pPr>
      <w:r>
        <w:rPr>
          <w:rFonts w:ascii="宋体" w:hAnsi="宋体"/>
          <w:b/>
          <w:color w:val="auto"/>
          <w:sz w:val="21"/>
          <w:szCs w:val="21"/>
          <w:lang w:eastAsia="zh-CN"/>
        </w:rPr>
        <w:t>1</w:t>
      </w:r>
      <w:r>
        <w:rPr>
          <w:rFonts w:hint="eastAsia" w:ascii="宋体" w:hAnsi="宋体"/>
          <w:b/>
          <w:color w:val="auto"/>
          <w:sz w:val="21"/>
          <w:szCs w:val="21"/>
          <w:lang w:eastAsia="zh-CN"/>
        </w:rPr>
        <w:t>.</w:t>
      </w:r>
      <w:r>
        <w:rPr>
          <w:rFonts w:ascii="宋体" w:hAnsi="宋体"/>
          <w:b/>
          <w:color w:val="auto"/>
          <w:sz w:val="21"/>
          <w:szCs w:val="21"/>
          <w:lang w:eastAsia="zh-CN"/>
        </w:rPr>
        <w:t>满足《中华人民共和国政府采购法》第二十二条规定</w:t>
      </w:r>
      <w:r>
        <w:rPr>
          <w:rFonts w:hint="eastAsia" w:ascii="宋体" w:hAnsi="宋体"/>
          <w:b/>
          <w:color w:val="auto"/>
          <w:sz w:val="21"/>
          <w:szCs w:val="21"/>
          <w:lang w:eastAsia="zh-CN"/>
        </w:rPr>
        <w:t>：</w:t>
      </w:r>
    </w:p>
    <w:p w14:paraId="3852EFBA">
      <w:pPr>
        <w:widowControl/>
        <w:shd w:val="clear" w:color="auto" w:fill="FFFFFF"/>
        <w:spacing w:line="360" w:lineRule="auto"/>
        <w:ind w:firstLine="426"/>
        <w:rPr>
          <w:rFonts w:hint="eastAsia" w:ascii="宋体" w:hAnsi="宋体"/>
          <w:bCs/>
          <w:color w:val="auto"/>
          <w:sz w:val="21"/>
          <w:szCs w:val="21"/>
          <w:u w:val="single"/>
          <w:lang w:eastAsia="zh-CN"/>
        </w:rPr>
      </w:pPr>
      <w:r>
        <w:rPr>
          <w:rFonts w:hint="eastAsia" w:ascii="宋体" w:hAnsi="宋体"/>
          <w:b/>
          <w:color w:val="auto"/>
          <w:sz w:val="21"/>
          <w:szCs w:val="21"/>
          <w:lang w:eastAsia="zh-CN"/>
        </w:rPr>
        <w:t>1.1具有独立承担民事责任的能力：</w:t>
      </w:r>
      <w:r>
        <w:rPr>
          <w:rFonts w:hint="eastAsia" w:ascii="宋体" w:hAnsi="宋体"/>
          <w:bCs/>
          <w:color w:val="auto"/>
          <w:sz w:val="21"/>
          <w:szCs w:val="21"/>
          <w:u w:val="single"/>
          <w:lang w:eastAsia="zh-CN"/>
        </w:rPr>
        <w:t>提供有效的营业执照或事业单位法人证书或其他组织证明材料或自然人身份证明。</w:t>
      </w:r>
    </w:p>
    <w:p w14:paraId="67310047">
      <w:pPr>
        <w:widowControl/>
        <w:shd w:val="clear" w:color="auto" w:fill="FFFFFF"/>
        <w:spacing w:line="360" w:lineRule="auto"/>
        <w:ind w:firstLine="426"/>
        <w:rPr>
          <w:rFonts w:hint="eastAsia" w:ascii="宋体" w:hAnsi="宋体"/>
          <w:bCs/>
          <w:color w:val="auto"/>
          <w:sz w:val="21"/>
          <w:szCs w:val="21"/>
          <w:u w:val="single"/>
          <w:lang w:eastAsia="zh-CN"/>
        </w:rPr>
      </w:pPr>
      <w:r>
        <w:rPr>
          <w:rFonts w:hint="eastAsia" w:ascii="宋体" w:hAnsi="宋体"/>
          <w:b/>
          <w:color w:val="auto"/>
          <w:sz w:val="21"/>
          <w:szCs w:val="21"/>
          <w:lang w:eastAsia="zh-CN"/>
        </w:rPr>
        <w:t>1.2具有良好的商业信誉和健全的财务会计制度：</w:t>
      </w:r>
      <w:r>
        <w:rPr>
          <w:rFonts w:hint="eastAsia" w:ascii="宋体" w:hAnsi="宋体"/>
          <w:bCs/>
          <w:color w:val="auto"/>
          <w:sz w:val="21"/>
          <w:szCs w:val="21"/>
          <w:u w:val="single"/>
          <w:lang w:eastAsia="zh-CN"/>
        </w:rPr>
        <w:t>投标人满足下列任一条件：</w:t>
      </w:r>
    </w:p>
    <w:p w14:paraId="5008B913">
      <w:pPr>
        <w:widowControl/>
        <w:shd w:val="clear" w:color="auto" w:fill="FFFFFF"/>
        <w:spacing w:line="360" w:lineRule="auto"/>
        <w:ind w:firstLine="426"/>
        <w:rPr>
          <w:rFonts w:hint="eastAsia" w:ascii="宋体" w:hAnsi="宋体"/>
          <w:bCs/>
          <w:color w:val="auto"/>
          <w:sz w:val="21"/>
          <w:szCs w:val="21"/>
          <w:u w:val="single"/>
          <w:lang w:eastAsia="zh-CN"/>
        </w:rPr>
      </w:pPr>
      <w:r>
        <w:rPr>
          <w:rFonts w:hint="eastAsia" w:ascii="宋体" w:hAnsi="宋体"/>
          <w:bCs/>
          <w:color w:val="auto"/>
          <w:sz w:val="21"/>
          <w:szCs w:val="21"/>
          <w:u w:val="single"/>
          <w:lang w:eastAsia="zh-CN"/>
        </w:rPr>
        <w:t>①提供2024年或2025年任意一年度经审计的财务报表及审计报告（成立时间不足1年的，可提供成立至今财务报表；财务报表须包括资产负债表、利润表、现金流量表）；</w:t>
      </w:r>
    </w:p>
    <w:p w14:paraId="7D7D3280">
      <w:pPr>
        <w:widowControl/>
        <w:shd w:val="clear" w:color="auto" w:fill="FFFFFF"/>
        <w:spacing w:line="360" w:lineRule="auto"/>
        <w:ind w:firstLine="426"/>
        <w:rPr>
          <w:rFonts w:hint="eastAsia" w:ascii="宋体" w:hAnsi="宋体"/>
          <w:bCs/>
          <w:color w:val="auto"/>
          <w:sz w:val="21"/>
          <w:szCs w:val="21"/>
          <w:u w:val="single"/>
          <w:lang w:eastAsia="zh-CN"/>
        </w:rPr>
      </w:pPr>
      <w:r>
        <w:rPr>
          <w:rFonts w:hint="eastAsia" w:ascii="宋体" w:hAnsi="宋体"/>
          <w:bCs/>
          <w:color w:val="auto"/>
          <w:sz w:val="21"/>
          <w:szCs w:val="21"/>
          <w:u w:val="single"/>
          <w:lang w:eastAsia="zh-CN"/>
        </w:rPr>
        <w:t>②自投标文件提交截止时间前三个月内基本开户银行出具的资信证明文件；</w:t>
      </w:r>
    </w:p>
    <w:p w14:paraId="57E759A8">
      <w:pPr>
        <w:widowControl/>
        <w:shd w:val="clear" w:color="auto" w:fill="FFFFFF"/>
        <w:spacing w:line="360" w:lineRule="auto"/>
        <w:ind w:firstLine="426"/>
        <w:rPr>
          <w:rFonts w:hint="eastAsia" w:ascii="宋体" w:hAnsi="宋体"/>
          <w:bCs/>
          <w:color w:val="auto"/>
          <w:sz w:val="21"/>
          <w:szCs w:val="21"/>
          <w:u w:val="single"/>
          <w:lang w:eastAsia="zh-CN"/>
        </w:rPr>
      </w:pPr>
      <w:r>
        <w:rPr>
          <w:rFonts w:hint="eastAsia" w:ascii="宋体" w:hAnsi="宋体"/>
          <w:bCs/>
          <w:color w:val="auto"/>
          <w:sz w:val="21"/>
          <w:szCs w:val="21"/>
          <w:u w:val="single"/>
          <w:lang w:eastAsia="zh-CN"/>
        </w:rPr>
        <w:t>③非营利性单位或者社会团体或者其他事业单位以符合财务会计制度为准或者提供承诺函；</w:t>
      </w:r>
    </w:p>
    <w:p w14:paraId="59826F2E">
      <w:pPr>
        <w:widowControl/>
        <w:shd w:val="clear" w:color="auto" w:fill="FFFFFF"/>
        <w:spacing w:line="360" w:lineRule="auto"/>
        <w:ind w:firstLine="426"/>
        <w:rPr>
          <w:rFonts w:hint="eastAsia" w:ascii="宋体" w:hAnsi="宋体"/>
          <w:bCs/>
          <w:color w:val="auto"/>
          <w:sz w:val="21"/>
          <w:szCs w:val="21"/>
          <w:u w:val="single"/>
          <w:lang w:eastAsia="zh-CN"/>
        </w:rPr>
      </w:pPr>
      <w:r>
        <w:rPr>
          <w:rFonts w:hint="eastAsia" w:ascii="宋体" w:hAnsi="宋体"/>
          <w:bCs/>
          <w:color w:val="auto"/>
          <w:sz w:val="21"/>
          <w:szCs w:val="21"/>
          <w:u w:val="single"/>
          <w:lang w:eastAsia="zh-CN"/>
        </w:rPr>
        <w:t>④财政部门认可的政府采购专业担保机构出具的投标担保函（需同时提供专业担保机构经财政部门认可的证明文件）。</w:t>
      </w:r>
    </w:p>
    <w:p w14:paraId="4DFE5B7C">
      <w:pPr>
        <w:widowControl/>
        <w:shd w:val="clear" w:color="auto" w:fill="FFFFFF"/>
        <w:spacing w:line="360" w:lineRule="auto"/>
        <w:ind w:firstLine="426"/>
        <w:rPr>
          <w:rFonts w:hint="eastAsia" w:ascii="宋体" w:hAnsi="宋体"/>
          <w:bCs/>
          <w:color w:val="auto"/>
          <w:sz w:val="21"/>
          <w:szCs w:val="21"/>
          <w:u w:val="single"/>
          <w:lang w:eastAsia="zh-CN"/>
        </w:rPr>
      </w:pPr>
      <w:r>
        <w:rPr>
          <w:rFonts w:hint="eastAsia" w:ascii="宋体" w:hAnsi="宋体"/>
          <w:b/>
          <w:color w:val="auto"/>
          <w:sz w:val="21"/>
          <w:szCs w:val="21"/>
          <w:lang w:eastAsia="zh-CN"/>
        </w:rPr>
        <w:t>1.3具有履行合同所必需的设备和专业技术能力：</w:t>
      </w:r>
      <w:r>
        <w:rPr>
          <w:rFonts w:hint="eastAsia" w:ascii="宋体" w:hAnsi="宋体"/>
          <w:bCs/>
          <w:color w:val="auto"/>
          <w:sz w:val="21"/>
          <w:szCs w:val="21"/>
          <w:u w:val="single"/>
          <w:lang w:eastAsia="zh-CN"/>
        </w:rPr>
        <w:t>提供相关声明函或证明材料。</w:t>
      </w:r>
    </w:p>
    <w:p w14:paraId="6ECA8750">
      <w:pPr>
        <w:widowControl/>
        <w:shd w:val="clear" w:color="auto" w:fill="FFFFFF"/>
        <w:spacing w:line="360" w:lineRule="auto"/>
        <w:ind w:firstLine="426"/>
        <w:rPr>
          <w:rFonts w:hint="eastAsia" w:ascii="宋体" w:hAnsi="宋体"/>
          <w:bCs/>
          <w:color w:val="auto"/>
          <w:sz w:val="21"/>
          <w:szCs w:val="21"/>
          <w:u w:val="single"/>
          <w:lang w:eastAsia="zh-CN"/>
        </w:rPr>
      </w:pPr>
      <w:r>
        <w:rPr>
          <w:rFonts w:hint="eastAsia" w:ascii="宋体" w:hAnsi="宋体"/>
          <w:b/>
          <w:color w:val="auto"/>
          <w:sz w:val="21"/>
          <w:szCs w:val="21"/>
          <w:lang w:eastAsia="zh-CN"/>
        </w:rPr>
        <w:t>1.4有依法缴纳税收和社会保障资金的良好记录：</w:t>
      </w:r>
      <w:r>
        <w:rPr>
          <w:rFonts w:hint="eastAsia" w:ascii="宋体" w:hAnsi="宋体"/>
          <w:bCs/>
          <w:color w:val="auto"/>
          <w:sz w:val="21"/>
          <w:szCs w:val="21"/>
          <w:u w:val="single"/>
          <w:lang w:eastAsia="zh-CN"/>
        </w:rPr>
        <w:t>提供20</w:t>
      </w:r>
      <w:r>
        <w:rPr>
          <w:rFonts w:ascii="宋体" w:hAnsi="宋体"/>
          <w:bCs/>
          <w:color w:val="auto"/>
          <w:sz w:val="21"/>
          <w:szCs w:val="21"/>
          <w:u w:val="single"/>
          <w:lang w:eastAsia="zh-CN"/>
        </w:rPr>
        <w:t>2</w:t>
      </w:r>
      <w:r>
        <w:rPr>
          <w:rFonts w:hint="eastAsia" w:ascii="宋体" w:hAnsi="宋体"/>
          <w:bCs/>
          <w:color w:val="auto"/>
          <w:sz w:val="21"/>
          <w:szCs w:val="21"/>
          <w:u w:val="single"/>
          <w:lang w:val="en-US" w:eastAsia="zh-CN"/>
        </w:rPr>
        <w:t>6</w:t>
      </w:r>
      <w:r>
        <w:rPr>
          <w:rFonts w:hint="eastAsia" w:ascii="宋体" w:hAnsi="宋体"/>
          <w:bCs/>
          <w:color w:val="auto"/>
          <w:sz w:val="21"/>
          <w:szCs w:val="21"/>
          <w:u w:val="single"/>
          <w:lang w:eastAsia="zh-CN"/>
        </w:rPr>
        <w:t>年1月至今投标人任意</w:t>
      </w:r>
      <w:r>
        <w:rPr>
          <w:rFonts w:hint="eastAsia" w:ascii="宋体" w:hAnsi="宋体"/>
          <w:bCs/>
          <w:color w:val="auto"/>
          <w:sz w:val="21"/>
          <w:szCs w:val="21"/>
          <w:u w:val="single"/>
          <w:lang w:val="en-US" w:eastAsia="zh-CN"/>
        </w:rPr>
        <w:t>1</w:t>
      </w:r>
      <w:r>
        <w:rPr>
          <w:rFonts w:hint="eastAsia" w:ascii="宋体" w:hAnsi="宋体"/>
          <w:bCs/>
          <w:color w:val="auto"/>
          <w:sz w:val="21"/>
          <w:szCs w:val="21"/>
          <w:u w:val="single"/>
          <w:lang w:eastAsia="zh-CN"/>
        </w:rPr>
        <w:t>个月的税收缴纳凭证</w:t>
      </w:r>
      <w:r>
        <w:rPr>
          <w:rFonts w:hint="eastAsia" w:ascii="宋体" w:hAnsi="宋体"/>
          <w:bCs/>
          <w:color w:val="auto"/>
          <w:sz w:val="21"/>
          <w:szCs w:val="21"/>
          <w:u w:val="single"/>
          <w:lang w:val="en-US" w:eastAsia="zh-CN"/>
        </w:rPr>
        <w:t>或其他证明材料</w:t>
      </w:r>
      <w:r>
        <w:rPr>
          <w:rFonts w:hint="eastAsia" w:ascii="宋体" w:hAnsi="宋体"/>
          <w:bCs/>
          <w:color w:val="auto"/>
          <w:sz w:val="21"/>
          <w:szCs w:val="21"/>
          <w:u w:val="single"/>
          <w:lang w:eastAsia="zh-CN"/>
        </w:rPr>
        <w:t>；提供20</w:t>
      </w:r>
      <w:r>
        <w:rPr>
          <w:rFonts w:ascii="宋体" w:hAnsi="宋体"/>
          <w:bCs/>
          <w:color w:val="auto"/>
          <w:sz w:val="21"/>
          <w:szCs w:val="21"/>
          <w:u w:val="single"/>
          <w:lang w:eastAsia="zh-CN"/>
        </w:rPr>
        <w:t>2</w:t>
      </w:r>
      <w:r>
        <w:rPr>
          <w:rFonts w:hint="eastAsia" w:ascii="宋体" w:hAnsi="宋体"/>
          <w:bCs/>
          <w:color w:val="auto"/>
          <w:sz w:val="21"/>
          <w:szCs w:val="21"/>
          <w:u w:val="single"/>
          <w:lang w:val="en-US" w:eastAsia="zh-CN"/>
        </w:rPr>
        <w:t>6</w:t>
      </w:r>
      <w:r>
        <w:rPr>
          <w:rFonts w:hint="eastAsia" w:ascii="宋体" w:hAnsi="宋体"/>
          <w:bCs/>
          <w:color w:val="auto"/>
          <w:sz w:val="21"/>
          <w:szCs w:val="21"/>
          <w:u w:val="single"/>
          <w:lang w:eastAsia="zh-CN"/>
        </w:rPr>
        <w:t>年1月至今投标人任意</w:t>
      </w:r>
      <w:r>
        <w:rPr>
          <w:rFonts w:hint="eastAsia" w:ascii="宋体" w:hAnsi="宋体"/>
          <w:bCs/>
          <w:color w:val="auto"/>
          <w:sz w:val="21"/>
          <w:szCs w:val="21"/>
          <w:u w:val="single"/>
          <w:lang w:val="en-US" w:eastAsia="zh-CN"/>
        </w:rPr>
        <w:t>1</w:t>
      </w:r>
      <w:r>
        <w:rPr>
          <w:rFonts w:hint="eastAsia" w:ascii="宋体" w:hAnsi="宋体"/>
          <w:bCs/>
          <w:color w:val="auto"/>
          <w:sz w:val="21"/>
          <w:szCs w:val="21"/>
          <w:u w:val="single"/>
          <w:lang w:eastAsia="zh-CN"/>
        </w:rPr>
        <w:t>个月的社会保险缴纳凭证</w:t>
      </w:r>
      <w:r>
        <w:rPr>
          <w:rFonts w:hint="eastAsia" w:ascii="宋体" w:hAnsi="宋体"/>
          <w:bCs/>
          <w:color w:val="auto"/>
          <w:sz w:val="21"/>
          <w:szCs w:val="21"/>
          <w:u w:val="single"/>
          <w:lang w:val="en-US" w:eastAsia="zh-CN"/>
        </w:rPr>
        <w:t>或其他证明材料</w:t>
      </w:r>
      <w:r>
        <w:rPr>
          <w:rFonts w:hint="eastAsia" w:ascii="宋体" w:hAnsi="宋体"/>
          <w:bCs/>
          <w:color w:val="auto"/>
          <w:sz w:val="21"/>
          <w:szCs w:val="21"/>
          <w:u w:val="single"/>
          <w:lang w:eastAsia="zh-CN"/>
        </w:rPr>
        <w:t>；若成立时间不足</w:t>
      </w:r>
      <w:r>
        <w:rPr>
          <w:rFonts w:hint="eastAsia" w:ascii="宋体" w:hAnsi="宋体"/>
          <w:bCs/>
          <w:color w:val="auto"/>
          <w:sz w:val="21"/>
          <w:szCs w:val="21"/>
          <w:u w:val="single"/>
          <w:lang w:val="en-US" w:eastAsia="zh-CN"/>
        </w:rPr>
        <w:t>1</w:t>
      </w:r>
      <w:r>
        <w:rPr>
          <w:rFonts w:hint="eastAsia" w:ascii="宋体" w:hAnsi="宋体"/>
          <w:bCs/>
          <w:color w:val="auto"/>
          <w:sz w:val="21"/>
          <w:szCs w:val="21"/>
          <w:u w:val="single"/>
          <w:lang w:eastAsia="zh-CN"/>
        </w:rPr>
        <w:t>个月的，提供成立以来的税收和社保资金缴纳凭证</w:t>
      </w:r>
      <w:r>
        <w:rPr>
          <w:rFonts w:hint="eastAsia" w:ascii="宋体" w:hAnsi="宋体"/>
          <w:bCs/>
          <w:color w:val="auto"/>
          <w:sz w:val="21"/>
          <w:szCs w:val="21"/>
          <w:u w:val="single"/>
          <w:lang w:val="en-US" w:eastAsia="zh-CN"/>
        </w:rPr>
        <w:t>或其他证明材料</w:t>
      </w:r>
      <w:r>
        <w:rPr>
          <w:rFonts w:hint="eastAsia" w:ascii="宋体" w:hAnsi="宋体"/>
          <w:bCs/>
          <w:color w:val="auto"/>
          <w:sz w:val="21"/>
          <w:szCs w:val="21"/>
          <w:u w:val="single"/>
          <w:lang w:eastAsia="zh-CN"/>
        </w:rPr>
        <w:t>；依法免税或不需要缴纳社会保障资金的投标人，提供相应证明文件。</w:t>
      </w:r>
    </w:p>
    <w:p w14:paraId="0541A881">
      <w:pPr>
        <w:widowControl/>
        <w:shd w:val="clear" w:color="auto" w:fill="FFFFFF"/>
        <w:spacing w:line="360" w:lineRule="auto"/>
        <w:ind w:firstLine="426"/>
        <w:rPr>
          <w:rFonts w:hint="eastAsia" w:ascii="宋体" w:hAnsi="宋体"/>
          <w:bCs/>
          <w:color w:val="auto"/>
          <w:sz w:val="21"/>
          <w:szCs w:val="21"/>
          <w:u w:val="single"/>
          <w:lang w:eastAsia="zh-CN"/>
        </w:rPr>
      </w:pPr>
      <w:r>
        <w:rPr>
          <w:rFonts w:hint="eastAsia" w:ascii="宋体" w:hAnsi="宋体"/>
          <w:b/>
          <w:color w:val="auto"/>
          <w:sz w:val="21"/>
          <w:szCs w:val="21"/>
          <w:lang w:eastAsia="zh-CN"/>
        </w:rPr>
        <w:t>1.5参加政府采购活动前三年内，在经营活动中没有重大违法记录：</w:t>
      </w:r>
      <w:r>
        <w:rPr>
          <w:rFonts w:hint="eastAsia" w:ascii="宋体" w:hAnsi="宋体"/>
          <w:bCs/>
          <w:color w:val="auto"/>
          <w:sz w:val="21"/>
          <w:szCs w:val="21"/>
          <w:u w:val="single"/>
          <w:lang w:eastAsia="zh-CN"/>
        </w:rPr>
        <w:t>提供书面声明。（重大违法记录是指供应商因违法经营受到刑事处罚或者责令停产停业、吊销许可证或者执照、较大数额罚款等行政处罚）。</w:t>
      </w:r>
    </w:p>
    <w:p w14:paraId="27D30611">
      <w:pPr>
        <w:widowControl/>
        <w:shd w:val="clear" w:color="auto" w:fill="FFFFFF"/>
        <w:spacing w:line="360" w:lineRule="auto"/>
        <w:ind w:firstLine="426"/>
        <w:rPr>
          <w:rFonts w:hint="eastAsia" w:ascii="宋体" w:hAnsi="宋体"/>
          <w:b/>
          <w:color w:val="auto"/>
          <w:sz w:val="21"/>
          <w:szCs w:val="21"/>
          <w:lang w:eastAsia="zh-CN"/>
        </w:rPr>
      </w:pPr>
      <w:r>
        <w:rPr>
          <w:rFonts w:hint="eastAsia" w:ascii="宋体" w:hAnsi="宋体"/>
          <w:b/>
          <w:color w:val="auto"/>
          <w:sz w:val="21"/>
          <w:szCs w:val="21"/>
          <w:lang w:eastAsia="zh-CN"/>
        </w:rPr>
        <w:t>1.6法律、行政法规规定的其他条件。</w:t>
      </w:r>
    </w:p>
    <w:p w14:paraId="7DBB5C9A">
      <w:pPr>
        <w:spacing w:line="360" w:lineRule="auto"/>
        <w:ind w:firstLine="426"/>
        <w:jc w:val="left"/>
        <w:rPr>
          <w:rFonts w:hint="eastAsia" w:ascii="宋体" w:hAnsi="宋体"/>
          <w:bCs/>
          <w:color w:val="auto"/>
          <w:sz w:val="20"/>
          <w:szCs w:val="20"/>
          <w:u w:val="single"/>
          <w:lang w:eastAsia="zh-CN"/>
        </w:rPr>
      </w:pPr>
      <w:r>
        <w:rPr>
          <w:rFonts w:ascii="宋体" w:hAnsi="宋体"/>
          <w:b/>
          <w:color w:val="auto"/>
          <w:sz w:val="21"/>
          <w:szCs w:val="21"/>
          <w:lang w:eastAsia="zh-CN"/>
        </w:rPr>
        <w:t>2</w:t>
      </w:r>
      <w:r>
        <w:rPr>
          <w:rFonts w:hint="eastAsia" w:ascii="宋体" w:hAnsi="宋体"/>
          <w:color w:val="auto"/>
          <w:sz w:val="21"/>
          <w:szCs w:val="21"/>
          <w:lang w:eastAsia="zh-CN"/>
        </w:rPr>
        <w:t>.</w:t>
      </w:r>
      <w:r>
        <w:rPr>
          <w:rFonts w:ascii="宋体" w:hAnsi="宋体"/>
          <w:b/>
          <w:color w:val="auto"/>
          <w:sz w:val="21"/>
          <w:szCs w:val="21"/>
          <w:lang w:eastAsia="zh-CN"/>
        </w:rPr>
        <w:t>落实政府采购政策需满足的资格要求：</w:t>
      </w:r>
      <w:r>
        <w:rPr>
          <w:rFonts w:hint="eastAsia" w:ascii="宋体" w:hAnsi="宋体"/>
          <w:b/>
          <w:color w:val="auto"/>
          <w:sz w:val="21"/>
          <w:szCs w:val="21"/>
          <w:u w:val="single"/>
          <w:lang w:val="en-US" w:eastAsia="zh-CN"/>
        </w:rPr>
        <w:t>标段1：</w:t>
      </w:r>
      <w:r>
        <w:rPr>
          <w:rFonts w:ascii="宋体" w:hAnsi="宋体"/>
          <w:color w:val="auto"/>
          <w:sz w:val="21"/>
          <w:szCs w:val="21"/>
          <w:u w:val="single"/>
          <w:lang w:eastAsia="zh-CN"/>
        </w:rPr>
        <w:t>非专门面向中小企业采购的项目</w:t>
      </w:r>
      <w:r>
        <w:rPr>
          <w:rFonts w:hint="eastAsia" w:ascii="宋体" w:hAnsi="宋体"/>
          <w:color w:val="auto"/>
          <w:sz w:val="21"/>
          <w:szCs w:val="21"/>
          <w:u w:val="single"/>
          <w:lang w:eastAsia="zh-CN"/>
        </w:rPr>
        <w:t>；小微企业价格扣除优惠比例：10%（残疾人福利性单位、监狱企业</w:t>
      </w:r>
      <w:r>
        <w:rPr>
          <w:rFonts w:ascii="宋体" w:hAnsi="宋体"/>
          <w:color w:val="auto"/>
          <w:sz w:val="21"/>
          <w:szCs w:val="21"/>
          <w:u w:val="single"/>
          <w:lang w:eastAsia="zh-CN"/>
        </w:rPr>
        <w:t>视同小型、微型企业</w:t>
      </w:r>
      <w:r>
        <w:rPr>
          <w:rFonts w:hint="eastAsia" w:ascii="宋体" w:hAnsi="宋体"/>
          <w:color w:val="auto"/>
          <w:sz w:val="21"/>
          <w:szCs w:val="21"/>
          <w:u w:val="single"/>
          <w:lang w:eastAsia="zh-CN"/>
        </w:rPr>
        <w:t>）；</w:t>
      </w:r>
      <w:r>
        <w:rPr>
          <w:rFonts w:hint="eastAsia" w:ascii="宋体" w:hAnsi="宋体"/>
          <w:b/>
          <w:color w:val="auto"/>
          <w:sz w:val="21"/>
          <w:szCs w:val="21"/>
          <w:u w:val="single"/>
          <w:lang w:val="en-US" w:eastAsia="zh-CN"/>
        </w:rPr>
        <w:t>标段2：</w:t>
      </w:r>
      <w:r>
        <w:rPr>
          <w:rFonts w:ascii="宋体" w:hAnsi="宋体"/>
          <w:color w:val="auto"/>
          <w:sz w:val="21"/>
          <w:szCs w:val="21"/>
          <w:u w:val="single"/>
          <w:lang w:eastAsia="zh-CN"/>
        </w:rPr>
        <w:t>专门面向中小企业采购的项目</w:t>
      </w:r>
      <w:r>
        <w:rPr>
          <w:rFonts w:hint="eastAsia" w:ascii="宋体" w:hAnsi="宋体"/>
          <w:color w:val="auto"/>
          <w:sz w:val="21"/>
          <w:szCs w:val="21"/>
          <w:u w:val="single"/>
          <w:lang w:eastAsia="zh-CN"/>
        </w:rPr>
        <w:t>（残疾人福利性单位、监狱企业</w:t>
      </w:r>
      <w:r>
        <w:rPr>
          <w:rFonts w:ascii="宋体" w:hAnsi="宋体"/>
          <w:color w:val="auto"/>
          <w:sz w:val="21"/>
          <w:szCs w:val="21"/>
          <w:u w:val="single"/>
          <w:lang w:eastAsia="zh-CN"/>
        </w:rPr>
        <w:t>视同小型、微型企业</w:t>
      </w:r>
      <w:r>
        <w:rPr>
          <w:rFonts w:hint="eastAsia" w:ascii="宋体" w:hAnsi="宋体"/>
          <w:color w:val="auto"/>
          <w:sz w:val="21"/>
          <w:szCs w:val="21"/>
          <w:u w:val="single"/>
          <w:lang w:eastAsia="zh-CN"/>
        </w:rPr>
        <w:t>）。</w:t>
      </w:r>
    </w:p>
    <w:p w14:paraId="3471AD4B">
      <w:pPr>
        <w:spacing w:line="360" w:lineRule="auto"/>
        <w:ind w:left="424" w:leftChars="202" w:firstLine="2"/>
        <w:jc w:val="left"/>
        <w:rPr>
          <w:b/>
          <w:color w:val="auto"/>
          <w:szCs w:val="21"/>
        </w:rPr>
      </w:pPr>
      <w:r>
        <w:rPr>
          <w:b/>
          <w:color w:val="auto"/>
          <w:szCs w:val="21"/>
        </w:rPr>
        <w:t xml:space="preserve">3.本项目的特定资格要求： </w:t>
      </w:r>
    </w:p>
    <w:p w14:paraId="55FC489B">
      <w:pPr>
        <w:spacing w:line="360" w:lineRule="auto"/>
        <w:ind w:firstLine="424" w:firstLineChars="202"/>
        <w:rPr>
          <w:rFonts w:hint="eastAsia"/>
          <w:color w:val="auto"/>
          <w:szCs w:val="21"/>
        </w:rPr>
      </w:pPr>
      <w:r>
        <w:rPr>
          <w:rFonts w:hint="eastAsia"/>
          <w:color w:val="auto"/>
          <w:szCs w:val="21"/>
        </w:rPr>
        <w:t>3.1未被列入“信用中国”网站（www.creditchina.gov.cn）失信被执行人、</w:t>
      </w:r>
      <w:r>
        <w:rPr>
          <w:rFonts w:hint="eastAsia"/>
          <w:color w:val="auto"/>
          <w:szCs w:val="21"/>
          <w:lang w:eastAsia="zh-CN"/>
        </w:rPr>
        <w:t>重大税收违法案件当事人名单</w:t>
      </w:r>
      <w:r>
        <w:rPr>
          <w:rFonts w:hint="eastAsia"/>
          <w:color w:val="auto"/>
          <w:szCs w:val="21"/>
        </w:rPr>
        <w:t>、政府采购严重违法失信行为记录名单及中国政府采购网（www.ccgp.gov.cn）“政府采购严重违法失信行为信息记录”。以开标当天工作人员对上述信用信息进行查询核对的结果为准。投标人存在不良信用记录的，不得参与政府采购活动。</w:t>
      </w:r>
    </w:p>
    <w:p w14:paraId="32A49422">
      <w:pPr>
        <w:spacing w:line="360" w:lineRule="auto"/>
        <w:ind w:firstLine="424" w:firstLineChars="202"/>
        <w:rPr>
          <w:color w:val="auto"/>
          <w:szCs w:val="21"/>
        </w:rPr>
      </w:pPr>
      <w:r>
        <w:rPr>
          <w:color w:val="auto"/>
          <w:szCs w:val="21"/>
        </w:rPr>
        <w:t>3.</w:t>
      </w:r>
      <w:r>
        <w:rPr>
          <w:rFonts w:hint="eastAsia"/>
          <w:color w:val="auto"/>
          <w:szCs w:val="21"/>
        </w:rPr>
        <w:t>2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p>
    <w:p w14:paraId="6ED39D9D">
      <w:pPr>
        <w:spacing w:line="360" w:lineRule="auto"/>
        <w:rPr>
          <w:b/>
          <w:color w:val="auto"/>
        </w:rPr>
      </w:pPr>
      <w:r>
        <w:rPr>
          <w:rFonts w:hint="eastAsia"/>
          <w:b/>
          <w:color w:val="auto"/>
        </w:rPr>
        <w:t>三、</w:t>
      </w:r>
      <w:r>
        <w:rPr>
          <w:b/>
          <w:color w:val="auto"/>
        </w:rPr>
        <w:t>竞争性谈判文件的获取</w:t>
      </w:r>
    </w:p>
    <w:p w14:paraId="475271E4">
      <w:pPr>
        <w:spacing w:line="360" w:lineRule="auto"/>
        <w:ind w:firstLine="424" w:firstLineChars="202"/>
        <w:rPr>
          <w:rFonts w:hint="eastAsia" w:ascii="宋体" w:hAnsi="宋体"/>
          <w:color w:val="auto"/>
          <w:szCs w:val="21"/>
        </w:rPr>
      </w:pPr>
      <w:bookmarkStart w:id="6" w:name="_Toc86124037"/>
      <w:r>
        <w:rPr>
          <w:rFonts w:hint="eastAsia" w:ascii="宋体" w:hAnsi="宋体"/>
          <w:color w:val="auto"/>
          <w:szCs w:val="21"/>
        </w:rPr>
        <w:t>时间：</w:t>
      </w:r>
      <w:r>
        <w:rPr>
          <w:rFonts w:ascii="宋体" w:hAnsi="宋体"/>
          <w:color w:val="auto"/>
          <w:szCs w:val="21"/>
          <w:u w:val="single"/>
        </w:rPr>
        <w:t>202</w:t>
      </w:r>
      <w:r>
        <w:rPr>
          <w:rFonts w:hint="eastAsia" w:ascii="宋体" w:hAnsi="宋体"/>
          <w:color w:val="auto"/>
          <w:szCs w:val="21"/>
          <w:u w:val="single"/>
          <w:lang w:val="en-US" w:eastAsia="zh-CN"/>
        </w:rPr>
        <w:t>6</w:t>
      </w:r>
      <w:r>
        <w:rPr>
          <w:rFonts w:hint="eastAsia" w:ascii="宋体" w:hAnsi="宋体"/>
          <w:color w:val="auto"/>
          <w:szCs w:val="21"/>
          <w:u w:val="single"/>
        </w:rPr>
        <w:t>年</w:t>
      </w:r>
      <w:r>
        <w:rPr>
          <w:rFonts w:hint="eastAsia" w:ascii="宋体" w:hAnsi="宋体"/>
          <w:color w:val="auto"/>
          <w:szCs w:val="21"/>
          <w:u w:val="single"/>
          <w:lang w:val="en-US" w:eastAsia="zh-CN"/>
        </w:rPr>
        <w:t>7</w:t>
      </w:r>
      <w:r>
        <w:rPr>
          <w:rFonts w:hint="eastAsia" w:ascii="宋体" w:hAnsi="宋体"/>
          <w:color w:val="auto"/>
          <w:szCs w:val="21"/>
          <w:u w:val="single"/>
        </w:rPr>
        <w:t>月</w:t>
      </w:r>
      <w:r>
        <w:rPr>
          <w:rFonts w:hint="eastAsia" w:ascii="宋体" w:hAnsi="宋体"/>
          <w:color w:val="auto"/>
          <w:szCs w:val="21"/>
          <w:u w:val="single"/>
          <w:lang w:val="en-US" w:eastAsia="zh-CN"/>
        </w:rPr>
        <w:t>30</w:t>
      </w:r>
      <w:r>
        <w:rPr>
          <w:rFonts w:hint="eastAsia" w:ascii="宋体" w:hAnsi="宋体"/>
          <w:color w:val="auto"/>
          <w:szCs w:val="21"/>
          <w:u w:val="single"/>
        </w:rPr>
        <w:t>日至2</w:t>
      </w:r>
      <w:r>
        <w:rPr>
          <w:rFonts w:ascii="宋体" w:hAnsi="宋体"/>
          <w:color w:val="auto"/>
          <w:szCs w:val="21"/>
          <w:u w:val="single"/>
        </w:rPr>
        <w:t>02</w:t>
      </w:r>
      <w:r>
        <w:rPr>
          <w:rFonts w:hint="eastAsia" w:ascii="宋体" w:hAnsi="宋体"/>
          <w:color w:val="auto"/>
          <w:szCs w:val="21"/>
          <w:u w:val="single"/>
          <w:lang w:val="en-US" w:eastAsia="zh-CN"/>
        </w:rPr>
        <w:t>6</w:t>
      </w:r>
      <w:r>
        <w:rPr>
          <w:rFonts w:hint="eastAsia" w:ascii="宋体" w:hAnsi="宋体"/>
          <w:color w:val="auto"/>
          <w:szCs w:val="21"/>
          <w:u w:val="single"/>
        </w:rPr>
        <w:t>年</w:t>
      </w:r>
      <w:r>
        <w:rPr>
          <w:rFonts w:hint="eastAsia" w:ascii="宋体" w:hAnsi="宋体"/>
          <w:color w:val="auto"/>
          <w:szCs w:val="21"/>
          <w:u w:val="single"/>
          <w:lang w:val="en-US" w:eastAsia="zh-CN"/>
        </w:rPr>
        <w:t>8</w:t>
      </w:r>
      <w:r>
        <w:rPr>
          <w:rFonts w:hint="eastAsia" w:ascii="宋体" w:hAnsi="宋体"/>
          <w:color w:val="auto"/>
          <w:szCs w:val="21"/>
          <w:u w:val="single"/>
        </w:rPr>
        <w:t>月</w:t>
      </w:r>
      <w:r>
        <w:rPr>
          <w:rFonts w:hint="eastAsia" w:ascii="宋体" w:hAnsi="宋体"/>
          <w:color w:val="auto"/>
          <w:szCs w:val="21"/>
          <w:u w:val="single"/>
          <w:lang w:val="en-US" w:eastAsia="zh-CN"/>
        </w:rPr>
        <w:t>4</w:t>
      </w:r>
      <w:r>
        <w:rPr>
          <w:rFonts w:hint="eastAsia" w:ascii="宋体" w:hAnsi="宋体"/>
          <w:color w:val="auto"/>
          <w:szCs w:val="21"/>
          <w:u w:val="single"/>
        </w:rPr>
        <w:t>日，每天上午</w:t>
      </w:r>
      <w:r>
        <w:rPr>
          <w:rFonts w:hint="eastAsia" w:ascii="宋体" w:hAnsi="宋体"/>
          <w:color w:val="auto"/>
          <w:szCs w:val="21"/>
          <w:u w:val="single"/>
          <w:lang w:val="en-US" w:eastAsia="zh-CN"/>
        </w:rPr>
        <w:t>06</w:t>
      </w:r>
      <w:r>
        <w:rPr>
          <w:rFonts w:hint="eastAsia" w:ascii="宋体" w:hAnsi="宋体"/>
          <w:color w:val="auto"/>
          <w:szCs w:val="21"/>
          <w:u w:val="single"/>
        </w:rPr>
        <w:t>:00至12:00，下午12：00至23:59（北京时间，法定节假日除外）</w:t>
      </w:r>
      <w:r>
        <w:rPr>
          <w:rFonts w:hint="eastAsia" w:ascii="宋体" w:hAnsi="宋体"/>
          <w:color w:val="auto"/>
          <w:szCs w:val="21"/>
        </w:rPr>
        <w:t>。</w:t>
      </w:r>
    </w:p>
    <w:p w14:paraId="40E81A5C">
      <w:pPr>
        <w:spacing w:line="360" w:lineRule="auto"/>
        <w:ind w:firstLine="424" w:firstLineChars="202"/>
        <w:rPr>
          <w:rFonts w:hint="eastAsia" w:ascii="宋体" w:hAnsi="宋体"/>
          <w:color w:val="auto"/>
          <w:szCs w:val="21"/>
        </w:rPr>
      </w:pPr>
      <w:r>
        <w:rPr>
          <w:rFonts w:hint="eastAsia" w:ascii="宋体" w:hAnsi="宋体"/>
          <w:color w:val="auto"/>
          <w:szCs w:val="21"/>
        </w:rPr>
        <w:t>地点：政采云平台线上获取（https://www.zcygov.cn/）</w:t>
      </w:r>
      <w:r>
        <w:rPr>
          <w:color w:val="auto"/>
          <w:szCs w:val="21"/>
        </w:rPr>
        <w:t>。</w:t>
      </w:r>
    </w:p>
    <w:p w14:paraId="23480FCB">
      <w:pPr>
        <w:spacing w:line="360" w:lineRule="auto"/>
        <w:ind w:firstLine="424" w:firstLineChars="202"/>
        <w:rPr>
          <w:rFonts w:hint="eastAsia" w:ascii="宋体" w:hAnsi="宋体"/>
          <w:color w:val="auto"/>
          <w:szCs w:val="21"/>
        </w:rPr>
      </w:pPr>
      <w:r>
        <w:rPr>
          <w:rFonts w:hint="eastAsia" w:ascii="宋体" w:hAnsi="宋体"/>
          <w:color w:val="auto"/>
          <w:szCs w:val="21"/>
        </w:rPr>
        <w:t>方式：1.凡有意参加投标者，须在政采云平台办理数字证书（CA），并在政采云绑定数字证书（CA）后在网上获取采购文件及其他采购资料，数字证书（CA）详见其办理</w:t>
      </w:r>
      <w:r>
        <w:rPr>
          <w:rFonts w:hint="eastAsia" w:ascii="宋体" w:hAnsi="宋体"/>
          <w:color w:val="auto"/>
          <w:szCs w:val="21"/>
          <w:lang w:eastAsia="zh-CN"/>
        </w:rPr>
        <w:t>流程</w:t>
      </w:r>
      <w:r>
        <w:rPr>
          <w:rFonts w:hint="eastAsia" w:ascii="宋体" w:hAnsi="宋体"/>
          <w:color w:val="auto"/>
          <w:szCs w:val="21"/>
        </w:rPr>
        <w:t>。CA申领链接：https://middle.zcygov.cn/ca/apply/list?_app_=zcy.sys，注：云南本地投标人如之前已在云南CA在线数字证书办理网进行过注册并办理过企业数字证书（CA），直接绑定即可，无需重复办理。外省投标人在政采云平台办理的其他CA可直接使用，无需重复办理。</w:t>
      </w:r>
    </w:p>
    <w:p w14:paraId="1E92A674">
      <w:pPr>
        <w:spacing w:line="360" w:lineRule="auto"/>
        <w:ind w:firstLine="424" w:firstLineChars="202"/>
        <w:rPr>
          <w:rFonts w:hint="eastAsia" w:ascii="宋体" w:hAnsi="宋体"/>
          <w:color w:val="auto"/>
          <w:szCs w:val="21"/>
        </w:rPr>
      </w:pPr>
      <w:r>
        <w:rPr>
          <w:rFonts w:hint="eastAsia" w:ascii="宋体" w:hAnsi="宋体"/>
          <w:color w:val="auto"/>
          <w:szCs w:val="21"/>
        </w:rPr>
        <w:t>2.按上述要求获取文件的投标人视为合法获取了本项目采购文件，具备本项目的投标资格。</w:t>
      </w:r>
    </w:p>
    <w:p w14:paraId="7B088375">
      <w:pPr>
        <w:spacing w:line="360" w:lineRule="auto"/>
        <w:ind w:firstLine="424" w:firstLineChars="202"/>
        <w:rPr>
          <w:b/>
          <w:color w:val="auto"/>
        </w:rPr>
      </w:pPr>
      <w:r>
        <w:rPr>
          <w:rFonts w:hint="eastAsia" w:ascii="宋体" w:hAnsi="宋体"/>
          <w:color w:val="auto"/>
          <w:szCs w:val="21"/>
        </w:rPr>
        <w:t>售价（元）：0</w:t>
      </w:r>
    </w:p>
    <w:p w14:paraId="10A81F1C">
      <w:pPr>
        <w:spacing w:line="360" w:lineRule="auto"/>
        <w:rPr>
          <w:b/>
          <w:color w:val="auto"/>
        </w:rPr>
      </w:pPr>
      <w:r>
        <w:rPr>
          <w:rFonts w:hint="eastAsia"/>
          <w:b/>
          <w:color w:val="auto"/>
        </w:rPr>
        <w:t>四</w:t>
      </w:r>
      <w:r>
        <w:rPr>
          <w:b/>
          <w:color w:val="auto"/>
        </w:rPr>
        <w:t>、响应文件的</w:t>
      </w:r>
      <w:bookmarkEnd w:id="6"/>
      <w:r>
        <w:rPr>
          <w:rFonts w:hint="eastAsia"/>
          <w:b/>
          <w:color w:val="auto"/>
        </w:rPr>
        <w:t>提交</w:t>
      </w:r>
    </w:p>
    <w:p w14:paraId="1CBE358A">
      <w:pPr>
        <w:spacing w:line="360" w:lineRule="auto"/>
        <w:ind w:firstLine="420" w:firstLineChars="200"/>
        <w:rPr>
          <w:color w:val="auto"/>
          <w:szCs w:val="21"/>
        </w:rPr>
      </w:pPr>
      <w:bookmarkStart w:id="7" w:name="_Toc347133579"/>
      <w:bookmarkStart w:id="8" w:name="_Toc304998754"/>
      <w:r>
        <w:rPr>
          <w:rFonts w:hint="eastAsia"/>
          <w:color w:val="auto"/>
          <w:szCs w:val="21"/>
        </w:rPr>
        <w:t>202</w:t>
      </w:r>
      <w:r>
        <w:rPr>
          <w:rFonts w:hint="eastAsia"/>
          <w:color w:val="auto"/>
          <w:szCs w:val="21"/>
          <w:lang w:val="en-US" w:eastAsia="zh-CN"/>
        </w:rPr>
        <w:t>6</w:t>
      </w:r>
      <w:r>
        <w:rPr>
          <w:rFonts w:hint="eastAsia"/>
          <w:color w:val="auto"/>
          <w:szCs w:val="21"/>
        </w:rPr>
        <w:t>年</w:t>
      </w:r>
      <w:r>
        <w:rPr>
          <w:rFonts w:hint="eastAsia"/>
          <w:color w:val="auto"/>
          <w:szCs w:val="21"/>
          <w:lang w:val="en-US" w:eastAsia="zh-CN"/>
        </w:rPr>
        <w:t>8</w:t>
      </w:r>
      <w:r>
        <w:rPr>
          <w:rFonts w:hint="eastAsia"/>
          <w:color w:val="auto"/>
          <w:szCs w:val="21"/>
        </w:rPr>
        <w:t>月</w:t>
      </w:r>
      <w:r>
        <w:rPr>
          <w:rFonts w:hint="eastAsia"/>
          <w:color w:val="auto"/>
          <w:szCs w:val="21"/>
          <w:lang w:val="en-US" w:eastAsia="zh-CN"/>
        </w:rPr>
        <w:t>7</w:t>
      </w:r>
      <w:r>
        <w:rPr>
          <w:rFonts w:hint="eastAsia"/>
          <w:color w:val="auto"/>
          <w:szCs w:val="21"/>
        </w:rPr>
        <w:t>日</w:t>
      </w:r>
      <w:r>
        <w:rPr>
          <w:rFonts w:hint="eastAsia"/>
          <w:color w:val="auto"/>
          <w:szCs w:val="21"/>
          <w:lang w:val="en-US" w:eastAsia="zh-CN"/>
        </w:rPr>
        <w:t>09</w:t>
      </w:r>
      <w:r>
        <w:rPr>
          <w:rFonts w:hint="eastAsia"/>
          <w:color w:val="auto"/>
          <w:szCs w:val="21"/>
        </w:rPr>
        <w:t>时</w:t>
      </w:r>
      <w:r>
        <w:rPr>
          <w:rFonts w:hint="eastAsia"/>
          <w:color w:val="auto"/>
          <w:szCs w:val="21"/>
          <w:lang w:val="en-US" w:eastAsia="zh-CN"/>
        </w:rPr>
        <w:t>3</w:t>
      </w:r>
      <w:r>
        <w:rPr>
          <w:rFonts w:hint="eastAsia"/>
          <w:color w:val="auto"/>
          <w:szCs w:val="21"/>
        </w:rPr>
        <w:t>0分</w:t>
      </w:r>
      <w:r>
        <w:rPr>
          <w:color w:val="auto"/>
          <w:szCs w:val="21"/>
        </w:rPr>
        <w:t>（北京</w:t>
      </w:r>
      <w:r>
        <w:rPr>
          <w:rFonts w:hint="eastAsia"/>
          <w:color w:val="auto"/>
          <w:szCs w:val="21"/>
        </w:rPr>
        <w:t>时间）</w:t>
      </w:r>
      <w:r>
        <w:rPr>
          <w:color w:val="auto"/>
          <w:szCs w:val="21"/>
        </w:rPr>
        <w:t>。</w:t>
      </w:r>
    </w:p>
    <w:p w14:paraId="6C06D6C4">
      <w:pPr>
        <w:spacing w:line="360" w:lineRule="auto"/>
        <w:ind w:firstLine="420" w:firstLineChars="200"/>
        <w:rPr>
          <w:rFonts w:hint="eastAsia" w:asciiTheme="minorEastAsia" w:hAnsiTheme="minorEastAsia" w:eastAsiaTheme="minorEastAsia"/>
          <w:b/>
          <w:color w:val="auto"/>
          <w:szCs w:val="21"/>
        </w:rPr>
      </w:pPr>
      <w:r>
        <w:rPr>
          <w:color w:val="auto"/>
          <w:szCs w:val="21"/>
        </w:rPr>
        <w:t>地点：</w:t>
      </w:r>
      <w:r>
        <w:rPr>
          <w:rFonts w:hint="eastAsia" w:asciiTheme="minorEastAsia" w:hAnsiTheme="minorEastAsia" w:eastAsiaTheme="minorEastAsia"/>
          <w:color w:val="auto"/>
          <w:szCs w:val="21"/>
        </w:rPr>
        <w:t>请登录云南省政府采购电子交易平台（政采云）投标客户端投标，投标人应按照本项目采购文件和"政采云"平台的要求编制、加密后在投标文件提交截止时间前上传至"政采云"平台，投标文件提交截止时间前未完成投标文件上传的，视为撤回投标文件。投标人在"政采云"平台提交电子版投标文件时，请填写参加远程采购活动经办人联系方式。</w:t>
      </w:r>
    </w:p>
    <w:p w14:paraId="744E2A67">
      <w:pPr>
        <w:spacing w:line="360" w:lineRule="auto"/>
        <w:rPr>
          <w:b/>
          <w:color w:val="auto"/>
        </w:rPr>
      </w:pPr>
      <w:r>
        <w:rPr>
          <w:rFonts w:hint="eastAsia"/>
          <w:b/>
          <w:color w:val="auto"/>
        </w:rPr>
        <w:t>五</w:t>
      </w:r>
      <w:r>
        <w:rPr>
          <w:b/>
          <w:color w:val="auto"/>
        </w:rPr>
        <w:t>、</w:t>
      </w:r>
      <w:bookmarkEnd w:id="7"/>
      <w:r>
        <w:rPr>
          <w:rFonts w:hint="eastAsia"/>
          <w:b/>
          <w:color w:val="auto"/>
        </w:rPr>
        <w:t>开启</w:t>
      </w:r>
    </w:p>
    <w:p w14:paraId="75BD99B7">
      <w:pPr>
        <w:spacing w:line="360" w:lineRule="auto"/>
        <w:ind w:firstLine="420" w:firstLineChars="200"/>
        <w:rPr>
          <w:color w:val="auto"/>
          <w:szCs w:val="21"/>
        </w:rPr>
      </w:pPr>
      <w:r>
        <w:rPr>
          <w:color w:val="auto"/>
          <w:szCs w:val="21"/>
        </w:rPr>
        <w:t>时间：</w:t>
      </w:r>
      <w:r>
        <w:rPr>
          <w:rFonts w:hint="eastAsia"/>
          <w:color w:val="auto"/>
          <w:szCs w:val="21"/>
        </w:rPr>
        <w:t>202</w:t>
      </w:r>
      <w:r>
        <w:rPr>
          <w:rFonts w:hint="eastAsia"/>
          <w:color w:val="auto"/>
          <w:szCs w:val="21"/>
          <w:lang w:val="en-US" w:eastAsia="zh-CN"/>
        </w:rPr>
        <w:t>6</w:t>
      </w:r>
      <w:r>
        <w:rPr>
          <w:rFonts w:hint="eastAsia"/>
          <w:color w:val="auto"/>
          <w:szCs w:val="21"/>
        </w:rPr>
        <w:t>年</w:t>
      </w:r>
      <w:r>
        <w:rPr>
          <w:rFonts w:hint="eastAsia"/>
          <w:color w:val="auto"/>
          <w:szCs w:val="21"/>
          <w:lang w:val="en-US" w:eastAsia="zh-CN"/>
        </w:rPr>
        <w:t>8</w:t>
      </w:r>
      <w:r>
        <w:rPr>
          <w:rFonts w:hint="eastAsia"/>
          <w:color w:val="auto"/>
          <w:szCs w:val="21"/>
        </w:rPr>
        <w:t>月</w:t>
      </w:r>
      <w:r>
        <w:rPr>
          <w:rFonts w:hint="eastAsia"/>
          <w:color w:val="auto"/>
          <w:szCs w:val="21"/>
          <w:lang w:val="en-US" w:eastAsia="zh-CN"/>
        </w:rPr>
        <w:t>7</w:t>
      </w:r>
      <w:r>
        <w:rPr>
          <w:rFonts w:hint="eastAsia"/>
          <w:color w:val="auto"/>
          <w:szCs w:val="21"/>
        </w:rPr>
        <w:t>日</w:t>
      </w:r>
      <w:r>
        <w:rPr>
          <w:rFonts w:hint="eastAsia"/>
          <w:color w:val="auto"/>
          <w:szCs w:val="21"/>
          <w:lang w:val="en-US" w:eastAsia="zh-CN"/>
        </w:rPr>
        <w:t>09</w:t>
      </w:r>
      <w:r>
        <w:rPr>
          <w:rFonts w:hint="eastAsia"/>
          <w:color w:val="auto"/>
          <w:szCs w:val="21"/>
        </w:rPr>
        <w:t>时</w:t>
      </w:r>
      <w:r>
        <w:rPr>
          <w:rFonts w:hint="eastAsia"/>
          <w:color w:val="auto"/>
          <w:szCs w:val="21"/>
          <w:lang w:val="en-US" w:eastAsia="zh-CN"/>
        </w:rPr>
        <w:t>3</w:t>
      </w:r>
      <w:r>
        <w:rPr>
          <w:rFonts w:hint="eastAsia"/>
          <w:color w:val="auto"/>
          <w:szCs w:val="21"/>
        </w:rPr>
        <w:t>0分</w:t>
      </w:r>
      <w:r>
        <w:rPr>
          <w:color w:val="auto"/>
          <w:szCs w:val="21"/>
        </w:rPr>
        <w:t>（北京</w:t>
      </w:r>
      <w:r>
        <w:rPr>
          <w:rFonts w:hint="eastAsia"/>
          <w:color w:val="auto"/>
          <w:szCs w:val="21"/>
        </w:rPr>
        <w:t>时间）</w:t>
      </w:r>
      <w:r>
        <w:rPr>
          <w:color w:val="auto"/>
          <w:szCs w:val="21"/>
        </w:rPr>
        <w:t>。</w:t>
      </w:r>
    </w:p>
    <w:p w14:paraId="05BEFBB1">
      <w:pPr>
        <w:spacing w:line="360" w:lineRule="auto"/>
        <w:ind w:firstLine="424" w:firstLineChars="202"/>
        <w:rPr>
          <w:color w:val="auto"/>
          <w:szCs w:val="21"/>
        </w:rPr>
      </w:pPr>
      <w:r>
        <w:rPr>
          <w:color w:val="auto"/>
          <w:szCs w:val="21"/>
        </w:rPr>
        <w:t>地点：</w:t>
      </w:r>
      <w:r>
        <w:rPr>
          <w:rFonts w:hint="eastAsia" w:ascii="宋体" w:hAnsi="宋体"/>
          <w:color w:val="auto"/>
          <w:szCs w:val="21"/>
        </w:rPr>
        <w:t>政采云平台（https://www.zcygov.cn/）</w:t>
      </w:r>
      <w:r>
        <w:rPr>
          <w:color w:val="auto"/>
          <w:szCs w:val="21"/>
        </w:rPr>
        <w:t>。</w:t>
      </w:r>
    </w:p>
    <w:p w14:paraId="0ACA72AC">
      <w:pPr>
        <w:spacing w:line="360" w:lineRule="auto"/>
        <w:rPr>
          <w:b/>
          <w:color w:val="auto"/>
        </w:rPr>
      </w:pPr>
      <w:r>
        <w:rPr>
          <w:rFonts w:hint="eastAsia"/>
          <w:b/>
          <w:color w:val="auto"/>
        </w:rPr>
        <w:t>六</w:t>
      </w:r>
      <w:r>
        <w:rPr>
          <w:b/>
          <w:color w:val="auto"/>
        </w:rPr>
        <w:t>、</w:t>
      </w:r>
      <w:r>
        <w:rPr>
          <w:rFonts w:hint="eastAsia"/>
          <w:b/>
          <w:color w:val="auto"/>
        </w:rPr>
        <w:t>公告期限</w:t>
      </w:r>
    </w:p>
    <w:p w14:paraId="139DDAE6">
      <w:pPr>
        <w:spacing w:line="360" w:lineRule="auto"/>
        <w:ind w:firstLine="420" w:firstLineChars="200"/>
        <w:jc w:val="left"/>
        <w:rPr>
          <w:color w:val="auto"/>
          <w:szCs w:val="21"/>
        </w:rPr>
      </w:pPr>
      <w:r>
        <w:rPr>
          <w:rFonts w:hint="eastAsia"/>
          <w:color w:val="auto"/>
          <w:szCs w:val="21"/>
        </w:rPr>
        <w:t>自本公告发布之日起</w:t>
      </w:r>
      <w:r>
        <w:rPr>
          <w:color w:val="auto"/>
          <w:szCs w:val="21"/>
        </w:rPr>
        <w:t>3</w:t>
      </w:r>
      <w:r>
        <w:rPr>
          <w:rFonts w:hint="eastAsia"/>
          <w:color w:val="auto"/>
          <w:szCs w:val="21"/>
        </w:rPr>
        <w:t>个工作日。</w:t>
      </w:r>
    </w:p>
    <w:p w14:paraId="29E355B0">
      <w:pPr>
        <w:spacing w:line="360" w:lineRule="auto"/>
        <w:rPr>
          <w:color w:val="auto"/>
          <w:szCs w:val="21"/>
        </w:rPr>
      </w:pPr>
      <w:r>
        <w:rPr>
          <w:rFonts w:hint="eastAsia"/>
          <w:b/>
          <w:color w:val="auto"/>
        </w:rPr>
        <w:t>七</w:t>
      </w:r>
      <w:r>
        <w:rPr>
          <w:b/>
          <w:color w:val="auto"/>
        </w:rPr>
        <w:t>、</w:t>
      </w:r>
      <w:r>
        <w:rPr>
          <w:rFonts w:hint="eastAsia"/>
          <w:b/>
          <w:color w:val="auto"/>
        </w:rPr>
        <w:t>其他补充事宜</w:t>
      </w:r>
    </w:p>
    <w:bookmarkEnd w:id="8"/>
    <w:p w14:paraId="115B1A41">
      <w:pPr>
        <w:spacing w:line="360" w:lineRule="auto"/>
        <w:ind w:firstLine="420" w:firstLineChars="200"/>
        <w:jc w:val="left"/>
        <w:rPr>
          <w:color w:val="auto"/>
          <w:szCs w:val="21"/>
        </w:rPr>
      </w:pPr>
      <w:r>
        <w:rPr>
          <w:rFonts w:hint="eastAsia"/>
          <w:color w:val="auto"/>
          <w:szCs w:val="21"/>
        </w:rPr>
        <w:t>开标方式：网上开标</w:t>
      </w:r>
    </w:p>
    <w:p w14:paraId="6F0AF6DE">
      <w:pPr>
        <w:spacing w:line="360" w:lineRule="auto"/>
        <w:ind w:firstLine="420" w:firstLineChars="200"/>
        <w:jc w:val="left"/>
        <w:rPr>
          <w:rFonts w:hint="eastAsia" w:eastAsia="宋体"/>
          <w:color w:val="auto"/>
          <w:szCs w:val="21"/>
          <w:lang w:eastAsia="zh-CN"/>
        </w:rPr>
      </w:pPr>
      <w:r>
        <w:rPr>
          <w:rFonts w:hint="eastAsia"/>
          <w:color w:val="auto"/>
          <w:szCs w:val="21"/>
        </w:rPr>
        <w:t>是否需要缴纳保证金：</w:t>
      </w:r>
      <w:r>
        <w:rPr>
          <w:rFonts w:hint="eastAsia"/>
          <w:color w:val="auto"/>
          <w:szCs w:val="21"/>
          <w:lang w:val="en-US" w:eastAsia="zh-CN"/>
        </w:rPr>
        <w:t>否</w:t>
      </w:r>
    </w:p>
    <w:p w14:paraId="2F0753AE">
      <w:pPr>
        <w:spacing w:line="360" w:lineRule="auto"/>
        <w:ind w:firstLine="420" w:firstLineChars="200"/>
        <w:rPr>
          <w:rFonts w:hint="eastAsia" w:ascii="宋体" w:hAnsi="宋体"/>
          <w:color w:val="auto"/>
          <w:szCs w:val="21"/>
        </w:rPr>
      </w:pPr>
      <w:r>
        <w:rPr>
          <w:rFonts w:hint="eastAsia" w:ascii="宋体" w:hAnsi="宋体"/>
          <w:bCs/>
          <w:color w:val="auto"/>
          <w:szCs w:val="21"/>
        </w:rPr>
        <w:t>其他：</w:t>
      </w:r>
      <w:r>
        <w:rPr>
          <w:rFonts w:hint="eastAsia" w:ascii="宋体" w:hAnsi="宋体"/>
          <w:color w:val="auto"/>
          <w:szCs w:val="21"/>
        </w:rPr>
        <w:t>1.根据《昆明市西山区财政局关于规范政府采购保证金管理及开展试点保证保险工作的通知》（西财国资【2022】31号）文件精神要求、（西财国资〔2025〕7号），《昆明市西山区财政局关于推进政府采购合同融资及信用担保工作的通知》，请符合条件的投标人及单位在取得中标（成交）通知书后，登录“云南省政府采购网（www.yngp.com）”→“金融服务”栏目→“昆明市政府采购金融业务一站式服务平台”办理相关事宜。</w:t>
      </w:r>
    </w:p>
    <w:p w14:paraId="6E516DC1">
      <w:pPr>
        <w:spacing w:line="360" w:lineRule="auto"/>
        <w:ind w:firstLine="420" w:firstLineChars="200"/>
        <w:rPr>
          <w:rFonts w:hint="eastAsia" w:ascii="宋体" w:hAnsi="宋体"/>
          <w:color w:val="auto"/>
          <w:szCs w:val="21"/>
        </w:rPr>
      </w:pPr>
      <w:r>
        <w:rPr>
          <w:rFonts w:hint="eastAsia" w:ascii="宋体" w:hAnsi="宋体"/>
          <w:color w:val="auto"/>
          <w:szCs w:val="21"/>
        </w:rPr>
        <w:t>2.本项目落实的政府采购政策：《政府采购促进中小企业发展管理办法》（财库〔2020〕46号）、《关于进一步加大政府采购支持中小企业力度的通知》（财库〔2022〕19号）、《财政部 民政部 中国残疾人联合会关于促进残疾人就业政府采购政策的通知》（财库〔2017〕141号）、《关于政府采购支持监狱企业发展有关问题的通知》(财库〔2014〕68号)、《财政部 发展改革委 生态环境部 市场监管总局 关于调整优化节能产品、环境标志产品政府采购执行机制的通知》（财库〔2019〕9号）。</w:t>
      </w:r>
    </w:p>
    <w:p w14:paraId="7EC1A6E9">
      <w:pPr>
        <w:spacing w:line="360" w:lineRule="auto"/>
        <w:ind w:firstLine="420" w:firstLineChars="200"/>
        <w:jc w:val="left"/>
        <w:rPr>
          <w:rFonts w:hint="eastAsia" w:ascii="宋体" w:hAnsi="宋体"/>
          <w:color w:val="auto"/>
          <w:szCs w:val="21"/>
        </w:rPr>
      </w:pPr>
      <w:r>
        <w:rPr>
          <w:rFonts w:hint="eastAsia" w:ascii="宋体" w:hAnsi="宋体"/>
          <w:color w:val="auto"/>
          <w:szCs w:val="21"/>
        </w:rPr>
        <w:t>3.本次公告在云南省政府采购网（www.yngp.com/）及昆明信息港http://www.kmxs.gov.cn/zfxxgk/fdzdgknr/zdlyxxgk/ggzypzly/发布，采购人及采购代理机构对其他网站或媒体转载的公告及公告内容不承担任何责任。</w:t>
      </w:r>
    </w:p>
    <w:p w14:paraId="204C1643">
      <w:pPr>
        <w:spacing w:line="360" w:lineRule="auto"/>
        <w:rPr>
          <w:b/>
          <w:color w:val="auto"/>
        </w:rPr>
      </w:pPr>
      <w:r>
        <w:rPr>
          <w:rFonts w:hint="eastAsia"/>
          <w:b/>
          <w:color w:val="auto"/>
        </w:rPr>
        <w:t>八</w:t>
      </w:r>
      <w:r>
        <w:rPr>
          <w:b/>
          <w:color w:val="auto"/>
        </w:rPr>
        <w:t>、对本次</w:t>
      </w:r>
      <w:r>
        <w:rPr>
          <w:rFonts w:hint="eastAsia"/>
          <w:b/>
          <w:color w:val="auto"/>
        </w:rPr>
        <w:t>采购</w:t>
      </w:r>
      <w:r>
        <w:rPr>
          <w:b/>
          <w:color w:val="auto"/>
        </w:rPr>
        <w:t>提出询问，请按以下方式联系。</w:t>
      </w:r>
    </w:p>
    <w:bookmarkEnd w:id="5"/>
    <w:p w14:paraId="21FED97D">
      <w:pPr>
        <w:spacing w:line="360" w:lineRule="auto"/>
        <w:ind w:firstLine="422" w:firstLineChars="200"/>
        <w:jc w:val="left"/>
        <w:rPr>
          <w:b/>
          <w:bCs/>
          <w:color w:val="auto"/>
          <w:szCs w:val="21"/>
        </w:rPr>
      </w:pPr>
      <w:r>
        <w:rPr>
          <w:rFonts w:hint="eastAsia"/>
          <w:b/>
          <w:bCs/>
          <w:color w:val="auto"/>
          <w:szCs w:val="21"/>
        </w:rPr>
        <w:t>1、</w:t>
      </w:r>
      <w:r>
        <w:rPr>
          <w:b/>
          <w:bCs/>
          <w:color w:val="auto"/>
          <w:szCs w:val="21"/>
        </w:rPr>
        <w:t>采购人</w:t>
      </w:r>
      <w:r>
        <w:rPr>
          <w:rFonts w:hint="eastAsia"/>
          <w:b/>
          <w:bCs/>
          <w:color w:val="auto"/>
          <w:szCs w:val="21"/>
        </w:rPr>
        <w:t>信息</w:t>
      </w:r>
    </w:p>
    <w:p w14:paraId="48EA5F62">
      <w:pPr>
        <w:spacing w:line="360" w:lineRule="auto"/>
        <w:ind w:firstLine="420" w:firstLineChars="200"/>
        <w:jc w:val="left"/>
        <w:rPr>
          <w:rFonts w:hint="eastAsia" w:eastAsia="宋体"/>
          <w:color w:val="auto"/>
          <w:szCs w:val="21"/>
          <w:lang w:eastAsia="zh-CN"/>
        </w:rPr>
      </w:pPr>
      <w:r>
        <w:rPr>
          <w:rFonts w:hint="eastAsia"/>
          <w:color w:val="auto"/>
          <w:szCs w:val="21"/>
        </w:rPr>
        <w:t xml:space="preserve">名 </w:t>
      </w:r>
      <w:r>
        <w:rPr>
          <w:color w:val="auto"/>
          <w:szCs w:val="21"/>
        </w:rPr>
        <w:t xml:space="preserve">   </w:t>
      </w:r>
      <w:r>
        <w:rPr>
          <w:rFonts w:hint="eastAsia"/>
          <w:color w:val="auto"/>
          <w:szCs w:val="21"/>
        </w:rPr>
        <w:t>称</w:t>
      </w:r>
      <w:r>
        <w:rPr>
          <w:color w:val="auto"/>
          <w:szCs w:val="21"/>
        </w:rPr>
        <w:t>：</w:t>
      </w:r>
      <w:r>
        <w:rPr>
          <w:rFonts w:hint="eastAsia"/>
          <w:color w:val="auto"/>
          <w:szCs w:val="21"/>
          <w:lang w:eastAsia="zh-CN"/>
        </w:rPr>
        <w:t>昆明市西山区芳草地国际学校</w:t>
      </w:r>
    </w:p>
    <w:p w14:paraId="625A1DAC">
      <w:pPr>
        <w:spacing w:line="360" w:lineRule="auto"/>
        <w:ind w:firstLine="420" w:firstLineChars="200"/>
        <w:jc w:val="left"/>
        <w:rPr>
          <w:rFonts w:hint="eastAsia" w:eastAsia="宋体"/>
          <w:color w:val="auto"/>
          <w:szCs w:val="21"/>
          <w:lang w:val="en-US" w:eastAsia="zh-CN"/>
        </w:rPr>
      </w:pPr>
      <w:r>
        <w:rPr>
          <w:rFonts w:hint="eastAsia"/>
          <w:color w:val="auto"/>
          <w:szCs w:val="21"/>
        </w:rPr>
        <w:t>地址：昆明市西山区陆家路中段</w:t>
      </w:r>
    </w:p>
    <w:p w14:paraId="291646DB">
      <w:pPr>
        <w:spacing w:line="360" w:lineRule="auto"/>
        <w:ind w:firstLine="420" w:firstLineChars="200"/>
        <w:jc w:val="left"/>
        <w:rPr>
          <w:rFonts w:hint="eastAsia" w:eastAsia="宋体"/>
          <w:color w:val="auto"/>
          <w:szCs w:val="21"/>
          <w:lang w:eastAsia="zh-CN"/>
        </w:rPr>
      </w:pPr>
      <w:r>
        <w:rPr>
          <w:rFonts w:hint="eastAsia"/>
          <w:color w:val="auto"/>
          <w:szCs w:val="21"/>
        </w:rPr>
        <w:t>联系方式：</w:t>
      </w:r>
      <w:r>
        <w:rPr>
          <w:rFonts w:hint="eastAsia"/>
          <w:color w:val="auto"/>
          <w:szCs w:val="21"/>
          <w:lang w:val="en-US" w:eastAsia="zh-CN"/>
        </w:rPr>
        <w:t>刘</w:t>
      </w:r>
      <w:r>
        <w:rPr>
          <w:rFonts w:hint="eastAsia"/>
          <w:color w:val="auto"/>
          <w:szCs w:val="21"/>
        </w:rPr>
        <w:t>老师18064803904</w:t>
      </w:r>
    </w:p>
    <w:p w14:paraId="2BC626E3">
      <w:pPr>
        <w:spacing w:line="360" w:lineRule="auto"/>
        <w:ind w:firstLine="442" w:firstLineChars="200"/>
        <w:jc w:val="left"/>
        <w:rPr>
          <w:rFonts w:hint="eastAsia" w:asciiTheme="minorEastAsia" w:hAnsiTheme="minorEastAsia" w:eastAsiaTheme="minorEastAsia"/>
          <w:b/>
          <w:bCs/>
          <w:color w:val="auto"/>
          <w:sz w:val="22"/>
          <w:szCs w:val="22"/>
        </w:rPr>
      </w:pPr>
      <w:r>
        <w:rPr>
          <w:rFonts w:hint="eastAsia" w:asciiTheme="minorEastAsia" w:hAnsiTheme="minorEastAsia" w:eastAsiaTheme="minorEastAsia"/>
          <w:b/>
          <w:bCs/>
          <w:color w:val="auto"/>
          <w:sz w:val="22"/>
          <w:szCs w:val="22"/>
        </w:rPr>
        <w:t>2、</w:t>
      </w:r>
      <w:r>
        <w:rPr>
          <w:rFonts w:asciiTheme="minorEastAsia" w:hAnsiTheme="minorEastAsia" w:eastAsiaTheme="minorEastAsia"/>
          <w:b/>
          <w:bCs/>
          <w:color w:val="auto"/>
          <w:sz w:val="22"/>
          <w:szCs w:val="22"/>
        </w:rPr>
        <w:t>采购代理机构</w:t>
      </w:r>
      <w:r>
        <w:rPr>
          <w:rFonts w:hint="eastAsia" w:asciiTheme="minorEastAsia" w:hAnsiTheme="minorEastAsia" w:eastAsiaTheme="minorEastAsia"/>
          <w:b/>
          <w:bCs/>
          <w:color w:val="auto"/>
          <w:sz w:val="22"/>
          <w:szCs w:val="22"/>
        </w:rPr>
        <w:t>信息</w:t>
      </w:r>
    </w:p>
    <w:p w14:paraId="6BCEA269">
      <w:pPr>
        <w:spacing w:line="360" w:lineRule="auto"/>
        <w:ind w:firstLine="440" w:firstLineChars="200"/>
        <w:jc w:val="left"/>
        <w:rPr>
          <w:rFonts w:hint="eastAsia" w:asciiTheme="minorEastAsia" w:hAnsiTheme="minorEastAsia" w:eastAsiaTheme="minorEastAsia"/>
          <w:color w:val="auto"/>
          <w:sz w:val="22"/>
          <w:szCs w:val="22"/>
        </w:rPr>
      </w:pPr>
      <w:r>
        <w:rPr>
          <w:rFonts w:hint="eastAsia" w:asciiTheme="minorEastAsia" w:hAnsiTheme="minorEastAsia" w:eastAsiaTheme="minorEastAsia"/>
          <w:color w:val="auto"/>
          <w:sz w:val="22"/>
          <w:szCs w:val="22"/>
        </w:rPr>
        <w:t>名称</w:t>
      </w:r>
      <w:r>
        <w:rPr>
          <w:rFonts w:asciiTheme="minorEastAsia" w:hAnsiTheme="minorEastAsia" w:eastAsiaTheme="minorEastAsia"/>
          <w:color w:val="auto"/>
          <w:sz w:val="22"/>
          <w:szCs w:val="22"/>
        </w:rPr>
        <w:t>：</w:t>
      </w:r>
      <w:r>
        <w:rPr>
          <w:rFonts w:hint="eastAsia" w:asciiTheme="minorEastAsia" w:hAnsiTheme="minorEastAsia" w:eastAsiaTheme="minorEastAsia"/>
          <w:color w:val="auto"/>
          <w:sz w:val="22"/>
          <w:szCs w:val="22"/>
        </w:rPr>
        <w:t>西山区政府采购中心</w:t>
      </w:r>
    </w:p>
    <w:p w14:paraId="1AD5BFAA">
      <w:pPr>
        <w:spacing w:line="360" w:lineRule="auto"/>
        <w:ind w:firstLine="440" w:firstLineChars="200"/>
        <w:rPr>
          <w:rFonts w:hint="eastAsia" w:ascii="宋体" w:hAnsi="宋体"/>
          <w:color w:val="auto"/>
          <w:sz w:val="22"/>
          <w:szCs w:val="22"/>
        </w:rPr>
      </w:pPr>
      <w:r>
        <w:rPr>
          <w:rFonts w:ascii="宋体" w:hAnsi="宋体"/>
          <w:color w:val="auto"/>
          <w:sz w:val="22"/>
          <w:szCs w:val="22"/>
        </w:rPr>
        <w:t>地址：</w:t>
      </w:r>
      <w:r>
        <w:rPr>
          <w:rFonts w:hint="eastAsia" w:ascii="宋体" w:hAnsi="宋体"/>
          <w:color w:val="auto"/>
          <w:sz w:val="22"/>
          <w:szCs w:val="22"/>
        </w:rPr>
        <w:t>昆明市西山区秀苑路188号</w:t>
      </w:r>
    </w:p>
    <w:p w14:paraId="1526AA50">
      <w:pPr>
        <w:spacing w:line="360" w:lineRule="auto"/>
        <w:ind w:firstLine="440" w:firstLineChars="200"/>
        <w:jc w:val="left"/>
        <w:rPr>
          <w:rFonts w:hint="eastAsia" w:ascii="宋体" w:hAnsi="宋体"/>
          <w:color w:val="auto"/>
          <w:kern w:val="0"/>
          <w:sz w:val="22"/>
          <w:szCs w:val="22"/>
        </w:rPr>
      </w:pPr>
      <w:r>
        <w:rPr>
          <w:rFonts w:ascii="宋体" w:hAnsi="宋体"/>
          <w:color w:val="auto"/>
          <w:kern w:val="0"/>
          <w:sz w:val="22"/>
          <w:szCs w:val="22"/>
        </w:rPr>
        <w:t>联系方式：0871-68307301</w:t>
      </w:r>
    </w:p>
    <w:p w14:paraId="4AB0E0A9">
      <w:pPr>
        <w:spacing w:line="360" w:lineRule="auto"/>
        <w:ind w:firstLine="442" w:firstLineChars="200"/>
        <w:jc w:val="left"/>
        <w:rPr>
          <w:rFonts w:hint="eastAsia" w:asciiTheme="minorEastAsia" w:hAnsiTheme="minorEastAsia" w:eastAsiaTheme="minorEastAsia"/>
          <w:b/>
          <w:bCs/>
          <w:color w:val="auto"/>
          <w:sz w:val="22"/>
          <w:szCs w:val="22"/>
        </w:rPr>
      </w:pPr>
      <w:r>
        <w:rPr>
          <w:rFonts w:hint="eastAsia" w:asciiTheme="minorEastAsia" w:hAnsiTheme="minorEastAsia" w:eastAsiaTheme="minorEastAsia"/>
          <w:b/>
          <w:bCs/>
          <w:color w:val="auto"/>
          <w:sz w:val="22"/>
          <w:szCs w:val="22"/>
        </w:rPr>
        <w:t>3、项目联系方式</w:t>
      </w:r>
    </w:p>
    <w:p w14:paraId="4832D2B3">
      <w:pPr>
        <w:spacing w:line="360" w:lineRule="auto"/>
        <w:ind w:firstLine="440" w:firstLineChars="200"/>
        <w:jc w:val="left"/>
        <w:rPr>
          <w:rFonts w:hint="eastAsia" w:asciiTheme="minorEastAsia" w:hAnsiTheme="minorEastAsia" w:eastAsiaTheme="minorEastAsia"/>
          <w:color w:val="auto"/>
          <w:sz w:val="22"/>
          <w:szCs w:val="22"/>
        </w:rPr>
      </w:pPr>
      <w:r>
        <w:rPr>
          <w:rFonts w:hint="eastAsia" w:asciiTheme="minorEastAsia" w:hAnsiTheme="minorEastAsia" w:eastAsiaTheme="minorEastAsia"/>
          <w:color w:val="auto"/>
          <w:sz w:val="22"/>
          <w:szCs w:val="22"/>
        </w:rPr>
        <w:t>项目联系人：王子涵、黄圳鈺、他玲浩</w:t>
      </w:r>
    </w:p>
    <w:p w14:paraId="60C9EE2C">
      <w:pPr>
        <w:spacing w:line="360" w:lineRule="auto"/>
        <w:ind w:firstLine="440" w:firstLineChars="200"/>
        <w:jc w:val="left"/>
        <w:rPr>
          <w:rFonts w:hint="eastAsia" w:asciiTheme="minorEastAsia" w:hAnsiTheme="minorEastAsia" w:eastAsiaTheme="minorEastAsia"/>
          <w:color w:val="auto"/>
          <w:sz w:val="22"/>
          <w:szCs w:val="22"/>
        </w:rPr>
      </w:pPr>
      <w:r>
        <w:rPr>
          <w:rFonts w:hint="eastAsia" w:asciiTheme="minorEastAsia" w:hAnsiTheme="minorEastAsia" w:eastAsiaTheme="minorEastAsia"/>
          <w:color w:val="auto"/>
          <w:sz w:val="22"/>
          <w:szCs w:val="22"/>
        </w:rPr>
        <w:t>电话：0871-68307301</w:t>
      </w:r>
    </w:p>
    <w:p w14:paraId="2BDB5B9D">
      <w:pPr>
        <w:spacing w:line="360" w:lineRule="auto"/>
        <w:ind w:firstLine="442" w:firstLineChars="200"/>
        <w:rPr>
          <w:rFonts w:hint="eastAsia" w:ascii="宋体" w:hAnsi="宋体"/>
          <w:color w:val="auto"/>
          <w:sz w:val="22"/>
          <w:szCs w:val="22"/>
        </w:rPr>
      </w:pPr>
      <w:r>
        <w:rPr>
          <w:rFonts w:hint="eastAsia" w:ascii="宋体" w:hAnsi="宋体"/>
          <w:b/>
          <w:bCs/>
          <w:color w:val="auto"/>
          <w:sz w:val="22"/>
          <w:szCs w:val="22"/>
        </w:rPr>
        <w:t>4.监督单位名称、联系方式和地址</w:t>
      </w:r>
    </w:p>
    <w:p w14:paraId="19567340">
      <w:pPr>
        <w:spacing w:line="360" w:lineRule="auto"/>
        <w:ind w:firstLine="440" w:firstLineChars="200"/>
        <w:rPr>
          <w:rFonts w:hint="eastAsia" w:ascii="宋体" w:hAnsi="宋体"/>
          <w:color w:val="auto"/>
          <w:sz w:val="22"/>
          <w:szCs w:val="22"/>
        </w:rPr>
      </w:pPr>
      <w:r>
        <w:rPr>
          <w:rFonts w:hint="eastAsia" w:ascii="宋体" w:hAnsi="宋体"/>
          <w:color w:val="auto"/>
          <w:sz w:val="22"/>
          <w:szCs w:val="22"/>
        </w:rPr>
        <w:t>监督部门：昆明市西山区财政局</w:t>
      </w:r>
    </w:p>
    <w:p w14:paraId="787AFDE6">
      <w:pPr>
        <w:spacing w:line="360" w:lineRule="auto"/>
        <w:ind w:firstLine="440" w:firstLineChars="200"/>
        <w:jc w:val="left"/>
        <w:rPr>
          <w:rFonts w:hint="eastAsia" w:ascii="宋体" w:hAnsi="宋体"/>
          <w:color w:val="auto"/>
          <w:kern w:val="0"/>
          <w:sz w:val="22"/>
          <w:szCs w:val="22"/>
        </w:rPr>
      </w:pPr>
      <w:r>
        <w:rPr>
          <w:rFonts w:hint="eastAsia" w:ascii="宋体" w:hAnsi="宋体"/>
          <w:color w:val="auto"/>
          <w:kern w:val="0"/>
          <w:sz w:val="22"/>
          <w:szCs w:val="22"/>
        </w:rPr>
        <w:t>地址：西山区政府综合办公大楼7楼</w:t>
      </w:r>
    </w:p>
    <w:p w14:paraId="45CB60D4">
      <w:pPr>
        <w:spacing w:line="360" w:lineRule="auto"/>
        <w:ind w:firstLine="440" w:firstLineChars="200"/>
        <w:jc w:val="left"/>
        <w:rPr>
          <w:rFonts w:hint="eastAsia" w:ascii="宋体" w:hAnsi="宋体"/>
          <w:color w:val="auto"/>
          <w:kern w:val="0"/>
          <w:sz w:val="22"/>
          <w:szCs w:val="22"/>
        </w:rPr>
      </w:pPr>
      <w:r>
        <w:rPr>
          <w:rFonts w:hint="eastAsia" w:ascii="宋体" w:hAnsi="宋体"/>
          <w:color w:val="auto"/>
          <w:kern w:val="0"/>
          <w:sz w:val="22"/>
          <w:szCs w:val="22"/>
        </w:rPr>
        <w:t>电话：0871-68228478</w:t>
      </w:r>
    </w:p>
    <w:p w14:paraId="1C9D6A61">
      <w:pPr>
        <w:spacing w:line="360" w:lineRule="auto"/>
        <w:ind w:firstLine="440" w:firstLineChars="200"/>
        <w:jc w:val="left"/>
        <w:rPr>
          <w:rFonts w:hint="eastAsia" w:ascii="宋体" w:hAnsi="宋体"/>
          <w:color w:val="auto"/>
          <w:kern w:val="0"/>
          <w:sz w:val="22"/>
          <w:szCs w:val="22"/>
        </w:rPr>
      </w:pPr>
    </w:p>
    <w:p w14:paraId="698E3545">
      <w:pPr>
        <w:pStyle w:val="40"/>
        <w:rPr>
          <w:b w:val="0"/>
          <w:color w:val="auto"/>
          <w:sz w:val="24"/>
        </w:rPr>
      </w:pPr>
      <w:r>
        <w:rPr>
          <w:color w:val="auto"/>
        </w:rPr>
        <w:br w:type="page"/>
      </w:r>
      <w:bookmarkStart w:id="9" w:name="_Toc4456"/>
      <w:bookmarkStart w:id="10" w:name="_Hlk124958198"/>
      <w:bookmarkStart w:id="11" w:name="_Hlk107777466"/>
      <w:r>
        <w:rPr>
          <w:rFonts w:hint="eastAsia"/>
          <w:color w:val="auto"/>
        </w:rPr>
        <w:t>第二章  供应商须知</w:t>
      </w:r>
      <w:bookmarkEnd w:id="9"/>
    </w:p>
    <w:p w14:paraId="4E8CEB8B">
      <w:pPr>
        <w:widowControl/>
        <w:spacing w:line="360" w:lineRule="auto"/>
        <w:jc w:val="center"/>
        <w:rPr>
          <w:rFonts w:hint="eastAsia" w:ascii="宋体" w:hAnsi="宋体"/>
          <w:b/>
          <w:color w:val="auto"/>
          <w:kern w:val="0"/>
          <w:sz w:val="44"/>
          <w:szCs w:val="44"/>
        </w:rPr>
      </w:pPr>
      <w:r>
        <w:rPr>
          <w:rFonts w:hint="eastAsia" w:ascii="黑体" w:hAnsi="黑体" w:eastAsia="黑体"/>
          <w:bCs/>
          <w:color w:val="auto"/>
          <w:kern w:val="0"/>
          <w:sz w:val="24"/>
        </w:rPr>
        <w:t>供应商须知前附表</w:t>
      </w:r>
    </w:p>
    <w:tbl>
      <w:tblPr>
        <w:tblStyle w:val="44"/>
        <w:tblW w:w="10065" w:type="dxa"/>
        <w:tblInd w:w="-176" w:type="dxa"/>
        <w:tblLayout w:type="fixed"/>
        <w:tblCellMar>
          <w:top w:w="0" w:type="dxa"/>
          <w:left w:w="108" w:type="dxa"/>
          <w:bottom w:w="0" w:type="dxa"/>
          <w:right w:w="108" w:type="dxa"/>
        </w:tblCellMar>
      </w:tblPr>
      <w:tblGrid>
        <w:gridCol w:w="1155"/>
        <w:gridCol w:w="2248"/>
        <w:gridCol w:w="6662"/>
      </w:tblGrid>
      <w:tr w14:paraId="32AF16DA">
        <w:tblPrEx>
          <w:tblCellMar>
            <w:top w:w="0" w:type="dxa"/>
            <w:left w:w="108" w:type="dxa"/>
            <w:bottom w:w="0" w:type="dxa"/>
            <w:right w:w="108" w:type="dxa"/>
          </w:tblCellMar>
        </w:tblPrEx>
        <w:trPr>
          <w:trHeight w:val="569" w:hRule="atLeast"/>
        </w:trPr>
        <w:tc>
          <w:tcPr>
            <w:tcW w:w="1155" w:type="dxa"/>
            <w:tcBorders>
              <w:top w:val="single" w:color="auto" w:sz="4" w:space="0"/>
              <w:left w:val="single" w:color="auto" w:sz="4" w:space="0"/>
              <w:bottom w:val="single" w:color="auto" w:sz="4" w:space="0"/>
              <w:right w:val="single" w:color="auto" w:sz="4" w:space="0"/>
            </w:tcBorders>
            <w:vAlign w:val="center"/>
          </w:tcPr>
          <w:p w14:paraId="0F35223E">
            <w:pPr>
              <w:spacing w:line="360" w:lineRule="auto"/>
              <w:jc w:val="center"/>
              <w:rPr>
                <w:b/>
                <w:color w:val="auto"/>
                <w:szCs w:val="21"/>
              </w:rPr>
            </w:pPr>
            <w:bookmarkStart w:id="12" w:name="_Hlk109897030"/>
            <w:r>
              <w:rPr>
                <w:b/>
                <w:color w:val="auto"/>
                <w:szCs w:val="21"/>
              </w:rPr>
              <w:t>条款号</w:t>
            </w:r>
          </w:p>
        </w:tc>
        <w:tc>
          <w:tcPr>
            <w:tcW w:w="2248" w:type="dxa"/>
            <w:tcBorders>
              <w:top w:val="single" w:color="auto" w:sz="4" w:space="0"/>
              <w:left w:val="single" w:color="auto" w:sz="4" w:space="0"/>
              <w:bottom w:val="single" w:color="auto" w:sz="4" w:space="0"/>
              <w:right w:val="single" w:color="auto" w:sz="4" w:space="0"/>
            </w:tcBorders>
            <w:vAlign w:val="center"/>
          </w:tcPr>
          <w:p w14:paraId="046F69D6">
            <w:pPr>
              <w:spacing w:line="360" w:lineRule="auto"/>
              <w:jc w:val="center"/>
              <w:rPr>
                <w:b/>
                <w:color w:val="auto"/>
                <w:szCs w:val="21"/>
              </w:rPr>
            </w:pPr>
            <w:r>
              <w:rPr>
                <w:b/>
                <w:color w:val="auto"/>
                <w:szCs w:val="21"/>
              </w:rPr>
              <w:t>条 款 名 称</w:t>
            </w:r>
          </w:p>
        </w:tc>
        <w:tc>
          <w:tcPr>
            <w:tcW w:w="6662" w:type="dxa"/>
            <w:tcBorders>
              <w:top w:val="single" w:color="auto" w:sz="4" w:space="0"/>
              <w:left w:val="single" w:color="auto" w:sz="4" w:space="0"/>
              <w:bottom w:val="single" w:color="auto" w:sz="4" w:space="0"/>
              <w:right w:val="single" w:color="auto" w:sz="4" w:space="0"/>
            </w:tcBorders>
            <w:vAlign w:val="center"/>
          </w:tcPr>
          <w:p w14:paraId="413BEAE4">
            <w:pPr>
              <w:spacing w:line="360" w:lineRule="auto"/>
              <w:jc w:val="center"/>
              <w:rPr>
                <w:b/>
                <w:color w:val="auto"/>
                <w:szCs w:val="21"/>
              </w:rPr>
            </w:pPr>
            <w:r>
              <w:rPr>
                <w:b/>
                <w:color w:val="auto"/>
                <w:szCs w:val="21"/>
              </w:rPr>
              <w:t>编 列 内 容</w:t>
            </w:r>
          </w:p>
        </w:tc>
      </w:tr>
      <w:tr w14:paraId="271FBCBE">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020C83DD">
            <w:pPr>
              <w:widowControl/>
              <w:spacing w:line="360" w:lineRule="auto"/>
              <w:jc w:val="center"/>
              <w:rPr>
                <w:color w:val="auto"/>
                <w:kern w:val="0"/>
                <w:szCs w:val="21"/>
              </w:rPr>
            </w:pPr>
            <w:r>
              <w:rPr>
                <w:color w:val="auto"/>
                <w:kern w:val="0"/>
                <w:szCs w:val="21"/>
              </w:rPr>
              <w:t>1.1.2</w:t>
            </w:r>
          </w:p>
        </w:tc>
        <w:tc>
          <w:tcPr>
            <w:tcW w:w="2248" w:type="dxa"/>
            <w:tcBorders>
              <w:top w:val="single" w:color="auto" w:sz="4" w:space="0"/>
              <w:left w:val="single" w:color="auto" w:sz="4" w:space="0"/>
              <w:bottom w:val="single" w:color="auto" w:sz="4" w:space="0"/>
              <w:right w:val="single" w:color="auto" w:sz="4" w:space="0"/>
            </w:tcBorders>
            <w:vAlign w:val="center"/>
          </w:tcPr>
          <w:p w14:paraId="352B6085">
            <w:pPr>
              <w:widowControl/>
              <w:spacing w:line="360" w:lineRule="auto"/>
              <w:jc w:val="center"/>
              <w:rPr>
                <w:color w:val="auto"/>
                <w:kern w:val="0"/>
                <w:szCs w:val="21"/>
              </w:rPr>
            </w:pPr>
            <w:r>
              <w:rPr>
                <w:color w:val="auto"/>
                <w:kern w:val="0"/>
                <w:szCs w:val="21"/>
              </w:rPr>
              <w:t>采购人</w:t>
            </w:r>
          </w:p>
        </w:tc>
        <w:tc>
          <w:tcPr>
            <w:tcW w:w="6662" w:type="dxa"/>
            <w:tcBorders>
              <w:top w:val="single" w:color="auto" w:sz="4" w:space="0"/>
              <w:left w:val="single" w:color="auto" w:sz="4" w:space="0"/>
              <w:bottom w:val="single" w:color="auto" w:sz="4" w:space="0"/>
              <w:right w:val="single" w:color="auto" w:sz="4" w:space="0"/>
            </w:tcBorders>
            <w:vAlign w:val="center"/>
          </w:tcPr>
          <w:p w14:paraId="2D68FC26">
            <w:pPr>
              <w:spacing w:line="360" w:lineRule="auto"/>
              <w:jc w:val="left"/>
              <w:rPr>
                <w:rFonts w:hint="default" w:eastAsia="宋体"/>
                <w:b/>
                <w:bCs/>
                <w:color w:val="auto"/>
                <w:szCs w:val="21"/>
                <w:lang w:val="en-US" w:eastAsia="zh-CN"/>
              </w:rPr>
            </w:pPr>
            <w:r>
              <w:rPr>
                <w:rFonts w:hint="eastAsia"/>
                <w:b/>
                <w:bCs/>
                <w:color w:val="auto"/>
                <w:szCs w:val="21"/>
                <w:lang w:val="en-US" w:eastAsia="zh-CN"/>
              </w:rPr>
              <w:t>采购人</w:t>
            </w:r>
            <w:r>
              <w:rPr>
                <w:rFonts w:hint="default" w:eastAsia="宋体"/>
                <w:b/>
                <w:bCs/>
                <w:color w:val="auto"/>
                <w:szCs w:val="21"/>
                <w:lang w:val="en-US" w:eastAsia="zh-CN"/>
              </w:rPr>
              <w:t>：</w:t>
            </w:r>
            <w:r>
              <w:rPr>
                <w:rFonts w:hint="eastAsia"/>
                <w:b/>
                <w:bCs/>
                <w:color w:val="auto"/>
                <w:szCs w:val="21"/>
                <w:lang w:val="en-US" w:eastAsia="zh-CN"/>
              </w:rPr>
              <w:t>昆明市西山区芳草地国际学校</w:t>
            </w:r>
          </w:p>
          <w:p w14:paraId="6641A9AF">
            <w:pPr>
              <w:spacing w:line="360" w:lineRule="auto"/>
              <w:jc w:val="left"/>
              <w:rPr>
                <w:rFonts w:hint="eastAsia" w:eastAsia="宋体"/>
                <w:color w:val="auto"/>
                <w:szCs w:val="21"/>
                <w:lang w:val="en-US" w:eastAsia="zh-CN"/>
              </w:rPr>
            </w:pPr>
            <w:r>
              <w:rPr>
                <w:rFonts w:hint="eastAsia"/>
                <w:color w:val="auto"/>
                <w:szCs w:val="21"/>
              </w:rPr>
              <w:t>地址：昆明市西山区陆家路中段</w:t>
            </w:r>
          </w:p>
          <w:p w14:paraId="7C610CF4">
            <w:pPr>
              <w:spacing w:line="360" w:lineRule="auto"/>
              <w:jc w:val="left"/>
              <w:rPr>
                <w:rFonts w:hint="default" w:eastAsia="宋体"/>
                <w:color w:val="auto"/>
                <w:szCs w:val="21"/>
                <w:lang w:val="en-US" w:eastAsia="zh-CN"/>
              </w:rPr>
            </w:pPr>
            <w:r>
              <w:rPr>
                <w:rFonts w:hint="eastAsia"/>
                <w:color w:val="auto"/>
                <w:szCs w:val="21"/>
              </w:rPr>
              <w:t>联系方式：</w:t>
            </w:r>
            <w:r>
              <w:rPr>
                <w:rFonts w:hint="eastAsia"/>
                <w:color w:val="auto"/>
                <w:szCs w:val="21"/>
                <w:lang w:val="en-US" w:eastAsia="zh-CN"/>
              </w:rPr>
              <w:t>刘</w:t>
            </w:r>
            <w:r>
              <w:rPr>
                <w:rFonts w:hint="eastAsia"/>
                <w:color w:val="auto"/>
                <w:szCs w:val="21"/>
              </w:rPr>
              <w:t>老师18064803904</w:t>
            </w:r>
          </w:p>
        </w:tc>
      </w:tr>
      <w:tr w14:paraId="53F30596">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07989414">
            <w:pPr>
              <w:widowControl/>
              <w:spacing w:line="360" w:lineRule="auto"/>
              <w:jc w:val="center"/>
              <w:rPr>
                <w:color w:val="auto"/>
                <w:kern w:val="0"/>
                <w:szCs w:val="21"/>
              </w:rPr>
            </w:pPr>
            <w:r>
              <w:rPr>
                <w:color w:val="auto"/>
                <w:kern w:val="0"/>
                <w:szCs w:val="21"/>
              </w:rPr>
              <w:t>1.1.3</w:t>
            </w:r>
          </w:p>
        </w:tc>
        <w:tc>
          <w:tcPr>
            <w:tcW w:w="2248" w:type="dxa"/>
            <w:tcBorders>
              <w:top w:val="single" w:color="auto" w:sz="4" w:space="0"/>
              <w:left w:val="single" w:color="auto" w:sz="4" w:space="0"/>
              <w:bottom w:val="single" w:color="auto" w:sz="4" w:space="0"/>
              <w:right w:val="single" w:color="auto" w:sz="4" w:space="0"/>
            </w:tcBorders>
            <w:vAlign w:val="center"/>
          </w:tcPr>
          <w:p w14:paraId="03756895">
            <w:pPr>
              <w:widowControl/>
              <w:spacing w:line="360" w:lineRule="auto"/>
              <w:jc w:val="center"/>
              <w:rPr>
                <w:color w:val="auto"/>
                <w:kern w:val="0"/>
                <w:szCs w:val="21"/>
              </w:rPr>
            </w:pPr>
            <w:r>
              <w:rPr>
                <w:color w:val="auto"/>
                <w:kern w:val="0"/>
                <w:szCs w:val="21"/>
              </w:rPr>
              <w:t>采购代理机构</w:t>
            </w:r>
          </w:p>
        </w:tc>
        <w:tc>
          <w:tcPr>
            <w:tcW w:w="6662" w:type="dxa"/>
            <w:tcBorders>
              <w:top w:val="single" w:color="auto" w:sz="4" w:space="0"/>
              <w:left w:val="single" w:color="auto" w:sz="4" w:space="0"/>
              <w:bottom w:val="single" w:color="auto" w:sz="4" w:space="0"/>
              <w:right w:val="single" w:color="auto" w:sz="4" w:space="0"/>
            </w:tcBorders>
            <w:vAlign w:val="center"/>
          </w:tcPr>
          <w:p w14:paraId="4A39E123">
            <w:pPr>
              <w:widowControl/>
              <w:spacing w:line="360" w:lineRule="auto"/>
              <w:jc w:val="left"/>
              <w:rPr>
                <w:b/>
                <w:color w:val="auto"/>
                <w:kern w:val="0"/>
                <w:szCs w:val="21"/>
              </w:rPr>
            </w:pPr>
            <w:r>
              <w:rPr>
                <w:b/>
                <w:color w:val="auto"/>
                <w:kern w:val="0"/>
                <w:szCs w:val="21"/>
              </w:rPr>
              <w:t>采购代理机构：</w:t>
            </w:r>
            <w:r>
              <w:rPr>
                <w:rFonts w:hint="eastAsia"/>
                <w:b/>
                <w:color w:val="auto"/>
                <w:kern w:val="0"/>
                <w:szCs w:val="21"/>
                <w:lang w:eastAsia="zh-CN"/>
              </w:rPr>
              <w:t>西山区政府采购中心</w:t>
            </w:r>
            <w:r>
              <w:rPr>
                <w:b/>
                <w:color w:val="auto"/>
                <w:kern w:val="0"/>
                <w:szCs w:val="21"/>
              </w:rPr>
              <w:t xml:space="preserve"> </w:t>
            </w:r>
          </w:p>
          <w:p w14:paraId="2DD16613">
            <w:pPr>
              <w:widowControl/>
              <w:spacing w:line="360" w:lineRule="auto"/>
              <w:jc w:val="left"/>
              <w:rPr>
                <w:rFonts w:hint="eastAsia" w:asciiTheme="minorEastAsia" w:hAnsiTheme="minorEastAsia" w:eastAsiaTheme="minorEastAsia"/>
                <w:color w:val="auto"/>
                <w:kern w:val="0"/>
                <w:szCs w:val="21"/>
              </w:rPr>
            </w:pPr>
            <w:r>
              <w:rPr>
                <w:rFonts w:hint="eastAsia" w:asciiTheme="minorEastAsia" w:hAnsiTheme="minorEastAsia" w:eastAsiaTheme="minorEastAsia"/>
                <w:color w:val="auto"/>
                <w:kern w:val="0"/>
                <w:szCs w:val="21"/>
              </w:rPr>
              <w:t>地</w:t>
            </w:r>
            <w:r>
              <w:rPr>
                <w:rFonts w:asciiTheme="minorEastAsia" w:hAnsiTheme="minorEastAsia" w:eastAsiaTheme="minorEastAsia"/>
                <w:color w:val="auto"/>
                <w:kern w:val="0"/>
                <w:szCs w:val="21"/>
              </w:rPr>
              <w:t xml:space="preserve">  </w:t>
            </w:r>
            <w:r>
              <w:rPr>
                <w:rFonts w:hint="eastAsia" w:asciiTheme="minorEastAsia" w:hAnsiTheme="minorEastAsia" w:eastAsiaTheme="minorEastAsia"/>
                <w:color w:val="auto"/>
                <w:kern w:val="0"/>
                <w:szCs w:val="21"/>
              </w:rPr>
              <w:t>址：昆明市西山区秀苑路188号</w:t>
            </w:r>
          </w:p>
          <w:p w14:paraId="5545AD1C">
            <w:pPr>
              <w:widowControl/>
              <w:spacing w:line="360" w:lineRule="auto"/>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联系人：王子涵、黄圳鈺、他玲浩</w:t>
            </w:r>
          </w:p>
          <w:p w14:paraId="6A378D01">
            <w:pPr>
              <w:widowControl/>
              <w:spacing w:line="360" w:lineRule="auto"/>
              <w:jc w:val="left"/>
              <w:rPr>
                <w:color w:val="auto"/>
                <w:kern w:val="0"/>
                <w:szCs w:val="21"/>
              </w:rPr>
            </w:pPr>
            <w:r>
              <w:rPr>
                <w:rFonts w:hint="eastAsia" w:asciiTheme="minorEastAsia" w:hAnsiTheme="minorEastAsia" w:eastAsiaTheme="minorEastAsia"/>
                <w:color w:val="auto"/>
                <w:szCs w:val="21"/>
              </w:rPr>
              <w:t>电</w:t>
            </w:r>
            <w:r>
              <w:rPr>
                <w:rFonts w:asciiTheme="minorEastAsia" w:hAnsiTheme="minorEastAsia" w:eastAsiaTheme="minorEastAsia"/>
                <w:color w:val="auto"/>
                <w:szCs w:val="21"/>
              </w:rPr>
              <w:t xml:space="preserve">  </w:t>
            </w:r>
            <w:r>
              <w:rPr>
                <w:rFonts w:hint="eastAsia" w:asciiTheme="minorEastAsia" w:hAnsiTheme="minorEastAsia" w:eastAsiaTheme="minorEastAsia"/>
                <w:color w:val="auto"/>
                <w:szCs w:val="21"/>
              </w:rPr>
              <w:t>话：</w:t>
            </w:r>
            <w:r>
              <w:rPr>
                <w:rFonts w:asciiTheme="minorEastAsia" w:hAnsiTheme="minorEastAsia" w:eastAsiaTheme="minorEastAsia"/>
                <w:color w:val="auto"/>
                <w:szCs w:val="21"/>
              </w:rPr>
              <w:t>0871-68307301</w:t>
            </w:r>
          </w:p>
        </w:tc>
      </w:tr>
      <w:tr w14:paraId="296EA29B">
        <w:tblPrEx>
          <w:tblCellMar>
            <w:top w:w="0" w:type="dxa"/>
            <w:left w:w="108" w:type="dxa"/>
            <w:bottom w:w="0" w:type="dxa"/>
            <w:right w:w="108" w:type="dxa"/>
          </w:tblCellMar>
        </w:tblPrEx>
        <w:trPr>
          <w:trHeight w:val="820" w:hRule="atLeast"/>
        </w:trPr>
        <w:tc>
          <w:tcPr>
            <w:tcW w:w="1155" w:type="dxa"/>
            <w:tcBorders>
              <w:top w:val="single" w:color="auto" w:sz="4" w:space="0"/>
              <w:left w:val="single" w:color="auto" w:sz="4" w:space="0"/>
              <w:bottom w:val="single" w:color="auto" w:sz="4" w:space="0"/>
              <w:right w:val="single" w:color="auto" w:sz="4" w:space="0"/>
            </w:tcBorders>
            <w:vAlign w:val="center"/>
          </w:tcPr>
          <w:p w14:paraId="2D2A239C">
            <w:pPr>
              <w:widowControl/>
              <w:spacing w:line="360" w:lineRule="auto"/>
              <w:jc w:val="center"/>
              <w:rPr>
                <w:color w:val="auto"/>
                <w:kern w:val="0"/>
                <w:szCs w:val="21"/>
              </w:rPr>
            </w:pPr>
            <w:r>
              <w:rPr>
                <w:color w:val="auto"/>
                <w:kern w:val="0"/>
                <w:szCs w:val="21"/>
              </w:rPr>
              <w:t>1.1.4</w:t>
            </w:r>
          </w:p>
        </w:tc>
        <w:tc>
          <w:tcPr>
            <w:tcW w:w="2248" w:type="dxa"/>
            <w:tcBorders>
              <w:top w:val="single" w:color="auto" w:sz="4" w:space="0"/>
              <w:left w:val="single" w:color="auto" w:sz="4" w:space="0"/>
              <w:bottom w:val="single" w:color="auto" w:sz="4" w:space="0"/>
              <w:right w:val="single" w:color="auto" w:sz="4" w:space="0"/>
            </w:tcBorders>
            <w:vAlign w:val="center"/>
          </w:tcPr>
          <w:p w14:paraId="44A4E286">
            <w:pPr>
              <w:widowControl/>
              <w:spacing w:line="360" w:lineRule="auto"/>
              <w:jc w:val="center"/>
              <w:rPr>
                <w:color w:val="auto"/>
                <w:kern w:val="0"/>
                <w:szCs w:val="21"/>
              </w:rPr>
            </w:pPr>
            <w:r>
              <w:rPr>
                <w:color w:val="auto"/>
                <w:kern w:val="0"/>
                <w:szCs w:val="21"/>
              </w:rPr>
              <w:t>项目名称</w:t>
            </w:r>
            <w:r>
              <w:rPr>
                <w:rFonts w:hint="eastAsia"/>
                <w:color w:val="auto"/>
                <w:kern w:val="0"/>
                <w:szCs w:val="21"/>
              </w:rPr>
              <w:t>及项目编号</w:t>
            </w:r>
          </w:p>
        </w:tc>
        <w:tc>
          <w:tcPr>
            <w:tcW w:w="6662" w:type="dxa"/>
            <w:tcBorders>
              <w:top w:val="single" w:color="auto" w:sz="4" w:space="0"/>
              <w:left w:val="single" w:color="auto" w:sz="4" w:space="0"/>
              <w:bottom w:val="single" w:color="auto" w:sz="4" w:space="0"/>
              <w:right w:val="single" w:color="auto" w:sz="4" w:space="0"/>
            </w:tcBorders>
            <w:vAlign w:val="center"/>
          </w:tcPr>
          <w:p w14:paraId="04931A21">
            <w:pPr>
              <w:widowControl/>
              <w:spacing w:line="360" w:lineRule="auto"/>
              <w:jc w:val="left"/>
              <w:rPr>
                <w:rFonts w:hint="eastAsia" w:eastAsia="宋体"/>
                <w:bCs/>
                <w:color w:val="auto"/>
                <w:kern w:val="0"/>
                <w:szCs w:val="21"/>
                <w:lang w:eastAsia="zh-CN"/>
              </w:rPr>
            </w:pPr>
            <w:r>
              <w:rPr>
                <w:color w:val="auto"/>
                <w:kern w:val="0"/>
                <w:szCs w:val="21"/>
              </w:rPr>
              <w:t>项目名称</w:t>
            </w:r>
            <w:r>
              <w:rPr>
                <w:rFonts w:hint="eastAsia"/>
                <w:color w:val="auto"/>
                <w:kern w:val="0"/>
                <w:szCs w:val="21"/>
              </w:rPr>
              <w:t>：</w:t>
            </w:r>
            <w:r>
              <w:rPr>
                <w:rFonts w:hint="eastAsia"/>
                <w:bCs/>
                <w:color w:val="auto"/>
                <w:kern w:val="0"/>
                <w:szCs w:val="21"/>
                <w:lang w:eastAsia="zh-CN"/>
              </w:rPr>
              <w:t>西山区芳草地国际学校建设项目设施设备（电脑类、家具类）</w:t>
            </w:r>
          </w:p>
          <w:p w14:paraId="1A5E2999">
            <w:pPr>
              <w:widowControl/>
              <w:spacing w:line="360" w:lineRule="auto"/>
              <w:jc w:val="left"/>
              <w:rPr>
                <w:rFonts w:hint="eastAsia" w:eastAsia="宋体"/>
                <w:color w:val="auto"/>
                <w:kern w:val="0"/>
                <w:szCs w:val="21"/>
                <w:lang w:eastAsia="zh-CN"/>
              </w:rPr>
            </w:pPr>
            <w:r>
              <w:rPr>
                <w:rFonts w:hint="eastAsia"/>
                <w:color w:val="auto"/>
                <w:szCs w:val="21"/>
              </w:rPr>
              <w:t>项目编号：</w:t>
            </w:r>
            <w:r>
              <w:rPr>
                <w:rFonts w:hint="eastAsia"/>
                <w:color w:val="auto"/>
                <w:szCs w:val="21"/>
                <w:lang w:eastAsia="zh-CN"/>
              </w:rPr>
              <w:t>KMZC2026-J1-01871-XSQZ-0012</w:t>
            </w:r>
          </w:p>
        </w:tc>
      </w:tr>
      <w:tr w14:paraId="7A405187">
        <w:tblPrEx>
          <w:tblCellMar>
            <w:top w:w="0" w:type="dxa"/>
            <w:left w:w="108" w:type="dxa"/>
            <w:bottom w:w="0" w:type="dxa"/>
            <w:right w:w="108" w:type="dxa"/>
          </w:tblCellMar>
        </w:tblPrEx>
        <w:trPr>
          <w:trHeight w:val="559" w:hRule="atLeast"/>
        </w:trPr>
        <w:tc>
          <w:tcPr>
            <w:tcW w:w="1155" w:type="dxa"/>
            <w:tcBorders>
              <w:top w:val="single" w:color="auto" w:sz="4" w:space="0"/>
              <w:left w:val="single" w:color="auto" w:sz="4" w:space="0"/>
              <w:bottom w:val="single" w:color="auto" w:sz="4" w:space="0"/>
              <w:right w:val="single" w:color="auto" w:sz="4" w:space="0"/>
            </w:tcBorders>
            <w:vAlign w:val="center"/>
          </w:tcPr>
          <w:p w14:paraId="1460EDDA">
            <w:pPr>
              <w:widowControl/>
              <w:spacing w:line="360" w:lineRule="auto"/>
              <w:jc w:val="center"/>
              <w:rPr>
                <w:color w:val="auto"/>
                <w:kern w:val="0"/>
                <w:szCs w:val="21"/>
              </w:rPr>
            </w:pPr>
            <w:r>
              <w:rPr>
                <w:rFonts w:hint="eastAsia"/>
                <w:color w:val="auto"/>
                <w:kern w:val="0"/>
                <w:szCs w:val="21"/>
              </w:rPr>
              <w:t>1</w:t>
            </w:r>
            <w:r>
              <w:rPr>
                <w:color w:val="auto"/>
                <w:kern w:val="0"/>
                <w:szCs w:val="21"/>
              </w:rPr>
              <w:t>.1.5</w:t>
            </w:r>
          </w:p>
        </w:tc>
        <w:tc>
          <w:tcPr>
            <w:tcW w:w="2248" w:type="dxa"/>
            <w:tcBorders>
              <w:top w:val="single" w:color="auto" w:sz="4" w:space="0"/>
              <w:left w:val="single" w:color="auto" w:sz="4" w:space="0"/>
              <w:bottom w:val="single" w:color="auto" w:sz="4" w:space="0"/>
              <w:right w:val="single" w:color="auto" w:sz="4" w:space="0"/>
            </w:tcBorders>
            <w:vAlign w:val="center"/>
          </w:tcPr>
          <w:p w14:paraId="659179FE">
            <w:pPr>
              <w:widowControl/>
              <w:spacing w:line="360" w:lineRule="auto"/>
              <w:jc w:val="center"/>
              <w:rPr>
                <w:color w:val="auto"/>
                <w:kern w:val="0"/>
                <w:szCs w:val="21"/>
              </w:rPr>
            </w:pPr>
            <w:r>
              <w:rPr>
                <w:rFonts w:hint="eastAsia"/>
                <w:color w:val="auto"/>
                <w:kern w:val="0"/>
                <w:szCs w:val="21"/>
                <w:lang w:val="en-US" w:eastAsia="zh-CN"/>
              </w:rPr>
              <w:t>交货地点</w:t>
            </w:r>
          </w:p>
        </w:tc>
        <w:tc>
          <w:tcPr>
            <w:tcW w:w="6662" w:type="dxa"/>
            <w:tcBorders>
              <w:top w:val="single" w:color="auto" w:sz="4" w:space="0"/>
              <w:left w:val="single" w:color="auto" w:sz="4" w:space="0"/>
              <w:bottom w:val="single" w:color="auto" w:sz="4" w:space="0"/>
              <w:right w:val="single" w:color="auto" w:sz="4" w:space="0"/>
            </w:tcBorders>
            <w:vAlign w:val="center"/>
          </w:tcPr>
          <w:p w14:paraId="1901EF26">
            <w:pPr>
              <w:widowControl/>
              <w:spacing w:line="360" w:lineRule="auto"/>
              <w:jc w:val="left"/>
              <w:rPr>
                <w:color w:val="auto"/>
                <w:kern w:val="0"/>
                <w:szCs w:val="21"/>
              </w:rPr>
            </w:pPr>
            <w:r>
              <w:rPr>
                <w:rFonts w:hint="eastAsia"/>
                <w:color w:val="auto"/>
                <w:kern w:val="0"/>
                <w:szCs w:val="21"/>
              </w:rPr>
              <w:t>采购人指定地点。</w:t>
            </w:r>
          </w:p>
        </w:tc>
      </w:tr>
      <w:tr w14:paraId="5A6926B8">
        <w:tblPrEx>
          <w:tblCellMar>
            <w:top w:w="0" w:type="dxa"/>
            <w:left w:w="108" w:type="dxa"/>
            <w:bottom w:w="0" w:type="dxa"/>
            <w:right w:w="108" w:type="dxa"/>
          </w:tblCellMar>
        </w:tblPrEx>
        <w:trPr>
          <w:trHeight w:val="554" w:hRule="atLeast"/>
        </w:trPr>
        <w:tc>
          <w:tcPr>
            <w:tcW w:w="1155" w:type="dxa"/>
            <w:tcBorders>
              <w:top w:val="single" w:color="auto" w:sz="4" w:space="0"/>
              <w:left w:val="single" w:color="auto" w:sz="4" w:space="0"/>
              <w:bottom w:val="single" w:color="auto" w:sz="4" w:space="0"/>
              <w:right w:val="single" w:color="auto" w:sz="4" w:space="0"/>
            </w:tcBorders>
            <w:vAlign w:val="center"/>
          </w:tcPr>
          <w:p w14:paraId="1084A840">
            <w:pPr>
              <w:widowControl/>
              <w:spacing w:line="360" w:lineRule="auto"/>
              <w:jc w:val="center"/>
              <w:rPr>
                <w:color w:val="auto"/>
                <w:kern w:val="0"/>
                <w:szCs w:val="21"/>
              </w:rPr>
            </w:pPr>
            <w:r>
              <w:rPr>
                <w:color w:val="auto"/>
                <w:kern w:val="0"/>
                <w:szCs w:val="21"/>
              </w:rPr>
              <w:t>1.2.1</w:t>
            </w:r>
          </w:p>
        </w:tc>
        <w:tc>
          <w:tcPr>
            <w:tcW w:w="2248" w:type="dxa"/>
            <w:tcBorders>
              <w:top w:val="single" w:color="auto" w:sz="4" w:space="0"/>
              <w:left w:val="single" w:color="auto" w:sz="4" w:space="0"/>
              <w:bottom w:val="single" w:color="auto" w:sz="4" w:space="0"/>
              <w:right w:val="single" w:color="auto" w:sz="4" w:space="0"/>
            </w:tcBorders>
            <w:vAlign w:val="center"/>
          </w:tcPr>
          <w:p w14:paraId="4C374AA2">
            <w:pPr>
              <w:widowControl/>
              <w:spacing w:line="360" w:lineRule="auto"/>
              <w:jc w:val="center"/>
              <w:rPr>
                <w:color w:val="auto"/>
                <w:kern w:val="0"/>
                <w:szCs w:val="21"/>
              </w:rPr>
            </w:pPr>
            <w:r>
              <w:rPr>
                <w:color w:val="auto"/>
                <w:kern w:val="0"/>
                <w:szCs w:val="21"/>
              </w:rPr>
              <w:t>资金落实情况</w:t>
            </w:r>
          </w:p>
        </w:tc>
        <w:tc>
          <w:tcPr>
            <w:tcW w:w="6662" w:type="dxa"/>
            <w:tcBorders>
              <w:top w:val="single" w:color="auto" w:sz="4" w:space="0"/>
              <w:left w:val="single" w:color="auto" w:sz="4" w:space="0"/>
              <w:bottom w:val="single" w:color="auto" w:sz="4" w:space="0"/>
              <w:right w:val="single" w:color="auto" w:sz="4" w:space="0"/>
            </w:tcBorders>
            <w:vAlign w:val="center"/>
          </w:tcPr>
          <w:p w14:paraId="00370937">
            <w:pPr>
              <w:widowControl/>
              <w:spacing w:line="360" w:lineRule="auto"/>
              <w:jc w:val="left"/>
              <w:rPr>
                <w:bCs/>
                <w:color w:val="auto"/>
                <w:kern w:val="0"/>
                <w:szCs w:val="21"/>
              </w:rPr>
            </w:pPr>
            <w:r>
              <w:rPr>
                <w:bCs/>
                <w:color w:val="auto"/>
                <w:kern w:val="0"/>
                <w:szCs w:val="21"/>
              </w:rPr>
              <w:t>已落实</w:t>
            </w:r>
          </w:p>
        </w:tc>
      </w:tr>
      <w:tr w14:paraId="22A64FB8">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0EFF5357">
            <w:pPr>
              <w:widowControl/>
              <w:spacing w:line="360" w:lineRule="auto"/>
              <w:jc w:val="center"/>
              <w:rPr>
                <w:color w:val="auto"/>
                <w:kern w:val="0"/>
                <w:szCs w:val="21"/>
              </w:rPr>
            </w:pPr>
            <w:r>
              <w:rPr>
                <w:color w:val="auto"/>
                <w:kern w:val="0"/>
                <w:szCs w:val="21"/>
              </w:rPr>
              <w:t>1.2.2</w:t>
            </w:r>
          </w:p>
        </w:tc>
        <w:tc>
          <w:tcPr>
            <w:tcW w:w="2248" w:type="dxa"/>
            <w:tcBorders>
              <w:top w:val="single" w:color="auto" w:sz="4" w:space="0"/>
              <w:left w:val="single" w:color="auto" w:sz="4" w:space="0"/>
              <w:bottom w:val="single" w:color="auto" w:sz="4" w:space="0"/>
              <w:right w:val="single" w:color="auto" w:sz="4" w:space="0"/>
            </w:tcBorders>
            <w:vAlign w:val="center"/>
          </w:tcPr>
          <w:p w14:paraId="742CE115">
            <w:pPr>
              <w:widowControl/>
              <w:spacing w:line="360" w:lineRule="auto"/>
              <w:jc w:val="center"/>
              <w:rPr>
                <w:color w:val="auto"/>
                <w:kern w:val="0"/>
                <w:szCs w:val="21"/>
              </w:rPr>
            </w:pPr>
            <w:r>
              <w:rPr>
                <w:rFonts w:hint="eastAsia"/>
                <w:color w:val="auto"/>
              </w:rPr>
              <w:t>采购</w:t>
            </w:r>
            <w:r>
              <w:rPr>
                <w:color w:val="auto"/>
              </w:rPr>
              <w:t>预算</w:t>
            </w:r>
            <w:r>
              <w:rPr>
                <w:rFonts w:hint="eastAsia"/>
                <w:color w:val="auto"/>
              </w:rPr>
              <w:t>及最高限价</w:t>
            </w:r>
          </w:p>
        </w:tc>
        <w:tc>
          <w:tcPr>
            <w:tcW w:w="6662" w:type="dxa"/>
            <w:tcBorders>
              <w:top w:val="single" w:color="auto" w:sz="4" w:space="0"/>
              <w:left w:val="single" w:color="auto" w:sz="4" w:space="0"/>
              <w:bottom w:val="single" w:color="auto" w:sz="4" w:space="0"/>
              <w:right w:val="single" w:color="auto" w:sz="4" w:space="0"/>
            </w:tcBorders>
            <w:vAlign w:val="center"/>
          </w:tcPr>
          <w:p w14:paraId="78BABE58">
            <w:pPr>
              <w:spacing w:line="360" w:lineRule="auto"/>
              <w:rPr>
                <w:color w:val="auto"/>
              </w:rPr>
            </w:pPr>
            <w:r>
              <w:rPr>
                <w:rFonts w:hint="eastAsia"/>
                <w:color w:val="auto"/>
              </w:rPr>
              <w:t>预算金额（万元）：</w:t>
            </w:r>
            <w:r>
              <w:rPr>
                <w:rFonts w:hint="eastAsia"/>
                <w:color w:val="auto"/>
                <w:lang w:val="en-US" w:eastAsia="zh-CN"/>
              </w:rPr>
              <w:t>114.422；</w:t>
            </w:r>
          </w:p>
          <w:p w14:paraId="45D1FE37">
            <w:pPr>
              <w:spacing w:line="360" w:lineRule="auto"/>
              <w:rPr>
                <w:bCs/>
                <w:color w:val="auto"/>
                <w:kern w:val="0"/>
                <w:szCs w:val="21"/>
              </w:rPr>
            </w:pPr>
            <w:r>
              <w:rPr>
                <w:rFonts w:hint="eastAsia"/>
                <w:color w:val="auto"/>
              </w:rPr>
              <w:t>最高限价（万元）：</w:t>
            </w:r>
            <w:r>
              <w:rPr>
                <w:rFonts w:hint="eastAsia"/>
                <w:color w:val="auto"/>
                <w:lang w:val="en-US" w:eastAsia="zh-CN"/>
              </w:rPr>
              <w:t>114.422（其中：标段1:69.50</w:t>
            </w:r>
            <w:r>
              <w:rPr>
                <w:rFonts w:hint="eastAsia"/>
                <w:color w:val="auto"/>
              </w:rPr>
              <w:t>万元</w:t>
            </w:r>
            <w:r>
              <w:rPr>
                <w:rFonts w:hint="eastAsia"/>
                <w:color w:val="auto"/>
                <w:lang w:val="en-US" w:eastAsia="zh-CN"/>
              </w:rPr>
              <w:t>；标段2:44.922</w:t>
            </w:r>
            <w:r>
              <w:rPr>
                <w:rFonts w:hint="eastAsia"/>
                <w:color w:val="auto"/>
              </w:rPr>
              <w:t>万元</w:t>
            </w:r>
            <w:r>
              <w:rPr>
                <w:rFonts w:hint="eastAsia"/>
                <w:color w:val="auto"/>
                <w:lang w:val="en-US" w:eastAsia="zh-CN"/>
              </w:rPr>
              <w:t>）；</w:t>
            </w:r>
          </w:p>
        </w:tc>
      </w:tr>
      <w:tr w14:paraId="007BB664">
        <w:tblPrEx>
          <w:tblCellMar>
            <w:top w:w="0" w:type="dxa"/>
            <w:left w:w="108" w:type="dxa"/>
            <w:bottom w:w="0" w:type="dxa"/>
            <w:right w:w="108" w:type="dxa"/>
          </w:tblCellMar>
        </w:tblPrEx>
        <w:trPr>
          <w:trHeight w:val="582" w:hRule="atLeast"/>
        </w:trPr>
        <w:tc>
          <w:tcPr>
            <w:tcW w:w="1155" w:type="dxa"/>
            <w:tcBorders>
              <w:top w:val="single" w:color="auto" w:sz="4" w:space="0"/>
              <w:left w:val="single" w:color="auto" w:sz="4" w:space="0"/>
              <w:bottom w:val="single" w:color="auto" w:sz="4" w:space="0"/>
              <w:right w:val="single" w:color="auto" w:sz="4" w:space="0"/>
            </w:tcBorders>
            <w:vAlign w:val="center"/>
          </w:tcPr>
          <w:p w14:paraId="614D03BC">
            <w:pPr>
              <w:widowControl/>
              <w:spacing w:line="360" w:lineRule="auto"/>
              <w:jc w:val="center"/>
              <w:rPr>
                <w:color w:val="auto"/>
                <w:kern w:val="0"/>
                <w:szCs w:val="21"/>
              </w:rPr>
            </w:pPr>
            <w:r>
              <w:rPr>
                <w:color w:val="auto"/>
                <w:kern w:val="0"/>
                <w:szCs w:val="21"/>
              </w:rPr>
              <w:t>1.3.1</w:t>
            </w:r>
          </w:p>
        </w:tc>
        <w:tc>
          <w:tcPr>
            <w:tcW w:w="2248" w:type="dxa"/>
            <w:tcBorders>
              <w:top w:val="single" w:color="auto" w:sz="4" w:space="0"/>
              <w:left w:val="single" w:color="auto" w:sz="4" w:space="0"/>
              <w:bottom w:val="single" w:color="auto" w:sz="4" w:space="0"/>
              <w:right w:val="single" w:color="auto" w:sz="4" w:space="0"/>
            </w:tcBorders>
            <w:vAlign w:val="center"/>
          </w:tcPr>
          <w:p w14:paraId="62951E7C">
            <w:pPr>
              <w:widowControl/>
              <w:spacing w:line="360" w:lineRule="auto"/>
              <w:jc w:val="center"/>
              <w:rPr>
                <w:color w:val="auto"/>
                <w:kern w:val="0"/>
                <w:szCs w:val="21"/>
              </w:rPr>
            </w:pPr>
            <w:r>
              <w:rPr>
                <w:rFonts w:hint="eastAsia"/>
                <w:color w:val="auto"/>
                <w:kern w:val="0"/>
                <w:szCs w:val="21"/>
              </w:rPr>
              <w:t>采购范围</w:t>
            </w:r>
          </w:p>
        </w:tc>
        <w:tc>
          <w:tcPr>
            <w:tcW w:w="6662" w:type="dxa"/>
            <w:tcBorders>
              <w:top w:val="single" w:color="auto" w:sz="4" w:space="0"/>
              <w:left w:val="single" w:color="auto" w:sz="4" w:space="0"/>
              <w:bottom w:val="single" w:color="auto" w:sz="4" w:space="0"/>
              <w:right w:val="single" w:color="auto" w:sz="4" w:space="0"/>
            </w:tcBorders>
            <w:vAlign w:val="center"/>
          </w:tcPr>
          <w:p w14:paraId="3676BA8C">
            <w:pPr>
              <w:spacing w:line="360" w:lineRule="auto"/>
              <w:rPr>
                <w:rFonts w:hint="default" w:eastAsia="宋体"/>
                <w:color w:val="auto"/>
                <w:szCs w:val="21"/>
                <w:lang w:val="en-US" w:eastAsia="zh-CN"/>
              </w:rPr>
            </w:pPr>
            <w:r>
              <w:rPr>
                <w:rFonts w:hint="eastAsia"/>
                <w:color w:val="auto"/>
                <w:szCs w:val="21"/>
                <w:lang w:val="en-US" w:eastAsia="zh-CN"/>
              </w:rPr>
              <w:t>详见第五章采购需求及技术要求</w:t>
            </w:r>
          </w:p>
        </w:tc>
      </w:tr>
      <w:tr w14:paraId="246D0F98">
        <w:tblPrEx>
          <w:tblCellMar>
            <w:top w:w="0" w:type="dxa"/>
            <w:left w:w="108" w:type="dxa"/>
            <w:bottom w:w="0" w:type="dxa"/>
            <w:right w:w="108" w:type="dxa"/>
          </w:tblCellMar>
        </w:tblPrEx>
        <w:trPr>
          <w:trHeight w:val="582" w:hRule="atLeast"/>
        </w:trPr>
        <w:tc>
          <w:tcPr>
            <w:tcW w:w="1155" w:type="dxa"/>
            <w:tcBorders>
              <w:top w:val="single" w:color="auto" w:sz="4" w:space="0"/>
              <w:left w:val="single" w:color="auto" w:sz="4" w:space="0"/>
              <w:bottom w:val="single" w:color="auto" w:sz="4" w:space="0"/>
              <w:right w:val="single" w:color="auto" w:sz="4" w:space="0"/>
            </w:tcBorders>
            <w:vAlign w:val="center"/>
          </w:tcPr>
          <w:p w14:paraId="2510C8EF">
            <w:pPr>
              <w:widowControl/>
              <w:spacing w:line="360" w:lineRule="auto"/>
              <w:jc w:val="center"/>
              <w:rPr>
                <w:color w:val="auto"/>
                <w:kern w:val="0"/>
                <w:szCs w:val="21"/>
              </w:rPr>
            </w:pPr>
            <w:r>
              <w:rPr>
                <w:color w:val="auto"/>
                <w:kern w:val="0"/>
                <w:szCs w:val="21"/>
              </w:rPr>
              <w:t>1.3.2</w:t>
            </w:r>
          </w:p>
        </w:tc>
        <w:tc>
          <w:tcPr>
            <w:tcW w:w="2248" w:type="dxa"/>
            <w:tcBorders>
              <w:top w:val="single" w:color="auto" w:sz="4" w:space="0"/>
              <w:left w:val="single" w:color="auto" w:sz="4" w:space="0"/>
              <w:bottom w:val="single" w:color="auto" w:sz="4" w:space="0"/>
              <w:right w:val="single" w:color="auto" w:sz="4" w:space="0"/>
            </w:tcBorders>
            <w:vAlign w:val="center"/>
          </w:tcPr>
          <w:p w14:paraId="0FF951EB">
            <w:pPr>
              <w:spacing w:line="360" w:lineRule="auto"/>
              <w:jc w:val="center"/>
              <w:rPr>
                <w:color w:val="auto"/>
                <w:szCs w:val="21"/>
              </w:rPr>
            </w:pPr>
            <w:r>
              <w:rPr>
                <w:rFonts w:hint="eastAsia"/>
                <w:color w:val="auto"/>
                <w:szCs w:val="21"/>
              </w:rPr>
              <w:t>合同履行期限</w:t>
            </w:r>
            <w:r>
              <w:rPr>
                <w:rFonts w:hint="eastAsia"/>
                <w:color w:val="auto"/>
                <w:szCs w:val="21"/>
              </w:rPr>
              <w:br w:type="textWrapping"/>
            </w:r>
            <w:r>
              <w:rPr>
                <w:rFonts w:hint="eastAsia"/>
                <w:color w:val="auto"/>
                <w:szCs w:val="21"/>
              </w:rPr>
              <w:t>（交货期限）</w:t>
            </w:r>
          </w:p>
        </w:tc>
        <w:tc>
          <w:tcPr>
            <w:tcW w:w="6662" w:type="dxa"/>
            <w:tcBorders>
              <w:top w:val="single" w:color="auto" w:sz="4" w:space="0"/>
              <w:left w:val="single" w:color="auto" w:sz="4" w:space="0"/>
              <w:bottom w:val="single" w:color="auto" w:sz="4" w:space="0"/>
              <w:right w:val="single" w:color="auto" w:sz="4" w:space="0"/>
            </w:tcBorders>
            <w:vAlign w:val="center"/>
          </w:tcPr>
          <w:p w14:paraId="3750F36D">
            <w:pPr>
              <w:spacing w:line="360" w:lineRule="auto"/>
              <w:rPr>
                <w:color w:val="auto"/>
                <w:szCs w:val="21"/>
              </w:rPr>
            </w:pPr>
            <w:r>
              <w:rPr>
                <w:rFonts w:hint="eastAsia"/>
                <w:color w:val="auto"/>
              </w:rPr>
              <w:t>合同签订后20日内交付，产品最终验收合格后履行规定的质保要求。</w:t>
            </w:r>
          </w:p>
        </w:tc>
      </w:tr>
      <w:tr w14:paraId="181C4FC0">
        <w:tblPrEx>
          <w:tblCellMar>
            <w:top w:w="0" w:type="dxa"/>
            <w:left w:w="108" w:type="dxa"/>
            <w:bottom w:w="0" w:type="dxa"/>
            <w:right w:w="108" w:type="dxa"/>
          </w:tblCellMar>
        </w:tblPrEx>
        <w:trPr>
          <w:trHeight w:val="582" w:hRule="atLeast"/>
        </w:trPr>
        <w:tc>
          <w:tcPr>
            <w:tcW w:w="1155" w:type="dxa"/>
            <w:tcBorders>
              <w:top w:val="single" w:color="auto" w:sz="4" w:space="0"/>
              <w:left w:val="single" w:color="auto" w:sz="4" w:space="0"/>
              <w:bottom w:val="single" w:color="auto" w:sz="4" w:space="0"/>
              <w:right w:val="single" w:color="auto" w:sz="4" w:space="0"/>
            </w:tcBorders>
            <w:vAlign w:val="center"/>
          </w:tcPr>
          <w:p w14:paraId="06FC053A">
            <w:pPr>
              <w:widowControl/>
              <w:spacing w:line="360" w:lineRule="auto"/>
              <w:jc w:val="center"/>
              <w:rPr>
                <w:color w:val="auto"/>
                <w:kern w:val="0"/>
                <w:szCs w:val="21"/>
              </w:rPr>
            </w:pPr>
            <w:r>
              <w:rPr>
                <w:color w:val="auto"/>
                <w:kern w:val="0"/>
                <w:szCs w:val="21"/>
              </w:rPr>
              <w:t>1.3.</w:t>
            </w:r>
            <w:r>
              <w:rPr>
                <w:rFonts w:hint="eastAsia"/>
                <w:color w:val="auto"/>
                <w:kern w:val="0"/>
                <w:szCs w:val="21"/>
              </w:rPr>
              <w:t>3</w:t>
            </w:r>
          </w:p>
        </w:tc>
        <w:tc>
          <w:tcPr>
            <w:tcW w:w="2248" w:type="dxa"/>
            <w:tcBorders>
              <w:top w:val="single" w:color="auto" w:sz="4" w:space="0"/>
              <w:left w:val="single" w:color="auto" w:sz="4" w:space="0"/>
              <w:bottom w:val="single" w:color="auto" w:sz="4" w:space="0"/>
              <w:right w:val="single" w:color="auto" w:sz="4" w:space="0"/>
            </w:tcBorders>
            <w:vAlign w:val="center"/>
          </w:tcPr>
          <w:p w14:paraId="0D612EBB">
            <w:pPr>
              <w:spacing w:line="360" w:lineRule="auto"/>
              <w:jc w:val="center"/>
              <w:rPr>
                <w:color w:val="auto"/>
                <w:szCs w:val="21"/>
              </w:rPr>
            </w:pPr>
            <w:r>
              <w:rPr>
                <w:rFonts w:hint="eastAsia"/>
                <w:color w:val="auto"/>
                <w:szCs w:val="21"/>
              </w:rPr>
              <w:t>质量要求</w:t>
            </w:r>
          </w:p>
        </w:tc>
        <w:tc>
          <w:tcPr>
            <w:tcW w:w="6662" w:type="dxa"/>
            <w:tcBorders>
              <w:top w:val="single" w:color="auto" w:sz="4" w:space="0"/>
              <w:left w:val="single" w:color="auto" w:sz="4" w:space="0"/>
              <w:bottom w:val="single" w:color="auto" w:sz="4" w:space="0"/>
              <w:right w:val="single" w:color="auto" w:sz="4" w:space="0"/>
            </w:tcBorders>
            <w:vAlign w:val="center"/>
          </w:tcPr>
          <w:p w14:paraId="430F5B04">
            <w:pPr>
              <w:widowControl/>
              <w:spacing w:line="360" w:lineRule="auto"/>
              <w:jc w:val="left"/>
              <w:rPr>
                <w:color w:val="auto"/>
                <w:szCs w:val="21"/>
              </w:rPr>
            </w:pPr>
            <w:r>
              <w:rPr>
                <w:rFonts w:hint="eastAsia"/>
                <w:color w:val="auto"/>
                <w:szCs w:val="21"/>
              </w:rPr>
              <w:t>产品质量符合国家、行业现行相关标准，满足采购人需求，安装调试交付使用一次性验收合格。</w:t>
            </w:r>
          </w:p>
        </w:tc>
      </w:tr>
      <w:tr w14:paraId="0CCC1669">
        <w:tblPrEx>
          <w:tblCellMar>
            <w:top w:w="0" w:type="dxa"/>
            <w:left w:w="108" w:type="dxa"/>
            <w:bottom w:w="0" w:type="dxa"/>
            <w:right w:w="108" w:type="dxa"/>
          </w:tblCellMar>
        </w:tblPrEx>
        <w:trPr>
          <w:trHeight w:val="551" w:hRule="atLeast"/>
        </w:trPr>
        <w:tc>
          <w:tcPr>
            <w:tcW w:w="1155" w:type="dxa"/>
            <w:vMerge w:val="restart"/>
            <w:tcBorders>
              <w:top w:val="single" w:color="auto" w:sz="4" w:space="0"/>
              <w:left w:val="single" w:color="auto" w:sz="4" w:space="0"/>
              <w:right w:val="single" w:color="auto" w:sz="4" w:space="0"/>
            </w:tcBorders>
            <w:vAlign w:val="center"/>
          </w:tcPr>
          <w:p w14:paraId="24701CC5">
            <w:pPr>
              <w:widowControl/>
              <w:spacing w:line="360" w:lineRule="auto"/>
              <w:jc w:val="center"/>
              <w:rPr>
                <w:color w:val="auto"/>
                <w:kern w:val="0"/>
                <w:szCs w:val="21"/>
              </w:rPr>
            </w:pPr>
            <w:r>
              <w:rPr>
                <w:color w:val="auto"/>
                <w:kern w:val="0"/>
                <w:szCs w:val="21"/>
              </w:rPr>
              <w:t>1.4.1</w:t>
            </w:r>
          </w:p>
          <w:p w14:paraId="112C24E3">
            <w:pPr>
              <w:widowControl/>
              <w:spacing w:line="360" w:lineRule="auto"/>
              <w:jc w:val="center"/>
              <w:rPr>
                <w:color w:val="auto"/>
                <w:kern w:val="0"/>
                <w:szCs w:val="21"/>
              </w:rPr>
            </w:pPr>
            <w:r>
              <w:rPr>
                <w:color w:val="auto"/>
                <w:kern w:val="0"/>
                <w:szCs w:val="21"/>
              </w:rPr>
              <w:t>供应商</w:t>
            </w:r>
            <w:r>
              <w:rPr>
                <w:rFonts w:hint="eastAsia"/>
                <w:color w:val="auto"/>
                <w:kern w:val="0"/>
                <w:szCs w:val="21"/>
              </w:rPr>
              <w:t>资质条件</w:t>
            </w:r>
          </w:p>
        </w:tc>
        <w:tc>
          <w:tcPr>
            <w:tcW w:w="2248" w:type="dxa"/>
            <w:tcBorders>
              <w:top w:val="single" w:color="auto" w:sz="4" w:space="0"/>
              <w:left w:val="single" w:color="auto" w:sz="4" w:space="0"/>
              <w:bottom w:val="single" w:color="auto" w:sz="4" w:space="0"/>
              <w:right w:val="single" w:color="auto" w:sz="4" w:space="0"/>
            </w:tcBorders>
            <w:vAlign w:val="center"/>
          </w:tcPr>
          <w:p w14:paraId="658FCB6A">
            <w:pPr>
              <w:widowControl/>
              <w:spacing w:line="360" w:lineRule="auto"/>
              <w:jc w:val="center"/>
              <w:rPr>
                <w:color w:val="auto"/>
                <w:kern w:val="0"/>
                <w:szCs w:val="21"/>
              </w:rPr>
            </w:pPr>
            <w:r>
              <w:rPr>
                <w:rFonts w:ascii="宋体" w:hAnsi="宋体"/>
                <w:color w:val="auto"/>
                <w:sz w:val="21"/>
                <w:szCs w:val="21"/>
                <w:highlight w:val="none"/>
                <w:lang w:eastAsia="zh-CN"/>
              </w:rPr>
              <w:t>满足《中华人民共和国政府采购法》第二十二条规定</w:t>
            </w:r>
          </w:p>
        </w:tc>
        <w:tc>
          <w:tcPr>
            <w:tcW w:w="6662" w:type="dxa"/>
            <w:tcBorders>
              <w:top w:val="single" w:color="auto" w:sz="4" w:space="0"/>
              <w:left w:val="single" w:color="auto" w:sz="4" w:space="0"/>
              <w:bottom w:val="single" w:color="auto" w:sz="4" w:space="0"/>
              <w:right w:val="single" w:color="auto" w:sz="4" w:space="0"/>
            </w:tcBorders>
            <w:vAlign w:val="center"/>
          </w:tcPr>
          <w:p w14:paraId="2249DA4F">
            <w:pPr>
              <w:widowControl/>
              <w:shd w:val="clear" w:color="auto" w:fill="FFFFFF"/>
              <w:spacing w:line="360" w:lineRule="auto"/>
              <w:rPr>
                <w:rFonts w:hint="eastAsia" w:ascii="宋体" w:hAnsi="宋体"/>
                <w:bCs/>
                <w:color w:val="auto"/>
                <w:sz w:val="21"/>
                <w:szCs w:val="21"/>
                <w:u w:val="single"/>
                <w:lang w:eastAsia="zh-CN"/>
              </w:rPr>
            </w:pPr>
            <w:r>
              <w:rPr>
                <w:rFonts w:hint="eastAsia" w:ascii="宋体" w:hAnsi="宋体"/>
                <w:b/>
                <w:color w:val="auto"/>
                <w:sz w:val="21"/>
                <w:szCs w:val="21"/>
                <w:lang w:eastAsia="zh-CN"/>
              </w:rPr>
              <w:t>1.1具有独立承担民事责任的能力：</w:t>
            </w:r>
            <w:r>
              <w:rPr>
                <w:rFonts w:hint="eastAsia" w:ascii="宋体" w:hAnsi="宋体"/>
                <w:bCs/>
                <w:color w:val="auto"/>
                <w:sz w:val="21"/>
                <w:szCs w:val="21"/>
                <w:u w:val="single"/>
                <w:lang w:eastAsia="zh-CN"/>
              </w:rPr>
              <w:t>提供有效的营业执照或事业单位法人证书或其他组织证明材料或自然人身份证明。</w:t>
            </w:r>
          </w:p>
          <w:p w14:paraId="221169B4">
            <w:pPr>
              <w:widowControl/>
              <w:shd w:val="clear" w:color="auto" w:fill="FFFFFF"/>
              <w:spacing w:line="360" w:lineRule="auto"/>
              <w:rPr>
                <w:rFonts w:hint="eastAsia" w:ascii="宋体" w:hAnsi="宋体"/>
                <w:bCs/>
                <w:color w:val="auto"/>
                <w:sz w:val="21"/>
                <w:szCs w:val="21"/>
                <w:u w:val="single"/>
                <w:lang w:eastAsia="zh-CN"/>
              </w:rPr>
            </w:pPr>
            <w:r>
              <w:rPr>
                <w:rFonts w:hint="eastAsia" w:ascii="宋体" w:hAnsi="宋体"/>
                <w:b/>
                <w:color w:val="auto"/>
                <w:sz w:val="21"/>
                <w:szCs w:val="21"/>
                <w:lang w:eastAsia="zh-CN"/>
              </w:rPr>
              <w:t>1.2具有良好的商业信誉和健全的财务会计制度：</w:t>
            </w:r>
            <w:r>
              <w:rPr>
                <w:rFonts w:hint="eastAsia" w:ascii="宋体" w:hAnsi="宋体"/>
                <w:bCs/>
                <w:color w:val="auto"/>
                <w:sz w:val="21"/>
                <w:szCs w:val="21"/>
                <w:u w:val="single"/>
                <w:lang w:eastAsia="zh-CN"/>
              </w:rPr>
              <w:t>投标人满足下列任一条件：</w:t>
            </w:r>
          </w:p>
          <w:p w14:paraId="1FE2DA7E">
            <w:pPr>
              <w:widowControl/>
              <w:shd w:val="clear" w:color="auto" w:fill="FFFFFF"/>
              <w:spacing w:line="360" w:lineRule="auto"/>
              <w:rPr>
                <w:rFonts w:hint="eastAsia" w:ascii="宋体" w:hAnsi="宋体"/>
                <w:bCs/>
                <w:color w:val="auto"/>
                <w:sz w:val="21"/>
                <w:szCs w:val="21"/>
                <w:u w:val="single"/>
                <w:lang w:eastAsia="zh-CN"/>
              </w:rPr>
            </w:pPr>
            <w:r>
              <w:rPr>
                <w:rFonts w:hint="eastAsia" w:ascii="宋体" w:hAnsi="宋体"/>
                <w:bCs/>
                <w:color w:val="auto"/>
                <w:sz w:val="21"/>
                <w:szCs w:val="21"/>
                <w:u w:val="single"/>
                <w:lang w:eastAsia="zh-CN"/>
              </w:rPr>
              <w:t>①提供2024年或2025年任意一年度经审计的财务报表及审计报告（成立时间不足1年的，可提供成立至今财务报表；财务报表须包括资产负债表、利润表、现金流量表）；</w:t>
            </w:r>
          </w:p>
          <w:p w14:paraId="7037C147">
            <w:pPr>
              <w:widowControl/>
              <w:shd w:val="clear" w:color="auto" w:fill="FFFFFF"/>
              <w:spacing w:line="360" w:lineRule="auto"/>
              <w:rPr>
                <w:rFonts w:hint="eastAsia" w:ascii="宋体" w:hAnsi="宋体"/>
                <w:bCs/>
                <w:color w:val="auto"/>
                <w:sz w:val="21"/>
                <w:szCs w:val="21"/>
                <w:u w:val="single"/>
                <w:lang w:eastAsia="zh-CN"/>
              </w:rPr>
            </w:pPr>
            <w:r>
              <w:rPr>
                <w:rFonts w:hint="eastAsia" w:ascii="宋体" w:hAnsi="宋体"/>
                <w:bCs/>
                <w:color w:val="auto"/>
                <w:sz w:val="21"/>
                <w:szCs w:val="21"/>
                <w:u w:val="single"/>
                <w:lang w:eastAsia="zh-CN"/>
              </w:rPr>
              <w:t>②自投标文件提交截止时间前三个月内基本开户银行出具的资信证明文件；</w:t>
            </w:r>
          </w:p>
          <w:p w14:paraId="1C02F827">
            <w:pPr>
              <w:widowControl/>
              <w:shd w:val="clear" w:color="auto" w:fill="FFFFFF"/>
              <w:spacing w:line="360" w:lineRule="auto"/>
              <w:rPr>
                <w:rFonts w:hint="eastAsia" w:ascii="宋体" w:hAnsi="宋体"/>
                <w:bCs/>
                <w:color w:val="auto"/>
                <w:sz w:val="21"/>
                <w:szCs w:val="21"/>
                <w:u w:val="single"/>
                <w:lang w:eastAsia="zh-CN"/>
              </w:rPr>
            </w:pPr>
            <w:r>
              <w:rPr>
                <w:rFonts w:hint="eastAsia" w:ascii="宋体" w:hAnsi="宋体"/>
                <w:bCs/>
                <w:color w:val="auto"/>
                <w:sz w:val="21"/>
                <w:szCs w:val="21"/>
                <w:u w:val="single"/>
                <w:lang w:eastAsia="zh-CN"/>
              </w:rPr>
              <w:t>③非营利性单位或者社会团体或者其他事业单位以符合财务会计制度为准或者提供承诺函；</w:t>
            </w:r>
          </w:p>
          <w:p w14:paraId="20FD5A9E">
            <w:pPr>
              <w:widowControl/>
              <w:shd w:val="clear" w:color="auto" w:fill="FFFFFF"/>
              <w:spacing w:line="360" w:lineRule="auto"/>
              <w:rPr>
                <w:rFonts w:hint="eastAsia" w:ascii="宋体" w:hAnsi="宋体"/>
                <w:bCs/>
                <w:color w:val="auto"/>
                <w:sz w:val="21"/>
                <w:szCs w:val="21"/>
                <w:u w:val="single"/>
                <w:lang w:eastAsia="zh-CN"/>
              </w:rPr>
            </w:pPr>
            <w:r>
              <w:rPr>
                <w:rFonts w:hint="eastAsia" w:ascii="宋体" w:hAnsi="宋体"/>
                <w:bCs/>
                <w:color w:val="auto"/>
                <w:sz w:val="21"/>
                <w:szCs w:val="21"/>
                <w:u w:val="single"/>
                <w:lang w:eastAsia="zh-CN"/>
              </w:rPr>
              <w:t>④财政部门认可的政府采购专业担保机构出具的投标担保函（需同时提供专业担保机构经财政部门认可的证明文件）。</w:t>
            </w:r>
          </w:p>
          <w:p w14:paraId="01F602F1">
            <w:pPr>
              <w:widowControl/>
              <w:shd w:val="clear" w:color="auto" w:fill="FFFFFF"/>
              <w:spacing w:line="360" w:lineRule="auto"/>
              <w:rPr>
                <w:rFonts w:hint="eastAsia" w:ascii="宋体" w:hAnsi="宋体"/>
                <w:bCs/>
                <w:color w:val="auto"/>
                <w:sz w:val="21"/>
                <w:szCs w:val="21"/>
                <w:u w:val="single"/>
                <w:lang w:eastAsia="zh-CN"/>
              </w:rPr>
            </w:pPr>
            <w:r>
              <w:rPr>
                <w:rFonts w:hint="eastAsia" w:ascii="宋体" w:hAnsi="宋体"/>
                <w:b/>
                <w:color w:val="auto"/>
                <w:sz w:val="21"/>
                <w:szCs w:val="21"/>
                <w:lang w:eastAsia="zh-CN"/>
              </w:rPr>
              <w:t>1.3具有履行合同所必需的设备和专业技术能力：</w:t>
            </w:r>
            <w:r>
              <w:rPr>
                <w:rFonts w:hint="eastAsia" w:ascii="宋体" w:hAnsi="宋体"/>
                <w:bCs/>
                <w:color w:val="auto"/>
                <w:sz w:val="21"/>
                <w:szCs w:val="21"/>
                <w:u w:val="single"/>
                <w:lang w:eastAsia="zh-CN"/>
              </w:rPr>
              <w:t>提供相关声明函或证明材料。</w:t>
            </w:r>
          </w:p>
          <w:p w14:paraId="3F468E58">
            <w:pPr>
              <w:widowControl/>
              <w:shd w:val="clear" w:color="auto" w:fill="FFFFFF"/>
              <w:spacing w:line="360" w:lineRule="auto"/>
              <w:rPr>
                <w:rFonts w:hint="eastAsia" w:ascii="宋体" w:hAnsi="宋体"/>
                <w:bCs/>
                <w:color w:val="auto"/>
                <w:sz w:val="21"/>
                <w:szCs w:val="21"/>
                <w:u w:val="single"/>
                <w:lang w:eastAsia="zh-CN"/>
              </w:rPr>
            </w:pPr>
            <w:r>
              <w:rPr>
                <w:rFonts w:hint="eastAsia" w:ascii="宋体" w:hAnsi="宋体"/>
                <w:b/>
                <w:color w:val="auto"/>
                <w:sz w:val="21"/>
                <w:szCs w:val="21"/>
                <w:lang w:eastAsia="zh-CN"/>
              </w:rPr>
              <w:t>1.4有依法缴纳税收和社会保障资金的良好记录：</w:t>
            </w:r>
            <w:r>
              <w:rPr>
                <w:rFonts w:hint="eastAsia" w:ascii="宋体" w:hAnsi="宋体"/>
                <w:bCs/>
                <w:color w:val="auto"/>
                <w:sz w:val="21"/>
                <w:szCs w:val="21"/>
                <w:u w:val="single"/>
                <w:lang w:eastAsia="zh-CN"/>
              </w:rPr>
              <w:t>提供20</w:t>
            </w:r>
            <w:r>
              <w:rPr>
                <w:rFonts w:ascii="宋体" w:hAnsi="宋体"/>
                <w:bCs/>
                <w:color w:val="auto"/>
                <w:sz w:val="21"/>
                <w:szCs w:val="21"/>
                <w:u w:val="single"/>
                <w:lang w:eastAsia="zh-CN"/>
              </w:rPr>
              <w:t>2</w:t>
            </w:r>
            <w:r>
              <w:rPr>
                <w:rFonts w:hint="eastAsia" w:ascii="宋体" w:hAnsi="宋体"/>
                <w:bCs/>
                <w:color w:val="auto"/>
                <w:sz w:val="21"/>
                <w:szCs w:val="21"/>
                <w:u w:val="single"/>
                <w:lang w:val="en-US" w:eastAsia="zh-CN"/>
              </w:rPr>
              <w:t>6</w:t>
            </w:r>
            <w:r>
              <w:rPr>
                <w:rFonts w:hint="eastAsia" w:ascii="宋体" w:hAnsi="宋体"/>
                <w:bCs/>
                <w:color w:val="auto"/>
                <w:sz w:val="21"/>
                <w:szCs w:val="21"/>
                <w:u w:val="single"/>
                <w:lang w:eastAsia="zh-CN"/>
              </w:rPr>
              <w:t>年1月至今投标人任意</w:t>
            </w:r>
            <w:r>
              <w:rPr>
                <w:rFonts w:hint="eastAsia" w:ascii="宋体" w:hAnsi="宋体"/>
                <w:bCs/>
                <w:color w:val="auto"/>
                <w:sz w:val="21"/>
                <w:szCs w:val="21"/>
                <w:u w:val="single"/>
                <w:lang w:val="en-US" w:eastAsia="zh-CN"/>
              </w:rPr>
              <w:t>1</w:t>
            </w:r>
            <w:r>
              <w:rPr>
                <w:rFonts w:hint="eastAsia" w:ascii="宋体" w:hAnsi="宋体"/>
                <w:bCs/>
                <w:color w:val="auto"/>
                <w:sz w:val="21"/>
                <w:szCs w:val="21"/>
                <w:u w:val="single"/>
                <w:lang w:eastAsia="zh-CN"/>
              </w:rPr>
              <w:t>个月的税收缴纳凭证</w:t>
            </w:r>
            <w:r>
              <w:rPr>
                <w:rFonts w:hint="eastAsia" w:ascii="宋体" w:hAnsi="宋体"/>
                <w:bCs/>
                <w:color w:val="auto"/>
                <w:sz w:val="21"/>
                <w:szCs w:val="21"/>
                <w:u w:val="single"/>
                <w:lang w:val="en-US" w:eastAsia="zh-CN"/>
              </w:rPr>
              <w:t>或其他证明材料</w:t>
            </w:r>
            <w:r>
              <w:rPr>
                <w:rFonts w:hint="eastAsia" w:ascii="宋体" w:hAnsi="宋体"/>
                <w:bCs/>
                <w:color w:val="auto"/>
                <w:sz w:val="21"/>
                <w:szCs w:val="21"/>
                <w:u w:val="single"/>
                <w:lang w:eastAsia="zh-CN"/>
              </w:rPr>
              <w:t>；提供20</w:t>
            </w:r>
            <w:r>
              <w:rPr>
                <w:rFonts w:ascii="宋体" w:hAnsi="宋体"/>
                <w:bCs/>
                <w:color w:val="auto"/>
                <w:sz w:val="21"/>
                <w:szCs w:val="21"/>
                <w:u w:val="single"/>
                <w:lang w:eastAsia="zh-CN"/>
              </w:rPr>
              <w:t>2</w:t>
            </w:r>
            <w:r>
              <w:rPr>
                <w:rFonts w:hint="eastAsia" w:ascii="宋体" w:hAnsi="宋体"/>
                <w:bCs/>
                <w:color w:val="auto"/>
                <w:sz w:val="21"/>
                <w:szCs w:val="21"/>
                <w:u w:val="single"/>
                <w:lang w:val="en-US" w:eastAsia="zh-CN"/>
              </w:rPr>
              <w:t>6</w:t>
            </w:r>
            <w:r>
              <w:rPr>
                <w:rFonts w:hint="eastAsia" w:ascii="宋体" w:hAnsi="宋体"/>
                <w:bCs/>
                <w:color w:val="auto"/>
                <w:sz w:val="21"/>
                <w:szCs w:val="21"/>
                <w:u w:val="single"/>
                <w:lang w:eastAsia="zh-CN"/>
              </w:rPr>
              <w:t>年1月至今投标人任意</w:t>
            </w:r>
            <w:r>
              <w:rPr>
                <w:rFonts w:hint="eastAsia" w:ascii="宋体" w:hAnsi="宋体"/>
                <w:bCs/>
                <w:color w:val="auto"/>
                <w:sz w:val="21"/>
                <w:szCs w:val="21"/>
                <w:u w:val="single"/>
                <w:lang w:val="en-US" w:eastAsia="zh-CN"/>
              </w:rPr>
              <w:t>1</w:t>
            </w:r>
            <w:r>
              <w:rPr>
                <w:rFonts w:hint="eastAsia" w:ascii="宋体" w:hAnsi="宋体"/>
                <w:bCs/>
                <w:color w:val="auto"/>
                <w:sz w:val="21"/>
                <w:szCs w:val="21"/>
                <w:u w:val="single"/>
                <w:lang w:eastAsia="zh-CN"/>
              </w:rPr>
              <w:t>个月的社会保险缴纳凭证</w:t>
            </w:r>
            <w:r>
              <w:rPr>
                <w:rFonts w:hint="eastAsia" w:ascii="宋体" w:hAnsi="宋体"/>
                <w:bCs/>
                <w:color w:val="auto"/>
                <w:sz w:val="21"/>
                <w:szCs w:val="21"/>
                <w:u w:val="single"/>
                <w:lang w:val="en-US" w:eastAsia="zh-CN"/>
              </w:rPr>
              <w:t>或其他证明材料</w:t>
            </w:r>
            <w:r>
              <w:rPr>
                <w:rFonts w:hint="eastAsia" w:ascii="宋体" w:hAnsi="宋体"/>
                <w:bCs/>
                <w:color w:val="auto"/>
                <w:sz w:val="21"/>
                <w:szCs w:val="21"/>
                <w:u w:val="single"/>
                <w:lang w:eastAsia="zh-CN"/>
              </w:rPr>
              <w:t>；若成立时间不足</w:t>
            </w:r>
            <w:r>
              <w:rPr>
                <w:rFonts w:hint="eastAsia" w:ascii="宋体" w:hAnsi="宋体"/>
                <w:bCs/>
                <w:color w:val="auto"/>
                <w:sz w:val="21"/>
                <w:szCs w:val="21"/>
                <w:u w:val="single"/>
                <w:lang w:val="en-US" w:eastAsia="zh-CN"/>
              </w:rPr>
              <w:t>1</w:t>
            </w:r>
            <w:r>
              <w:rPr>
                <w:rFonts w:hint="eastAsia" w:ascii="宋体" w:hAnsi="宋体"/>
                <w:bCs/>
                <w:color w:val="auto"/>
                <w:sz w:val="21"/>
                <w:szCs w:val="21"/>
                <w:u w:val="single"/>
                <w:lang w:eastAsia="zh-CN"/>
              </w:rPr>
              <w:t>个月的，提供成立以来的税收和社保资金缴纳凭证</w:t>
            </w:r>
            <w:r>
              <w:rPr>
                <w:rFonts w:hint="eastAsia" w:ascii="宋体" w:hAnsi="宋体"/>
                <w:bCs/>
                <w:color w:val="auto"/>
                <w:sz w:val="21"/>
                <w:szCs w:val="21"/>
                <w:u w:val="single"/>
                <w:lang w:val="en-US" w:eastAsia="zh-CN"/>
              </w:rPr>
              <w:t>或其他证明材料</w:t>
            </w:r>
            <w:r>
              <w:rPr>
                <w:rFonts w:hint="eastAsia" w:ascii="宋体" w:hAnsi="宋体"/>
                <w:bCs/>
                <w:color w:val="auto"/>
                <w:sz w:val="21"/>
                <w:szCs w:val="21"/>
                <w:u w:val="single"/>
                <w:lang w:eastAsia="zh-CN"/>
              </w:rPr>
              <w:t>；依法免税或不需要缴纳社会保障资金的投标人，提供相应证明文件。</w:t>
            </w:r>
          </w:p>
          <w:p w14:paraId="7C0F3581">
            <w:pPr>
              <w:widowControl/>
              <w:shd w:val="clear" w:color="auto" w:fill="FFFFFF"/>
              <w:spacing w:line="360" w:lineRule="auto"/>
              <w:rPr>
                <w:rFonts w:hint="eastAsia" w:ascii="宋体" w:hAnsi="宋体"/>
                <w:bCs/>
                <w:color w:val="auto"/>
                <w:sz w:val="21"/>
                <w:szCs w:val="21"/>
                <w:u w:val="single"/>
                <w:lang w:eastAsia="zh-CN"/>
              </w:rPr>
            </w:pPr>
            <w:r>
              <w:rPr>
                <w:rFonts w:hint="eastAsia" w:ascii="宋体" w:hAnsi="宋体"/>
                <w:b/>
                <w:color w:val="auto"/>
                <w:sz w:val="21"/>
                <w:szCs w:val="21"/>
                <w:lang w:eastAsia="zh-CN"/>
              </w:rPr>
              <w:t>1.5参加政府采购活动前三年内，在经营活动中没有重大违法记录：</w:t>
            </w:r>
            <w:r>
              <w:rPr>
                <w:rFonts w:hint="eastAsia" w:ascii="宋体" w:hAnsi="宋体"/>
                <w:bCs/>
                <w:color w:val="auto"/>
                <w:sz w:val="21"/>
                <w:szCs w:val="21"/>
                <w:u w:val="single"/>
                <w:lang w:eastAsia="zh-CN"/>
              </w:rPr>
              <w:t>提供书面声明。（重大违法记录是指供应商因违法经营受到刑事处罚或者责令停产停业、吊销许可证或者执照、较大数额罚款等行政处罚）。</w:t>
            </w:r>
          </w:p>
          <w:p w14:paraId="7E3A2C4E">
            <w:pPr>
              <w:widowControl/>
              <w:shd w:val="clear" w:color="auto" w:fill="FFFFFF"/>
              <w:spacing w:line="360" w:lineRule="auto"/>
              <w:rPr>
                <w:color w:val="auto"/>
                <w:szCs w:val="21"/>
              </w:rPr>
            </w:pPr>
            <w:r>
              <w:rPr>
                <w:rFonts w:hint="eastAsia" w:ascii="宋体" w:hAnsi="宋体"/>
                <w:b/>
                <w:color w:val="auto"/>
                <w:sz w:val="21"/>
                <w:szCs w:val="21"/>
                <w:lang w:eastAsia="zh-CN"/>
              </w:rPr>
              <w:t>1.6法律、行政法规规定的其他条件。</w:t>
            </w:r>
          </w:p>
        </w:tc>
      </w:tr>
      <w:tr w14:paraId="3A258DF9">
        <w:tblPrEx>
          <w:tblCellMar>
            <w:top w:w="0" w:type="dxa"/>
            <w:left w:w="108" w:type="dxa"/>
            <w:bottom w:w="0" w:type="dxa"/>
            <w:right w:w="108" w:type="dxa"/>
          </w:tblCellMar>
        </w:tblPrEx>
        <w:trPr>
          <w:trHeight w:val="551" w:hRule="atLeast"/>
        </w:trPr>
        <w:tc>
          <w:tcPr>
            <w:tcW w:w="1155" w:type="dxa"/>
            <w:vMerge w:val="continue"/>
            <w:tcBorders>
              <w:left w:val="single" w:color="auto" w:sz="4" w:space="0"/>
              <w:right w:val="single" w:color="auto" w:sz="4" w:space="0"/>
            </w:tcBorders>
            <w:vAlign w:val="center"/>
          </w:tcPr>
          <w:p w14:paraId="0C846A07">
            <w:pPr>
              <w:widowControl/>
              <w:spacing w:line="360" w:lineRule="auto"/>
              <w:jc w:val="center"/>
              <w:rPr>
                <w:color w:val="auto"/>
                <w:kern w:val="0"/>
                <w:szCs w:val="21"/>
              </w:rPr>
            </w:pPr>
          </w:p>
        </w:tc>
        <w:tc>
          <w:tcPr>
            <w:tcW w:w="2248" w:type="dxa"/>
            <w:tcBorders>
              <w:top w:val="single" w:color="auto" w:sz="4" w:space="0"/>
              <w:left w:val="single" w:color="auto" w:sz="4" w:space="0"/>
              <w:bottom w:val="single" w:color="auto" w:sz="4" w:space="0"/>
              <w:right w:val="single" w:color="auto" w:sz="4" w:space="0"/>
            </w:tcBorders>
            <w:vAlign w:val="center"/>
          </w:tcPr>
          <w:p w14:paraId="4EE444A4">
            <w:pPr>
              <w:widowControl/>
              <w:spacing w:line="360" w:lineRule="auto"/>
              <w:jc w:val="center"/>
              <w:rPr>
                <w:color w:val="auto"/>
                <w:kern w:val="0"/>
                <w:szCs w:val="21"/>
              </w:rPr>
            </w:pPr>
            <w:r>
              <w:rPr>
                <w:rFonts w:hint="eastAsia"/>
                <w:color w:val="auto"/>
                <w:kern w:val="0"/>
                <w:szCs w:val="21"/>
              </w:rPr>
              <w:t>落实政府采购政策需满足的资格要求</w:t>
            </w:r>
          </w:p>
        </w:tc>
        <w:tc>
          <w:tcPr>
            <w:tcW w:w="6662" w:type="dxa"/>
            <w:tcBorders>
              <w:top w:val="single" w:color="auto" w:sz="4" w:space="0"/>
              <w:left w:val="single" w:color="auto" w:sz="4" w:space="0"/>
              <w:bottom w:val="single" w:color="auto" w:sz="4" w:space="0"/>
              <w:right w:val="single" w:color="auto" w:sz="4" w:space="0"/>
            </w:tcBorders>
            <w:vAlign w:val="center"/>
          </w:tcPr>
          <w:p w14:paraId="4AE9D8F2">
            <w:pPr>
              <w:spacing w:line="360" w:lineRule="auto"/>
              <w:jc w:val="left"/>
              <w:rPr>
                <w:b/>
                <w:bCs/>
                <w:color w:val="auto"/>
              </w:rPr>
            </w:pPr>
            <w:r>
              <w:rPr>
                <w:rFonts w:hint="eastAsia" w:ascii="宋体" w:hAnsi="宋体"/>
                <w:b/>
                <w:color w:val="auto"/>
                <w:sz w:val="21"/>
                <w:szCs w:val="21"/>
                <w:u w:val="single"/>
                <w:lang w:val="en-US" w:eastAsia="zh-CN"/>
              </w:rPr>
              <w:t>标段1：</w:t>
            </w:r>
            <w:r>
              <w:rPr>
                <w:rFonts w:ascii="宋体" w:hAnsi="宋体"/>
                <w:color w:val="auto"/>
                <w:sz w:val="21"/>
                <w:szCs w:val="21"/>
                <w:u w:val="single"/>
                <w:lang w:eastAsia="zh-CN"/>
              </w:rPr>
              <w:t>非专门面向中小企业采购的项目</w:t>
            </w:r>
            <w:r>
              <w:rPr>
                <w:rFonts w:hint="eastAsia" w:ascii="宋体" w:hAnsi="宋体"/>
                <w:color w:val="auto"/>
                <w:sz w:val="21"/>
                <w:szCs w:val="21"/>
                <w:u w:val="single"/>
                <w:lang w:eastAsia="zh-CN"/>
              </w:rPr>
              <w:t>；小微企业价格扣除优惠比例：10%（残疾人福利性单位、监狱企业</w:t>
            </w:r>
            <w:r>
              <w:rPr>
                <w:rFonts w:ascii="宋体" w:hAnsi="宋体"/>
                <w:color w:val="auto"/>
                <w:sz w:val="21"/>
                <w:szCs w:val="21"/>
                <w:u w:val="single"/>
                <w:lang w:eastAsia="zh-CN"/>
              </w:rPr>
              <w:t>视同小型、微型企业</w:t>
            </w:r>
            <w:r>
              <w:rPr>
                <w:rFonts w:hint="eastAsia" w:ascii="宋体" w:hAnsi="宋体"/>
                <w:color w:val="auto"/>
                <w:sz w:val="21"/>
                <w:szCs w:val="21"/>
                <w:u w:val="single"/>
                <w:lang w:eastAsia="zh-CN"/>
              </w:rPr>
              <w:t>）；</w:t>
            </w:r>
            <w:r>
              <w:rPr>
                <w:rFonts w:hint="eastAsia" w:ascii="宋体" w:hAnsi="宋体"/>
                <w:b/>
                <w:color w:val="auto"/>
                <w:sz w:val="21"/>
                <w:szCs w:val="21"/>
                <w:u w:val="single"/>
                <w:lang w:val="en-US" w:eastAsia="zh-CN"/>
              </w:rPr>
              <w:t>标段2：</w:t>
            </w:r>
            <w:r>
              <w:rPr>
                <w:rFonts w:ascii="宋体" w:hAnsi="宋体"/>
                <w:color w:val="auto"/>
                <w:sz w:val="21"/>
                <w:szCs w:val="21"/>
                <w:u w:val="single"/>
                <w:lang w:eastAsia="zh-CN"/>
              </w:rPr>
              <w:t>专门面向中小企业采购的项目</w:t>
            </w:r>
            <w:r>
              <w:rPr>
                <w:rFonts w:hint="eastAsia" w:ascii="宋体" w:hAnsi="宋体"/>
                <w:color w:val="auto"/>
                <w:sz w:val="21"/>
                <w:szCs w:val="21"/>
                <w:u w:val="single"/>
                <w:lang w:eastAsia="zh-CN"/>
              </w:rPr>
              <w:t>（残疾人福利性单位、监狱企业</w:t>
            </w:r>
            <w:r>
              <w:rPr>
                <w:rFonts w:ascii="宋体" w:hAnsi="宋体"/>
                <w:color w:val="auto"/>
                <w:sz w:val="21"/>
                <w:szCs w:val="21"/>
                <w:u w:val="single"/>
                <w:lang w:eastAsia="zh-CN"/>
              </w:rPr>
              <w:t>视同小型、微型企业</w:t>
            </w:r>
            <w:r>
              <w:rPr>
                <w:rFonts w:hint="eastAsia" w:ascii="宋体" w:hAnsi="宋体"/>
                <w:color w:val="auto"/>
                <w:sz w:val="21"/>
                <w:szCs w:val="21"/>
                <w:u w:val="single"/>
                <w:lang w:eastAsia="zh-CN"/>
              </w:rPr>
              <w:t>）。</w:t>
            </w:r>
          </w:p>
        </w:tc>
      </w:tr>
      <w:tr w14:paraId="55ADDE20">
        <w:tblPrEx>
          <w:tblCellMar>
            <w:top w:w="0" w:type="dxa"/>
            <w:left w:w="108" w:type="dxa"/>
            <w:bottom w:w="0" w:type="dxa"/>
            <w:right w:w="108" w:type="dxa"/>
          </w:tblCellMar>
        </w:tblPrEx>
        <w:trPr>
          <w:trHeight w:val="551" w:hRule="atLeast"/>
        </w:trPr>
        <w:tc>
          <w:tcPr>
            <w:tcW w:w="1155" w:type="dxa"/>
            <w:vMerge w:val="continue"/>
            <w:tcBorders>
              <w:left w:val="single" w:color="auto" w:sz="4" w:space="0"/>
              <w:bottom w:val="single" w:color="auto" w:sz="4" w:space="0"/>
              <w:right w:val="single" w:color="auto" w:sz="4" w:space="0"/>
            </w:tcBorders>
            <w:vAlign w:val="center"/>
          </w:tcPr>
          <w:p w14:paraId="4DC464CB">
            <w:pPr>
              <w:widowControl/>
              <w:spacing w:line="360" w:lineRule="auto"/>
              <w:jc w:val="center"/>
              <w:rPr>
                <w:color w:val="auto"/>
                <w:kern w:val="0"/>
                <w:szCs w:val="21"/>
              </w:rPr>
            </w:pPr>
          </w:p>
        </w:tc>
        <w:tc>
          <w:tcPr>
            <w:tcW w:w="2248" w:type="dxa"/>
            <w:tcBorders>
              <w:top w:val="single" w:color="auto" w:sz="4" w:space="0"/>
              <w:left w:val="single" w:color="auto" w:sz="4" w:space="0"/>
              <w:bottom w:val="single" w:color="auto" w:sz="4" w:space="0"/>
              <w:right w:val="single" w:color="auto" w:sz="4" w:space="0"/>
            </w:tcBorders>
            <w:vAlign w:val="center"/>
          </w:tcPr>
          <w:p w14:paraId="025BA9B3">
            <w:pPr>
              <w:widowControl/>
              <w:spacing w:line="360" w:lineRule="auto"/>
              <w:jc w:val="center"/>
              <w:rPr>
                <w:color w:val="auto"/>
                <w:kern w:val="0"/>
                <w:szCs w:val="21"/>
              </w:rPr>
            </w:pPr>
            <w:r>
              <w:rPr>
                <w:rFonts w:hint="eastAsia"/>
                <w:color w:val="auto"/>
                <w:kern w:val="0"/>
                <w:szCs w:val="21"/>
              </w:rPr>
              <w:t>本项目的特定资格要求</w:t>
            </w:r>
          </w:p>
        </w:tc>
        <w:tc>
          <w:tcPr>
            <w:tcW w:w="6662" w:type="dxa"/>
            <w:tcBorders>
              <w:top w:val="single" w:color="auto" w:sz="4" w:space="0"/>
              <w:left w:val="single" w:color="auto" w:sz="4" w:space="0"/>
              <w:bottom w:val="single" w:color="auto" w:sz="4" w:space="0"/>
              <w:right w:val="single" w:color="auto" w:sz="4" w:space="0"/>
            </w:tcBorders>
            <w:vAlign w:val="center"/>
          </w:tcPr>
          <w:p w14:paraId="7CC5AAC5">
            <w:pPr>
              <w:spacing w:line="360" w:lineRule="auto"/>
              <w:rPr>
                <w:rFonts w:hint="eastAsia"/>
                <w:b w:val="0"/>
                <w:bCs w:val="0"/>
                <w:color w:val="auto"/>
              </w:rPr>
            </w:pPr>
            <w:r>
              <w:rPr>
                <w:rFonts w:hint="eastAsia"/>
                <w:b w:val="0"/>
                <w:bCs w:val="0"/>
                <w:color w:val="auto"/>
              </w:rPr>
              <w:t>3.1未被列入“信用中国”网站（www.creditchina.gov.cn）失信被执行人、重大税收违法案件当事人名单、政府采购严重违法失信行为记录名单及中国政府采购网（www.ccgp.gov.cn）“政府采购严重违法失信行为信息记录”。以开标当天工作人员对上述信用信息进行查询核对的结果为准。投标人存在不良信用记录的，不得参与政府采购活动。</w:t>
            </w:r>
          </w:p>
          <w:p w14:paraId="14F390F0">
            <w:pPr>
              <w:spacing w:line="360" w:lineRule="auto"/>
              <w:rPr>
                <w:b/>
                <w:bCs/>
                <w:color w:val="auto"/>
              </w:rPr>
            </w:pPr>
            <w:r>
              <w:rPr>
                <w:rFonts w:hint="eastAsia"/>
                <w:b w:val="0"/>
                <w:bCs w:val="0"/>
                <w:color w:val="auto"/>
              </w:rPr>
              <w:t>3.2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p>
        </w:tc>
      </w:tr>
      <w:tr w14:paraId="184BD550">
        <w:tblPrEx>
          <w:tblCellMar>
            <w:top w:w="0" w:type="dxa"/>
            <w:left w:w="108" w:type="dxa"/>
            <w:bottom w:w="0" w:type="dxa"/>
            <w:right w:w="108" w:type="dxa"/>
          </w:tblCellMar>
        </w:tblPrEx>
        <w:trPr>
          <w:trHeight w:val="551" w:hRule="atLeast"/>
        </w:trPr>
        <w:tc>
          <w:tcPr>
            <w:tcW w:w="1155" w:type="dxa"/>
            <w:tcBorders>
              <w:top w:val="single" w:color="auto" w:sz="4" w:space="0"/>
              <w:left w:val="single" w:color="auto" w:sz="4" w:space="0"/>
              <w:bottom w:val="single" w:color="auto" w:sz="4" w:space="0"/>
              <w:right w:val="single" w:color="auto" w:sz="4" w:space="0"/>
            </w:tcBorders>
            <w:vAlign w:val="center"/>
          </w:tcPr>
          <w:p w14:paraId="0A2F64F1">
            <w:pPr>
              <w:spacing w:line="360" w:lineRule="auto"/>
              <w:jc w:val="center"/>
              <w:rPr>
                <w:color w:val="auto"/>
                <w:szCs w:val="21"/>
              </w:rPr>
            </w:pPr>
            <w:r>
              <w:rPr>
                <w:color w:val="auto"/>
                <w:szCs w:val="21"/>
              </w:rPr>
              <w:t>1.4.2</w:t>
            </w:r>
          </w:p>
        </w:tc>
        <w:tc>
          <w:tcPr>
            <w:tcW w:w="2248" w:type="dxa"/>
            <w:tcBorders>
              <w:top w:val="single" w:color="auto" w:sz="4" w:space="0"/>
              <w:left w:val="single" w:color="auto" w:sz="4" w:space="0"/>
              <w:bottom w:val="single" w:color="auto" w:sz="4" w:space="0"/>
              <w:right w:val="single" w:color="auto" w:sz="4" w:space="0"/>
            </w:tcBorders>
            <w:vAlign w:val="center"/>
          </w:tcPr>
          <w:p w14:paraId="574039EE">
            <w:pPr>
              <w:spacing w:line="360" w:lineRule="auto"/>
              <w:jc w:val="center"/>
              <w:rPr>
                <w:color w:val="auto"/>
                <w:szCs w:val="21"/>
              </w:rPr>
            </w:pPr>
            <w:r>
              <w:rPr>
                <w:color w:val="auto"/>
                <w:szCs w:val="21"/>
              </w:rPr>
              <w:t>是否接受联合体</w:t>
            </w:r>
          </w:p>
        </w:tc>
        <w:tc>
          <w:tcPr>
            <w:tcW w:w="6662" w:type="dxa"/>
            <w:tcBorders>
              <w:top w:val="single" w:color="auto" w:sz="4" w:space="0"/>
              <w:left w:val="single" w:color="auto" w:sz="4" w:space="0"/>
              <w:bottom w:val="single" w:color="auto" w:sz="4" w:space="0"/>
              <w:right w:val="single" w:color="auto" w:sz="4" w:space="0"/>
            </w:tcBorders>
            <w:vAlign w:val="center"/>
          </w:tcPr>
          <w:p w14:paraId="55FB4B22">
            <w:pPr>
              <w:pStyle w:val="114"/>
              <w:topLinePunct/>
              <w:spacing w:line="360" w:lineRule="auto"/>
              <w:rPr>
                <w:rFonts w:ascii="Times New Roman"/>
                <w:color w:val="auto"/>
                <w:sz w:val="21"/>
                <w:szCs w:val="21"/>
              </w:rPr>
            </w:pPr>
            <w:r>
              <w:rPr>
                <w:rFonts w:hint="eastAsia" w:hAnsi="宋体"/>
                <w:color w:val="auto"/>
                <w:szCs w:val="21"/>
              </w:rPr>
              <w:t>■</w:t>
            </w:r>
            <w:r>
              <w:rPr>
                <w:rFonts w:hAnsi="宋体"/>
                <w:color w:val="auto"/>
                <w:sz w:val="21"/>
                <w:szCs w:val="21"/>
              </w:rPr>
              <w:t>不接受</w:t>
            </w:r>
          </w:p>
          <w:p w14:paraId="247E31DE">
            <w:pPr>
              <w:spacing w:line="360" w:lineRule="auto"/>
              <w:rPr>
                <w:color w:val="auto"/>
                <w:szCs w:val="21"/>
              </w:rPr>
            </w:pPr>
            <w:r>
              <w:rPr>
                <w:rFonts w:hint="eastAsia" w:hAnsi="宋体"/>
                <w:color w:val="auto"/>
                <w:sz w:val="24"/>
              </w:rPr>
              <w:t>□</w:t>
            </w:r>
            <w:r>
              <w:rPr>
                <w:color w:val="auto"/>
                <w:szCs w:val="21"/>
              </w:rPr>
              <w:t xml:space="preserve">接受，应满足下列要求： </w:t>
            </w:r>
          </w:p>
        </w:tc>
      </w:tr>
      <w:tr w14:paraId="324D676C">
        <w:tblPrEx>
          <w:tblCellMar>
            <w:top w:w="0" w:type="dxa"/>
            <w:left w:w="108" w:type="dxa"/>
            <w:bottom w:w="0" w:type="dxa"/>
            <w:right w:w="108" w:type="dxa"/>
          </w:tblCellMar>
        </w:tblPrEx>
        <w:trPr>
          <w:trHeight w:val="551" w:hRule="atLeast"/>
        </w:trPr>
        <w:tc>
          <w:tcPr>
            <w:tcW w:w="1155" w:type="dxa"/>
            <w:tcBorders>
              <w:top w:val="single" w:color="auto" w:sz="4" w:space="0"/>
              <w:left w:val="single" w:color="auto" w:sz="4" w:space="0"/>
              <w:bottom w:val="single" w:color="auto" w:sz="4" w:space="0"/>
              <w:right w:val="single" w:color="auto" w:sz="4" w:space="0"/>
            </w:tcBorders>
            <w:vAlign w:val="center"/>
          </w:tcPr>
          <w:p w14:paraId="3043125D">
            <w:pPr>
              <w:spacing w:line="360" w:lineRule="auto"/>
              <w:jc w:val="center"/>
              <w:rPr>
                <w:color w:val="auto"/>
                <w:szCs w:val="21"/>
              </w:rPr>
            </w:pPr>
            <w:r>
              <w:rPr>
                <w:rFonts w:hint="eastAsia"/>
                <w:color w:val="auto"/>
                <w:szCs w:val="21"/>
              </w:rPr>
              <w:t>1</w:t>
            </w:r>
            <w:r>
              <w:rPr>
                <w:color w:val="auto"/>
                <w:szCs w:val="21"/>
              </w:rPr>
              <w:t>.9.1</w:t>
            </w:r>
          </w:p>
        </w:tc>
        <w:tc>
          <w:tcPr>
            <w:tcW w:w="2248" w:type="dxa"/>
            <w:tcBorders>
              <w:top w:val="single" w:color="auto" w:sz="4" w:space="0"/>
              <w:left w:val="single" w:color="auto" w:sz="4" w:space="0"/>
              <w:bottom w:val="single" w:color="auto" w:sz="4" w:space="0"/>
              <w:right w:val="single" w:color="auto" w:sz="4" w:space="0"/>
            </w:tcBorders>
            <w:vAlign w:val="center"/>
          </w:tcPr>
          <w:p w14:paraId="18244B63">
            <w:pPr>
              <w:spacing w:line="360" w:lineRule="auto"/>
              <w:jc w:val="center"/>
              <w:rPr>
                <w:color w:val="auto"/>
                <w:szCs w:val="21"/>
              </w:rPr>
            </w:pPr>
            <w:r>
              <w:rPr>
                <w:rFonts w:hint="eastAsia"/>
                <w:color w:val="auto"/>
                <w:szCs w:val="21"/>
              </w:rPr>
              <w:t>现场踏勘</w:t>
            </w:r>
          </w:p>
        </w:tc>
        <w:tc>
          <w:tcPr>
            <w:tcW w:w="6662" w:type="dxa"/>
            <w:tcBorders>
              <w:top w:val="single" w:color="auto" w:sz="4" w:space="0"/>
              <w:left w:val="single" w:color="auto" w:sz="4" w:space="0"/>
              <w:bottom w:val="single" w:color="auto" w:sz="4" w:space="0"/>
              <w:right w:val="single" w:color="auto" w:sz="4" w:space="0"/>
            </w:tcBorders>
            <w:vAlign w:val="center"/>
          </w:tcPr>
          <w:p w14:paraId="436CC106">
            <w:pPr>
              <w:pStyle w:val="114"/>
              <w:topLinePunct/>
              <w:spacing w:line="360" w:lineRule="auto"/>
              <w:rPr>
                <w:rFonts w:hint="eastAsia" w:hAnsi="宋体"/>
                <w:b/>
                <w:bCs/>
                <w:color w:val="auto"/>
                <w:sz w:val="21"/>
                <w:szCs w:val="21"/>
              </w:rPr>
            </w:pPr>
            <w:r>
              <w:rPr>
                <w:rFonts w:hint="eastAsia" w:hAnsi="宋体"/>
                <w:color w:val="auto"/>
                <w:szCs w:val="21"/>
              </w:rPr>
              <w:t>■</w:t>
            </w:r>
            <w:r>
              <w:rPr>
                <w:rFonts w:hAnsi="宋体"/>
                <w:b/>
                <w:bCs/>
                <w:color w:val="auto"/>
                <w:sz w:val="21"/>
                <w:szCs w:val="21"/>
              </w:rPr>
              <w:t>不</w:t>
            </w:r>
            <w:r>
              <w:rPr>
                <w:rFonts w:hint="eastAsia" w:hAnsi="宋体"/>
                <w:b/>
                <w:bCs/>
                <w:color w:val="auto"/>
                <w:sz w:val="21"/>
                <w:szCs w:val="21"/>
              </w:rPr>
              <w:t>组织</w:t>
            </w:r>
          </w:p>
          <w:p w14:paraId="3E35D587">
            <w:pPr>
              <w:spacing w:line="360" w:lineRule="auto"/>
              <w:rPr>
                <w:rFonts w:hint="eastAsia" w:hAnsi="宋体"/>
                <w:color w:val="auto"/>
                <w:szCs w:val="21"/>
              </w:rPr>
            </w:pPr>
            <w:r>
              <w:rPr>
                <w:rFonts w:hint="eastAsia"/>
                <w:color w:val="auto"/>
                <w:szCs w:val="21"/>
              </w:rPr>
              <w:t>□组织</w:t>
            </w:r>
          </w:p>
        </w:tc>
      </w:tr>
      <w:tr w14:paraId="6DDA38C9">
        <w:tblPrEx>
          <w:tblCellMar>
            <w:top w:w="0" w:type="dxa"/>
            <w:left w:w="108" w:type="dxa"/>
            <w:bottom w:w="0" w:type="dxa"/>
            <w:right w:w="108" w:type="dxa"/>
          </w:tblCellMar>
        </w:tblPrEx>
        <w:trPr>
          <w:trHeight w:val="551" w:hRule="atLeast"/>
        </w:trPr>
        <w:tc>
          <w:tcPr>
            <w:tcW w:w="1155" w:type="dxa"/>
            <w:tcBorders>
              <w:top w:val="single" w:color="auto" w:sz="4" w:space="0"/>
              <w:left w:val="single" w:color="auto" w:sz="4" w:space="0"/>
              <w:bottom w:val="single" w:color="auto" w:sz="4" w:space="0"/>
              <w:right w:val="single" w:color="auto" w:sz="4" w:space="0"/>
            </w:tcBorders>
            <w:vAlign w:val="center"/>
          </w:tcPr>
          <w:p w14:paraId="5E8569BB">
            <w:pPr>
              <w:spacing w:line="360" w:lineRule="auto"/>
              <w:jc w:val="center"/>
              <w:rPr>
                <w:color w:val="auto"/>
                <w:szCs w:val="21"/>
              </w:rPr>
            </w:pPr>
            <w:r>
              <w:rPr>
                <w:rFonts w:hint="eastAsia"/>
                <w:color w:val="auto"/>
                <w:szCs w:val="21"/>
              </w:rPr>
              <w:t>1</w:t>
            </w:r>
            <w:r>
              <w:rPr>
                <w:color w:val="auto"/>
                <w:szCs w:val="21"/>
              </w:rPr>
              <w:t>.10</w:t>
            </w:r>
          </w:p>
        </w:tc>
        <w:tc>
          <w:tcPr>
            <w:tcW w:w="2248" w:type="dxa"/>
            <w:tcBorders>
              <w:top w:val="single" w:color="auto" w:sz="4" w:space="0"/>
              <w:left w:val="single" w:color="auto" w:sz="4" w:space="0"/>
              <w:bottom w:val="single" w:color="auto" w:sz="4" w:space="0"/>
              <w:right w:val="single" w:color="auto" w:sz="4" w:space="0"/>
            </w:tcBorders>
            <w:vAlign w:val="center"/>
          </w:tcPr>
          <w:p w14:paraId="3F36206C">
            <w:pPr>
              <w:spacing w:line="360" w:lineRule="auto"/>
              <w:jc w:val="center"/>
              <w:rPr>
                <w:color w:val="auto"/>
                <w:szCs w:val="21"/>
              </w:rPr>
            </w:pPr>
            <w:r>
              <w:rPr>
                <w:rFonts w:hint="eastAsia"/>
                <w:color w:val="auto"/>
                <w:szCs w:val="21"/>
              </w:rPr>
              <w:t>分包</w:t>
            </w:r>
          </w:p>
        </w:tc>
        <w:tc>
          <w:tcPr>
            <w:tcW w:w="6662" w:type="dxa"/>
            <w:tcBorders>
              <w:top w:val="single" w:color="auto" w:sz="4" w:space="0"/>
              <w:left w:val="single" w:color="auto" w:sz="4" w:space="0"/>
              <w:bottom w:val="single" w:color="auto" w:sz="4" w:space="0"/>
              <w:right w:val="single" w:color="auto" w:sz="4" w:space="0"/>
            </w:tcBorders>
            <w:vAlign w:val="center"/>
          </w:tcPr>
          <w:p w14:paraId="1A86A1E2">
            <w:pPr>
              <w:pStyle w:val="114"/>
              <w:topLinePunct/>
              <w:spacing w:line="360" w:lineRule="auto"/>
              <w:rPr>
                <w:rFonts w:hint="eastAsia" w:hAnsi="宋体"/>
                <w:color w:val="auto"/>
                <w:sz w:val="21"/>
                <w:szCs w:val="21"/>
              </w:rPr>
            </w:pPr>
            <w:r>
              <w:rPr>
                <w:rFonts w:hint="eastAsia" w:hAnsi="宋体"/>
                <w:color w:val="auto"/>
                <w:szCs w:val="21"/>
              </w:rPr>
              <w:t>■</w:t>
            </w:r>
            <w:r>
              <w:rPr>
                <w:rFonts w:hAnsi="宋体"/>
                <w:b/>
                <w:bCs/>
                <w:color w:val="auto"/>
                <w:sz w:val="21"/>
                <w:szCs w:val="21"/>
              </w:rPr>
              <w:t>不</w:t>
            </w:r>
            <w:r>
              <w:rPr>
                <w:rFonts w:hint="eastAsia" w:hAnsi="宋体"/>
                <w:b/>
                <w:bCs/>
                <w:color w:val="auto"/>
                <w:sz w:val="21"/>
                <w:szCs w:val="21"/>
              </w:rPr>
              <w:t>允许</w:t>
            </w:r>
          </w:p>
          <w:p w14:paraId="39FD1BFD">
            <w:pPr>
              <w:spacing w:line="360" w:lineRule="auto"/>
              <w:rPr>
                <w:color w:val="auto"/>
                <w:szCs w:val="21"/>
              </w:rPr>
            </w:pPr>
            <w:r>
              <w:rPr>
                <w:rFonts w:hint="eastAsia"/>
                <w:color w:val="auto"/>
                <w:szCs w:val="21"/>
              </w:rPr>
              <w:t>□允许，分包内容要求：</w:t>
            </w:r>
          </w:p>
          <w:p w14:paraId="3E279E4A">
            <w:pPr>
              <w:spacing w:line="360" w:lineRule="auto"/>
              <w:ind w:firstLine="840" w:firstLineChars="400"/>
              <w:rPr>
                <w:color w:val="auto"/>
                <w:szCs w:val="21"/>
              </w:rPr>
            </w:pPr>
            <w:r>
              <w:rPr>
                <w:rFonts w:hint="eastAsia"/>
                <w:color w:val="auto"/>
                <w:szCs w:val="21"/>
              </w:rPr>
              <w:t>分包金额要求：</w:t>
            </w:r>
          </w:p>
          <w:p w14:paraId="10F04D82">
            <w:pPr>
              <w:spacing w:line="360" w:lineRule="auto"/>
              <w:ind w:firstLine="840" w:firstLineChars="400"/>
              <w:rPr>
                <w:rFonts w:hint="eastAsia" w:hAnsi="宋体"/>
                <w:color w:val="auto"/>
                <w:szCs w:val="21"/>
              </w:rPr>
            </w:pPr>
            <w:r>
              <w:rPr>
                <w:rFonts w:hint="eastAsia"/>
                <w:color w:val="auto"/>
                <w:szCs w:val="21"/>
              </w:rPr>
              <w:t>对分包人资质要求：</w:t>
            </w:r>
          </w:p>
        </w:tc>
      </w:tr>
      <w:tr w14:paraId="3F30CE8F">
        <w:tblPrEx>
          <w:tblCellMar>
            <w:top w:w="0" w:type="dxa"/>
            <w:left w:w="108" w:type="dxa"/>
            <w:bottom w:w="0" w:type="dxa"/>
            <w:right w:w="108" w:type="dxa"/>
          </w:tblCellMar>
        </w:tblPrEx>
        <w:trPr>
          <w:trHeight w:val="550" w:hRule="atLeast"/>
        </w:trPr>
        <w:tc>
          <w:tcPr>
            <w:tcW w:w="1155" w:type="dxa"/>
            <w:tcBorders>
              <w:top w:val="single" w:color="auto" w:sz="4" w:space="0"/>
              <w:left w:val="single" w:color="auto" w:sz="4" w:space="0"/>
              <w:bottom w:val="single" w:color="auto" w:sz="4" w:space="0"/>
              <w:right w:val="single" w:color="auto" w:sz="4" w:space="0"/>
            </w:tcBorders>
            <w:vAlign w:val="center"/>
          </w:tcPr>
          <w:p w14:paraId="67C15893">
            <w:pPr>
              <w:widowControl/>
              <w:spacing w:line="360" w:lineRule="auto"/>
              <w:jc w:val="center"/>
              <w:rPr>
                <w:color w:val="auto"/>
                <w:kern w:val="0"/>
                <w:szCs w:val="21"/>
              </w:rPr>
            </w:pPr>
            <w:r>
              <w:rPr>
                <w:color w:val="auto"/>
                <w:kern w:val="0"/>
                <w:szCs w:val="21"/>
              </w:rPr>
              <w:t>1.1</w:t>
            </w:r>
            <w:r>
              <w:rPr>
                <w:rFonts w:hint="eastAsia"/>
                <w:color w:val="auto"/>
                <w:kern w:val="0"/>
                <w:szCs w:val="21"/>
              </w:rPr>
              <w:t>1.</w:t>
            </w:r>
            <w:r>
              <w:rPr>
                <w:color w:val="auto"/>
                <w:kern w:val="0"/>
                <w:szCs w:val="21"/>
              </w:rPr>
              <w:t>1</w:t>
            </w:r>
          </w:p>
        </w:tc>
        <w:tc>
          <w:tcPr>
            <w:tcW w:w="2248" w:type="dxa"/>
            <w:tcBorders>
              <w:top w:val="single" w:color="auto" w:sz="4" w:space="0"/>
              <w:left w:val="single" w:color="auto" w:sz="4" w:space="0"/>
              <w:bottom w:val="single" w:color="auto" w:sz="4" w:space="0"/>
              <w:right w:val="single" w:color="auto" w:sz="4" w:space="0"/>
            </w:tcBorders>
            <w:vAlign w:val="center"/>
          </w:tcPr>
          <w:p w14:paraId="7F6FEC6B">
            <w:pPr>
              <w:widowControl/>
              <w:spacing w:line="360" w:lineRule="auto"/>
              <w:jc w:val="center"/>
              <w:rPr>
                <w:color w:val="auto"/>
                <w:kern w:val="0"/>
                <w:szCs w:val="21"/>
              </w:rPr>
            </w:pPr>
            <w:r>
              <w:rPr>
                <w:color w:val="auto"/>
                <w:kern w:val="0"/>
                <w:szCs w:val="21"/>
              </w:rPr>
              <w:t>偏差</w:t>
            </w:r>
          </w:p>
        </w:tc>
        <w:tc>
          <w:tcPr>
            <w:tcW w:w="6662" w:type="dxa"/>
            <w:tcBorders>
              <w:top w:val="single" w:color="auto" w:sz="4" w:space="0"/>
              <w:left w:val="single" w:color="auto" w:sz="4" w:space="0"/>
              <w:bottom w:val="single" w:color="auto" w:sz="4" w:space="0"/>
              <w:right w:val="single" w:color="auto" w:sz="4" w:space="0"/>
            </w:tcBorders>
            <w:vAlign w:val="center"/>
          </w:tcPr>
          <w:p w14:paraId="03CDD018">
            <w:pPr>
              <w:widowControl/>
              <w:spacing w:line="360" w:lineRule="auto"/>
              <w:rPr>
                <w:b/>
                <w:bCs/>
                <w:color w:val="auto"/>
                <w:kern w:val="0"/>
                <w:szCs w:val="21"/>
              </w:rPr>
            </w:pPr>
            <w:r>
              <w:rPr>
                <w:rFonts w:hint="eastAsia" w:hAnsi="宋体"/>
                <w:color w:val="auto"/>
                <w:szCs w:val="21"/>
              </w:rPr>
              <w:t>■</w:t>
            </w:r>
            <w:r>
              <w:rPr>
                <w:b/>
                <w:bCs/>
                <w:color w:val="auto"/>
                <w:kern w:val="0"/>
                <w:szCs w:val="21"/>
              </w:rPr>
              <w:t>不允许</w:t>
            </w:r>
            <w:r>
              <w:rPr>
                <w:rFonts w:hint="eastAsia"/>
                <w:b/>
                <w:bCs/>
                <w:color w:val="auto"/>
                <w:kern w:val="0"/>
                <w:szCs w:val="21"/>
              </w:rPr>
              <w:t>，资格条件、符合性审查、采购需求不允许负偏离。</w:t>
            </w:r>
          </w:p>
          <w:p w14:paraId="09B4C8B7">
            <w:pPr>
              <w:widowControl/>
              <w:spacing w:line="360" w:lineRule="auto"/>
              <w:rPr>
                <w:color w:val="auto"/>
                <w:kern w:val="0"/>
                <w:szCs w:val="21"/>
              </w:rPr>
            </w:pPr>
            <w:r>
              <w:rPr>
                <w:rFonts w:hint="eastAsia" w:ascii="宋体" w:hAnsi="宋体"/>
                <w:color w:val="auto"/>
                <w:szCs w:val="21"/>
              </w:rPr>
              <w:t>□</w:t>
            </w:r>
            <w:r>
              <w:rPr>
                <w:color w:val="auto"/>
                <w:kern w:val="0"/>
                <w:szCs w:val="21"/>
              </w:rPr>
              <w:t>允许</w:t>
            </w:r>
            <w:r>
              <w:rPr>
                <w:rFonts w:hint="eastAsia"/>
                <w:color w:val="auto"/>
                <w:kern w:val="0"/>
                <w:szCs w:val="21"/>
              </w:rPr>
              <w:t>，</w:t>
            </w:r>
            <w:r>
              <w:rPr>
                <w:color w:val="auto"/>
                <w:kern w:val="0"/>
                <w:szCs w:val="21"/>
              </w:rPr>
              <w:t>偏差范围</w:t>
            </w:r>
            <w:r>
              <w:rPr>
                <w:rFonts w:hint="eastAsia"/>
                <w:color w:val="auto"/>
                <w:kern w:val="0"/>
                <w:szCs w:val="21"/>
              </w:rPr>
              <w:t>：</w:t>
            </w:r>
          </w:p>
          <w:p w14:paraId="7784DD75">
            <w:pPr>
              <w:widowControl/>
              <w:spacing w:line="360" w:lineRule="auto"/>
              <w:rPr>
                <w:color w:val="auto"/>
                <w:szCs w:val="21"/>
              </w:rPr>
            </w:pPr>
            <w:r>
              <w:rPr>
                <w:rFonts w:hint="eastAsia"/>
                <w:color w:val="auto"/>
                <w:kern w:val="0"/>
                <w:szCs w:val="21"/>
              </w:rPr>
              <w:t xml:space="preserve">        最高项数：</w:t>
            </w:r>
          </w:p>
        </w:tc>
      </w:tr>
      <w:tr w14:paraId="5198512C">
        <w:tblPrEx>
          <w:tblCellMar>
            <w:top w:w="0" w:type="dxa"/>
            <w:left w:w="108" w:type="dxa"/>
            <w:bottom w:w="0" w:type="dxa"/>
            <w:right w:w="108" w:type="dxa"/>
          </w:tblCellMar>
        </w:tblPrEx>
        <w:trPr>
          <w:trHeight w:val="572" w:hRule="atLeast"/>
        </w:trPr>
        <w:tc>
          <w:tcPr>
            <w:tcW w:w="1155" w:type="dxa"/>
            <w:tcBorders>
              <w:top w:val="single" w:color="auto" w:sz="4" w:space="0"/>
              <w:left w:val="single" w:color="auto" w:sz="4" w:space="0"/>
              <w:bottom w:val="single" w:color="auto" w:sz="4" w:space="0"/>
              <w:right w:val="single" w:color="auto" w:sz="4" w:space="0"/>
            </w:tcBorders>
            <w:vAlign w:val="center"/>
          </w:tcPr>
          <w:p w14:paraId="4E7123EF">
            <w:pPr>
              <w:widowControl/>
              <w:spacing w:line="360" w:lineRule="auto"/>
              <w:jc w:val="center"/>
              <w:rPr>
                <w:color w:val="auto"/>
                <w:kern w:val="0"/>
                <w:szCs w:val="21"/>
              </w:rPr>
            </w:pPr>
            <w:r>
              <w:rPr>
                <w:color w:val="auto"/>
                <w:kern w:val="0"/>
                <w:szCs w:val="21"/>
              </w:rPr>
              <w:t>2.1</w:t>
            </w:r>
          </w:p>
        </w:tc>
        <w:tc>
          <w:tcPr>
            <w:tcW w:w="2248" w:type="dxa"/>
            <w:tcBorders>
              <w:top w:val="single" w:color="auto" w:sz="4" w:space="0"/>
              <w:left w:val="single" w:color="auto" w:sz="4" w:space="0"/>
              <w:bottom w:val="single" w:color="auto" w:sz="4" w:space="0"/>
              <w:right w:val="single" w:color="auto" w:sz="4" w:space="0"/>
            </w:tcBorders>
            <w:vAlign w:val="center"/>
          </w:tcPr>
          <w:p w14:paraId="657C5573">
            <w:pPr>
              <w:widowControl/>
              <w:spacing w:line="360" w:lineRule="auto"/>
              <w:jc w:val="center"/>
              <w:rPr>
                <w:color w:val="auto"/>
                <w:kern w:val="0"/>
                <w:szCs w:val="21"/>
              </w:rPr>
            </w:pPr>
            <w:r>
              <w:rPr>
                <w:color w:val="auto"/>
                <w:kern w:val="0"/>
                <w:szCs w:val="21"/>
              </w:rPr>
              <w:t>构成谈判文件的其他材料</w:t>
            </w:r>
          </w:p>
        </w:tc>
        <w:tc>
          <w:tcPr>
            <w:tcW w:w="6662" w:type="dxa"/>
            <w:tcBorders>
              <w:top w:val="single" w:color="auto" w:sz="4" w:space="0"/>
              <w:left w:val="single" w:color="auto" w:sz="4" w:space="0"/>
              <w:bottom w:val="single" w:color="auto" w:sz="4" w:space="0"/>
              <w:right w:val="single" w:color="auto" w:sz="4" w:space="0"/>
            </w:tcBorders>
            <w:vAlign w:val="center"/>
          </w:tcPr>
          <w:p w14:paraId="6DE6FD82">
            <w:pPr>
              <w:widowControl/>
              <w:spacing w:line="360" w:lineRule="auto"/>
              <w:rPr>
                <w:color w:val="auto"/>
                <w:szCs w:val="21"/>
              </w:rPr>
            </w:pPr>
            <w:r>
              <w:rPr>
                <w:color w:val="auto"/>
                <w:kern w:val="0"/>
                <w:szCs w:val="21"/>
              </w:rPr>
              <w:t>谈判文件补充、答疑（如有）</w:t>
            </w:r>
          </w:p>
        </w:tc>
      </w:tr>
      <w:tr w14:paraId="608E3A9F">
        <w:tblPrEx>
          <w:tblCellMar>
            <w:top w:w="0" w:type="dxa"/>
            <w:left w:w="108" w:type="dxa"/>
            <w:bottom w:w="0" w:type="dxa"/>
            <w:right w:w="108" w:type="dxa"/>
          </w:tblCellMar>
        </w:tblPrEx>
        <w:trPr>
          <w:trHeight w:val="572" w:hRule="atLeast"/>
        </w:trPr>
        <w:tc>
          <w:tcPr>
            <w:tcW w:w="1155" w:type="dxa"/>
            <w:tcBorders>
              <w:top w:val="single" w:color="auto" w:sz="4" w:space="0"/>
              <w:left w:val="single" w:color="auto" w:sz="4" w:space="0"/>
              <w:bottom w:val="single" w:color="auto" w:sz="4" w:space="0"/>
              <w:right w:val="single" w:color="auto" w:sz="4" w:space="0"/>
            </w:tcBorders>
            <w:vAlign w:val="center"/>
          </w:tcPr>
          <w:p w14:paraId="5B6EE305">
            <w:pPr>
              <w:widowControl/>
              <w:spacing w:line="360" w:lineRule="auto"/>
              <w:jc w:val="center"/>
              <w:rPr>
                <w:color w:val="auto"/>
                <w:kern w:val="0"/>
                <w:szCs w:val="21"/>
              </w:rPr>
            </w:pPr>
            <w:r>
              <w:rPr>
                <w:color w:val="auto"/>
                <w:kern w:val="0"/>
                <w:szCs w:val="21"/>
              </w:rPr>
              <w:t>2.2.2</w:t>
            </w:r>
          </w:p>
        </w:tc>
        <w:tc>
          <w:tcPr>
            <w:tcW w:w="2248" w:type="dxa"/>
            <w:tcBorders>
              <w:top w:val="single" w:color="auto" w:sz="4" w:space="0"/>
              <w:left w:val="single" w:color="auto" w:sz="4" w:space="0"/>
              <w:bottom w:val="single" w:color="auto" w:sz="4" w:space="0"/>
              <w:right w:val="single" w:color="auto" w:sz="4" w:space="0"/>
            </w:tcBorders>
            <w:vAlign w:val="center"/>
          </w:tcPr>
          <w:p w14:paraId="48080F15">
            <w:pPr>
              <w:widowControl/>
              <w:spacing w:line="360" w:lineRule="auto"/>
              <w:jc w:val="center"/>
              <w:rPr>
                <w:color w:val="auto"/>
                <w:kern w:val="0"/>
                <w:szCs w:val="21"/>
              </w:rPr>
            </w:pPr>
            <w:r>
              <w:rPr>
                <w:color w:val="auto"/>
                <w:szCs w:val="21"/>
              </w:rPr>
              <w:t>谈判文件澄清时间</w:t>
            </w:r>
          </w:p>
        </w:tc>
        <w:tc>
          <w:tcPr>
            <w:tcW w:w="6662" w:type="dxa"/>
            <w:tcBorders>
              <w:top w:val="single" w:color="auto" w:sz="4" w:space="0"/>
              <w:left w:val="single" w:color="auto" w:sz="4" w:space="0"/>
              <w:bottom w:val="single" w:color="auto" w:sz="4" w:space="0"/>
              <w:right w:val="single" w:color="auto" w:sz="4" w:space="0"/>
            </w:tcBorders>
            <w:vAlign w:val="center"/>
          </w:tcPr>
          <w:p w14:paraId="7837716A">
            <w:pPr>
              <w:widowControl/>
              <w:spacing w:line="360" w:lineRule="auto"/>
              <w:rPr>
                <w:color w:val="auto"/>
                <w:szCs w:val="21"/>
              </w:rPr>
            </w:pPr>
            <w:r>
              <w:rPr>
                <w:color w:val="auto"/>
                <w:kern w:val="0"/>
                <w:szCs w:val="21"/>
              </w:rPr>
              <w:t>时间</w:t>
            </w:r>
            <w:r>
              <w:rPr>
                <w:rFonts w:hint="eastAsia"/>
                <w:color w:val="auto"/>
                <w:kern w:val="0"/>
                <w:szCs w:val="21"/>
              </w:rPr>
              <w:t>：</w:t>
            </w:r>
            <w:r>
              <w:rPr>
                <w:rFonts w:hint="eastAsia"/>
                <w:color w:val="auto"/>
                <w:szCs w:val="21"/>
              </w:rPr>
              <w:t>提交首次响应文件截止之日3个工作日前</w:t>
            </w:r>
          </w:p>
          <w:p w14:paraId="0206F915">
            <w:pPr>
              <w:widowControl/>
              <w:spacing w:line="360" w:lineRule="auto"/>
              <w:rPr>
                <w:color w:val="auto"/>
                <w:szCs w:val="21"/>
              </w:rPr>
            </w:pPr>
            <w:r>
              <w:rPr>
                <w:rFonts w:hint="eastAsia"/>
                <w:color w:val="auto"/>
                <w:kern w:val="0"/>
                <w:szCs w:val="21"/>
              </w:rPr>
              <w:t>形式：书面形式</w:t>
            </w:r>
          </w:p>
        </w:tc>
      </w:tr>
      <w:tr w14:paraId="20786995">
        <w:tblPrEx>
          <w:tblCellMar>
            <w:top w:w="0" w:type="dxa"/>
            <w:left w:w="108" w:type="dxa"/>
            <w:bottom w:w="0" w:type="dxa"/>
            <w:right w:w="108" w:type="dxa"/>
          </w:tblCellMar>
        </w:tblPrEx>
        <w:trPr>
          <w:trHeight w:val="572" w:hRule="atLeast"/>
        </w:trPr>
        <w:tc>
          <w:tcPr>
            <w:tcW w:w="1155" w:type="dxa"/>
            <w:tcBorders>
              <w:top w:val="single" w:color="auto" w:sz="4" w:space="0"/>
              <w:left w:val="single" w:color="auto" w:sz="4" w:space="0"/>
              <w:bottom w:val="single" w:color="auto" w:sz="4" w:space="0"/>
              <w:right w:val="single" w:color="auto" w:sz="4" w:space="0"/>
            </w:tcBorders>
            <w:vAlign w:val="center"/>
          </w:tcPr>
          <w:p w14:paraId="4B6BD51B">
            <w:pPr>
              <w:widowControl/>
              <w:spacing w:line="360" w:lineRule="auto"/>
              <w:jc w:val="center"/>
              <w:rPr>
                <w:color w:val="auto"/>
                <w:kern w:val="0"/>
                <w:szCs w:val="21"/>
              </w:rPr>
            </w:pPr>
            <w:r>
              <w:rPr>
                <w:color w:val="auto"/>
                <w:kern w:val="0"/>
                <w:szCs w:val="21"/>
              </w:rPr>
              <w:t>2.2.3</w:t>
            </w:r>
          </w:p>
        </w:tc>
        <w:tc>
          <w:tcPr>
            <w:tcW w:w="2248" w:type="dxa"/>
            <w:tcBorders>
              <w:top w:val="single" w:color="auto" w:sz="4" w:space="0"/>
              <w:left w:val="single" w:color="auto" w:sz="4" w:space="0"/>
              <w:bottom w:val="single" w:color="auto" w:sz="4" w:space="0"/>
              <w:right w:val="single" w:color="auto" w:sz="4" w:space="0"/>
            </w:tcBorders>
            <w:vAlign w:val="center"/>
          </w:tcPr>
          <w:p w14:paraId="02DB5A82">
            <w:pPr>
              <w:widowControl/>
              <w:spacing w:line="360" w:lineRule="auto"/>
              <w:jc w:val="center"/>
              <w:rPr>
                <w:color w:val="auto"/>
                <w:kern w:val="0"/>
                <w:szCs w:val="21"/>
              </w:rPr>
            </w:pPr>
            <w:r>
              <w:rPr>
                <w:color w:val="auto"/>
                <w:kern w:val="0"/>
                <w:szCs w:val="21"/>
              </w:rPr>
              <w:t>供应商确认收到谈判文件澄清</w:t>
            </w:r>
          </w:p>
        </w:tc>
        <w:tc>
          <w:tcPr>
            <w:tcW w:w="6662" w:type="dxa"/>
            <w:tcBorders>
              <w:top w:val="single" w:color="auto" w:sz="4" w:space="0"/>
              <w:left w:val="single" w:color="auto" w:sz="4" w:space="0"/>
              <w:bottom w:val="single" w:color="auto" w:sz="4" w:space="0"/>
              <w:right w:val="single" w:color="auto" w:sz="4" w:space="0"/>
            </w:tcBorders>
            <w:vAlign w:val="center"/>
          </w:tcPr>
          <w:p w14:paraId="342BDDB5">
            <w:pPr>
              <w:widowControl/>
              <w:spacing w:line="360" w:lineRule="auto"/>
              <w:rPr>
                <w:color w:val="auto"/>
                <w:kern w:val="0"/>
                <w:szCs w:val="21"/>
              </w:rPr>
            </w:pPr>
            <w:r>
              <w:rPr>
                <w:rFonts w:hint="eastAsia"/>
                <w:color w:val="auto"/>
                <w:kern w:val="0"/>
                <w:szCs w:val="21"/>
              </w:rPr>
              <w:t>时间：</w:t>
            </w:r>
            <w:r>
              <w:rPr>
                <w:color w:val="auto"/>
                <w:kern w:val="0"/>
                <w:szCs w:val="21"/>
              </w:rPr>
              <w:t>在收到相应澄清文件后24小时内</w:t>
            </w:r>
          </w:p>
          <w:p w14:paraId="11E5303E">
            <w:pPr>
              <w:widowControl/>
              <w:spacing w:line="360" w:lineRule="auto"/>
              <w:rPr>
                <w:color w:val="auto"/>
                <w:kern w:val="0"/>
                <w:szCs w:val="21"/>
              </w:rPr>
            </w:pPr>
            <w:r>
              <w:rPr>
                <w:rFonts w:hint="eastAsia"/>
                <w:color w:val="auto"/>
                <w:kern w:val="0"/>
                <w:szCs w:val="21"/>
              </w:rPr>
              <w:t>形式：书面形式</w:t>
            </w:r>
          </w:p>
        </w:tc>
      </w:tr>
      <w:tr w14:paraId="72105F86">
        <w:tblPrEx>
          <w:tblCellMar>
            <w:top w:w="0" w:type="dxa"/>
            <w:left w:w="108" w:type="dxa"/>
            <w:bottom w:w="0" w:type="dxa"/>
            <w:right w:w="108" w:type="dxa"/>
          </w:tblCellMar>
        </w:tblPrEx>
        <w:trPr>
          <w:trHeight w:val="572" w:hRule="atLeast"/>
        </w:trPr>
        <w:tc>
          <w:tcPr>
            <w:tcW w:w="1155" w:type="dxa"/>
            <w:tcBorders>
              <w:top w:val="single" w:color="auto" w:sz="4" w:space="0"/>
              <w:left w:val="single" w:color="auto" w:sz="4" w:space="0"/>
              <w:bottom w:val="single" w:color="auto" w:sz="4" w:space="0"/>
              <w:right w:val="single" w:color="auto" w:sz="4" w:space="0"/>
            </w:tcBorders>
            <w:vAlign w:val="center"/>
          </w:tcPr>
          <w:p w14:paraId="46772F4D">
            <w:pPr>
              <w:widowControl/>
              <w:spacing w:line="360" w:lineRule="auto"/>
              <w:jc w:val="center"/>
              <w:rPr>
                <w:color w:val="auto"/>
                <w:kern w:val="0"/>
                <w:szCs w:val="21"/>
              </w:rPr>
            </w:pPr>
            <w:r>
              <w:rPr>
                <w:color w:val="auto"/>
                <w:kern w:val="0"/>
                <w:szCs w:val="21"/>
              </w:rPr>
              <w:t>2.3.</w:t>
            </w:r>
            <w:r>
              <w:rPr>
                <w:rFonts w:hint="eastAsia"/>
                <w:color w:val="auto"/>
                <w:kern w:val="0"/>
                <w:szCs w:val="21"/>
              </w:rPr>
              <w:t>1</w:t>
            </w:r>
          </w:p>
        </w:tc>
        <w:tc>
          <w:tcPr>
            <w:tcW w:w="2248" w:type="dxa"/>
            <w:tcBorders>
              <w:top w:val="single" w:color="auto" w:sz="4" w:space="0"/>
              <w:left w:val="single" w:color="auto" w:sz="4" w:space="0"/>
              <w:bottom w:val="single" w:color="auto" w:sz="4" w:space="0"/>
              <w:right w:val="single" w:color="auto" w:sz="4" w:space="0"/>
            </w:tcBorders>
            <w:vAlign w:val="center"/>
          </w:tcPr>
          <w:p w14:paraId="655E8353">
            <w:pPr>
              <w:widowControl/>
              <w:spacing w:line="360" w:lineRule="auto"/>
              <w:jc w:val="center"/>
              <w:rPr>
                <w:color w:val="auto"/>
                <w:kern w:val="0"/>
                <w:szCs w:val="21"/>
              </w:rPr>
            </w:pPr>
            <w:r>
              <w:rPr>
                <w:rFonts w:hint="eastAsia"/>
                <w:color w:val="auto"/>
                <w:kern w:val="0"/>
                <w:szCs w:val="21"/>
              </w:rPr>
              <w:t>谈判文件修改时间</w:t>
            </w:r>
          </w:p>
        </w:tc>
        <w:tc>
          <w:tcPr>
            <w:tcW w:w="6662" w:type="dxa"/>
            <w:tcBorders>
              <w:top w:val="single" w:color="auto" w:sz="4" w:space="0"/>
              <w:left w:val="single" w:color="auto" w:sz="4" w:space="0"/>
              <w:bottom w:val="single" w:color="auto" w:sz="4" w:space="0"/>
              <w:right w:val="single" w:color="auto" w:sz="4" w:space="0"/>
            </w:tcBorders>
            <w:vAlign w:val="center"/>
          </w:tcPr>
          <w:p w14:paraId="75E0E5A2">
            <w:pPr>
              <w:widowControl/>
              <w:spacing w:line="360" w:lineRule="auto"/>
              <w:rPr>
                <w:color w:val="auto"/>
                <w:kern w:val="0"/>
                <w:szCs w:val="21"/>
              </w:rPr>
            </w:pPr>
            <w:r>
              <w:rPr>
                <w:color w:val="auto"/>
                <w:kern w:val="0"/>
                <w:szCs w:val="21"/>
              </w:rPr>
              <w:t>时间</w:t>
            </w:r>
            <w:r>
              <w:rPr>
                <w:rFonts w:hint="eastAsia"/>
                <w:color w:val="auto"/>
                <w:kern w:val="0"/>
                <w:szCs w:val="21"/>
              </w:rPr>
              <w:t>：</w:t>
            </w:r>
            <w:r>
              <w:rPr>
                <w:color w:val="auto"/>
              </w:rPr>
              <w:t>提交首次响应文件截止之日3个工作日前</w:t>
            </w:r>
          </w:p>
          <w:p w14:paraId="4FD679ED">
            <w:pPr>
              <w:widowControl/>
              <w:spacing w:line="360" w:lineRule="auto"/>
              <w:rPr>
                <w:color w:val="auto"/>
                <w:kern w:val="0"/>
                <w:szCs w:val="21"/>
              </w:rPr>
            </w:pPr>
            <w:r>
              <w:rPr>
                <w:rFonts w:hint="eastAsia"/>
                <w:color w:val="auto"/>
                <w:kern w:val="0"/>
                <w:szCs w:val="21"/>
              </w:rPr>
              <w:t>形式：书面形式</w:t>
            </w:r>
          </w:p>
        </w:tc>
      </w:tr>
      <w:tr w14:paraId="3A7BEFC5">
        <w:tblPrEx>
          <w:tblCellMar>
            <w:top w:w="0" w:type="dxa"/>
            <w:left w:w="108" w:type="dxa"/>
            <w:bottom w:w="0" w:type="dxa"/>
            <w:right w:w="108" w:type="dxa"/>
          </w:tblCellMar>
        </w:tblPrEx>
        <w:trPr>
          <w:trHeight w:val="572" w:hRule="atLeast"/>
        </w:trPr>
        <w:tc>
          <w:tcPr>
            <w:tcW w:w="1155" w:type="dxa"/>
            <w:tcBorders>
              <w:top w:val="single" w:color="auto" w:sz="4" w:space="0"/>
              <w:left w:val="single" w:color="auto" w:sz="4" w:space="0"/>
              <w:bottom w:val="single" w:color="auto" w:sz="4" w:space="0"/>
              <w:right w:val="single" w:color="auto" w:sz="4" w:space="0"/>
            </w:tcBorders>
            <w:vAlign w:val="center"/>
          </w:tcPr>
          <w:p w14:paraId="792D7D21">
            <w:pPr>
              <w:widowControl/>
              <w:spacing w:line="360" w:lineRule="auto"/>
              <w:jc w:val="center"/>
              <w:rPr>
                <w:color w:val="auto"/>
                <w:kern w:val="0"/>
                <w:szCs w:val="21"/>
              </w:rPr>
            </w:pPr>
            <w:r>
              <w:rPr>
                <w:color w:val="auto"/>
                <w:kern w:val="0"/>
                <w:szCs w:val="21"/>
              </w:rPr>
              <w:t>2.3.2</w:t>
            </w:r>
          </w:p>
        </w:tc>
        <w:tc>
          <w:tcPr>
            <w:tcW w:w="2248" w:type="dxa"/>
            <w:tcBorders>
              <w:top w:val="single" w:color="auto" w:sz="4" w:space="0"/>
              <w:left w:val="single" w:color="auto" w:sz="4" w:space="0"/>
              <w:bottom w:val="single" w:color="auto" w:sz="4" w:space="0"/>
              <w:right w:val="single" w:color="auto" w:sz="4" w:space="0"/>
            </w:tcBorders>
            <w:vAlign w:val="center"/>
          </w:tcPr>
          <w:p w14:paraId="61265917">
            <w:pPr>
              <w:widowControl/>
              <w:spacing w:line="360" w:lineRule="auto"/>
              <w:jc w:val="center"/>
              <w:rPr>
                <w:color w:val="auto"/>
                <w:kern w:val="0"/>
                <w:szCs w:val="21"/>
              </w:rPr>
            </w:pPr>
            <w:r>
              <w:rPr>
                <w:color w:val="auto"/>
                <w:kern w:val="0"/>
                <w:szCs w:val="21"/>
              </w:rPr>
              <w:t>供应商确认收到谈判文件修改</w:t>
            </w:r>
          </w:p>
        </w:tc>
        <w:tc>
          <w:tcPr>
            <w:tcW w:w="6662" w:type="dxa"/>
            <w:tcBorders>
              <w:top w:val="single" w:color="auto" w:sz="4" w:space="0"/>
              <w:left w:val="single" w:color="auto" w:sz="4" w:space="0"/>
              <w:bottom w:val="single" w:color="auto" w:sz="4" w:space="0"/>
              <w:right w:val="single" w:color="auto" w:sz="4" w:space="0"/>
            </w:tcBorders>
            <w:vAlign w:val="center"/>
          </w:tcPr>
          <w:p w14:paraId="1734BC2C">
            <w:pPr>
              <w:widowControl/>
              <w:spacing w:line="360" w:lineRule="auto"/>
              <w:rPr>
                <w:color w:val="auto"/>
                <w:kern w:val="0"/>
                <w:szCs w:val="21"/>
              </w:rPr>
            </w:pPr>
            <w:r>
              <w:rPr>
                <w:rFonts w:hint="eastAsia"/>
                <w:color w:val="auto"/>
                <w:kern w:val="0"/>
                <w:szCs w:val="21"/>
              </w:rPr>
              <w:t>时间：</w:t>
            </w:r>
            <w:r>
              <w:rPr>
                <w:color w:val="auto"/>
                <w:kern w:val="0"/>
                <w:szCs w:val="21"/>
              </w:rPr>
              <w:t>在收到相应</w:t>
            </w:r>
            <w:r>
              <w:rPr>
                <w:rFonts w:hint="eastAsia"/>
                <w:color w:val="auto"/>
                <w:kern w:val="0"/>
                <w:szCs w:val="21"/>
              </w:rPr>
              <w:t>修改</w:t>
            </w:r>
            <w:r>
              <w:rPr>
                <w:color w:val="auto"/>
                <w:kern w:val="0"/>
                <w:szCs w:val="21"/>
              </w:rPr>
              <w:t>文件后24小时内</w:t>
            </w:r>
          </w:p>
          <w:p w14:paraId="5D239E47">
            <w:pPr>
              <w:widowControl/>
              <w:spacing w:line="360" w:lineRule="auto"/>
              <w:rPr>
                <w:color w:val="auto"/>
                <w:kern w:val="0"/>
                <w:szCs w:val="21"/>
              </w:rPr>
            </w:pPr>
            <w:r>
              <w:rPr>
                <w:rFonts w:hint="eastAsia"/>
                <w:color w:val="auto"/>
                <w:kern w:val="0"/>
                <w:szCs w:val="21"/>
              </w:rPr>
              <w:t>形式：书面形式</w:t>
            </w:r>
          </w:p>
        </w:tc>
      </w:tr>
      <w:tr w14:paraId="5F179DBC">
        <w:tblPrEx>
          <w:tblCellMar>
            <w:top w:w="0" w:type="dxa"/>
            <w:left w:w="108" w:type="dxa"/>
            <w:bottom w:w="0" w:type="dxa"/>
            <w:right w:w="108" w:type="dxa"/>
          </w:tblCellMar>
        </w:tblPrEx>
        <w:trPr>
          <w:trHeight w:val="572" w:hRule="atLeast"/>
        </w:trPr>
        <w:tc>
          <w:tcPr>
            <w:tcW w:w="1155" w:type="dxa"/>
            <w:tcBorders>
              <w:top w:val="single" w:color="auto" w:sz="4" w:space="0"/>
              <w:left w:val="single" w:color="auto" w:sz="4" w:space="0"/>
              <w:bottom w:val="single" w:color="auto" w:sz="4" w:space="0"/>
              <w:right w:val="single" w:color="auto" w:sz="4" w:space="0"/>
            </w:tcBorders>
            <w:vAlign w:val="center"/>
          </w:tcPr>
          <w:p w14:paraId="3FAA3A93">
            <w:pPr>
              <w:widowControl/>
              <w:spacing w:line="360" w:lineRule="auto"/>
              <w:jc w:val="center"/>
              <w:rPr>
                <w:color w:val="auto"/>
                <w:kern w:val="0"/>
                <w:szCs w:val="21"/>
              </w:rPr>
            </w:pPr>
            <w:r>
              <w:rPr>
                <w:color w:val="auto"/>
                <w:kern w:val="0"/>
                <w:szCs w:val="21"/>
              </w:rPr>
              <w:t>3.1.1</w:t>
            </w:r>
          </w:p>
        </w:tc>
        <w:tc>
          <w:tcPr>
            <w:tcW w:w="2248" w:type="dxa"/>
            <w:tcBorders>
              <w:top w:val="single" w:color="auto" w:sz="4" w:space="0"/>
              <w:left w:val="single" w:color="auto" w:sz="4" w:space="0"/>
              <w:bottom w:val="single" w:color="auto" w:sz="4" w:space="0"/>
              <w:right w:val="single" w:color="auto" w:sz="4" w:space="0"/>
            </w:tcBorders>
            <w:vAlign w:val="center"/>
          </w:tcPr>
          <w:p w14:paraId="0095E35C">
            <w:pPr>
              <w:widowControl/>
              <w:spacing w:line="360" w:lineRule="auto"/>
              <w:jc w:val="center"/>
              <w:rPr>
                <w:color w:val="auto"/>
                <w:kern w:val="0"/>
                <w:szCs w:val="21"/>
              </w:rPr>
            </w:pPr>
            <w:r>
              <w:rPr>
                <w:color w:val="auto"/>
                <w:kern w:val="0"/>
                <w:szCs w:val="21"/>
              </w:rPr>
              <w:t>构成响应文件的其他材料</w:t>
            </w:r>
          </w:p>
        </w:tc>
        <w:tc>
          <w:tcPr>
            <w:tcW w:w="6662" w:type="dxa"/>
            <w:tcBorders>
              <w:top w:val="single" w:color="auto" w:sz="4" w:space="0"/>
              <w:left w:val="single" w:color="auto" w:sz="4" w:space="0"/>
              <w:bottom w:val="single" w:color="auto" w:sz="4" w:space="0"/>
              <w:right w:val="single" w:color="auto" w:sz="4" w:space="0"/>
            </w:tcBorders>
            <w:vAlign w:val="center"/>
          </w:tcPr>
          <w:p w14:paraId="113FFE9E">
            <w:pPr>
              <w:widowControl/>
              <w:spacing w:line="360" w:lineRule="auto"/>
              <w:rPr>
                <w:color w:val="auto"/>
                <w:kern w:val="0"/>
                <w:szCs w:val="21"/>
              </w:rPr>
            </w:pPr>
            <w:r>
              <w:rPr>
                <w:rFonts w:hint="eastAsia"/>
                <w:color w:val="auto"/>
                <w:kern w:val="0"/>
                <w:szCs w:val="21"/>
              </w:rPr>
              <w:t>图纸、澄清及修改（如有）等内容</w:t>
            </w:r>
          </w:p>
        </w:tc>
      </w:tr>
      <w:tr w14:paraId="481D0AD5">
        <w:tblPrEx>
          <w:tblCellMar>
            <w:top w:w="0" w:type="dxa"/>
            <w:left w:w="108" w:type="dxa"/>
            <w:bottom w:w="0" w:type="dxa"/>
            <w:right w:w="108" w:type="dxa"/>
          </w:tblCellMar>
        </w:tblPrEx>
        <w:trPr>
          <w:trHeight w:val="572" w:hRule="atLeast"/>
        </w:trPr>
        <w:tc>
          <w:tcPr>
            <w:tcW w:w="1155" w:type="dxa"/>
            <w:tcBorders>
              <w:top w:val="single" w:color="auto" w:sz="4" w:space="0"/>
              <w:left w:val="single" w:color="auto" w:sz="4" w:space="0"/>
              <w:bottom w:val="single" w:color="auto" w:sz="4" w:space="0"/>
              <w:right w:val="single" w:color="auto" w:sz="4" w:space="0"/>
            </w:tcBorders>
            <w:vAlign w:val="center"/>
          </w:tcPr>
          <w:p w14:paraId="280B0C54">
            <w:pPr>
              <w:widowControl/>
              <w:spacing w:line="360" w:lineRule="auto"/>
              <w:jc w:val="center"/>
              <w:rPr>
                <w:color w:val="auto"/>
                <w:kern w:val="0"/>
                <w:szCs w:val="21"/>
              </w:rPr>
            </w:pPr>
            <w:r>
              <w:rPr>
                <w:rFonts w:hint="eastAsia"/>
                <w:color w:val="auto"/>
                <w:kern w:val="0"/>
                <w:szCs w:val="21"/>
              </w:rPr>
              <w:t>3</w:t>
            </w:r>
            <w:r>
              <w:rPr>
                <w:color w:val="auto"/>
                <w:kern w:val="0"/>
                <w:szCs w:val="21"/>
              </w:rPr>
              <w:t>.2</w:t>
            </w:r>
          </w:p>
        </w:tc>
        <w:tc>
          <w:tcPr>
            <w:tcW w:w="2248" w:type="dxa"/>
            <w:tcBorders>
              <w:top w:val="single" w:color="auto" w:sz="4" w:space="0"/>
              <w:left w:val="single" w:color="auto" w:sz="4" w:space="0"/>
              <w:bottom w:val="single" w:color="auto" w:sz="4" w:space="0"/>
              <w:right w:val="single" w:color="auto" w:sz="4" w:space="0"/>
            </w:tcBorders>
            <w:vAlign w:val="center"/>
          </w:tcPr>
          <w:p w14:paraId="4AE4B833">
            <w:pPr>
              <w:widowControl/>
              <w:spacing w:line="360" w:lineRule="auto"/>
              <w:jc w:val="center"/>
              <w:rPr>
                <w:b/>
                <w:bCs/>
                <w:color w:val="auto"/>
                <w:kern w:val="0"/>
                <w:szCs w:val="21"/>
              </w:rPr>
            </w:pPr>
            <w:r>
              <w:rPr>
                <w:rFonts w:hint="eastAsia"/>
                <w:b/>
                <w:bCs/>
                <w:color w:val="auto"/>
                <w:kern w:val="0"/>
                <w:szCs w:val="21"/>
              </w:rPr>
              <w:t>报价要求</w:t>
            </w:r>
          </w:p>
        </w:tc>
        <w:tc>
          <w:tcPr>
            <w:tcW w:w="6662" w:type="dxa"/>
            <w:tcBorders>
              <w:top w:val="single" w:color="auto" w:sz="4" w:space="0"/>
              <w:left w:val="single" w:color="auto" w:sz="4" w:space="0"/>
              <w:bottom w:val="single" w:color="auto" w:sz="4" w:space="0"/>
              <w:right w:val="single" w:color="auto" w:sz="4" w:space="0"/>
            </w:tcBorders>
            <w:vAlign w:val="center"/>
          </w:tcPr>
          <w:p w14:paraId="437B5385">
            <w:pPr>
              <w:widowControl/>
              <w:spacing w:line="360" w:lineRule="auto"/>
              <w:rPr>
                <w:b/>
                <w:bCs/>
                <w:color w:val="auto"/>
              </w:rPr>
            </w:pPr>
            <w:r>
              <w:rPr>
                <w:b/>
                <w:bCs/>
                <w:color w:val="auto"/>
              </w:rPr>
              <w:t>1、</w:t>
            </w:r>
            <w:r>
              <w:rPr>
                <w:rFonts w:hint="eastAsia"/>
                <w:b/>
                <w:bCs/>
                <w:color w:val="auto"/>
              </w:rPr>
              <w:t>本项目谈判</w:t>
            </w:r>
            <w:r>
              <w:rPr>
                <w:b/>
                <w:bCs/>
                <w:color w:val="auto"/>
              </w:rPr>
              <w:t>总报价最高限价</w:t>
            </w:r>
            <w:r>
              <w:rPr>
                <w:rFonts w:hint="eastAsia"/>
                <w:b/>
                <w:bCs/>
                <w:color w:val="auto"/>
              </w:rPr>
              <w:t>为</w:t>
            </w:r>
            <w:r>
              <w:rPr>
                <w:b/>
                <w:bCs/>
                <w:color w:val="auto"/>
              </w:rPr>
              <w:t>：</w:t>
            </w:r>
            <w:r>
              <w:rPr>
                <w:rFonts w:hint="eastAsia"/>
                <w:b/>
                <w:bCs/>
                <w:color w:val="auto"/>
              </w:rPr>
              <w:t>114.422</w:t>
            </w:r>
            <w:r>
              <w:rPr>
                <w:rFonts w:hint="eastAsia"/>
                <w:b/>
                <w:bCs/>
                <w:color w:val="auto"/>
                <w:lang w:val="en-US" w:eastAsia="zh-CN"/>
              </w:rPr>
              <w:t>万元</w:t>
            </w:r>
            <w:r>
              <w:rPr>
                <w:rFonts w:hint="eastAsia"/>
                <w:b/>
                <w:bCs/>
                <w:color w:val="auto"/>
              </w:rPr>
              <w:t>（其中：标段1:69.50万元；标段2:44.922万元）。供应商报价不得超过最高限价，</w:t>
            </w:r>
            <w:r>
              <w:rPr>
                <w:b/>
                <w:bCs/>
                <w:color w:val="auto"/>
              </w:rPr>
              <w:t>否则其响应文件将被否决。</w:t>
            </w:r>
          </w:p>
          <w:p w14:paraId="6D3FEABB">
            <w:pPr>
              <w:widowControl/>
              <w:spacing w:line="360" w:lineRule="auto"/>
              <w:rPr>
                <w:b/>
                <w:bCs/>
                <w:color w:val="auto"/>
              </w:rPr>
            </w:pPr>
            <w:bookmarkStart w:id="13" w:name="_Hlk113981610"/>
            <w:r>
              <w:rPr>
                <w:b/>
                <w:bCs/>
                <w:color w:val="auto"/>
              </w:rPr>
              <w:t>2、本项目报价方式为</w:t>
            </w:r>
            <w:r>
              <w:rPr>
                <w:rFonts w:hint="eastAsia"/>
                <w:b/>
                <w:bCs/>
                <w:color w:val="auto"/>
              </w:rPr>
              <w:t>固定总</w:t>
            </w:r>
            <w:r>
              <w:rPr>
                <w:b/>
                <w:bCs/>
                <w:color w:val="auto"/>
              </w:rPr>
              <w:t>价。</w:t>
            </w:r>
            <w:r>
              <w:rPr>
                <w:rFonts w:hint="eastAsia"/>
                <w:color w:val="auto"/>
              </w:rPr>
              <w:t>谈判报价应为完成本项目采购范围、采购需求以及合同约定范围内所包含的全部工作内容的报价。包括但不限于人工、管理、利润、税金等为完成本项目所有内容的全部费用。报价应依据采购文件、项目需求、技术和服务要求等有关资料，执行国家、行业规定的现行规范及要求，并综合考虑成本、税收、保险、利润和风险等一切因素，结合市场情况，由供应商自行测算自主报价。</w:t>
            </w:r>
            <w:bookmarkEnd w:id="13"/>
          </w:p>
        </w:tc>
      </w:tr>
      <w:tr w14:paraId="7E18A1C1">
        <w:tblPrEx>
          <w:tblCellMar>
            <w:top w:w="0" w:type="dxa"/>
            <w:left w:w="108" w:type="dxa"/>
            <w:bottom w:w="0" w:type="dxa"/>
            <w:right w:w="108" w:type="dxa"/>
          </w:tblCellMar>
        </w:tblPrEx>
        <w:trPr>
          <w:trHeight w:val="474" w:hRule="atLeast"/>
        </w:trPr>
        <w:tc>
          <w:tcPr>
            <w:tcW w:w="1155" w:type="dxa"/>
            <w:tcBorders>
              <w:top w:val="single" w:color="auto" w:sz="4" w:space="0"/>
              <w:left w:val="single" w:color="auto" w:sz="4" w:space="0"/>
              <w:bottom w:val="single" w:color="auto" w:sz="4" w:space="0"/>
              <w:right w:val="single" w:color="auto" w:sz="4" w:space="0"/>
            </w:tcBorders>
            <w:vAlign w:val="center"/>
          </w:tcPr>
          <w:p w14:paraId="1D3573CF">
            <w:pPr>
              <w:widowControl/>
              <w:spacing w:line="360" w:lineRule="auto"/>
              <w:jc w:val="center"/>
              <w:rPr>
                <w:color w:val="auto"/>
                <w:kern w:val="0"/>
                <w:szCs w:val="21"/>
              </w:rPr>
            </w:pPr>
            <w:r>
              <w:rPr>
                <w:color w:val="auto"/>
                <w:kern w:val="0"/>
                <w:szCs w:val="21"/>
              </w:rPr>
              <w:t>3.3.1</w:t>
            </w:r>
          </w:p>
        </w:tc>
        <w:tc>
          <w:tcPr>
            <w:tcW w:w="2248" w:type="dxa"/>
            <w:tcBorders>
              <w:top w:val="single" w:color="auto" w:sz="4" w:space="0"/>
              <w:left w:val="single" w:color="auto" w:sz="4" w:space="0"/>
              <w:bottom w:val="single" w:color="auto" w:sz="4" w:space="0"/>
              <w:right w:val="single" w:color="auto" w:sz="4" w:space="0"/>
            </w:tcBorders>
            <w:vAlign w:val="center"/>
          </w:tcPr>
          <w:p w14:paraId="26A88B4A">
            <w:pPr>
              <w:widowControl/>
              <w:spacing w:line="360" w:lineRule="auto"/>
              <w:jc w:val="center"/>
              <w:rPr>
                <w:color w:val="auto"/>
                <w:kern w:val="0"/>
                <w:szCs w:val="21"/>
              </w:rPr>
            </w:pPr>
            <w:r>
              <w:rPr>
                <w:color w:val="auto"/>
                <w:kern w:val="0"/>
                <w:szCs w:val="21"/>
              </w:rPr>
              <w:t>响应文件有效期</w:t>
            </w:r>
          </w:p>
        </w:tc>
        <w:tc>
          <w:tcPr>
            <w:tcW w:w="6662" w:type="dxa"/>
            <w:tcBorders>
              <w:top w:val="single" w:color="auto" w:sz="4" w:space="0"/>
              <w:left w:val="single" w:color="auto" w:sz="4" w:space="0"/>
              <w:bottom w:val="single" w:color="auto" w:sz="4" w:space="0"/>
              <w:right w:val="single" w:color="auto" w:sz="4" w:space="0"/>
            </w:tcBorders>
            <w:vAlign w:val="center"/>
          </w:tcPr>
          <w:p w14:paraId="2AF46D7A">
            <w:pPr>
              <w:widowControl/>
              <w:spacing w:line="360" w:lineRule="auto"/>
              <w:jc w:val="left"/>
              <w:rPr>
                <w:color w:val="auto"/>
                <w:kern w:val="0"/>
                <w:szCs w:val="21"/>
              </w:rPr>
            </w:pPr>
            <w:r>
              <w:rPr>
                <w:color w:val="auto"/>
                <w:kern w:val="0"/>
                <w:szCs w:val="21"/>
              </w:rPr>
              <w:t>为90日历天，从</w:t>
            </w:r>
            <w:r>
              <w:rPr>
                <w:rFonts w:hint="eastAsia"/>
                <w:color w:val="auto"/>
                <w:kern w:val="0"/>
                <w:szCs w:val="21"/>
              </w:rPr>
              <w:t>响应</w:t>
            </w:r>
            <w:r>
              <w:rPr>
                <w:color w:val="auto"/>
                <w:kern w:val="0"/>
                <w:szCs w:val="21"/>
              </w:rPr>
              <w:t>文件递交截止之日算起</w:t>
            </w:r>
          </w:p>
        </w:tc>
      </w:tr>
      <w:tr w14:paraId="3004EA74">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12027169">
            <w:pPr>
              <w:widowControl/>
              <w:spacing w:line="360" w:lineRule="auto"/>
              <w:jc w:val="center"/>
              <w:rPr>
                <w:color w:val="auto"/>
                <w:kern w:val="0"/>
                <w:szCs w:val="21"/>
              </w:rPr>
            </w:pPr>
            <w:r>
              <w:rPr>
                <w:color w:val="auto"/>
                <w:kern w:val="0"/>
                <w:szCs w:val="21"/>
              </w:rPr>
              <w:t>3.4.1</w:t>
            </w:r>
          </w:p>
        </w:tc>
        <w:tc>
          <w:tcPr>
            <w:tcW w:w="2248" w:type="dxa"/>
            <w:tcBorders>
              <w:top w:val="single" w:color="auto" w:sz="4" w:space="0"/>
              <w:left w:val="single" w:color="auto" w:sz="4" w:space="0"/>
              <w:bottom w:val="single" w:color="auto" w:sz="4" w:space="0"/>
              <w:right w:val="single" w:color="auto" w:sz="4" w:space="0"/>
            </w:tcBorders>
            <w:vAlign w:val="center"/>
          </w:tcPr>
          <w:p w14:paraId="02C58C36">
            <w:pPr>
              <w:widowControl/>
              <w:spacing w:line="360" w:lineRule="auto"/>
              <w:jc w:val="center"/>
              <w:rPr>
                <w:color w:val="auto"/>
                <w:kern w:val="0"/>
                <w:szCs w:val="21"/>
              </w:rPr>
            </w:pPr>
            <w:r>
              <w:rPr>
                <w:color w:val="auto"/>
                <w:kern w:val="0"/>
                <w:szCs w:val="21"/>
              </w:rPr>
              <w:t>谈判保证金</w:t>
            </w:r>
          </w:p>
        </w:tc>
        <w:tc>
          <w:tcPr>
            <w:tcW w:w="6662" w:type="dxa"/>
            <w:tcBorders>
              <w:top w:val="single" w:color="auto" w:sz="4" w:space="0"/>
              <w:left w:val="single" w:color="auto" w:sz="4" w:space="0"/>
              <w:bottom w:val="single" w:color="auto" w:sz="4" w:space="0"/>
              <w:right w:val="single" w:color="auto" w:sz="4" w:space="0"/>
            </w:tcBorders>
            <w:vAlign w:val="center"/>
          </w:tcPr>
          <w:p w14:paraId="2D87062E">
            <w:pPr>
              <w:spacing w:line="360" w:lineRule="auto"/>
              <w:rPr>
                <w:rFonts w:hint="default" w:eastAsiaTheme="minorEastAsia"/>
                <w:b/>
                <w:color w:val="auto"/>
                <w:szCs w:val="21"/>
                <w:lang w:val="en-US" w:eastAsia="zh-CN"/>
              </w:rPr>
            </w:pPr>
            <w:r>
              <w:rPr>
                <w:rFonts w:hint="eastAsia" w:eastAsiaTheme="minorEastAsia"/>
                <w:b/>
                <w:color w:val="auto"/>
                <w:szCs w:val="21"/>
                <w:lang w:val="en-US" w:eastAsia="zh-CN"/>
              </w:rPr>
              <w:t>无</w:t>
            </w:r>
          </w:p>
        </w:tc>
      </w:tr>
      <w:tr w14:paraId="19492E2A">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47A33284">
            <w:pPr>
              <w:widowControl/>
              <w:spacing w:line="360" w:lineRule="auto"/>
              <w:jc w:val="center"/>
              <w:rPr>
                <w:color w:val="auto"/>
                <w:kern w:val="0"/>
                <w:szCs w:val="21"/>
              </w:rPr>
            </w:pPr>
            <w:r>
              <w:rPr>
                <w:rFonts w:hint="eastAsia"/>
                <w:color w:val="auto"/>
                <w:kern w:val="0"/>
                <w:szCs w:val="21"/>
              </w:rPr>
              <w:t>3.5</w:t>
            </w:r>
          </w:p>
        </w:tc>
        <w:tc>
          <w:tcPr>
            <w:tcW w:w="2248" w:type="dxa"/>
            <w:tcBorders>
              <w:top w:val="single" w:color="auto" w:sz="4" w:space="0"/>
              <w:left w:val="single" w:color="auto" w:sz="4" w:space="0"/>
              <w:bottom w:val="single" w:color="auto" w:sz="4" w:space="0"/>
              <w:right w:val="single" w:color="auto" w:sz="4" w:space="0"/>
            </w:tcBorders>
            <w:vAlign w:val="center"/>
          </w:tcPr>
          <w:p w14:paraId="5AD5CBA4">
            <w:pPr>
              <w:widowControl/>
              <w:spacing w:line="360" w:lineRule="auto"/>
              <w:jc w:val="center"/>
              <w:rPr>
                <w:color w:val="auto"/>
                <w:kern w:val="0"/>
                <w:szCs w:val="21"/>
              </w:rPr>
            </w:pPr>
            <w:r>
              <w:rPr>
                <w:color w:val="auto"/>
                <w:kern w:val="0"/>
                <w:szCs w:val="21"/>
              </w:rPr>
              <w:t>资格审查资料的特殊要求</w:t>
            </w:r>
          </w:p>
        </w:tc>
        <w:tc>
          <w:tcPr>
            <w:tcW w:w="6662" w:type="dxa"/>
            <w:tcBorders>
              <w:top w:val="single" w:color="auto" w:sz="4" w:space="0"/>
              <w:left w:val="single" w:color="auto" w:sz="4" w:space="0"/>
              <w:bottom w:val="single" w:color="auto" w:sz="4" w:space="0"/>
              <w:right w:val="single" w:color="auto" w:sz="4" w:space="0"/>
            </w:tcBorders>
            <w:vAlign w:val="center"/>
          </w:tcPr>
          <w:p w14:paraId="56F23CAD">
            <w:pPr>
              <w:pStyle w:val="114"/>
              <w:topLinePunct/>
              <w:spacing w:line="360" w:lineRule="auto"/>
              <w:rPr>
                <w:rFonts w:ascii="Times New Roman"/>
                <w:color w:val="auto"/>
                <w:sz w:val="21"/>
                <w:szCs w:val="21"/>
              </w:rPr>
            </w:pPr>
            <w:r>
              <w:rPr>
                <w:rFonts w:hint="eastAsia" w:hAnsi="宋体"/>
                <w:color w:val="auto"/>
                <w:szCs w:val="21"/>
              </w:rPr>
              <w:t>■</w:t>
            </w:r>
            <w:r>
              <w:rPr>
                <w:rFonts w:hint="eastAsia" w:ascii="Times New Roman"/>
                <w:color w:val="auto"/>
                <w:sz w:val="21"/>
                <w:szCs w:val="21"/>
              </w:rPr>
              <w:t>无</w:t>
            </w:r>
          </w:p>
          <w:p w14:paraId="260E9A7B">
            <w:pPr>
              <w:spacing w:line="360" w:lineRule="auto"/>
              <w:rPr>
                <w:rFonts w:hint="eastAsia" w:hAnsi="宋体"/>
                <w:color w:val="auto"/>
                <w:szCs w:val="21"/>
              </w:rPr>
            </w:pPr>
            <w:r>
              <w:rPr>
                <w:rFonts w:hint="eastAsia" w:hAnsi="宋体"/>
                <w:color w:val="auto"/>
                <w:szCs w:val="21"/>
              </w:rPr>
              <w:t>□</w:t>
            </w:r>
            <w:r>
              <w:rPr>
                <w:rFonts w:hint="eastAsia"/>
                <w:color w:val="auto"/>
                <w:szCs w:val="21"/>
              </w:rPr>
              <w:t>有</w:t>
            </w:r>
            <w:r>
              <w:rPr>
                <w:color w:val="auto"/>
                <w:szCs w:val="21"/>
              </w:rPr>
              <w:t>，</w:t>
            </w:r>
            <w:r>
              <w:rPr>
                <w:rFonts w:hint="eastAsia"/>
                <w:color w:val="auto"/>
                <w:szCs w:val="21"/>
              </w:rPr>
              <w:t>具体要求：</w:t>
            </w:r>
          </w:p>
        </w:tc>
      </w:tr>
      <w:tr w14:paraId="19BE304A">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277CADB1">
            <w:pPr>
              <w:widowControl/>
              <w:spacing w:line="360" w:lineRule="auto"/>
              <w:jc w:val="center"/>
              <w:rPr>
                <w:color w:val="auto"/>
                <w:kern w:val="0"/>
                <w:szCs w:val="21"/>
              </w:rPr>
            </w:pPr>
            <w:r>
              <w:rPr>
                <w:color w:val="auto"/>
                <w:kern w:val="0"/>
                <w:szCs w:val="21"/>
              </w:rPr>
              <w:t>3.5.2</w:t>
            </w:r>
          </w:p>
        </w:tc>
        <w:tc>
          <w:tcPr>
            <w:tcW w:w="2248" w:type="dxa"/>
            <w:tcBorders>
              <w:top w:val="single" w:color="auto" w:sz="4" w:space="0"/>
              <w:left w:val="single" w:color="auto" w:sz="4" w:space="0"/>
              <w:bottom w:val="single" w:color="auto" w:sz="4" w:space="0"/>
              <w:right w:val="single" w:color="auto" w:sz="4" w:space="0"/>
            </w:tcBorders>
            <w:vAlign w:val="center"/>
          </w:tcPr>
          <w:p w14:paraId="75202E1F">
            <w:pPr>
              <w:widowControl/>
              <w:spacing w:line="360" w:lineRule="auto"/>
              <w:jc w:val="center"/>
              <w:rPr>
                <w:color w:val="auto"/>
                <w:kern w:val="0"/>
                <w:szCs w:val="21"/>
              </w:rPr>
            </w:pPr>
            <w:r>
              <w:rPr>
                <w:color w:val="auto"/>
                <w:kern w:val="0"/>
                <w:szCs w:val="21"/>
              </w:rPr>
              <w:t>近年财务状况的年份要求</w:t>
            </w:r>
          </w:p>
        </w:tc>
        <w:tc>
          <w:tcPr>
            <w:tcW w:w="6662" w:type="dxa"/>
            <w:tcBorders>
              <w:top w:val="single" w:color="auto" w:sz="4" w:space="0"/>
              <w:left w:val="single" w:color="auto" w:sz="4" w:space="0"/>
              <w:bottom w:val="single" w:color="auto" w:sz="4" w:space="0"/>
              <w:right w:val="single" w:color="auto" w:sz="4" w:space="0"/>
            </w:tcBorders>
            <w:vAlign w:val="center"/>
          </w:tcPr>
          <w:p w14:paraId="6E965EC2">
            <w:pPr>
              <w:widowControl/>
              <w:spacing w:line="360" w:lineRule="auto"/>
              <w:rPr>
                <w:color w:val="auto"/>
                <w:kern w:val="0"/>
                <w:szCs w:val="21"/>
              </w:rPr>
            </w:pPr>
            <w:r>
              <w:rPr>
                <w:rFonts w:hint="eastAsia"/>
                <w:color w:val="auto"/>
                <w:kern w:val="0"/>
                <w:szCs w:val="21"/>
              </w:rPr>
              <w:t>20</w:t>
            </w:r>
            <w:r>
              <w:rPr>
                <w:color w:val="auto"/>
                <w:kern w:val="0"/>
                <w:szCs w:val="21"/>
              </w:rPr>
              <w:t>2</w:t>
            </w:r>
            <w:r>
              <w:rPr>
                <w:rFonts w:hint="eastAsia"/>
                <w:color w:val="auto"/>
                <w:kern w:val="0"/>
                <w:szCs w:val="21"/>
                <w:lang w:val="en-US" w:eastAsia="zh-CN"/>
              </w:rPr>
              <w:t>4</w:t>
            </w:r>
            <w:r>
              <w:rPr>
                <w:rFonts w:hint="eastAsia"/>
                <w:color w:val="auto"/>
                <w:kern w:val="0"/>
                <w:szCs w:val="21"/>
              </w:rPr>
              <w:t>年或20</w:t>
            </w:r>
            <w:r>
              <w:rPr>
                <w:color w:val="auto"/>
                <w:kern w:val="0"/>
                <w:szCs w:val="21"/>
              </w:rPr>
              <w:t>2</w:t>
            </w:r>
            <w:r>
              <w:rPr>
                <w:rFonts w:hint="eastAsia"/>
                <w:color w:val="auto"/>
                <w:kern w:val="0"/>
                <w:szCs w:val="21"/>
                <w:lang w:val="en-US" w:eastAsia="zh-CN"/>
              </w:rPr>
              <w:t>5</w:t>
            </w:r>
            <w:r>
              <w:rPr>
                <w:rFonts w:hint="eastAsia"/>
                <w:color w:val="auto"/>
                <w:kern w:val="0"/>
                <w:szCs w:val="21"/>
              </w:rPr>
              <w:t>年</w:t>
            </w:r>
          </w:p>
        </w:tc>
      </w:tr>
      <w:tr w14:paraId="071CADB5">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304F4B72">
            <w:pPr>
              <w:widowControl/>
              <w:spacing w:line="360" w:lineRule="auto"/>
              <w:jc w:val="center"/>
              <w:rPr>
                <w:color w:val="auto"/>
                <w:kern w:val="0"/>
                <w:szCs w:val="21"/>
              </w:rPr>
            </w:pPr>
            <w:r>
              <w:rPr>
                <w:color w:val="auto"/>
                <w:kern w:val="0"/>
                <w:szCs w:val="21"/>
              </w:rPr>
              <w:t>3.5.3</w:t>
            </w:r>
          </w:p>
        </w:tc>
        <w:tc>
          <w:tcPr>
            <w:tcW w:w="2248" w:type="dxa"/>
            <w:tcBorders>
              <w:top w:val="single" w:color="auto" w:sz="4" w:space="0"/>
              <w:left w:val="single" w:color="auto" w:sz="4" w:space="0"/>
              <w:bottom w:val="single" w:color="auto" w:sz="4" w:space="0"/>
              <w:right w:val="single" w:color="auto" w:sz="4" w:space="0"/>
            </w:tcBorders>
            <w:vAlign w:val="center"/>
          </w:tcPr>
          <w:p w14:paraId="6D0E0F9B">
            <w:pPr>
              <w:widowControl/>
              <w:spacing w:line="360" w:lineRule="auto"/>
              <w:jc w:val="center"/>
              <w:rPr>
                <w:color w:val="auto"/>
                <w:kern w:val="0"/>
                <w:szCs w:val="21"/>
              </w:rPr>
            </w:pPr>
            <w:r>
              <w:rPr>
                <w:color w:val="auto"/>
                <w:kern w:val="0"/>
                <w:szCs w:val="21"/>
              </w:rPr>
              <w:t>近年完成的类似项目</w:t>
            </w:r>
            <w:r>
              <w:rPr>
                <w:rFonts w:hint="eastAsia"/>
                <w:color w:val="auto"/>
                <w:kern w:val="0"/>
                <w:szCs w:val="21"/>
              </w:rPr>
              <w:t>情况</w:t>
            </w:r>
            <w:r>
              <w:rPr>
                <w:color w:val="auto"/>
                <w:kern w:val="0"/>
                <w:szCs w:val="21"/>
              </w:rPr>
              <w:t>的时间要求</w:t>
            </w:r>
          </w:p>
        </w:tc>
        <w:tc>
          <w:tcPr>
            <w:tcW w:w="6662" w:type="dxa"/>
            <w:tcBorders>
              <w:top w:val="single" w:color="auto" w:sz="4" w:space="0"/>
              <w:left w:val="single" w:color="auto" w:sz="4" w:space="0"/>
              <w:bottom w:val="single" w:color="auto" w:sz="4" w:space="0"/>
              <w:right w:val="single" w:color="auto" w:sz="4" w:space="0"/>
            </w:tcBorders>
            <w:vAlign w:val="center"/>
          </w:tcPr>
          <w:p w14:paraId="4F799A2E">
            <w:pPr>
              <w:widowControl/>
              <w:spacing w:line="360" w:lineRule="auto"/>
              <w:rPr>
                <w:color w:val="auto"/>
                <w:kern w:val="0"/>
                <w:szCs w:val="21"/>
              </w:rPr>
            </w:pPr>
            <w:r>
              <w:rPr>
                <w:rFonts w:hint="eastAsia" w:asciiTheme="minorEastAsia" w:hAnsiTheme="minorEastAsia" w:eastAsiaTheme="minorEastAsia"/>
                <w:color w:val="auto"/>
                <w:kern w:val="0"/>
                <w:szCs w:val="21"/>
              </w:rPr>
              <w:t>202</w:t>
            </w:r>
            <w:r>
              <w:rPr>
                <w:rFonts w:hint="eastAsia" w:asciiTheme="minorEastAsia" w:hAnsiTheme="minorEastAsia" w:eastAsiaTheme="minorEastAsia"/>
                <w:color w:val="auto"/>
                <w:kern w:val="0"/>
                <w:szCs w:val="21"/>
                <w:lang w:val="en-US" w:eastAsia="zh-CN"/>
              </w:rPr>
              <w:t>3</w:t>
            </w:r>
            <w:r>
              <w:rPr>
                <w:rFonts w:asciiTheme="minorEastAsia" w:hAnsiTheme="minorEastAsia" w:eastAsiaTheme="minorEastAsia"/>
                <w:color w:val="auto"/>
                <w:kern w:val="0"/>
                <w:szCs w:val="21"/>
              </w:rPr>
              <w:t>年</w:t>
            </w:r>
            <w:r>
              <w:rPr>
                <w:rFonts w:hint="eastAsia" w:asciiTheme="minorEastAsia" w:hAnsiTheme="minorEastAsia" w:eastAsiaTheme="minorEastAsia"/>
                <w:color w:val="auto"/>
                <w:kern w:val="0"/>
                <w:szCs w:val="21"/>
              </w:rPr>
              <w:t>至今</w:t>
            </w:r>
          </w:p>
        </w:tc>
      </w:tr>
      <w:tr w14:paraId="00816EFD">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7240A7CE">
            <w:pPr>
              <w:widowControl/>
              <w:spacing w:line="360" w:lineRule="auto"/>
              <w:jc w:val="center"/>
              <w:rPr>
                <w:color w:val="auto"/>
                <w:kern w:val="0"/>
                <w:szCs w:val="21"/>
              </w:rPr>
            </w:pPr>
            <w:r>
              <w:rPr>
                <w:rFonts w:hint="eastAsia"/>
                <w:color w:val="auto"/>
                <w:kern w:val="0"/>
                <w:szCs w:val="21"/>
              </w:rPr>
              <w:t>3.6.1</w:t>
            </w:r>
          </w:p>
        </w:tc>
        <w:tc>
          <w:tcPr>
            <w:tcW w:w="2248" w:type="dxa"/>
            <w:tcBorders>
              <w:top w:val="single" w:color="auto" w:sz="4" w:space="0"/>
              <w:left w:val="single" w:color="auto" w:sz="4" w:space="0"/>
              <w:bottom w:val="single" w:color="auto" w:sz="4" w:space="0"/>
              <w:right w:val="single" w:color="auto" w:sz="4" w:space="0"/>
            </w:tcBorders>
            <w:vAlign w:val="center"/>
          </w:tcPr>
          <w:p w14:paraId="35728CBD">
            <w:pPr>
              <w:widowControl/>
              <w:spacing w:line="360" w:lineRule="auto"/>
              <w:jc w:val="center"/>
              <w:rPr>
                <w:color w:val="auto"/>
                <w:kern w:val="0"/>
                <w:szCs w:val="21"/>
              </w:rPr>
            </w:pPr>
            <w:r>
              <w:rPr>
                <w:color w:val="auto"/>
                <w:kern w:val="0"/>
                <w:szCs w:val="21"/>
              </w:rPr>
              <w:t>是否允许递交备选投标方案</w:t>
            </w:r>
          </w:p>
        </w:tc>
        <w:tc>
          <w:tcPr>
            <w:tcW w:w="6662" w:type="dxa"/>
            <w:tcBorders>
              <w:top w:val="single" w:color="auto" w:sz="4" w:space="0"/>
              <w:left w:val="single" w:color="auto" w:sz="4" w:space="0"/>
              <w:bottom w:val="single" w:color="auto" w:sz="4" w:space="0"/>
              <w:right w:val="single" w:color="auto" w:sz="4" w:space="0"/>
            </w:tcBorders>
            <w:vAlign w:val="center"/>
          </w:tcPr>
          <w:p w14:paraId="068DEEBA">
            <w:pPr>
              <w:pStyle w:val="114"/>
              <w:topLinePunct/>
              <w:spacing w:line="360" w:lineRule="auto"/>
              <w:rPr>
                <w:rFonts w:ascii="Times New Roman"/>
                <w:color w:val="auto"/>
                <w:sz w:val="21"/>
                <w:szCs w:val="21"/>
              </w:rPr>
            </w:pPr>
            <w:r>
              <w:rPr>
                <w:rFonts w:hint="eastAsia" w:hAnsi="宋体"/>
                <w:color w:val="auto"/>
                <w:szCs w:val="21"/>
              </w:rPr>
              <w:t>■</w:t>
            </w:r>
            <w:r>
              <w:rPr>
                <w:rFonts w:hint="eastAsia" w:ascii="Times New Roman"/>
                <w:color w:val="auto"/>
                <w:sz w:val="21"/>
                <w:szCs w:val="21"/>
              </w:rPr>
              <w:t>不允许</w:t>
            </w:r>
          </w:p>
          <w:p w14:paraId="0E0C14AA">
            <w:pPr>
              <w:widowControl/>
              <w:spacing w:line="360" w:lineRule="auto"/>
              <w:rPr>
                <w:color w:val="auto"/>
                <w:kern w:val="0"/>
                <w:szCs w:val="21"/>
              </w:rPr>
            </w:pPr>
            <w:r>
              <w:rPr>
                <w:rFonts w:hint="eastAsia" w:hAnsi="宋体"/>
                <w:color w:val="auto"/>
                <w:szCs w:val="21"/>
              </w:rPr>
              <w:t>□</w:t>
            </w:r>
            <w:r>
              <w:rPr>
                <w:rFonts w:hint="eastAsia"/>
                <w:color w:val="auto"/>
                <w:szCs w:val="21"/>
              </w:rPr>
              <w:t>允许</w:t>
            </w:r>
          </w:p>
        </w:tc>
      </w:tr>
      <w:tr w14:paraId="3EF0CCC4">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008BA05A">
            <w:pPr>
              <w:widowControl/>
              <w:spacing w:line="360" w:lineRule="auto"/>
              <w:jc w:val="center"/>
              <w:rPr>
                <w:color w:val="auto"/>
                <w:kern w:val="0"/>
                <w:szCs w:val="21"/>
              </w:rPr>
            </w:pPr>
            <w:r>
              <w:rPr>
                <w:rFonts w:hint="eastAsia"/>
                <w:color w:val="auto"/>
                <w:kern w:val="0"/>
                <w:szCs w:val="21"/>
              </w:rPr>
              <w:t>3.7.3（1）</w:t>
            </w:r>
          </w:p>
        </w:tc>
        <w:tc>
          <w:tcPr>
            <w:tcW w:w="2248" w:type="dxa"/>
            <w:tcBorders>
              <w:top w:val="single" w:color="auto" w:sz="4" w:space="0"/>
              <w:left w:val="single" w:color="auto" w:sz="4" w:space="0"/>
              <w:bottom w:val="single" w:color="auto" w:sz="4" w:space="0"/>
              <w:right w:val="single" w:color="auto" w:sz="4" w:space="0"/>
            </w:tcBorders>
            <w:vAlign w:val="center"/>
          </w:tcPr>
          <w:p w14:paraId="07935845">
            <w:pPr>
              <w:widowControl/>
              <w:spacing w:line="360" w:lineRule="auto"/>
              <w:jc w:val="center"/>
              <w:rPr>
                <w:color w:val="auto"/>
                <w:kern w:val="0"/>
                <w:szCs w:val="21"/>
              </w:rPr>
            </w:pPr>
            <w:r>
              <w:rPr>
                <w:color w:val="auto"/>
                <w:kern w:val="0"/>
                <w:szCs w:val="21"/>
              </w:rPr>
              <w:t>响应文件签字或盖章要求</w:t>
            </w:r>
          </w:p>
        </w:tc>
        <w:tc>
          <w:tcPr>
            <w:tcW w:w="6662" w:type="dxa"/>
            <w:tcBorders>
              <w:top w:val="single" w:color="auto" w:sz="4" w:space="0"/>
              <w:left w:val="single" w:color="auto" w:sz="4" w:space="0"/>
              <w:bottom w:val="single" w:color="auto" w:sz="4" w:space="0"/>
              <w:right w:val="single" w:color="auto" w:sz="4" w:space="0"/>
            </w:tcBorders>
            <w:vAlign w:val="center"/>
          </w:tcPr>
          <w:p w14:paraId="3AADF730">
            <w:pPr>
              <w:widowControl/>
              <w:spacing w:line="360" w:lineRule="auto"/>
              <w:jc w:val="left"/>
              <w:rPr>
                <w:color w:val="auto"/>
                <w:kern w:val="0"/>
                <w:szCs w:val="21"/>
              </w:rPr>
            </w:pPr>
            <w:r>
              <w:rPr>
                <w:rFonts w:hint="eastAsia" w:asciiTheme="minorEastAsia" w:hAnsiTheme="minorEastAsia" w:eastAsiaTheme="minorEastAsia"/>
                <w:color w:val="auto"/>
                <w:szCs w:val="21"/>
              </w:rPr>
              <w:t>投</w:t>
            </w:r>
            <w:r>
              <w:rPr>
                <w:rFonts w:hint="eastAsia" w:cs="微软雅黑" w:asciiTheme="minorEastAsia" w:hAnsiTheme="minorEastAsia" w:eastAsiaTheme="minorEastAsia"/>
                <w:color w:val="auto"/>
                <w:szCs w:val="21"/>
              </w:rPr>
              <w:t>标</w:t>
            </w:r>
            <w:r>
              <w:rPr>
                <w:rFonts w:hint="eastAsia" w:cs="Malgun Gothic" w:asciiTheme="minorEastAsia" w:hAnsiTheme="minorEastAsia" w:eastAsiaTheme="minorEastAsia"/>
                <w:color w:val="auto"/>
                <w:szCs w:val="21"/>
              </w:rPr>
              <w:t>文件</w:t>
            </w:r>
            <w:r>
              <w:rPr>
                <w:rFonts w:hint="eastAsia" w:cs="微软雅黑" w:asciiTheme="minorEastAsia" w:hAnsiTheme="minorEastAsia" w:eastAsiaTheme="minorEastAsia"/>
                <w:color w:val="auto"/>
                <w:szCs w:val="21"/>
              </w:rPr>
              <w:t>应</w:t>
            </w:r>
            <w:r>
              <w:rPr>
                <w:rFonts w:hint="eastAsia" w:cs="Malgun Gothic" w:asciiTheme="minorEastAsia" w:hAnsiTheme="minorEastAsia" w:eastAsiaTheme="minorEastAsia"/>
                <w:color w:val="auto"/>
                <w:szCs w:val="21"/>
              </w:rPr>
              <w:t>由法定代表人或其委托代理</w:t>
            </w:r>
            <w:r>
              <w:rPr>
                <w:rFonts w:hint="eastAsia" w:asciiTheme="minorEastAsia" w:hAnsiTheme="minorEastAsia" w:eastAsiaTheme="minorEastAsia"/>
                <w:color w:val="auto"/>
                <w:szCs w:val="21"/>
              </w:rPr>
              <w:t>人</w:t>
            </w:r>
            <w:r>
              <w:rPr>
                <w:rFonts w:hint="eastAsia" w:asciiTheme="minorEastAsia" w:hAnsiTheme="minorEastAsia" w:eastAsiaTheme="minorEastAsia"/>
                <w:b/>
                <w:bCs/>
                <w:color w:val="auto"/>
                <w:szCs w:val="21"/>
              </w:rPr>
              <w:t>在</w:t>
            </w:r>
            <w:r>
              <w:rPr>
                <w:rFonts w:hint="eastAsia" w:cs="微软雅黑" w:asciiTheme="minorEastAsia" w:hAnsiTheme="minorEastAsia" w:eastAsiaTheme="minorEastAsia"/>
                <w:b/>
                <w:bCs/>
                <w:color w:val="auto"/>
                <w:szCs w:val="21"/>
              </w:rPr>
              <w:t>规</w:t>
            </w:r>
            <w:r>
              <w:rPr>
                <w:rFonts w:hint="eastAsia" w:cs="Malgun Gothic" w:asciiTheme="minorEastAsia" w:hAnsiTheme="minorEastAsia" w:eastAsiaTheme="minorEastAsia"/>
                <w:b/>
                <w:bCs/>
                <w:color w:val="auto"/>
                <w:szCs w:val="21"/>
              </w:rPr>
              <w:t>定的</w:t>
            </w:r>
            <w:r>
              <w:rPr>
                <w:rFonts w:hint="eastAsia" w:cs="微软雅黑" w:asciiTheme="minorEastAsia" w:hAnsiTheme="minorEastAsia" w:eastAsiaTheme="minorEastAsia"/>
                <w:b/>
                <w:bCs/>
                <w:color w:val="auto"/>
                <w:szCs w:val="21"/>
              </w:rPr>
              <w:t>电子签名处</w:t>
            </w:r>
            <w:r>
              <w:rPr>
                <w:rFonts w:hint="eastAsia" w:cs="Malgun Gothic" w:asciiTheme="minorEastAsia" w:hAnsiTheme="minorEastAsia" w:eastAsiaTheme="minorEastAsia"/>
                <w:b/>
                <w:bCs/>
                <w:color w:val="auto"/>
                <w:szCs w:val="21"/>
              </w:rPr>
              <w:t>逐一电子</w:t>
            </w:r>
            <w:r>
              <w:rPr>
                <w:rFonts w:hint="eastAsia" w:cs="微软雅黑" w:asciiTheme="minorEastAsia" w:hAnsiTheme="minorEastAsia" w:eastAsiaTheme="minorEastAsia"/>
                <w:b/>
                <w:bCs/>
                <w:color w:val="auto"/>
                <w:szCs w:val="21"/>
              </w:rPr>
              <w:t>签名（电子签名或电子签章）</w:t>
            </w:r>
            <w:r>
              <w:rPr>
                <w:rFonts w:hint="eastAsia" w:cs="Malgun Gothic" w:asciiTheme="minorEastAsia" w:hAnsiTheme="minorEastAsia" w:eastAsiaTheme="minorEastAsia"/>
                <w:b/>
                <w:bCs/>
                <w:color w:val="auto"/>
                <w:szCs w:val="21"/>
              </w:rPr>
              <w:t>，</w:t>
            </w:r>
            <w:r>
              <w:rPr>
                <w:rFonts w:asciiTheme="minorEastAsia" w:hAnsiTheme="minorEastAsia" w:eastAsiaTheme="minorEastAsia"/>
                <w:b/>
                <w:bCs/>
                <w:color w:val="auto"/>
                <w:szCs w:val="21"/>
              </w:rPr>
              <w:t>要求</w:t>
            </w:r>
            <w:r>
              <w:rPr>
                <w:rFonts w:hint="eastAsia" w:asciiTheme="minorEastAsia" w:hAnsiTheme="minorEastAsia" w:eastAsiaTheme="minorEastAsia"/>
                <w:b/>
                <w:bCs/>
                <w:color w:val="auto"/>
                <w:szCs w:val="21"/>
              </w:rPr>
              <w:t>盖</w:t>
            </w:r>
            <w:r>
              <w:rPr>
                <w:rFonts w:asciiTheme="minorEastAsia" w:hAnsiTheme="minorEastAsia" w:eastAsiaTheme="minorEastAsia"/>
                <w:b/>
                <w:bCs/>
                <w:color w:val="auto"/>
                <w:szCs w:val="21"/>
              </w:rPr>
              <w:t>章</w:t>
            </w:r>
            <w:r>
              <w:rPr>
                <w:rFonts w:hint="eastAsia" w:cs="微软雅黑" w:asciiTheme="minorEastAsia" w:hAnsiTheme="minorEastAsia" w:eastAsiaTheme="minorEastAsia"/>
                <w:b/>
                <w:bCs/>
                <w:color w:val="auto"/>
                <w:szCs w:val="21"/>
              </w:rPr>
              <w:t>处应</w:t>
            </w:r>
            <w:r>
              <w:rPr>
                <w:rFonts w:hint="eastAsia" w:cs="Malgun Gothic" w:asciiTheme="minorEastAsia" w:hAnsiTheme="minorEastAsia" w:eastAsiaTheme="minorEastAsia"/>
                <w:b/>
                <w:bCs/>
                <w:color w:val="auto"/>
                <w:szCs w:val="21"/>
              </w:rPr>
              <w:t>盖</w:t>
            </w:r>
            <w:r>
              <w:rPr>
                <w:rFonts w:hint="eastAsia" w:cs="微软雅黑" w:asciiTheme="minorEastAsia" w:hAnsiTheme="minorEastAsia" w:eastAsiaTheme="minorEastAsia"/>
                <w:b/>
                <w:bCs/>
                <w:color w:val="auto"/>
                <w:szCs w:val="21"/>
              </w:rPr>
              <w:t>单</w:t>
            </w:r>
            <w:r>
              <w:rPr>
                <w:rFonts w:hint="eastAsia" w:cs="Malgun Gothic" w:asciiTheme="minorEastAsia" w:hAnsiTheme="minorEastAsia" w:eastAsiaTheme="minorEastAsia"/>
                <w:b/>
                <w:bCs/>
                <w:color w:val="auto"/>
                <w:szCs w:val="21"/>
              </w:rPr>
              <w:t>位章（电子签章）</w:t>
            </w:r>
          </w:p>
        </w:tc>
      </w:tr>
      <w:tr w14:paraId="462BD232">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36EC6441">
            <w:pPr>
              <w:widowControl/>
              <w:spacing w:line="360" w:lineRule="auto"/>
              <w:jc w:val="center"/>
              <w:rPr>
                <w:color w:val="auto"/>
                <w:kern w:val="0"/>
                <w:szCs w:val="21"/>
              </w:rPr>
            </w:pPr>
            <w:r>
              <w:rPr>
                <w:rFonts w:hint="eastAsia"/>
                <w:color w:val="auto"/>
                <w:kern w:val="0"/>
                <w:szCs w:val="21"/>
              </w:rPr>
              <w:t>3.7.3（2）</w:t>
            </w:r>
          </w:p>
        </w:tc>
        <w:tc>
          <w:tcPr>
            <w:tcW w:w="2248" w:type="dxa"/>
            <w:tcBorders>
              <w:top w:val="single" w:color="auto" w:sz="4" w:space="0"/>
              <w:left w:val="single" w:color="auto" w:sz="4" w:space="0"/>
              <w:bottom w:val="single" w:color="auto" w:sz="4" w:space="0"/>
              <w:right w:val="single" w:color="auto" w:sz="4" w:space="0"/>
            </w:tcBorders>
            <w:vAlign w:val="center"/>
          </w:tcPr>
          <w:p w14:paraId="25CEDE6B">
            <w:pPr>
              <w:widowControl/>
              <w:spacing w:line="360" w:lineRule="auto"/>
              <w:jc w:val="center"/>
              <w:rPr>
                <w:color w:val="auto"/>
                <w:kern w:val="0"/>
                <w:szCs w:val="21"/>
              </w:rPr>
            </w:pPr>
            <w:bookmarkStart w:id="14" w:name="_Hlk183777544"/>
            <w:r>
              <w:rPr>
                <w:rFonts w:hint="eastAsia" w:ascii="宋体" w:hAnsi="宋体"/>
                <w:color w:val="auto"/>
                <w:sz w:val="21"/>
                <w:szCs w:val="21"/>
                <w:lang w:val="en-US" w:eastAsia="zh-CN"/>
              </w:rPr>
              <w:t>响应</w:t>
            </w:r>
            <w:r>
              <w:rPr>
                <w:rFonts w:hint="eastAsia" w:ascii="宋体" w:hAnsi="宋体"/>
                <w:color w:val="auto"/>
                <w:sz w:val="21"/>
                <w:szCs w:val="21"/>
                <w:lang w:eastAsia="zh-CN"/>
              </w:rPr>
              <w:t>文件的其他编制要求</w:t>
            </w:r>
            <w:bookmarkEnd w:id="14"/>
          </w:p>
        </w:tc>
        <w:tc>
          <w:tcPr>
            <w:tcW w:w="6662" w:type="dxa"/>
            <w:tcBorders>
              <w:top w:val="single" w:color="auto" w:sz="4" w:space="0"/>
              <w:left w:val="single" w:color="auto" w:sz="4" w:space="0"/>
              <w:bottom w:val="single" w:color="auto" w:sz="4" w:space="0"/>
              <w:right w:val="single" w:color="auto" w:sz="4" w:space="0"/>
            </w:tcBorders>
            <w:vAlign w:val="center"/>
          </w:tcPr>
          <w:p w14:paraId="0C376952">
            <w:pPr>
              <w:widowControl/>
              <w:spacing w:line="360" w:lineRule="auto"/>
              <w:jc w:val="left"/>
              <w:rPr>
                <w:rFonts w:hint="eastAsia" w:asciiTheme="minorEastAsia" w:hAnsiTheme="minorEastAsia" w:eastAsiaTheme="minorEastAsia"/>
                <w:color w:val="auto"/>
                <w:kern w:val="0"/>
                <w:szCs w:val="21"/>
              </w:rPr>
            </w:pPr>
            <w:r>
              <w:rPr>
                <w:rFonts w:hint="eastAsia" w:asciiTheme="minorEastAsia" w:hAnsiTheme="minorEastAsia" w:eastAsiaTheme="minorEastAsia"/>
                <w:color w:val="auto"/>
                <w:kern w:val="0"/>
                <w:szCs w:val="21"/>
              </w:rPr>
              <w:t>投标文件全部采用电子文档，投标人应安装客户端软件—“政采云电子交易客户端”，并按照招标文件和政采云电子交易平台的要求编制，编制后应进行电子签名及加密。</w:t>
            </w:r>
          </w:p>
          <w:p w14:paraId="44D015FA">
            <w:pPr>
              <w:widowControl/>
              <w:spacing w:line="360" w:lineRule="auto"/>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kern w:val="0"/>
                <w:szCs w:val="21"/>
              </w:rPr>
              <w:t>（</w:t>
            </w:r>
            <w:r>
              <w:rPr>
                <w:rFonts w:asciiTheme="minorEastAsia" w:hAnsiTheme="minorEastAsia" w:eastAsiaTheme="minorEastAsia"/>
                <w:color w:val="auto"/>
                <w:kern w:val="0"/>
                <w:szCs w:val="21"/>
              </w:rPr>
              <w:t>1</w:t>
            </w:r>
            <w:r>
              <w:rPr>
                <w:rFonts w:hint="eastAsia" w:asciiTheme="minorEastAsia" w:hAnsiTheme="minorEastAsia" w:eastAsiaTheme="minorEastAsia"/>
                <w:color w:val="auto"/>
                <w:kern w:val="0"/>
                <w:szCs w:val="21"/>
              </w:rPr>
              <w:t>）</w:t>
            </w:r>
            <w:r>
              <w:rPr>
                <w:rFonts w:hint="eastAsia" w:asciiTheme="minorEastAsia" w:hAnsiTheme="minorEastAsia" w:eastAsiaTheme="minorEastAsia"/>
                <w:color w:val="auto"/>
                <w:szCs w:val="21"/>
              </w:rPr>
              <w:t>如投标人提交的电子标书不符合</w:t>
            </w:r>
            <w:r>
              <w:rPr>
                <w:rFonts w:hint="eastAsia" w:asciiTheme="minorEastAsia" w:hAnsiTheme="minorEastAsia" w:eastAsiaTheme="minorEastAsia"/>
                <w:color w:val="auto"/>
                <w:kern w:val="0"/>
                <w:szCs w:val="21"/>
              </w:rPr>
              <w:t>政采云电子交易平台</w:t>
            </w:r>
            <w:r>
              <w:rPr>
                <w:rFonts w:hint="eastAsia" w:asciiTheme="minorEastAsia" w:hAnsiTheme="minorEastAsia" w:eastAsiaTheme="minorEastAsia"/>
                <w:color w:val="auto"/>
                <w:szCs w:val="21"/>
              </w:rPr>
              <w:t>要求或开标时无法读取导入或解密，其投标文件将不予受理。</w:t>
            </w:r>
          </w:p>
          <w:p w14:paraId="7DE7F195">
            <w:pPr>
              <w:widowControl/>
              <w:spacing w:line="360" w:lineRule="auto"/>
              <w:jc w:val="left"/>
              <w:rPr>
                <w:rFonts w:hint="eastAsia" w:cs="Malgun Gothic" w:asciiTheme="minorEastAsia" w:hAnsiTheme="minorEastAsia" w:eastAsiaTheme="minorEastAsia"/>
                <w:bCs/>
                <w:color w:val="auto"/>
                <w:szCs w:val="21"/>
              </w:rPr>
            </w:pPr>
            <w:r>
              <w:rPr>
                <w:rFonts w:hint="eastAsia" w:asciiTheme="minorEastAsia" w:hAnsiTheme="minorEastAsia" w:eastAsiaTheme="minorEastAsia"/>
                <w:color w:val="auto"/>
                <w:szCs w:val="21"/>
              </w:rPr>
              <w:t>（</w:t>
            </w:r>
            <w:r>
              <w:rPr>
                <w:rFonts w:asciiTheme="minorEastAsia" w:hAnsiTheme="minorEastAsia" w:eastAsiaTheme="minorEastAsia"/>
                <w:color w:val="auto"/>
                <w:szCs w:val="21"/>
              </w:rPr>
              <w:t>2</w:t>
            </w:r>
            <w:r>
              <w:rPr>
                <w:rFonts w:hint="eastAsia" w:asciiTheme="minorEastAsia" w:hAnsiTheme="minorEastAsia" w:eastAsiaTheme="minorEastAsia"/>
                <w:color w:val="auto"/>
                <w:szCs w:val="21"/>
              </w:rPr>
              <w:t>）投</w:t>
            </w:r>
            <w:r>
              <w:rPr>
                <w:rFonts w:hint="eastAsia" w:cs="微软雅黑" w:asciiTheme="minorEastAsia" w:hAnsiTheme="minorEastAsia" w:eastAsiaTheme="minorEastAsia"/>
                <w:color w:val="auto"/>
                <w:szCs w:val="21"/>
              </w:rPr>
              <w:t>标</w:t>
            </w:r>
            <w:r>
              <w:rPr>
                <w:rFonts w:hint="eastAsia" w:cs="Malgun Gothic" w:asciiTheme="minorEastAsia" w:hAnsiTheme="minorEastAsia" w:eastAsiaTheme="minorEastAsia"/>
                <w:color w:val="auto"/>
                <w:szCs w:val="21"/>
              </w:rPr>
              <w:t>文件中提</w:t>
            </w:r>
            <w:r>
              <w:rPr>
                <w:rFonts w:hint="eastAsia" w:asciiTheme="minorEastAsia" w:hAnsiTheme="minorEastAsia" w:eastAsiaTheme="minorEastAsia"/>
                <w:bCs/>
                <w:color w:val="auto"/>
                <w:szCs w:val="21"/>
              </w:rPr>
              <w:t>供的</w:t>
            </w:r>
            <w:r>
              <w:rPr>
                <w:rFonts w:hint="eastAsia" w:cs="微软雅黑" w:asciiTheme="minorEastAsia" w:hAnsiTheme="minorEastAsia" w:eastAsiaTheme="minorEastAsia"/>
                <w:bCs/>
                <w:color w:val="auto"/>
                <w:szCs w:val="21"/>
              </w:rPr>
              <w:t>资</w:t>
            </w:r>
            <w:r>
              <w:rPr>
                <w:rFonts w:hint="eastAsia" w:cs="Malgun Gothic" w:asciiTheme="minorEastAsia" w:hAnsiTheme="minorEastAsia" w:eastAsiaTheme="minorEastAsia"/>
                <w:bCs/>
                <w:color w:val="auto"/>
                <w:szCs w:val="21"/>
              </w:rPr>
              <w:t>料（扫描件），</w:t>
            </w:r>
            <w:r>
              <w:rPr>
                <w:rFonts w:hint="eastAsia" w:cs="微软雅黑" w:asciiTheme="minorEastAsia" w:hAnsiTheme="minorEastAsia" w:eastAsiaTheme="minorEastAsia"/>
                <w:bCs/>
                <w:color w:val="auto"/>
                <w:szCs w:val="21"/>
              </w:rPr>
              <w:t>内</w:t>
            </w:r>
            <w:r>
              <w:rPr>
                <w:rFonts w:hint="eastAsia" w:cs="Malgun Gothic" w:asciiTheme="minorEastAsia" w:hAnsiTheme="minorEastAsia" w:eastAsiaTheme="minorEastAsia"/>
                <w:bCs/>
                <w:color w:val="auto"/>
                <w:szCs w:val="21"/>
              </w:rPr>
              <w:t>容必</w:t>
            </w:r>
            <w:r>
              <w:rPr>
                <w:rFonts w:hint="eastAsia" w:cs="微软雅黑" w:asciiTheme="minorEastAsia" w:hAnsiTheme="minorEastAsia" w:eastAsiaTheme="minorEastAsia"/>
                <w:bCs/>
                <w:color w:val="auto"/>
                <w:szCs w:val="21"/>
              </w:rPr>
              <w:t>须清</w:t>
            </w:r>
            <w:r>
              <w:rPr>
                <w:rFonts w:hint="eastAsia" w:cs="Malgun Gothic" w:asciiTheme="minorEastAsia" w:hAnsiTheme="minorEastAsia" w:eastAsiaTheme="minorEastAsia"/>
                <w:bCs/>
                <w:color w:val="auto"/>
                <w:szCs w:val="21"/>
              </w:rPr>
              <w:t>晰可辨，若</w:t>
            </w:r>
            <w:r>
              <w:rPr>
                <w:rFonts w:hint="eastAsia" w:cs="微软雅黑" w:asciiTheme="minorEastAsia" w:hAnsiTheme="minorEastAsia" w:eastAsiaTheme="minorEastAsia"/>
                <w:bCs/>
                <w:color w:val="auto"/>
                <w:szCs w:val="21"/>
              </w:rPr>
              <w:t>内</w:t>
            </w:r>
            <w:r>
              <w:rPr>
                <w:rFonts w:hint="eastAsia" w:cs="Malgun Gothic" w:asciiTheme="minorEastAsia" w:hAnsiTheme="minorEastAsia" w:eastAsiaTheme="minorEastAsia"/>
                <w:bCs/>
                <w:color w:val="auto"/>
                <w:szCs w:val="21"/>
              </w:rPr>
              <w:t>容模糊，无法辨</w:t>
            </w:r>
            <w:r>
              <w:rPr>
                <w:rFonts w:hint="eastAsia" w:cs="微软雅黑" w:asciiTheme="minorEastAsia" w:hAnsiTheme="minorEastAsia" w:eastAsiaTheme="minorEastAsia"/>
                <w:bCs/>
                <w:color w:val="auto"/>
                <w:szCs w:val="21"/>
              </w:rPr>
              <w:t>识</w:t>
            </w:r>
            <w:r>
              <w:rPr>
                <w:rFonts w:hint="eastAsia" w:cs="Malgun Gothic" w:asciiTheme="minorEastAsia" w:hAnsiTheme="minorEastAsia" w:eastAsiaTheme="minorEastAsia"/>
                <w:bCs/>
                <w:color w:val="auto"/>
                <w:szCs w:val="21"/>
              </w:rPr>
              <w:t>，均</w:t>
            </w:r>
            <w:r>
              <w:rPr>
                <w:rFonts w:hint="eastAsia" w:cs="微软雅黑" w:asciiTheme="minorEastAsia" w:hAnsiTheme="minorEastAsia" w:eastAsiaTheme="minorEastAsia"/>
                <w:bCs/>
                <w:color w:val="auto"/>
                <w:szCs w:val="21"/>
              </w:rPr>
              <w:t>视为</w:t>
            </w:r>
            <w:r>
              <w:rPr>
                <w:rFonts w:hint="eastAsia" w:cs="Malgun Gothic" w:asciiTheme="minorEastAsia" w:hAnsiTheme="minorEastAsia" w:eastAsiaTheme="minorEastAsia"/>
                <w:bCs/>
                <w:color w:val="auto"/>
                <w:szCs w:val="21"/>
              </w:rPr>
              <w:t>未提供。</w:t>
            </w:r>
          </w:p>
          <w:p w14:paraId="253DD476">
            <w:pPr>
              <w:widowControl/>
              <w:spacing w:line="360" w:lineRule="auto"/>
              <w:jc w:val="left"/>
              <w:rPr>
                <w:rFonts w:hint="eastAsia" w:cs="Malgun Gothic" w:asciiTheme="minorEastAsia" w:hAnsiTheme="minorEastAsia" w:eastAsiaTheme="minorEastAsia"/>
                <w:bCs/>
                <w:color w:val="auto"/>
                <w:szCs w:val="21"/>
              </w:rPr>
            </w:pPr>
            <w:r>
              <w:rPr>
                <w:rFonts w:hint="eastAsia" w:hAnsi="宋体"/>
                <w:b/>
                <w:bCs/>
                <w:color w:val="auto"/>
                <w:sz w:val="21"/>
                <w:szCs w:val="21"/>
                <w:lang w:eastAsia="zh-CN"/>
              </w:rPr>
              <w:t>（</w:t>
            </w:r>
            <w:r>
              <w:rPr>
                <w:rFonts w:hint="eastAsia" w:hAnsi="宋体"/>
                <w:b/>
                <w:bCs/>
                <w:color w:val="auto"/>
                <w:sz w:val="21"/>
                <w:szCs w:val="21"/>
                <w:lang w:val="en-US" w:eastAsia="zh-CN"/>
              </w:rPr>
              <w:t>3</w:t>
            </w:r>
            <w:r>
              <w:rPr>
                <w:rFonts w:hint="eastAsia" w:hAnsi="宋体"/>
                <w:b/>
                <w:bCs/>
                <w:color w:val="auto"/>
                <w:sz w:val="21"/>
                <w:szCs w:val="21"/>
                <w:lang w:eastAsia="zh-CN"/>
              </w:rPr>
              <w:t>）投标人在关联标书环节时</w:t>
            </w:r>
            <w:r>
              <w:rPr>
                <w:rFonts w:hint="eastAsia" w:hAnsi="宋体"/>
                <w:b/>
                <w:bCs/>
                <w:color w:val="auto"/>
                <w:sz w:val="21"/>
                <w:szCs w:val="21"/>
                <w:lang w:val="en-US" w:eastAsia="zh-CN"/>
              </w:rPr>
              <w:t>需</w:t>
            </w:r>
            <w:r>
              <w:rPr>
                <w:rFonts w:hint="eastAsia" w:hAnsi="宋体"/>
                <w:b/>
                <w:bCs/>
                <w:color w:val="auto"/>
                <w:sz w:val="21"/>
                <w:szCs w:val="21"/>
                <w:lang w:eastAsia="zh-CN"/>
              </w:rPr>
              <w:t>将整本</w:t>
            </w:r>
            <w:r>
              <w:rPr>
                <w:rFonts w:hint="eastAsia" w:hAnsi="宋体"/>
                <w:b/>
                <w:bCs/>
                <w:color w:val="auto"/>
                <w:sz w:val="21"/>
                <w:szCs w:val="21"/>
                <w:lang w:val="en-US" w:eastAsia="zh-CN"/>
              </w:rPr>
              <w:t>响应</w:t>
            </w:r>
            <w:r>
              <w:rPr>
                <w:rFonts w:hint="eastAsia" w:hAnsi="宋体"/>
                <w:b/>
                <w:bCs/>
                <w:color w:val="auto"/>
                <w:sz w:val="21"/>
                <w:szCs w:val="21"/>
                <w:lang w:eastAsia="zh-CN"/>
              </w:rPr>
              <w:t>文件电子版(含封面)的标书关联至“商务技术部分”，并按</w:t>
            </w:r>
            <w:r>
              <w:rPr>
                <w:rFonts w:hint="eastAsia" w:hAnsi="宋体"/>
                <w:b/>
                <w:bCs/>
                <w:color w:val="auto"/>
                <w:sz w:val="21"/>
                <w:szCs w:val="21"/>
                <w:lang w:val="en-US" w:eastAsia="zh-CN"/>
              </w:rPr>
              <w:t>谈判</w:t>
            </w:r>
            <w:r>
              <w:rPr>
                <w:rFonts w:hint="eastAsia" w:hAnsi="宋体"/>
                <w:b/>
                <w:bCs/>
                <w:color w:val="auto"/>
                <w:sz w:val="21"/>
                <w:szCs w:val="21"/>
                <w:lang w:eastAsia="zh-CN"/>
              </w:rPr>
              <w:t>文件格式要求签字并盖章。</w:t>
            </w:r>
          </w:p>
        </w:tc>
      </w:tr>
      <w:tr w14:paraId="302C08F7">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1A2BA5C1">
            <w:pPr>
              <w:widowControl/>
              <w:spacing w:line="360" w:lineRule="auto"/>
              <w:jc w:val="center"/>
              <w:rPr>
                <w:color w:val="auto"/>
                <w:kern w:val="0"/>
                <w:szCs w:val="21"/>
              </w:rPr>
            </w:pPr>
            <w:r>
              <w:rPr>
                <w:color w:val="auto"/>
                <w:kern w:val="0"/>
                <w:szCs w:val="21"/>
              </w:rPr>
              <w:t>4.2.</w:t>
            </w:r>
            <w:r>
              <w:rPr>
                <w:rFonts w:hint="eastAsia"/>
                <w:color w:val="auto"/>
                <w:kern w:val="0"/>
                <w:szCs w:val="21"/>
              </w:rPr>
              <w:t>1</w:t>
            </w:r>
          </w:p>
        </w:tc>
        <w:tc>
          <w:tcPr>
            <w:tcW w:w="2248" w:type="dxa"/>
            <w:tcBorders>
              <w:top w:val="single" w:color="auto" w:sz="4" w:space="0"/>
              <w:left w:val="single" w:color="auto" w:sz="4" w:space="0"/>
              <w:bottom w:val="single" w:color="auto" w:sz="4" w:space="0"/>
              <w:right w:val="single" w:color="auto" w:sz="4" w:space="0"/>
            </w:tcBorders>
            <w:vAlign w:val="center"/>
          </w:tcPr>
          <w:p w14:paraId="17828B92">
            <w:pPr>
              <w:widowControl/>
              <w:spacing w:line="360" w:lineRule="auto"/>
              <w:jc w:val="center"/>
              <w:rPr>
                <w:color w:val="auto"/>
                <w:kern w:val="0"/>
                <w:szCs w:val="21"/>
              </w:rPr>
            </w:pPr>
            <w:r>
              <w:rPr>
                <w:color w:val="auto"/>
                <w:kern w:val="0"/>
                <w:szCs w:val="21"/>
              </w:rPr>
              <w:t>响应文件递交截止</w:t>
            </w:r>
          </w:p>
          <w:p w14:paraId="06312B32">
            <w:pPr>
              <w:widowControl/>
              <w:spacing w:line="360" w:lineRule="auto"/>
              <w:jc w:val="center"/>
              <w:rPr>
                <w:color w:val="auto"/>
                <w:kern w:val="0"/>
                <w:szCs w:val="21"/>
              </w:rPr>
            </w:pPr>
            <w:r>
              <w:rPr>
                <w:color w:val="auto"/>
                <w:kern w:val="0"/>
                <w:szCs w:val="21"/>
              </w:rPr>
              <w:t>时间</w:t>
            </w:r>
          </w:p>
        </w:tc>
        <w:tc>
          <w:tcPr>
            <w:tcW w:w="6662" w:type="dxa"/>
            <w:tcBorders>
              <w:top w:val="single" w:color="auto" w:sz="4" w:space="0"/>
              <w:left w:val="single" w:color="auto" w:sz="4" w:space="0"/>
              <w:bottom w:val="single" w:color="auto" w:sz="4" w:space="0"/>
              <w:right w:val="single" w:color="auto" w:sz="4" w:space="0"/>
            </w:tcBorders>
            <w:vAlign w:val="center"/>
          </w:tcPr>
          <w:p w14:paraId="2752D7C3">
            <w:pPr>
              <w:widowControl/>
              <w:spacing w:line="360" w:lineRule="auto"/>
              <w:ind w:left="34" w:leftChars="16"/>
              <w:jc w:val="left"/>
              <w:rPr>
                <w:color w:val="auto"/>
                <w:kern w:val="0"/>
                <w:szCs w:val="21"/>
              </w:rPr>
            </w:pPr>
            <w:r>
              <w:rPr>
                <w:rFonts w:hint="eastAsia"/>
                <w:color w:val="auto"/>
                <w:szCs w:val="21"/>
              </w:rPr>
              <w:t>202</w:t>
            </w:r>
            <w:r>
              <w:rPr>
                <w:rFonts w:hint="eastAsia"/>
                <w:color w:val="auto"/>
                <w:szCs w:val="21"/>
                <w:lang w:val="en-US" w:eastAsia="zh-CN"/>
              </w:rPr>
              <w:t>6</w:t>
            </w:r>
            <w:r>
              <w:rPr>
                <w:rFonts w:hint="eastAsia"/>
                <w:color w:val="auto"/>
                <w:szCs w:val="21"/>
              </w:rPr>
              <w:t>年</w:t>
            </w:r>
            <w:r>
              <w:rPr>
                <w:rFonts w:hint="eastAsia"/>
                <w:color w:val="auto"/>
                <w:szCs w:val="21"/>
                <w:lang w:val="en-US" w:eastAsia="zh-CN"/>
              </w:rPr>
              <w:t>8</w:t>
            </w:r>
            <w:r>
              <w:rPr>
                <w:rFonts w:hint="eastAsia"/>
                <w:color w:val="auto"/>
                <w:szCs w:val="21"/>
              </w:rPr>
              <w:t>月</w:t>
            </w:r>
            <w:r>
              <w:rPr>
                <w:rFonts w:hint="eastAsia"/>
                <w:color w:val="auto"/>
                <w:szCs w:val="21"/>
                <w:lang w:val="en-US" w:eastAsia="zh-CN"/>
              </w:rPr>
              <w:t>7</w:t>
            </w:r>
            <w:r>
              <w:rPr>
                <w:rFonts w:hint="eastAsia"/>
                <w:color w:val="auto"/>
                <w:szCs w:val="21"/>
              </w:rPr>
              <w:t>日</w:t>
            </w:r>
            <w:r>
              <w:rPr>
                <w:rFonts w:hint="eastAsia"/>
                <w:color w:val="auto"/>
                <w:szCs w:val="21"/>
                <w:lang w:val="en-US" w:eastAsia="zh-CN"/>
              </w:rPr>
              <w:t>09</w:t>
            </w:r>
            <w:r>
              <w:rPr>
                <w:rFonts w:hint="eastAsia"/>
                <w:color w:val="auto"/>
                <w:szCs w:val="21"/>
              </w:rPr>
              <w:t>时</w:t>
            </w:r>
            <w:r>
              <w:rPr>
                <w:rFonts w:hint="eastAsia"/>
                <w:color w:val="auto"/>
                <w:szCs w:val="21"/>
                <w:lang w:val="en-US" w:eastAsia="zh-CN"/>
              </w:rPr>
              <w:t>3</w:t>
            </w:r>
            <w:r>
              <w:rPr>
                <w:rFonts w:hint="eastAsia"/>
                <w:color w:val="auto"/>
                <w:szCs w:val="21"/>
              </w:rPr>
              <w:t>0分</w:t>
            </w:r>
            <w:r>
              <w:rPr>
                <w:color w:val="auto"/>
                <w:szCs w:val="21"/>
              </w:rPr>
              <w:t>（北京</w:t>
            </w:r>
            <w:r>
              <w:rPr>
                <w:rFonts w:hint="eastAsia"/>
                <w:color w:val="auto"/>
                <w:szCs w:val="21"/>
              </w:rPr>
              <w:t>时间）</w:t>
            </w:r>
          </w:p>
        </w:tc>
      </w:tr>
      <w:tr w14:paraId="67AA60F1">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2460BD41">
            <w:pPr>
              <w:widowControl/>
              <w:spacing w:line="360" w:lineRule="auto"/>
              <w:jc w:val="center"/>
              <w:rPr>
                <w:color w:val="auto"/>
                <w:kern w:val="0"/>
                <w:szCs w:val="21"/>
              </w:rPr>
            </w:pPr>
            <w:r>
              <w:rPr>
                <w:color w:val="auto"/>
                <w:kern w:val="0"/>
                <w:szCs w:val="21"/>
              </w:rPr>
              <w:t>4.2.2</w:t>
            </w:r>
          </w:p>
        </w:tc>
        <w:tc>
          <w:tcPr>
            <w:tcW w:w="2248" w:type="dxa"/>
            <w:tcBorders>
              <w:top w:val="single" w:color="auto" w:sz="4" w:space="0"/>
              <w:left w:val="single" w:color="auto" w:sz="4" w:space="0"/>
              <w:bottom w:val="single" w:color="auto" w:sz="4" w:space="0"/>
              <w:right w:val="single" w:color="auto" w:sz="4" w:space="0"/>
            </w:tcBorders>
            <w:vAlign w:val="center"/>
          </w:tcPr>
          <w:p w14:paraId="2E493211">
            <w:pPr>
              <w:widowControl/>
              <w:spacing w:line="360" w:lineRule="auto"/>
              <w:jc w:val="center"/>
              <w:rPr>
                <w:color w:val="auto"/>
                <w:kern w:val="0"/>
                <w:szCs w:val="21"/>
              </w:rPr>
            </w:pPr>
            <w:r>
              <w:rPr>
                <w:color w:val="auto"/>
                <w:kern w:val="0"/>
                <w:szCs w:val="21"/>
              </w:rPr>
              <w:t>递交响应文件地点</w:t>
            </w:r>
          </w:p>
        </w:tc>
        <w:tc>
          <w:tcPr>
            <w:tcW w:w="6662" w:type="dxa"/>
            <w:tcBorders>
              <w:top w:val="single" w:color="auto" w:sz="4" w:space="0"/>
              <w:left w:val="single" w:color="auto" w:sz="4" w:space="0"/>
              <w:bottom w:val="single" w:color="auto" w:sz="4" w:space="0"/>
              <w:right w:val="single" w:color="auto" w:sz="4" w:space="0"/>
            </w:tcBorders>
            <w:vAlign w:val="center"/>
          </w:tcPr>
          <w:p w14:paraId="49128CA5">
            <w:pPr>
              <w:widowControl/>
              <w:spacing w:line="360" w:lineRule="auto"/>
              <w:ind w:left="34" w:leftChars="16"/>
              <w:jc w:val="left"/>
              <w:rPr>
                <w:color w:val="auto"/>
                <w:kern w:val="0"/>
                <w:szCs w:val="21"/>
              </w:rPr>
            </w:pPr>
            <w:r>
              <w:rPr>
                <w:rFonts w:hint="eastAsia" w:asciiTheme="minorEastAsia" w:hAnsiTheme="minorEastAsia" w:eastAsiaTheme="minorEastAsia"/>
                <w:color w:val="auto"/>
                <w:szCs w:val="21"/>
              </w:rPr>
              <w:t>投标人应按照本项目采购文件和</w:t>
            </w:r>
            <w:r>
              <w:rPr>
                <w:rFonts w:asciiTheme="minorEastAsia" w:hAnsiTheme="minorEastAsia" w:eastAsiaTheme="minorEastAsia"/>
                <w:color w:val="auto"/>
                <w:szCs w:val="21"/>
              </w:rPr>
              <w:t>"</w:t>
            </w:r>
            <w:r>
              <w:rPr>
                <w:rFonts w:hint="eastAsia" w:asciiTheme="minorEastAsia" w:hAnsiTheme="minorEastAsia" w:eastAsiaTheme="minorEastAsia"/>
                <w:color w:val="auto"/>
                <w:szCs w:val="21"/>
              </w:rPr>
              <w:t>政采云</w:t>
            </w:r>
            <w:r>
              <w:rPr>
                <w:rFonts w:asciiTheme="minorEastAsia" w:hAnsiTheme="minorEastAsia" w:eastAsiaTheme="minorEastAsia"/>
                <w:color w:val="auto"/>
                <w:szCs w:val="21"/>
              </w:rPr>
              <w:t>"</w:t>
            </w:r>
            <w:r>
              <w:rPr>
                <w:rFonts w:hint="eastAsia" w:asciiTheme="minorEastAsia" w:hAnsiTheme="minorEastAsia" w:eastAsiaTheme="minorEastAsia"/>
                <w:color w:val="auto"/>
                <w:szCs w:val="21"/>
              </w:rPr>
              <w:t>平台的要求编制、加密后在投标文件提交截止时间前上传至</w:t>
            </w:r>
            <w:r>
              <w:rPr>
                <w:rFonts w:asciiTheme="minorEastAsia" w:hAnsiTheme="minorEastAsia" w:eastAsiaTheme="minorEastAsia"/>
                <w:color w:val="auto"/>
                <w:szCs w:val="21"/>
              </w:rPr>
              <w:t>"</w:t>
            </w:r>
            <w:r>
              <w:rPr>
                <w:rFonts w:hint="eastAsia" w:asciiTheme="minorEastAsia" w:hAnsiTheme="minorEastAsia" w:eastAsiaTheme="minorEastAsia"/>
                <w:color w:val="auto"/>
                <w:szCs w:val="21"/>
              </w:rPr>
              <w:t>政采云</w:t>
            </w:r>
            <w:r>
              <w:rPr>
                <w:rFonts w:asciiTheme="minorEastAsia" w:hAnsiTheme="minorEastAsia" w:eastAsiaTheme="minorEastAsia"/>
                <w:color w:val="auto"/>
                <w:szCs w:val="21"/>
              </w:rPr>
              <w:t>"</w:t>
            </w:r>
            <w:r>
              <w:rPr>
                <w:rFonts w:hint="eastAsia" w:asciiTheme="minorEastAsia" w:hAnsiTheme="minorEastAsia" w:eastAsiaTheme="minorEastAsia"/>
                <w:color w:val="auto"/>
                <w:szCs w:val="21"/>
              </w:rPr>
              <w:t>平台，投标文件提交截止时间前未完成投标文件上传的，视为撤回投标文件。投标人在</w:t>
            </w:r>
            <w:r>
              <w:rPr>
                <w:rFonts w:asciiTheme="minorEastAsia" w:hAnsiTheme="minorEastAsia" w:eastAsiaTheme="minorEastAsia"/>
                <w:color w:val="auto"/>
                <w:szCs w:val="21"/>
              </w:rPr>
              <w:t>"</w:t>
            </w:r>
            <w:r>
              <w:rPr>
                <w:rFonts w:hint="eastAsia" w:asciiTheme="minorEastAsia" w:hAnsiTheme="minorEastAsia" w:eastAsiaTheme="minorEastAsia"/>
                <w:color w:val="auto"/>
                <w:szCs w:val="21"/>
              </w:rPr>
              <w:t>政采云</w:t>
            </w:r>
            <w:r>
              <w:rPr>
                <w:rFonts w:asciiTheme="minorEastAsia" w:hAnsiTheme="minorEastAsia" w:eastAsiaTheme="minorEastAsia"/>
                <w:color w:val="auto"/>
                <w:szCs w:val="21"/>
              </w:rPr>
              <w:t>"</w:t>
            </w:r>
            <w:r>
              <w:rPr>
                <w:rFonts w:hint="eastAsia" w:asciiTheme="minorEastAsia" w:hAnsiTheme="minorEastAsia" w:eastAsiaTheme="minorEastAsia"/>
                <w:color w:val="auto"/>
                <w:szCs w:val="21"/>
              </w:rPr>
              <w:t>平台提交电子版投标文件时，请填写参加远程采购活动经办人联系方式。</w:t>
            </w:r>
          </w:p>
        </w:tc>
      </w:tr>
      <w:tr w14:paraId="431491C3">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0E55F6F0">
            <w:pPr>
              <w:widowControl/>
              <w:spacing w:line="360" w:lineRule="auto"/>
              <w:jc w:val="center"/>
              <w:rPr>
                <w:color w:val="auto"/>
                <w:kern w:val="0"/>
                <w:szCs w:val="21"/>
              </w:rPr>
            </w:pPr>
            <w:r>
              <w:rPr>
                <w:color w:val="auto"/>
                <w:kern w:val="0"/>
                <w:szCs w:val="21"/>
              </w:rPr>
              <w:t>4.2.3</w:t>
            </w:r>
          </w:p>
        </w:tc>
        <w:tc>
          <w:tcPr>
            <w:tcW w:w="2248" w:type="dxa"/>
            <w:tcBorders>
              <w:top w:val="single" w:color="auto" w:sz="4" w:space="0"/>
              <w:left w:val="single" w:color="auto" w:sz="4" w:space="0"/>
              <w:bottom w:val="single" w:color="auto" w:sz="4" w:space="0"/>
              <w:right w:val="single" w:color="auto" w:sz="4" w:space="0"/>
            </w:tcBorders>
            <w:vAlign w:val="center"/>
          </w:tcPr>
          <w:p w14:paraId="12EF128F">
            <w:pPr>
              <w:widowControl/>
              <w:spacing w:line="360" w:lineRule="auto"/>
              <w:jc w:val="center"/>
              <w:rPr>
                <w:color w:val="auto"/>
                <w:kern w:val="0"/>
                <w:szCs w:val="21"/>
              </w:rPr>
            </w:pPr>
            <w:r>
              <w:rPr>
                <w:color w:val="auto"/>
                <w:kern w:val="0"/>
                <w:szCs w:val="21"/>
              </w:rPr>
              <w:t>是否退还响应文件</w:t>
            </w:r>
          </w:p>
        </w:tc>
        <w:tc>
          <w:tcPr>
            <w:tcW w:w="6662" w:type="dxa"/>
            <w:tcBorders>
              <w:top w:val="single" w:color="auto" w:sz="4" w:space="0"/>
              <w:left w:val="single" w:color="auto" w:sz="4" w:space="0"/>
              <w:bottom w:val="single" w:color="auto" w:sz="4" w:space="0"/>
              <w:right w:val="single" w:color="auto" w:sz="4" w:space="0"/>
            </w:tcBorders>
            <w:vAlign w:val="center"/>
          </w:tcPr>
          <w:p w14:paraId="78A7A25B">
            <w:pPr>
              <w:widowControl/>
              <w:spacing w:line="360" w:lineRule="auto"/>
              <w:jc w:val="left"/>
              <w:rPr>
                <w:color w:val="auto"/>
                <w:kern w:val="0"/>
                <w:szCs w:val="21"/>
              </w:rPr>
            </w:pPr>
            <w:r>
              <w:rPr>
                <w:rFonts w:hint="eastAsia" w:hAnsi="宋体"/>
                <w:color w:val="auto"/>
                <w:szCs w:val="21"/>
              </w:rPr>
              <w:t>■</w:t>
            </w:r>
            <w:r>
              <w:rPr>
                <w:color w:val="auto"/>
                <w:kern w:val="0"/>
                <w:szCs w:val="21"/>
              </w:rPr>
              <w:t>否</w:t>
            </w:r>
          </w:p>
          <w:p w14:paraId="520C75EB">
            <w:pPr>
              <w:widowControl/>
              <w:spacing w:line="360" w:lineRule="auto"/>
              <w:jc w:val="left"/>
              <w:rPr>
                <w:color w:val="auto"/>
                <w:szCs w:val="21"/>
                <w:u w:val="single"/>
              </w:rPr>
            </w:pPr>
            <w:r>
              <w:rPr>
                <w:rFonts w:hint="eastAsia" w:ascii="宋体" w:hAnsi="宋体"/>
                <w:color w:val="auto"/>
                <w:szCs w:val="21"/>
              </w:rPr>
              <w:t>□</w:t>
            </w:r>
            <w:r>
              <w:rPr>
                <w:color w:val="auto"/>
                <w:kern w:val="0"/>
                <w:szCs w:val="21"/>
              </w:rPr>
              <w:t>是，退还安排：无</w:t>
            </w:r>
          </w:p>
        </w:tc>
      </w:tr>
      <w:tr w14:paraId="7715678E">
        <w:tblPrEx>
          <w:tblCellMar>
            <w:top w:w="0" w:type="dxa"/>
            <w:left w:w="108" w:type="dxa"/>
            <w:bottom w:w="0" w:type="dxa"/>
            <w:right w:w="108" w:type="dxa"/>
          </w:tblCellMar>
        </w:tblPrEx>
        <w:trPr>
          <w:trHeight w:val="417" w:hRule="atLeast"/>
        </w:trPr>
        <w:tc>
          <w:tcPr>
            <w:tcW w:w="1155" w:type="dxa"/>
            <w:tcBorders>
              <w:top w:val="single" w:color="auto" w:sz="4" w:space="0"/>
              <w:left w:val="single" w:color="auto" w:sz="4" w:space="0"/>
              <w:bottom w:val="single" w:color="auto" w:sz="4" w:space="0"/>
              <w:right w:val="single" w:color="auto" w:sz="4" w:space="0"/>
            </w:tcBorders>
            <w:vAlign w:val="center"/>
          </w:tcPr>
          <w:p w14:paraId="0728B412">
            <w:pPr>
              <w:widowControl/>
              <w:spacing w:line="360" w:lineRule="auto"/>
              <w:jc w:val="center"/>
              <w:rPr>
                <w:color w:val="auto"/>
                <w:kern w:val="0"/>
                <w:szCs w:val="21"/>
              </w:rPr>
            </w:pPr>
            <w:r>
              <w:rPr>
                <w:color w:val="auto"/>
                <w:kern w:val="0"/>
                <w:szCs w:val="21"/>
              </w:rPr>
              <w:t>5.1</w:t>
            </w:r>
          </w:p>
        </w:tc>
        <w:tc>
          <w:tcPr>
            <w:tcW w:w="2248" w:type="dxa"/>
            <w:tcBorders>
              <w:top w:val="single" w:color="auto" w:sz="4" w:space="0"/>
              <w:left w:val="single" w:color="auto" w:sz="4" w:space="0"/>
              <w:bottom w:val="single" w:color="auto" w:sz="4" w:space="0"/>
              <w:right w:val="single" w:color="auto" w:sz="4" w:space="0"/>
            </w:tcBorders>
            <w:vAlign w:val="center"/>
          </w:tcPr>
          <w:p w14:paraId="3F90BBEE">
            <w:pPr>
              <w:widowControl/>
              <w:spacing w:line="360" w:lineRule="auto"/>
              <w:jc w:val="center"/>
              <w:rPr>
                <w:color w:val="auto"/>
                <w:kern w:val="0"/>
                <w:szCs w:val="21"/>
              </w:rPr>
            </w:pPr>
            <w:r>
              <w:rPr>
                <w:color w:val="auto"/>
                <w:kern w:val="0"/>
                <w:szCs w:val="21"/>
              </w:rPr>
              <w:t>谈判时间和地点</w:t>
            </w:r>
          </w:p>
        </w:tc>
        <w:tc>
          <w:tcPr>
            <w:tcW w:w="6662" w:type="dxa"/>
            <w:tcBorders>
              <w:top w:val="single" w:color="auto" w:sz="4" w:space="0"/>
              <w:left w:val="single" w:color="auto" w:sz="4" w:space="0"/>
              <w:bottom w:val="single" w:color="auto" w:sz="4" w:space="0"/>
              <w:right w:val="single" w:color="auto" w:sz="4" w:space="0"/>
            </w:tcBorders>
            <w:vAlign w:val="center"/>
          </w:tcPr>
          <w:p w14:paraId="2E866571">
            <w:pPr>
              <w:widowControl/>
              <w:spacing w:line="360" w:lineRule="auto"/>
              <w:jc w:val="left"/>
              <w:rPr>
                <w:color w:val="auto"/>
                <w:szCs w:val="21"/>
              </w:rPr>
            </w:pPr>
            <w:r>
              <w:rPr>
                <w:color w:val="auto"/>
                <w:szCs w:val="21"/>
              </w:rPr>
              <w:t>谈判时间：</w:t>
            </w:r>
            <w:r>
              <w:rPr>
                <w:rFonts w:hint="eastAsia"/>
                <w:color w:val="auto"/>
                <w:szCs w:val="21"/>
              </w:rPr>
              <w:t>同响应文件递交截止时间</w:t>
            </w:r>
          </w:p>
          <w:p w14:paraId="74EE5A91">
            <w:pPr>
              <w:widowControl/>
              <w:spacing w:line="360" w:lineRule="auto"/>
              <w:jc w:val="left"/>
              <w:rPr>
                <w:color w:val="auto"/>
                <w:kern w:val="0"/>
                <w:szCs w:val="21"/>
              </w:rPr>
            </w:pPr>
            <w:r>
              <w:rPr>
                <w:rFonts w:hint="eastAsia"/>
                <w:color w:val="auto"/>
                <w:szCs w:val="21"/>
              </w:rPr>
              <w:t>谈判地点</w:t>
            </w:r>
            <w:r>
              <w:rPr>
                <w:color w:val="auto"/>
                <w:szCs w:val="21"/>
              </w:rPr>
              <w:t>：</w:t>
            </w:r>
            <w:r>
              <w:rPr>
                <w:rFonts w:hint="eastAsia"/>
                <w:color w:val="auto"/>
                <w:szCs w:val="21"/>
              </w:rPr>
              <w:t>同响应文件递交地点</w:t>
            </w:r>
          </w:p>
        </w:tc>
      </w:tr>
      <w:tr w14:paraId="2BD8D83B">
        <w:tblPrEx>
          <w:tblCellMar>
            <w:top w:w="0" w:type="dxa"/>
            <w:left w:w="108" w:type="dxa"/>
            <w:bottom w:w="0" w:type="dxa"/>
            <w:right w:w="108" w:type="dxa"/>
          </w:tblCellMar>
        </w:tblPrEx>
        <w:trPr>
          <w:trHeight w:val="381" w:hRule="atLeast"/>
        </w:trPr>
        <w:tc>
          <w:tcPr>
            <w:tcW w:w="1155" w:type="dxa"/>
            <w:tcBorders>
              <w:top w:val="single" w:color="auto" w:sz="4" w:space="0"/>
              <w:left w:val="single" w:color="auto" w:sz="4" w:space="0"/>
              <w:bottom w:val="single" w:color="auto" w:sz="4" w:space="0"/>
              <w:right w:val="single" w:color="auto" w:sz="4" w:space="0"/>
            </w:tcBorders>
            <w:vAlign w:val="center"/>
          </w:tcPr>
          <w:p w14:paraId="0B32AE99">
            <w:pPr>
              <w:widowControl/>
              <w:spacing w:line="360" w:lineRule="auto"/>
              <w:jc w:val="center"/>
              <w:rPr>
                <w:color w:val="auto"/>
                <w:kern w:val="0"/>
                <w:szCs w:val="21"/>
              </w:rPr>
            </w:pPr>
            <w:r>
              <w:rPr>
                <w:color w:val="auto"/>
                <w:kern w:val="0"/>
                <w:szCs w:val="21"/>
              </w:rPr>
              <w:t>5.3</w:t>
            </w:r>
          </w:p>
        </w:tc>
        <w:tc>
          <w:tcPr>
            <w:tcW w:w="2248" w:type="dxa"/>
            <w:tcBorders>
              <w:top w:val="single" w:color="auto" w:sz="4" w:space="0"/>
              <w:left w:val="single" w:color="auto" w:sz="4" w:space="0"/>
              <w:bottom w:val="single" w:color="auto" w:sz="4" w:space="0"/>
              <w:right w:val="single" w:color="auto" w:sz="4" w:space="0"/>
            </w:tcBorders>
            <w:vAlign w:val="center"/>
          </w:tcPr>
          <w:p w14:paraId="3260C85F">
            <w:pPr>
              <w:widowControl/>
              <w:spacing w:line="360" w:lineRule="auto"/>
              <w:jc w:val="center"/>
              <w:rPr>
                <w:color w:val="auto"/>
                <w:kern w:val="0"/>
                <w:szCs w:val="21"/>
              </w:rPr>
            </w:pPr>
            <w:r>
              <w:rPr>
                <w:rFonts w:hint="eastAsia"/>
                <w:color w:val="auto"/>
                <w:kern w:val="0"/>
                <w:szCs w:val="21"/>
              </w:rPr>
              <w:t>谈判程序</w:t>
            </w:r>
          </w:p>
        </w:tc>
        <w:tc>
          <w:tcPr>
            <w:tcW w:w="6662" w:type="dxa"/>
            <w:tcBorders>
              <w:top w:val="single" w:color="auto" w:sz="4" w:space="0"/>
              <w:left w:val="single" w:color="auto" w:sz="4" w:space="0"/>
              <w:bottom w:val="single" w:color="auto" w:sz="4" w:space="0"/>
              <w:right w:val="single" w:color="auto" w:sz="4" w:space="0"/>
            </w:tcBorders>
          </w:tcPr>
          <w:p w14:paraId="45F3C578">
            <w:pPr>
              <w:pStyle w:val="22"/>
              <w:spacing w:line="360" w:lineRule="auto"/>
              <w:rPr>
                <w:rFonts w:hint="eastAsia" w:cs="Malgun Gothic" w:asciiTheme="minorEastAsia" w:hAnsiTheme="minorEastAsia" w:eastAsiaTheme="minorEastAsia"/>
                <w:color w:val="auto"/>
                <w:szCs w:val="21"/>
              </w:rPr>
            </w:pPr>
            <w:r>
              <w:rPr>
                <w:rFonts w:hint="eastAsia" w:cs="Malgun Gothic" w:asciiTheme="minorEastAsia" w:hAnsiTheme="minorEastAsia" w:eastAsiaTheme="minorEastAsia"/>
                <w:color w:val="auto"/>
                <w:szCs w:val="21"/>
              </w:rPr>
              <w:t>开标会由采购代理机构主持，具体流程如下：</w:t>
            </w:r>
          </w:p>
          <w:p w14:paraId="33EB6815">
            <w:pPr>
              <w:pStyle w:val="22"/>
              <w:spacing w:line="360" w:lineRule="auto"/>
              <w:rPr>
                <w:rFonts w:hint="eastAsia" w:cs="Malgun Gothic" w:asciiTheme="minorEastAsia" w:hAnsiTheme="minorEastAsia" w:eastAsiaTheme="minorEastAsia"/>
                <w:color w:val="auto"/>
                <w:szCs w:val="21"/>
              </w:rPr>
            </w:pPr>
            <w:r>
              <w:rPr>
                <w:rFonts w:hint="eastAsia" w:cs="Malgun Gothic" w:asciiTheme="minorEastAsia" w:hAnsiTheme="minorEastAsia" w:eastAsiaTheme="minorEastAsia"/>
                <w:color w:val="auto"/>
                <w:szCs w:val="21"/>
              </w:rPr>
              <w:t>（</w:t>
            </w:r>
            <w:r>
              <w:rPr>
                <w:rFonts w:cs="Malgun Gothic" w:asciiTheme="minorEastAsia" w:hAnsiTheme="minorEastAsia" w:eastAsiaTheme="minorEastAsia"/>
                <w:color w:val="auto"/>
                <w:szCs w:val="21"/>
              </w:rPr>
              <w:t>1）采购代理机构依托电子交易平台发起开始解密指令，投标人须使用加密时所用的CA</w:t>
            </w:r>
            <w:r>
              <w:rPr>
                <w:rFonts w:hint="eastAsia" w:cs="Malgun Gothic" w:asciiTheme="minorEastAsia" w:hAnsiTheme="minorEastAsia" w:eastAsiaTheme="minorEastAsia"/>
                <w:color w:val="auto"/>
                <w:szCs w:val="21"/>
              </w:rPr>
              <w:t>锁按平台提示和</w:t>
            </w:r>
            <w:r>
              <w:rPr>
                <w:rFonts w:hint="eastAsia" w:ascii="宋体" w:hAnsi="宋体"/>
                <w:color w:val="auto"/>
                <w:szCs w:val="21"/>
                <w:lang w:val="en-US" w:eastAsia="zh-CN"/>
              </w:rPr>
              <w:t>谈判</w:t>
            </w:r>
            <w:r>
              <w:rPr>
                <w:rFonts w:hint="eastAsia" w:cs="Malgun Gothic" w:asciiTheme="minorEastAsia" w:hAnsiTheme="minorEastAsia" w:eastAsiaTheme="minorEastAsia"/>
                <w:color w:val="auto"/>
                <w:szCs w:val="21"/>
              </w:rPr>
              <w:t>文件的规定登录到“政采云”平台电子开标大厅签到，并在发起解密指令之时起30</w:t>
            </w:r>
            <w:r>
              <w:rPr>
                <w:rFonts w:cs="Malgun Gothic" w:asciiTheme="minorEastAsia" w:hAnsiTheme="minorEastAsia" w:eastAsiaTheme="minorEastAsia"/>
                <w:color w:val="auto"/>
                <w:szCs w:val="21"/>
              </w:rPr>
              <w:t>分钟内完成对电子投标文件在线解密。</w:t>
            </w:r>
          </w:p>
          <w:p w14:paraId="6904BF26">
            <w:pPr>
              <w:pStyle w:val="22"/>
              <w:spacing w:line="360" w:lineRule="auto"/>
              <w:rPr>
                <w:rFonts w:hint="eastAsia" w:cs="Malgun Gothic" w:asciiTheme="minorEastAsia" w:hAnsiTheme="minorEastAsia" w:eastAsiaTheme="minorEastAsia"/>
                <w:color w:val="auto"/>
                <w:szCs w:val="21"/>
              </w:rPr>
            </w:pPr>
            <w:r>
              <w:rPr>
                <w:rFonts w:hint="eastAsia" w:cs="Malgun Gothic" w:asciiTheme="minorEastAsia" w:hAnsiTheme="minorEastAsia" w:eastAsiaTheme="minorEastAsia"/>
                <w:color w:val="auto"/>
                <w:szCs w:val="21"/>
              </w:rPr>
              <w:t>（</w:t>
            </w:r>
            <w:r>
              <w:rPr>
                <w:rFonts w:cs="Malgun Gothic" w:asciiTheme="minorEastAsia" w:hAnsiTheme="minorEastAsia" w:eastAsiaTheme="minorEastAsia"/>
                <w:color w:val="auto"/>
                <w:szCs w:val="21"/>
              </w:rPr>
              <w:t>2）发起解密指令之时起5分钟内投标人还未进行解密的，代理机构可通知投标人，投标人未预留联系方式或预留联系方式无效，导致代理机构无法联系到投标人进行解密的，视为撤回投标文件。</w:t>
            </w:r>
          </w:p>
          <w:p w14:paraId="7626069E">
            <w:pPr>
              <w:widowControl/>
              <w:spacing w:line="360" w:lineRule="auto"/>
              <w:rPr>
                <w:color w:val="auto"/>
                <w:kern w:val="0"/>
                <w:szCs w:val="21"/>
              </w:rPr>
            </w:pPr>
            <w:r>
              <w:rPr>
                <w:rFonts w:hint="eastAsia" w:cs="Malgun Gothic" w:asciiTheme="minorEastAsia" w:hAnsiTheme="minorEastAsia" w:eastAsiaTheme="minorEastAsia"/>
                <w:color w:val="auto"/>
                <w:szCs w:val="21"/>
              </w:rPr>
              <w:t>（解密异常情况处理：详见本章</w:t>
            </w:r>
            <w:r>
              <w:rPr>
                <w:rFonts w:cs="Malgun Gothic" w:asciiTheme="minorEastAsia" w:hAnsiTheme="minorEastAsia" w:eastAsiaTheme="minorEastAsia"/>
                <w:color w:val="auto"/>
                <w:szCs w:val="21"/>
              </w:rPr>
              <w:t>11.1</w:t>
            </w:r>
            <w:r>
              <w:rPr>
                <w:rFonts w:hint="eastAsia" w:cs="Malgun Gothic" w:asciiTheme="minorEastAsia" w:hAnsiTheme="minorEastAsia" w:eastAsiaTheme="minorEastAsia"/>
                <w:color w:val="auto"/>
                <w:szCs w:val="21"/>
              </w:rPr>
              <w:t>电子交易活动的中止）如投标人成功解密投标文件，但未在“政采云”电子开标大厅参加开标的，视同认可开标过程和结果，由此产生的后果由投标人自行负责。</w:t>
            </w:r>
          </w:p>
        </w:tc>
      </w:tr>
      <w:tr w14:paraId="394D523A">
        <w:tblPrEx>
          <w:tblCellMar>
            <w:top w:w="0" w:type="dxa"/>
            <w:left w:w="108" w:type="dxa"/>
            <w:bottom w:w="0" w:type="dxa"/>
            <w:right w:w="108" w:type="dxa"/>
          </w:tblCellMar>
        </w:tblPrEx>
        <w:trPr>
          <w:trHeight w:val="381" w:hRule="atLeast"/>
        </w:trPr>
        <w:tc>
          <w:tcPr>
            <w:tcW w:w="1155" w:type="dxa"/>
            <w:tcBorders>
              <w:top w:val="single" w:color="auto" w:sz="4" w:space="0"/>
              <w:left w:val="single" w:color="auto" w:sz="4" w:space="0"/>
              <w:bottom w:val="single" w:color="auto" w:sz="4" w:space="0"/>
              <w:right w:val="single" w:color="auto" w:sz="4" w:space="0"/>
            </w:tcBorders>
            <w:vAlign w:val="center"/>
          </w:tcPr>
          <w:p w14:paraId="38EC1A96">
            <w:pPr>
              <w:widowControl/>
              <w:spacing w:line="360" w:lineRule="auto"/>
              <w:jc w:val="center"/>
              <w:rPr>
                <w:color w:val="auto"/>
                <w:kern w:val="0"/>
                <w:szCs w:val="21"/>
              </w:rPr>
            </w:pPr>
            <w:r>
              <w:rPr>
                <w:color w:val="auto"/>
                <w:kern w:val="0"/>
                <w:szCs w:val="21"/>
              </w:rPr>
              <w:t>6.1.1</w:t>
            </w:r>
          </w:p>
        </w:tc>
        <w:tc>
          <w:tcPr>
            <w:tcW w:w="2248" w:type="dxa"/>
            <w:tcBorders>
              <w:top w:val="single" w:color="auto" w:sz="4" w:space="0"/>
              <w:left w:val="single" w:color="auto" w:sz="4" w:space="0"/>
              <w:bottom w:val="single" w:color="auto" w:sz="4" w:space="0"/>
              <w:right w:val="single" w:color="auto" w:sz="4" w:space="0"/>
            </w:tcBorders>
            <w:vAlign w:val="center"/>
          </w:tcPr>
          <w:p w14:paraId="54C4CD73">
            <w:pPr>
              <w:widowControl/>
              <w:spacing w:line="360" w:lineRule="auto"/>
              <w:jc w:val="center"/>
              <w:rPr>
                <w:color w:val="auto"/>
                <w:kern w:val="0"/>
                <w:szCs w:val="21"/>
              </w:rPr>
            </w:pPr>
            <w:r>
              <w:rPr>
                <w:rFonts w:hint="eastAsia"/>
                <w:color w:val="auto"/>
                <w:kern w:val="0"/>
                <w:szCs w:val="21"/>
              </w:rPr>
              <w:t>谈判</w:t>
            </w:r>
            <w:r>
              <w:rPr>
                <w:color w:val="auto"/>
                <w:kern w:val="0"/>
                <w:szCs w:val="21"/>
              </w:rPr>
              <w:t>小组的组建</w:t>
            </w:r>
          </w:p>
        </w:tc>
        <w:tc>
          <w:tcPr>
            <w:tcW w:w="6662" w:type="dxa"/>
            <w:tcBorders>
              <w:top w:val="single" w:color="auto" w:sz="4" w:space="0"/>
              <w:left w:val="single" w:color="auto" w:sz="4" w:space="0"/>
              <w:bottom w:val="single" w:color="auto" w:sz="4" w:space="0"/>
              <w:right w:val="single" w:color="auto" w:sz="4" w:space="0"/>
            </w:tcBorders>
            <w:vAlign w:val="center"/>
          </w:tcPr>
          <w:p w14:paraId="1D0A9044">
            <w:pPr>
              <w:widowControl/>
              <w:spacing w:line="360" w:lineRule="auto"/>
              <w:jc w:val="left"/>
              <w:rPr>
                <w:color w:val="auto"/>
                <w:szCs w:val="21"/>
              </w:rPr>
            </w:pPr>
            <w:r>
              <w:rPr>
                <w:rFonts w:hint="eastAsia"/>
                <w:color w:val="auto"/>
                <w:szCs w:val="21"/>
              </w:rPr>
              <w:t>谈判小组由采购人代表和评审专家组成，成员人数为 3 人以上单数，其中技术、经济专家不得少于成员总数的三分之二。</w:t>
            </w:r>
          </w:p>
        </w:tc>
      </w:tr>
      <w:tr w14:paraId="0E297EAE">
        <w:tblPrEx>
          <w:tblCellMar>
            <w:top w:w="0" w:type="dxa"/>
            <w:left w:w="108" w:type="dxa"/>
            <w:bottom w:w="0" w:type="dxa"/>
            <w:right w:w="108" w:type="dxa"/>
          </w:tblCellMar>
        </w:tblPrEx>
        <w:trPr>
          <w:trHeight w:val="381" w:hRule="atLeast"/>
        </w:trPr>
        <w:tc>
          <w:tcPr>
            <w:tcW w:w="1155" w:type="dxa"/>
            <w:tcBorders>
              <w:top w:val="single" w:color="auto" w:sz="4" w:space="0"/>
              <w:left w:val="single" w:color="auto" w:sz="4" w:space="0"/>
              <w:bottom w:val="single" w:color="auto" w:sz="4" w:space="0"/>
              <w:right w:val="single" w:color="auto" w:sz="4" w:space="0"/>
            </w:tcBorders>
            <w:vAlign w:val="center"/>
          </w:tcPr>
          <w:p w14:paraId="66584685">
            <w:pPr>
              <w:widowControl/>
              <w:spacing w:line="360" w:lineRule="auto"/>
              <w:jc w:val="center"/>
              <w:rPr>
                <w:color w:val="auto"/>
                <w:kern w:val="0"/>
                <w:szCs w:val="21"/>
              </w:rPr>
            </w:pPr>
            <w:r>
              <w:rPr>
                <w:color w:val="auto"/>
                <w:kern w:val="0"/>
                <w:szCs w:val="21"/>
              </w:rPr>
              <w:t>7.1</w:t>
            </w:r>
          </w:p>
        </w:tc>
        <w:tc>
          <w:tcPr>
            <w:tcW w:w="2248" w:type="dxa"/>
            <w:tcBorders>
              <w:top w:val="single" w:color="auto" w:sz="4" w:space="0"/>
              <w:left w:val="single" w:color="auto" w:sz="4" w:space="0"/>
              <w:bottom w:val="single" w:color="auto" w:sz="4" w:space="0"/>
              <w:right w:val="single" w:color="auto" w:sz="4" w:space="0"/>
            </w:tcBorders>
            <w:vAlign w:val="center"/>
          </w:tcPr>
          <w:p w14:paraId="63965925">
            <w:pPr>
              <w:widowControl/>
              <w:spacing w:line="360" w:lineRule="auto"/>
              <w:jc w:val="center"/>
              <w:rPr>
                <w:color w:val="auto"/>
                <w:kern w:val="0"/>
                <w:szCs w:val="21"/>
              </w:rPr>
            </w:pPr>
            <w:r>
              <w:rPr>
                <w:color w:val="auto"/>
                <w:kern w:val="0"/>
                <w:szCs w:val="21"/>
              </w:rPr>
              <w:t>是否授权</w:t>
            </w:r>
            <w:r>
              <w:rPr>
                <w:rFonts w:hint="eastAsia"/>
                <w:color w:val="auto"/>
                <w:kern w:val="0"/>
                <w:szCs w:val="21"/>
              </w:rPr>
              <w:t>谈判</w:t>
            </w:r>
            <w:r>
              <w:rPr>
                <w:color w:val="auto"/>
                <w:kern w:val="0"/>
                <w:szCs w:val="21"/>
              </w:rPr>
              <w:t>小组</w:t>
            </w:r>
          </w:p>
          <w:p w14:paraId="19E6D1D0">
            <w:pPr>
              <w:widowControl/>
              <w:spacing w:line="360" w:lineRule="auto"/>
              <w:jc w:val="center"/>
              <w:rPr>
                <w:color w:val="auto"/>
                <w:kern w:val="0"/>
                <w:szCs w:val="21"/>
              </w:rPr>
            </w:pPr>
            <w:r>
              <w:rPr>
                <w:color w:val="auto"/>
                <w:kern w:val="0"/>
                <w:szCs w:val="21"/>
              </w:rPr>
              <w:t>确定</w:t>
            </w:r>
            <w:r>
              <w:rPr>
                <w:rFonts w:hint="eastAsia"/>
                <w:color w:val="auto"/>
              </w:rPr>
              <w:t>成交供应商</w:t>
            </w:r>
          </w:p>
        </w:tc>
        <w:tc>
          <w:tcPr>
            <w:tcW w:w="6662" w:type="dxa"/>
            <w:tcBorders>
              <w:top w:val="single" w:color="auto" w:sz="4" w:space="0"/>
              <w:left w:val="single" w:color="auto" w:sz="4" w:space="0"/>
              <w:bottom w:val="single" w:color="auto" w:sz="4" w:space="0"/>
              <w:right w:val="single" w:color="auto" w:sz="4" w:space="0"/>
            </w:tcBorders>
            <w:vAlign w:val="center"/>
          </w:tcPr>
          <w:p w14:paraId="470BC538">
            <w:pPr>
              <w:widowControl/>
              <w:spacing w:line="360" w:lineRule="auto"/>
              <w:jc w:val="left"/>
              <w:rPr>
                <w:color w:val="auto"/>
                <w:szCs w:val="21"/>
              </w:rPr>
            </w:pPr>
            <w:r>
              <w:rPr>
                <w:rFonts w:hint="eastAsia" w:ascii="宋体" w:hAnsi="宋体"/>
                <w:color w:val="auto"/>
                <w:szCs w:val="21"/>
                <w:lang w:eastAsia="zh-CN"/>
              </w:rPr>
              <w:t>□</w:t>
            </w:r>
            <w:r>
              <w:rPr>
                <w:color w:val="auto"/>
                <w:szCs w:val="21"/>
              </w:rPr>
              <w:t>是</w:t>
            </w:r>
          </w:p>
          <w:p w14:paraId="2999D913">
            <w:pPr>
              <w:widowControl/>
              <w:spacing w:line="360" w:lineRule="auto"/>
              <w:jc w:val="left"/>
              <w:rPr>
                <w:color w:val="auto"/>
                <w:szCs w:val="21"/>
              </w:rPr>
            </w:pPr>
            <w:r>
              <w:rPr>
                <w:rFonts w:hint="eastAsia" w:hAnsi="宋体"/>
                <w:color w:val="auto"/>
                <w:szCs w:val="21"/>
              </w:rPr>
              <w:t>■</w:t>
            </w:r>
            <w:r>
              <w:rPr>
                <w:color w:val="auto"/>
                <w:szCs w:val="21"/>
              </w:rPr>
              <w:t>否，推荐的</w:t>
            </w:r>
            <w:r>
              <w:rPr>
                <w:rFonts w:hint="eastAsia"/>
                <w:color w:val="auto"/>
              </w:rPr>
              <w:t>成交</w:t>
            </w:r>
            <w:r>
              <w:rPr>
                <w:color w:val="auto"/>
                <w:szCs w:val="21"/>
              </w:rPr>
              <w:t>候选人数：3名</w:t>
            </w:r>
          </w:p>
        </w:tc>
      </w:tr>
      <w:tr w14:paraId="424F6818">
        <w:tblPrEx>
          <w:tblCellMar>
            <w:top w:w="0" w:type="dxa"/>
            <w:left w:w="108" w:type="dxa"/>
            <w:bottom w:w="0" w:type="dxa"/>
            <w:right w:w="108" w:type="dxa"/>
          </w:tblCellMar>
        </w:tblPrEx>
        <w:trPr>
          <w:trHeight w:val="381" w:hRule="atLeast"/>
        </w:trPr>
        <w:tc>
          <w:tcPr>
            <w:tcW w:w="1155" w:type="dxa"/>
            <w:tcBorders>
              <w:top w:val="single" w:color="auto" w:sz="4" w:space="0"/>
              <w:left w:val="single" w:color="auto" w:sz="4" w:space="0"/>
              <w:bottom w:val="single" w:color="auto" w:sz="4" w:space="0"/>
              <w:right w:val="single" w:color="auto" w:sz="4" w:space="0"/>
            </w:tcBorders>
            <w:vAlign w:val="center"/>
          </w:tcPr>
          <w:p w14:paraId="68ED8557">
            <w:pPr>
              <w:widowControl/>
              <w:spacing w:line="360" w:lineRule="auto"/>
              <w:jc w:val="center"/>
              <w:rPr>
                <w:color w:val="auto"/>
                <w:kern w:val="0"/>
                <w:szCs w:val="21"/>
              </w:rPr>
            </w:pPr>
            <w:r>
              <w:rPr>
                <w:rFonts w:hint="eastAsia"/>
                <w:color w:val="auto"/>
                <w:kern w:val="0"/>
                <w:szCs w:val="21"/>
              </w:rPr>
              <w:t>7</w:t>
            </w:r>
            <w:r>
              <w:rPr>
                <w:color w:val="auto"/>
                <w:kern w:val="0"/>
                <w:szCs w:val="21"/>
              </w:rPr>
              <w:t>.2</w:t>
            </w:r>
          </w:p>
        </w:tc>
        <w:tc>
          <w:tcPr>
            <w:tcW w:w="2248" w:type="dxa"/>
            <w:tcBorders>
              <w:top w:val="single" w:color="auto" w:sz="4" w:space="0"/>
              <w:left w:val="single" w:color="auto" w:sz="4" w:space="0"/>
              <w:bottom w:val="single" w:color="auto" w:sz="4" w:space="0"/>
              <w:right w:val="single" w:color="auto" w:sz="4" w:space="0"/>
            </w:tcBorders>
            <w:vAlign w:val="center"/>
          </w:tcPr>
          <w:p w14:paraId="7B215A48">
            <w:pPr>
              <w:widowControl/>
              <w:spacing w:line="360" w:lineRule="auto"/>
              <w:jc w:val="center"/>
              <w:rPr>
                <w:color w:val="auto"/>
                <w:kern w:val="0"/>
                <w:szCs w:val="21"/>
              </w:rPr>
            </w:pPr>
            <w:r>
              <w:rPr>
                <w:rFonts w:hint="eastAsia"/>
                <w:color w:val="auto"/>
                <w:kern w:val="0"/>
                <w:szCs w:val="21"/>
              </w:rPr>
              <w:t>成交公告媒介及期限</w:t>
            </w:r>
          </w:p>
        </w:tc>
        <w:tc>
          <w:tcPr>
            <w:tcW w:w="6662" w:type="dxa"/>
            <w:tcBorders>
              <w:top w:val="single" w:color="auto" w:sz="4" w:space="0"/>
              <w:left w:val="single" w:color="auto" w:sz="4" w:space="0"/>
              <w:bottom w:val="single" w:color="auto" w:sz="4" w:space="0"/>
              <w:right w:val="single" w:color="auto" w:sz="4" w:space="0"/>
            </w:tcBorders>
            <w:vAlign w:val="center"/>
          </w:tcPr>
          <w:p w14:paraId="499169C7">
            <w:pPr>
              <w:widowControl/>
              <w:spacing w:line="360" w:lineRule="auto"/>
              <w:jc w:val="left"/>
              <w:rPr>
                <w:rFonts w:hint="eastAsia" w:ascii="宋体" w:hAnsi="宋体"/>
                <w:color w:val="auto"/>
                <w:szCs w:val="21"/>
              </w:rPr>
            </w:pPr>
            <w:r>
              <w:rPr>
                <w:rFonts w:hint="eastAsia" w:ascii="宋体" w:hAnsi="宋体"/>
                <w:color w:val="auto"/>
                <w:szCs w:val="21"/>
              </w:rPr>
              <w:t>公告媒介：同竞争性谈判公告发布媒介</w:t>
            </w:r>
          </w:p>
          <w:p w14:paraId="6A93C73D">
            <w:pPr>
              <w:widowControl/>
              <w:spacing w:line="360" w:lineRule="auto"/>
              <w:jc w:val="left"/>
              <w:rPr>
                <w:rFonts w:hint="eastAsia" w:ascii="宋体" w:hAnsi="宋体"/>
                <w:color w:val="auto"/>
                <w:szCs w:val="21"/>
              </w:rPr>
            </w:pPr>
            <w:r>
              <w:rPr>
                <w:rFonts w:hint="eastAsia" w:ascii="宋体" w:hAnsi="宋体"/>
                <w:color w:val="auto"/>
                <w:szCs w:val="21"/>
              </w:rPr>
              <w:t>公告期限：1个工作日</w:t>
            </w:r>
          </w:p>
        </w:tc>
      </w:tr>
      <w:tr w14:paraId="0484A959">
        <w:tblPrEx>
          <w:tblCellMar>
            <w:top w:w="0" w:type="dxa"/>
            <w:left w:w="108" w:type="dxa"/>
            <w:bottom w:w="0" w:type="dxa"/>
            <w:right w:w="108" w:type="dxa"/>
          </w:tblCellMar>
        </w:tblPrEx>
        <w:trPr>
          <w:trHeight w:val="268" w:hRule="atLeast"/>
        </w:trPr>
        <w:tc>
          <w:tcPr>
            <w:tcW w:w="1155" w:type="dxa"/>
            <w:tcBorders>
              <w:top w:val="single" w:color="auto" w:sz="4" w:space="0"/>
              <w:left w:val="single" w:color="auto" w:sz="4" w:space="0"/>
              <w:bottom w:val="single" w:color="auto" w:sz="4" w:space="0"/>
              <w:right w:val="single" w:color="auto" w:sz="4" w:space="0"/>
            </w:tcBorders>
            <w:vAlign w:val="center"/>
          </w:tcPr>
          <w:p w14:paraId="7B594100">
            <w:pPr>
              <w:widowControl/>
              <w:spacing w:line="360" w:lineRule="auto"/>
              <w:jc w:val="center"/>
              <w:rPr>
                <w:color w:val="auto"/>
                <w:kern w:val="0"/>
                <w:szCs w:val="21"/>
              </w:rPr>
            </w:pPr>
            <w:r>
              <w:rPr>
                <w:color w:val="auto"/>
                <w:kern w:val="0"/>
                <w:szCs w:val="21"/>
              </w:rPr>
              <w:t>7.4.1</w:t>
            </w:r>
          </w:p>
        </w:tc>
        <w:tc>
          <w:tcPr>
            <w:tcW w:w="2248" w:type="dxa"/>
            <w:tcBorders>
              <w:top w:val="single" w:color="auto" w:sz="4" w:space="0"/>
              <w:left w:val="single" w:color="auto" w:sz="4" w:space="0"/>
              <w:bottom w:val="single" w:color="auto" w:sz="4" w:space="0"/>
              <w:right w:val="single" w:color="auto" w:sz="4" w:space="0"/>
            </w:tcBorders>
            <w:vAlign w:val="center"/>
          </w:tcPr>
          <w:p w14:paraId="2A1F8680">
            <w:pPr>
              <w:widowControl/>
              <w:spacing w:line="360" w:lineRule="auto"/>
              <w:jc w:val="center"/>
              <w:rPr>
                <w:color w:val="auto"/>
                <w:kern w:val="0"/>
                <w:szCs w:val="21"/>
              </w:rPr>
            </w:pPr>
            <w:r>
              <w:rPr>
                <w:color w:val="auto"/>
                <w:kern w:val="0"/>
                <w:szCs w:val="21"/>
              </w:rPr>
              <w:t>履约保证金</w:t>
            </w:r>
          </w:p>
        </w:tc>
        <w:tc>
          <w:tcPr>
            <w:tcW w:w="6662" w:type="dxa"/>
            <w:tcBorders>
              <w:top w:val="single" w:color="auto" w:sz="4" w:space="0"/>
              <w:left w:val="single" w:color="auto" w:sz="4" w:space="0"/>
              <w:bottom w:val="single" w:color="auto" w:sz="4" w:space="0"/>
              <w:right w:val="single" w:color="auto" w:sz="4" w:space="0"/>
            </w:tcBorders>
            <w:vAlign w:val="center"/>
          </w:tcPr>
          <w:p w14:paraId="1677ACC0">
            <w:pPr>
              <w:widowControl/>
              <w:spacing w:line="360" w:lineRule="auto"/>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是否要求</w:t>
            </w:r>
            <w:r>
              <w:rPr>
                <w:rFonts w:hint="eastAsia" w:asciiTheme="minorEastAsia" w:hAnsiTheme="minorEastAsia" w:eastAsiaTheme="minorEastAsia"/>
                <w:color w:val="auto"/>
              </w:rPr>
              <w:t>中标人</w:t>
            </w:r>
            <w:r>
              <w:rPr>
                <w:rFonts w:hint="eastAsia" w:asciiTheme="minorEastAsia" w:hAnsiTheme="minorEastAsia" w:eastAsiaTheme="minorEastAsia"/>
                <w:color w:val="auto"/>
                <w:szCs w:val="21"/>
              </w:rPr>
              <w:t>提交履约保证金：</w:t>
            </w:r>
          </w:p>
          <w:p w14:paraId="082B09D6">
            <w:pPr>
              <w:widowControl/>
              <w:spacing w:line="360" w:lineRule="auto"/>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■不要求</w:t>
            </w:r>
          </w:p>
          <w:p w14:paraId="6194BFD9">
            <w:pPr>
              <w:widowControl/>
              <w:spacing w:line="360" w:lineRule="auto"/>
              <w:jc w:val="left"/>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eastAsia="zh-CN"/>
              </w:rPr>
              <w:t>□</w:t>
            </w:r>
            <w:r>
              <w:rPr>
                <w:rFonts w:hint="eastAsia" w:asciiTheme="minorEastAsia" w:hAnsiTheme="minorEastAsia" w:eastAsiaTheme="minorEastAsia"/>
                <w:color w:val="auto"/>
                <w:szCs w:val="21"/>
              </w:rPr>
              <w:t>要求：</w:t>
            </w:r>
          </w:p>
        </w:tc>
      </w:tr>
      <w:tr w14:paraId="267D731F">
        <w:tblPrEx>
          <w:tblCellMar>
            <w:top w:w="0" w:type="dxa"/>
            <w:left w:w="108" w:type="dxa"/>
            <w:bottom w:w="0" w:type="dxa"/>
            <w:right w:w="108" w:type="dxa"/>
          </w:tblCellMar>
        </w:tblPrEx>
        <w:trPr>
          <w:trHeight w:val="529" w:hRule="atLeast"/>
        </w:trPr>
        <w:tc>
          <w:tcPr>
            <w:tcW w:w="1155" w:type="dxa"/>
            <w:tcBorders>
              <w:top w:val="single" w:color="auto" w:sz="4" w:space="0"/>
              <w:left w:val="single" w:color="auto" w:sz="4" w:space="0"/>
              <w:bottom w:val="single" w:color="auto" w:sz="4" w:space="0"/>
              <w:right w:val="single" w:color="auto" w:sz="4" w:space="0"/>
            </w:tcBorders>
            <w:vAlign w:val="center"/>
          </w:tcPr>
          <w:p w14:paraId="70617D7E">
            <w:pPr>
              <w:widowControl/>
              <w:spacing w:line="360" w:lineRule="auto"/>
              <w:jc w:val="center"/>
              <w:rPr>
                <w:b/>
                <w:color w:val="auto"/>
                <w:kern w:val="0"/>
                <w:szCs w:val="21"/>
              </w:rPr>
            </w:pPr>
            <w:r>
              <w:rPr>
                <w:rFonts w:hint="eastAsia"/>
                <w:b/>
                <w:color w:val="auto"/>
                <w:kern w:val="0"/>
                <w:szCs w:val="21"/>
              </w:rPr>
              <w:t>10</w:t>
            </w:r>
          </w:p>
        </w:tc>
        <w:tc>
          <w:tcPr>
            <w:tcW w:w="8910" w:type="dxa"/>
            <w:gridSpan w:val="2"/>
            <w:tcBorders>
              <w:top w:val="single" w:color="auto" w:sz="4" w:space="0"/>
              <w:left w:val="single" w:color="auto" w:sz="4" w:space="0"/>
              <w:bottom w:val="single" w:color="auto" w:sz="4" w:space="0"/>
              <w:right w:val="single" w:color="auto" w:sz="4" w:space="0"/>
            </w:tcBorders>
            <w:vAlign w:val="center"/>
          </w:tcPr>
          <w:p w14:paraId="67183385">
            <w:pPr>
              <w:widowControl/>
              <w:spacing w:line="360" w:lineRule="auto"/>
              <w:jc w:val="center"/>
              <w:rPr>
                <w:b/>
                <w:color w:val="auto"/>
                <w:kern w:val="0"/>
                <w:szCs w:val="21"/>
              </w:rPr>
            </w:pPr>
            <w:r>
              <w:rPr>
                <w:b/>
                <w:color w:val="auto"/>
                <w:kern w:val="0"/>
                <w:szCs w:val="21"/>
              </w:rPr>
              <w:t>需要补充的其他内容</w:t>
            </w:r>
          </w:p>
        </w:tc>
      </w:tr>
      <w:tr w14:paraId="1E0ED779">
        <w:tblPrEx>
          <w:tblCellMar>
            <w:top w:w="0" w:type="dxa"/>
            <w:left w:w="108" w:type="dxa"/>
            <w:bottom w:w="0" w:type="dxa"/>
            <w:right w:w="108" w:type="dxa"/>
          </w:tblCellMar>
        </w:tblPrEx>
        <w:trPr>
          <w:trHeight w:val="551" w:hRule="atLeast"/>
        </w:trPr>
        <w:tc>
          <w:tcPr>
            <w:tcW w:w="1155" w:type="dxa"/>
            <w:tcBorders>
              <w:top w:val="single" w:color="auto" w:sz="4" w:space="0"/>
              <w:left w:val="single" w:color="auto" w:sz="4" w:space="0"/>
              <w:bottom w:val="single" w:color="auto" w:sz="4" w:space="0"/>
              <w:right w:val="single" w:color="auto" w:sz="4" w:space="0"/>
            </w:tcBorders>
            <w:vAlign w:val="center"/>
          </w:tcPr>
          <w:p w14:paraId="35B64521">
            <w:pPr>
              <w:widowControl/>
              <w:spacing w:line="360" w:lineRule="auto"/>
              <w:jc w:val="center"/>
              <w:rPr>
                <w:bCs/>
                <w:color w:val="auto"/>
                <w:kern w:val="0"/>
                <w:szCs w:val="21"/>
              </w:rPr>
            </w:pPr>
            <w:r>
              <w:rPr>
                <w:rFonts w:hint="eastAsia"/>
                <w:bCs/>
                <w:color w:val="auto"/>
                <w:kern w:val="0"/>
                <w:szCs w:val="21"/>
              </w:rPr>
              <w:t>1</w:t>
            </w:r>
            <w:r>
              <w:rPr>
                <w:bCs/>
                <w:color w:val="auto"/>
                <w:kern w:val="0"/>
                <w:szCs w:val="21"/>
              </w:rPr>
              <w:t>0.1</w:t>
            </w:r>
          </w:p>
        </w:tc>
        <w:tc>
          <w:tcPr>
            <w:tcW w:w="2248" w:type="dxa"/>
            <w:tcBorders>
              <w:top w:val="single" w:color="auto" w:sz="4" w:space="0"/>
              <w:left w:val="single" w:color="auto" w:sz="4" w:space="0"/>
              <w:bottom w:val="single" w:color="auto" w:sz="4" w:space="0"/>
              <w:right w:val="single" w:color="auto" w:sz="4" w:space="0"/>
            </w:tcBorders>
            <w:vAlign w:val="center"/>
          </w:tcPr>
          <w:p w14:paraId="2C86C6CD">
            <w:pPr>
              <w:widowControl/>
              <w:spacing w:line="360" w:lineRule="auto"/>
              <w:jc w:val="center"/>
              <w:rPr>
                <w:bCs/>
                <w:color w:val="auto"/>
                <w:kern w:val="0"/>
                <w:szCs w:val="21"/>
              </w:rPr>
            </w:pPr>
            <w:r>
              <w:rPr>
                <w:rFonts w:hint="eastAsia"/>
                <w:bCs/>
                <w:color w:val="auto"/>
                <w:kern w:val="0"/>
                <w:szCs w:val="21"/>
              </w:rPr>
              <w:t>评审办法</w:t>
            </w:r>
          </w:p>
        </w:tc>
        <w:tc>
          <w:tcPr>
            <w:tcW w:w="6662" w:type="dxa"/>
            <w:tcBorders>
              <w:top w:val="single" w:color="auto" w:sz="4" w:space="0"/>
              <w:left w:val="single" w:color="auto" w:sz="4" w:space="0"/>
              <w:bottom w:val="single" w:color="auto" w:sz="4" w:space="0"/>
              <w:right w:val="single" w:color="auto" w:sz="4" w:space="0"/>
            </w:tcBorders>
            <w:vAlign w:val="center"/>
          </w:tcPr>
          <w:p w14:paraId="498568B6">
            <w:pPr>
              <w:widowControl/>
              <w:spacing w:line="360" w:lineRule="auto"/>
              <w:rPr>
                <w:bCs/>
                <w:color w:val="auto"/>
                <w:kern w:val="0"/>
                <w:szCs w:val="21"/>
              </w:rPr>
            </w:pPr>
            <w:r>
              <w:rPr>
                <w:rFonts w:hint="eastAsia"/>
                <w:bCs/>
                <w:color w:val="auto"/>
                <w:kern w:val="0"/>
                <w:szCs w:val="21"/>
              </w:rPr>
              <w:t>经评审的最低评标价法</w:t>
            </w:r>
          </w:p>
        </w:tc>
      </w:tr>
      <w:tr w14:paraId="30329D31">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3A6D1021">
            <w:pPr>
              <w:widowControl/>
              <w:spacing w:line="360" w:lineRule="auto"/>
              <w:jc w:val="center"/>
              <w:rPr>
                <w:bCs/>
                <w:color w:val="auto"/>
                <w:kern w:val="0"/>
                <w:szCs w:val="21"/>
              </w:rPr>
            </w:pPr>
            <w:r>
              <w:rPr>
                <w:rFonts w:hint="eastAsia"/>
                <w:bCs/>
                <w:color w:val="auto"/>
                <w:kern w:val="0"/>
                <w:szCs w:val="21"/>
              </w:rPr>
              <w:t>1</w:t>
            </w:r>
            <w:r>
              <w:rPr>
                <w:bCs/>
                <w:color w:val="auto"/>
                <w:kern w:val="0"/>
                <w:szCs w:val="21"/>
              </w:rPr>
              <w:t>0.</w:t>
            </w:r>
            <w:r>
              <w:rPr>
                <w:rFonts w:hint="eastAsia"/>
                <w:bCs/>
                <w:color w:val="auto"/>
                <w:kern w:val="0"/>
                <w:szCs w:val="21"/>
              </w:rPr>
              <w:t>2</w:t>
            </w:r>
          </w:p>
        </w:tc>
        <w:tc>
          <w:tcPr>
            <w:tcW w:w="2248" w:type="dxa"/>
            <w:tcBorders>
              <w:top w:val="single" w:color="auto" w:sz="4" w:space="0"/>
              <w:left w:val="single" w:color="auto" w:sz="4" w:space="0"/>
              <w:bottom w:val="single" w:color="auto" w:sz="4" w:space="0"/>
              <w:right w:val="single" w:color="auto" w:sz="4" w:space="0"/>
            </w:tcBorders>
            <w:vAlign w:val="center"/>
          </w:tcPr>
          <w:p w14:paraId="05108D4C">
            <w:pPr>
              <w:widowControl/>
              <w:spacing w:line="360" w:lineRule="auto"/>
              <w:jc w:val="center"/>
              <w:rPr>
                <w:bCs/>
                <w:color w:val="auto"/>
                <w:kern w:val="0"/>
                <w:szCs w:val="21"/>
              </w:rPr>
            </w:pPr>
            <w:r>
              <w:rPr>
                <w:color w:val="auto"/>
                <w:szCs w:val="21"/>
              </w:rPr>
              <w:t>知识产权</w:t>
            </w:r>
          </w:p>
        </w:tc>
        <w:tc>
          <w:tcPr>
            <w:tcW w:w="6662" w:type="dxa"/>
            <w:tcBorders>
              <w:top w:val="single" w:color="auto" w:sz="4" w:space="0"/>
              <w:left w:val="single" w:color="auto" w:sz="4" w:space="0"/>
              <w:bottom w:val="single" w:color="auto" w:sz="4" w:space="0"/>
              <w:right w:val="single" w:color="auto" w:sz="4" w:space="0"/>
            </w:tcBorders>
            <w:vAlign w:val="center"/>
          </w:tcPr>
          <w:p w14:paraId="67093EC6">
            <w:pPr>
              <w:spacing w:line="360" w:lineRule="auto"/>
              <w:rPr>
                <w:color w:val="auto"/>
                <w:szCs w:val="21"/>
              </w:rPr>
            </w:pPr>
            <w:r>
              <w:rPr>
                <w:color w:val="auto"/>
                <w:szCs w:val="21"/>
              </w:rPr>
              <w:t>（1）构成本谈判文件各个组成部分的文件，未经采购人书面同意，供应商不得擅自复印和用于非本采购项目所需的其他目的。采购人全部或者部分使用未</w:t>
            </w:r>
            <w:r>
              <w:rPr>
                <w:rFonts w:hint="eastAsia"/>
                <w:color w:val="auto"/>
              </w:rPr>
              <w:t>成交供应商</w:t>
            </w:r>
            <w:r>
              <w:rPr>
                <w:color w:val="auto"/>
                <w:szCs w:val="21"/>
              </w:rPr>
              <w:t>响应文件中的技术成果或技术方案时，需征得其书面同意，并不得擅自复印或提供给第三人。</w:t>
            </w:r>
          </w:p>
          <w:p w14:paraId="68BA2B89">
            <w:pPr>
              <w:spacing w:line="360" w:lineRule="auto"/>
              <w:rPr>
                <w:color w:val="auto"/>
                <w:szCs w:val="21"/>
              </w:rPr>
            </w:pPr>
            <w:r>
              <w:rPr>
                <w:color w:val="auto"/>
                <w:szCs w:val="21"/>
              </w:rPr>
              <w:t>（2）供应商保证响应文件及资料均未侵犯他人的知识产权，否则必须承担由此引起的全部法律责任和经济责任。</w:t>
            </w:r>
          </w:p>
          <w:p w14:paraId="49251F67">
            <w:pPr>
              <w:widowControl/>
              <w:spacing w:line="360" w:lineRule="auto"/>
              <w:jc w:val="left"/>
              <w:rPr>
                <w:color w:val="auto"/>
              </w:rPr>
            </w:pPr>
            <w:r>
              <w:rPr>
                <w:color w:val="auto"/>
                <w:szCs w:val="21"/>
              </w:rPr>
              <w:t>（3）若供应商使用了他人的专利、专有技术，涉及的费用由供应商负责。</w:t>
            </w:r>
          </w:p>
        </w:tc>
      </w:tr>
      <w:tr w14:paraId="5E34CC71">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20C5346C">
            <w:pPr>
              <w:widowControl/>
              <w:spacing w:line="360" w:lineRule="auto"/>
              <w:jc w:val="center"/>
              <w:rPr>
                <w:bCs/>
                <w:color w:val="auto"/>
                <w:kern w:val="0"/>
                <w:szCs w:val="21"/>
              </w:rPr>
            </w:pPr>
            <w:r>
              <w:rPr>
                <w:rFonts w:hint="eastAsia"/>
                <w:bCs/>
                <w:color w:val="auto"/>
                <w:kern w:val="0"/>
                <w:szCs w:val="21"/>
              </w:rPr>
              <w:t>1</w:t>
            </w:r>
            <w:r>
              <w:rPr>
                <w:bCs/>
                <w:color w:val="auto"/>
                <w:kern w:val="0"/>
                <w:szCs w:val="21"/>
              </w:rPr>
              <w:t>0.</w:t>
            </w:r>
            <w:r>
              <w:rPr>
                <w:rFonts w:hint="eastAsia"/>
                <w:bCs/>
                <w:color w:val="auto"/>
                <w:kern w:val="0"/>
                <w:szCs w:val="21"/>
              </w:rPr>
              <w:t>3</w:t>
            </w:r>
          </w:p>
        </w:tc>
        <w:tc>
          <w:tcPr>
            <w:tcW w:w="2248" w:type="dxa"/>
            <w:tcBorders>
              <w:top w:val="single" w:color="auto" w:sz="4" w:space="0"/>
              <w:left w:val="single" w:color="auto" w:sz="4" w:space="0"/>
              <w:bottom w:val="single" w:color="auto" w:sz="4" w:space="0"/>
              <w:right w:val="single" w:color="auto" w:sz="4" w:space="0"/>
            </w:tcBorders>
            <w:vAlign w:val="center"/>
          </w:tcPr>
          <w:p w14:paraId="4878E1FC">
            <w:pPr>
              <w:widowControl/>
              <w:spacing w:line="360" w:lineRule="auto"/>
              <w:jc w:val="center"/>
              <w:rPr>
                <w:color w:val="auto"/>
                <w:szCs w:val="21"/>
              </w:rPr>
            </w:pPr>
            <w:r>
              <w:rPr>
                <w:color w:val="auto"/>
                <w:szCs w:val="21"/>
              </w:rPr>
              <w:t>重新组织谈判的其他情形</w:t>
            </w:r>
          </w:p>
        </w:tc>
        <w:tc>
          <w:tcPr>
            <w:tcW w:w="6662" w:type="dxa"/>
            <w:tcBorders>
              <w:top w:val="single" w:color="auto" w:sz="4" w:space="0"/>
              <w:left w:val="single" w:color="auto" w:sz="4" w:space="0"/>
              <w:bottom w:val="single" w:color="auto" w:sz="4" w:space="0"/>
              <w:right w:val="single" w:color="auto" w:sz="4" w:space="0"/>
            </w:tcBorders>
            <w:vAlign w:val="center"/>
          </w:tcPr>
          <w:p w14:paraId="608256B6">
            <w:pPr>
              <w:widowControl/>
              <w:spacing w:line="360" w:lineRule="auto"/>
              <w:jc w:val="left"/>
              <w:rPr>
                <w:color w:val="auto"/>
                <w:szCs w:val="21"/>
              </w:rPr>
            </w:pPr>
            <w:r>
              <w:rPr>
                <w:rFonts w:hint="eastAsia"/>
                <w:color w:val="auto"/>
                <w:szCs w:val="21"/>
              </w:rPr>
              <w:t>出现下列情形之一的，采购人或者采购代理机构应当终止竞争性谈判采购活动，发布项目终止公告并说明原因，重新开展采购活动：</w:t>
            </w:r>
          </w:p>
          <w:p w14:paraId="03457FFA">
            <w:pPr>
              <w:widowControl/>
              <w:spacing w:line="360" w:lineRule="auto"/>
              <w:jc w:val="left"/>
              <w:rPr>
                <w:color w:val="auto"/>
                <w:szCs w:val="21"/>
              </w:rPr>
            </w:pPr>
            <w:r>
              <w:rPr>
                <w:rFonts w:hint="eastAsia"/>
                <w:color w:val="auto"/>
                <w:szCs w:val="21"/>
              </w:rPr>
              <w:t>（一）因情况变化，不再符合规定的竞争性谈判采购方式适用情形的；</w:t>
            </w:r>
          </w:p>
          <w:p w14:paraId="1C4B56F7">
            <w:pPr>
              <w:widowControl/>
              <w:spacing w:line="360" w:lineRule="auto"/>
              <w:jc w:val="left"/>
              <w:rPr>
                <w:color w:val="auto"/>
                <w:szCs w:val="21"/>
              </w:rPr>
            </w:pPr>
            <w:r>
              <w:rPr>
                <w:rFonts w:hint="eastAsia"/>
                <w:color w:val="auto"/>
                <w:szCs w:val="21"/>
              </w:rPr>
              <w:t>（二）出现影响采购公正的违法、违规行为的；</w:t>
            </w:r>
          </w:p>
          <w:p w14:paraId="1153FD9B">
            <w:pPr>
              <w:widowControl/>
              <w:spacing w:line="360" w:lineRule="auto"/>
              <w:jc w:val="left"/>
              <w:rPr>
                <w:color w:val="auto"/>
                <w:szCs w:val="21"/>
              </w:rPr>
            </w:pPr>
            <w:r>
              <w:rPr>
                <w:rFonts w:hint="eastAsia"/>
                <w:color w:val="auto"/>
                <w:szCs w:val="21"/>
              </w:rPr>
              <w:t>（三）在采购过程中符合竞争要求的供应商或者报价未超过采购预算的供应商不足3家的，但《政府采购非招标采购方式管理办法》第二十七条第二款规定的情形除外。</w:t>
            </w:r>
          </w:p>
        </w:tc>
      </w:tr>
      <w:tr w14:paraId="4ECE6EE0">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2A94008A">
            <w:pPr>
              <w:widowControl/>
              <w:spacing w:line="360" w:lineRule="auto"/>
              <w:jc w:val="center"/>
              <w:rPr>
                <w:bCs/>
                <w:color w:val="auto"/>
                <w:kern w:val="0"/>
                <w:szCs w:val="21"/>
              </w:rPr>
            </w:pPr>
            <w:r>
              <w:rPr>
                <w:rFonts w:hint="eastAsia"/>
                <w:bCs/>
                <w:color w:val="auto"/>
                <w:kern w:val="0"/>
                <w:szCs w:val="21"/>
              </w:rPr>
              <w:t>1</w:t>
            </w:r>
            <w:r>
              <w:rPr>
                <w:bCs/>
                <w:color w:val="auto"/>
                <w:kern w:val="0"/>
                <w:szCs w:val="21"/>
              </w:rPr>
              <w:t>0.</w:t>
            </w:r>
            <w:r>
              <w:rPr>
                <w:rFonts w:hint="eastAsia"/>
                <w:bCs/>
                <w:color w:val="auto"/>
                <w:kern w:val="0"/>
                <w:szCs w:val="21"/>
              </w:rPr>
              <w:t>4</w:t>
            </w:r>
          </w:p>
        </w:tc>
        <w:tc>
          <w:tcPr>
            <w:tcW w:w="2248" w:type="dxa"/>
            <w:tcBorders>
              <w:top w:val="single" w:color="auto" w:sz="4" w:space="0"/>
              <w:left w:val="single" w:color="auto" w:sz="4" w:space="0"/>
              <w:bottom w:val="single" w:color="auto" w:sz="4" w:space="0"/>
              <w:right w:val="single" w:color="auto" w:sz="4" w:space="0"/>
            </w:tcBorders>
            <w:vAlign w:val="center"/>
          </w:tcPr>
          <w:p w14:paraId="0AE580C8">
            <w:pPr>
              <w:widowControl/>
              <w:spacing w:line="360" w:lineRule="auto"/>
              <w:jc w:val="center"/>
              <w:rPr>
                <w:color w:val="auto"/>
                <w:szCs w:val="21"/>
              </w:rPr>
            </w:pPr>
            <w:r>
              <w:rPr>
                <w:color w:val="auto"/>
                <w:szCs w:val="21"/>
              </w:rPr>
              <w:t>同义词语</w:t>
            </w:r>
          </w:p>
        </w:tc>
        <w:tc>
          <w:tcPr>
            <w:tcW w:w="6662" w:type="dxa"/>
            <w:tcBorders>
              <w:top w:val="single" w:color="auto" w:sz="4" w:space="0"/>
              <w:left w:val="single" w:color="auto" w:sz="4" w:space="0"/>
              <w:bottom w:val="single" w:color="auto" w:sz="4" w:space="0"/>
              <w:right w:val="single" w:color="auto" w:sz="4" w:space="0"/>
            </w:tcBorders>
            <w:vAlign w:val="center"/>
          </w:tcPr>
          <w:p w14:paraId="218A398C">
            <w:pPr>
              <w:widowControl/>
              <w:spacing w:line="360" w:lineRule="auto"/>
              <w:jc w:val="left"/>
              <w:rPr>
                <w:color w:val="auto"/>
                <w:szCs w:val="21"/>
              </w:rPr>
            </w:pPr>
            <w:r>
              <w:rPr>
                <w:color w:val="auto"/>
                <w:szCs w:val="21"/>
              </w:rPr>
              <w:t>构成谈判文件组成部分的“通用合同条款”、“专用合同条款”、“技术标准”等章节中出现的措辞“</w:t>
            </w:r>
            <w:r>
              <w:rPr>
                <w:rFonts w:hint="eastAsia"/>
                <w:color w:val="auto"/>
                <w:szCs w:val="21"/>
              </w:rPr>
              <w:t>甲方</w:t>
            </w:r>
            <w:r>
              <w:rPr>
                <w:color w:val="auto"/>
                <w:szCs w:val="21"/>
              </w:rPr>
              <w:t>”和“</w:t>
            </w:r>
            <w:r>
              <w:rPr>
                <w:rFonts w:hint="eastAsia"/>
                <w:color w:val="auto"/>
                <w:szCs w:val="21"/>
              </w:rPr>
              <w:t>乙方</w:t>
            </w:r>
            <w:r>
              <w:rPr>
                <w:color w:val="auto"/>
                <w:szCs w:val="21"/>
              </w:rPr>
              <w:t>”，在</w:t>
            </w:r>
            <w:r>
              <w:rPr>
                <w:rFonts w:hint="eastAsia"/>
                <w:color w:val="auto"/>
                <w:szCs w:val="21"/>
              </w:rPr>
              <w:t>谈判</w:t>
            </w:r>
            <w:r>
              <w:rPr>
                <w:color w:val="auto"/>
                <w:szCs w:val="21"/>
              </w:rPr>
              <w:t>阶段应当分别按“采购人”和“供应商”进行理解。</w:t>
            </w:r>
          </w:p>
        </w:tc>
      </w:tr>
      <w:tr w14:paraId="234C90BC">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608057FF">
            <w:pPr>
              <w:widowControl/>
              <w:spacing w:line="360" w:lineRule="auto"/>
              <w:jc w:val="center"/>
              <w:rPr>
                <w:bCs/>
                <w:color w:val="auto"/>
                <w:kern w:val="0"/>
                <w:szCs w:val="21"/>
              </w:rPr>
            </w:pPr>
            <w:r>
              <w:rPr>
                <w:rFonts w:hint="eastAsia"/>
                <w:bCs/>
                <w:color w:val="auto"/>
                <w:kern w:val="0"/>
                <w:szCs w:val="21"/>
              </w:rPr>
              <w:t>1</w:t>
            </w:r>
            <w:r>
              <w:rPr>
                <w:bCs/>
                <w:color w:val="auto"/>
                <w:kern w:val="0"/>
                <w:szCs w:val="21"/>
              </w:rPr>
              <w:t>0.</w:t>
            </w:r>
            <w:r>
              <w:rPr>
                <w:rFonts w:hint="eastAsia"/>
                <w:bCs/>
                <w:color w:val="auto"/>
                <w:kern w:val="0"/>
                <w:szCs w:val="21"/>
              </w:rPr>
              <w:t>5</w:t>
            </w:r>
          </w:p>
        </w:tc>
        <w:tc>
          <w:tcPr>
            <w:tcW w:w="2248" w:type="dxa"/>
            <w:tcBorders>
              <w:top w:val="single" w:color="auto" w:sz="4" w:space="0"/>
              <w:left w:val="single" w:color="auto" w:sz="4" w:space="0"/>
              <w:bottom w:val="single" w:color="auto" w:sz="4" w:space="0"/>
              <w:right w:val="single" w:color="auto" w:sz="4" w:space="0"/>
            </w:tcBorders>
            <w:vAlign w:val="center"/>
          </w:tcPr>
          <w:p w14:paraId="36BCBC8F">
            <w:pPr>
              <w:widowControl/>
              <w:spacing w:line="360" w:lineRule="auto"/>
              <w:jc w:val="center"/>
              <w:rPr>
                <w:color w:val="auto"/>
                <w:szCs w:val="21"/>
              </w:rPr>
            </w:pPr>
            <w:r>
              <w:rPr>
                <w:color w:val="auto"/>
                <w:kern w:val="0"/>
                <w:szCs w:val="21"/>
              </w:rPr>
              <w:t>监督</w:t>
            </w:r>
          </w:p>
        </w:tc>
        <w:tc>
          <w:tcPr>
            <w:tcW w:w="6662" w:type="dxa"/>
            <w:tcBorders>
              <w:top w:val="single" w:color="auto" w:sz="4" w:space="0"/>
              <w:left w:val="single" w:color="auto" w:sz="4" w:space="0"/>
              <w:bottom w:val="single" w:color="auto" w:sz="4" w:space="0"/>
              <w:right w:val="single" w:color="auto" w:sz="4" w:space="0"/>
            </w:tcBorders>
            <w:vAlign w:val="center"/>
          </w:tcPr>
          <w:p w14:paraId="019A9B83">
            <w:pPr>
              <w:widowControl/>
              <w:spacing w:line="360" w:lineRule="auto"/>
              <w:jc w:val="left"/>
              <w:rPr>
                <w:color w:val="auto"/>
                <w:szCs w:val="21"/>
              </w:rPr>
            </w:pPr>
            <w:r>
              <w:rPr>
                <w:rFonts w:hint="eastAsia"/>
                <w:color w:val="auto"/>
                <w:szCs w:val="21"/>
              </w:rPr>
              <w:t>本</w:t>
            </w:r>
            <w:r>
              <w:rPr>
                <w:color w:val="auto"/>
                <w:szCs w:val="21"/>
              </w:rPr>
              <w:t>项目的</w:t>
            </w:r>
            <w:r>
              <w:rPr>
                <w:rFonts w:hint="eastAsia"/>
                <w:color w:val="auto"/>
                <w:szCs w:val="21"/>
              </w:rPr>
              <w:t>谈判</w:t>
            </w:r>
            <w:r>
              <w:rPr>
                <w:color w:val="auto"/>
                <w:szCs w:val="21"/>
              </w:rPr>
              <w:t>活动应当接受</w:t>
            </w:r>
            <w:r>
              <w:rPr>
                <w:rFonts w:hint="eastAsia"/>
                <w:color w:val="auto"/>
                <w:szCs w:val="21"/>
              </w:rPr>
              <w:t>主管部门</w:t>
            </w:r>
            <w:r>
              <w:rPr>
                <w:color w:val="auto"/>
                <w:szCs w:val="21"/>
              </w:rPr>
              <w:t>及采购人监督部门依法实施的监督。</w:t>
            </w:r>
          </w:p>
        </w:tc>
      </w:tr>
      <w:tr w14:paraId="5BA9F887">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4B595337">
            <w:pPr>
              <w:widowControl/>
              <w:spacing w:line="360" w:lineRule="auto"/>
              <w:jc w:val="center"/>
              <w:rPr>
                <w:bCs/>
                <w:color w:val="auto"/>
                <w:kern w:val="0"/>
                <w:szCs w:val="21"/>
              </w:rPr>
            </w:pPr>
            <w:r>
              <w:rPr>
                <w:rFonts w:hint="eastAsia"/>
                <w:bCs/>
                <w:color w:val="auto"/>
                <w:kern w:val="0"/>
                <w:szCs w:val="21"/>
              </w:rPr>
              <w:t>1</w:t>
            </w:r>
            <w:r>
              <w:rPr>
                <w:bCs/>
                <w:color w:val="auto"/>
                <w:kern w:val="0"/>
                <w:szCs w:val="21"/>
              </w:rPr>
              <w:t>0.</w:t>
            </w:r>
            <w:r>
              <w:rPr>
                <w:rFonts w:hint="eastAsia"/>
                <w:bCs/>
                <w:color w:val="auto"/>
                <w:kern w:val="0"/>
                <w:szCs w:val="21"/>
              </w:rPr>
              <w:t>6</w:t>
            </w:r>
          </w:p>
        </w:tc>
        <w:tc>
          <w:tcPr>
            <w:tcW w:w="2248" w:type="dxa"/>
            <w:tcBorders>
              <w:top w:val="single" w:color="auto" w:sz="4" w:space="0"/>
              <w:left w:val="single" w:color="auto" w:sz="4" w:space="0"/>
              <w:bottom w:val="single" w:color="auto" w:sz="4" w:space="0"/>
              <w:right w:val="single" w:color="auto" w:sz="4" w:space="0"/>
            </w:tcBorders>
            <w:vAlign w:val="center"/>
          </w:tcPr>
          <w:p w14:paraId="3CDA3EEF">
            <w:pPr>
              <w:widowControl/>
              <w:spacing w:line="360" w:lineRule="auto"/>
              <w:jc w:val="center"/>
              <w:rPr>
                <w:color w:val="auto"/>
                <w:szCs w:val="21"/>
              </w:rPr>
            </w:pPr>
            <w:r>
              <w:rPr>
                <w:color w:val="auto"/>
                <w:szCs w:val="21"/>
              </w:rPr>
              <w:t>解释权</w:t>
            </w:r>
          </w:p>
        </w:tc>
        <w:tc>
          <w:tcPr>
            <w:tcW w:w="6662" w:type="dxa"/>
            <w:tcBorders>
              <w:top w:val="single" w:color="auto" w:sz="4" w:space="0"/>
              <w:left w:val="single" w:color="auto" w:sz="4" w:space="0"/>
              <w:bottom w:val="single" w:color="auto" w:sz="4" w:space="0"/>
              <w:right w:val="single" w:color="auto" w:sz="4" w:space="0"/>
            </w:tcBorders>
            <w:vAlign w:val="center"/>
          </w:tcPr>
          <w:p w14:paraId="1BAD1FCF">
            <w:pPr>
              <w:widowControl/>
              <w:spacing w:line="360" w:lineRule="auto"/>
              <w:jc w:val="left"/>
              <w:rPr>
                <w:color w:val="auto"/>
                <w:szCs w:val="21"/>
              </w:rPr>
            </w:pPr>
            <w:r>
              <w:rPr>
                <w:color w:val="auto"/>
                <w:szCs w:val="21"/>
              </w:rPr>
              <w:t>构成本谈判文件的各个组成文件应互为解释，互为说明；如有不明确或不一致，构成合同文件组成内容的，以合同文件约定内容为准，且以专用合同条款约定的合同文件优先顺序解释；除谈判文件中有特别规定外，仅适用于</w:t>
            </w:r>
            <w:r>
              <w:rPr>
                <w:rFonts w:hint="eastAsia"/>
                <w:color w:val="auto"/>
                <w:szCs w:val="21"/>
              </w:rPr>
              <w:t>谈判</w:t>
            </w:r>
            <w:r>
              <w:rPr>
                <w:color w:val="auto"/>
                <w:szCs w:val="21"/>
              </w:rPr>
              <w:t>阶段的规定，按</w:t>
            </w:r>
            <w:r>
              <w:rPr>
                <w:rFonts w:hint="eastAsia"/>
                <w:color w:val="auto"/>
                <w:szCs w:val="21"/>
              </w:rPr>
              <w:t>竞争性</w:t>
            </w:r>
            <w:r>
              <w:rPr>
                <w:color w:val="auto"/>
                <w:szCs w:val="21"/>
              </w:rPr>
              <w:t>谈判</w:t>
            </w:r>
            <w:r>
              <w:rPr>
                <w:rFonts w:hint="eastAsia"/>
                <w:color w:val="auto"/>
                <w:szCs w:val="21"/>
              </w:rPr>
              <w:t>公告</w:t>
            </w:r>
            <w:r>
              <w:rPr>
                <w:color w:val="auto"/>
                <w:szCs w:val="21"/>
              </w:rPr>
              <w:t>、供应商须知、谈判办法、响应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2A5C062C">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22B032F4">
            <w:pPr>
              <w:widowControl/>
              <w:spacing w:line="360" w:lineRule="auto"/>
              <w:jc w:val="center"/>
              <w:rPr>
                <w:bCs/>
                <w:color w:val="auto"/>
                <w:kern w:val="0"/>
                <w:szCs w:val="21"/>
              </w:rPr>
            </w:pPr>
            <w:r>
              <w:rPr>
                <w:rFonts w:hint="eastAsia"/>
                <w:bCs/>
                <w:color w:val="auto"/>
                <w:kern w:val="0"/>
                <w:szCs w:val="21"/>
              </w:rPr>
              <w:t>1</w:t>
            </w:r>
            <w:r>
              <w:rPr>
                <w:bCs/>
                <w:color w:val="auto"/>
                <w:kern w:val="0"/>
                <w:szCs w:val="21"/>
              </w:rPr>
              <w:t>0.</w:t>
            </w:r>
            <w:r>
              <w:rPr>
                <w:rFonts w:hint="eastAsia"/>
                <w:bCs/>
                <w:color w:val="auto"/>
                <w:kern w:val="0"/>
                <w:szCs w:val="21"/>
              </w:rPr>
              <w:t>7</w:t>
            </w:r>
          </w:p>
        </w:tc>
        <w:tc>
          <w:tcPr>
            <w:tcW w:w="2248" w:type="dxa"/>
            <w:tcBorders>
              <w:top w:val="single" w:color="auto" w:sz="4" w:space="0"/>
              <w:left w:val="single" w:color="auto" w:sz="4" w:space="0"/>
              <w:bottom w:val="single" w:color="auto" w:sz="4" w:space="0"/>
              <w:right w:val="single" w:color="auto" w:sz="4" w:space="0"/>
            </w:tcBorders>
            <w:vAlign w:val="center"/>
          </w:tcPr>
          <w:p w14:paraId="5C9F814C">
            <w:pPr>
              <w:widowControl/>
              <w:spacing w:line="360" w:lineRule="auto"/>
              <w:jc w:val="center"/>
              <w:rPr>
                <w:color w:val="auto"/>
                <w:szCs w:val="21"/>
              </w:rPr>
            </w:pPr>
            <w:r>
              <w:rPr>
                <w:color w:val="auto"/>
                <w:kern w:val="0"/>
                <w:szCs w:val="21"/>
              </w:rPr>
              <w:t>细微偏差</w:t>
            </w:r>
          </w:p>
        </w:tc>
        <w:tc>
          <w:tcPr>
            <w:tcW w:w="6662" w:type="dxa"/>
            <w:tcBorders>
              <w:top w:val="single" w:color="auto" w:sz="4" w:space="0"/>
              <w:left w:val="single" w:color="auto" w:sz="4" w:space="0"/>
              <w:bottom w:val="single" w:color="auto" w:sz="4" w:space="0"/>
              <w:right w:val="single" w:color="auto" w:sz="4" w:space="0"/>
            </w:tcBorders>
            <w:vAlign w:val="center"/>
          </w:tcPr>
          <w:p w14:paraId="6E302576">
            <w:pPr>
              <w:widowControl/>
              <w:spacing w:line="360" w:lineRule="auto"/>
              <w:jc w:val="left"/>
              <w:rPr>
                <w:color w:val="auto"/>
                <w:kern w:val="0"/>
                <w:szCs w:val="21"/>
              </w:rPr>
            </w:pPr>
            <w:r>
              <w:rPr>
                <w:color w:val="auto"/>
                <w:kern w:val="0"/>
                <w:szCs w:val="21"/>
              </w:rPr>
              <w:t>1.1</w:t>
            </w:r>
            <w:r>
              <w:rPr>
                <w:color w:val="auto"/>
                <w:szCs w:val="21"/>
              </w:rPr>
              <w:t>响应文件的细微偏差是指响应文件在实质上符合谈判文件的要求，但在个别地方存在漏项或者提供了不完整的技术信息和数据等情况，并且补正这些遗漏或者不完整处不会对其他供应商造成不公平的结果。细微偏差不影响响应文件的有效性。</w:t>
            </w:r>
          </w:p>
          <w:p w14:paraId="481A0C70">
            <w:pPr>
              <w:widowControl/>
              <w:spacing w:line="360" w:lineRule="auto"/>
              <w:jc w:val="left"/>
              <w:rPr>
                <w:color w:val="auto"/>
                <w:szCs w:val="21"/>
              </w:rPr>
            </w:pPr>
            <w:r>
              <w:rPr>
                <w:color w:val="auto"/>
                <w:kern w:val="0"/>
                <w:szCs w:val="21"/>
              </w:rPr>
              <w:t>1.2</w:t>
            </w:r>
            <w:r>
              <w:rPr>
                <w:rFonts w:hint="eastAsia"/>
                <w:color w:val="auto"/>
                <w:szCs w:val="21"/>
              </w:rPr>
              <w:t>谈判</w:t>
            </w:r>
            <w:r>
              <w:rPr>
                <w:color w:val="auto"/>
                <w:szCs w:val="21"/>
              </w:rPr>
              <w:t>小组应当以书面要求存在细微偏差的供应商在</w:t>
            </w:r>
            <w:r>
              <w:rPr>
                <w:rFonts w:hint="eastAsia"/>
                <w:color w:val="auto"/>
                <w:szCs w:val="21"/>
              </w:rPr>
              <w:t>谈判</w:t>
            </w:r>
            <w:r>
              <w:rPr>
                <w:color w:val="auto"/>
                <w:szCs w:val="21"/>
              </w:rPr>
              <w:t>结束前予以补正。拒不补正的，在详细评审时可以对细微偏差作不利于该供应商的量化。</w:t>
            </w:r>
          </w:p>
        </w:tc>
      </w:tr>
      <w:tr w14:paraId="194D3BB4">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27658587">
            <w:pPr>
              <w:widowControl/>
              <w:spacing w:line="360" w:lineRule="auto"/>
              <w:jc w:val="center"/>
              <w:rPr>
                <w:bCs/>
                <w:color w:val="auto"/>
                <w:kern w:val="0"/>
                <w:szCs w:val="21"/>
              </w:rPr>
            </w:pPr>
            <w:r>
              <w:rPr>
                <w:rFonts w:hint="eastAsia"/>
                <w:bCs/>
                <w:color w:val="auto"/>
                <w:kern w:val="0"/>
                <w:szCs w:val="21"/>
              </w:rPr>
              <w:t>1</w:t>
            </w:r>
            <w:r>
              <w:rPr>
                <w:bCs/>
                <w:color w:val="auto"/>
                <w:kern w:val="0"/>
                <w:szCs w:val="21"/>
              </w:rPr>
              <w:t>0.</w:t>
            </w:r>
            <w:r>
              <w:rPr>
                <w:rFonts w:hint="eastAsia"/>
                <w:bCs/>
                <w:color w:val="auto"/>
                <w:kern w:val="0"/>
                <w:szCs w:val="21"/>
              </w:rPr>
              <w:t>8</w:t>
            </w:r>
          </w:p>
        </w:tc>
        <w:tc>
          <w:tcPr>
            <w:tcW w:w="2248" w:type="dxa"/>
            <w:tcBorders>
              <w:top w:val="single" w:color="auto" w:sz="4" w:space="0"/>
              <w:left w:val="single" w:color="auto" w:sz="4" w:space="0"/>
              <w:bottom w:val="single" w:color="auto" w:sz="4" w:space="0"/>
              <w:right w:val="single" w:color="auto" w:sz="4" w:space="0"/>
            </w:tcBorders>
            <w:vAlign w:val="center"/>
          </w:tcPr>
          <w:p w14:paraId="7CC040B7">
            <w:pPr>
              <w:widowControl/>
              <w:spacing w:line="360" w:lineRule="auto"/>
              <w:jc w:val="center"/>
              <w:rPr>
                <w:color w:val="auto"/>
                <w:szCs w:val="21"/>
              </w:rPr>
            </w:pPr>
            <w:r>
              <w:rPr>
                <w:rFonts w:hint="eastAsia"/>
                <w:b/>
                <w:color w:val="auto"/>
                <w:kern w:val="0"/>
                <w:szCs w:val="21"/>
              </w:rPr>
              <w:t>采购</w:t>
            </w:r>
            <w:r>
              <w:rPr>
                <w:b/>
                <w:color w:val="auto"/>
                <w:kern w:val="0"/>
                <w:szCs w:val="21"/>
              </w:rPr>
              <w:t>代理服务费</w:t>
            </w:r>
          </w:p>
        </w:tc>
        <w:tc>
          <w:tcPr>
            <w:tcW w:w="6662" w:type="dxa"/>
            <w:tcBorders>
              <w:top w:val="single" w:color="auto" w:sz="4" w:space="0"/>
              <w:left w:val="single" w:color="auto" w:sz="4" w:space="0"/>
              <w:bottom w:val="single" w:color="auto" w:sz="4" w:space="0"/>
              <w:right w:val="single" w:color="auto" w:sz="4" w:space="0"/>
            </w:tcBorders>
            <w:vAlign w:val="center"/>
          </w:tcPr>
          <w:p w14:paraId="767FA0EB">
            <w:pPr>
              <w:spacing w:line="360" w:lineRule="auto"/>
              <w:rPr>
                <w:rFonts w:hint="eastAsia" w:eastAsia="宋体"/>
                <w:color w:val="auto"/>
                <w:szCs w:val="21"/>
                <w:lang w:eastAsia="zh-CN"/>
              </w:rPr>
            </w:pPr>
            <w:r>
              <w:rPr>
                <w:rFonts w:hint="eastAsia"/>
                <w:color w:val="auto"/>
                <w:szCs w:val="21"/>
                <w:lang w:val="en-US" w:eastAsia="zh-CN"/>
              </w:rPr>
              <w:t>无</w:t>
            </w:r>
          </w:p>
        </w:tc>
      </w:tr>
      <w:tr w14:paraId="75E875F8">
        <w:tblPrEx>
          <w:tblCellMar>
            <w:top w:w="0" w:type="dxa"/>
            <w:left w:w="108" w:type="dxa"/>
            <w:bottom w:w="0" w:type="dxa"/>
            <w:right w:w="108" w:type="dxa"/>
          </w:tblCellMar>
        </w:tblPrEx>
        <w:trPr>
          <w:trHeight w:val="1008" w:hRule="atLeast"/>
        </w:trPr>
        <w:tc>
          <w:tcPr>
            <w:tcW w:w="1155" w:type="dxa"/>
            <w:tcBorders>
              <w:top w:val="single" w:color="auto" w:sz="4" w:space="0"/>
              <w:left w:val="single" w:color="auto" w:sz="4" w:space="0"/>
              <w:bottom w:val="single" w:color="auto" w:sz="4" w:space="0"/>
              <w:right w:val="single" w:color="auto" w:sz="4" w:space="0"/>
            </w:tcBorders>
            <w:vAlign w:val="center"/>
          </w:tcPr>
          <w:p w14:paraId="0AF607F9">
            <w:pPr>
              <w:widowControl/>
              <w:spacing w:line="360" w:lineRule="auto"/>
              <w:jc w:val="center"/>
              <w:rPr>
                <w:rFonts w:hint="eastAsia" w:eastAsia="宋体"/>
                <w:b/>
                <w:color w:val="auto"/>
                <w:kern w:val="0"/>
                <w:szCs w:val="21"/>
                <w:lang w:eastAsia="zh-CN"/>
              </w:rPr>
            </w:pPr>
            <w:r>
              <w:rPr>
                <w:rFonts w:hint="eastAsia"/>
                <w:b/>
                <w:color w:val="auto"/>
                <w:kern w:val="0"/>
                <w:szCs w:val="21"/>
              </w:rPr>
              <w:t>10.</w:t>
            </w:r>
            <w:r>
              <w:rPr>
                <w:rFonts w:hint="eastAsia"/>
                <w:b/>
                <w:color w:val="auto"/>
                <w:kern w:val="0"/>
                <w:szCs w:val="21"/>
                <w:lang w:val="en-US" w:eastAsia="zh-CN"/>
              </w:rPr>
              <w:t>9</w:t>
            </w:r>
          </w:p>
        </w:tc>
        <w:tc>
          <w:tcPr>
            <w:tcW w:w="2248" w:type="dxa"/>
            <w:tcBorders>
              <w:top w:val="single" w:color="auto" w:sz="4" w:space="0"/>
              <w:left w:val="single" w:color="auto" w:sz="4" w:space="0"/>
              <w:bottom w:val="single" w:color="auto" w:sz="4" w:space="0"/>
              <w:right w:val="single" w:color="auto" w:sz="4" w:space="0"/>
            </w:tcBorders>
            <w:vAlign w:val="center"/>
          </w:tcPr>
          <w:p w14:paraId="1B9CA1D1">
            <w:pPr>
              <w:rPr>
                <w:b/>
                <w:color w:val="auto"/>
              </w:rPr>
            </w:pPr>
            <w:r>
              <w:rPr>
                <w:rFonts w:hint="eastAsia"/>
                <w:b/>
                <w:color w:val="auto"/>
              </w:rPr>
              <w:t>中小企业所属行业</w:t>
            </w:r>
          </w:p>
        </w:tc>
        <w:tc>
          <w:tcPr>
            <w:tcW w:w="6662" w:type="dxa"/>
            <w:tcBorders>
              <w:top w:val="single" w:color="auto" w:sz="4" w:space="0"/>
              <w:left w:val="single" w:color="auto" w:sz="4" w:space="0"/>
              <w:bottom w:val="single" w:color="auto" w:sz="4" w:space="0"/>
              <w:right w:val="single" w:color="auto" w:sz="4" w:space="0"/>
            </w:tcBorders>
            <w:vAlign w:val="center"/>
          </w:tcPr>
          <w:p w14:paraId="62F897E7">
            <w:pPr>
              <w:spacing w:line="360" w:lineRule="auto"/>
              <w:rPr>
                <w:color w:val="auto"/>
                <w:szCs w:val="21"/>
              </w:rPr>
            </w:pPr>
            <w:r>
              <w:rPr>
                <w:color w:val="auto"/>
                <w:szCs w:val="21"/>
              </w:rPr>
              <w:t>根据《关于印发中小企业划型标准规定的通知》（工信部联企业〔2011〕300号）规定，本项目标的所属行业为</w:t>
            </w:r>
            <w:r>
              <w:rPr>
                <w:b/>
                <w:bCs/>
                <w:color w:val="auto"/>
                <w:szCs w:val="21"/>
              </w:rPr>
              <w:t>“</w:t>
            </w:r>
            <w:r>
              <w:rPr>
                <w:rFonts w:hint="eastAsia"/>
                <w:b/>
                <w:bCs/>
                <w:color w:val="auto"/>
                <w:szCs w:val="21"/>
                <w:lang w:val="en-US" w:eastAsia="zh-CN"/>
              </w:rPr>
              <w:t>工业</w:t>
            </w:r>
            <w:r>
              <w:rPr>
                <w:b/>
                <w:bCs/>
                <w:color w:val="auto"/>
                <w:szCs w:val="21"/>
              </w:rPr>
              <w:t>”。</w:t>
            </w:r>
          </w:p>
        </w:tc>
      </w:tr>
      <w:tr w14:paraId="0552DFE0">
        <w:tblPrEx>
          <w:tblCellMar>
            <w:top w:w="0" w:type="dxa"/>
            <w:left w:w="108" w:type="dxa"/>
            <w:bottom w:w="0" w:type="dxa"/>
            <w:right w:w="108" w:type="dxa"/>
          </w:tblCellMar>
        </w:tblPrEx>
        <w:trPr>
          <w:trHeight w:val="1008" w:hRule="atLeast"/>
        </w:trPr>
        <w:tc>
          <w:tcPr>
            <w:tcW w:w="1155" w:type="dxa"/>
            <w:tcBorders>
              <w:top w:val="single" w:color="auto" w:sz="4" w:space="0"/>
              <w:left w:val="single" w:color="auto" w:sz="4" w:space="0"/>
              <w:bottom w:val="single" w:color="auto" w:sz="4" w:space="0"/>
              <w:right w:val="single" w:color="auto" w:sz="4" w:space="0"/>
            </w:tcBorders>
            <w:vAlign w:val="center"/>
          </w:tcPr>
          <w:p w14:paraId="20703C20">
            <w:pPr>
              <w:widowControl/>
              <w:spacing w:line="360" w:lineRule="auto"/>
              <w:jc w:val="center"/>
              <w:rPr>
                <w:rFonts w:hint="default" w:eastAsia="宋体"/>
                <w:b/>
                <w:color w:val="auto"/>
                <w:kern w:val="0"/>
                <w:szCs w:val="21"/>
                <w:lang w:val="en-US" w:eastAsia="zh-CN"/>
              </w:rPr>
            </w:pPr>
            <w:r>
              <w:rPr>
                <w:rFonts w:hint="eastAsia"/>
                <w:b/>
                <w:color w:val="auto"/>
                <w:kern w:val="0"/>
                <w:szCs w:val="21"/>
                <w:lang w:val="en-US" w:eastAsia="zh-CN"/>
              </w:rPr>
              <w:t>10.10</w:t>
            </w:r>
          </w:p>
        </w:tc>
        <w:tc>
          <w:tcPr>
            <w:tcW w:w="2248" w:type="dxa"/>
            <w:tcBorders>
              <w:top w:val="single" w:color="auto" w:sz="4" w:space="0"/>
              <w:left w:val="single" w:color="auto" w:sz="4" w:space="0"/>
              <w:bottom w:val="single" w:color="auto" w:sz="4" w:space="0"/>
              <w:right w:val="single" w:color="auto" w:sz="4" w:space="0"/>
            </w:tcBorders>
            <w:vAlign w:val="center"/>
          </w:tcPr>
          <w:p w14:paraId="3ABFA1E2">
            <w:pPr>
              <w:widowControl/>
              <w:spacing w:line="360" w:lineRule="auto"/>
              <w:jc w:val="center"/>
              <w:rPr>
                <w:rFonts w:hint="eastAsia"/>
                <w:b/>
                <w:color w:val="auto"/>
              </w:rPr>
            </w:pPr>
            <w:r>
              <w:rPr>
                <w:rFonts w:hint="eastAsia" w:ascii="宋体" w:hAnsi="宋体" w:cs="宋体"/>
                <w:b/>
                <w:color w:val="auto"/>
                <w:szCs w:val="21"/>
              </w:rPr>
              <w:t>节能环保</w:t>
            </w:r>
          </w:p>
        </w:tc>
        <w:tc>
          <w:tcPr>
            <w:tcW w:w="6662" w:type="dxa"/>
            <w:tcBorders>
              <w:top w:val="single" w:color="auto" w:sz="4" w:space="0"/>
              <w:left w:val="single" w:color="auto" w:sz="4" w:space="0"/>
              <w:bottom w:val="single" w:color="auto" w:sz="4" w:space="0"/>
              <w:right w:val="single" w:color="auto" w:sz="4" w:space="0"/>
            </w:tcBorders>
            <w:vAlign w:val="center"/>
          </w:tcPr>
          <w:p w14:paraId="22116132">
            <w:pPr>
              <w:spacing w:line="360" w:lineRule="auto"/>
              <w:rPr>
                <w:color w:val="auto"/>
                <w:szCs w:val="21"/>
              </w:rPr>
            </w:pPr>
            <w:r>
              <w:rPr>
                <w:rFonts w:hint="eastAsia"/>
                <w:color w:val="auto"/>
                <w:szCs w:val="21"/>
              </w:rPr>
              <w:t>本项目执行政府采购强制采购和优先采购节能、环保产品等政府采购政策。</w:t>
            </w:r>
          </w:p>
        </w:tc>
      </w:tr>
      <w:bookmarkEnd w:id="12"/>
    </w:tbl>
    <w:p w14:paraId="002F6FDC">
      <w:pPr>
        <w:rPr>
          <w:color w:val="auto"/>
        </w:rPr>
      </w:pPr>
    </w:p>
    <w:bookmarkEnd w:id="10"/>
    <w:p w14:paraId="254A4D54">
      <w:pPr>
        <w:rPr>
          <w:rFonts w:hint="eastAsia" w:ascii="宋体" w:hAnsi="宋体"/>
          <w:b/>
          <w:color w:val="auto"/>
          <w:kern w:val="0"/>
          <w:sz w:val="36"/>
          <w:szCs w:val="44"/>
        </w:rPr>
      </w:pPr>
      <w:bookmarkStart w:id="15" w:name="_Toc221356228"/>
      <w:bookmarkStart w:id="16" w:name="_Toc179632546"/>
      <w:bookmarkStart w:id="17" w:name="_Toc152042305"/>
      <w:bookmarkStart w:id="18" w:name="_Toc241763829"/>
      <w:bookmarkStart w:id="19" w:name="_Toc144974497"/>
      <w:bookmarkStart w:id="20" w:name="_Toc152045529"/>
      <w:r>
        <w:rPr>
          <w:rFonts w:hint="eastAsia" w:ascii="宋体" w:hAnsi="宋体"/>
          <w:b/>
          <w:color w:val="auto"/>
          <w:kern w:val="0"/>
          <w:sz w:val="36"/>
          <w:szCs w:val="44"/>
        </w:rPr>
        <w:br w:type="page"/>
      </w:r>
    </w:p>
    <w:p w14:paraId="39497950">
      <w:pPr>
        <w:spacing w:line="360" w:lineRule="auto"/>
        <w:jc w:val="center"/>
        <w:outlineLvl w:val="2"/>
        <w:rPr>
          <w:rFonts w:hint="eastAsia" w:ascii="宋体" w:hAnsi="宋体"/>
          <w:b/>
          <w:color w:val="auto"/>
          <w:kern w:val="0"/>
          <w:sz w:val="36"/>
          <w:szCs w:val="44"/>
        </w:rPr>
      </w:pPr>
      <w:bookmarkStart w:id="21" w:name="_Toc26113"/>
      <w:r>
        <w:rPr>
          <w:rFonts w:hint="eastAsia" w:ascii="宋体" w:hAnsi="宋体"/>
          <w:b/>
          <w:color w:val="auto"/>
          <w:kern w:val="0"/>
          <w:sz w:val="36"/>
          <w:szCs w:val="44"/>
        </w:rPr>
        <w:t>1.</w:t>
      </w:r>
      <w:r>
        <w:rPr>
          <w:rFonts w:ascii="宋体" w:hAnsi="宋体"/>
          <w:b/>
          <w:color w:val="auto"/>
          <w:kern w:val="0"/>
          <w:sz w:val="36"/>
          <w:szCs w:val="44"/>
        </w:rPr>
        <w:t xml:space="preserve"> </w:t>
      </w:r>
      <w:r>
        <w:rPr>
          <w:rFonts w:hint="eastAsia" w:ascii="宋体" w:hAnsi="宋体"/>
          <w:b/>
          <w:color w:val="auto"/>
          <w:kern w:val="0"/>
          <w:sz w:val="36"/>
          <w:szCs w:val="44"/>
        </w:rPr>
        <w:t>总则</w:t>
      </w:r>
      <w:bookmarkEnd w:id="15"/>
      <w:bookmarkEnd w:id="16"/>
      <w:bookmarkEnd w:id="17"/>
      <w:bookmarkEnd w:id="18"/>
      <w:bookmarkEnd w:id="19"/>
      <w:bookmarkEnd w:id="20"/>
      <w:bookmarkEnd w:id="21"/>
    </w:p>
    <w:p w14:paraId="52BFC2D6">
      <w:pPr>
        <w:spacing w:line="360" w:lineRule="auto"/>
        <w:ind w:firstLine="422" w:firstLineChars="200"/>
        <w:rPr>
          <w:b/>
          <w:color w:val="auto"/>
        </w:rPr>
      </w:pPr>
      <w:bookmarkStart w:id="22" w:name="_Toc179632547"/>
      <w:bookmarkStart w:id="23" w:name="_Toc152042306"/>
      <w:bookmarkStart w:id="24" w:name="_Toc152045530"/>
      <w:bookmarkStart w:id="25" w:name="_Toc144974498"/>
      <w:bookmarkStart w:id="26" w:name="_Toc221356229"/>
      <w:r>
        <w:rPr>
          <w:rFonts w:hint="eastAsia" w:ascii="宋体" w:hAnsi="宋体"/>
          <w:b/>
          <w:color w:val="auto"/>
        </w:rPr>
        <w:t>1</w:t>
      </w:r>
      <w:r>
        <w:rPr>
          <w:b/>
          <w:color w:val="auto"/>
        </w:rPr>
        <w:t>.1项目概况</w:t>
      </w:r>
      <w:bookmarkEnd w:id="22"/>
      <w:bookmarkEnd w:id="23"/>
      <w:bookmarkEnd w:id="24"/>
      <w:bookmarkEnd w:id="25"/>
      <w:bookmarkEnd w:id="26"/>
    </w:p>
    <w:p w14:paraId="21A25E3E">
      <w:pPr>
        <w:spacing w:line="360" w:lineRule="auto"/>
        <w:ind w:firstLine="420" w:firstLineChars="200"/>
        <w:rPr>
          <w:color w:val="auto"/>
        </w:rPr>
      </w:pPr>
      <w:r>
        <w:rPr>
          <w:color w:val="auto"/>
        </w:rPr>
        <w:t>1.1.1</w:t>
      </w:r>
      <w:r>
        <w:rPr>
          <w:rFonts w:hint="eastAsia"/>
          <w:color w:val="auto"/>
        </w:rPr>
        <w:t>根据《中华人民共和国政府采购法》《中华人民共和国政府采购法实施条例》《政府采购非招标采购方式管理办法》（财政部第74号令）等有关规定，本项目已具备谈判条件，现对本项目进行谈判。</w:t>
      </w:r>
    </w:p>
    <w:p w14:paraId="6D062379">
      <w:pPr>
        <w:spacing w:line="360" w:lineRule="auto"/>
        <w:ind w:firstLine="420" w:firstLineChars="200"/>
        <w:rPr>
          <w:color w:val="auto"/>
        </w:rPr>
      </w:pPr>
      <w:r>
        <w:rPr>
          <w:color w:val="auto"/>
        </w:rPr>
        <w:t>1.1.2本项目采购人：见供应商须知前附表。</w:t>
      </w:r>
    </w:p>
    <w:p w14:paraId="1F8BC694">
      <w:pPr>
        <w:spacing w:line="360" w:lineRule="auto"/>
        <w:ind w:firstLine="420" w:firstLineChars="200"/>
        <w:rPr>
          <w:color w:val="auto"/>
        </w:rPr>
      </w:pPr>
      <w:r>
        <w:rPr>
          <w:color w:val="auto"/>
        </w:rPr>
        <w:t>1.1.3本项目采购代理机构：见供应商须知前附表。</w:t>
      </w:r>
    </w:p>
    <w:p w14:paraId="504DEBB7">
      <w:pPr>
        <w:spacing w:line="360" w:lineRule="auto"/>
        <w:ind w:firstLine="420" w:firstLineChars="200"/>
        <w:rPr>
          <w:color w:val="auto"/>
        </w:rPr>
      </w:pPr>
      <w:r>
        <w:rPr>
          <w:color w:val="auto"/>
        </w:rPr>
        <w:t>1.1.4本项目名称：见供应商须知前附表。</w:t>
      </w:r>
    </w:p>
    <w:p w14:paraId="58589E0D">
      <w:pPr>
        <w:spacing w:line="360" w:lineRule="auto"/>
        <w:ind w:firstLine="420" w:firstLineChars="200"/>
        <w:rPr>
          <w:color w:val="auto"/>
        </w:rPr>
      </w:pPr>
      <w:r>
        <w:rPr>
          <w:rFonts w:hint="eastAsia"/>
          <w:color w:val="auto"/>
        </w:rPr>
        <w:t>1</w:t>
      </w:r>
      <w:r>
        <w:rPr>
          <w:color w:val="auto"/>
        </w:rPr>
        <w:t>.1.5</w:t>
      </w:r>
      <w:r>
        <w:rPr>
          <w:rFonts w:hint="eastAsia"/>
          <w:color w:val="auto"/>
        </w:rPr>
        <w:t>本项目</w:t>
      </w:r>
      <w:r>
        <w:rPr>
          <w:rFonts w:hint="eastAsia"/>
          <w:color w:val="auto"/>
          <w:lang w:val="en-US" w:eastAsia="zh-CN"/>
        </w:rPr>
        <w:t>交货地点</w:t>
      </w:r>
      <w:r>
        <w:rPr>
          <w:rFonts w:hint="eastAsia"/>
          <w:color w:val="auto"/>
        </w:rPr>
        <w:t>：</w:t>
      </w:r>
      <w:r>
        <w:rPr>
          <w:color w:val="auto"/>
        </w:rPr>
        <w:t>见供应商须知前附表。</w:t>
      </w:r>
    </w:p>
    <w:p w14:paraId="5AB43901">
      <w:pPr>
        <w:spacing w:line="360" w:lineRule="auto"/>
        <w:ind w:firstLine="422" w:firstLineChars="200"/>
        <w:rPr>
          <w:b/>
          <w:color w:val="auto"/>
        </w:rPr>
      </w:pPr>
      <w:bookmarkStart w:id="27" w:name="_Toc179632548"/>
      <w:bookmarkStart w:id="28" w:name="_Toc152045531"/>
      <w:bookmarkStart w:id="29" w:name="_Toc144974499"/>
      <w:bookmarkStart w:id="30" w:name="_Toc152042307"/>
      <w:bookmarkStart w:id="31" w:name="_Toc221356230"/>
      <w:r>
        <w:rPr>
          <w:b/>
          <w:color w:val="auto"/>
        </w:rPr>
        <w:t>1.2项目的资金来源</w:t>
      </w:r>
      <w:bookmarkEnd w:id="27"/>
      <w:bookmarkEnd w:id="28"/>
      <w:bookmarkEnd w:id="29"/>
      <w:bookmarkEnd w:id="30"/>
      <w:bookmarkEnd w:id="31"/>
      <w:r>
        <w:rPr>
          <w:b/>
          <w:color w:val="auto"/>
        </w:rPr>
        <w:t>和落实情况</w:t>
      </w:r>
    </w:p>
    <w:p w14:paraId="4EFBC4DD">
      <w:pPr>
        <w:spacing w:line="360" w:lineRule="auto"/>
        <w:ind w:firstLine="420" w:firstLineChars="200"/>
        <w:rPr>
          <w:color w:val="auto"/>
        </w:rPr>
      </w:pPr>
      <w:r>
        <w:rPr>
          <w:color w:val="auto"/>
        </w:rPr>
        <w:t>1.2.1 本项目的资金落实情况：见供应商须知前附表。</w:t>
      </w:r>
    </w:p>
    <w:p w14:paraId="2BBC2289">
      <w:pPr>
        <w:spacing w:line="360" w:lineRule="auto"/>
        <w:ind w:firstLine="420" w:firstLineChars="200"/>
        <w:rPr>
          <w:color w:val="auto"/>
        </w:rPr>
      </w:pPr>
      <w:r>
        <w:rPr>
          <w:color w:val="auto"/>
        </w:rPr>
        <w:t>1.2.2 本项目的</w:t>
      </w:r>
      <w:r>
        <w:rPr>
          <w:rFonts w:hint="eastAsia"/>
          <w:color w:val="auto"/>
        </w:rPr>
        <w:t>采购</w:t>
      </w:r>
      <w:r>
        <w:rPr>
          <w:color w:val="auto"/>
        </w:rPr>
        <w:t>预算</w:t>
      </w:r>
      <w:r>
        <w:rPr>
          <w:rFonts w:hint="eastAsia"/>
          <w:color w:val="auto"/>
        </w:rPr>
        <w:t>及最高限价</w:t>
      </w:r>
      <w:r>
        <w:rPr>
          <w:color w:val="auto"/>
        </w:rPr>
        <w:t>金额：见供应商须知前附表。</w:t>
      </w:r>
    </w:p>
    <w:p w14:paraId="6B85A9D9">
      <w:pPr>
        <w:spacing w:line="360" w:lineRule="auto"/>
        <w:ind w:firstLine="422" w:firstLineChars="200"/>
        <w:rPr>
          <w:b/>
          <w:color w:val="auto"/>
        </w:rPr>
      </w:pPr>
      <w:bookmarkStart w:id="32" w:name="_Toc152042308"/>
      <w:bookmarkStart w:id="33" w:name="_Toc152045532"/>
      <w:bookmarkStart w:id="34" w:name="_Toc221356231"/>
      <w:bookmarkStart w:id="35" w:name="_Toc179632549"/>
      <w:bookmarkStart w:id="36" w:name="_Toc144974500"/>
      <w:r>
        <w:rPr>
          <w:b/>
          <w:color w:val="auto"/>
        </w:rPr>
        <w:t>1.3采购范围、</w:t>
      </w:r>
      <w:r>
        <w:rPr>
          <w:rFonts w:hint="eastAsia"/>
          <w:b/>
          <w:color w:val="auto"/>
        </w:rPr>
        <w:t>合同履行期限、</w:t>
      </w:r>
      <w:bookmarkEnd w:id="32"/>
      <w:bookmarkEnd w:id="33"/>
      <w:bookmarkEnd w:id="34"/>
      <w:bookmarkEnd w:id="35"/>
      <w:bookmarkEnd w:id="36"/>
      <w:r>
        <w:rPr>
          <w:rFonts w:hint="eastAsia"/>
          <w:b/>
          <w:color w:val="auto"/>
        </w:rPr>
        <w:t>质量要求</w:t>
      </w:r>
    </w:p>
    <w:p w14:paraId="01D1E000">
      <w:pPr>
        <w:spacing w:line="360" w:lineRule="auto"/>
        <w:ind w:firstLine="420" w:firstLineChars="200"/>
        <w:rPr>
          <w:color w:val="auto"/>
        </w:rPr>
      </w:pPr>
      <w:bookmarkStart w:id="37" w:name="_Toc179632551"/>
      <w:bookmarkStart w:id="38" w:name="_Toc152045534"/>
      <w:bookmarkStart w:id="39" w:name="_Toc144974502"/>
      <w:bookmarkStart w:id="40" w:name="_Toc221356232"/>
      <w:bookmarkStart w:id="41" w:name="_Toc152042310"/>
      <w:r>
        <w:rPr>
          <w:color w:val="auto"/>
        </w:rPr>
        <w:t>1.3.1采购范围：见供应商须知前附表。</w:t>
      </w:r>
    </w:p>
    <w:p w14:paraId="6B8AFE58">
      <w:pPr>
        <w:spacing w:line="360" w:lineRule="auto"/>
        <w:ind w:firstLine="420" w:firstLineChars="200"/>
        <w:rPr>
          <w:color w:val="auto"/>
        </w:rPr>
      </w:pPr>
      <w:r>
        <w:rPr>
          <w:color w:val="auto"/>
        </w:rPr>
        <w:t>1.3.2</w:t>
      </w:r>
      <w:r>
        <w:rPr>
          <w:rFonts w:hint="eastAsia"/>
          <w:color w:val="auto"/>
        </w:rPr>
        <w:t>合同履行期限</w:t>
      </w:r>
      <w:r>
        <w:rPr>
          <w:rFonts w:hint="eastAsia"/>
          <w:color w:val="auto"/>
          <w:lang w:eastAsia="zh-CN"/>
        </w:rPr>
        <w:t>（</w:t>
      </w:r>
      <w:r>
        <w:rPr>
          <w:rFonts w:hint="eastAsia"/>
          <w:color w:val="auto"/>
          <w:lang w:val="en-US" w:eastAsia="zh-CN"/>
        </w:rPr>
        <w:t>交货期限</w:t>
      </w:r>
      <w:r>
        <w:rPr>
          <w:rFonts w:hint="eastAsia"/>
          <w:color w:val="auto"/>
          <w:lang w:eastAsia="zh-CN"/>
        </w:rPr>
        <w:t>）</w:t>
      </w:r>
      <w:r>
        <w:rPr>
          <w:color w:val="auto"/>
        </w:rPr>
        <w:t>：见供应商须知前附表。</w:t>
      </w:r>
    </w:p>
    <w:p w14:paraId="4E4C6577">
      <w:pPr>
        <w:spacing w:line="360" w:lineRule="auto"/>
        <w:ind w:firstLine="420" w:firstLineChars="200"/>
        <w:rPr>
          <w:color w:val="auto"/>
        </w:rPr>
      </w:pPr>
      <w:r>
        <w:rPr>
          <w:color w:val="auto"/>
        </w:rPr>
        <w:t>1.3.3</w:t>
      </w:r>
      <w:r>
        <w:rPr>
          <w:rFonts w:hint="eastAsia"/>
          <w:color w:val="auto"/>
        </w:rPr>
        <w:t>质量要求</w:t>
      </w:r>
      <w:r>
        <w:rPr>
          <w:color w:val="auto"/>
        </w:rPr>
        <w:t>：见供应商须知前附表。</w:t>
      </w:r>
    </w:p>
    <w:p w14:paraId="63DD5B92">
      <w:pPr>
        <w:spacing w:line="360" w:lineRule="auto"/>
        <w:ind w:firstLine="422" w:firstLineChars="200"/>
        <w:rPr>
          <w:b/>
          <w:color w:val="auto"/>
        </w:rPr>
      </w:pPr>
      <w:r>
        <w:rPr>
          <w:b/>
          <w:color w:val="auto"/>
        </w:rPr>
        <w:t>1.4供应商资格要求</w:t>
      </w:r>
      <w:bookmarkEnd w:id="37"/>
      <w:bookmarkEnd w:id="38"/>
      <w:bookmarkEnd w:id="39"/>
      <w:bookmarkEnd w:id="40"/>
      <w:bookmarkEnd w:id="41"/>
      <w:bookmarkStart w:id="42" w:name="_Toc152042311"/>
      <w:bookmarkStart w:id="43" w:name="_Toc152045535"/>
      <w:bookmarkStart w:id="44" w:name="_Toc179632552"/>
      <w:bookmarkStart w:id="45" w:name="_Toc144974503"/>
      <w:bookmarkStart w:id="46" w:name="_Toc221356233"/>
    </w:p>
    <w:p w14:paraId="3E0EEBF9">
      <w:pPr>
        <w:spacing w:line="360" w:lineRule="auto"/>
        <w:ind w:firstLine="420" w:firstLineChars="200"/>
        <w:rPr>
          <w:color w:val="auto"/>
        </w:rPr>
      </w:pPr>
      <w:r>
        <w:rPr>
          <w:color w:val="auto"/>
        </w:rPr>
        <w:t>1.4.1投标人应具备承担本项目的资质条件</w:t>
      </w:r>
      <w:r>
        <w:rPr>
          <w:rFonts w:hint="eastAsia"/>
          <w:color w:val="auto"/>
        </w:rPr>
        <w:t>，</w:t>
      </w:r>
      <w:r>
        <w:rPr>
          <w:rFonts w:hint="eastAsia" w:ascii="宋体" w:hAnsi="宋体"/>
          <w:color w:val="auto"/>
          <w:szCs w:val="21"/>
        </w:rPr>
        <w:t>详见投标人须知前附表。</w:t>
      </w:r>
    </w:p>
    <w:p w14:paraId="5D7F7391">
      <w:pPr>
        <w:spacing w:line="360" w:lineRule="auto"/>
        <w:ind w:firstLine="420" w:firstLineChars="200"/>
        <w:rPr>
          <w:color w:val="auto"/>
        </w:rPr>
      </w:pPr>
      <w:r>
        <w:rPr>
          <w:color w:val="auto"/>
        </w:rPr>
        <w:t>1.4.2</w:t>
      </w:r>
      <w:r>
        <w:rPr>
          <w:rFonts w:hint="eastAsia"/>
          <w:color w:val="auto"/>
        </w:rPr>
        <w:t xml:space="preserve">供应商须知前附表规定接受联合体谈判的，联合体除应符合本章第 1.4.1 项和供应商须知前附表的要求外，还应遵守以下规定： </w:t>
      </w:r>
    </w:p>
    <w:p w14:paraId="7D815FC8">
      <w:pPr>
        <w:spacing w:line="360" w:lineRule="auto"/>
        <w:ind w:firstLine="420" w:firstLineChars="200"/>
        <w:rPr>
          <w:color w:val="auto"/>
        </w:rPr>
      </w:pPr>
      <w:r>
        <w:rPr>
          <w:rFonts w:hint="eastAsia"/>
          <w:color w:val="auto"/>
        </w:rPr>
        <w:t xml:space="preserve">（1）联合体各方应按谈判文件提供的格式签订联合体协议书，明确联合体牵头人和各方权利义务，并承诺就成交项目向采购人承担连带责任； </w:t>
      </w:r>
    </w:p>
    <w:p w14:paraId="67448140">
      <w:pPr>
        <w:spacing w:line="360" w:lineRule="auto"/>
        <w:ind w:firstLine="420" w:firstLineChars="200"/>
        <w:rPr>
          <w:color w:val="auto"/>
        </w:rPr>
      </w:pPr>
      <w:r>
        <w:rPr>
          <w:rFonts w:hint="eastAsia"/>
          <w:color w:val="auto"/>
        </w:rPr>
        <w:t xml:space="preserve">（2）联合体中有同类资质的供应商按照联合体分工承担相同工作的，应当按照资质等级较低的供应商确定资质等级； </w:t>
      </w:r>
    </w:p>
    <w:p w14:paraId="4A1F6F5B">
      <w:pPr>
        <w:spacing w:line="360" w:lineRule="auto"/>
        <w:ind w:firstLine="420" w:firstLineChars="200"/>
        <w:rPr>
          <w:color w:val="auto"/>
        </w:rPr>
      </w:pPr>
      <w:r>
        <w:rPr>
          <w:rFonts w:hint="eastAsia"/>
          <w:color w:val="auto"/>
        </w:rPr>
        <w:t>（3）以联合体形式参加政府采购活动的，联合体各方不得再单独参加或者与其他供应商另外组成联合体参加同一合同项下的政府采购活动。</w:t>
      </w:r>
    </w:p>
    <w:p w14:paraId="32FFE09C">
      <w:pPr>
        <w:spacing w:line="360" w:lineRule="auto"/>
        <w:ind w:firstLine="493" w:firstLineChars="235"/>
        <w:rPr>
          <w:color w:val="auto"/>
        </w:rPr>
      </w:pPr>
      <w:r>
        <w:rPr>
          <w:color w:val="auto"/>
        </w:rPr>
        <w:t>1.4.3供应商不得存在下列情形之一：</w:t>
      </w:r>
    </w:p>
    <w:p w14:paraId="1D587F64">
      <w:pPr>
        <w:spacing w:line="360" w:lineRule="auto"/>
        <w:ind w:firstLine="422" w:firstLineChars="201"/>
        <w:jc w:val="left"/>
        <w:rPr>
          <w:color w:val="auto"/>
          <w:szCs w:val="21"/>
        </w:rPr>
      </w:pPr>
      <w:r>
        <w:rPr>
          <w:rFonts w:hint="eastAsia"/>
          <w:color w:val="auto"/>
          <w:szCs w:val="21"/>
        </w:rPr>
        <w:t>（1）为采购人不具有独立法人资格的附属机构（单位）；</w:t>
      </w:r>
    </w:p>
    <w:p w14:paraId="671BD413">
      <w:pPr>
        <w:spacing w:line="360" w:lineRule="auto"/>
        <w:ind w:firstLine="422" w:firstLineChars="201"/>
        <w:jc w:val="left"/>
        <w:rPr>
          <w:color w:val="auto"/>
          <w:szCs w:val="21"/>
        </w:rPr>
      </w:pPr>
      <w:r>
        <w:rPr>
          <w:rFonts w:hint="eastAsia"/>
          <w:color w:val="auto"/>
          <w:szCs w:val="21"/>
        </w:rPr>
        <w:t>（</w:t>
      </w:r>
      <w:r>
        <w:rPr>
          <w:color w:val="auto"/>
          <w:szCs w:val="21"/>
        </w:rPr>
        <w:t>2</w:t>
      </w:r>
      <w:r>
        <w:rPr>
          <w:rFonts w:hint="eastAsia"/>
          <w:color w:val="auto"/>
          <w:szCs w:val="21"/>
        </w:rPr>
        <w:t>）为本项目前期准备提供设计或咨询服务的；</w:t>
      </w:r>
    </w:p>
    <w:p w14:paraId="31A3D84F">
      <w:pPr>
        <w:spacing w:line="360" w:lineRule="auto"/>
        <w:ind w:firstLine="422" w:firstLineChars="201"/>
        <w:jc w:val="left"/>
        <w:rPr>
          <w:color w:val="auto"/>
          <w:szCs w:val="21"/>
        </w:rPr>
      </w:pPr>
      <w:r>
        <w:rPr>
          <w:rFonts w:hint="eastAsia"/>
          <w:color w:val="auto"/>
          <w:szCs w:val="21"/>
        </w:rPr>
        <w:t>（</w:t>
      </w:r>
      <w:r>
        <w:rPr>
          <w:color w:val="auto"/>
          <w:szCs w:val="21"/>
        </w:rPr>
        <w:t>3</w:t>
      </w:r>
      <w:r>
        <w:rPr>
          <w:rFonts w:hint="eastAsia"/>
          <w:color w:val="auto"/>
          <w:szCs w:val="21"/>
        </w:rPr>
        <w:t>）为本项目的监理人；</w:t>
      </w:r>
    </w:p>
    <w:p w14:paraId="75AE2EC1">
      <w:pPr>
        <w:spacing w:line="360" w:lineRule="auto"/>
        <w:ind w:firstLine="422" w:firstLineChars="201"/>
        <w:jc w:val="left"/>
        <w:rPr>
          <w:color w:val="auto"/>
          <w:szCs w:val="21"/>
        </w:rPr>
      </w:pPr>
      <w:r>
        <w:rPr>
          <w:rFonts w:hint="eastAsia"/>
          <w:color w:val="auto"/>
          <w:szCs w:val="21"/>
        </w:rPr>
        <w:t>（</w:t>
      </w:r>
      <w:r>
        <w:rPr>
          <w:color w:val="auto"/>
          <w:szCs w:val="21"/>
        </w:rPr>
        <w:t>4</w:t>
      </w:r>
      <w:r>
        <w:rPr>
          <w:rFonts w:hint="eastAsia"/>
          <w:color w:val="auto"/>
          <w:szCs w:val="21"/>
        </w:rPr>
        <w:t>）为本项目的代建人；</w:t>
      </w:r>
    </w:p>
    <w:p w14:paraId="36449D12">
      <w:pPr>
        <w:spacing w:line="360" w:lineRule="auto"/>
        <w:ind w:firstLine="422" w:firstLineChars="201"/>
        <w:jc w:val="left"/>
        <w:rPr>
          <w:color w:val="auto"/>
          <w:szCs w:val="21"/>
        </w:rPr>
      </w:pPr>
      <w:r>
        <w:rPr>
          <w:rFonts w:hint="eastAsia"/>
          <w:color w:val="auto"/>
          <w:szCs w:val="21"/>
        </w:rPr>
        <w:t>（</w:t>
      </w:r>
      <w:r>
        <w:rPr>
          <w:color w:val="auto"/>
          <w:szCs w:val="21"/>
        </w:rPr>
        <w:t>5</w:t>
      </w:r>
      <w:r>
        <w:rPr>
          <w:rFonts w:hint="eastAsia"/>
          <w:color w:val="auto"/>
          <w:szCs w:val="21"/>
        </w:rPr>
        <w:t>）为本项目提供采购代理服务的；</w:t>
      </w:r>
    </w:p>
    <w:p w14:paraId="014A983B">
      <w:pPr>
        <w:spacing w:line="360" w:lineRule="auto"/>
        <w:ind w:firstLine="422" w:firstLineChars="201"/>
        <w:jc w:val="left"/>
        <w:rPr>
          <w:color w:val="auto"/>
          <w:szCs w:val="21"/>
        </w:rPr>
      </w:pPr>
      <w:r>
        <w:rPr>
          <w:rFonts w:hint="eastAsia"/>
          <w:color w:val="auto"/>
          <w:szCs w:val="21"/>
        </w:rPr>
        <w:t>（</w:t>
      </w:r>
      <w:r>
        <w:rPr>
          <w:color w:val="auto"/>
          <w:szCs w:val="21"/>
        </w:rPr>
        <w:t>6</w:t>
      </w:r>
      <w:r>
        <w:rPr>
          <w:rFonts w:hint="eastAsia"/>
          <w:color w:val="auto"/>
          <w:szCs w:val="21"/>
        </w:rPr>
        <w:t>）与本项目的监理人或代建人或采购代理机构同为一个法定代表人的；</w:t>
      </w:r>
    </w:p>
    <w:p w14:paraId="25BEB6FF">
      <w:pPr>
        <w:spacing w:line="360" w:lineRule="auto"/>
        <w:ind w:firstLine="422" w:firstLineChars="201"/>
        <w:jc w:val="left"/>
        <w:rPr>
          <w:color w:val="auto"/>
          <w:szCs w:val="21"/>
        </w:rPr>
      </w:pPr>
      <w:r>
        <w:rPr>
          <w:rFonts w:hint="eastAsia"/>
          <w:color w:val="auto"/>
          <w:szCs w:val="21"/>
        </w:rPr>
        <w:t>（</w:t>
      </w:r>
      <w:r>
        <w:rPr>
          <w:color w:val="auto"/>
          <w:szCs w:val="21"/>
        </w:rPr>
        <w:t>7</w:t>
      </w:r>
      <w:r>
        <w:rPr>
          <w:rFonts w:hint="eastAsia"/>
          <w:color w:val="auto"/>
          <w:szCs w:val="21"/>
        </w:rPr>
        <w:t>）与本项目的监理人或代建人或采购代理机构相互控股或参股的；</w:t>
      </w:r>
    </w:p>
    <w:p w14:paraId="207F2AE2">
      <w:pPr>
        <w:spacing w:line="360" w:lineRule="auto"/>
        <w:ind w:firstLine="422" w:firstLineChars="201"/>
        <w:jc w:val="left"/>
        <w:rPr>
          <w:color w:val="auto"/>
          <w:szCs w:val="21"/>
        </w:rPr>
      </w:pPr>
      <w:r>
        <w:rPr>
          <w:rFonts w:hint="eastAsia"/>
          <w:color w:val="auto"/>
          <w:szCs w:val="21"/>
        </w:rPr>
        <w:t>（</w:t>
      </w:r>
      <w:r>
        <w:rPr>
          <w:color w:val="auto"/>
          <w:szCs w:val="21"/>
        </w:rPr>
        <w:t>8</w:t>
      </w:r>
      <w:r>
        <w:rPr>
          <w:rFonts w:hint="eastAsia"/>
          <w:color w:val="auto"/>
          <w:szCs w:val="21"/>
        </w:rPr>
        <w:t>）与本项目的监理人或代建人或采购代理机构相互任职或工作的；</w:t>
      </w:r>
    </w:p>
    <w:p w14:paraId="499CE1B3">
      <w:pPr>
        <w:spacing w:line="360" w:lineRule="auto"/>
        <w:ind w:firstLine="422" w:firstLineChars="201"/>
        <w:jc w:val="left"/>
        <w:rPr>
          <w:color w:val="auto"/>
          <w:szCs w:val="21"/>
        </w:rPr>
      </w:pPr>
      <w:r>
        <w:rPr>
          <w:rFonts w:hint="eastAsia"/>
          <w:color w:val="auto"/>
          <w:szCs w:val="21"/>
        </w:rPr>
        <w:t>（</w:t>
      </w:r>
      <w:r>
        <w:rPr>
          <w:color w:val="auto"/>
          <w:szCs w:val="21"/>
        </w:rPr>
        <w:t>9</w:t>
      </w:r>
      <w:r>
        <w:rPr>
          <w:rFonts w:hint="eastAsia"/>
          <w:color w:val="auto"/>
          <w:szCs w:val="21"/>
        </w:rPr>
        <w:t>）被责令停业的；</w:t>
      </w:r>
    </w:p>
    <w:p w14:paraId="228B7E10">
      <w:pPr>
        <w:spacing w:line="360" w:lineRule="auto"/>
        <w:ind w:firstLine="422" w:firstLineChars="201"/>
        <w:jc w:val="left"/>
        <w:rPr>
          <w:color w:val="auto"/>
          <w:szCs w:val="21"/>
        </w:rPr>
      </w:pPr>
      <w:r>
        <w:rPr>
          <w:rFonts w:hint="eastAsia"/>
          <w:color w:val="auto"/>
          <w:szCs w:val="21"/>
        </w:rPr>
        <w:t>（</w:t>
      </w:r>
      <w:r>
        <w:rPr>
          <w:color w:val="auto"/>
          <w:szCs w:val="21"/>
        </w:rPr>
        <w:t>10</w:t>
      </w:r>
      <w:r>
        <w:rPr>
          <w:rFonts w:hint="eastAsia"/>
          <w:color w:val="auto"/>
          <w:szCs w:val="21"/>
        </w:rPr>
        <w:t>）被暂停或取消投标资格的；</w:t>
      </w:r>
    </w:p>
    <w:p w14:paraId="5C6FE881">
      <w:pPr>
        <w:spacing w:line="360" w:lineRule="auto"/>
        <w:ind w:firstLine="422" w:firstLineChars="201"/>
        <w:jc w:val="left"/>
        <w:rPr>
          <w:color w:val="auto"/>
          <w:szCs w:val="21"/>
        </w:rPr>
      </w:pPr>
      <w:r>
        <w:rPr>
          <w:rFonts w:hint="eastAsia"/>
          <w:color w:val="auto"/>
          <w:szCs w:val="21"/>
        </w:rPr>
        <w:t>（</w:t>
      </w:r>
      <w:r>
        <w:rPr>
          <w:color w:val="auto"/>
          <w:szCs w:val="21"/>
        </w:rPr>
        <w:t>11</w:t>
      </w:r>
      <w:r>
        <w:rPr>
          <w:rFonts w:hint="eastAsia"/>
          <w:color w:val="auto"/>
          <w:szCs w:val="21"/>
        </w:rPr>
        <w:t>）财产被接管或冻结的；</w:t>
      </w:r>
    </w:p>
    <w:p w14:paraId="4C377BA6">
      <w:pPr>
        <w:spacing w:line="360" w:lineRule="auto"/>
        <w:ind w:firstLine="422" w:firstLineChars="201"/>
        <w:jc w:val="left"/>
        <w:rPr>
          <w:bCs/>
          <w:color w:val="auto"/>
          <w:szCs w:val="21"/>
        </w:rPr>
      </w:pPr>
      <w:r>
        <w:rPr>
          <w:rFonts w:hint="eastAsia"/>
          <w:color w:val="auto"/>
          <w:szCs w:val="21"/>
        </w:rPr>
        <w:t>（1</w:t>
      </w:r>
      <w:r>
        <w:rPr>
          <w:color w:val="auto"/>
          <w:szCs w:val="21"/>
        </w:rPr>
        <w:t>2</w:t>
      </w:r>
      <w:r>
        <w:rPr>
          <w:rFonts w:hint="eastAsia"/>
          <w:color w:val="auto"/>
          <w:szCs w:val="21"/>
        </w:rPr>
        <w:t>）法律法规或供应商须知前附表规定的其他情形。</w:t>
      </w:r>
    </w:p>
    <w:p w14:paraId="078F6088">
      <w:pPr>
        <w:spacing w:line="360" w:lineRule="auto"/>
        <w:ind w:firstLine="422" w:firstLineChars="200"/>
        <w:rPr>
          <w:b/>
          <w:color w:val="auto"/>
        </w:rPr>
      </w:pPr>
      <w:r>
        <w:rPr>
          <w:b/>
          <w:color w:val="auto"/>
        </w:rPr>
        <w:t>1.5费用承担</w:t>
      </w:r>
      <w:bookmarkEnd w:id="42"/>
      <w:bookmarkEnd w:id="43"/>
      <w:bookmarkEnd w:id="44"/>
      <w:bookmarkEnd w:id="45"/>
      <w:bookmarkEnd w:id="46"/>
    </w:p>
    <w:p w14:paraId="2276F0FD">
      <w:pPr>
        <w:spacing w:line="360" w:lineRule="auto"/>
        <w:ind w:firstLine="420" w:firstLineChars="200"/>
        <w:rPr>
          <w:color w:val="auto"/>
        </w:rPr>
      </w:pPr>
      <w:r>
        <w:rPr>
          <w:color w:val="auto"/>
        </w:rPr>
        <w:t>供应商准备和参加</w:t>
      </w:r>
      <w:r>
        <w:rPr>
          <w:rFonts w:hint="eastAsia"/>
          <w:color w:val="auto"/>
        </w:rPr>
        <w:t>谈判</w:t>
      </w:r>
      <w:r>
        <w:rPr>
          <w:color w:val="auto"/>
        </w:rPr>
        <w:t>活动发生的费用自理</w:t>
      </w:r>
      <w:r>
        <w:rPr>
          <w:rFonts w:hint="eastAsia"/>
          <w:color w:val="auto"/>
        </w:rPr>
        <w:t>，</w:t>
      </w:r>
      <w:r>
        <w:rPr>
          <w:rFonts w:hint="eastAsia" w:ascii="宋体" w:hAnsi="宋体"/>
          <w:color w:val="auto"/>
          <w:kern w:val="0"/>
          <w:szCs w:val="28"/>
        </w:rPr>
        <w:t>其他费用按国家、省、市相关规定收取。</w:t>
      </w:r>
    </w:p>
    <w:p w14:paraId="4807DA80">
      <w:pPr>
        <w:spacing w:line="360" w:lineRule="auto"/>
        <w:ind w:firstLine="422" w:firstLineChars="200"/>
        <w:rPr>
          <w:b/>
          <w:color w:val="auto"/>
        </w:rPr>
      </w:pPr>
      <w:bookmarkStart w:id="47" w:name="_Toc152045536"/>
      <w:bookmarkStart w:id="48" w:name="_Toc152042312"/>
      <w:bookmarkStart w:id="49" w:name="_Toc221356234"/>
      <w:bookmarkStart w:id="50" w:name="_Toc179632553"/>
      <w:bookmarkStart w:id="51" w:name="_Toc144974504"/>
      <w:r>
        <w:rPr>
          <w:b/>
          <w:color w:val="auto"/>
        </w:rPr>
        <w:t>1.6保密</w:t>
      </w:r>
      <w:bookmarkEnd w:id="47"/>
      <w:bookmarkEnd w:id="48"/>
      <w:bookmarkEnd w:id="49"/>
      <w:bookmarkEnd w:id="50"/>
      <w:bookmarkEnd w:id="51"/>
    </w:p>
    <w:p w14:paraId="70562A01">
      <w:pPr>
        <w:spacing w:line="360" w:lineRule="auto"/>
        <w:ind w:firstLine="420" w:firstLineChars="200"/>
        <w:rPr>
          <w:color w:val="auto"/>
        </w:rPr>
      </w:pPr>
      <w:r>
        <w:rPr>
          <w:color w:val="auto"/>
        </w:rPr>
        <w:t xml:space="preserve">参与谈判活动的各方应对谈判文件和响应文件中的商业和技术等秘密保密，违者应对由此造成的后果承担法律责任。 </w:t>
      </w:r>
    </w:p>
    <w:p w14:paraId="34964979">
      <w:pPr>
        <w:spacing w:line="360" w:lineRule="auto"/>
        <w:ind w:firstLine="422" w:firstLineChars="200"/>
        <w:rPr>
          <w:b/>
          <w:color w:val="auto"/>
        </w:rPr>
      </w:pPr>
      <w:bookmarkStart w:id="52" w:name="_Toc144974505"/>
      <w:bookmarkStart w:id="53" w:name="_Toc179632554"/>
      <w:bookmarkStart w:id="54" w:name="_Toc152045537"/>
      <w:bookmarkStart w:id="55" w:name="_Toc221356235"/>
      <w:bookmarkStart w:id="56" w:name="_Toc152042313"/>
      <w:r>
        <w:rPr>
          <w:b/>
          <w:color w:val="auto"/>
        </w:rPr>
        <w:t>1.7语言</w:t>
      </w:r>
      <w:bookmarkEnd w:id="52"/>
      <w:r>
        <w:rPr>
          <w:b/>
          <w:color w:val="auto"/>
        </w:rPr>
        <w:t>文字</w:t>
      </w:r>
      <w:bookmarkEnd w:id="53"/>
      <w:bookmarkEnd w:id="54"/>
      <w:bookmarkEnd w:id="55"/>
      <w:bookmarkEnd w:id="56"/>
    </w:p>
    <w:p w14:paraId="048D6A06">
      <w:pPr>
        <w:spacing w:line="360" w:lineRule="auto"/>
        <w:ind w:firstLine="420" w:firstLineChars="200"/>
        <w:rPr>
          <w:color w:val="auto"/>
        </w:rPr>
      </w:pPr>
      <w:bookmarkStart w:id="57" w:name="_Toc152045538"/>
      <w:bookmarkStart w:id="58" w:name="_Toc221356236"/>
      <w:bookmarkStart w:id="59" w:name="_Toc179632555"/>
      <w:bookmarkStart w:id="60" w:name="_Toc152042314"/>
      <w:bookmarkStart w:id="61" w:name="_Toc144974506"/>
      <w:r>
        <w:rPr>
          <w:color w:val="auto"/>
        </w:rPr>
        <w:t>响应文件使用的语言文字为中文。专用术语使用外文的，应附有中文注释。</w:t>
      </w:r>
    </w:p>
    <w:p w14:paraId="40290B19">
      <w:pPr>
        <w:spacing w:line="360" w:lineRule="auto"/>
        <w:ind w:firstLine="422" w:firstLineChars="200"/>
        <w:rPr>
          <w:b/>
          <w:color w:val="auto"/>
        </w:rPr>
      </w:pPr>
      <w:r>
        <w:rPr>
          <w:b/>
          <w:color w:val="auto"/>
        </w:rPr>
        <w:t>1.8计量单位</w:t>
      </w:r>
      <w:bookmarkEnd w:id="57"/>
      <w:bookmarkEnd w:id="58"/>
      <w:bookmarkEnd w:id="59"/>
      <w:bookmarkEnd w:id="60"/>
      <w:bookmarkEnd w:id="61"/>
    </w:p>
    <w:p w14:paraId="019B8A4A">
      <w:pPr>
        <w:spacing w:line="360" w:lineRule="auto"/>
        <w:ind w:firstLine="420" w:firstLineChars="200"/>
        <w:rPr>
          <w:color w:val="auto"/>
        </w:rPr>
      </w:pPr>
      <w:bookmarkStart w:id="62" w:name="_Toc221356237"/>
      <w:bookmarkStart w:id="63" w:name="_Toc152045539"/>
      <w:bookmarkStart w:id="64" w:name="_Toc179632556"/>
      <w:bookmarkStart w:id="65" w:name="_Toc152042315"/>
      <w:bookmarkStart w:id="66" w:name="_Toc144974507"/>
      <w:r>
        <w:rPr>
          <w:color w:val="auto"/>
        </w:rPr>
        <w:t>所有计量均采用中华人民共和国法定计量单位。</w:t>
      </w:r>
    </w:p>
    <w:bookmarkEnd w:id="62"/>
    <w:bookmarkEnd w:id="63"/>
    <w:bookmarkEnd w:id="64"/>
    <w:bookmarkEnd w:id="65"/>
    <w:bookmarkEnd w:id="66"/>
    <w:p w14:paraId="4714E1F2">
      <w:pPr>
        <w:spacing w:line="360" w:lineRule="auto"/>
        <w:ind w:firstLine="422" w:firstLineChars="200"/>
        <w:rPr>
          <w:b/>
          <w:color w:val="auto"/>
        </w:rPr>
      </w:pPr>
      <w:bookmarkStart w:id="67" w:name="_Toc221356240"/>
      <w:bookmarkStart w:id="68" w:name="_Toc179632559"/>
      <w:r>
        <w:rPr>
          <w:b/>
          <w:color w:val="auto"/>
        </w:rPr>
        <w:t>1.</w:t>
      </w:r>
      <w:bookmarkEnd w:id="67"/>
      <w:bookmarkEnd w:id="68"/>
      <w:r>
        <w:rPr>
          <w:rFonts w:hint="eastAsia"/>
          <w:b/>
          <w:color w:val="auto"/>
        </w:rPr>
        <w:t>9现场踏勘</w:t>
      </w:r>
    </w:p>
    <w:p w14:paraId="072CC913">
      <w:pPr>
        <w:spacing w:line="360" w:lineRule="auto"/>
        <w:ind w:firstLine="420" w:firstLineChars="200"/>
        <w:rPr>
          <w:color w:val="auto"/>
        </w:rPr>
      </w:pPr>
      <w:r>
        <w:rPr>
          <w:color w:val="auto"/>
        </w:rPr>
        <w:t>1.</w:t>
      </w:r>
      <w:r>
        <w:rPr>
          <w:rFonts w:hint="eastAsia"/>
          <w:color w:val="auto"/>
        </w:rPr>
        <w:t>9</w:t>
      </w:r>
      <w:r>
        <w:rPr>
          <w:color w:val="auto"/>
        </w:rPr>
        <w:t>.1</w:t>
      </w:r>
      <w:r>
        <w:rPr>
          <w:rFonts w:hint="eastAsia"/>
          <w:color w:val="auto"/>
        </w:rPr>
        <w:t>供应商须知前附表规定组织现场考察的，采购人按供应商须知前附表规定的时间、地点组织供应商考察项目现场。</w:t>
      </w:r>
    </w:p>
    <w:p w14:paraId="5C2A99C5">
      <w:pPr>
        <w:spacing w:line="360" w:lineRule="auto"/>
        <w:ind w:firstLine="420" w:firstLineChars="200"/>
        <w:rPr>
          <w:color w:val="auto"/>
        </w:rPr>
      </w:pPr>
      <w:r>
        <w:rPr>
          <w:rFonts w:hint="eastAsia"/>
          <w:color w:val="auto"/>
        </w:rPr>
        <w:t>1.9.2 供应商考察现场发生的费用自理。</w:t>
      </w:r>
    </w:p>
    <w:p w14:paraId="6959F96C">
      <w:pPr>
        <w:spacing w:line="360" w:lineRule="auto"/>
        <w:ind w:firstLine="420" w:firstLineChars="200"/>
        <w:rPr>
          <w:color w:val="auto"/>
        </w:rPr>
      </w:pPr>
      <w:r>
        <w:rPr>
          <w:rFonts w:hint="eastAsia"/>
          <w:color w:val="auto"/>
        </w:rPr>
        <w:t>1.9.3 除采购人的原因外，供应商自行负责在考察现场中所发生的人员伤亡和财产损失。</w:t>
      </w:r>
    </w:p>
    <w:p w14:paraId="3BC2A2CA">
      <w:pPr>
        <w:spacing w:line="360" w:lineRule="auto"/>
        <w:ind w:firstLine="420" w:firstLineChars="200"/>
        <w:rPr>
          <w:color w:val="auto"/>
        </w:rPr>
      </w:pPr>
      <w:r>
        <w:rPr>
          <w:rFonts w:hint="eastAsia"/>
          <w:color w:val="auto"/>
        </w:rPr>
        <w:t>1.9.4 采购人在考察现场中介绍的项目场地和相关的周边环境情况，供应商在编制响应文件时参考，采购人不对供应商据此作出的判断和决策负责。</w:t>
      </w:r>
    </w:p>
    <w:p w14:paraId="34EBF135">
      <w:pPr>
        <w:spacing w:line="360" w:lineRule="auto"/>
        <w:ind w:firstLine="422" w:firstLineChars="200"/>
        <w:rPr>
          <w:b/>
          <w:color w:val="auto"/>
        </w:rPr>
      </w:pPr>
      <w:r>
        <w:rPr>
          <w:rFonts w:hint="eastAsia"/>
          <w:b/>
          <w:color w:val="auto"/>
        </w:rPr>
        <w:t>1.10 分包</w:t>
      </w:r>
    </w:p>
    <w:p w14:paraId="5A913F37">
      <w:pPr>
        <w:spacing w:line="360" w:lineRule="auto"/>
        <w:ind w:firstLine="420" w:firstLineChars="200"/>
        <w:rPr>
          <w:color w:val="auto"/>
        </w:rPr>
      </w:pPr>
      <w:r>
        <w:rPr>
          <w:rFonts w:hint="eastAsia"/>
          <w:color w:val="auto"/>
        </w:rPr>
        <w:t>1.10.1本项目不允许分包。</w:t>
      </w:r>
    </w:p>
    <w:p w14:paraId="11330D54">
      <w:pPr>
        <w:spacing w:line="360" w:lineRule="auto"/>
        <w:ind w:firstLine="422" w:firstLineChars="200"/>
        <w:rPr>
          <w:b/>
          <w:color w:val="auto"/>
        </w:rPr>
      </w:pPr>
      <w:r>
        <w:rPr>
          <w:rFonts w:hint="eastAsia"/>
          <w:b/>
          <w:color w:val="auto"/>
        </w:rPr>
        <w:t>1.11 响应和偏差</w:t>
      </w:r>
    </w:p>
    <w:p w14:paraId="6E931C04">
      <w:pPr>
        <w:spacing w:line="360" w:lineRule="auto"/>
        <w:ind w:firstLine="420" w:firstLineChars="200"/>
        <w:rPr>
          <w:color w:val="auto"/>
        </w:rPr>
      </w:pPr>
      <w:r>
        <w:rPr>
          <w:rFonts w:hint="eastAsia"/>
          <w:color w:val="auto"/>
        </w:rPr>
        <w:t>1.1</w:t>
      </w:r>
      <w:r>
        <w:rPr>
          <w:color w:val="auto"/>
        </w:rPr>
        <w:t>1</w:t>
      </w:r>
      <w:r>
        <w:rPr>
          <w:rFonts w:hint="eastAsia"/>
          <w:color w:val="auto"/>
        </w:rPr>
        <w:t>.1响应文件应当对谈判文件的实质性要求和条件作出满足性或更有利于采购人的响应，否则，供应商的响应文件将被否决。实质性要求和条件见供应商须知前附表。</w:t>
      </w:r>
    </w:p>
    <w:p w14:paraId="1CA6B0C1">
      <w:pPr>
        <w:spacing w:line="360" w:lineRule="auto"/>
        <w:ind w:firstLine="420" w:firstLineChars="200"/>
        <w:rPr>
          <w:color w:val="auto"/>
        </w:rPr>
      </w:pPr>
      <w:r>
        <w:rPr>
          <w:rFonts w:hint="eastAsia"/>
          <w:color w:val="auto"/>
        </w:rPr>
        <w:t>1.1</w:t>
      </w:r>
      <w:r>
        <w:rPr>
          <w:color w:val="auto"/>
        </w:rPr>
        <w:t>1</w:t>
      </w:r>
      <w:r>
        <w:rPr>
          <w:rFonts w:hint="eastAsia"/>
          <w:color w:val="auto"/>
        </w:rPr>
        <w:t>.2供应商应根据谈判文件的要求提供响应方案等内容以对谈判文件作出响应。</w:t>
      </w:r>
    </w:p>
    <w:p w14:paraId="41D793C9">
      <w:pPr>
        <w:spacing w:line="360" w:lineRule="auto"/>
        <w:ind w:firstLine="420" w:firstLineChars="200"/>
        <w:rPr>
          <w:color w:val="auto"/>
        </w:rPr>
      </w:pPr>
    </w:p>
    <w:p w14:paraId="064D5E4A">
      <w:pPr>
        <w:spacing w:line="360" w:lineRule="auto"/>
        <w:jc w:val="center"/>
        <w:outlineLvl w:val="2"/>
        <w:rPr>
          <w:b/>
          <w:color w:val="auto"/>
          <w:kern w:val="0"/>
          <w:sz w:val="36"/>
          <w:szCs w:val="44"/>
        </w:rPr>
      </w:pPr>
      <w:bookmarkStart w:id="69" w:name="_Toc152045542"/>
      <w:bookmarkStart w:id="70" w:name="_Toc221356241"/>
      <w:bookmarkStart w:id="71" w:name="_Toc152042318"/>
      <w:bookmarkStart w:id="72" w:name="_Toc12190"/>
      <w:bookmarkStart w:id="73" w:name="_Toc144974510"/>
      <w:bookmarkStart w:id="74" w:name="_Toc179632560"/>
      <w:bookmarkStart w:id="75" w:name="_Toc241763830"/>
      <w:r>
        <w:rPr>
          <w:b/>
          <w:color w:val="auto"/>
          <w:kern w:val="0"/>
          <w:sz w:val="36"/>
          <w:szCs w:val="44"/>
        </w:rPr>
        <w:t>2. 谈判文件</w:t>
      </w:r>
      <w:bookmarkEnd w:id="69"/>
      <w:bookmarkEnd w:id="70"/>
      <w:bookmarkEnd w:id="71"/>
      <w:bookmarkEnd w:id="72"/>
      <w:bookmarkEnd w:id="73"/>
      <w:bookmarkEnd w:id="74"/>
      <w:bookmarkEnd w:id="75"/>
    </w:p>
    <w:p w14:paraId="6126EF4F">
      <w:pPr>
        <w:spacing w:line="360" w:lineRule="auto"/>
        <w:ind w:firstLine="422" w:firstLineChars="200"/>
        <w:rPr>
          <w:b/>
          <w:color w:val="auto"/>
        </w:rPr>
      </w:pPr>
      <w:bookmarkStart w:id="76" w:name="_Toc152042319"/>
      <w:bookmarkStart w:id="77" w:name="_Toc152045543"/>
      <w:bookmarkStart w:id="78" w:name="_Toc144974511"/>
      <w:bookmarkStart w:id="79" w:name="_Toc179632561"/>
      <w:bookmarkStart w:id="80" w:name="_Toc221356242"/>
      <w:r>
        <w:rPr>
          <w:b/>
          <w:color w:val="auto"/>
        </w:rPr>
        <w:t>2.1谈判文件的组成</w:t>
      </w:r>
      <w:bookmarkEnd w:id="76"/>
      <w:bookmarkEnd w:id="77"/>
      <w:bookmarkEnd w:id="78"/>
      <w:bookmarkEnd w:id="79"/>
      <w:bookmarkEnd w:id="80"/>
    </w:p>
    <w:p w14:paraId="2DB78CE8">
      <w:pPr>
        <w:spacing w:line="360" w:lineRule="auto"/>
        <w:ind w:firstLine="420" w:firstLineChars="200"/>
        <w:rPr>
          <w:color w:val="auto"/>
          <w:szCs w:val="28"/>
        </w:rPr>
      </w:pPr>
      <w:r>
        <w:rPr>
          <w:color w:val="auto"/>
          <w:szCs w:val="28"/>
        </w:rPr>
        <w:t>2.1.1本谈判文件包括：</w:t>
      </w:r>
    </w:p>
    <w:p w14:paraId="75A566A3">
      <w:pPr>
        <w:spacing w:line="360" w:lineRule="auto"/>
        <w:ind w:firstLine="493" w:firstLineChars="235"/>
        <w:jc w:val="left"/>
        <w:rPr>
          <w:color w:val="auto"/>
        </w:rPr>
      </w:pPr>
      <w:r>
        <w:rPr>
          <w:color w:val="auto"/>
        </w:rPr>
        <w:t xml:space="preserve">第一章    </w:t>
      </w:r>
      <w:r>
        <w:rPr>
          <w:rFonts w:hint="eastAsia"/>
          <w:color w:val="auto"/>
        </w:rPr>
        <w:t>竞争性谈判公告</w:t>
      </w:r>
    </w:p>
    <w:p w14:paraId="655F6A8E">
      <w:pPr>
        <w:spacing w:line="360" w:lineRule="auto"/>
        <w:ind w:firstLine="493" w:firstLineChars="235"/>
        <w:jc w:val="left"/>
        <w:rPr>
          <w:color w:val="auto"/>
        </w:rPr>
      </w:pPr>
      <w:r>
        <w:rPr>
          <w:color w:val="auto"/>
        </w:rPr>
        <w:t>第</w:t>
      </w:r>
      <w:r>
        <w:rPr>
          <w:rFonts w:hint="eastAsia"/>
          <w:color w:val="auto"/>
        </w:rPr>
        <w:t>二</w:t>
      </w:r>
      <w:r>
        <w:rPr>
          <w:color w:val="auto"/>
        </w:rPr>
        <w:t>章    供应商须知</w:t>
      </w:r>
    </w:p>
    <w:p w14:paraId="1887C6CB">
      <w:pPr>
        <w:spacing w:line="360" w:lineRule="auto"/>
        <w:ind w:firstLine="493" w:firstLineChars="235"/>
        <w:jc w:val="left"/>
        <w:rPr>
          <w:color w:val="auto"/>
        </w:rPr>
      </w:pPr>
      <w:r>
        <w:rPr>
          <w:color w:val="auto"/>
        </w:rPr>
        <w:t>第</w:t>
      </w:r>
      <w:r>
        <w:rPr>
          <w:rFonts w:hint="eastAsia"/>
          <w:color w:val="auto"/>
        </w:rPr>
        <w:t>三</w:t>
      </w:r>
      <w:r>
        <w:rPr>
          <w:color w:val="auto"/>
        </w:rPr>
        <w:t xml:space="preserve">章    </w:t>
      </w:r>
      <w:r>
        <w:rPr>
          <w:rFonts w:hint="eastAsia"/>
          <w:color w:val="auto"/>
        </w:rPr>
        <w:t>谈判程序及评审办法</w:t>
      </w:r>
    </w:p>
    <w:p w14:paraId="2BE2213B">
      <w:pPr>
        <w:spacing w:line="360" w:lineRule="auto"/>
        <w:ind w:firstLine="493" w:firstLineChars="235"/>
        <w:jc w:val="left"/>
        <w:rPr>
          <w:color w:val="auto"/>
        </w:rPr>
      </w:pPr>
      <w:r>
        <w:rPr>
          <w:color w:val="auto"/>
        </w:rPr>
        <w:t>第</w:t>
      </w:r>
      <w:r>
        <w:rPr>
          <w:rFonts w:hint="eastAsia"/>
          <w:color w:val="auto"/>
        </w:rPr>
        <w:t>四</w:t>
      </w:r>
      <w:r>
        <w:rPr>
          <w:color w:val="auto"/>
        </w:rPr>
        <w:t xml:space="preserve">章    </w:t>
      </w:r>
      <w:r>
        <w:rPr>
          <w:rFonts w:hint="eastAsia"/>
          <w:color w:val="auto"/>
        </w:rPr>
        <w:t>合同主要条款及格式</w:t>
      </w:r>
    </w:p>
    <w:p w14:paraId="1D2192DA">
      <w:pPr>
        <w:spacing w:line="360" w:lineRule="auto"/>
        <w:ind w:firstLine="493" w:firstLineChars="235"/>
        <w:jc w:val="left"/>
        <w:rPr>
          <w:color w:val="auto"/>
        </w:rPr>
      </w:pPr>
      <w:r>
        <w:rPr>
          <w:color w:val="auto"/>
        </w:rPr>
        <w:t>第</w:t>
      </w:r>
      <w:r>
        <w:rPr>
          <w:rFonts w:hint="eastAsia"/>
          <w:color w:val="auto"/>
        </w:rPr>
        <w:t>五</w:t>
      </w:r>
      <w:r>
        <w:rPr>
          <w:color w:val="auto"/>
        </w:rPr>
        <w:t xml:space="preserve">章    </w:t>
      </w:r>
      <w:r>
        <w:rPr>
          <w:rFonts w:hint="eastAsia"/>
          <w:color w:val="auto"/>
        </w:rPr>
        <w:t>采购需求</w:t>
      </w:r>
      <w:r>
        <w:rPr>
          <w:rFonts w:hint="eastAsia"/>
          <w:color w:val="auto"/>
          <w:szCs w:val="21"/>
          <w:lang w:val="en-US" w:eastAsia="zh-CN"/>
        </w:rPr>
        <w:t>及技术要求</w:t>
      </w:r>
    </w:p>
    <w:p w14:paraId="2C0B7470">
      <w:pPr>
        <w:spacing w:line="360" w:lineRule="auto"/>
        <w:ind w:firstLine="493" w:firstLineChars="235"/>
        <w:jc w:val="left"/>
        <w:rPr>
          <w:color w:val="auto"/>
          <w:szCs w:val="28"/>
        </w:rPr>
      </w:pPr>
      <w:r>
        <w:rPr>
          <w:color w:val="auto"/>
        </w:rPr>
        <w:t>第</w:t>
      </w:r>
      <w:r>
        <w:rPr>
          <w:rFonts w:hint="eastAsia"/>
          <w:color w:val="auto"/>
        </w:rPr>
        <w:t>六</w:t>
      </w:r>
      <w:r>
        <w:rPr>
          <w:color w:val="auto"/>
        </w:rPr>
        <w:t xml:space="preserve">章    </w:t>
      </w:r>
      <w:r>
        <w:rPr>
          <w:color w:val="auto"/>
          <w:szCs w:val="28"/>
        </w:rPr>
        <w:t>响应文件格式</w:t>
      </w:r>
    </w:p>
    <w:p w14:paraId="6C93A8C1">
      <w:pPr>
        <w:spacing w:line="360" w:lineRule="auto"/>
        <w:ind w:firstLine="420" w:firstLineChars="200"/>
        <w:rPr>
          <w:color w:val="auto"/>
        </w:rPr>
      </w:pPr>
      <w:r>
        <w:rPr>
          <w:color w:val="auto"/>
        </w:rPr>
        <w:t>2.1.2根据本章第2.2款和第2.3款对谈判文件所作的澄清、修改，构成谈判文件的组成部分。</w:t>
      </w:r>
    </w:p>
    <w:p w14:paraId="77BDD6CA">
      <w:pPr>
        <w:spacing w:line="360" w:lineRule="auto"/>
        <w:ind w:firstLine="422" w:firstLineChars="200"/>
        <w:rPr>
          <w:b/>
          <w:color w:val="auto"/>
        </w:rPr>
      </w:pPr>
      <w:bookmarkStart w:id="81" w:name="_Toc221356243"/>
      <w:bookmarkStart w:id="82" w:name="_Toc144974512"/>
      <w:bookmarkStart w:id="83" w:name="_Toc179632562"/>
      <w:bookmarkStart w:id="84" w:name="_Toc152045544"/>
      <w:bookmarkStart w:id="85" w:name="_Toc152042320"/>
      <w:r>
        <w:rPr>
          <w:b/>
          <w:color w:val="auto"/>
        </w:rPr>
        <w:t>2.2谈判文件的澄清</w:t>
      </w:r>
      <w:bookmarkEnd w:id="81"/>
      <w:bookmarkEnd w:id="82"/>
      <w:bookmarkEnd w:id="83"/>
      <w:bookmarkEnd w:id="84"/>
      <w:bookmarkEnd w:id="85"/>
    </w:p>
    <w:p w14:paraId="48E60C20">
      <w:pPr>
        <w:spacing w:line="360" w:lineRule="auto"/>
        <w:ind w:firstLine="420" w:firstLineChars="200"/>
        <w:rPr>
          <w:color w:val="auto"/>
        </w:rPr>
      </w:pPr>
      <w:bookmarkStart w:id="86" w:name="_Toc152045545"/>
      <w:bookmarkStart w:id="87" w:name="_Toc152042321"/>
      <w:bookmarkStart w:id="88" w:name="_Toc221356244"/>
      <w:bookmarkStart w:id="89" w:name="_Toc179632563"/>
      <w:bookmarkStart w:id="90" w:name="_Toc144974513"/>
      <w:r>
        <w:rPr>
          <w:color w:val="auto"/>
        </w:rPr>
        <w:t>2.2.1 供应商应仔细阅读和检查谈判文件的全部内容。如发现缺页或附件不全，应及时向采购人提出，以便补齐。如有疑问，应在供应商须知前附表规定的时间前以书面形式可以有形地表现所载内容的形式，下同），要求采购人对谈判文件予以澄清。</w:t>
      </w:r>
    </w:p>
    <w:p w14:paraId="3C6C147F">
      <w:pPr>
        <w:spacing w:line="360" w:lineRule="auto"/>
        <w:ind w:firstLine="420" w:firstLineChars="200"/>
        <w:rPr>
          <w:color w:val="auto"/>
        </w:rPr>
      </w:pPr>
      <w:r>
        <w:rPr>
          <w:color w:val="auto"/>
        </w:rPr>
        <w:t>2.2.2 谈判文件的澄清将在供应商须知前附表规定的</w:t>
      </w:r>
      <w:r>
        <w:rPr>
          <w:rFonts w:hint="eastAsia"/>
          <w:color w:val="auto"/>
        </w:rPr>
        <w:t>响应</w:t>
      </w:r>
      <w:r>
        <w:rPr>
          <w:color w:val="auto"/>
        </w:rPr>
        <w:t>文件递交截止时间</w:t>
      </w:r>
      <w:r>
        <w:rPr>
          <w:rFonts w:hint="eastAsia"/>
          <w:color w:val="auto"/>
        </w:rPr>
        <w:t>3个工作日</w:t>
      </w:r>
      <w:r>
        <w:rPr>
          <w:color w:val="auto"/>
        </w:rPr>
        <w:t>前以书面形式发给所有购买谈判文件的供应商，但不指明澄清问题的来源。如果澄清发出的时间距</w:t>
      </w:r>
      <w:r>
        <w:rPr>
          <w:rFonts w:hint="eastAsia"/>
          <w:color w:val="auto"/>
        </w:rPr>
        <w:t>响应</w:t>
      </w:r>
      <w:r>
        <w:rPr>
          <w:color w:val="auto"/>
        </w:rPr>
        <w:t>文件递交截止时间不足</w:t>
      </w:r>
      <w:r>
        <w:rPr>
          <w:rFonts w:hint="eastAsia"/>
          <w:color w:val="auto"/>
        </w:rPr>
        <w:t>3个工作日</w:t>
      </w:r>
      <w:r>
        <w:rPr>
          <w:color w:val="auto"/>
        </w:rPr>
        <w:t>，相应延长</w:t>
      </w:r>
      <w:r>
        <w:rPr>
          <w:rFonts w:hint="eastAsia"/>
          <w:color w:val="auto"/>
        </w:rPr>
        <w:t>响应</w:t>
      </w:r>
      <w:r>
        <w:rPr>
          <w:color w:val="auto"/>
        </w:rPr>
        <w:t>文件递交截止时间。当谈判文件与谈判文件的澄清在同一内容的表述上不一致时，以最后发出的书面文件为准。</w:t>
      </w:r>
    </w:p>
    <w:p w14:paraId="195B230E">
      <w:pPr>
        <w:spacing w:line="360" w:lineRule="auto"/>
        <w:ind w:firstLine="420" w:firstLineChars="200"/>
        <w:rPr>
          <w:color w:val="auto"/>
        </w:rPr>
      </w:pPr>
      <w:r>
        <w:rPr>
          <w:color w:val="auto"/>
        </w:rPr>
        <w:t>2.2.3 供应商在收到澄清后，应在供应商须知前附表规定的时间内以书面形式通知采购人，确认</w:t>
      </w:r>
      <w:r>
        <w:rPr>
          <w:rFonts w:hint="eastAsia"/>
          <w:color w:val="auto"/>
          <w:lang w:eastAsia="zh-CN"/>
        </w:rPr>
        <w:t>已</w:t>
      </w:r>
      <w:r>
        <w:rPr>
          <w:color w:val="auto"/>
        </w:rPr>
        <w:t>收到该澄清。</w:t>
      </w:r>
    </w:p>
    <w:p w14:paraId="585C9E89">
      <w:pPr>
        <w:spacing w:line="360" w:lineRule="auto"/>
        <w:ind w:firstLine="420" w:firstLineChars="200"/>
        <w:rPr>
          <w:color w:val="auto"/>
        </w:rPr>
      </w:pPr>
      <w:r>
        <w:rPr>
          <w:rFonts w:hint="eastAsia"/>
          <w:color w:val="auto"/>
        </w:rPr>
        <w:t xml:space="preserve">2.2.4 </w:t>
      </w:r>
      <w:r>
        <w:rPr>
          <w:color w:val="auto"/>
        </w:rPr>
        <w:t>除非采购人认为确有必要答复，否则，采购人有权拒绝回复供应商在本章第 2.2.1 项规定的时间后的任何澄清要求。</w:t>
      </w:r>
    </w:p>
    <w:p w14:paraId="743ACE6D">
      <w:pPr>
        <w:spacing w:line="360" w:lineRule="auto"/>
        <w:ind w:firstLine="422" w:firstLineChars="200"/>
        <w:rPr>
          <w:b/>
          <w:color w:val="auto"/>
        </w:rPr>
      </w:pPr>
      <w:r>
        <w:rPr>
          <w:b/>
          <w:color w:val="auto"/>
        </w:rPr>
        <w:t>2.3谈判文件的修改</w:t>
      </w:r>
      <w:bookmarkEnd w:id="86"/>
      <w:bookmarkEnd w:id="87"/>
      <w:bookmarkEnd w:id="88"/>
      <w:bookmarkEnd w:id="89"/>
      <w:bookmarkEnd w:id="90"/>
    </w:p>
    <w:p w14:paraId="0F0E1194">
      <w:pPr>
        <w:spacing w:line="360" w:lineRule="auto"/>
        <w:ind w:firstLine="420" w:firstLineChars="200"/>
        <w:rPr>
          <w:color w:val="auto"/>
        </w:rPr>
      </w:pPr>
      <w:r>
        <w:rPr>
          <w:color w:val="auto"/>
        </w:rPr>
        <w:t>2.3.1</w:t>
      </w:r>
      <w:r>
        <w:rPr>
          <w:rFonts w:hint="eastAsia"/>
          <w:color w:val="auto"/>
        </w:rPr>
        <w:t>采购人、采购代理机构对已发出的谈判文件进行必要的澄清或者修改的，澄清或者修改的内容作为谈判文件的组成部分。澄清或者修改的内容可能影响响应文件编制的，采购人、采购代理机构将在提交首次响应文件截止之日3日前，以书面形式通知所有接收谈判文件的供应商，不足3日的，将顺延提交首次响应文件截止之日。</w:t>
      </w:r>
    </w:p>
    <w:p w14:paraId="29C5167C">
      <w:pPr>
        <w:spacing w:line="360" w:lineRule="auto"/>
        <w:ind w:firstLine="420" w:firstLineChars="200"/>
        <w:rPr>
          <w:color w:val="auto"/>
        </w:rPr>
      </w:pPr>
      <w:r>
        <w:rPr>
          <w:color w:val="auto"/>
        </w:rPr>
        <w:t xml:space="preserve">2.3.2 </w:t>
      </w:r>
      <w:r>
        <w:rPr>
          <w:rFonts w:hint="eastAsia"/>
          <w:color w:val="auto"/>
        </w:rPr>
        <w:t>采购代理机构和采购人可以视采购具体情况，推迟递交响应文件截止时间，并将变更时间书面通知所有获取谈判文件的供应商。供应商应在响应文件提交截止时间前及时登录“政采云”平台（https://www.zcygov.cn/）查看有关该项目竞争性谈判文件的澄清及修改内容</w:t>
      </w:r>
      <w:r>
        <w:rPr>
          <w:color w:val="auto"/>
        </w:rPr>
        <w:t>。</w:t>
      </w:r>
    </w:p>
    <w:p w14:paraId="08FC63F9">
      <w:pPr>
        <w:spacing w:line="360" w:lineRule="auto"/>
        <w:ind w:firstLine="422" w:firstLineChars="200"/>
        <w:rPr>
          <w:color w:val="auto"/>
        </w:rPr>
      </w:pPr>
      <w:r>
        <w:rPr>
          <w:b/>
          <w:color w:val="auto"/>
        </w:rPr>
        <w:t>2.</w:t>
      </w:r>
      <w:r>
        <w:rPr>
          <w:rFonts w:hint="eastAsia"/>
          <w:b/>
          <w:color w:val="auto"/>
        </w:rPr>
        <w:t>4</w:t>
      </w:r>
      <w:r>
        <w:rPr>
          <w:b/>
          <w:color w:val="auto"/>
        </w:rPr>
        <w:t>谈判文件的异议</w:t>
      </w:r>
    </w:p>
    <w:p w14:paraId="55940187">
      <w:pPr>
        <w:spacing w:line="360" w:lineRule="auto"/>
        <w:ind w:firstLine="420" w:firstLineChars="200"/>
        <w:rPr>
          <w:color w:val="auto"/>
        </w:rPr>
      </w:pPr>
      <w:r>
        <w:rPr>
          <w:color w:val="auto"/>
        </w:rPr>
        <w:t>供应商或者其他利害关系人对谈判文件有异议的，应当在</w:t>
      </w:r>
      <w:r>
        <w:rPr>
          <w:rFonts w:hint="eastAsia"/>
          <w:color w:val="auto"/>
        </w:rPr>
        <w:t>响应</w:t>
      </w:r>
      <w:r>
        <w:rPr>
          <w:color w:val="auto"/>
        </w:rPr>
        <w:t>文件递交截止时间</w:t>
      </w:r>
      <w:r>
        <w:rPr>
          <w:rFonts w:hint="eastAsia"/>
          <w:color w:val="auto"/>
        </w:rPr>
        <w:t>3个工作日</w:t>
      </w:r>
      <w:r>
        <w:rPr>
          <w:color w:val="auto"/>
        </w:rPr>
        <w:t>前以书面形式提出。</w:t>
      </w:r>
    </w:p>
    <w:p w14:paraId="2A0B691E">
      <w:pPr>
        <w:spacing w:line="360" w:lineRule="auto"/>
        <w:ind w:firstLine="420" w:firstLineChars="200"/>
        <w:rPr>
          <w:color w:val="auto"/>
        </w:rPr>
      </w:pPr>
    </w:p>
    <w:p w14:paraId="12CC6BE8">
      <w:pPr>
        <w:spacing w:line="360" w:lineRule="auto"/>
        <w:jc w:val="center"/>
        <w:outlineLvl w:val="2"/>
        <w:rPr>
          <w:b/>
          <w:color w:val="auto"/>
          <w:kern w:val="0"/>
          <w:sz w:val="36"/>
          <w:szCs w:val="44"/>
        </w:rPr>
      </w:pPr>
      <w:bookmarkStart w:id="91" w:name="_Toc8639"/>
      <w:bookmarkStart w:id="92" w:name="_Toc144974514"/>
      <w:bookmarkStart w:id="93" w:name="_Toc152045546"/>
      <w:bookmarkStart w:id="94" w:name="_Toc241763831"/>
      <w:bookmarkStart w:id="95" w:name="_Toc221356245"/>
      <w:bookmarkStart w:id="96" w:name="_Toc152042322"/>
      <w:bookmarkStart w:id="97" w:name="_Toc179632564"/>
      <w:r>
        <w:rPr>
          <w:b/>
          <w:color w:val="auto"/>
          <w:kern w:val="0"/>
          <w:sz w:val="36"/>
          <w:szCs w:val="44"/>
        </w:rPr>
        <w:t>3. 响应文件</w:t>
      </w:r>
      <w:bookmarkEnd w:id="91"/>
      <w:bookmarkEnd w:id="92"/>
      <w:bookmarkEnd w:id="93"/>
      <w:bookmarkEnd w:id="94"/>
      <w:bookmarkEnd w:id="95"/>
      <w:bookmarkEnd w:id="96"/>
      <w:bookmarkEnd w:id="97"/>
    </w:p>
    <w:p w14:paraId="47546C1D">
      <w:pPr>
        <w:spacing w:line="360" w:lineRule="auto"/>
        <w:ind w:firstLine="422" w:firstLineChars="200"/>
        <w:rPr>
          <w:b/>
          <w:color w:val="auto"/>
        </w:rPr>
      </w:pPr>
      <w:bookmarkStart w:id="98" w:name="_Toc179632566"/>
      <w:bookmarkStart w:id="99" w:name="_Toc221356247"/>
      <w:bookmarkStart w:id="100" w:name="_Toc152042324"/>
      <w:bookmarkStart w:id="101" w:name="_Toc144974516"/>
      <w:bookmarkStart w:id="102" w:name="_Toc152045548"/>
      <w:r>
        <w:rPr>
          <w:b/>
          <w:color w:val="auto"/>
        </w:rPr>
        <w:t>3.1响应文件的组成</w:t>
      </w:r>
    </w:p>
    <w:p w14:paraId="0CC45D4B">
      <w:pPr>
        <w:spacing w:line="360" w:lineRule="auto"/>
        <w:ind w:firstLine="420" w:firstLineChars="200"/>
        <w:rPr>
          <w:color w:val="auto"/>
        </w:rPr>
      </w:pPr>
      <w:r>
        <w:rPr>
          <w:rFonts w:hint="eastAsia"/>
          <w:color w:val="auto"/>
        </w:rPr>
        <w:t xml:space="preserve">3.1.1 响应文件资格审查部分详见第六章“响应文件格式”资格审查部分中的内容。 </w:t>
      </w:r>
    </w:p>
    <w:p w14:paraId="643BC808">
      <w:pPr>
        <w:spacing w:line="360" w:lineRule="auto"/>
        <w:ind w:firstLine="420" w:firstLineChars="200"/>
        <w:rPr>
          <w:color w:val="auto"/>
        </w:rPr>
      </w:pPr>
      <w:r>
        <w:rPr>
          <w:rFonts w:hint="eastAsia"/>
          <w:color w:val="auto"/>
        </w:rPr>
        <w:t xml:space="preserve">3.1.2 响应文件商务技术部分详见第六章“响应文件格式”商务技术部分中的内容。供应商在评审过程中作出的符合法律法规和谈判文件规定的澄清确认，构成响应文件的组成部分。 </w:t>
      </w:r>
    </w:p>
    <w:p w14:paraId="6475C72D">
      <w:pPr>
        <w:spacing w:line="360" w:lineRule="auto"/>
        <w:ind w:firstLine="491" w:firstLineChars="234"/>
        <w:jc w:val="left"/>
        <w:rPr>
          <w:color w:val="auto"/>
          <w:szCs w:val="21"/>
        </w:rPr>
      </w:pPr>
      <w:r>
        <w:rPr>
          <w:rFonts w:hint="eastAsia"/>
          <w:color w:val="auto"/>
        </w:rPr>
        <w:t>3.1.3 供应商须知前附表未要求提交谈判保证金的，响应文件不包括第六章“响应文件格式”商务技术部分中所指的谈判保证金。</w:t>
      </w:r>
      <w:bookmarkEnd w:id="98"/>
      <w:bookmarkEnd w:id="99"/>
      <w:bookmarkEnd w:id="100"/>
      <w:bookmarkEnd w:id="101"/>
      <w:bookmarkEnd w:id="102"/>
    </w:p>
    <w:p w14:paraId="1566F53F">
      <w:pPr>
        <w:spacing w:line="360" w:lineRule="auto"/>
        <w:ind w:firstLine="422" w:firstLineChars="200"/>
        <w:rPr>
          <w:b/>
          <w:color w:val="auto"/>
        </w:rPr>
      </w:pPr>
      <w:r>
        <w:rPr>
          <w:b/>
          <w:color w:val="auto"/>
        </w:rPr>
        <w:t>3.2谈判报价</w:t>
      </w:r>
    </w:p>
    <w:p w14:paraId="29DB3AF2">
      <w:pPr>
        <w:spacing w:line="360" w:lineRule="auto"/>
        <w:ind w:firstLine="420" w:firstLineChars="200"/>
        <w:rPr>
          <w:b/>
          <w:bCs/>
          <w:color w:val="auto"/>
        </w:rPr>
      </w:pPr>
      <w:bookmarkStart w:id="103" w:name="_Toc144974517"/>
      <w:bookmarkStart w:id="104" w:name="_Toc179632567"/>
      <w:bookmarkStart w:id="105" w:name="_Toc152042325"/>
      <w:bookmarkStart w:id="106" w:name="_Toc152045549"/>
      <w:bookmarkStart w:id="107" w:name="_Toc221356248"/>
      <w:r>
        <w:rPr>
          <w:color w:val="auto"/>
        </w:rPr>
        <w:t>3.2.1</w:t>
      </w:r>
      <w:r>
        <w:rPr>
          <w:b/>
          <w:bCs/>
          <w:color w:val="auto"/>
        </w:rPr>
        <w:t>本项目最高限价：</w:t>
      </w:r>
      <w:r>
        <w:rPr>
          <w:rFonts w:hint="eastAsia"/>
          <w:b/>
          <w:bCs/>
          <w:color w:val="auto"/>
        </w:rPr>
        <w:t>详见“供应商须知前附表”。</w:t>
      </w:r>
    </w:p>
    <w:p w14:paraId="5A710D36">
      <w:pPr>
        <w:spacing w:line="360" w:lineRule="auto"/>
        <w:ind w:firstLine="420" w:firstLineChars="200"/>
        <w:rPr>
          <w:color w:val="auto"/>
        </w:rPr>
      </w:pPr>
      <w:r>
        <w:rPr>
          <w:color w:val="auto"/>
        </w:rPr>
        <w:t>3.2.2</w:t>
      </w:r>
      <w:r>
        <w:rPr>
          <w:rFonts w:hint="eastAsia"/>
          <w:b/>
          <w:bCs/>
          <w:color w:val="auto"/>
        </w:rPr>
        <w:t>本项目报价方式为固定总价</w:t>
      </w:r>
      <w:r>
        <w:rPr>
          <w:rFonts w:hint="eastAsia"/>
          <w:b/>
          <w:color w:val="auto"/>
          <w:szCs w:val="21"/>
        </w:rPr>
        <w:t>，</w:t>
      </w:r>
      <w:r>
        <w:rPr>
          <w:rFonts w:hint="eastAsia"/>
          <w:b/>
          <w:color w:val="auto"/>
        </w:rPr>
        <w:t>由供应商根据市场情况、结合自身实力情况自行确定谈判报价。</w:t>
      </w:r>
      <w:r>
        <w:rPr>
          <w:rFonts w:hint="eastAsia"/>
          <w:color w:val="auto"/>
        </w:rPr>
        <w:t>谈判报价应为完成本项目采购范围、采购需求以及合同约定范围内所包含的全部工作内容的报价。包括标的及相关的评审费、人员、税金等为完成本项目所有内容的全部费用，甲方不再另行支付任何费用。</w:t>
      </w:r>
    </w:p>
    <w:p w14:paraId="3E14AC68">
      <w:pPr>
        <w:spacing w:line="360" w:lineRule="auto"/>
        <w:ind w:firstLine="420" w:firstLineChars="200"/>
        <w:rPr>
          <w:color w:val="auto"/>
        </w:rPr>
      </w:pPr>
      <w:r>
        <w:rPr>
          <w:color w:val="auto"/>
        </w:rPr>
        <w:t>3.2.3</w:t>
      </w:r>
      <w:r>
        <w:rPr>
          <w:rFonts w:hint="eastAsia"/>
          <w:color w:val="auto"/>
        </w:rPr>
        <w:t>谈判报价应包括国家规定的增值税税金，除供应商须知前附表另有规定外，增值税税金按一般计税方法计算。供应商应按第六章“响应文件格式”的要求在响应函中进行报价并填写分项报价表。</w:t>
      </w:r>
    </w:p>
    <w:p w14:paraId="3A26D8D0">
      <w:pPr>
        <w:spacing w:line="360" w:lineRule="auto"/>
        <w:ind w:firstLine="420" w:firstLineChars="200"/>
        <w:rPr>
          <w:color w:val="auto"/>
        </w:rPr>
      </w:pPr>
      <w:r>
        <w:rPr>
          <w:color w:val="auto"/>
        </w:rPr>
        <w:t>3.2.4供应商应充分了解该项目的总体情况以及影响报价的其他要素。</w:t>
      </w:r>
    </w:p>
    <w:p w14:paraId="7F5884E4">
      <w:pPr>
        <w:spacing w:line="360" w:lineRule="auto"/>
        <w:ind w:firstLine="420" w:firstLineChars="200"/>
        <w:rPr>
          <w:color w:val="auto"/>
        </w:rPr>
      </w:pPr>
      <w:r>
        <w:rPr>
          <w:color w:val="auto"/>
        </w:rPr>
        <w:t>3.2.5供应商报价中不得包含谈判文件要求以外的内容，否则，在评审时不予核减。</w:t>
      </w:r>
    </w:p>
    <w:p w14:paraId="01EF1D29">
      <w:pPr>
        <w:spacing w:line="360" w:lineRule="auto"/>
        <w:ind w:firstLine="420" w:firstLineChars="200"/>
        <w:rPr>
          <w:color w:val="auto"/>
        </w:rPr>
      </w:pPr>
      <w:r>
        <w:rPr>
          <w:color w:val="auto"/>
        </w:rPr>
        <w:t>3.2.6每个供应商只能提交一套响应文件，针对每一项内容只允许有一个报价，不接受选择性报价。</w:t>
      </w:r>
    </w:p>
    <w:p w14:paraId="4D3E6AF6">
      <w:pPr>
        <w:spacing w:line="360" w:lineRule="auto"/>
        <w:ind w:firstLine="420" w:firstLineChars="200"/>
        <w:rPr>
          <w:color w:val="auto"/>
        </w:rPr>
      </w:pPr>
      <w:r>
        <w:rPr>
          <w:color w:val="auto"/>
        </w:rPr>
        <w:t>3.2.7供应商报价的其他要求见供应商须知前附表。</w:t>
      </w:r>
    </w:p>
    <w:p w14:paraId="6E9A3AA1">
      <w:pPr>
        <w:spacing w:line="360" w:lineRule="auto"/>
        <w:ind w:firstLine="422" w:firstLineChars="200"/>
        <w:rPr>
          <w:b/>
          <w:color w:val="auto"/>
        </w:rPr>
      </w:pPr>
      <w:r>
        <w:rPr>
          <w:b/>
          <w:color w:val="auto"/>
        </w:rPr>
        <w:t>3.3响应文件有效期</w:t>
      </w:r>
      <w:bookmarkEnd w:id="103"/>
      <w:bookmarkEnd w:id="104"/>
      <w:bookmarkEnd w:id="105"/>
      <w:bookmarkEnd w:id="106"/>
      <w:bookmarkEnd w:id="107"/>
    </w:p>
    <w:p w14:paraId="2DC82C79">
      <w:pPr>
        <w:spacing w:line="360" w:lineRule="auto"/>
        <w:ind w:firstLine="420" w:firstLineChars="200"/>
        <w:rPr>
          <w:color w:val="auto"/>
        </w:rPr>
      </w:pPr>
      <w:r>
        <w:rPr>
          <w:color w:val="auto"/>
        </w:rPr>
        <w:t>3.3.1</w:t>
      </w:r>
      <w:r>
        <w:rPr>
          <w:rFonts w:hint="eastAsia"/>
          <w:color w:val="auto"/>
        </w:rPr>
        <w:t>响应文件</w:t>
      </w:r>
      <w:r>
        <w:rPr>
          <w:color w:val="auto"/>
        </w:rPr>
        <w:t>有效期见供应商须知前附表，从</w:t>
      </w:r>
      <w:r>
        <w:rPr>
          <w:rFonts w:hint="eastAsia"/>
          <w:color w:val="auto"/>
        </w:rPr>
        <w:t>响应</w:t>
      </w:r>
      <w:r>
        <w:rPr>
          <w:color w:val="auto"/>
        </w:rPr>
        <w:t>文件递交截止之日算起，在此期限内，凡符合本谈判文件要求的响应文件均保持有效。</w:t>
      </w:r>
    </w:p>
    <w:p w14:paraId="735EECB4">
      <w:pPr>
        <w:spacing w:line="360" w:lineRule="auto"/>
        <w:ind w:firstLine="420" w:firstLineChars="200"/>
        <w:rPr>
          <w:color w:val="auto"/>
        </w:rPr>
      </w:pPr>
      <w:r>
        <w:rPr>
          <w:color w:val="auto"/>
        </w:rPr>
        <w:t>3.3.2在</w:t>
      </w:r>
      <w:r>
        <w:rPr>
          <w:rFonts w:hint="eastAsia"/>
          <w:color w:val="auto"/>
        </w:rPr>
        <w:t>响应文件</w:t>
      </w:r>
      <w:r>
        <w:rPr>
          <w:color w:val="auto"/>
        </w:rPr>
        <w:t>有效期内，供应商撤销或修改其响应文件的，应承担谈判文件和法律规定的责任。</w:t>
      </w:r>
    </w:p>
    <w:p w14:paraId="1BABB1ED">
      <w:pPr>
        <w:spacing w:line="360" w:lineRule="auto"/>
        <w:ind w:firstLine="420" w:firstLineChars="200"/>
        <w:rPr>
          <w:color w:val="auto"/>
        </w:rPr>
      </w:pPr>
      <w:r>
        <w:rPr>
          <w:color w:val="auto"/>
        </w:rPr>
        <w:t>3.3.3出现特殊情况需要延长</w:t>
      </w:r>
      <w:r>
        <w:rPr>
          <w:rFonts w:hint="eastAsia"/>
          <w:color w:val="auto"/>
        </w:rPr>
        <w:t>响应文件</w:t>
      </w:r>
      <w:r>
        <w:rPr>
          <w:color w:val="auto"/>
        </w:rPr>
        <w:t>有效期的，采购人以书面形式通知所有供应商延长</w:t>
      </w:r>
      <w:r>
        <w:rPr>
          <w:rFonts w:hint="eastAsia"/>
          <w:color w:val="auto"/>
        </w:rPr>
        <w:t>响应文件</w:t>
      </w:r>
      <w:r>
        <w:rPr>
          <w:color w:val="auto"/>
        </w:rPr>
        <w:t>有效期。供应商同意延长的，应相应延长其</w:t>
      </w:r>
      <w:r>
        <w:rPr>
          <w:rFonts w:hint="eastAsia"/>
          <w:color w:val="auto"/>
        </w:rPr>
        <w:t>谈判</w:t>
      </w:r>
      <w:r>
        <w:rPr>
          <w:color w:val="auto"/>
        </w:rPr>
        <w:t>保证金的有效期，但不得要求或被允许修改或撤销其响应文件；供应商拒绝延长的，其</w:t>
      </w:r>
      <w:r>
        <w:rPr>
          <w:rFonts w:hint="eastAsia"/>
          <w:color w:val="auto"/>
        </w:rPr>
        <w:t>响应文件</w:t>
      </w:r>
      <w:r>
        <w:rPr>
          <w:color w:val="auto"/>
        </w:rPr>
        <w:t>失效，但供应商有权收回其</w:t>
      </w:r>
      <w:r>
        <w:rPr>
          <w:rFonts w:hint="eastAsia"/>
          <w:color w:val="auto"/>
        </w:rPr>
        <w:t>谈判</w:t>
      </w:r>
      <w:r>
        <w:rPr>
          <w:color w:val="auto"/>
        </w:rPr>
        <w:t>保证金。</w:t>
      </w:r>
    </w:p>
    <w:p w14:paraId="24D58061">
      <w:pPr>
        <w:spacing w:line="360" w:lineRule="auto"/>
        <w:ind w:firstLine="422" w:firstLineChars="200"/>
        <w:rPr>
          <w:b/>
          <w:color w:val="auto"/>
        </w:rPr>
      </w:pPr>
      <w:bookmarkStart w:id="108" w:name="_Toc144974518"/>
      <w:bookmarkStart w:id="109" w:name="_Toc221356249"/>
      <w:bookmarkStart w:id="110" w:name="_Toc152042326"/>
      <w:bookmarkStart w:id="111" w:name="_Toc152045550"/>
      <w:bookmarkStart w:id="112" w:name="_Toc179632568"/>
      <w:r>
        <w:rPr>
          <w:b/>
          <w:color w:val="auto"/>
        </w:rPr>
        <w:t>3.4谈判保证金</w:t>
      </w:r>
      <w:bookmarkEnd w:id="108"/>
      <w:bookmarkEnd w:id="109"/>
      <w:bookmarkEnd w:id="110"/>
      <w:bookmarkEnd w:id="111"/>
      <w:bookmarkEnd w:id="112"/>
    </w:p>
    <w:p w14:paraId="0D388607">
      <w:pPr>
        <w:spacing w:line="360" w:lineRule="auto"/>
        <w:ind w:firstLine="422" w:firstLineChars="200"/>
        <w:rPr>
          <w:rFonts w:hint="eastAsia" w:eastAsia="宋体"/>
          <w:b/>
          <w:color w:val="auto"/>
          <w:lang w:val="en-US" w:eastAsia="zh-CN"/>
        </w:rPr>
      </w:pPr>
      <w:r>
        <w:rPr>
          <w:rFonts w:hint="eastAsia"/>
          <w:b/>
          <w:color w:val="auto"/>
          <w:lang w:val="en-US" w:eastAsia="zh-CN"/>
        </w:rPr>
        <w:t>无</w:t>
      </w:r>
    </w:p>
    <w:p w14:paraId="42A2EBE8">
      <w:pPr>
        <w:spacing w:line="360" w:lineRule="auto"/>
        <w:ind w:firstLine="422" w:firstLineChars="200"/>
        <w:rPr>
          <w:b/>
          <w:color w:val="auto"/>
        </w:rPr>
      </w:pPr>
      <w:r>
        <w:rPr>
          <w:b/>
          <w:color w:val="auto"/>
        </w:rPr>
        <w:t>3.</w:t>
      </w:r>
      <w:r>
        <w:rPr>
          <w:rFonts w:hint="eastAsia"/>
          <w:b/>
          <w:color w:val="auto"/>
        </w:rPr>
        <w:t>5</w:t>
      </w:r>
      <w:r>
        <w:rPr>
          <w:b/>
          <w:color w:val="auto"/>
        </w:rPr>
        <w:t>资格审查资料</w:t>
      </w:r>
    </w:p>
    <w:p w14:paraId="7F40ED9B">
      <w:pPr>
        <w:spacing w:line="360" w:lineRule="auto"/>
        <w:ind w:firstLine="420" w:firstLineChars="200"/>
        <w:rPr>
          <w:color w:val="auto"/>
        </w:rPr>
      </w:pPr>
      <w:r>
        <w:rPr>
          <w:color w:val="auto"/>
        </w:rPr>
        <w:t>供应商在编制响应文件时，应按谈判文件资格审查需提供的资料，以证实其各项资格条件满足谈判文件的要求，具备承担本项目的资格条件、能力和信誉。</w:t>
      </w:r>
    </w:p>
    <w:p w14:paraId="78E85AB3">
      <w:pPr>
        <w:spacing w:line="360" w:lineRule="auto"/>
        <w:ind w:firstLine="422" w:firstLineChars="200"/>
        <w:rPr>
          <w:color w:val="auto"/>
          <w:sz w:val="27"/>
        </w:rPr>
      </w:pPr>
      <w:r>
        <w:rPr>
          <w:rFonts w:hint="eastAsia"/>
          <w:b/>
          <w:color w:val="auto"/>
        </w:rPr>
        <w:t>3.6</w:t>
      </w:r>
      <w:r>
        <w:rPr>
          <w:b/>
          <w:color w:val="auto"/>
        </w:rPr>
        <w:t>备选方案</w:t>
      </w:r>
    </w:p>
    <w:p w14:paraId="04EC8DED">
      <w:pPr>
        <w:spacing w:line="360" w:lineRule="auto"/>
        <w:ind w:firstLine="420" w:firstLineChars="200"/>
        <w:rPr>
          <w:color w:val="auto"/>
        </w:rPr>
      </w:pPr>
      <w:r>
        <w:rPr>
          <w:rFonts w:hint="eastAsia"/>
          <w:color w:val="auto"/>
        </w:rPr>
        <w:t>3.6.1</w:t>
      </w:r>
      <w:r>
        <w:rPr>
          <w:color w:val="auto"/>
        </w:rPr>
        <w:t>除供应商须知前附表规定允许外，供应商不得递交备选方案，否则其</w:t>
      </w:r>
      <w:r>
        <w:rPr>
          <w:rFonts w:hint="eastAsia"/>
          <w:color w:val="auto"/>
          <w:szCs w:val="21"/>
        </w:rPr>
        <w:t>谈判</w:t>
      </w:r>
      <w:r>
        <w:rPr>
          <w:color w:val="auto"/>
        </w:rPr>
        <w:t>将被否决。</w:t>
      </w:r>
    </w:p>
    <w:p w14:paraId="020D6B2F">
      <w:pPr>
        <w:spacing w:line="360" w:lineRule="auto"/>
        <w:ind w:firstLine="420" w:firstLineChars="200"/>
        <w:rPr>
          <w:color w:val="auto"/>
        </w:rPr>
      </w:pPr>
      <w:r>
        <w:rPr>
          <w:rFonts w:hint="eastAsia"/>
          <w:color w:val="auto"/>
        </w:rPr>
        <w:t>3.6.2</w:t>
      </w:r>
      <w:r>
        <w:rPr>
          <w:color w:val="auto"/>
        </w:rPr>
        <w:t>允许供应商递交备选方案的，只有</w:t>
      </w:r>
      <w:r>
        <w:rPr>
          <w:rFonts w:hint="eastAsia"/>
          <w:color w:val="auto"/>
        </w:rPr>
        <w:t>成交供应商</w:t>
      </w:r>
      <w:r>
        <w:rPr>
          <w:color w:val="auto"/>
        </w:rPr>
        <w:t>所递交的备选方案方可予以考虑。</w:t>
      </w:r>
      <w:r>
        <w:rPr>
          <w:rFonts w:hint="eastAsia"/>
          <w:color w:val="auto"/>
        </w:rPr>
        <w:t>谈判</w:t>
      </w:r>
      <w:r>
        <w:rPr>
          <w:color w:val="auto"/>
        </w:rPr>
        <w:t>小组认为</w:t>
      </w:r>
      <w:r>
        <w:rPr>
          <w:rFonts w:hint="eastAsia"/>
          <w:color w:val="auto"/>
        </w:rPr>
        <w:t>成交供应商</w:t>
      </w:r>
      <w:r>
        <w:rPr>
          <w:color w:val="auto"/>
        </w:rPr>
        <w:t>的备选方案优于其按照谈判文件要求编制的方案的，采购人可以接受该备选方案。</w:t>
      </w:r>
    </w:p>
    <w:p w14:paraId="57D59262">
      <w:pPr>
        <w:spacing w:line="360" w:lineRule="auto"/>
        <w:ind w:firstLine="420" w:firstLineChars="200"/>
        <w:rPr>
          <w:color w:val="auto"/>
        </w:rPr>
      </w:pPr>
      <w:r>
        <w:rPr>
          <w:rFonts w:hint="eastAsia"/>
          <w:color w:val="auto"/>
        </w:rPr>
        <w:t>3.6.3</w:t>
      </w:r>
      <w:r>
        <w:rPr>
          <w:color w:val="auto"/>
        </w:rPr>
        <w:t>供应商提供两个或两个以上报价，或者在响应文件中提供一个报价，但同时提供两个或两个以上方案的，视为提供备选方案。</w:t>
      </w:r>
    </w:p>
    <w:p w14:paraId="375DAF2B">
      <w:pPr>
        <w:spacing w:line="360" w:lineRule="auto"/>
        <w:ind w:firstLine="422" w:firstLineChars="200"/>
        <w:rPr>
          <w:b/>
          <w:color w:val="auto"/>
        </w:rPr>
      </w:pPr>
      <w:bookmarkStart w:id="113" w:name="_Toc179632572"/>
      <w:bookmarkStart w:id="114" w:name="_Toc221356252"/>
      <w:bookmarkStart w:id="115" w:name="_Toc152042330"/>
      <w:bookmarkStart w:id="116" w:name="_Toc144974522"/>
      <w:bookmarkStart w:id="117" w:name="_Toc152045554"/>
      <w:r>
        <w:rPr>
          <w:b/>
          <w:color w:val="auto"/>
        </w:rPr>
        <w:t>3.</w:t>
      </w:r>
      <w:r>
        <w:rPr>
          <w:rFonts w:hint="eastAsia"/>
          <w:b/>
          <w:color w:val="auto"/>
        </w:rPr>
        <w:t>7</w:t>
      </w:r>
      <w:r>
        <w:rPr>
          <w:b/>
          <w:color w:val="auto"/>
        </w:rPr>
        <w:t>响应文件的</w:t>
      </w:r>
      <w:bookmarkEnd w:id="113"/>
      <w:bookmarkEnd w:id="114"/>
      <w:bookmarkEnd w:id="115"/>
      <w:bookmarkEnd w:id="116"/>
      <w:bookmarkEnd w:id="117"/>
      <w:r>
        <w:rPr>
          <w:b/>
          <w:color w:val="auto"/>
        </w:rPr>
        <w:t>编制</w:t>
      </w:r>
    </w:p>
    <w:p w14:paraId="2015CEE1">
      <w:pPr>
        <w:spacing w:line="360" w:lineRule="auto"/>
        <w:ind w:firstLine="420" w:firstLineChars="200"/>
        <w:rPr>
          <w:color w:val="auto"/>
        </w:rPr>
      </w:pPr>
      <w:r>
        <w:rPr>
          <w:color w:val="auto"/>
        </w:rPr>
        <w:t>3.</w:t>
      </w:r>
      <w:r>
        <w:rPr>
          <w:rFonts w:hint="eastAsia"/>
          <w:color w:val="auto"/>
        </w:rPr>
        <w:t>7</w:t>
      </w:r>
      <w:r>
        <w:rPr>
          <w:color w:val="auto"/>
        </w:rPr>
        <w:t>.1投标文件应按</w:t>
      </w:r>
      <w:r>
        <w:rPr>
          <w:rFonts w:hint="eastAsia"/>
          <w:color w:val="auto"/>
        </w:rPr>
        <w:t>第六章</w:t>
      </w:r>
      <w:r>
        <w:rPr>
          <w:color w:val="auto"/>
        </w:rPr>
        <w:t>“投标文件格式”进行编写，如有必要，可以增加附页，作为投标文件的组成部分。其中，在满足</w:t>
      </w:r>
      <w:r>
        <w:rPr>
          <w:rFonts w:hint="eastAsia" w:ascii="宋体" w:hAnsi="宋体"/>
          <w:color w:val="auto"/>
          <w:szCs w:val="21"/>
          <w:lang w:val="en-US" w:eastAsia="zh-CN"/>
        </w:rPr>
        <w:t>谈判</w:t>
      </w:r>
      <w:r>
        <w:rPr>
          <w:color w:val="auto"/>
        </w:rPr>
        <w:t>文件实质性要求的基础上，可以提出比招标文件要求更有利于采购人的承诺。</w:t>
      </w:r>
      <w:r>
        <w:rPr>
          <w:rFonts w:hint="eastAsia" w:ascii="宋体" w:hAnsi="宋体"/>
          <w:color w:val="auto"/>
          <w:szCs w:val="21"/>
        </w:rPr>
        <w:t>投</w:t>
      </w:r>
      <w:r>
        <w:rPr>
          <w:rFonts w:hint="eastAsia" w:ascii="宋体" w:hAnsi="宋体" w:cs="微软雅黑"/>
          <w:color w:val="auto"/>
          <w:szCs w:val="21"/>
        </w:rPr>
        <w:t>标</w:t>
      </w:r>
      <w:r>
        <w:rPr>
          <w:rFonts w:hint="eastAsia" w:ascii="宋体" w:hAnsi="宋体" w:cs="Malgun Gothic"/>
          <w:color w:val="auto"/>
          <w:szCs w:val="21"/>
        </w:rPr>
        <w:t>人</w:t>
      </w:r>
      <w:r>
        <w:rPr>
          <w:rFonts w:hint="eastAsia" w:ascii="宋体" w:hAnsi="宋体" w:cs="微软雅黑"/>
          <w:color w:val="auto"/>
          <w:szCs w:val="21"/>
        </w:rPr>
        <w:t>应</w:t>
      </w:r>
      <w:r>
        <w:rPr>
          <w:rFonts w:hint="eastAsia" w:ascii="宋体" w:hAnsi="宋体" w:cs="Malgun Gothic"/>
          <w:color w:val="auto"/>
          <w:szCs w:val="21"/>
        </w:rPr>
        <w:t>仔</w:t>
      </w:r>
      <w:r>
        <w:rPr>
          <w:rFonts w:hint="eastAsia" w:ascii="宋体" w:hAnsi="宋体" w:cs="微软雅黑"/>
          <w:color w:val="auto"/>
          <w:szCs w:val="21"/>
        </w:rPr>
        <w:t>细阅读</w:t>
      </w:r>
      <w:r>
        <w:rPr>
          <w:rFonts w:hint="eastAsia" w:ascii="宋体" w:hAnsi="宋体"/>
          <w:color w:val="auto"/>
          <w:szCs w:val="21"/>
          <w:lang w:val="en-US" w:eastAsia="zh-CN"/>
        </w:rPr>
        <w:t>谈判</w:t>
      </w:r>
      <w:r>
        <w:rPr>
          <w:rFonts w:hint="eastAsia" w:ascii="宋体" w:hAnsi="宋体" w:cs="Malgun Gothic"/>
          <w:color w:val="auto"/>
          <w:szCs w:val="21"/>
        </w:rPr>
        <w:t>文件，在完全了解采</w:t>
      </w:r>
      <w:r>
        <w:rPr>
          <w:rFonts w:hint="eastAsia" w:ascii="宋体" w:hAnsi="宋体" w:cs="微软雅黑"/>
          <w:color w:val="auto"/>
          <w:szCs w:val="21"/>
        </w:rPr>
        <w:t>购</w:t>
      </w:r>
      <w:r>
        <w:rPr>
          <w:rFonts w:hint="eastAsia" w:ascii="宋体" w:hAnsi="宋体" w:cs="Malgun Gothic"/>
          <w:color w:val="auto"/>
          <w:szCs w:val="21"/>
        </w:rPr>
        <w:t>的</w:t>
      </w:r>
      <w:r>
        <w:rPr>
          <w:rFonts w:hint="eastAsia" w:ascii="宋体" w:hAnsi="宋体" w:cs="微软雅黑"/>
          <w:color w:val="auto"/>
          <w:szCs w:val="21"/>
        </w:rPr>
        <w:t>内</w:t>
      </w:r>
      <w:r>
        <w:rPr>
          <w:rFonts w:hint="eastAsia" w:ascii="宋体" w:hAnsi="宋体" w:cs="Malgun Gothic"/>
          <w:color w:val="auto"/>
          <w:szCs w:val="21"/>
        </w:rPr>
        <w:t>容、技</w:t>
      </w:r>
      <w:r>
        <w:rPr>
          <w:rFonts w:hint="eastAsia" w:ascii="宋体" w:hAnsi="宋体" w:cs="微软雅黑"/>
          <w:color w:val="auto"/>
          <w:szCs w:val="21"/>
        </w:rPr>
        <w:t>术</w:t>
      </w:r>
      <w:r>
        <w:rPr>
          <w:rFonts w:hint="eastAsia" w:ascii="宋体" w:hAnsi="宋体" w:cs="Malgun Gothic"/>
          <w:color w:val="auto"/>
          <w:szCs w:val="21"/>
        </w:rPr>
        <w:t>性能要求和商</w:t>
      </w:r>
      <w:r>
        <w:rPr>
          <w:rFonts w:hint="eastAsia" w:ascii="宋体" w:hAnsi="宋体" w:cs="微软雅黑"/>
          <w:color w:val="auto"/>
          <w:szCs w:val="21"/>
        </w:rPr>
        <w:t>务条</w:t>
      </w:r>
      <w:r>
        <w:rPr>
          <w:rFonts w:hint="eastAsia" w:ascii="宋体" w:hAnsi="宋体" w:cs="Malgun Gothic"/>
          <w:color w:val="auto"/>
          <w:szCs w:val="21"/>
        </w:rPr>
        <w:t>件后，</w:t>
      </w:r>
      <w:r>
        <w:rPr>
          <w:rFonts w:hint="eastAsia" w:ascii="宋体" w:hAnsi="宋体" w:cs="微软雅黑"/>
          <w:color w:val="auto"/>
          <w:szCs w:val="21"/>
        </w:rPr>
        <w:t>编写</w:t>
      </w:r>
      <w:r>
        <w:rPr>
          <w:rFonts w:hint="eastAsia" w:ascii="宋体" w:hAnsi="宋体" w:cs="Malgun Gothic"/>
          <w:color w:val="auto"/>
          <w:szCs w:val="21"/>
        </w:rPr>
        <w:t>投</w:t>
      </w:r>
      <w:r>
        <w:rPr>
          <w:rFonts w:hint="eastAsia" w:ascii="宋体" w:hAnsi="宋体" w:cs="微软雅黑"/>
          <w:color w:val="auto"/>
          <w:szCs w:val="21"/>
        </w:rPr>
        <w:t>标</w:t>
      </w:r>
      <w:r>
        <w:rPr>
          <w:rFonts w:hint="eastAsia" w:ascii="宋体" w:hAnsi="宋体" w:cs="Malgun Gothic"/>
          <w:color w:val="auto"/>
          <w:szCs w:val="21"/>
        </w:rPr>
        <w:t>文件。</w:t>
      </w:r>
      <w:r>
        <w:rPr>
          <w:rFonts w:hint="eastAsia" w:ascii="宋体" w:hAnsi="宋体"/>
          <w:color w:val="auto"/>
          <w:szCs w:val="21"/>
          <w:lang w:val="en-US" w:eastAsia="zh-CN"/>
        </w:rPr>
        <w:t>谈判</w:t>
      </w:r>
      <w:r>
        <w:rPr>
          <w:rFonts w:hint="eastAsia" w:ascii="宋体" w:hAnsi="宋体" w:cs="Malgun Gothic"/>
          <w:color w:val="auto"/>
          <w:szCs w:val="21"/>
        </w:rPr>
        <w:t>文件中</w:t>
      </w:r>
      <w:r>
        <w:rPr>
          <w:rFonts w:hint="eastAsia" w:ascii="宋体" w:hAnsi="宋体" w:cs="微软雅黑"/>
          <w:color w:val="auto"/>
          <w:szCs w:val="21"/>
        </w:rPr>
        <w:t>标</w:t>
      </w:r>
      <w:r>
        <w:rPr>
          <w:rFonts w:hint="eastAsia" w:ascii="宋体" w:hAnsi="宋体" w:cs="Malgun Gothic"/>
          <w:color w:val="auto"/>
          <w:szCs w:val="21"/>
        </w:rPr>
        <w:t>注★</w:t>
      </w:r>
      <w:r>
        <w:rPr>
          <w:rFonts w:hint="eastAsia" w:ascii="宋体" w:hAnsi="宋体" w:cs="微软雅黑"/>
          <w:color w:val="auto"/>
          <w:szCs w:val="21"/>
        </w:rPr>
        <w:t>号</w:t>
      </w:r>
      <w:r>
        <w:rPr>
          <w:rFonts w:hint="eastAsia" w:ascii="宋体" w:hAnsi="宋体" w:cs="Malgun Gothic"/>
          <w:color w:val="auto"/>
          <w:szCs w:val="21"/>
        </w:rPr>
        <w:t>的</w:t>
      </w:r>
      <w:r>
        <w:rPr>
          <w:rFonts w:hint="eastAsia" w:ascii="宋体" w:hAnsi="宋体" w:cs="微软雅黑"/>
          <w:color w:val="auto"/>
          <w:szCs w:val="21"/>
        </w:rPr>
        <w:t>条</w:t>
      </w:r>
      <w:r>
        <w:rPr>
          <w:rFonts w:hint="eastAsia" w:ascii="宋体" w:hAnsi="宋体" w:cs="Malgun Gothic"/>
          <w:color w:val="auto"/>
          <w:szCs w:val="21"/>
        </w:rPr>
        <w:t>款</w:t>
      </w:r>
      <w:r>
        <w:rPr>
          <w:rFonts w:hint="eastAsia" w:ascii="宋体" w:hAnsi="宋体" w:cs="微软雅黑"/>
          <w:color w:val="auto"/>
          <w:szCs w:val="21"/>
        </w:rPr>
        <w:t>为实质</w:t>
      </w:r>
      <w:r>
        <w:rPr>
          <w:rFonts w:hint="eastAsia" w:ascii="宋体" w:hAnsi="宋体" w:cs="Malgun Gothic"/>
          <w:color w:val="auto"/>
          <w:szCs w:val="21"/>
        </w:rPr>
        <w:t>性要求和</w:t>
      </w:r>
      <w:r>
        <w:rPr>
          <w:rFonts w:hint="eastAsia" w:ascii="宋体" w:hAnsi="宋体" w:cs="微软雅黑"/>
          <w:color w:val="auto"/>
          <w:szCs w:val="21"/>
        </w:rPr>
        <w:t>条</w:t>
      </w:r>
      <w:r>
        <w:rPr>
          <w:rFonts w:hint="eastAsia" w:ascii="宋体" w:hAnsi="宋体" w:cs="Malgun Gothic"/>
          <w:color w:val="auto"/>
          <w:szCs w:val="21"/>
        </w:rPr>
        <w:t>件，投</w:t>
      </w:r>
      <w:r>
        <w:rPr>
          <w:rFonts w:hint="eastAsia" w:ascii="宋体" w:hAnsi="宋体" w:cs="微软雅黑"/>
          <w:color w:val="auto"/>
          <w:szCs w:val="21"/>
        </w:rPr>
        <w:t>标</w:t>
      </w:r>
      <w:r>
        <w:rPr>
          <w:rFonts w:hint="eastAsia" w:ascii="宋体" w:hAnsi="宋体" w:cs="Malgun Gothic"/>
          <w:color w:val="auto"/>
          <w:szCs w:val="21"/>
        </w:rPr>
        <w:t>文件必</w:t>
      </w:r>
      <w:r>
        <w:rPr>
          <w:rFonts w:hint="eastAsia" w:ascii="宋体" w:hAnsi="宋体" w:cs="微软雅黑"/>
          <w:color w:val="auto"/>
          <w:szCs w:val="21"/>
        </w:rPr>
        <w:t>须</w:t>
      </w:r>
      <w:r>
        <w:rPr>
          <w:rFonts w:hint="eastAsia" w:ascii="宋体" w:hAnsi="宋体"/>
          <w:color w:val="auto"/>
          <w:szCs w:val="21"/>
        </w:rPr>
        <w:t>作出</w:t>
      </w:r>
      <w:r>
        <w:rPr>
          <w:rFonts w:hint="eastAsia" w:ascii="宋体" w:hAnsi="宋体" w:cs="微软雅黑"/>
          <w:color w:val="auto"/>
          <w:szCs w:val="21"/>
        </w:rPr>
        <w:t>实质</w:t>
      </w:r>
      <w:r>
        <w:rPr>
          <w:rFonts w:hint="eastAsia" w:ascii="宋体" w:hAnsi="宋体" w:cs="Malgun Gothic"/>
          <w:color w:val="auto"/>
          <w:szCs w:val="21"/>
        </w:rPr>
        <w:t>性</w:t>
      </w:r>
      <w:r>
        <w:rPr>
          <w:rFonts w:hint="eastAsia" w:ascii="宋体" w:hAnsi="宋体" w:cs="微软雅黑"/>
          <w:color w:val="auto"/>
          <w:szCs w:val="21"/>
        </w:rPr>
        <w:t>响应</w:t>
      </w:r>
      <w:r>
        <w:rPr>
          <w:rFonts w:hint="eastAsia" w:ascii="宋体" w:hAnsi="宋体" w:cs="Malgun Gothic"/>
          <w:color w:val="auto"/>
          <w:szCs w:val="21"/>
        </w:rPr>
        <w:t>，不</w:t>
      </w:r>
      <w:r>
        <w:rPr>
          <w:rFonts w:hint="eastAsia" w:ascii="宋体" w:hAnsi="宋体" w:cs="微软雅黑"/>
          <w:color w:val="auto"/>
          <w:szCs w:val="21"/>
        </w:rPr>
        <w:t>满</w:t>
      </w:r>
      <w:r>
        <w:rPr>
          <w:rFonts w:hint="eastAsia" w:ascii="宋体" w:hAnsi="宋体" w:cs="Malgun Gothic"/>
          <w:color w:val="auto"/>
          <w:szCs w:val="21"/>
        </w:rPr>
        <w:t>足任何一</w:t>
      </w:r>
      <w:r>
        <w:rPr>
          <w:rFonts w:hint="eastAsia" w:ascii="宋体" w:hAnsi="宋体" w:cs="微软雅黑"/>
          <w:color w:val="auto"/>
          <w:szCs w:val="21"/>
        </w:rPr>
        <w:t>项标</w:t>
      </w:r>
      <w:r>
        <w:rPr>
          <w:rFonts w:hint="eastAsia" w:ascii="宋体" w:hAnsi="宋体" w:cs="Malgun Gothic"/>
          <w:color w:val="auto"/>
          <w:szCs w:val="21"/>
        </w:rPr>
        <w:t>注★</w:t>
      </w:r>
      <w:r>
        <w:rPr>
          <w:rFonts w:hint="eastAsia" w:ascii="宋体" w:hAnsi="宋体" w:cs="微软雅黑"/>
          <w:color w:val="auto"/>
          <w:szCs w:val="21"/>
        </w:rPr>
        <w:t>号</w:t>
      </w:r>
      <w:r>
        <w:rPr>
          <w:rFonts w:hint="eastAsia" w:ascii="宋体" w:hAnsi="宋体" w:cs="Malgun Gothic"/>
          <w:color w:val="auto"/>
          <w:szCs w:val="21"/>
        </w:rPr>
        <w:t>的</w:t>
      </w:r>
      <w:r>
        <w:rPr>
          <w:rFonts w:hint="eastAsia" w:ascii="宋体" w:hAnsi="宋体" w:cs="微软雅黑"/>
          <w:color w:val="auto"/>
          <w:szCs w:val="21"/>
        </w:rPr>
        <w:t>条</w:t>
      </w:r>
      <w:r>
        <w:rPr>
          <w:rFonts w:hint="eastAsia" w:ascii="宋体" w:hAnsi="宋体" w:cs="Malgun Gothic"/>
          <w:color w:val="auto"/>
          <w:szCs w:val="21"/>
        </w:rPr>
        <w:t>款，</w:t>
      </w:r>
      <w:r>
        <w:rPr>
          <w:rFonts w:hint="eastAsia" w:ascii="宋体" w:hAnsi="宋体" w:cs="微软雅黑"/>
          <w:color w:val="auto"/>
          <w:szCs w:val="21"/>
        </w:rPr>
        <w:t>将导</w:t>
      </w:r>
      <w:r>
        <w:rPr>
          <w:rFonts w:hint="eastAsia" w:ascii="宋体" w:hAnsi="宋体" w:cs="Malgun Gothic"/>
          <w:color w:val="auto"/>
          <w:szCs w:val="21"/>
        </w:rPr>
        <w:t>致投</w:t>
      </w:r>
      <w:r>
        <w:rPr>
          <w:rFonts w:hint="eastAsia" w:ascii="宋体" w:hAnsi="宋体" w:cs="微软雅黑"/>
          <w:color w:val="auto"/>
          <w:szCs w:val="21"/>
        </w:rPr>
        <w:t>标</w:t>
      </w:r>
      <w:r>
        <w:rPr>
          <w:rFonts w:hint="eastAsia" w:ascii="宋体" w:hAnsi="宋体" w:cs="Malgun Gothic"/>
          <w:color w:val="auto"/>
          <w:szCs w:val="21"/>
        </w:rPr>
        <w:t>无效。</w:t>
      </w:r>
    </w:p>
    <w:p w14:paraId="7FAE416F">
      <w:pPr>
        <w:spacing w:line="360" w:lineRule="auto"/>
        <w:ind w:firstLine="420" w:firstLineChars="200"/>
        <w:rPr>
          <w:color w:val="auto"/>
        </w:rPr>
      </w:pPr>
      <w:r>
        <w:rPr>
          <w:color w:val="auto"/>
        </w:rPr>
        <w:t>3.</w:t>
      </w:r>
      <w:r>
        <w:rPr>
          <w:rFonts w:hint="eastAsia"/>
          <w:color w:val="auto"/>
        </w:rPr>
        <w:t>7</w:t>
      </w:r>
      <w:r>
        <w:rPr>
          <w:color w:val="auto"/>
        </w:rPr>
        <w:t xml:space="preserve">.2 </w:t>
      </w:r>
      <w:r>
        <w:rPr>
          <w:rFonts w:hint="eastAsia"/>
          <w:color w:val="auto"/>
        </w:rPr>
        <w:t>投标文件应当对</w:t>
      </w:r>
      <w:r>
        <w:rPr>
          <w:rFonts w:hint="eastAsia" w:ascii="宋体" w:hAnsi="宋体"/>
          <w:color w:val="auto"/>
          <w:szCs w:val="21"/>
          <w:lang w:val="en-US" w:eastAsia="zh-CN"/>
        </w:rPr>
        <w:t>谈判</w:t>
      </w:r>
      <w:r>
        <w:rPr>
          <w:rFonts w:hint="eastAsia"/>
          <w:color w:val="auto"/>
        </w:rPr>
        <w:t>文件有关完成时间、投标文件有效期、成果要求、采购范围等实质性内容作出。投标文件在满足</w:t>
      </w:r>
      <w:r>
        <w:rPr>
          <w:rFonts w:hint="eastAsia" w:ascii="宋体" w:hAnsi="宋体"/>
          <w:color w:val="auto"/>
          <w:szCs w:val="21"/>
          <w:lang w:val="en-US" w:eastAsia="zh-CN"/>
        </w:rPr>
        <w:t>谈判</w:t>
      </w:r>
      <w:r>
        <w:rPr>
          <w:rFonts w:hint="eastAsia"/>
          <w:color w:val="auto"/>
        </w:rPr>
        <w:t>文件实质性要求的基础上，可以提出比</w:t>
      </w:r>
      <w:r>
        <w:rPr>
          <w:rFonts w:hint="eastAsia" w:ascii="宋体" w:hAnsi="宋体"/>
          <w:color w:val="auto"/>
          <w:szCs w:val="21"/>
          <w:lang w:val="en-US" w:eastAsia="zh-CN"/>
        </w:rPr>
        <w:t>谈判</w:t>
      </w:r>
      <w:r>
        <w:rPr>
          <w:rFonts w:hint="eastAsia"/>
          <w:color w:val="auto"/>
        </w:rPr>
        <w:t>文件要求更有利于采购人的承诺。</w:t>
      </w:r>
    </w:p>
    <w:p w14:paraId="5B114C43">
      <w:pPr>
        <w:spacing w:line="360" w:lineRule="auto"/>
        <w:ind w:firstLine="420" w:firstLineChars="200"/>
        <w:rPr>
          <w:color w:val="auto"/>
        </w:rPr>
      </w:pPr>
      <w:r>
        <w:rPr>
          <w:color w:val="auto"/>
        </w:rPr>
        <w:t>3.</w:t>
      </w:r>
      <w:r>
        <w:rPr>
          <w:rFonts w:hint="eastAsia"/>
          <w:color w:val="auto"/>
        </w:rPr>
        <w:t>7</w:t>
      </w:r>
      <w:r>
        <w:rPr>
          <w:color w:val="auto"/>
        </w:rPr>
        <w:t>.3</w:t>
      </w:r>
      <w:r>
        <w:rPr>
          <w:rFonts w:hint="eastAsia"/>
          <w:color w:val="auto"/>
        </w:rPr>
        <w:t>投标文件全部采用电子文档，投标人应安装客户端软件—“政采云电子交易客户端”，并按照</w:t>
      </w:r>
      <w:r>
        <w:rPr>
          <w:rFonts w:hint="eastAsia" w:ascii="宋体" w:hAnsi="宋体"/>
          <w:color w:val="auto"/>
          <w:szCs w:val="21"/>
          <w:lang w:val="en-US" w:eastAsia="zh-CN"/>
        </w:rPr>
        <w:t>谈判</w:t>
      </w:r>
      <w:r>
        <w:rPr>
          <w:rFonts w:hint="eastAsia"/>
          <w:color w:val="auto"/>
        </w:rPr>
        <w:t>文件和政采云电子交易平台的要求编制，编制后应进行电子签名及加密。投标文件应由法定代表人或其委托代理人在规定的电子签名处逐一电子签名（电子签名或电子签章），要求盖章处应盖单位章（电子签章）。</w:t>
      </w:r>
    </w:p>
    <w:p w14:paraId="41A799CE">
      <w:pPr>
        <w:spacing w:line="360" w:lineRule="auto"/>
        <w:ind w:firstLine="420" w:firstLineChars="200"/>
        <w:rPr>
          <w:color w:val="auto"/>
        </w:rPr>
      </w:pPr>
      <w:r>
        <w:rPr>
          <w:rFonts w:hint="eastAsia" w:ascii="宋体" w:hAnsi="宋体" w:cs="Malgun Gothic"/>
          <w:color w:val="auto"/>
          <w:szCs w:val="21"/>
        </w:rPr>
        <w:t>★</w:t>
      </w:r>
      <w:r>
        <w:rPr>
          <w:rFonts w:hint="eastAsia"/>
          <w:color w:val="auto"/>
        </w:rPr>
        <w:t>（1）如投标人提交的电子标书不符合政采云电子交易平台要求或开标时无法读取导入或解密，其投标文件将不予受理。</w:t>
      </w:r>
    </w:p>
    <w:p w14:paraId="55C44A27">
      <w:pPr>
        <w:spacing w:line="360" w:lineRule="auto"/>
        <w:ind w:firstLine="420" w:firstLineChars="200"/>
        <w:rPr>
          <w:color w:val="auto"/>
        </w:rPr>
      </w:pPr>
      <w:r>
        <w:rPr>
          <w:rFonts w:hint="eastAsia"/>
          <w:color w:val="auto"/>
        </w:rPr>
        <w:t>（2）投标文件中提供的资料（扫描件），内容必须清晰可辨，若内容模糊，无法辨识，均视为未提供。</w:t>
      </w:r>
      <w:bookmarkStart w:id="118" w:name="_Toc152045555"/>
      <w:bookmarkStart w:id="119" w:name="_Toc221356253"/>
      <w:bookmarkStart w:id="120" w:name="_Toc152042331"/>
      <w:bookmarkStart w:id="121" w:name="_Toc241763832"/>
      <w:bookmarkStart w:id="122" w:name="_Toc144974523"/>
      <w:bookmarkStart w:id="123" w:name="_Toc179632573"/>
    </w:p>
    <w:p w14:paraId="665D9D99">
      <w:pPr>
        <w:rPr>
          <w:color w:val="auto"/>
        </w:rPr>
      </w:pPr>
    </w:p>
    <w:p w14:paraId="3073D1D9">
      <w:pPr>
        <w:spacing w:line="360" w:lineRule="auto"/>
        <w:jc w:val="center"/>
        <w:outlineLvl w:val="2"/>
        <w:rPr>
          <w:b/>
          <w:color w:val="auto"/>
          <w:kern w:val="0"/>
          <w:sz w:val="36"/>
          <w:szCs w:val="44"/>
        </w:rPr>
      </w:pPr>
      <w:bookmarkStart w:id="124" w:name="_Toc11999"/>
      <w:r>
        <w:rPr>
          <w:b/>
          <w:color w:val="auto"/>
          <w:kern w:val="0"/>
          <w:sz w:val="36"/>
          <w:szCs w:val="44"/>
        </w:rPr>
        <w:t xml:space="preserve">4. </w:t>
      </w:r>
      <w:bookmarkEnd w:id="118"/>
      <w:bookmarkEnd w:id="119"/>
      <w:bookmarkEnd w:id="120"/>
      <w:bookmarkEnd w:id="121"/>
      <w:bookmarkEnd w:id="122"/>
      <w:bookmarkEnd w:id="123"/>
      <w:r>
        <w:rPr>
          <w:b/>
          <w:color w:val="auto"/>
          <w:kern w:val="0"/>
          <w:sz w:val="36"/>
          <w:szCs w:val="44"/>
        </w:rPr>
        <w:t>响应文件的递交</w:t>
      </w:r>
      <w:bookmarkEnd w:id="124"/>
    </w:p>
    <w:p w14:paraId="66462E72">
      <w:pPr>
        <w:spacing w:line="360" w:lineRule="auto"/>
        <w:ind w:firstLine="422" w:firstLineChars="200"/>
        <w:rPr>
          <w:b/>
          <w:color w:val="auto"/>
        </w:rPr>
      </w:pPr>
      <w:bookmarkStart w:id="125" w:name="_Toc179632574"/>
      <w:bookmarkStart w:id="126" w:name="_Toc221356254"/>
      <w:bookmarkStart w:id="127" w:name="_Toc152045556"/>
      <w:bookmarkStart w:id="128" w:name="_Toc152042332"/>
      <w:bookmarkStart w:id="129" w:name="_Toc144974524"/>
      <w:r>
        <w:rPr>
          <w:b/>
          <w:color w:val="auto"/>
        </w:rPr>
        <w:t>4.1响应文件的密封和标记</w:t>
      </w:r>
      <w:bookmarkEnd w:id="125"/>
      <w:bookmarkEnd w:id="126"/>
      <w:bookmarkEnd w:id="127"/>
      <w:bookmarkEnd w:id="128"/>
      <w:bookmarkEnd w:id="129"/>
    </w:p>
    <w:p w14:paraId="2D70C998">
      <w:pPr>
        <w:spacing w:line="360" w:lineRule="auto"/>
        <w:ind w:firstLine="420" w:firstLineChars="200"/>
        <w:rPr>
          <w:color w:val="auto"/>
        </w:rPr>
      </w:pPr>
      <w:bookmarkStart w:id="130" w:name="_Toc152045557"/>
      <w:bookmarkStart w:id="131" w:name="_Toc144974525"/>
      <w:bookmarkStart w:id="132" w:name="_Toc152042333"/>
      <w:bookmarkStart w:id="133" w:name="_Toc179632575"/>
      <w:bookmarkStart w:id="134" w:name="_Toc221356255"/>
      <w:r>
        <w:rPr>
          <w:color w:val="auto"/>
        </w:rPr>
        <w:t xml:space="preserve">4.1.1 </w:t>
      </w:r>
      <w:r>
        <w:rPr>
          <w:rFonts w:hint="eastAsia"/>
          <w:color w:val="auto"/>
        </w:rPr>
        <w:t>投标人应安装客户端软件—“政采云电子交易客户端”，并按照</w:t>
      </w:r>
      <w:r>
        <w:rPr>
          <w:rFonts w:hint="eastAsia" w:ascii="宋体" w:hAnsi="宋体"/>
          <w:color w:val="auto"/>
          <w:szCs w:val="21"/>
          <w:lang w:val="en-US" w:eastAsia="zh-CN"/>
        </w:rPr>
        <w:t>谈判</w:t>
      </w:r>
      <w:r>
        <w:rPr>
          <w:rFonts w:hint="eastAsia"/>
          <w:color w:val="auto"/>
        </w:rPr>
        <w:t>文件和电子交易平台的要求编制并加密投标文件。未按规定加密的投标文件，电子交易平台将拒收并提示。</w:t>
      </w:r>
    </w:p>
    <w:p w14:paraId="5AF2A190">
      <w:pPr>
        <w:spacing w:line="360" w:lineRule="auto"/>
        <w:ind w:firstLine="420" w:firstLineChars="200"/>
        <w:rPr>
          <w:color w:val="auto"/>
        </w:rPr>
      </w:pPr>
      <w:r>
        <w:rPr>
          <w:color w:val="auto"/>
        </w:rPr>
        <w:t xml:space="preserve">4.1.2 </w:t>
      </w:r>
      <w:r>
        <w:rPr>
          <w:rFonts w:hint="eastAsia" w:hAnsi="宋体"/>
          <w:color w:val="auto"/>
          <w:szCs w:val="21"/>
        </w:rPr>
        <w:t>使用“政采云电子交易客户端”需要提前申领CA数字证书</w:t>
      </w:r>
      <w:r>
        <w:rPr>
          <w:color w:val="auto"/>
        </w:rPr>
        <w:t>。</w:t>
      </w:r>
    </w:p>
    <w:p w14:paraId="292CE6E2">
      <w:pPr>
        <w:spacing w:line="360" w:lineRule="auto"/>
        <w:ind w:firstLine="420" w:firstLineChars="200"/>
        <w:rPr>
          <w:color w:val="auto"/>
        </w:rPr>
      </w:pPr>
      <w:r>
        <w:rPr>
          <w:color w:val="auto"/>
        </w:rPr>
        <w:t xml:space="preserve">4.1.3 </w:t>
      </w:r>
      <w:r>
        <w:rPr>
          <w:rFonts w:hint="eastAsia" w:hAnsi="宋体"/>
          <w:color w:val="auto"/>
          <w:szCs w:val="21"/>
        </w:rPr>
        <w:t>为确保网上操作合法、有效和安全，投标人应当在投标文件提交截止时间前完成在“政府采购云平台”的身份认证，确保在电子交易过程中能够对相关数据电文进行加密和使用电子签名</w:t>
      </w:r>
      <w:r>
        <w:rPr>
          <w:color w:val="auto"/>
        </w:rPr>
        <w:t>。</w:t>
      </w:r>
    </w:p>
    <w:p w14:paraId="3AA23036">
      <w:pPr>
        <w:spacing w:line="360" w:lineRule="auto"/>
        <w:ind w:firstLine="422" w:firstLineChars="200"/>
        <w:rPr>
          <w:b/>
          <w:color w:val="auto"/>
        </w:rPr>
      </w:pPr>
      <w:r>
        <w:rPr>
          <w:b/>
          <w:color w:val="auto"/>
        </w:rPr>
        <w:t>4.2响应文件的递交</w:t>
      </w:r>
      <w:bookmarkEnd w:id="130"/>
      <w:bookmarkEnd w:id="131"/>
      <w:bookmarkEnd w:id="132"/>
      <w:bookmarkEnd w:id="133"/>
      <w:bookmarkEnd w:id="134"/>
    </w:p>
    <w:p w14:paraId="7B2065B9">
      <w:pPr>
        <w:spacing w:line="360" w:lineRule="auto"/>
        <w:ind w:firstLine="420" w:firstLineChars="200"/>
        <w:rPr>
          <w:color w:val="auto"/>
        </w:rPr>
      </w:pPr>
      <w:bookmarkStart w:id="135" w:name="_Toc152045558"/>
      <w:bookmarkStart w:id="136" w:name="_Toc144974526"/>
      <w:bookmarkStart w:id="137" w:name="_Toc152042334"/>
      <w:bookmarkStart w:id="138" w:name="_Toc221356256"/>
      <w:bookmarkStart w:id="139" w:name="_Toc179632576"/>
      <w:r>
        <w:rPr>
          <w:color w:val="auto"/>
        </w:rPr>
        <w:t>4.2.1 投标人应在</w:t>
      </w:r>
      <w:r>
        <w:rPr>
          <w:rFonts w:hint="eastAsia"/>
          <w:color w:val="auto"/>
        </w:rPr>
        <w:t>投标人须知前附表</w:t>
      </w:r>
      <w:r>
        <w:rPr>
          <w:color w:val="auto"/>
        </w:rPr>
        <w:t>规定的</w:t>
      </w:r>
      <w:r>
        <w:rPr>
          <w:rFonts w:hint="eastAsia"/>
          <w:color w:val="auto"/>
        </w:rPr>
        <w:t>投标</w:t>
      </w:r>
      <w:r>
        <w:rPr>
          <w:color w:val="auto"/>
        </w:rPr>
        <w:t>文件截止时间前递交投标文件。</w:t>
      </w:r>
    </w:p>
    <w:p w14:paraId="24EB6FCE">
      <w:pPr>
        <w:spacing w:line="360" w:lineRule="auto"/>
        <w:ind w:firstLine="420" w:firstLineChars="200"/>
        <w:rPr>
          <w:color w:val="auto"/>
        </w:rPr>
      </w:pPr>
      <w:r>
        <w:rPr>
          <w:color w:val="auto"/>
        </w:rPr>
        <w:t>4.2.2 投标人递交投标文件的地点：见投标人须知前附表。</w:t>
      </w:r>
    </w:p>
    <w:p w14:paraId="772D0694">
      <w:pPr>
        <w:spacing w:line="360" w:lineRule="auto"/>
        <w:ind w:firstLine="420" w:firstLineChars="200"/>
        <w:rPr>
          <w:color w:val="auto"/>
        </w:rPr>
      </w:pPr>
      <w:r>
        <w:rPr>
          <w:color w:val="auto"/>
        </w:rPr>
        <w:t>4.2.3到投标文件递交截止时间止，收到的投标文件少于三个的，采购人将依法重新组织</w:t>
      </w:r>
      <w:r>
        <w:rPr>
          <w:rFonts w:hint="eastAsia"/>
          <w:color w:val="auto"/>
        </w:rPr>
        <w:t>重新招标</w:t>
      </w:r>
      <w:r>
        <w:rPr>
          <w:color w:val="auto"/>
        </w:rPr>
        <w:t>。</w:t>
      </w:r>
    </w:p>
    <w:bookmarkEnd w:id="135"/>
    <w:bookmarkEnd w:id="136"/>
    <w:bookmarkEnd w:id="137"/>
    <w:bookmarkEnd w:id="138"/>
    <w:bookmarkEnd w:id="139"/>
    <w:p w14:paraId="15624651">
      <w:pPr>
        <w:spacing w:line="360" w:lineRule="auto"/>
        <w:ind w:firstLine="422" w:firstLineChars="200"/>
        <w:rPr>
          <w:b/>
          <w:color w:val="auto"/>
        </w:rPr>
      </w:pPr>
      <w:r>
        <w:rPr>
          <w:b/>
          <w:color w:val="auto"/>
        </w:rPr>
        <w:t>4.3响应文件的修改与撤回</w:t>
      </w:r>
    </w:p>
    <w:p w14:paraId="7630504A">
      <w:pPr>
        <w:spacing w:line="360" w:lineRule="auto"/>
        <w:ind w:firstLine="420" w:firstLineChars="200"/>
        <w:rPr>
          <w:color w:val="auto"/>
        </w:rPr>
      </w:pPr>
      <w:r>
        <w:rPr>
          <w:color w:val="auto"/>
        </w:rPr>
        <w:t xml:space="preserve">4.3.1 </w:t>
      </w:r>
      <w:r>
        <w:rPr>
          <w:rFonts w:hint="eastAsia" w:ascii="宋体" w:hAnsi="宋体"/>
          <w:color w:val="auto"/>
          <w:szCs w:val="21"/>
        </w:rPr>
        <w:t>在投标截止时间前，投标人可以撤回在网上已递交的投标文件，修改后重新上传，无须书面形式通知采购人</w:t>
      </w:r>
      <w:r>
        <w:rPr>
          <w:color w:val="auto"/>
        </w:rPr>
        <w:t>。</w:t>
      </w:r>
    </w:p>
    <w:p w14:paraId="36850FEF">
      <w:pPr>
        <w:spacing w:line="360" w:lineRule="auto"/>
        <w:ind w:left="420" w:leftChars="200"/>
        <w:rPr>
          <w:color w:val="auto"/>
        </w:rPr>
      </w:pPr>
      <w:r>
        <w:rPr>
          <w:color w:val="auto"/>
        </w:rPr>
        <w:t xml:space="preserve">4.3.2 </w:t>
      </w:r>
      <w:r>
        <w:rPr>
          <w:rFonts w:hint="eastAsia" w:ascii="宋体" w:hAnsi="宋体"/>
          <w:color w:val="auto"/>
          <w:szCs w:val="21"/>
        </w:rPr>
        <w:t>修改的投标文件应按照本章第</w:t>
      </w:r>
      <w:r>
        <w:rPr>
          <w:rFonts w:ascii="宋体" w:hAnsi="宋体"/>
          <w:color w:val="auto"/>
          <w:szCs w:val="21"/>
        </w:rPr>
        <w:t>3.7.3</w:t>
      </w:r>
      <w:r>
        <w:rPr>
          <w:rFonts w:hint="eastAsia" w:ascii="宋体" w:hAnsi="宋体"/>
          <w:color w:val="auto"/>
          <w:szCs w:val="21"/>
        </w:rPr>
        <w:t>的要求进行重新编制、加密和递交。</w:t>
      </w:r>
    </w:p>
    <w:p w14:paraId="29C110C7">
      <w:pPr>
        <w:spacing w:line="360" w:lineRule="auto"/>
        <w:ind w:firstLine="420" w:firstLineChars="200"/>
        <w:rPr>
          <w:color w:val="auto"/>
        </w:rPr>
      </w:pPr>
      <w:r>
        <w:rPr>
          <w:color w:val="auto"/>
        </w:rPr>
        <w:t xml:space="preserve">4.3.3 </w:t>
      </w:r>
      <w:r>
        <w:rPr>
          <w:rFonts w:hint="eastAsia" w:ascii="宋体" w:hAnsi="宋体"/>
          <w:color w:val="auto"/>
          <w:szCs w:val="21"/>
        </w:rPr>
        <w:t>在投标截止时间后递交的投标文件不予撤回</w:t>
      </w:r>
      <w:r>
        <w:rPr>
          <w:color w:val="auto"/>
        </w:rPr>
        <w:t>。</w:t>
      </w:r>
    </w:p>
    <w:p w14:paraId="6EAD6AAC">
      <w:pPr>
        <w:spacing w:line="360" w:lineRule="auto"/>
        <w:ind w:firstLine="420" w:firstLineChars="200"/>
        <w:rPr>
          <w:color w:val="auto"/>
        </w:rPr>
      </w:pPr>
    </w:p>
    <w:p w14:paraId="0DE23429">
      <w:pPr>
        <w:spacing w:line="360" w:lineRule="auto"/>
        <w:jc w:val="center"/>
        <w:outlineLvl w:val="2"/>
        <w:rPr>
          <w:b/>
          <w:color w:val="auto"/>
          <w:kern w:val="0"/>
          <w:sz w:val="36"/>
          <w:szCs w:val="44"/>
        </w:rPr>
      </w:pPr>
      <w:bookmarkStart w:id="140" w:name="_Toc144974527"/>
      <w:bookmarkStart w:id="141" w:name="_Toc152042335"/>
      <w:bookmarkStart w:id="142" w:name="_Toc221356257"/>
      <w:bookmarkStart w:id="143" w:name="_Toc241763833"/>
      <w:bookmarkStart w:id="144" w:name="_Toc179632577"/>
      <w:bookmarkStart w:id="145" w:name="_Toc152045559"/>
      <w:bookmarkStart w:id="146" w:name="_Toc11172"/>
      <w:r>
        <w:rPr>
          <w:b/>
          <w:color w:val="auto"/>
          <w:kern w:val="0"/>
          <w:sz w:val="36"/>
          <w:szCs w:val="44"/>
        </w:rPr>
        <w:t xml:space="preserve">5. </w:t>
      </w:r>
      <w:bookmarkEnd w:id="140"/>
      <w:bookmarkEnd w:id="141"/>
      <w:bookmarkEnd w:id="142"/>
      <w:bookmarkEnd w:id="143"/>
      <w:bookmarkEnd w:id="144"/>
      <w:bookmarkEnd w:id="145"/>
      <w:r>
        <w:rPr>
          <w:b/>
          <w:color w:val="auto"/>
          <w:kern w:val="0"/>
          <w:sz w:val="36"/>
          <w:szCs w:val="44"/>
        </w:rPr>
        <w:t>谈判</w:t>
      </w:r>
      <w:bookmarkEnd w:id="146"/>
    </w:p>
    <w:p w14:paraId="39F7BD1F">
      <w:pPr>
        <w:spacing w:line="360" w:lineRule="auto"/>
        <w:ind w:firstLine="420" w:firstLineChars="200"/>
        <w:rPr>
          <w:bCs/>
          <w:color w:val="auto"/>
          <w:szCs w:val="21"/>
        </w:rPr>
      </w:pPr>
      <w:bookmarkStart w:id="147" w:name="_Toc144974528"/>
      <w:bookmarkStart w:id="148" w:name="_Toc152045560"/>
      <w:bookmarkStart w:id="149" w:name="_Toc179632578"/>
      <w:bookmarkStart w:id="150" w:name="_Toc221356258"/>
      <w:bookmarkStart w:id="151" w:name="_Toc152042336"/>
      <w:r>
        <w:rPr>
          <w:bCs/>
          <w:color w:val="auto"/>
        </w:rPr>
        <w:t>5.1谈判时间和地点</w:t>
      </w:r>
      <w:bookmarkEnd w:id="147"/>
      <w:bookmarkEnd w:id="148"/>
      <w:bookmarkEnd w:id="149"/>
      <w:bookmarkEnd w:id="150"/>
      <w:bookmarkEnd w:id="151"/>
      <w:bookmarkStart w:id="152" w:name="_Toc144974529"/>
      <w:bookmarkStart w:id="153" w:name="_Toc152042337"/>
      <w:bookmarkStart w:id="154" w:name="_Toc152045561"/>
      <w:bookmarkStart w:id="155" w:name="_Toc179632579"/>
      <w:bookmarkStart w:id="156" w:name="_Toc221356259"/>
      <w:r>
        <w:rPr>
          <w:rFonts w:hint="eastAsia"/>
          <w:bCs/>
          <w:color w:val="auto"/>
        </w:rPr>
        <w:t>详见供应商须知前附表。</w:t>
      </w:r>
    </w:p>
    <w:p w14:paraId="701F18E3">
      <w:pPr>
        <w:spacing w:line="360" w:lineRule="auto"/>
        <w:ind w:firstLine="420" w:firstLineChars="200"/>
        <w:rPr>
          <w:color w:val="auto"/>
        </w:rPr>
      </w:pPr>
      <w:r>
        <w:rPr>
          <w:color w:val="auto"/>
        </w:rPr>
        <w:t>5.2采购人在本章第5.1项规定的响应文件递交截止时间（</w:t>
      </w:r>
      <w:r>
        <w:rPr>
          <w:rFonts w:hint="eastAsia"/>
          <w:color w:val="auto"/>
        </w:rPr>
        <w:t>谈判</w:t>
      </w:r>
      <w:r>
        <w:rPr>
          <w:color w:val="auto"/>
        </w:rPr>
        <w:t>时间）和供应商须知前附表规定的地点</w:t>
      </w:r>
      <w:r>
        <w:rPr>
          <w:rFonts w:hint="eastAsia"/>
          <w:color w:val="auto"/>
        </w:rPr>
        <w:t>组织</w:t>
      </w:r>
      <w:r>
        <w:rPr>
          <w:color w:val="auto"/>
        </w:rPr>
        <w:t>谈判，并邀请所有供应商的法定代表人或委托代理人准时参加。</w:t>
      </w:r>
    </w:p>
    <w:p w14:paraId="740AB95E">
      <w:pPr>
        <w:spacing w:line="360" w:lineRule="auto"/>
        <w:ind w:firstLine="420" w:firstLineChars="200"/>
        <w:rPr>
          <w:b/>
          <w:color w:val="auto"/>
        </w:rPr>
      </w:pPr>
      <w:r>
        <w:rPr>
          <w:color w:val="auto"/>
        </w:rPr>
        <w:t>5.3</w:t>
      </w:r>
      <w:r>
        <w:rPr>
          <w:rFonts w:hint="eastAsia"/>
          <w:color w:val="auto"/>
        </w:rPr>
        <w:t>投标截止后投标人不足3家的，不得开标。</w:t>
      </w:r>
    </w:p>
    <w:p w14:paraId="5A76438F">
      <w:pPr>
        <w:spacing w:line="360" w:lineRule="auto"/>
        <w:ind w:firstLine="422" w:firstLineChars="200"/>
        <w:rPr>
          <w:b/>
          <w:color w:val="auto"/>
        </w:rPr>
      </w:pPr>
      <w:r>
        <w:rPr>
          <w:b/>
          <w:color w:val="auto"/>
        </w:rPr>
        <w:t>5.4谈判程序</w:t>
      </w:r>
      <w:bookmarkEnd w:id="152"/>
      <w:bookmarkEnd w:id="153"/>
      <w:bookmarkEnd w:id="154"/>
      <w:bookmarkEnd w:id="155"/>
      <w:bookmarkEnd w:id="156"/>
    </w:p>
    <w:p w14:paraId="060A9AE5">
      <w:pPr>
        <w:numPr>
          <w:ilvl w:val="0"/>
          <w:numId w:val="4"/>
        </w:numPr>
        <w:spacing w:line="360" w:lineRule="auto"/>
        <w:ind w:firstLine="420" w:firstLineChars="200"/>
        <w:rPr>
          <w:color w:val="auto"/>
        </w:rPr>
      </w:pPr>
      <w:bookmarkStart w:id="157" w:name="_Toc179632580"/>
      <w:bookmarkStart w:id="158" w:name="_Toc221356260"/>
      <w:bookmarkStart w:id="159" w:name="_Toc152042338"/>
      <w:bookmarkStart w:id="160" w:name="_Toc241763834"/>
      <w:bookmarkStart w:id="161" w:name="_Toc152045562"/>
      <w:bookmarkStart w:id="162" w:name="_Toc144974530"/>
      <w:r>
        <w:rPr>
          <w:rFonts w:hint="eastAsia"/>
          <w:color w:val="auto"/>
        </w:rPr>
        <w:t>采购代理机构将在“供应商须知前附表”规定的时间通过“政采云”平台组织线上谈判会议，所有供应商均应当准时在线参加谈判会议。供应商如不参加谈判会议的，视同认可谈判会议，事后不得对采购相关人员、谈判会议过程提出异议，同时供应商因未在线参加谈判会议而导致响应文件无法按时解密等一切后果由供应商自己承担。</w:t>
      </w:r>
    </w:p>
    <w:p w14:paraId="5FE503C7">
      <w:pPr>
        <w:numPr>
          <w:ilvl w:val="0"/>
          <w:numId w:val="4"/>
        </w:numPr>
        <w:spacing w:line="360" w:lineRule="auto"/>
        <w:ind w:firstLine="420" w:firstLineChars="200"/>
        <w:rPr>
          <w:color w:val="auto"/>
        </w:rPr>
      </w:pPr>
      <w:r>
        <w:rPr>
          <w:rFonts w:hint="eastAsia"/>
          <w:color w:val="auto"/>
        </w:rPr>
        <w:t>宣布谈判会议的与会人员，宣布参加谈判的供应商名单，解密电子响应文件。“政采云”平台按谈判会议开始时间自动提取所有响应文件。采购代理机构依托“政采云”平台向各供应商发出电子加密响应文件【开始解密】通知，由供应商按竞争性谈判文件规定的时间内自行进行响应文件解密。供应商的法定代表人或其委托代理人须携带加密时所用的CA锁准时登录到“政采云”平台电子开标大厅签到并对电子响应文件解密。开标后5分钟供应商还未进行解密的，代理机构要通知供应商。通知后，响应文件仍未按时解密，或者供应商没预留联系方式或预留联系方式无效，导致代理机构无法联系到供应商进行解密的，均视为无效投标；</w:t>
      </w:r>
    </w:p>
    <w:p w14:paraId="6FCED929">
      <w:pPr>
        <w:spacing w:line="360" w:lineRule="auto"/>
        <w:ind w:firstLine="420" w:firstLineChars="200"/>
        <w:rPr>
          <w:color w:val="auto"/>
        </w:rPr>
      </w:pPr>
      <w:r>
        <w:rPr>
          <w:rFonts w:hint="eastAsia"/>
          <w:color w:val="auto"/>
        </w:rPr>
        <w:t>（3）供应商代表认为采购人、采购代理机构相关工作人员有需要回避的情形的，应当场提出在线回避申请。采购人、采购代理机构对供应商代表提出的回避申请应当及时处理。供应商代表对谈判会议有疑义，应当在谈判会议现场提出，采购人或者采购代理机构应当当场作出答复，并制作记录。</w:t>
      </w:r>
    </w:p>
    <w:p w14:paraId="6D6DDB00">
      <w:pPr>
        <w:spacing w:line="360" w:lineRule="auto"/>
        <w:ind w:firstLine="420" w:firstLineChars="200"/>
        <w:rPr>
          <w:color w:val="auto"/>
        </w:rPr>
      </w:pPr>
      <w:r>
        <w:rPr>
          <w:rFonts w:hint="eastAsia"/>
          <w:color w:val="auto"/>
        </w:rPr>
        <w:t>（4）谈判会议结束。宣布进入谈判评审会议阶段。</w:t>
      </w:r>
    </w:p>
    <w:p w14:paraId="2A77786D">
      <w:pPr>
        <w:spacing w:line="360" w:lineRule="auto"/>
        <w:ind w:firstLine="420" w:firstLineChars="200"/>
        <w:rPr>
          <w:color w:val="auto"/>
        </w:rPr>
      </w:pPr>
      <w:r>
        <w:rPr>
          <w:rFonts w:hint="eastAsia"/>
          <w:color w:val="auto"/>
        </w:rPr>
        <w:t>（5）谈判评审会议开始，谈判小组首先对供应商的响应文件进行资格审查和符合性审查，通过资格审查和符合性审查的供应商进入谈判程序；竞争性谈判小组应分别和各位供应商进行线上谈判，并要求所有实质性响应的供应商在规定的时间内在线提交谈判承诺和最终报价。谈判小组对各供应商的响应文件进行详细评审。谈判小组按照供应商的谈判评审报价（未超预算价）由低到高推荐成交候选人，推荐成交候选人3人，并标明排列顺序。若出现谈判评审报价相同的情况，按最终报价（未超预算价）由低到高的顺序推荐，若最终报价也相同时，谈判小组对供应商响应文件的技术部分内容进行评价，择优选择。</w:t>
      </w:r>
    </w:p>
    <w:p w14:paraId="4453B6F4">
      <w:pPr>
        <w:spacing w:line="360" w:lineRule="auto"/>
        <w:ind w:firstLine="420" w:firstLineChars="200"/>
        <w:rPr>
          <w:color w:val="auto"/>
        </w:rPr>
      </w:pPr>
      <w:r>
        <w:rPr>
          <w:rFonts w:hint="eastAsia"/>
          <w:color w:val="auto"/>
        </w:rPr>
        <w:t>（6）谈判由谈判小组负责。谈判小组由采购人的代表和有关技术、经济等方面的专家组成，成员人数应当为3人以上单数。其中，技术、经济等方面的专家不得少于成员总数的三分之二。谈判应当推选组长，但采购人代表不得担任组长。采购人委派代表参加谈判会议的，要向采购代理机构出具授权函。</w:t>
      </w:r>
    </w:p>
    <w:p w14:paraId="5A9E81CF">
      <w:pPr>
        <w:spacing w:line="360" w:lineRule="auto"/>
        <w:ind w:firstLine="420" w:firstLineChars="200"/>
        <w:rPr>
          <w:color w:val="auto"/>
        </w:rPr>
      </w:pPr>
      <w:r>
        <w:rPr>
          <w:rFonts w:hint="eastAsia"/>
          <w:color w:val="auto"/>
        </w:rPr>
        <w:t>（7）谈判原则：谈判小组对各供应商的响应文件进行详细评审。谈判小组按照供应商的谈判评审报价（未超预算价）由低到高推荐成交候选人，推荐成交候选人3人，并标明排列顺序。若出现谈判评审报价相同的情况，按最终报价（未超预算价）由低到高的顺序推荐，若最终报价也相同时，谈判小组对供应商响应文件的技术部分内容进行评价，择优选择。</w:t>
      </w:r>
    </w:p>
    <w:p w14:paraId="0DE6D3DE">
      <w:pPr>
        <w:spacing w:line="360" w:lineRule="auto"/>
        <w:ind w:firstLine="420" w:firstLineChars="200"/>
        <w:rPr>
          <w:color w:val="auto"/>
        </w:rPr>
      </w:pPr>
      <w:r>
        <w:rPr>
          <w:rFonts w:hint="eastAsia"/>
          <w:color w:val="auto"/>
        </w:rPr>
        <w:t>（8）谈判程序和方法：谈判小组按照第三章“谈判程序及评审办法”规定的方法、因素、标准和程序进行谈判。</w:t>
      </w:r>
    </w:p>
    <w:p w14:paraId="6B5AB42D">
      <w:pPr>
        <w:spacing w:line="360" w:lineRule="auto"/>
        <w:ind w:firstLine="420" w:firstLineChars="200"/>
        <w:rPr>
          <w:color w:val="auto"/>
        </w:rPr>
      </w:pPr>
      <w:r>
        <w:rPr>
          <w:rFonts w:hint="eastAsia"/>
          <w:color w:val="auto"/>
        </w:rPr>
        <w:t>（9）谈判文件第三章“谈判程序及评审办法”前附表第7.1.1款和7.1.2款实质性要求为谈判文件的实质性内容，未实质性响应谈判文件的供应商的响应文件将按无效处理，该供应商不得再继续参加谈判。</w:t>
      </w:r>
    </w:p>
    <w:p w14:paraId="11BF1BF6">
      <w:pPr>
        <w:spacing w:line="360" w:lineRule="auto"/>
        <w:ind w:firstLine="420" w:firstLineChars="200"/>
        <w:rPr>
          <w:color w:val="auto"/>
        </w:rPr>
      </w:pPr>
      <w:r>
        <w:rPr>
          <w:rFonts w:hint="eastAsia"/>
          <w:color w:val="auto"/>
        </w:rPr>
        <w:t>（10）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BA05859">
      <w:pPr>
        <w:spacing w:line="360" w:lineRule="auto"/>
        <w:ind w:firstLine="420" w:firstLineChars="200"/>
        <w:rPr>
          <w:color w:val="auto"/>
        </w:rPr>
      </w:pPr>
      <w:r>
        <w:rPr>
          <w:rFonts w:hint="eastAsia"/>
          <w:color w:val="auto"/>
        </w:rPr>
        <w:t>谈判小组要求供应商澄清、说明或者更正响应文件应当在线提出。供应商的澄清、说明或者更正应当由供应商电子签章或法定代表人（或委托代理人）签字或电子签章。</w:t>
      </w:r>
    </w:p>
    <w:p w14:paraId="0CF38B1E">
      <w:pPr>
        <w:spacing w:line="360" w:lineRule="auto"/>
        <w:jc w:val="center"/>
        <w:outlineLvl w:val="2"/>
        <w:rPr>
          <w:b/>
          <w:color w:val="auto"/>
          <w:kern w:val="0"/>
          <w:sz w:val="36"/>
          <w:szCs w:val="44"/>
        </w:rPr>
      </w:pPr>
    </w:p>
    <w:p w14:paraId="016A4014">
      <w:pPr>
        <w:spacing w:line="360" w:lineRule="auto"/>
        <w:jc w:val="center"/>
        <w:outlineLvl w:val="2"/>
        <w:rPr>
          <w:b/>
          <w:color w:val="auto"/>
          <w:kern w:val="0"/>
          <w:sz w:val="36"/>
          <w:szCs w:val="44"/>
        </w:rPr>
      </w:pPr>
      <w:bookmarkStart w:id="163" w:name="_Toc7385"/>
      <w:r>
        <w:rPr>
          <w:b/>
          <w:color w:val="auto"/>
          <w:kern w:val="0"/>
          <w:sz w:val="36"/>
          <w:szCs w:val="44"/>
        </w:rPr>
        <w:t>6. 评</w:t>
      </w:r>
      <w:bookmarkEnd w:id="157"/>
      <w:bookmarkEnd w:id="158"/>
      <w:bookmarkEnd w:id="159"/>
      <w:bookmarkEnd w:id="160"/>
      <w:bookmarkEnd w:id="161"/>
      <w:bookmarkEnd w:id="162"/>
      <w:r>
        <w:rPr>
          <w:b/>
          <w:color w:val="auto"/>
          <w:kern w:val="0"/>
          <w:sz w:val="36"/>
          <w:szCs w:val="44"/>
        </w:rPr>
        <w:t>审</w:t>
      </w:r>
      <w:bookmarkEnd w:id="163"/>
    </w:p>
    <w:p w14:paraId="6428E88D">
      <w:pPr>
        <w:spacing w:line="360" w:lineRule="auto"/>
        <w:ind w:firstLine="422" w:firstLineChars="200"/>
        <w:rPr>
          <w:b/>
          <w:color w:val="auto"/>
        </w:rPr>
      </w:pPr>
      <w:bookmarkStart w:id="164" w:name="_Toc152045563"/>
      <w:bookmarkStart w:id="165" w:name="_Toc144974531"/>
      <w:bookmarkStart w:id="166" w:name="_Toc221356261"/>
      <w:bookmarkStart w:id="167" w:name="_Toc152042339"/>
      <w:bookmarkStart w:id="168" w:name="_Toc179632581"/>
      <w:r>
        <w:rPr>
          <w:b/>
          <w:color w:val="auto"/>
        </w:rPr>
        <w:t>6.1</w:t>
      </w:r>
      <w:bookmarkEnd w:id="164"/>
      <w:bookmarkEnd w:id="165"/>
      <w:bookmarkEnd w:id="166"/>
      <w:bookmarkEnd w:id="167"/>
      <w:bookmarkEnd w:id="168"/>
      <w:r>
        <w:rPr>
          <w:rFonts w:hint="eastAsia"/>
          <w:b/>
          <w:color w:val="auto"/>
        </w:rPr>
        <w:t>谈判</w:t>
      </w:r>
      <w:r>
        <w:rPr>
          <w:b/>
          <w:color w:val="auto"/>
        </w:rPr>
        <w:t>小组</w:t>
      </w:r>
    </w:p>
    <w:p w14:paraId="106E464A">
      <w:pPr>
        <w:spacing w:line="360" w:lineRule="auto"/>
        <w:ind w:firstLine="420" w:firstLineChars="200"/>
        <w:rPr>
          <w:color w:val="auto"/>
        </w:rPr>
      </w:pPr>
      <w:bookmarkStart w:id="169" w:name="_Toc152042340"/>
      <w:bookmarkStart w:id="170" w:name="_Toc144974532"/>
      <w:bookmarkStart w:id="171" w:name="_Toc152045564"/>
      <w:bookmarkStart w:id="172" w:name="_Toc179632582"/>
      <w:bookmarkStart w:id="173" w:name="_Toc221356262"/>
      <w:r>
        <w:rPr>
          <w:color w:val="auto"/>
        </w:rPr>
        <w:t>6.1.1 谈判由采购人依法组建的谈判小组负责。谈判小组由采购人熟悉相关业务的代表，以及有关技术、经济等方面的专家组成。谈判小组成员人数以及技术、经济等方面专家的确定方式见供应商须知前附表。</w:t>
      </w:r>
    </w:p>
    <w:p w14:paraId="718B3462">
      <w:pPr>
        <w:spacing w:line="360" w:lineRule="auto"/>
        <w:ind w:firstLine="420" w:firstLineChars="200"/>
        <w:rPr>
          <w:color w:val="auto"/>
        </w:rPr>
      </w:pPr>
      <w:r>
        <w:rPr>
          <w:color w:val="auto"/>
        </w:rPr>
        <w:t>6.1.2 谈判小组成员有下列情形之一的，应当回避：</w:t>
      </w:r>
    </w:p>
    <w:p w14:paraId="046599F4">
      <w:pPr>
        <w:spacing w:line="360" w:lineRule="auto"/>
        <w:ind w:firstLine="420" w:firstLineChars="200"/>
        <w:rPr>
          <w:color w:val="auto"/>
        </w:rPr>
      </w:pPr>
      <w:r>
        <w:rPr>
          <w:color w:val="auto"/>
        </w:rPr>
        <w:t>（1）供应商或供应商主要负责人的近亲属；</w:t>
      </w:r>
    </w:p>
    <w:p w14:paraId="48CFCCFA">
      <w:pPr>
        <w:spacing w:line="360" w:lineRule="auto"/>
        <w:ind w:firstLine="420" w:firstLineChars="200"/>
        <w:rPr>
          <w:color w:val="auto"/>
        </w:rPr>
      </w:pPr>
      <w:r>
        <w:rPr>
          <w:color w:val="auto"/>
        </w:rPr>
        <w:t>（2）项目主管部门或者行政监督部门的人员；</w:t>
      </w:r>
    </w:p>
    <w:p w14:paraId="66F77A85">
      <w:pPr>
        <w:spacing w:line="360" w:lineRule="auto"/>
        <w:ind w:firstLine="420" w:firstLineChars="200"/>
        <w:rPr>
          <w:color w:val="auto"/>
        </w:rPr>
      </w:pPr>
      <w:r>
        <w:rPr>
          <w:color w:val="auto"/>
        </w:rPr>
        <w:t>（3）与供应商有经济利益关系；</w:t>
      </w:r>
    </w:p>
    <w:p w14:paraId="3F242924">
      <w:pPr>
        <w:spacing w:line="360" w:lineRule="auto"/>
        <w:ind w:firstLine="420" w:firstLineChars="200"/>
        <w:rPr>
          <w:color w:val="auto"/>
        </w:rPr>
      </w:pPr>
      <w:r>
        <w:rPr>
          <w:color w:val="auto"/>
        </w:rPr>
        <w:t>（4）曾因在采购、评标以及其他与采购</w:t>
      </w:r>
      <w:r>
        <w:rPr>
          <w:rFonts w:hint="eastAsia"/>
          <w:color w:val="auto"/>
          <w:szCs w:val="21"/>
        </w:rPr>
        <w:t>谈判</w:t>
      </w:r>
      <w:r>
        <w:rPr>
          <w:color w:val="auto"/>
        </w:rPr>
        <w:t>有关活动中从事违法行为而受过行政处罚或刑事处罚的；</w:t>
      </w:r>
    </w:p>
    <w:p w14:paraId="694B2856">
      <w:pPr>
        <w:spacing w:line="360" w:lineRule="auto"/>
        <w:ind w:firstLine="420" w:firstLineChars="200"/>
        <w:rPr>
          <w:color w:val="auto"/>
        </w:rPr>
      </w:pPr>
      <w:r>
        <w:rPr>
          <w:color w:val="auto"/>
        </w:rPr>
        <w:t>（5）与供应商有其他利害关系。</w:t>
      </w:r>
    </w:p>
    <w:p w14:paraId="0357586B">
      <w:pPr>
        <w:spacing w:line="360" w:lineRule="auto"/>
        <w:ind w:firstLine="420" w:firstLineChars="200"/>
        <w:rPr>
          <w:color w:val="auto"/>
        </w:rPr>
      </w:pPr>
      <w:r>
        <w:rPr>
          <w:rFonts w:hint="eastAsia"/>
          <w:color w:val="auto"/>
        </w:rPr>
        <w:t>6.1.3</w:t>
      </w:r>
      <w:r>
        <w:rPr>
          <w:color w:val="auto"/>
        </w:rPr>
        <w:t>谈判过程中，谈判小组成员有回避事由、擅离职守或者因健康等原因不能继续评审的，采购人有权更换。被更换的谈判小组成员作出的评审结论无效，由更换后的谈判小组成员重新进行评审。</w:t>
      </w:r>
    </w:p>
    <w:p w14:paraId="48E7A6EF">
      <w:pPr>
        <w:spacing w:line="360" w:lineRule="auto"/>
        <w:ind w:firstLine="422" w:firstLineChars="200"/>
        <w:rPr>
          <w:b/>
          <w:color w:val="auto"/>
        </w:rPr>
      </w:pPr>
      <w:r>
        <w:rPr>
          <w:b/>
          <w:color w:val="auto"/>
        </w:rPr>
        <w:t>6.2谈判原则</w:t>
      </w:r>
      <w:bookmarkEnd w:id="169"/>
      <w:bookmarkEnd w:id="170"/>
      <w:bookmarkEnd w:id="171"/>
      <w:bookmarkEnd w:id="172"/>
      <w:bookmarkEnd w:id="173"/>
    </w:p>
    <w:p w14:paraId="79FC0326">
      <w:pPr>
        <w:spacing w:line="360" w:lineRule="auto"/>
        <w:ind w:firstLine="420" w:firstLineChars="200"/>
        <w:rPr>
          <w:color w:val="auto"/>
        </w:rPr>
      </w:pPr>
      <w:r>
        <w:rPr>
          <w:color w:val="auto"/>
        </w:rPr>
        <w:t>谈判活动遵循公平、公正、科学和择优的原则。</w:t>
      </w:r>
      <w:bookmarkStart w:id="174" w:name="_Toc152042341"/>
      <w:bookmarkStart w:id="175" w:name="_Toc144974533"/>
      <w:bookmarkStart w:id="176" w:name="_Toc179632583"/>
      <w:bookmarkStart w:id="177" w:name="_Toc221356263"/>
      <w:bookmarkStart w:id="178" w:name="_Toc152045565"/>
    </w:p>
    <w:p w14:paraId="5411D153">
      <w:pPr>
        <w:spacing w:line="360" w:lineRule="auto"/>
        <w:ind w:firstLine="422" w:firstLineChars="200"/>
        <w:rPr>
          <w:b/>
          <w:color w:val="auto"/>
        </w:rPr>
      </w:pPr>
      <w:r>
        <w:rPr>
          <w:b/>
          <w:color w:val="auto"/>
        </w:rPr>
        <w:t>6.3评</w:t>
      </w:r>
      <w:bookmarkEnd w:id="174"/>
      <w:bookmarkEnd w:id="175"/>
      <w:bookmarkEnd w:id="176"/>
      <w:bookmarkEnd w:id="177"/>
      <w:bookmarkEnd w:id="178"/>
      <w:r>
        <w:rPr>
          <w:b/>
          <w:color w:val="auto"/>
        </w:rPr>
        <w:t>审</w:t>
      </w:r>
    </w:p>
    <w:p w14:paraId="4A983531">
      <w:pPr>
        <w:spacing w:line="360" w:lineRule="auto"/>
        <w:ind w:firstLine="420" w:firstLineChars="200"/>
        <w:rPr>
          <w:color w:val="auto"/>
        </w:rPr>
      </w:pPr>
      <w:r>
        <w:rPr>
          <w:rFonts w:hint="eastAsia"/>
          <w:color w:val="auto"/>
        </w:rPr>
        <w:t>6.3.</w:t>
      </w:r>
      <w:r>
        <w:rPr>
          <w:color w:val="auto"/>
        </w:rPr>
        <w:t>1谈判小组按照第三章“谈判办法”规定的方法、评审因素、标准和程序对响应文件进行评审。第三章“谈判办法”没有规定的方法、评审因素和标准，不作为评审依据。</w:t>
      </w:r>
      <w:bookmarkStart w:id="179" w:name="_Toc241763835"/>
      <w:bookmarkStart w:id="180" w:name="_Toc152045566"/>
      <w:bookmarkStart w:id="181" w:name="_Toc144974534"/>
      <w:bookmarkStart w:id="182" w:name="_Toc221356264"/>
      <w:bookmarkStart w:id="183" w:name="_Toc152042342"/>
      <w:bookmarkStart w:id="184" w:name="_Toc179632584"/>
    </w:p>
    <w:p w14:paraId="4C3D830C">
      <w:pPr>
        <w:spacing w:line="360" w:lineRule="auto"/>
        <w:ind w:firstLine="420" w:firstLineChars="200"/>
        <w:rPr>
          <w:color w:val="auto"/>
        </w:rPr>
      </w:pPr>
      <w:r>
        <w:rPr>
          <w:rFonts w:hint="eastAsia"/>
          <w:color w:val="auto"/>
        </w:rPr>
        <w:t>6.3.2 评审完成后，谈判小组应当向采购人提交书面评审报告和成交候选供应商名单。谈判小组推荐成交候选供应商的人数见供应商须知前附表。</w:t>
      </w:r>
    </w:p>
    <w:p w14:paraId="6ED952ED">
      <w:pPr>
        <w:spacing w:line="360" w:lineRule="auto"/>
        <w:ind w:firstLine="420" w:firstLineChars="200"/>
        <w:rPr>
          <w:color w:val="auto"/>
        </w:rPr>
      </w:pPr>
    </w:p>
    <w:p w14:paraId="224F39B2">
      <w:pPr>
        <w:spacing w:line="360" w:lineRule="auto"/>
        <w:jc w:val="center"/>
        <w:outlineLvl w:val="2"/>
        <w:rPr>
          <w:b/>
          <w:color w:val="auto"/>
          <w:kern w:val="0"/>
          <w:sz w:val="32"/>
          <w:szCs w:val="44"/>
        </w:rPr>
      </w:pPr>
      <w:bookmarkStart w:id="185" w:name="_Toc22239"/>
      <w:r>
        <w:rPr>
          <w:b/>
          <w:color w:val="auto"/>
          <w:kern w:val="0"/>
          <w:sz w:val="32"/>
          <w:szCs w:val="44"/>
        </w:rPr>
        <w:t>7.</w:t>
      </w:r>
      <w:r>
        <w:rPr>
          <w:rFonts w:hint="eastAsia"/>
          <w:b/>
          <w:color w:val="auto"/>
          <w:kern w:val="0"/>
          <w:sz w:val="32"/>
          <w:szCs w:val="44"/>
        </w:rPr>
        <w:t xml:space="preserve"> </w:t>
      </w:r>
      <w:r>
        <w:rPr>
          <w:b/>
          <w:color w:val="auto"/>
          <w:kern w:val="0"/>
          <w:sz w:val="32"/>
          <w:szCs w:val="44"/>
        </w:rPr>
        <w:t>合同授予</w:t>
      </w:r>
      <w:bookmarkEnd w:id="179"/>
      <w:bookmarkEnd w:id="180"/>
      <w:bookmarkEnd w:id="181"/>
      <w:bookmarkEnd w:id="182"/>
      <w:bookmarkEnd w:id="183"/>
      <w:bookmarkEnd w:id="184"/>
      <w:bookmarkEnd w:id="185"/>
    </w:p>
    <w:p w14:paraId="54653535">
      <w:pPr>
        <w:spacing w:line="360" w:lineRule="auto"/>
        <w:ind w:firstLine="422" w:firstLineChars="200"/>
        <w:rPr>
          <w:b/>
          <w:color w:val="auto"/>
        </w:rPr>
      </w:pPr>
      <w:r>
        <w:rPr>
          <w:rFonts w:hint="eastAsia"/>
          <w:b/>
          <w:color w:val="auto"/>
        </w:rPr>
        <w:t>7.1定标</w:t>
      </w:r>
    </w:p>
    <w:p w14:paraId="49B72066">
      <w:pPr>
        <w:spacing w:line="360" w:lineRule="auto"/>
        <w:ind w:firstLine="420" w:firstLineChars="200"/>
        <w:rPr>
          <w:rFonts w:hint="eastAsia" w:ascii="ˎ̥" w:hAnsi="ˎ̥"/>
          <w:color w:val="auto"/>
        </w:rPr>
      </w:pPr>
      <w:r>
        <w:rPr>
          <w:rFonts w:ascii="ˎ̥" w:hAnsi="ˎ̥"/>
          <w:color w:val="auto"/>
        </w:rPr>
        <w:t>采购代理机构应当在评审结束后2个工作日内将评审报告送</w:t>
      </w:r>
      <w:r>
        <w:rPr>
          <w:rFonts w:hint="eastAsia" w:ascii="ˎ̥" w:hAnsi="ˎ̥"/>
          <w:color w:val="auto"/>
        </w:rPr>
        <w:t>采购人</w:t>
      </w:r>
      <w:r>
        <w:rPr>
          <w:rFonts w:ascii="ˎ̥" w:hAnsi="ˎ̥"/>
          <w:color w:val="auto"/>
        </w:rPr>
        <w:t>确认。</w:t>
      </w:r>
    </w:p>
    <w:p w14:paraId="1162C359">
      <w:pPr>
        <w:spacing w:line="360" w:lineRule="auto"/>
        <w:ind w:firstLine="420" w:firstLineChars="200"/>
        <w:rPr>
          <w:rFonts w:hint="eastAsia" w:ascii="ˎ̥" w:hAnsi="ˎ̥"/>
          <w:color w:val="auto"/>
        </w:rPr>
      </w:pPr>
      <w:r>
        <w:rPr>
          <w:rFonts w:hint="eastAsia"/>
          <w:color w:val="auto"/>
        </w:rPr>
        <w:t>按照供应商须知前附表的规定，采购人或采购人授权的谈判小组依法确定成交供应商。</w:t>
      </w:r>
    </w:p>
    <w:p w14:paraId="14ECDC17">
      <w:pPr>
        <w:spacing w:line="360" w:lineRule="auto"/>
        <w:ind w:firstLine="422" w:firstLineChars="200"/>
        <w:rPr>
          <w:b/>
          <w:color w:val="auto"/>
        </w:rPr>
      </w:pPr>
      <w:r>
        <w:rPr>
          <w:rFonts w:hint="eastAsia"/>
          <w:b/>
          <w:color w:val="auto"/>
        </w:rPr>
        <w:t>7.2成交公告</w:t>
      </w:r>
    </w:p>
    <w:p w14:paraId="5DC41F04">
      <w:pPr>
        <w:spacing w:line="360" w:lineRule="auto"/>
        <w:ind w:firstLine="420" w:firstLineChars="200"/>
        <w:rPr>
          <w:color w:val="auto"/>
        </w:rPr>
      </w:pPr>
      <w:r>
        <w:rPr>
          <w:rFonts w:hint="eastAsia"/>
          <w:color w:val="auto"/>
        </w:rPr>
        <w:t>采购人或者采购代理机构应当自成交供应商确定之日起2个工作日内，按照供应商须知前附表规定的媒介和期限公告成交结果，采购文件应当随成交结果同时公告。</w:t>
      </w:r>
    </w:p>
    <w:p w14:paraId="47E6D34A">
      <w:pPr>
        <w:spacing w:line="360" w:lineRule="auto"/>
        <w:ind w:firstLine="420" w:firstLineChars="200"/>
        <w:rPr>
          <w:color w:val="auto"/>
        </w:rPr>
      </w:pPr>
      <w:r>
        <w:rPr>
          <w:rFonts w:hint="eastAsia"/>
          <w:color w:val="auto"/>
        </w:rPr>
        <w:t>成交公告期限详见供应商须知前附表。</w:t>
      </w:r>
    </w:p>
    <w:p w14:paraId="7D449ADE">
      <w:pPr>
        <w:spacing w:line="360" w:lineRule="auto"/>
        <w:ind w:firstLine="422" w:firstLineChars="200"/>
        <w:rPr>
          <w:b/>
          <w:color w:val="auto"/>
        </w:rPr>
      </w:pPr>
      <w:r>
        <w:rPr>
          <w:rFonts w:hint="eastAsia"/>
          <w:b/>
          <w:color w:val="auto"/>
        </w:rPr>
        <w:t>7.3成交通知</w:t>
      </w:r>
    </w:p>
    <w:p w14:paraId="4BF62072">
      <w:pPr>
        <w:spacing w:line="360" w:lineRule="auto"/>
        <w:ind w:firstLine="420" w:firstLineChars="200"/>
        <w:rPr>
          <w:color w:val="auto"/>
        </w:rPr>
      </w:pPr>
      <w:r>
        <w:rPr>
          <w:rFonts w:hint="eastAsia"/>
          <w:color w:val="auto"/>
        </w:rPr>
        <w:t>在本章第 3.3 款规定的响应文件有效期内，</w:t>
      </w:r>
      <w:r>
        <w:rPr>
          <w:color w:val="auto"/>
        </w:rPr>
        <w:t>采购人或者采购代理机构</w:t>
      </w:r>
      <w:r>
        <w:rPr>
          <w:rFonts w:hint="eastAsia"/>
          <w:color w:val="auto"/>
        </w:rPr>
        <w:t>以书面形式向成交供应商发出成交通知书。</w:t>
      </w:r>
    </w:p>
    <w:p w14:paraId="3C47A189">
      <w:pPr>
        <w:spacing w:line="360" w:lineRule="auto"/>
        <w:ind w:firstLine="422" w:firstLineChars="200"/>
        <w:rPr>
          <w:b/>
          <w:color w:val="auto"/>
        </w:rPr>
      </w:pPr>
      <w:r>
        <w:rPr>
          <w:rFonts w:hint="eastAsia"/>
          <w:b/>
          <w:color w:val="auto"/>
        </w:rPr>
        <w:t>7.4履约保证金</w:t>
      </w:r>
    </w:p>
    <w:p w14:paraId="230CE2BB">
      <w:pPr>
        <w:spacing w:line="360" w:lineRule="auto"/>
        <w:ind w:firstLine="420" w:firstLineChars="200"/>
        <w:rPr>
          <w:color w:val="auto"/>
        </w:rPr>
      </w:pPr>
      <w:r>
        <w:rPr>
          <w:rFonts w:hint="eastAsia"/>
          <w:color w:val="auto"/>
        </w:rPr>
        <w:t>7.4.1在签订合同前，成交供应商应按供应商须知前附表规定的形式、金额和谈判文件第四章“合同条款及格式”规定的或者事先经过采购人书面认可的履约保证金格式向采购人提交履约保证金。联合体成交的，其履约保证金以联合体各方或者联合体中牵头人的名义提交。</w:t>
      </w:r>
    </w:p>
    <w:p w14:paraId="4062F13B">
      <w:pPr>
        <w:spacing w:line="360" w:lineRule="auto"/>
        <w:ind w:firstLine="420" w:firstLineChars="200"/>
        <w:rPr>
          <w:color w:val="auto"/>
        </w:rPr>
      </w:pPr>
      <w:r>
        <w:rPr>
          <w:rFonts w:hint="eastAsia"/>
          <w:color w:val="auto"/>
        </w:rPr>
        <w:t>7.4.2成交供应商不能按本章第 7.4.1 项要求提交履约保证金的，视为放弃成交，其谈判保证金不予退还，给采购人造成的损失超过谈判保证金数额的，成交供应商还应当对超过部分予以赔偿。</w:t>
      </w:r>
    </w:p>
    <w:p w14:paraId="2ECD4159">
      <w:pPr>
        <w:spacing w:line="360" w:lineRule="auto"/>
        <w:ind w:firstLine="422" w:firstLineChars="200"/>
        <w:rPr>
          <w:b/>
          <w:color w:val="auto"/>
        </w:rPr>
      </w:pPr>
      <w:r>
        <w:rPr>
          <w:rFonts w:hint="eastAsia"/>
          <w:b/>
          <w:color w:val="auto"/>
        </w:rPr>
        <w:t>7.5签订合同</w:t>
      </w:r>
    </w:p>
    <w:p w14:paraId="1350AFCD">
      <w:pPr>
        <w:spacing w:line="360" w:lineRule="auto"/>
        <w:ind w:firstLine="420" w:firstLineChars="200"/>
        <w:rPr>
          <w:color w:val="auto"/>
        </w:rPr>
      </w:pPr>
      <w:r>
        <w:rPr>
          <w:rFonts w:hint="eastAsia"/>
          <w:color w:val="auto"/>
        </w:rPr>
        <w:t>7.5.1采购人和成交供应商应当在成交通知书发出之日起30日内，根据谈判文件和成交供应商的响应文件订立书面合同。成交供应商拒绝签订政府采购合同的，采购人可以按照《政府采购非招标采购方式管理办法》规定的原则确定其他供应商作为成交供应商并签订政府采购合同，也可以重新开展采购活动。拒绝签订政府采购合同的成交供应商不得参加对该项目重新开展的采购活动。</w:t>
      </w:r>
    </w:p>
    <w:p w14:paraId="1975155B">
      <w:pPr>
        <w:spacing w:line="360" w:lineRule="auto"/>
        <w:ind w:firstLine="420" w:firstLineChars="200"/>
        <w:rPr>
          <w:color w:val="auto"/>
        </w:rPr>
      </w:pPr>
      <w:r>
        <w:rPr>
          <w:rFonts w:hint="eastAsia"/>
          <w:color w:val="auto"/>
        </w:rPr>
        <w:t>7.5.2发出成交通知书后，采购人无正当理由拒签合同，或者在签订合同时向成交供应商提出附加条件的，采购人向成交供应商退还谈判保证金；给成交供应商造成损失的，还应当赔偿损失。</w:t>
      </w:r>
    </w:p>
    <w:p w14:paraId="3BC0FB48">
      <w:pPr>
        <w:spacing w:line="360" w:lineRule="auto"/>
        <w:ind w:firstLine="420" w:firstLineChars="200"/>
        <w:rPr>
          <w:color w:val="auto"/>
        </w:rPr>
      </w:pPr>
      <w:r>
        <w:rPr>
          <w:color w:val="auto"/>
        </w:rPr>
        <w:t>7.5.3联合体成交的，联合体各方应当共同与采购人签订合同，就成交项目向采购人承担连带责任。</w:t>
      </w:r>
    </w:p>
    <w:p w14:paraId="7574CDF9">
      <w:pPr>
        <w:spacing w:line="360" w:lineRule="auto"/>
        <w:ind w:firstLine="400" w:firstLineChars="200"/>
        <w:rPr>
          <w:color w:val="auto"/>
          <w:sz w:val="20"/>
        </w:rPr>
      </w:pPr>
    </w:p>
    <w:p w14:paraId="1D0EBAFA">
      <w:pPr>
        <w:spacing w:line="360" w:lineRule="auto"/>
        <w:jc w:val="center"/>
        <w:outlineLvl w:val="2"/>
        <w:rPr>
          <w:b/>
          <w:color w:val="auto"/>
          <w:kern w:val="0"/>
          <w:sz w:val="32"/>
          <w:szCs w:val="44"/>
        </w:rPr>
      </w:pPr>
      <w:bookmarkStart w:id="186" w:name="_Toc144974542"/>
      <w:bookmarkStart w:id="187" w:name="_Toc152045574"/>
      <w:bookmarkStart w:id="188" w:name="_Toc29516"/>
      <w:bookmarkStart w:id="189" w:name="_Toc152042350"/>
      <w:bookmarkStart w:id="190" w:name="_Toc221356272"/>
      <w:bookmarkStart w:id="191" w:name="_Toc241763837"/>
      <w:bookmarkStart w:id="192" w:name="_Toc179632592"/>
      <w:r>
        <w:rPr>
          <w:b/>
          <w:color w:val="auto"/>
          <w:kern w:val="0"/>
          <w:sz w:val="32"/>
          <w:szCs w:val="44"/>
        </w:rPr>
        <w:t>8. 纪律和监督</w:t>
      </w:r>
      <w:bookmarkEnd w:id="186"/>
      <w:bookmarkEnd w:id="187"/>
      <w:bookmarkEnd w:id="188"/>
      <w:bookmarkEnd w:id="189"/>
      <w:bookmarkEnd w:id="190"/>
      <w:bookmarkEnd w:id="191"/>
      <w:bookmarkEnd w:id="192"/>
    </w:p>
    <w:p w14:paraId="5927C37D">
      <w:pPr>
        <w:spacing w:line="360" w:lineRule="auto"/>
        <w:ind w:firstLine="422" w:firstLineChars="200"/>
        <w:rPr>
          <w:b/>
          <w:color w:val="auto"/>
        </w:rPr>
      </w:pPr>
      <w:bookmarkStart w:id="193" w:name="_Toc144974543"/>
      <w:bookmarkStart w:id="194" w:name="_Toc179632593"/>
      <w:bookmarkStart w:id="195" w:name="_Toc152045575"/>
      <w:bookmarkStart w:id="196" w:name="_Toc152042351"/>
      <w:bookmarkStart w:id="197" w:name="_Toc221356273"/>
      <w:r>
        <w:rPr>
          <w:b/>
          <w:color w:val="auto"/>
        </w:rPr>
        <w:t>8.1 对采购人的纪律要求</w:t>
      </w:r>
      <w:bookmarkEnd w:id="193"/>
      <w:bookmarkEnd w:id="194"/>
      <w:bookmarkEnd w:id="195"/>
      <w:bookmarkEnd w:id="196"/>
      <w:bookmarkEnd w:id="197"/>
    </w:p>
    <w:p w14:paraId="658374DD">
      <w:pPr>
        <w:spacing w:line="360" w:lineRule="auto"/>
        <w:ind w:firstLine="420" w:firstLineChars="200"/>
        <w:rPr>
          <w:color w:val="auto"/>
        </w:rPr>
      </w:pPr>
      <w:r>
        <w:rPr>
          <w:color w:val="auto"/>
        </w:rPr>
        <w:t>采购人不得</w:t>
      </w:r>
      <w:r>
        <w:rPr>
          <w:rFonts w:hint="eastAsia"/>
          <w:color w:val="auto"/>
          <w:lang w:eastAsia="zh-CN"/>
        </w:rPr>
        <w:t>泄露</w:t>
      </w:r>
      <w:r>
        <w:rPr>
          <w:color w:val="auto"/>
        </w:rPr>
        <w:t>采购</w:t>
      </w:r>
      <w:r>
        <w:rPr>
          <w:rFonts w:hint="eastAsia"/>
          <w:color w:val="auto"/>
          <w:szCs w:val="21"/>
        </w:rPr>
        <w:t>谈判</w:t>
      </w:r>
      <w:r>
        <w:rPr>
          <w:color w:val="auto"/>
        </w:rPr>
        <w:t>活动中应当保密的情况和资料，不得与供应商串通损害国家利益、社会公共利益或者他人合法权益。</w:t>
      </w:r>
    </w:p>
    <w:p w14:paraId="7F27360C">
      <w:pPr>
        <w:spacing w:line="360" w:lineRule="auto"/>
        <w:ind w:firstLine="422" w:firstLineChars="200"/>
        <w:rPr>
          <w:b/>
          <w:color w:val="auto"/>
        </w:rPr>
      </w:pPr>
      <w:bookmarkStart w:id="198" w:name="_Toc152042352"/>
      <w:bookmarkStart w:id="199" w:name="_Toc221356274"/>
      <w:bookmarkStart w:id="200" w:name="_Toc144974544"/>
      <w:bookmarkStart w:id="201" w:name="_Toc179632594"/>
      <w:bookmarkStart w:id="202" w:name="_Toc152045576"/>
      <w:r>
        <w:rPr>
          <w:b/>
          <w:color w:val="auto"/>
        </w:rPr>
        <w:t>8.2 对供应商的纪律要求</w:t>
      </w:r>
      <w:bookmarkEnd w:id="198"/>
      <w:bookmarkEnd w:id="199"/>
      <w:bookmarkEnd w:id="200"/>
      <w:bookmarkEnd w:id="201"/>
      <w:bookmarkEnd w:id="202"/>
    </w:p>
    <w:p w14:paraId="1E515C8D">
      <w:pPr>
        <w:spacing w:line="360" w:lineRule="auto"/>
        <w:ind w:firstLine="420" w:firstLineChars="200"/>
        <w:rPr>
          <w:color w:val="auto"/>
        </w:rPr>
      </w:pPr>
      <w:r>
        <w:rPr>
          <w:color w:val="auto"/>
        </w:rPr>
        <w:t>供应商不得相互串通投标或者与采购人串通投标，不得向采购人或者谈判小组成员行贿谋取</w:t>
      </w:r>
      <w:r>
        <w:rPr>
          <w:rFonts w:hint="eastAsia"/>
          <w:color w:val="auto"/>
          <w:szCs w:val="21"/>
        </w:rPr>
        <w:t>成交</w:t>
      </w:r>
      <w:r>
        <w:rPr>
          <w:color w:val="auto"/>
        </w:rPr>
        <w:t>，不得以他人名义投标或者以其他方式弄虚作假骗取</w:t>
      </w:r>
      <w:r>
        <w:rPr>
          <w:rFonts w:hint="eastAsia"/>
          <w:color w:val="auto"/>
          <w:szCs w:val="21"/>
        </w:rPr>
        <w:t>成交</w:t>
      </w:r>
      <w:r>
        <w:rPr>
          <w:color w:val="auto"/>
        </w:rPr>
        <w:t>；供应商不得以任何方式干扰、影响评标工作。</w:t>
      </w:r>
    </w:p>
    <w:p w14:paraId="3258602B">
      <w:pPr>
        <w:spacing w:line="360" w:lineRule="auto"/>
        <w:ind w:firstLine="422" w:firstLineChars="200"/>
        <w:rPr>
          <w:b/>
          <w:color w:val="auto"/>
        </w:rPr>
      </w:pPr>
      <w:bookmarkStart w:id="203" w:name="_Toc144974545"/>
      <w:bookmarkStart w:id="204" w:name="_Toc152045577"/>
      <w:bookmarkStart w:id="205" w:name="_Toc221356275"/>
      <w:bookmarkStart w:id="206" w:name="_Toc179632595"/>
      <w:bookmarkStart w:id="207" w:name="_Toc152042353"/>
      <w:r>
        <w:rPr>
          <w:b/>
          <w:color w:val="auto"/>
        </w:rPr>
        <w:t>8.3 对谈判小组成员的纪律要求</w:t>
      </w:r>
      <w:bookmarkEnd w:id="203"/>
      <w:bookmarkEnd w:id="204"/>
      <w:bookmarkEnd w:id="205"/>
      <w:bookmarkEnd w:id="206"/>
      <w:bookmarkEnd w:id="207"/>
    </w:p>
    <w:p w14:paraId="036E2E63">
      <w:pPr>
        <w:spacing w:line="360" w:lineRule="auto"/>
        <w:ind w:firstLine="420" w:firstLineChars="200"/>
        <w:rPr>
          <w:color w:val="auto"/>
        </w:rPr>
      </w:pPr>
      <w:bookmarkStart w:id="208" w:name="_Toc152045578"/>
      <w:bookmarkStart w:id="209" w:name="_Toc179632596"/>
      <w:bookmarkStart w:id="210" w:name="_Toc152042354"/>
      <w:bookmarkStart w:id="211" w:name="_Toc221356276"/>
      <w:bookmarkStart w:id="212" w:name="_Toc144974546"/>
      <w:r>
        <w:rPr>
          <w:color w:val="auto"/>
        </w:rPr>
        <w:t>谈判小组成员不得收受他人的财物或者其他好处，不得向他人</w:t>
      </w:r>
      <w:r>
        <w:rPr>
          <w:rFonts w:hint="eastAsia"/>
          <w:color w:val="auto"/>
          <w:lang w:eastAsia="zh-CN"/>
        </w:rPr>
        <w:t>透露</w:t>
      </w:r>
      <w:r>
        <w:rPr>
          <w:color w:val="auto"/>
        </w:rPr>
        <w:t>对响应文件的评审和比较、</w:t>
      </w:r>
      <w:r>
        <w:rPr>
          <w:rFonts w:hint="eastAsia"/>
          <w:color w:val="auto"/>
        </w:rPr>
        <w:t>成交</w:t>
      </w:r>
      <w:r>
        <w:rPr>
          <w:color w:val="auto"/>
        </w:rPr>
        <w:t>候选人的推荐情况以及评标有关的其他情况。在</w:t>
      </w:r>
      <w:r>
        <w:rPr>
          <w:rFonts w:hint="eastAsia"/>
          <w:color w:val="auto"/>
        </w:rPr>
        <w:t>谈判</w:t>
      </w:r>
      <w:r>
        <w:rPr>
          <w:color w:val="auto"/>
        </w:rPr>
        <w:t>活动中，谈判小组成员应当客观、公正地履行职责，遵守职业道德，不得擅离职守，影响评审程序正常进行，不得使用第三章“谈判办法”没有规定的评审因素和标准进行评审。</w:t>
      </w:r>
    </w:p>
    <w:p w14:paraId="34F63A7F">
      <w:pPr>
        <w:spacing w:line="360" w:lineRule="auto"/>
        <w:ind w:firstLine="422" w:firstLineChars="200"/>
        <w:rPr>
          <w:b/>
          <w:color w:val="auto"/>
        </w:rPr>
      </w:pPr>
      <w:r>
        <w:rPr>
          <w:b/>
          <w:color w:val="auto"/>
        </w:rPr>
        <w:t>8.4 对与谈判活动有关的工作人员的纪律要求</w:t>
      </w:r>
      <w:bookmarkEnd w:id="208"/>
      <w:bookmarkEnd w:id="209"/>
      <w:bookmarkEnd w:id="210"/>
      <w:bookmarkEnd w:id="211"/>
    </w:p>
    <w:p w14:paraId="652EEC42">
      <w:pPr>
        <w:spacing w:line="360" w:lineRule="auto"/>
        <w:ind w:firstLine="420" w:firstLineChars="200"/>
        <w:rPr>
          <w:color w:val="auto"/>
        </w:rPr>
      </w:pPr>
      <w:bookmarkStart w:id="213" w:name="_Toc152042355"/>
      <w:r>
        <w:rPr>
          <w:color w:val="auto"/>
        </w:rPr>
        <w:t>与谈判活动有关的工作人员不得收受他人的财物或者其他好处，不得向他人</w:t>
      </w:r>
      <w:r>
        <w:rPr>
          <w:rFonts w:hint="eastAsia"/>
          <w:color w:val="auto"/>
          <w:lang w:eastAsia="zh-CN"/>
        </w:rPr>
        <w:t>透露</w:t>
      </w:r>
      <w:r>
        <w:rPr>
          <w:color w:val="auto"/>
        </w:rPr>
        <w:t>对响应文件的评审和比较、</w:t>
      </w:r>
      <w:r>
        <w:rPr>
          <w:rFonts w:hint="eastAsia"/>
          <w:color w:val="auto"/>
        </w:rPr>
        <w:t>成交</w:t>
      </w:r>
      <w:r>
        <w:rPr>
          <w:color w:val="auto"/>
        </w:rPr>
        <w:t>候选人的推荐情况以及评标有关的其他情况。在谈判活动中，与谈判活动有关的工作人员不得擅离职守，影响评审程序正常进行。</w:t>
      </w:r>
      <w:bookmarkEnd w:id="213"/>
    </w:p>
    <w:bookmarkEnd w:id="212"/>
    <w:p w14:paraId="542A7CD0">
      <w:pPr>
        <w:rPr>
          <w:color w:val="auto"/>
        </w:rPr>
      </w:pPr>
    </w:p>
    <w:p w14:paraId="7D03136C">
      <w:pPr>
        <w:spacing w:line="360" w:lineRule="auto"/>
        <w:jc w:val="center"/>
        <w:outlineLvl w:val="2"/>
        <w:rPr>
          <w:b/>
          <w:color w:val="auto"/>
          <w:kern w:val="0"/>
          <w:sz w:val="32"/>
          <w:szCs w:val="44"/>
        </w:rPr>
      </w:pPr>
      <w:bookmarkStart w:id="214" w:name="_Toc152045580"/>
      <w:bookmarkStart w:id="215" w:name="_Toc179632598"/>
      <w:bookmarkStart w:id="216" w:name="_Toc144974547"/>
      <w:bookmarkStart w:id="217" w:name="_Toc221356278"/>
      <w:bookmarkStart w:id="218" w:name="_Toc152042357"/>
      <w:bookmarkStart w:id="219" w:name="_Toc241763838"/>
      <w:bookmarkStart w:id="220" w:name="_Toc9274"/>
      <w:r>
        <w:rPr>
          <w:b/>
          <w:color w:val="auto"/>
          <w:kern w:val="0"/>
          <w:sz w:val="32"/>
          <w:szCs w:val="44"/>
        </w:rPr>
        <w:t xml:space="preserve">9. </w:t>
      </w:r>
      <w:bookmarkEnd w:id="214"/>
      <w:bookmarkEnd w:id="215"/>
      <w:bookmarkEnd w:id="216"/>
      <w:bookmarkEnd w:id="217"/>
      <w:bookmarkEnd w:id="218"/>
      <w:bookmarkEnd w:id="219"/>
      <w:r>
        <w:rPr>
          <w:rFonts w:hint="eastAsia"/>
          <w:b/>
          <w:color w:val="auto"/>
          <w:kern w:val="0"/>
          <w:sz w:val="32"/>
          <w:szCs w:val="44"/>
        </w:rPr>
        <w:t>质疑接收、回复</w:t>
      </w:r>
      <w:bookmarkEnd w:id="220"/>
    </w:p>
    <w:p w14:paraId="7A0D0A98">
      <w:pPr>
        <w:spacing w:line="360" w:lineRule="auto"/>
        <w:ind w:firstLine="422" w:firstLineChars="200"/>
        <w:rPr>
          <w:b/>
          <w:color w:val="auto"/>
        </w:rPr>
      </w:pPr>
      <w:r>
        <w:rPr>
          <w:b/>
          <w:color w:val="auto"/>
        </w:rPr>
        <w:t>9.1 质疑接收</w:t>
      </w:r>
    </w:p>
    <w:p w14:paraId="615C6CDE">
      <w:pPr>
        <w:spacing w:line="360" w:lineRule="auto"/>
        <w:ind w:firstLine="420" w:firstLineChars="200"/>
        <w:rPr>
          <w:color w:val="auto"/>
        </w:rPr>
      </w:pPr>
      <w:r>
        <w:rPr>
          <w:rFonts w:hint="eastAsia"/>
          <w:color w:val="auto"/>
        </w:rPr>
        <w:t>9.1.1 供应商认为谈判文件、谈判过程和成交结果使自己的权益受到损害的，可以根据《中华人民共和国政府采购法》、《中华人民共和国政府采购法实施条例》和《政府采购质疑和投诉办法》的有关规定，依法向采购人或其委托的采购代理机构提出质疑。</w:t>
      </w:r>
    </w:p>
    <w:p w14:paraId="31C96009">
      <w:pPr>
        <w:spacing w:line="360" w:lineRule="auto"/>
        <w:ind w:firstLine="420" w:firstLineChars="200"/>
        <w:rPr>
          <w:color w:val="auto"/>
        </w:rPr>
      </w:pPr>
      <w:r>
        <w:rPr>
          <w:rFonts w:hint="eastAsia"/>
          <w:color w:val="auto"/>
        </w:rPr>
        <w:t xml:space="preserve">9.1.2 质疑供应商应按照财政部制定的《政府采购质疑函范本》格式和《政府采购质疑和投诉办法》的要求，在法定质疑期内书面形式提出质疑，针对同一采购程序环节的质疑应一次性提出。超出法定质疑期的、重复提出的、分次提出的或内容、形式不符合《政府采购质疑和投诉办法》的，质疑供应商将依法承担不利后果。 </w:t>
      </w:r>
    </w:p>
    <w:p w14:paraId="1575F584">
      <w:pPr>
        <w:spacing w:line="360" w:lineRule="auto"/>
        <w:ind w:firstLine="420" w:firstLineChars="200"/>
        <w:rPr>
          <w:color w:val="auto"/>
        </w:rPr>
      </w:pPr>
      <w:r>
        <w:rPr>
          <w:rFonts w:hint="eastAsia"/>
          <w:color w:val="auto"/>
        </w:rPr>
        <w:t xml:space="preserve">9.1.3 采购代理机构接收质疑函的方式、联系部门、联系电话和通讯地址。 接收质疑函的方式：质疑函采取现场书面递交形式。由法定代表人持本人身份证原件或授权委托代理人持本人身份证原件及授权委托书原件，同时携带质疑函（原件）和加盖单位公章的相关依据和证明材料，送至采购代理机构。 </w:t>
      </w:r>
    </w:p>
    <w:p w14:paraId="69587DED">
      <w:pPr>
        <w:spacing w:line="360" w:lineRule="auto"/>
        <w:ind w:firstLine="420" w:firstLineChars="200"/>
        <w:rPr>
          <w:color w:val="auto"/>
        </w:rPr>
      </w:pPr>
      <w:r>
        <w:rPr>
          <w:rFonts w:hint="eastAsia"/>
          <w:color w:val="auto"/>
        </w:rPr>
        <w:t>联系部门：</w:t>
      </w:r>
      <w:r>
        <w:rPr>
          <w:rFonts w:hint="eastAsia"/>
          <w:color w:val="auto"/>
          <w:lang w:eastAsia="zh-CN"/>
        </w:rPr>
        <w:t>西山区政府采购中心</w:t>
      </w:r>
      <w:r>
        <w:rPr>
          <w:rFonts w:hint="eastAsia"/>
          <w:color w:val="auto"/>
        </w:rPr>
        <w:t>。</w:t>
      </w:r>
    </w:p>
    <w:p w14:paraId="02E3D70D">
      <w:pPr>
        <w:spacing w:line="360" w:lineRule="auto"/>
        <w:ind w:firstLine="420" w:firstLineChars="200"/>
        <w:rPr>
          <w:color w:val="auto"/>
        </w:rPr>
      </w:pPr>
      <w:r>
        <w:rPr>
          <w:rFonts w:hint="eastAsia"/>
          <w:color w:val="auto"/>
        </w:rPr>
        <w:t>联系电话：0871-68307301</w:t>
      </w:r>
    </w:p>
    <w:p w14:paraId="79BDBB0D">
      <w:pPr>
        <w:spacing w:line="360" w:lineRule="auto"/>
        <w:ind w:firstLine="420" w:firstLineChars="200"/>
        <w:rPr>
          <w:rFonts w:hint="eastAsia" w:eastAsia="宋体"/>
          <w:color w:val="auto"/>
          <w:lang w:eastAsia="zh-CN"/>
        </w:rPr>
      </w:pPr>
      <w:r>
        <w:rPr>
          <w:rFonts w:hint="eastAsia"/>
          <w:color w:val="auto"/>
        </w:rPr>
        <w:t>通讯地址：昆明市</w:t>
      </w:r>
      <w:r>
        <w:rPr>
          <w:rFonts w:hint="eastAsia"/>
          <w:color w:val="auto"/>
          <w:lang w:eastAsia="zh-CN"/>
        </w:rPr>
        <w:t>五华区</w:t>
      </w:r>
      <w:r>
        <w:rPr>
          <w:rFonts w:hint="eastAsia"/>
          <w:color w:val="auto"/>
        </w:rPr>
        <w:t>科园路99号鼎易天城9栋B座</w:t>
      </w:r>
      <w:r>
        <w:rPr>
          <w:rFonts w:hint="eastAsia"/>
          <w:color w:val="auto"/>
          <w:lang w:val="en-US" w:eastAsia="zh-CN"/>
        </w:rPr>
        <w:t>11</w:t>
      </w:r>
      <w:r>
        <w:rPr>
          <w:rFonts w:hint="eastAsia"/>
          <w:color w:val="auto"/>
        </w:rPr>
        <w:t>楼</w:t>
      </w:r>
    </w:p>
    <w:p w14:paraId="7EBDDDCE">
      <w:pPr>
        <w:spacing w:line="360" w:lineRule="auto"/>
        <w:ind w:firstLine="420" w:firstLineChars="200"/>
        <w:rPr>
          <w:color w:val="auto"/>
        </w:rPr>
      </w:pPr>
      <w:r>
        <w:rPr>
          <w:rFonts w:hint="eastAsia"/>
          <w:color w:val="auto"/>
        </w:rPr>
        <w:t xml:space="preserve">9.1.4不按上述要求提出的，采购人和采购代理机构将不予受理。 </w:t>
      </w:r>
    </w:p>
    <w:p w14:paraId="54F310F6">
      <w:pPr>
        <w:spacing w:line="360" w:lineRule="auto"/>
        <w:ind w:firstLine="422" w:firstLineChars="200"/>
        <w:rPr>
          <w:b/>
          <w:color w:val="auto"/>
        </w:rPr>
      </w:pPr>
      <w:r>
        <w:rPr>
          <w:rFonts w:hint="eastAsia"/>
          <w:b/>
          <w:color w:val="auto"/>
        </w:rPr>
        <w:t xml:space="preserve">9.2 质疑回复 </w:t>
      </w:r>
    </w:p>
    <w:p w14:paraId="0BDE8137">
      <w:pPr>
        <w:spacing w:line="360" w:lineRule="auto"/>
        <w:ind w:firstLine="420" w:firstLineChars="200"/>
        <w:rPr>
          <w:color w:val="auto"/>
        </w:rPr>
      </w:pPr>
      <w:r>
        <w:rPr>
          <w:rFonts w:hint="eastAsia"/>
          <w:color w:val="auto"/>
        </w:rPr>
        <w:t>采购人或者采购代理机构应在收到质疑函后7个工作日内</w:t>
      </w:r>
      <w:r>
        <w:rPr>
          <w:rFonts w:hint="eastAsia"/>
          <w:color w:val="auto"/>
          <w:lang w:eastAsia="zh-CN"/>
        </w:rPr>
        <w:t>作出</w:t>
      </w:r>
      <w:r>
        <w:rPr>
          <w:rFonts w:hint="eastAsia"/>
          <w:color w:val="auto"/>
        </w:rPr>
        <w:t>答复，并以书面形式通 知质疑供应商和其他有关供应商，质疑答复的内容不得涉及商业秘密。</w:t>
      </w:r>
    </w:p>
    <w:p w14:paraId="720FD845">
      <w:pPr>
        <w:spacing w:line="360" w:lineRule="auto"/>
        <w:ind w:firstLine="420" w:firstLineChars="200"/>
        <w:rPr>
          <w:color w:val="auto"/>
        </w:rPr>
      </w:pPr>
    </w:p>
    <w:p w14:paraId="64E8BF3B">
      <w:pPr>
        <w:spacing w:line="360" w:lineRule="auto"/>
        <w:jc w:val="center"/>
        <w:outlineLvl w:val="2"/>
        <w:rPr>
          <w:b/>
          <w:color w:val="auto"/>
          <w:kern w:val="0"/>
          <w:sz w:val="32"/>
          <w:szCs w:val="44"/>
        </w:rPr>
      </w:pPr>
      <w:bookmarkStart w:id="221" w:name="_Toc3516"/>
      <w:r>
        <w:rPr>
          <w:b/>
          <w:color w:val="auto"/>
          <w:kern w:val="0"/>
          <w:sz w:val="32"/>
          <w:szCs w:val="44"/>
        </w:rPr>
        <w:t xml:space="preserve">10. </w:t>
      </w:r>
      <w:r>
        <w:rPr>
          <w:rFonts w:hint="eastAsia"/>
          <w:b/>
          <w:color w:val="auto"/>
          <w:kern w:val="0"/>
          <w:sz w:val="32"/>
          <w:szCs w:val="44"/>
        </w:rPr>
        <w:t>需要补充的其他内容</w:t>
      </w:r>
      <w:bookmarkEnd w:id="221"/>
    </w:p>
    <w:p w14:paraId="4FFD377D">
      <w:pPr>
        <w:spacing w:line="360" w:lineRule="auto"/>
        <w:ind w:firstLine="420" w:firstLineChars="200"/>
        <w:jc w:val="left"/>
        <w:rPr>
          <w:color w:val="auto"/>
        </w:rPr>
      </w:pPr>
      <w:r>
        <w:rPr>
          <w:color w:val="auto"/>
        </w:rPr>
        <w:t>需要补充的其他内容：见供应商须知前附表。</w:t>
      </w:r>
    </w:p>
    <w:bookmarkEnd w:id="11"/>
    <w:p w14:paraId="40469652">
      <w:pPr>
        <w:spacing w:line="500" w:lineRule="exact"/>
        <w:jc w:val="center"/>
        <w:rPr>
          <w:rFonts w:hint="eastAsia" w:ascii="宋体" w:hAnsi="宋体"/>
          <w:b/>
          <w:bCs/>
          <w:color w:val="auto"/>
        </w:rPr>
      </w:pPr>
      <w:bookmarkStart w:id="222" w:name="_Toc161543104"/>
      <w:r>
        <w:rPr>
          <w:color w:val="auto"/>
          <w:szCs w:val="21"/>
        </w:rPr>
        <w:br w:type="page"/>
      </w:r>
    </w:p>
    <w:p w14:paraId="6F018E72">
      <w:pPr>
        <w:spacing w:line="500" w:lineRule="exact"/>
        <w:jc w:val="center"/>
        <w:rPr>
          <w:rFonts w:hint="eastAsia" w:ascii="宋体" w:hAnsi="宋体"/>
          <w:b/>
          <w:bCs/>
          <w:color w:val="auto"/>
        </w:rPr>
      </w:pPr>
    </w:p>
    <w:p w14:paraId="29C29045">
      <w:pPr>
        <w:spacing w:line="500" w:lineRule="exact"/>
        <w:jc w:val="center"/>
        <w:rPr>
          <w:rFonts w:hint="eastAsia" w:ascii="宋体" w:hAnsi="宋体"/>
          <w:b/>
          <w:bCs/>
          <w:color w:val="auto"/>
        </w:rPr>
      </w:pPr>
    </w:p>
    <w:p w14:paraId="28256D6D">
      <w:pPr>
        <w:spacing w:line="500" w:lineRule="exact"/>
        <w:jc w:val="center"/>
        <w:rPr>
          <w:rFonts w:hint="eastAsia" w:ascii="宋体" w:hAnsi="宋体"/>
          <w:b/>
          <w:bCs/>
          <w:color w:val="auto"/>
        </w:rPr>
      </w:pPr>
    </w:p>
    <w:p w14:paraId="3EE3B794">
      <w:pPr>
        <w:spacing w:line="500" w:lineRule="exact"/>
        <w:jc w:val="center"/>
        <w:rPr>
          <w:rFonts w:hint="eastAsia" w:ascii="宋体" w:hAnsi="宋体"/>
          <w:b/>
          <w:bCs/>
          <w:color w:val="auto"/>
        </w:rPr>
      </w:pPr>
    </w:p>
    <w:p w14:paraId="41067F75">
      <w:pPr>
        <w:spacing w:line="500" w:lineRule="exact"/>
        <w:jc w:val="center"/>
        <w:rPr>
          <w:rFonts w:hint="eastAsia" w:ascii="宋体" w:hAnsi="宋体"/>
          <w:b/>
          <w:bCs/>
          <w:color w:val="auto"/>
        </w:rPr>
      </w:pPr>
    </w:p>
    <w:p w14:paraId="31548B6A">
      <w:pPr>
        <w:spacing w:line="500" w:lineRule="exact"/>
        <w:jc w:val="center"/>
        <w:rPr>
          <w:rFonts w:hint="eastAsia" w:ascii="宋体" w:hAnsi="宋体"/>
          <w:b/>
          <w:bCs/>
          <w:color w:val="auto"/>
        </w:rPr>
      </w:pPr>
    </w:p>
    <w:p w14:paraId="1375282B">
      <w:pPr>
        <w:spacing w:line="500" w:lineRule="exact"/>
        <w:jc w:val="center"/>
        <w:rPr>
          <w:rFonts w:hint="eastAsia" w:ascii="宋体" w:hAnsi="宋体"/>
          <w:b/>
          <w:bCs/>
          <w:color w:val="auto"/>
        </w:rPr>
      </w:pPr>
    </w:p>
    <w:p w14:paraId="1092B81D">
      <w:pPr>
        <w:spacing w:line="500" w:lineRule="exact"/>
        <w:jc w:val="center"/>
        <w:rPr>
          <w:rFonts w:hint="eastAsia" w:ascii="宋体" w:hAnsi="宋体"/>
          <w:b/>
          <w:bCs/>
          <w:color w:val="auto"/>
        </w:rPr>
      </w:pPr>
    </w:p>
    <w:p w14:paraId="67ADF6BE">
      <w:pPr>
        <w:pStyle w:val="40"/>
        <w:rPr>
          <w:color w:val="auto"/>
          <w:sz w:val="40"/>
        </w:rPr>
      </w:pPr>
      <w:bookmarkStart w:id="223" w:name="_Toc450064615"/>
      <w:bookmarkStart w:id="224" w:name="_Toc194168196"/>
      <w:bookmarkStart w:id="225" w:name="_Toc389644562"/>
      <w:bookmarkStart w:id="226" w:name="_Toc28548"/>
      <w:r>
        <w:rPr>
          <w:rFonts w:hint="eastAsia"/>
          <w:color w:val="auto"/>
          <w:sz w:val="40"/>
        </w:rPr>
        <w:t xml:space="preserve">第三章  </w:t>
      </w:r>
      <w:bookmarkEnd w:id="223"/>
      <w:bookmarkEnd w:id="224"/>
      <w:bookmarkEnd w:id="225"/>
      <w:r>
        <w:rPr>
          <w:rFonts w:hint="eastAsia"/>
          <w:color w:val="auto"/>
          <w:sz w:val="40"/>
        </w:rPr>
        <w:t>谈判程序及评审办法</w:t>
      </w:r>
      <w:bookmarkEnd w:id="226"/>
    </w:p>
    <w:p w14:paraId="17DFB86F">
      <w:pPr>
        <w:spacing w:before="156" w:beforeLines="50"/>
        <w:jc w:val="center"/>
        <w:rPr>
          <w:rFonts w:hint="eastAsia" w:ascii="宋体" w:hAnsi="宋体"/>
          <w:b/>
          <w:bCs/>
          <w:color w:val="auto"/>
          <w:sz w:val="32"/>
          <w:szCs w:val="44"/>
        </w:rPr>
      </w:pPr>
      <w:r>
        <w:rPr>
          <w:rFonts w:ascii="宋体" w:hAnsi="宋体"/>
          <w:color w:val="auto"/>
          <w:sz w:val="24"/>
        </w:rPr>
        <w:br w:type="page"/>
      </w:r>
      <w:bookmarkStart w:id="227" w:name="_Hlk107790608"/>
      <w:r>
        <w:rPr>
          <w:rFonts w:hint="eastAsia" w:ascii="宋体" w:hAnsi="宋体"/>
          <w:b/>
          <w:bCs/>
          <w:color w:val="auto"/>
          <w:sz w:val="32"/>
          <w:szCs w:val="44"/>
        </w:rPr>
        <w:t>评审办法前附表</w:t>
      </w:r>
      <w:bookmarkEnd w:id="227"/>
    </w:p>
    <w:p w14:paraId="7CB332E4">
      <w:pPr>
        <w:rPr>
          <w:color w:val="auto"/>
        </w:rPr>
      </w:pPr>
    </w:p>
    <w:tbl>
      <w:tblPr>
        <w:tblStyle w:val="44"/>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3118"/>
        <w:gridCol w:w="5244"/>
      </w:tblGrid>
      <w:tr w14:paraId="7D704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Align w:val="center"/>
          </w:tcPr>
          <w:p w14:paraId="01B45A5B">
            <w:pPr>
              <w:spacing w:line="360" w:lineRule="auto"/>
              <w:jc w:val="center"/>
              <w:rPr>
                <w:b/>
                <w:bCs/>
                <w:color w:val="auto"/>
                <w:szCs w:val="21"/>
              </w:rPr>
            </w:pPr>
            <w:r>
              <w:rPr>
                <w:b/>
                <w:bCs/>
                <w:color w:val="auto"/>
                <w:szCs w:val="21"/>
              </w:rPr>
              <w:t>条款号</w:t>
            </w:r>
          </w:p>
        </w:tc>
        <w:tc>
          <w:tcPr>
            <w:tcW w:w="3118" w:type="dxa"/>
            <w:vAlign w:val="center"/>
          </w:tcPr>
          <w:p w14:paraId="7EFAFC8B">
            <w:pPr>
              <w:spacing w:line="360" w:lineRule="auto"/>
              <w:jc w:val="center"/>
              <w:rPr>
                <w:b/>
                <w:bCs/>
                <w:color w:val="auto"/>
                <w:szCs w:val="21"/>
              </w:rPr>
            </w:pPr>
            <w:r>
              <w:rPr>
                <w:b/>
                <w:bCs/>
                <w:color w:val="auto"/>
                <w:szCs w:val="21"/>
              </w:rPr>
              <w:t>评审因素</w:t>
            </w:r>
          </w:p>
        </w:tc>
        <w:tc>
          <w:tcPr>
            <w:tcW w:w="5244" w:type="dxa"/>
            <w:vAlign w:val="center"/>
          </w:tcPr>
          <w:p w14:paraId="7DB75622">
            <w:pPr>
              <w:spacing w:line="360" w:lineRule="auto"/>
              <w:jc w:val="center"/>
              <w:rPr>
                <w:b/>
                <w:bCs/>
                <w:color w:val="auto"/>
                <w:szCs w:val="21"/>
              </w:rPr>
            </w:pPr>
            <w:r>
              <w:rPr>
                <w:b/>
                <w:bCs/>
                <w:color w:val="auto"/>
                <w:szCs w:val="21"/>
              </w:rPr>
              <w:t>评审标准</w:t>
            </w:r>
          </w:p>
        </w:tc>
      </w:tr>
      <w:tr w14:paraId="53678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277" w:type="dxa"/>
            <w:vMerge w:val="restart"/>
            <w:vAlign w:val="center"/>
          </w:tcPr>
          <w:p w14:paraId="586DA613">
            <w:pPr>
              <w:spacing w:line="360" w:lineRule="auto"/>
              <w:jc w:val="center"/>
              <w:rPr>
                <w:b/>
                <w:bCs/>
                <w:color w:val="auto"/>
                <w:szCs w:val="21"/>
              </w:rPr>
            </w:pPr>
            <w:r>
              <w:rPr>
                <w:rFonts w:hint="eastAsia"/>
                <w:b/>
                <w:bCs/>
                <w:color w:val="auto"/>
                <w:szCs w:val="21"/>
              </w:rPr>
              <w:t>7</w:t>
            </w:r>
            <w:r>
              <w:rPr>
                <w:b/>
                <w:bCs/>
                <w:color w:val="auto"/>
                <w:szCs w:val="21"/>
              </w:rPr>
              <w:t>.1.1</w:t>
            </w:r>
          </w:p>
          <w:p w14:paraId="018910C8">
            <w:pPr>
              <w:spacing w:line="360" w:lineRule="auto"/>
              <w:jc w:val="center"/>
              <w:rPr>
                <w:b/>
                <w:bCs/>
                <w:color w:val="auto"/>
                <w:szCs w:val="21"/>
              </w:rPr>
            </w:pPr>
            <w:r>
              <w:rPr>
                <w:rFonts w:hint="eastAsia"/>
                <w:b/>
                <w:bCs/>
                <w:color w:val="auto"/>
                <w:szCs w:val="21"/>
              </w:rPr>
              <w:t>资格评审</w:t>
            </w:r>
          </w:p>
          <w:p w14:paraId="02556F06">
            <w:pPr>
              <w:spacing w:line="360" w:lineRule="auto"/>
              <w:jc w:val="center"/>
              <w:rPr>
                <w:color w:val="auto"/>
                <w:szCs w:val="21"/>
              </w:rPr>
            </w:pPr>
            <w:r>
              <w:rPr>
                <w:rFonts w:hint="eastAsia"/>
                <w:b/>
                <w:bCs/>
                <w:color w:val="auto"/>
                <w:szCs w:val="21"/>
              </w:rPr>
              <w:t>审查</w:t>
            </w:r>
            <w:r>
              <w:rPr>
                <w:b/>
                <w:bCs/>
                <w:color w:val="auto"/>
                <w:szCs w:val="21"/>
              </w:rPr>
              <w:t>标准</w:t>
            </w:r>
          </w:p>
        </w:tc>
        <w:tc>
          <w:tcPr>
            <w:tcW w:w="3118" w:type="dxa"/>
            <w:vAlign w:val="center"/>
          </w:tcPr>
          <w:p w14:paraId="2290ECA9">
            <w:pPr>
              <w:spacing w:line="390" w:lineRule="exact"/>
              <w:rPr>
                <w:rFonts w:hint="eastAsia" w:ascii="宋体" w:hAnsi="宋体"/>
                <w:color w:val="auto"/>
              </w:rPr>
            </w:pPr>
            <w:r>
              <w:rPr>
                <w:rFonts w:hint="eastAsia" w:ascii="宋体" w:hAnsi="宋体"/>
                <w:color w:val="auto"/>
              </w:rPr>
              <w:t>具有独立承担民事责任的能力</w:t>
            </w:r>
          </w:p>
        </w:tc>
        <w:tc>
          <w:tcPr>
            <w:tcW w:w="5244" w:type="dxa"/>
            <w:vAlign w:val="center"/>
          </w:tcPr>
          <w:p w14:paraId="2CD3C634">
            <w:pPr>
              <w:spacing w:line="390" w:lineRule="exact"/>
              <w:rPr>
                <w:rFonts w:hint="eastAsia" w:ascii="宋体" w:hAnsi="宋体"/>
                <w:color w:val="auto"/>
              </w:rPr>
            </w:pPr>
            <w:r>
              <w:rPr>
                <w:rFonts w:hint="eastAsia" w:ascii="宋体" w:hAnsi="宋体"/>
                <w:color w:val="auto"/>
                <w:sz w:val="21"/>
                <w:szCs w:val="21"/>
                <w:highlight w:val="none"/>
                <w:lang w:eastAsia="zh-CN"/>
              </w:rPr>
              <w:t>提供有效的营业执照或事业单位法人证书或其他组织证明材料或自然人身份证明</w:t>
            </w:r>
            <w:r>
              <w:rPr>
                <w:rFonts w:hint="eastAsia" w:ascii="宋体" w:hAnsi="宋体"/>
                <w:b/>
                <w:color w:val="auto"/>
                <w:szCs w:val="21"/>
              </w:rPr>
              <w:t>（扫描件加盖电子公章）</w:t>
            </w:r>
            <w:r>
              <w:rPr>
                <w:rFonts w:hint="eastAsia" w:ascii="宋体" w:hAnsi="宋体"/>
                <w:color w:val="auto"/>
                <w:szCs w:val="21"/>
              </w:rPr>
              <w:t>。</w:t>
            </w:r>
          </w:p>
        </w:tc>
      </w:tr>
      <w:tr w14:paraId="4D1CB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277" w:type="dxa"/>
            <w:vMerge w:val="continue"/>
          </w:tcPr>
          <w:p w14:paraId="462320CD">
            <w:pPr>
              <w:spacing w:line="360" w:lineRule="auto"/>
              <w:jc w:val="center"/>
              <w:rPr>
                <w:color w:val="auto"/>
                <w:szCs w:val="21"/>
              </w:rPr>
            </w:pPr>
          </w:p>
        </w:tc>
        <w:tc>
          <w:tcPr>
            <w:tcW w:w="3118" w:type="dxa"/>
            <w:vAlign w:val="center"/>
          </w:tcPr>
          <w:p w14:paraId="4CAE3695">
            <w:pPr>
              <w:spacing w:line="390" w:lineRule="exact"/>
              <w:rPr>
                <w:rFonts w:hint="eastAsia" w:ascii="宋体" w:hAnsi="宋体"/>
                <w:color w:val="auto"/>
              </w:rPr>
            </w:pPr>
            <w:r>
              <w:rPr>
                <w:rFonts w:hint="eastAsia" w:ascii="宋体" w:hAnsi="宋体"/>
                <w:color w:val="auto"/>
              </w:rPr>
              <w:t>具有良好的商业信誉和健全的财务会计制度</w:t>
            </w:r>
          </w:p>
        </w:tc>
        <w:tc>
          <w:tcPr>
            <w:tcW w:w="5244" w:type="dxa"/>
            <w:vAlign w:val="center"/>
          </w:tcPr>
          <w:p w14:paraId="27B0E823">
            <w:pPr>
              <w:spacing w:line="390" w:lineRule="exact"/>
              <w:rPr>
                <w:rFonts w:hint="eastAsia" w:ascii="宋体" w:hAnsi="宋体"/>
                <w:bCs/>
                <w:color w:val="auto"/>
                <w:sz w:val="21"/>
                <w:szCs w:val="21"/>
                <w:highlight w:val="none"/>
                <w:lang w:eastAsia="zh-CN"/>
              </w:rPr>
            </w:pPr>
            <w:r>
              <w:rPr>
                <w:rFonts w:hint="eastAsia" w:ascii="宋体" w:hAnsi="宋体"/>
                <w:bCs/>
                <w:color w:val="auto"/>
                <w:sz w:val="21"/>
                <w:szCs w:val="21"/>
                <w:highlight w:val="none"/>
                <w:lang w:eastAsia="zh-CN"/>
              </w:rPr>
              <w:t>投标人满足下列任一条件：</w:t>
            </w:r>
          </w:p>
          <w:p w14:paraId="0C65003D">
            <w:pPr>
              <w:spacing w:line="390" w:lineRule="exact"/>
              <w:rPr>
                <w:rFonts w:hint="eastAsia" w:ascii="宋体" w:hAnsi="宋体"/>
                <w:bCs/>
                <w:color w:val="auto"/>
                <w:sz w:val="21"/>
                <w:szCs w:val="21"/>
                <w:highlight w:val="none"/>
                <w:lang w:eastAsia="zh-CN"/>
              </w:rPr>
            </w:pPr>
            <w:r>
              <w:rPr>
                <w:rFonts w:hint="eastAsia" w:ascii="宋体" w:hAnsi="宋体"/>
                <w:bCs/>
                <w:color w:val="auto"/>
                <w:sz w:val="21"/>
                <w:szCs w:val="21"/>
                <w:highlight w:val="none"/>
                <w:lang w:eastAsia="zh-CN"/>
              </w:rPr>
              <w:t>①提供2024年或2025年任意一年度经审计的财务报表及审计报告（成立时间不足1年的，可提供成立至今财务报表；财务报表须包括资产负债表、利润表、现金流量表）；</w:t>
            </w:r>
          </w:p>
          <w:p w14:paraId="3F118023">
            <w:pPr>
              <w:spacing w:line="390" w:lineRule="exact"/>
              <w:rPr>
                <w:rFonts w:hint="eastAsia" w:ascii="宋体" w:hAnsi="宋体"/>
                <w:bCs/>
                <w:color w:val="auto"/>
                <w:sz w:val="21"/>
                <w:szCs w:val="21"/>
                <w:highlight w:val="none"/>
                <w:lang w:eastAsia="zh-CN"/>
              </w:rPr>
            </w:pPr>
            <w:r>
              <w:rPr>
                <w:rFonts w:hint="eastAsia" w:ascii="宋体" w:hAnsi="宋体"/>
                <w:bCs/>
                <w:color w:val="auto"/>
                <w:sz w:val="21"/>
                <w:szCs w:val="21"/>
                <w:highlight w:val="none"/>
                <w:lang w:eastAsia="zh-CN"/>
              </w:rPr>
              <w:t>②自投标文件提交截止时间前三个月内基本开户银行出具的资信证明文件；</w:t>
            </w:r>
          </w:p>
          <w:p w14:paraId="2241E81C">
            <w:pPr>
              <w:spacing w:line="390" w:lineRule="exact"/>
              <w:rPr>
                <w:rFonts w:hint="eastAsia" w:ascii="宋体" w:hAnsi="宋体"/>
                <w:bCs/>
                <w:color w:val="auto"/>
                <w:sz w:val="21"/>
                <w:szCs w:val="21"/>
                <w:highlight w:val="none"/>
                <w:lang w:eastAsia="zh-CN"/>
              </w:rPr>
            </w:pPr>
            <w:r>
              <w:rPr>
                <w:rFonts w:hint="eastAsia" w:ascii="宋体" w:hAnsi="宋体"/>
                <w:bCs/>
                <w:color w:val="auto"/>
                <w:sz w:val="21"/>
                <w:szCs w:val="21"/>
                <w:highlight w:val="none"/>
                <w:lang w:eastAsia="zh-CN"/>
              </w:rPr>
              <w:t>③非营利性单位或者社会团体或者其他事业单位以符合财务会计制度为准或者提供承诺函；</w:t>
            </w:r>
          </w:p>
          <w:p w14:paraId="32E4AE5D">
            <w:pPr>
              <w:spacing w:line="390" w:lineRule="exact"/>
              <w:rPr>
                <w:rFonts w:hint="eastAsia" w:ascii="宋体" w:hAnsi="宋体"/>
                <w:color w:val="auto"/>
              </w:rPr>
            </w:pPr>
            <w:r>
              <w:rPr>
                <w:rFonts w:hint="eastAsia" w:ascii="宋体" w:hAnsi="宋体"/>
                <w:bCs/>
                <w:color w:val="auto"/>
                <w:sz w:val="21"/>
                <w:szCs w:val="21"/>
                <w:highlight w:val="none"/>
                <w:lang w:eastAsia="zh-CN"/>
              </w:rPr>
              <w:t>④财政部门认可的政府采购专业担保机构出具的投标担保函（需同时提供专业担保机构经财政部门认可的证明文件）；</w:t>
            </w:r>
            <w:r>
              <w:rPr>
                <w:rFonts w:hint="eastAsia" w:ascii="宋体" w:hAnsi="宋体"/>
                <w:b/>
                <w:bCs w:val="0"/>
                <w:color w:val="auto"/>
                <w:sz w:val="21"/>
                <w:szCs w:val="21"/>
                <w:highlight w:val="none"/>
                <w:lang w:eastAsia="zh-CN"/>
              </w:rPr>
              <w:t>（扫描件加盖电子公章）。</w:t>
            </w:r>
          </w:p>
        </w:tc>
      </w:tr>
      <w:tr w14:paraId="7CE5B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Merge w:val="continue"/>
          </w:tcPr>
          <w:p w14:paraId="60D092B8">
            <w:pPr>
              <w:spacing w:line="360" w:lineRule="auto"/>
              <w:jc w:val="center"/>
              <w:rPr>
                <w:color w:val="auto"/>
                <w:szCs w:val="21"/>
              </w:rPr>
            </w:pPr>
          </w:p>
        </w:tc>
        <w:tc>
          <w:tcPr>
            <w:tcW w:w="3118" w:type="dxa"/>
            <w:vAlign w:val="center"/>
          </w:tcPr>
          <w:p w14:paraId="3C99860B">
            <w:pPr>
              <w:spacing w:line="390" w:lineRule="exact"/>
              <w:rPr>
                <w:rFonts w:hint="eastAsia" w:ascii="宋体" w:hAnsi="宋体"/>
                <w:color w:val="auto"/>
              </w:rPr>
            </w:pPr>
            <w:r>
              <w:rPr>
                <w:rFonts w:hint="eastAsia" w:ascii="宋体" w:hAnsi="宋体"/>
                <w:color w:val="auto"/>
              </w:rPr>
              <w:t>具有履行合同所必需的设备和专业技术能力</w:t>
            </w:r>
          </w:p>
        </w:tc>
        <w:tc>
          <w:tcPr>
            <w:tcW w:w="5244" w:type="dxa"/>
            <w:vAlign w:val="center"/>
          </w:tcPr>
          <w:p w14:paraId="68B82EBB">
            <w:pPr>
              <w:spacing w:line="390" w:lineRule="exact"/>
              <w:rPr>
                <w:rFonts w:hint="eastAsia" w:ascii="宋体" w:hAnsi="宋体"/>
                <w:color w:val="auto"/>
              </w:rPr>
            </w:pPr>
            <w:r>
              <w:rPr>
                <w:rFonts w:hint="eastAsia" w:ascii="宋体" w:hAnsi="宋体"/>
                <w:color w:val="auto"/>
                <w:sz w:val="21"/>
                <w:szCs w:val="21"/>
                <w:highlight w:val="none"/>
                <w:lang w:eastAsia="zh-CN"/>
              </w:rPr>
              <w:t>提供相关声明函或证明材料</w:t>
            </w:r>
            <w:r>
              <w:rPr>
                <w:rFonts w:hint="eastAsia" w:ascii="宋体" w:hAnsi="宋体"/>
                <w:b/>
                <w:color w:val="auto"/>
                <w:sz w:val="21"/>
                <w:szCs w:val="21"/>
                <w:highlight w:val="none"/>
                <w:lang w:eastAsia="zh-CN"/>
              </w:rPr>
              <w:t>（加盖电子公章）</w:t>
            </w:r>
            <w:r>
              <w:rPr>
                <w:rFonts w:hint="eastAsia" w:ascii="宋体" w:hAnsi="宋体" w:cs="宋体"/>
                <w:color w:val="auto"/>
                <w:sz w:val="21"/>
                <w:szCs w:val="21"/>
                <w:highlight w:val="none"/>
                <w:lang w:eastAsia="zh-CN"/>
              </w:rPr>
              <w:t>。</w:t>
            </w:r>
          </w:p>
        </w:tc>
      </w:tr>
      <w:tr w14:paraId="620D1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Merge w:val="continue"/>
          </w:tcPr>
          <w:p w14:paraId="143E7E97">
            <w:pPr>
              <w:spacing w:line="360" w:lineRule="auto"/>
              <w:jc w:val="center"/>
              <w:rPr>
                <w:color w:val="auto"/>
                <w:szCs w:val="21"/>
              </w:rPr>
            </w:pPr>
          </w:p>
        </w:tc>
        <w:tc>
          <w:tcPr>
            <w:tcW w:w="3118" w:type="dxa"/>
            <w:vAlign w:val="center"/>
          </w:tcPr>
          <w:p w14:paraId="3C8B134A">
            <w:pPr>
              <w:spacing w:line="390" w:lineRule="exact"/>
              <w:rPr>
                <w:rFonts w:hint="eastAsia" w:ascii="宋体" w:hAnsi="宋体"/>
                <w:color w:val="auto"/>
              </w:rPr>
            </w:pPr>
            <w:r>
              <w:rPr>
                <w:rFonts w:hint="eastAsia" w:ascii="宋体" w:hAnsi="宋体"/>
                <w:color w:val="auto"/>
              </w:rPr>
              <w:t>有依法缴纳税收和社会保障资金的良好记录</w:t>
            </w:r>
          </w:p>
        </w:tc>
        <w:tc>
          <w:tcPr>
            <w:tcW w:w="5244" w:type="dxa"/>
            <w:vAlign w:val="center"/>
          </w:tcPr>
          <w:p w14:paraId="3E6FCCB5">
            <w:pPr>
              <w:spacing w:line="390" w:lineRule="exact"/>
              <w:rPr>
                <w:rFonts w:hint="eastAsia" w:ascii="宋体" w:hAnsi="宋体"/>
                <w:color w:val="auto"/>
              </w:rPr>
            </w:pPr>
            <w:r>
              <w:rPr>
                <w:rFonts w:hint="eastAsia" w:ascii="宋体" w:hAnsi="宋体"/>
                <w:b w:val="0"/>
                <w:bCs/>
                <w:color w:val="auto"/>
                <w:sz w:val="21"/>
                <w:szCs w:val="21"/>
                <w:highlight w:val="none"/>
                <w:lang w:eastAsia="zh-CN"/>
              </w:rPr>
              <w:t>提供202</w:t>
            </w:r>
            <w:r>
              <w:rPr>
                <w:rFonts w:hint="eastAsia" w:ascii="宋体" w:hAnsi="宋体"/>
                <w:b w:val="0"/>
                <w:bCs/>
                <w:color w:val="auto"/>
                <w:sz w:val="21"/>
                <w:szCs w:val="21"/>
                <w:highlight w:val="none"/>
                <w:lang w:val="en-US" w:eastAsia="zh-CN"/>
              </w:rPr>
              <w:t>6</w:t>
            </w:r>
            <w:r>
              <w:rPr>
                <w:rFonts w:hint="eastAsia" w:ascii="宋体" w:hAnsi="宋体"/>
                <w:b w:val="0"/>
                <w:bCs/>
                <w:color w:val="auto"/>
                <w:sz w:val="21"/>
                <w:szCs w:val="21"/>
                <w:highlight w:val="none"/>
                <w:lang w:eastAsia="zh-CN"/>
              </w:rPr>
              <w:t>年1月至今投标人任意</w:t>
            </w:r>
            <w:r>
              <w:rPr>
                <w:rFonts w:hint="eastAsia" w:ascii="宋体" w:hAnsi="宋体"/>
                <w:b w:val="0"/>
                <w:bCs/>
                <w:color w:val="auto"/>
                <w:sz w:val="21"/>
                <w:szCs w:val="21"/>
                <w:highlight w:val="none"/>
                <w:lang w:val="en-US" w:eastAsia="zh-CN"/>
              </w:rPr>
              <w:t>1</w:t>
            </w:r>
            <w:r>
              <w:rPr>
                <w:rFonts w:hint="eastAsia" w:ascii="宋体" w:hAnsi="宋体"/>
                <w:b w:val="0"/>
                <w:bCs/>
                <w:color w:val="auto"/>
                <w:sz w:val="21"/>
                <w:szCs w:val="21"/>
                <w:highlight w:val="none"/>
                <w:lang w:eastAsia="zh-CN"/>
              </w:rPr>
              <w:t>个月的税收缴纳凭证或其他证明材料；提供202</w:t>
            </w:r>
            <w:r>
              <w:rPr>
                <w:rFonts w:hint="eastAsia" w:ascii="宋体" w:hAnsi="宋体"/>
                <w:b w:val="0"/>
                <w:bCs/>
                <w:color w:val="auto"/>
                <w:sz w:val="21"/>
                <w:szCs w:val="21"/>
                <w:highlight w:val="none"/>
                <w:lang w:val="en-US" w:eastAsia="zh-CN"/>
              </w:rPr>
              <w:t>6</w:t>
            </w:r>
            <w:r>
              <w:rPr>
                <w:rFonts w:hint="eastAsia" w:ascii="宋体" w:hAnsi="宋体"/>
                <w:b w:val="0"/>
                <w:bCs/>
                <w:color w:val="auto"/>
                <w:sz w:val="21"/>
                <w:szCs w:val="21"/>
                <w:highlight w:val="none"/>
                <w:lang w:eastAsia="zh-CN"/>
              </w:rPr>
              <w:t>年1月至今投标人任意</w:t>
            </w:r>
            <w:r>
              <w:rPr>
                <w:rFonts w:hint="eastAsia" w:ascii="宋体" w:hAnsi="宋体"/>
                <w:b w:val="0"/>
                <w:bCs/>
                <w:color w:val="auto"/>
                <w:sz w:val="21"/>
                <w:szCs w:val="21"/>
                <w:highlight w:val="none"/>
                <w:lang w:val="en-US" w:eastAsia="zh-CN"/>
              </w:rPr>
              <w:t>1</w:t>
            </w:r>
            <w:r>
              <w:rPr>
                <w:rFonts w:hint="eastAsia" w:ascii="宋体" w:hAnsi="宋体"/>
                <w:b w:val="0"/>
                <w:bCs/>
                <w:color w:val="auto"/>
                <w:sz w:val="21"/>
                <w:szCs w:val="21"/>
                <w:highlight w:val="none"/>
                <w:lang w:eastAsia="zh-CN"/>
              </w:rPr>
              <w:t>个月的社会保险缴纳凭证或其他证明材料；若成立时间不足</w:t>
            </w:r>
            <w:r>
              <w:rPr>
                <w:rFonts w:hint="eastAsia" w:ascii="宋体" w:hAnsi="宋体"/>
                <w:b w:val="0"/>
                <w:bCs/>
                <w:color w:val="auto"/>
                <w:sz w:val="21"/>
                <w:szCs w:val="21"/>
                <w:highlight w:val="none"/>
                <w:lang w:val="en-US" w:eastAsia="zh-CN"/>
              </w:rPr>
              <w:t>1</w:t>
            </w:r>
            <w:r>
              <w:rPr>
                <w:rFonts w:hint="eastAsia" w:ascii="宋体" w:hAnsi="宋体"/>
                <w:b w:val="0"/>
                <w:bCs/>
                <w:color w:val="auto"/>
                <w:sz w:val="21"/>
                <w:szCs w:val="21"/>
                <w:highlight w:val="none"/>
                <w:lang w:eastAsia="zh-CN"/>
              </w:rPr>
              <w:t>个月的，提供成立以来的税收和社保资金缴纳凭证或其他证明材料；依法免税或不需要缴纳社会保障资金的投标人，提供相应证明文件。</w:t>
            </w:r>
            <w:r>
              <w:rPr>
                <w:rFonts w:hint="eastAsia" w:ascii="宋体" w:hAnsi="宋体"/>
                <w:b/>
                <w:color w:val="auto"/>
                <w:sz w:val="21"/>
                <w:szCs w:val="21"/>
                <w:highlight w:val="none"/>
                <w:lang w:eastAsia="zh-CN"/>
              </w:rPr>
              <w:t>（扫描件加盖电子公章）</w:t>
            </w:r>
            <w:r>
              <w:rPr>
                <w:rFonts w:hint="eastAsia" w:ascii="宋体" w:hAnsi="宋体"/>
                <w:color w:val="auto"/>
                <w:sz w:val="21"/>
                <w:szCs w:val="21"/>
                <w:highlight w:val="none"/>
                <w:lang w:eastAsia="zh-CN"/>
              </w:rPr>
              <w:t>。</w:t>
            </w:r>
          </w:p>
        </w:tc>
      </w:tr>
      <w:tr w14:paraId="53581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Merge w:val="continue"/>
          </w:tcPr>
          <w:p w14:paraId="2B80B434">
            <w:pPr>
              <w:spacing w:line="360" w:lineRule="auto"/>
              <w:jc w:val="center"/>
              <w:rPr>
                <w:color w:val="auto"/>
                <w:szCs w:val="21"/>
              </w:rPr>
            </w:pPr>
          </w:p>
        </w:tc>
        <w:tc>
          <w:tcPr>
            <w:tcW w:w="3118" w:type="dxa"/>
            <w:vAlign w:val="center"/>
          </w:tcPr>
          <w:p w14:paraId="038DEC69">
            <w:pPr>
              <w:spacing w:line="390" w:lineRule="exact"/>
              <w:rPr>
                <w:rFonts w:hint="eastAsia" w:ascii="宋体" w:hAnsi="宋体"/>
                <w:color w:val="auto"/>
              </w:rPr>
            </w:pPr>
            <w:r>
              <w:rPr>
                <w:rFonts w:hint="eastAsia" w:ascii="宋体" w:hAnsi="宋体"/>
                <w:color w:val="auto"/>
              </w:rPr>
              <w:t>参加政府采购活动前三年内，在经营活动中没有重大违法记录</w:t>
            </w:r>
          </w:p>
        </w:tc>
        <w:tc>
          <w:tcPr>
            <w:tcW w:w="5244" w:type="dxa"/>
            <w:vAlign w:val="center"/>
          </w:tcPr>
          <w:p w14:paraId="76B3307D">
            <w:pPr>
              <w:spacing w:line="390" w:lineRule="exact"/>
              <w:rPr>
                <w:rFonts w:hint="eastAsia" w:ascii="宋体" w:hAnsi="宋体"/>
                <w:color w:val="auto"/>
              </w:rPr>
            </w:pPr>
            <w:r>
              <w:rPr>
                <w:rFonts w:hint="eastAsia" w:ascii="宋体" w:hAnsi="宋体"/>
                <w:bCs/>
                <w:color w:val="auto"/>
                <w:szCs w:val="21"/>
              </w:rPr>
              <w:t>提供承诺书</w:t>
            </w:r>
            <w:r>
              <w:rPr>
                <w:rFonts w:hint="eastAsia" w:ascii="宋体" w:hAnsi="宋体"/>
                <w:b/>
                <w:color w:val="auto"/>
                <w:szCs w:val="21"/>
              </w:rPr>
              <w:t>（</w:t>
            </w:r>
            <w:r>
              <w:rPr>
                <w:rFonts w:hint="eastAsia" w:ascii="宋体" w:hAnsi="宋体"/>
                <w:b/>
                <w:color w:val="auto"/>
                <w:sz w:val="21"/>
                <w:szCs w:val="21"/>
                <w:highlight w:val="none"/>
                <w:lang w:eastAsia="zh-CN"/>
              </w:rPr>
              <w:t>加</w:t>
            </w:r>
            <w:r>
              <w:rPr>
                <w:rFonts w:hint="eastAsia" w:ascii="宋体" w:hAnsi="宋体"/>
                <w:b/>
                <w:color w:val="auto"/>
                <w:szCs w:val="21"/>
              </w:rPr>
              <w:t>盖电子公章）。</w:t>
            </w:r>
          </w:p>
        </w:tc>
      </w:tr>
      <w:tr w14:paraId="3F9F2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Merge w:val="continue"/>
          </w:tcPr>
          <w:p w14:paraId="763812AE">
            <w:pPr>
              <w:spacing w:line="360" w:lineRule="auto"/>
              <w:jc w:val="center"/>
              <w:rPr>
                <w:color w:val="auto"/>
                <w:szCs w:val="21"/>
              </w:rPr>
            </w:pPr>
          </w:p>
        </w:tc>
        <w:tc>
          <w:tcPr>
            <w:tcW w:w="3118" w:type="dxa"/>
            <w:vAlign w:val="center"/>
          </w:tcPr>
          <w:p w14:paraId="60318AC1">
            <w:pPr>
              <w:spacing w:line="390" w:lineRule="exact"/>
              <w:rPr>
                <w:rFonts w:hint="eastAsia" w:ascii="宋体" w:hAnsi="宋体"/>
                <w:color w:val="auto"/>
              </w:rPr>
            </w:pPr>
            <w:r>
              <w:rPr>
                <w:rFonts w:hint="eastAsia" w:ascii="宋体" w:hAnsi="宋体"/>
                <w:color w:val="auto"/>
              </w:rPr>
              <w:t>特定资格要求</w:t>
            </w:r>
          </w:p>
        </w:tc>
        <w:tc>
          <w:tcPr>
            <w:tcW w:w="5244" w:type="dxa"/>
            <w:vAlign w:val="center"/>
          </w:tcPr>
          <w:p w14:paraId="67A4FD88">
            <w:pPr>
              <w:spacing w:line="390" w:lineRule="exact"/>
              <w:rPr>
                <w:rFonts w:hint="eastAsia" w:ascii="宋体" w:hAnsi="宋体"/>
                <w:color w:val="auto"/>
              </w:rPr>
            </w:pPr>
            <w:r>
              <w:rPr>
                <w:rFonts w:hint="eastAsia" w:ascii="宋体" w:hAnsi="宋体"/>
                <w:color w:val="auto"/>
              </w:rPr>
              <w:t>符合第二章“供应商须知前附表”第1.4.1款规定</w:t>
            </w:r>
          </w:p>
        </w:tc>
      </w:tr>
      <w:tr w14:paraId="3DAE0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277" w:type="dxa"/>
            <w:vMerge w:val="restart"/>
            <w:vAlign w:val="center"/>
          </w:tcPr>
          <w:p w14:paraId="57D0EFF6">
            <w:pPr>
              <w:spacing w:line="360" w:lineRule="auto"/>
              <w:jc w:val="center"/>
              <w:rPr>
                <w:b/>
                <w:bCs/>
                <w:color w:val="auto"/>
                <w:szCs w:val="21"/>
              </w:rPr>
            </w:pPr>
            <w:r>
              <w:rPr>
                <w:rFonts w:hint="eastAsia"/>
                <w:b/>
                <w:bCs/>
                <w:color w:val="auto"/>
                <w:szCs w:val="21"/>
              </w:rPr>
              <w:t>7</w:t>
            </w:r>
            <w:r>
              <w:rPr>
                <w:b/>
                <w:bCs/>
                <w:color w:val="auto"/>
                <w:szCs w:val="21"/>
              </w:rPr>
              <w:t>.1.2</w:t>
            </w:r>
          </w:p>
          <w:p w14:paraId="05929DC4">
            <w:pPr>
              <w:spacing w:line="360" w:lineRule="auto"/>
              <w:jc w:val="center"/>
              <w:rPr>
                <w:b/>
                <w:bCs/>
                <w:color w:val="auto"/>
                <w:szCs w:val="21"/>
              </w:rPr>
            </w:pPr>
            <w:r>
              <w:rPr>
                <w:rFonts w:hint="eastAsia"/>
                <w:b/>
                <w:bCs/>
                <w:color w:val="auto"/>
                <w:szCs w:val="21"/>
              </w:rPr>
              <w:t>符合性评审</w:t>
            </w:r>
          </w:p>
          <w:p w14:paraId="64BB232B">
            <w:pPr>
              <w:spacing w:line="360" w:lineRule="auto"/>
              <w:jc w:val="center"/>
              <w:rPr>
                <w:color w:val="auto"/>
                <w:szCs w:val="21"/>
              </w:rPr>
            </w:pPr>
            <w:r>
              <w:rPr>
                <w:rFonts w:hint="eastAsia"/>
                <w:b/>
                <w:bCs/>
                <w:color w:val="auto"/>
                <w:szCs w:val="21"/>
              </w:rPr>
              <w:t>审查</w:t>
            </w:r>
            <w:r>
              <w:rPr>
                <w:b/>
                <w:bCs/>
                <w:color w:val="auto"/>
                <w:szCs w:val="21"/>
              </w:rPr>
              <w:t>标准</w:t>
            </w:r>
          </w:p>
        </w:tc>
        <w:tc>
          <w:tcPr>
            <w:tcW w:w="3118" w:type="dxa"/>
            <w:vAlign w:val="center"/>
          </w:tcPr>
          <w:p w14:paraId="7A4126F2">
            <w:pPr>
              <w:spacing w:line="360" w:lineRule="auto"/>
              <w:rPr>
                <w:rFonts w:hint="eastAsia" w:ascii="宋体" w:hAnsi="宋体"/>
                <w:color w:val="auto"/>
                <w:szCs w:val="21"/>
              </w:rPr>
            </w:pPr>
            <w:r>
              <w:rPr>
                <w:color w:val="auto"/>
              </w:rPr>
              <w:t>法定代表人或授权代表身份证明</w:t>
            </w:r>
          </w:p>
        </w:tc>
        <w:tc>
          <w:tcPr>
            <w:tcW w:w="5244" w:type="dxa"/>
            <w:vAlign w:val="center"/>
          </w:tcPr>
          <w:p w14:paraId="30801B8F">
            <w:pPr>
              <w:spacing w:line="360" w:lineRule="auto"/>
              <w:rPr>
                <w:rFonts w:hint="eastAsia" w:ascii="宋体" w:hAnsi="宋体"/>
                <w:color w:val="auto"/>
                <w:szCs w:val="21"/>
              </w:rPr>
            </w:pPr>
            <w:r>
              <w:rPr>
                <w:color w:val="auto"/>
              </w:rPr>
              <w:t>法定代表人参与投标的须提交法定代表人身份证明书，委托代理人参与投标的须提交法定代表人身份证明书及授权委托书，且按规定格式签署</w:t>
            </w:r>
          </w:p>
        </w:tc>
      </w:tr>
      <w:tr w14:paraId="68948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Merge w:val="continue"/>
          </w:tcPr>
          <w:p w14:paraId="58CFEA86">
            <w:pPr>
              <w:spacing w:line="360" w:lineRule="auto"/>
              <w:jc w:val="center"/>
              <w:rPr>
                <w:color w:val="auto"/>
                <w:szCs w:val="21"/>
              </w:rPr>
            </w:pPr>
          </w:p>
        </w:tc>
        <w:tc>
          <w:tcPr>
            <w:tcW w:w="3118" w:type="dxa"/>
            <w:vAlign w:val="center"/>
          </w:tcPr>
          <w:p w14:paraId="3B64E9A0">
            <w:pPr>
              <w:spacing w:line="360" w:lineRule="auto"/>
              <w:rPr>
                <w:rFonts w:hint="eastAsia" w:ascii="宋体" w:hAnsi="宋体"/>
                <w:color w:val="auto"/>
                <w:szCs w:val="21"/>
              </w:rPr>
            </w:pPr>
            <w:r>
              <w:rPr>
                <w:color w:val="auto"/>
                <w:szCs w:val="21"/>
              </w:rPr>
              <w:t>投标文件签署、签章</w:t>
            </w:r>
          </w:p>
        </w:tc>
        <w:tc>
          <w:tcPr>
            <w:tcW w:w="5244" w:type="dxa"/>
            <w:vAlign w:val="center"/>
          </w:tcPr>
          <w:p w14:paraId="29637BE3">
            <w:pPr>
              <w:spacing w:line="360" w:lineRule="auto"/>
              <w:rPr>
                <w:rFonts w:hint="eastAsia" w:ascii="宋体" w:hAnsi="宋体"/>
                <w:color w:val="auto"/>
                <w:szCs w:val="21"/>
              </w:rPr>
            </w:pPr>
            <w:r>
              <w:rPr>
                <w:color w:val="auto"/>
              </w:rPr>
              <w:t>符合</w:t>
            </w:r>
            <w:r>
              <w:rPr>
                <w:rFonts w:hint="eastAsia"/>
                <w:color w:val="auto"/>
              </w:rPr>
              <w:t>谈判</w:t>
            </w:r>
            <w:r>
              <w:rPr>
                <w:color w:val="auto"/>
              </w:rPr>
              <w:t>文件</w:t>
            </w:r>
            <w:r>
              <w:rPr>
                <w:color w:val="auto"/>
                <w:szCs w:val="21"/>
              </w:rPr>
              <w:t>签署、签章</w:t>
            </w:r>
            <w:r>
              <w:rPr>
                <w:color w:val="auto"/>
              </w:rPr>
              <w:t>要求</w:t>
            </w:r>
          </w:p>
        </w:tc>
      </w:tr>
      <w:tr w14:paraId="31BE8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Merge w:val="continue"/>
          </w:tcPr>
          <w:p w14:paraId="2540038C">
            <w:pPr>
              <w:spacing w:line="360" w:lineRule="auto"/>
              <w:jc w:val="center"/>
              <w:rPr>
                <w:color w:val="auto"/>
                <w:szCs w:val="21"/>
              </w:rPr>
            </w:pPr>
          </w:p>
        </w:tc>
        <w:tc>
          <w:tcPr>
            <w:tcW w:w="3118" w:type="dxa"/>
            <w:vAlign w:val="center"/>
          </w:tcPr>
          <w:p w14:paraId="23D4C856">
            <w:pPr>
              <w:spacing w:line="360" w:lineRule="auto"/>
              <w:rPr>
                <w:rFonts w:hint="eastAsia" w:ascii="宋体" w:hAnsi="宋体"/>
                <w:color w:val="auto"/>
                <w:szCs w:val="21"/>
              </w:rPr>
            </w:pPr>
            <w:r>
              <w:rPr>
                <w:color w:val="auto"/>
              </w:rPr>
              <w:t xml:space="preserve">投标文件格式 </w:t>
            </w:r>
          </w:p>
        </w:tc>
        <w:tc>
          <w:tcPr>
            <w:tcW w:w="5244" w:type="dxa"/>
            <w:vAlign w:val="center"/>
          </w:tcPr>
          <w:p w14:paraId="351640BE">
            <w:pPr>
              <w:spacing w:line="360" w:lineRule="auto"/>
              <w:rPr>
                <w:rFonts w:hint="eastAsia" w:ascii="宋体" w:hAnsi="宋体"/>
                <w:color w:val="auto"/>
                <w:szCs w:val="21"/>
              </w:rPr>
            </w:pPr>
            <w:r>
              <w:rPr>
                <w:color w:val="auto"/>
              </w:rPr>
              <w:t>符合</w:t>
            </w:r>
            <w:r>
              <w:rPr>
                <w:rFonts w:hint="eastAsia"/>
                <w:color w:val="auto"/>
              </w:rPr>
              <w:t>谈判</w:t>
            </w:r>
            <w:r>
              <w:rPr>
                <w:color w:val="auto"/>
              </w:rPr>
              <w:t xml:space="preserve">文件第六章“投标文件格式”要求，内容完整且关键字迹清晰 </w:t>
            </w:r>
          </w:p>
        </w:tc>
      </w:tr>
      <w:tr w14:paraId="1A55D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1277" w:type="dxa"/>
            <w:vMerge w:val="continue"/>
          </w:tcPr>
          <w:p w14:paraId="0D063626">
            <w:pPr>
              <w:spacing w:line="360" w:lineRule="auto"/>
              <w:jc w:val="center"/>
              <w:rPr>
                <w:color w:val="auto"/>
                <w:szCs w:val="21"/>
              </w:rPr>
            </w:pPr>
          </w:p>
        </w:tc>
        <w:tc>
          <w:tcPr>
            <w:tcW w:w="3118" w:type="dxa"/>
            <w:vAlign w:val="center"/>
          </w:tcPr>
          <w:p w14:paraId="42581184">
            <w:pPr>
              <w:spacing w:line="360" w:lineRule="auto"/>
              <w:rPr>
                <w:rFonts w:hint="eastAsia" w:ascii="宋体" w:hAnsi="宋体"/>
                <w:color w:val="auto"/>
                <w:szCs w:val="21"/>
              </w:rPr>
            </w:pPr>
            <w:r>
              <w:rPr>
                <w:color w:val="auto"/>
              </w:rPr>
              <w:t xml:space="preserve">投标报价 </w:t>
            </w:r>
          </w:p>
        </w:tc>
        <w:tc>
          <w:tcPr>
            <w:tcW w:w="5244" w:type="dxa"/>
            <w:vAlign w:val="center"/>
          </w:tcPr>
          <w:p w14:paraId="47A4DA42">
            <w:pPr>
              <w:spacing w:line="360" w:lineRule="auto"/>
              <w:rPr>
                <w:rFonts w:hint="eastAsia" w:ascii="宋体" w:hAnsi="宋体"/>
                <w:color w:val="auto"/>
                <w:szCs w:val="21"/>
              </w:rPr>
            </w:pPr>
            <w:r>
              <w:rPr>
                <w:color w:val="auto"/>
              </w:rPr>
              <w:t>报价完整，只有一个有效报价且报价未超过</w:t>
            </w:r>
            <w:r>
              <w:rPr>
                <w:rFonts w:hint="eastAsia"/>
                <w:color w:val="auto"/>
              </w:rPr>
              <w:t>谈判</w:t>
            </w:r>
            <w:r>
              <w:rPr>
                <w:color w:val="auto"/>
              </w:rPr>
              <w:t>文件公布的各项最高限价</w:t>
            </w:r>
          </w:p>
        </w:tc>
      </w:tr>
      <w:tr w14:paraId="16E75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Merge w:val="continue"/>
          </w:tcPr>
          <w:p w14:paraId="6B711288">
            <w:pPr>
              <w:spacing w:line="360" w:lineRule="auto"/>
              <w:jc w:val="center"/>
              <w:rPr>
                <w:color w:val="auto"/>
                <w:szCs w:val="21"/>
              </w:rPr>
            </w:pPr>
          </w:p>
        </w:tc>
        <w:tc>
          <w:tcPr>
            <w:tcW w:w="3118" w:type="dxa"/>
            <w:vAlign w:val="center"/>
          </w:tcPr>
          <w:p w14:paraId="6BE0CC96">
            <w:pPr>
              <w:spacing w:line="360" w:lineRule="auto"/>
              <w:rPr>
                <w:rFonts w:hint="eastAsia" w:ascii="宋体" w:hAnsi="宋体"/>
                <w:color w:val="auto"/>
                <w:szCs w:val="21"/>
              </w:rPr>
            </w:pPr>
            <w:r>
              <w:rPr>
                <w:color w:val="auto"/>
              </w:rPr>
              <w:t xml:space="preserve">投标文件有效期 </w:t>
            </w:r>
          </w:p>
        </w:tc>
        <w:tc>
          <w:tcPr>
            <w:tcW w:w="5244" w:type="dxa"/>
            <w:vAlign w:val="center"/>
          </w:tcPr>
          <w:p w14:paraId="2A1586F6">
            <w:pPr>
              <w:spacing w:line="360" w:lineRule="auto"/>
              <w:rPr>
                <w:rFonts w:hint="eastAsia" w:ascii="宋体" w:hAnsi="宋体"/>
                <w:color w:val="auto"/>
                <w:szCs w:val="21"/>
              </w:rPr>
            </w:pPr>
            <w:r>
              <w:rPr>
                <w:color w:val="auto"/>
              </w:rPr>
              <w:t xml:space="preserve">符合第二章“投标人须知前附表”第3.3.1款规定 </w:t>
            </w:r>
          </w:p>
        </w:tc>
      </w:tr>
      <w:tr w14:paraId="6FBD2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Merge w:val="continue"/>
          </w:tcPr>
          <w:p w14:paraId="44174B77">
            <w:pPr>
              <w:spacing w:line="360" w:lineRule="auto"/>
              <w:jc w:val="center"/>
              <w:rPr>
                <w:color w:val="auto"/>
                <w:szCs w:val="21"/>
              </w:rPr>
            </w:pPr>
          </w:p>
        </w:tc>
        <w:tc>
          <w:tcPr>
            <w:tcW w:w="3118" w:type="dxa"/>
            <w:vAlign w:val="center"/>
          </w:tcPr>
          <w:p w14:paraId="4CB6DC63">
            <w:pPr>
              <w:spacing w:line="360" w:lineRule="auto"/>
              <w:rPr>
                <w:rFonts w:hint="eastAsia" w:ascii="宋体" w:hAnsi="宋体"/>
                <w:color w:val="auto"/>
                <w:szCs w:val="21"/>
              </w:rPr>
            </w:pPr>
            <w:r>
              <w:rPr>
                <w:color w:val="auto"/>
              </w:rPr>
              <w:t>合同履行期限</w:t>
            </w:r>
          </w:p>
        </w:tc>
        <w:tc>
          <w:tcPr>
            <w:tcW w:w="5244" w:type="dxa"/>
            <w:vAlign w:val="center"/>
          </w:tcPr>
          <w:p w14:paraId="1E3198BC">
            <w:pPr>
              <w:spacing w:line="360" w:lineRule="auto"/>
              <w:rPr>
                <w:rFonts w:hint="eastAsia" w:ascii="宋体" w:hAnsi="宋体"/>
                <w:color w:val="auto"/>
                <w:szCs w:val="21"/>
              </w:rPr>
            </w:pPr>
            <w:r>
              <w:rPr>
                <w:color w:val="auto"/>
              </w:rPr>
              <w:t xml:space="preserve">符合第二章“投标人须知前附表”第1.3.2款规定 </w:t>
            </w:r>
          </w:p>
        </w:tc>
      </w:tr>
      <w:tr w14:paraId="5B57C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Merge w:val="continue"/>
          </w:tcPr>
          <w:p w14:paraId="463A0219">
            <w:pPr>
              <w:spacing w:line="360" w:lineRule="auto"/>
              <w:jc w:val="center"/>
              <w:rPr>
                <w:color w:val="auto"/>
                <w:szCs w:val="21"/>
              </w:rPr>
            </w:pPr>
          </w:p>
        </w:tc>
        <w:tc>
          <w:tcPr>
            <w:tcW w:w="3118" w:type="dxa"/>
            <w:vAlign w:val="center"/>
          </w:tcPr>
          <w:p w14:paraId="3A6F5E50">
            <w:pPr>
              <w:spacing w:line="360" w:lineRule="auto"/>
              <w:rPr>
                <w:rFonts w:hint="eastAsia" w:ascii="宋体" w:hAnsi="宋体"/>
                <w:color w:val="auto"/>
                <w:szCs w:val="21"/>
              </w:rPr>
            </w:pPr>
            <w:r>
              <w:rPr>
                <w:color w:val="auto"/>
              </w:rPr>
              <w:t xml:space="preserve">实质性要求 </w:t>
            </w:r>
          </w:p>
        </w:tc>
        <w:tc>
          <w:tcPr>
            <w:tcW w:w="5244" w:type="dxa"/>
            <w:vAlign w:val="center"/>
          </w:tcPr>
          <w:p w14:paraId="5D81E5BF">
            <w:pPr>
              <w:spacing w:line="360" w:lineRule="auto"/>
              <w:rPr>
                <w:rFonts w:hint="default" w:ascii="宋体" w:hAnsi="宋体" w:eastAsia="宋体"/>
                <w:color w:val="auto"/>
                <w:szCs w:val="21"/>
                <w:lang w:val="en-US" w:eastAsia="zh-CN"/>
              </w:rPr>
            </w:pPr>
            <w:r>
              <w:rPr>
                <w:color w:val="auto"/>
              </w:rPr>
              <w:t>符合</w:t>
            </w:r>
            <w:r>
              <w:rPr>
                <w:rFonts w:hint="eastAsia"/>
                <w:color w:val="auto"/>
              </w:rPr>
              <w:t>谈判</w:t>
            </w:r>
            <w:r>
              <w:rPr>
                <w:color w:val="auto"/>
              </w:rPr>
              <w:t>文件实质性要求</w:t>
            </w:r>
          </w:p>
        </w:tc>
      </w:tr>
      <w:tr w14:paraId="3B167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Merge w:val="continue"/>
          </w:tcPr>
          <w:p w14:paraId="5B26E61C">
            <w:pPr>
              <w:spacing w:line="360" w:lineRule="auto"/>
              <w:jc w:val="center"/>
              <w:rPr>
                <w:color w:val="auto"/>
                <w:szCs w:val="21"/>
              </w:rPr>
            </w:pPr>
          </w:p>
        </w:tc>
        <w:tc>
          <w:tcPr>
            <w:tcW w:w="3118" w:type="dxa"/>
            <w:vAlign w:val="center"/>
          </w:tcPr>
          <w:p w14:paraId="0B6AC3D8">
            <w:pPr>
              <w:spacing w:line="360" w:lineRule="auto"/>
              <w:rPr>
                <w:rFonts w:hint="default"/>
                <w:b/>
                <w:bCs/>
                <w:color w:val="auto"/>
                <w:lang w:val="en-US" w:eastAsia="zh-CN"/>
              </w:rPr>
            </w:pPr>
            <w:r>
              <w:rPr>
                <w:rFonts w:hint="eastAsia"/>
                <w:b/>
                <w:bCs/>
                <w:color w:val="auto"/>
                <w:lang w:val="en-US" w:eastAsia="zh-CN"/>
              </w:rPr>
              <w:t>采购需求</w:t>
            </w:r>
          </w:p>
        </w:tc>
        <w:tc>
          <w:tcPr>
            <w:tcW w:w="5244" w:type="dxa"/>
            <w:vAlign w:val="center"/>
          </w:tcPr>
          <w:p w14:paraId="7080B9C0">
            <w:pPr>
              <w:spacing w:line="360" w:lineRule="auto"/>
              <w:rPr>
                <w:rFonts w:hint="default"/>
                <w:b/>
                <w:bCs/>
                <w:color w:val="auto"/>
                <w:lang w:val="en-US" w:eastAsia="zh-CN"/>
              </w:rPr>
            </w:pPr>
            <w:r>
              <w:rPr>
                <w:rFonts w:hint="eastAsia"/>
                <w:b/>
                <w:bCs/>
                <w:color w:val="auto"/>
                <w:lang w:val="en-US" w:eastAsia="zh-CN"/>
              </w:rPr>
              <w:t>完全响应谈判文件中“第五章 采购需求及技术要求”中的要求</w:t>
            </w:r>
          </w:p>
        </w:tc>
      </w:tr>
      <w:tr w14:paraId="5C0A0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Merge w:val="continue"/>
          </w:tcPr>
          <w:p w14:paraId="54339A9F">
            <w:pPr>
              <w:spacing w:line="360" w:lineRule="auto"/>
              <w:jc w:val="center"/>
              <w:rPr>
                <w:color w:val="auto"/>
                <w:szCs w:val="21"/>
              </w:rPr>
            </w:pPr>
          </w:p>
        </w:tc>
        <w:tc>
          <w:tcPr>
            <w:tcW w:w="3118" w:type="dxa"/>
            <w:vAlign w:val="center"/>
          </w:tcPr>
          <w:p w14:paraId="4C9F28C5">
            <w:pPr>
              <w:widowControl/>
              <w:spacing w:line="360" w:lineRule="auto"/>
              <w:jc w:val="both"/>
              <w:rPr>
                <w:rFonts w:hint="default"/>
                <w:b/>
                <w:bCs/>
                <w:color w:val="auto"/>
                <w:lang w:val="en-US" w:eastAsia="zh-CN"/>
              </w:rPr>
            </w:pPr>
            <w:r>
              <w:rPr>
                <w:rFonts w:hint="eastAsia" w:ascii="宋体" w:hAnsi="宋体" w:cs="宋体"/>
                <w:b/>
                <w:color w:val="auto"/>
                <w:szCs w:val="21"/>
                <w:lang w:val="en-US" w:eastAsia="zh-CN"/>
              </w:rPr>
              <w:t>标段1：</w:t>
            </w:r>
            <w:r>
              <w:rPr>
                <w:rFonts w:hint="eastAsia" w:ascii="宋体" w:hAnsi="宋体" w:cs="宋体"/>
                <w:b/>
                <w:color w:val="auto"/>
                <w:szCs w:val="21"/>
              </w:rPr>
              <w:t>节能环保</w:t>
            </w:r>
          </w:p>
        </w:tc>
        <w:tc>
          <w:tcPr>
            <w:tcW w:w="5244" w:type="dxa"/>
            <w:vAlign w:val="center"/>
          </w:tcPr>
          <w:p w14:paraId="675033F5">
            <w:pPr>
              <w:spacing w:line="360" w:lineRule="auto"/>
              <w:rPr>
                <w:rFonts w:hint="eastAsia"/>
                <w:b/>
                <w:bCs/>
                <w:color w:val="auto"/>
                <w:lang w:val="en-US" w:eastAsia="zh-CN"/>
              </w:rPr>
            </w:pPr>
            <w:r>
              <w:rPr>
                <w:rFonts w:hint="eastAsia"/>
                <w:color w:val="auto"/>
                <w:szCs w:val="21"/>
                <w:lang w:val="en-US" w:eastAsia="zh-CN"/>
              </w:rPr>
              <w:t>标段1：符合</w:t>
            </w:r>
            <w:r>
              <w:rPr>
                <w:rFonts w:hint="eastAsia"/>
                <w:color w:val="auto"/>
                <w:szCs w:val="21"/>
              </w:rPr>
              <w:t>执行政府采购强制采购和优先采购节能、环保产品等政府采购政策。</w:t>
            </w:r>
          </w:p>
        </w:tc>
      </w:tr>
      <w:tr w14:paraId="0CFFF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277" w:type="dxa"/>
            <w:vMerge w:val="continue"/>
          </w:tcPr>
          <w:p w14:paraId="3F8AE30B">
            <w:pPr>
              <w:spacing w:line="360" w:lineRule="auto"/>
              <w:jc w:val="center"/>
              <w:rPr>
                <w:color w:val="auto"/>
                <w:szCs w:val="21"/>
              </w:rPr>
            </w:pPr>
          </w:p>
        </w:tc>
        <w:tc>
          <w:tcPr>
            <w:tcW w:w="3118" w:type="dxa"/>
            <w:vAlign w:val="center"/>
          </w:tcPr>
          <w:p w14:paraId="0293D576">
            <w:pPr>
              <w:spacing w:line="360" w:lineRule="auto"/>
              <w:rPr>
                <w:rFonts w:hint="eastAsia" w:ascii="宋体" w:hAnsi="宋体"/>
                <w:color w:val="auto"/>
                <w:szCs w:val="21"/>
              </w:rPr>
            </w:pPr>
            <w:r>
              <w:rPr>
                <w:color w:val="auto"/>
              </w:rPr>
              <w:t xml:space="preserve">其他无效情形 </w:t>
            </w:r>
          </w:p>
        </w:tc>
        <w:tc>
          <w:tcPr>
            <w:tcW w:w="5244" w:type="dxa"/>
            <w:vAlign w:val="center"/>
          </w:tcPr>
          <w:p w14:paraId="7C70C344">
            <w:pPr>
              <w:spacing w:line="360" w:lineRule="auto"/>
              <w:rPr>
                <w:rFonts w:hint="eastAsia" w:ascii="宋体" w:hAnsi="宋体"/>
                <w:color w:val="auto"/>
                <w:szCs w:val="21"/>
              </w:rPr>
            </w:pPr>
            <w:r>
              <w:rPr>
                <w:color w:val="auto"/>
                <w:szCs w:val="21"/>
              </w:rPr>
              <w:t>法律、法规和招标文件规定的其他无效情形</w:t>
            </w:r>
          </w:p>
        </w:tc>
      </w:tr>
      <w:tr w14:paraId="2B235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 w:hRule="atLeast"/>
          <w:jc w:val="center"/>
        </w:trPr>
        <w:tc>
          <w:tcPr>
            <w:tcW w:w="1277" w:type="dxa"/>
            <w:vAlign w:val="center"/>
          </w:tcPr>
          <w:p w14:paraId="52F79214">
            <w:pPr>
              <w:spacing w:line="360" w:lineRule="auto"/>
              <w:jc w:val="center"/>
              <w:rPr>
                <w:b/>
                <w:bCs/>
                <w:color w:val="auto"/>
                <w:szCs w:val="21"/>
              </w:rPr>
            </w:pPr>
            <w:r>
              <w:rPr>
                <w:b/>
                <w:bCs/>
                <w:color w:val="auto"/>
                <w:szCs w:val="21"/>
              </w:rPr>
              <w:t>7.3</w:t>
            </w:r>
          </w:p>
          <w:p w14:paraId="7EABF469">
            <w:pPr>
              <w:spacing w:line="360" w:lineRule="auto"/>
              <w:jc w:val="center"/>
              <w:rPr>
                <w:color w:val="auto"/>
                <w:szCs w:val="21"/>
              </w:rPr>
            </w:pPr>
            <w:r>
              <w:rPr>
                <w:rFonts w:hint="eastAsia" w:ascii="宋体" w:hAnsi="宋体"/>
                <w:b/>
                <w:bCs/>
                <w:color w:val="auto"/>
                <w:szCs w:val="21"/>
              </w:rPr>
              <w:t>评审办法</w:t>
            </w:r>
          </w:p>
        </w:tc>
        <w:tc>
          <w:tcPr>
            <w:tcW w:w="8362" w:type="dxa"/>
            <w:gridSpan w:val="2"/>
            <w:vAlign w:val="center"/>
          </w:tcPr>
          <w:p w14:paraId="25CC569C">
            <w:pPr>
              <w:spacing w:line="390" w:lineRule="exact"/>
              <w:rPr>
                <w:rFonts w:hint="eastAsia" w:ascii="宋体" w:hAnsi="宋体" w:cs="宋体"/>
                <w:color w:val="auto"/>
                <w:szCs w:val="21"/>
              </w:rPr>
            </w:pPr>
            <w:r>
              <w:rPr>
                <w:rFonts w:hint="eastAsia" w:ascii="宋体" w:hAnsi="宋体" w:cs="宋体"/>
                <w:color w:val="auto"/>
                <w:szCs w:val="21"/>
              </w:rPr>
              <w:t>谈判小组所有成员集中与通过实质性要求审查的单一供应商分别进行谈判，谈判结束后，谈判小组将要求所有继续参加谈判的供应商在规定时间内提交最后报价，谈判小组根据各供应商最后报价、响应文件及澄清等，按“</w:t>
            </w:r>
            <w:r>
              <w:rPr>
                <w:rFonts w:hint="eastAsia" w:ascii="宋体" w:hAnsi="宋体" w:cs="宋体"/>
                <w:b/>
                <w:color w:val="auto"/>
                <w:szCs w:val="21"/>
              </w:rPr>
              <w:t>谈判程序和方法</w:t>
            </w:r>
            <w:r>
              <w:rPr>
                <w:rFonts w:hint="eastAsia" w:ascii="宋体" w:hAnsi="宋体" w:cs="宋体"/>
                <w:color w:val="auto"/>
                <w:szCs w:val="21"/>
              </w:rPr>
              <w:t>”中的规定推荐成交候选人。</w:t>
            </w:r>
          </w:p>
          <w:p w14:paraId="7187FE52">
            <w:pPr>
              <w:spacing w:line="360" w:lineRule="auto"/>
              <w:rPr>
                <w:rFonts w:hint="eastAsia" w:ascii="宋体" w:hAnsi="宋体"/>
                <w:b/>
                <w:bCs/>
                <w:color w:val="auto"/>
                <w:szCs w:val="21"/>
              </w:rPr>
            </w:pPr>
            <w:r>
              <w:rPr>
                <w:rFonts w:hint="eastAsia" w:ascii="宋体" w:hAnsi="宋体"/>
                <w:b/>
                <w:bCs/>
                <w:color w:val="auto"/>
                <w:szCs w:val="21"/>
              </w:rPr>
              <w:t>评标办法中落实的政府采购政策：</w:t>
            </w:r>
          </w:p>
          <w:p w14:paraId="0FB848F7">
            <w:pPr>
              <w:spacing w:line="360" w:lineRule="auto"/>
              <w:rPr>
                <w:rFonts w:hint="eastAsia"/>
                <w:color w:val="auto"/>
                <w:szCs w:val="21"/>
              </w:rPr>
            </w:pPr>
            <w:r>
              <w:rPr>
                <w:rFonts w:hint="eastAsia"/>
                <w:color w:val="auto"/>
                <w:szCs w:val="21"/>
              </w:rPr>
              <w:t>1.根据《政府采购促进中小企业发展管理办法》（财库〔2020〕46号）、《关于进一步加大政府采购支持中小企业力度的通知》（财库〔2022〕19号）的规定，对符合国家统计局《统计上大中小微型企业划分办法 (2017) 》规定条件</w:t>
            </w:r>
            <w:r>
              <w:rPr>
                <w:rFonts w:hint="eastAsia"/>
                <w:b/>
                <w:bCs/>
                <w:color w:val="auto"/>
                <w:szCs w:val="21"/>
                <w:u w:val="single"/>
              </w:rPr>
              <w:t xml:space="preserve"> 工业 </w:t>
            </w:r>
            <w:r>
              <w:rPr>
                <w:rFonts w:hint="eastAsia"/>
                <w:color w:val="auto"/>
                <w:szCs w:val="21"/>
              </w:rPr>
              <w:t>行业的小微企业报价给予10% 的扣除，用扣除后的价格参加评审。残疾人福利性单位、监狱企业视同小型、微型企业（符合规定的供应商应当按规定出具《中小企业声明函》，否则不得享受相关中小企业扶持政策。供应商对《中小企业声明函》的真实性负责，如有虚假，自行承担相应责任）。</w:t>
            </w:r>
          </w:p>
          <w:p w14:paraId="0CBF562B">
            <w:pPr>
              <w:spacing w:line="360" w:lineRule="auto"/>
              <w:rPr>
                <w:rFonts w:hint="default" w:eastAsia="宋体"/>
                <w:color w:val="auto"/>
                <w:szCs w:val="21"/>
                <w:lang w:val="en-US" w:eastAsia="zh-CN"/>
              </w:rPr>
            </w:pPr>
            <w:r>
              <w:rPr>
                <w:rFonts w:hint="eastAsia"/>
                <w:color w:val="auto"/>
                <w:szCs w:val="21"/>
                <w:lang w:val="en-US" w:eastAsia="zh-CN"/>
              </w:rPr>
              <w:t>对于专门面向中小企业的标段，不参与中小企业优惠。</w:t>
            </w:r>
          </w:p>
          <w:p w14:paraId="55694CC5">
            <w:pPr>
              <w:spacing w:line="360" w:lineRule="auto"/>
              <w:rPr>
                <w:color w:val="auto"/>
                <w:szCs w:val="21"/>
              </w:rPr>
            </w:pPr>
            <w:r>
              <w:rPr>
                <w:rFonts w:hint="eastAsia"/>
                <w:color w:val="auto"/>
                <w:szCs w:val="21"/>
              </w:rPr>
              <w:t>2.政府采购活动中既有本国产品又有非本国产品参与竞争的，依法对本国产品给予价格评审优惠，对本国产品的报价给予20%的价格扣除，用扣除后的价格参与评审。</w:t>
            </w:r>
          </w:p>
          <w:p w14:paraId="275BB6E9">
            <w:pPr>
              <w:spacing w:line="390" w:lineRule="exact"/>
              <w:rPr>
                <w:rFonts w:hint="eastAsia" w:ascii="宋体" w:hAnsi="宋体" w:cs="宋体"/>
                <w:color w:val="auto"/>
                <w:szCs w:val="21"/>
              </w:rPr>
            </w:pPr>
            <w:r>
              <w:rPr>
                <w:rFonts w:hint="eastAsia"/>
                <w:color w:val="auto"/>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tc>
      </w:tr>
    </w:tbl>
    <w:p w14:paraId="061601D7">
      <w:pPr>
        <w:spacing w:before="156" w:beforeLines="50"/>
        <w:jc w:val="center"/>
        <w:rPr>
          <w:rFonts w:hint="eastAsia" w:ascii="宋体" w:hAnsi="宋体"/>
          <w:b/>
          <w:color w:val="auto"/>
          <w:sz w:val="32"/>
          <w:szCs w:val="32"/>
        </w:rPr>
      </w:pPr>
      <w:r>
        <w:rPr>
          <w:rFonts w:hint="eastAsia" w:ascii="宋体" w:hAnsi="宋体"/>
          <w:b/>
          <w:bCs/>
          <w:color w:val="auto"/>
          <w:sz w:val="32"/>
          <w:szCs w:val="32"/>
        </w:rPr>
        <w:br w:type="page"/>
      </w:r>
      <w:r>
        <w:rPr>
          <w:rFonts w:hint="eastAsia" w:ascii="宋体" w:hAnsi="宋体"/>
          <w:b/>
          <w:bCs/>
          <w:color w:val="auto"/>
          <w:sz w:val="32"/>
          <w:szCs w:val="32"/>
        </w:rPr>
        <w:t>谈判程序及评审办法</w:t>
      </w:r>
    </w:p>
    <w:p w14:paraId="155154DF">
      <w:pPr>
        <w:tabs>
          <w:tab w:val="left" w:pos="843"/>
        </w:tabs>
        <w:spacing w:line="460" w:lineRule="exact"/>
        <w:jc w:val="left"/>
        <w:rPr>
          <w:rFonts w:hint="eastAsia" w:ascii="宋体" w:hAnsi="宋体"/>
          <w:b/>
          <w:color w:val="auto"/>
          <w:sz w:val="24"/>
        </w:rPr>
      </w:pPr>
    </w:p>
    <w:p w14:paraId="6C31B897">
      <w:pPr>
        <w:spacing w:line="360" w:lineRule="auto"/>
        <w:jc w:val="left"/>
        <w:outlineLvl w:val="2"/>
        <w:rPr>
          <w:b/>
          <w:color w:val="auto"/>
          <w:kern w:val="0"/>
          <w:szCs w:val="21"/>
        </w:rPr>
      </w:pPr>
      <w:bookmarkStart w:id="228" w:name="_Toc30127"/>
      <w:r>
        <w:rPr>
          <w:b/>
          <w:color w:val="auto"/>
          <w:kern w:val="0"/>
          <w:szCs w:val="21"/>
        </w:rPr>
        <w:t>1</w:t>
      </w:r>
      <w:r>
        <w:rPr>
          <w:rFonts w:hint="eastAsia"/>
          <w:b/>
          <w:color w:val="auto"/>
          <w:kern w:val="0"/>
          <w:szCs w:val="21"/>
        </w:rPr>
        <w:t>.</w:t>
      </w:r>
      <w:r>
        <w:rPr>
          <w:b/>
          <w:color w:val="auto"/>
          <w:kern w:val="0"/>
          <w:szCs w:val="21"/>
        </w:rPr>
        <w:t>总则</w:t>
      </w:r>
      <w:bookmarkEnd w:id="228"/>
    </w:p>
    <w:p w14:paraId="4A8360EE">
      <w:pPr>
        <w:pStyle w:val="19"/>
        <w:spacing w:line="360" w:lineRule="auto"/>
        <w:ind w:firstLine="424" w:firstLineChars="202"/>
        <w:jc w:val="left"/>
        <w:rPr>
          <w:rFonts w:hint="eastAsia" w:ascii="宋体" w:eastAsia="宋体"/>
          <w:color w:val="auto"/>
          <w:sz w:val="21"/>
          <w:szCs w:val="21"/>
        </w:rPr>
      </w:pPr>
      <w:r>
        <w:rPr>
          <w:rFonts w:hint="eastAsia" w:ascii="宋体" w:eastAsia="宋体"/>
          <w:color w:val="auto"/>
          <w:sz w:val="21"/>
          <w:szCs w:val="21"/>
        </w:rPr>
        <w:t>根据《中华人民共和国政府采购法》《中华人民共和国政府采购法实施条例》《政府采购非招标采购方式管理办法》（财政部第74号令）等有关规定，制定本办法。</w:t>
      </w:r>
    </w:p>
    <w:p w14:paraId="2D2A6FD7">
      <w:pPr>
        <w:spacing w:line="360" w:lineRule="auto"/>
        <w:jc w:val="left"/>
        <w:outlineLvl w:val="2"/>
        <w:rPr>
          <w:b/>
          <w:color w:val="auto"/>
          <w:kern w:val="0"/>
          <w:szCs w:val="21"/>
        </w:rPr>
      </w:pPr>
      <w:bookmarkStart w:id="229" w:name="_Toc3413"/>
      <w:r>
        <w:rPr>
          <w:rFonts w:hint="eastAsia"/>
          <w:b/>
          <w:color w:val="auto"/>
          <w:kern w:val="0"/>
          <w:szCs w:val="21"/>
        </w:rPr>
        <w:t>2.评审机构</w:t>
      </w:r>
      <w:bookmarkEnd w:id="229"/>
    </w:p>
    <w:p w14:paraId="50115BBA">
      <w:pPr>
        <w:pStyle w:val="19"/>
        <w:spacing w:line="360" w:lineRule="auto"/>
        <w:ind w:firstLine="424" w:firstLineChars="202"/>
        <w:jc w:val="left"/>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2.1本次竞争性谈判项目依法组建谈判小组</w:t>
      </w:r>
      <w:r>
        <w:rPr>
          <w:rFonts w:hint="eastAsia" w:ascii="Times New Roman" w:hAnsi="Times New Roman" w:eastAsia="宋体" w:cs="Times New Roman"/>
          <w:color w:val="auto"/>
          <w:sz w:val="21"/>
          <w:szCs w:val="21"/>
        </w:rPr>
        <w:t>。</w:t>
      </w:r>
    </w:p>
    <w:p w14:paraId="44F8D97E">
      <w:pPr>
        <w:pStyle w:val="19"/>
        <w:spacing w:line="360" w:lineRule="auto"/>
        <w:ind w:firstLine="424" w:firstLineChars="202"/>
        <w:jc w:val="left"/>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2.2</w:t>
      </w:r>
      <w:r>
        <w:rPr>
          <w:rFonts w:hint="eastAsia" w:ascii="Times New Roman" w:hAnsi="Times New Roman" w:eastAsia="宋体" w:cs="Times New Roman"/>
          <w:color w:val="auto"/>
          <w:sz w:val="21"/>
          <w:szCs w:val="21"/>
        </w:rPr>
        <w:t>谈判小组由采购人代表和评审专家共3人以上单数组成，其中评审专家人数不得少于谈判小组成员总数的2/3</w:t>
      </w:r>
      <w:r>
        <w:rPr>
          <w:rFonts w:ascii="Times New Roman" w:hAnsi="Times New Roman" w:eastAsia="宋体" w:cs="Times New Roman"/>
          <w:color w:val="auto"/>
          <w:sz w:val="21"/>
          <w:szCs w:val="21"/>
        </w:rPr>
        <w:t>。采购人代表不得以评审专家身份参加本部门或本单位采购项目的评审。采购代理机构人员不得参加本机构代理的采购项目的评审。</w:t>
      </w:r>
    </w:p>
    <w:p w14:paraId="19BC9855">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2.3</w:t>
      </w:r>
      <w:r>
        <w:rPr>
          <w:rFonts w:ascii="Times New Roman" w:hAnsi="Times New Roman" w:eastAsia="宋体" w:cs="Times New Roman"/>
          <w:color w:val="auto"/>
          <w:sz w:val="21"/>
          <w:szCs w:val="21"/>
        </w:rPr>
        <w:t>谈判小组应当推选组长，采购人代表不得担任组长。采购人委派代表参加谈判会议的，应当向采购代理机构出具授权函。除授权代表外，采购人可以委派纪检监察等相关人员进入谈判现场，对谈判工作实施监督。</w:t>
      </w:r>
    </w:p>
    <w:p w14:paraId="732CBB62">
      <w:pPr>
        <w:spacing w:line="360" w:lineRule="auto"/>
        <w:jc w:val="left"/>
        <w:outlineLvl w:val="2"/>
        <w:rPr>
          <w:b/>
          <w:color w:val="auto"/>
          <w:kern w:val="0"/>
          <w:szCs w:val="21"/>
        </w:rPr>
      </w:pPr>
      <w:bookmarkStart w:id="230" w:name="_Toc481"/>
      <w:r>
        <w:rPr>
          <w:rFonts w:hint="eastAsia"/>
          <w:b/>
          <w:color w:val="auto"/>
          <w:kern w:val="0"/>
          <w:szCs w:val="21"/>
        </w:rPr>
        <w:t>3.评审原则</w:t>
      </w:r>
      <w:bookmarkEnd w:id="230"/>
    </w:p>
    <w:p w14:paraId="161D9BE2">
      <w:pPr>
        <w:pStyle w:val="19"/>
        <w:spacing w:line="360" w:lineRule="auto"/>
        <w:ind w:firstLine="424" w:firstLineChars="202"/>
        <w:jc w:val="left"/>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3.1坚持公平、公正、科学、择优的原则，本着实事求是的精神，不带有任何主观意愿和偏见，认真负责地做好评审工作，公平、公正地对待每一个供应商。</w:t>
      </w:r>
    </w:p>
    <w:p w14:paraId="08F1FB8E">
      <w:pPr>
        <w:pStyle w:val="19"/>
        <w:spacing w:line="360" w:lineRule="auto"/>
        <w:ind w:firstLine="424" w:firstLineChars="202"/>
        <w:jc w:val="left"/>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3.2全面分析，综合评审。</w:t>
      </w:r>
    </w:p>
    <w:p w14:paraId="464C30E1">
      <w:pPr>
        <w:pStyle w:val="19"/>
        <w:spacing w:line="360" w:lineRule="auto"/>
        <w:ind w:firstLine="424" w:firstLineChars="202"/>
        <w:jc w:val="left"/>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3.3评标只对供应商的响应文件进行评审，响应文件以外的资料、信息不应作为评标的依据。</w:t>
      </w:r>
    </w:p>
    <w:p w14:paraId="73FC0DB6">
      <w:pPr>
        <w:spacing w:line="360" w:lineRule="auto"/>
        <w:jc w:val="left"/>
        <w:outlineLvl w:val="2"/>
        <w:rPr>
          <w:b/>
          <w:color w:val="auto"/>
          <w:kern w:val="0"/>
          <w:szCs w:val="21"/>
        </w:rPr>
      </w:pPr>
      <w:bookmarkStart w:id="231" w:name="_Toc1009"/>
      <w:r>
        <w:rPr>
          <w:rFonts w:hint="eastAsia"/>
          <w:b/>
          <w:color w:val="auto"/>
          <w:kern w:val="0"/>
          <w:szCs w:val="21"/>
        </w:rPr>
        <w:t>4.评审纪律</w:t>
      </w:r>
      <w:bookmarkEnd w:id="231"/>
    </w:p>
    <w:p w14:paraId="27A7077D">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4.1评审专家应当遵守评审工作纪律，不得泄露评审情况和评审中获悉的商业秘密。</w:t>
      </w:r>
    </w:p>
    <w:p w14:paraId="4DD7105D">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4.2谈判小组在评审过程中发现供应商有行贿、提供虚假材料或者串通等违法行为的，应当及时向财政部门报告。</w:t>
      </w:r>
    </w:p>
    <w:p w14:paraId="4E9BA457">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4.3评审内容和评审过程要严格保密，不得向供应商或与该过程无关的其它人员泄露。</w:t>
      </w:r>
    </w:p>
    <w:p w14:paraId="43FC6E4E">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4.4评审期间的一切资料，包括评审意见、评审记录和评审结论，一律不得向外传和泄露。</w:t>
      </w:r>
    </w:p>
    <w:p w14:paraId="462071DD">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4.5任何属于响应文件审查、澄清、评价和比较的资料，不得向供应商或与该过程无关的其它人员泄露。</w:t>
      </w:r>
    </w:p>
    <w:p w14:paraId="65BD08B8">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4.6所有资料(包括谈判文件、响应文件、评标表格及各种文字记录)在评标结束后均应分别整理、存档备查，任何人不得私自复制和保留。</w:t>
      </w:r>
    </w:p>
    <w:p w14:paraId="20046817">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4.7评审期间，评审人员不得外出，确需外出时应事先请假。</w:t>
      </w:r>
    </w:p>
    <w:p w14:paraId="641A0DC0">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4.8评审期间，所有与会人员均不得私自以任何方式和供应商进行联系，需询问、澄清的问题由谈判小组统一组织。</w:t>
      </w:r>
    </w:p>
    <w:p w14:paraId="568E5EF5">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4.9评审期间，未经允许，谈判小组以外的任何单位或部门不得参加评审和采访评审工作。</w:t>
      </w:r>
    </w:p>
    <w:p w14:paraId="2EDDBF89">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4.10评审结束后，与会人员不得向外界透露评审人员的评审意见，如因此造成的后果由责任者承担。</w:t>
      </w:r>
    </w:p>
    <w:p w14:paraId="0C09BF24">
      <w:pPr>
        <w:spacing w:line="360" w:lineRule="auto"/>
        <w:jc w:val="left"/>
        <w:outlineLvl w:val="2"/>
        <w:rPr>
          <w:b/>
          <w:color w:val="auto"/>
          <w:kern w:val="0"/>
          <w:szCs w:val="21"/>
        </w:rPr>
      </w:pPr>
      <w:bookmarkStart w:id="232" w:name="_Toc26646"/>
      <w:r>
        <w:rPr>
          <w:rFonts w:hint="eastAsia"/>
          <w:b/>
          <w:color w:val="auto"/>
          <w:kern w:val="0"/>
          <w:szCs w:val="21"/>
        </w:rPr>
        <w:t>5.评审目的</w:t>
      </w:r>
      <w:bookmarkEnd w:id="232"/>
    </w:p>
    <w:p w14:paraId="6CF68FC8">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评审工作的目的：审查供应商的响应文件与谈判文件的所有条款、条件是否相符；是否已提供了必备的资料，做出实质性响应；实质性偏离系指采购内容、项目期限及资格证明文件明显不能满足谈判文件的要求。按评审程序和评审方法推荐出合格的候选成交供应商。</w:t>
      </w:r>
    </w:p>
    <w:p w14:paraId="49F6E557">
      <w:pPr>
        <w:spacing w:line="360" w:lineRule="auto"/>
        <w:jc w:val="left"/>
        <w:outlineLvl w:val="2"/>
        <w:rPr>
          <w:b/>
          <w:color w:val="auto"/>
          <w:kern w:val="0"/>
          <w:szCs w:val="21"/>
        </w:rPr>
      </w:pPr>
      <w:bookmarkStart w:id="233" w:name="_Toc8282"/>
      <w:r>
        <w:rPr>
          <w:rFonts w:hint="eastAsia"/>
          <w:b/>
          <w:color w:val="auto"/>
          <w:kern w:val="0"/>
          <w:szCs w:val="21"/>
        </w:rPr>
        <w:t>6.</w:t>
      </w:r>
      <w:r>
        <w:rPr>
          <w:b/>
          <w:color w:val="auto"/>
          <w:kern w:val="0"/>
          <w:szCs w:val="21"/>
        </w:rPr>
        <w:t>评审办法</w:t>
      </w:r>
      <w:bookmarkEnd w:id="233"/>
    </w:p>
    <w:p w14:paraId="1FC913D9">
      <w:pPr>
        <w:spacing w:line="360" w:lineRule="auto"/>
        <w:rPr>
          <w:b/>
          <w:color w:val="auto"/>
        </w:rPr>
      </w:pPr>
      <w:bookmarkStart w:id="234" w:name="_Toc107796264"/>
      <w:bookmarkStart w:id="235" w:name="_Toc107796043"/>
      <w:r>
        <w:rPr>
          <w:rFonts w:hint="eastAsia"/>
          <w:b/>
          <w:color w:val="auto"/>
        </w:rPr>
        <w:t>6</w:t>
      </w:r>
      <w:r>
        <w:rPr>
          <w:b/>
          <w:color w:val="auto"/>
        </w:rPr>
        <w:t>.1</w:t>
      </w:r>
      <w:r>
        <w:rPr>
          <w:rFonts w:hint="eastAsia"/>
          <w:b/>
          <w:color w:val="auto"/>
        </w:rPr>
        <w:t>实质性</w:t>
      </w:r>
      <w:bookmarkEnd w:id="234"/>
      <w:bookmarkEnd w:id="235"/>
      <w:r>
        <w:rPr>
          <w:rFonts w:hint="eastAsia"/>
          <w:b/>
          <w:color w:val="auto"/>
        </w:rPr>
        <w:t>评审</w:t>
      </w:r>
    </w:p>
    <w:p w14:paraId="000B2C20">
      <w:pPr>
        <w:spacing w:line="360" w:lineRule="auto"/>
        <w:ind w:firstLine="424" w:firstLineChars="201"/>
        <w:rPr>
          <w:b/>
          <w:bCs/>
          <w:color w:val="auto"/>
          <w:szCs w:val="21"/>
        </w:rPr>
      </w:pPr>
      <w:r>
        <w:rPr>
          <w:rFonts w:hint="eastAsia"/>
          <w:b/>
          <w:bCs/>
          <w:color w:val="auto"/>
          <w:szCs w:val="21"/>
        </w:rPr>
        <w:t>6</w:t>
      </w:r>
      <w:r>
        <w:rPr>
          <w:b/>
          <w:bCs/>
          <w:color w:val="auto"/>
          <w:szCs w:val="21"/>
        </w:rPr>
        <w:t>.1.1</w:t>
      </w:r>
      <w:r>
        <w:rPr>
          <w:rFonts w:hint="eastAsia"/>
          <w:b/>
          <w:bCs/>
          <w:color w:val="auto"/>
          <w:szCs w:val="21"/>
        </w:rPr>
        <w:t>资格审查</w:t>
      </w:r>
    </w:p>
    <w:p w14:paraId="47A87542">
      <w:pPr>
        <w:pStyle w:val="19"/>
        <w:spacing w:line="360" w:lineRule="auto"/>
        <w:ind w:firstLine="422" w:firstLineChars="201"/>
        <w:jc w:val="left"/>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谈判小组对各供应商的响应文件进行资格审查，以确定其是否满足谈判文件的实质性要求。未通过资格审查的供应商将不进入符合性审查</w:t>
      </w:r>
      <w:r>
        <w:rPr>
          <w:rFonts w:hint="eastAsia" w:ascii="Times New Roman" w:hAnsi="Times New Roman" w:eastAsia="宋体" w:cs="Times New Roman"/>
          <w:color w:val="auto"/>
          <w:sz w:val="21"/>
          <w:szCs w:val="21"/>
        </w:rPr>
        <w:t>，具体详见评审办法前附表资格评审。</w:t>
      </w:r>
    </w:p>
    <w:p w14:paraId="24A73035">
      <w:pPr>
        <w:spacing w:line="360" w:lineRule="auto"/>
        <w:ind w:firstLine="424" w:firstLineChars="201"/>
        <w:rPr>
          <w:b/>
          <w:bCs/>
          <w:color w:val="auto"/>
          <w:szCs w:val="21"/>
        </w:rPr>
      </w:pPr>
      <w:bookmarkStart w:id="236" w:name="_Toc107796044"/>
      <w:bookmarkStart w:id="237" w:name="_Toc107796265"/>
      <w:r>
        <w:rPr>
          <w:rFonts w:hint="eastAsia"/>
          <w:b/>
          <w:bCs/>
          <w:color w:val="auto"/>
          <w:szCs w:val="21"/>
        </w:rPr>
        <w:t>6</w:t>
      </w:r>
      <w:r>
        <w:rPr>
          <w:b/>
          <w:bCs/>
          <w:color w:val="auto"/>
          <w:szCs w:val="21"/>
        </w:rPr>
        <w:t>.1.2符合性审查</w:t>
      </w:r>
      <w:bookmarkEnd w:id="236"/>
      <w:bookmarkEnd w:id="237"/>
      <w:r>
        <w:rPr>
          <w:rFonts w:hint="eastAsia"/>
          <w:b/>
          <w:bCs/>
          <w:color w:val="auto"/>
          <w:szCs w:val="21"/>
        </w:rPr>
        <w:t xml:space="preserve"> </w:t>
      </w:r>
    </w:p>
    <w:p w14:paraId="3CF13074">
      <w:pPr>
        <w:pStyle w:val="19"/>
        <w:spacing w:line="360" w:lineRule="auto"/>
        <w:ind w:firstLine="422" w:firstLineChars="201"/>
        <w:jc w:val="left"/>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谈判小组依据符合性评审标准对符合资格的供应商的响应文件进行符合性审查，有一项不符合评审标准的，谈判小组应当否决其谈判</w:t>
      </w:r>
      <w:r>
        <w:rPr>
          <w:rFonts w:hint="eastAsia" w:ascii="Times New Roman" w:hAnsi="Times New Roman" w:eastAsia="宋体" w:cs="Times New Roman"/>
          <w:color w:val="auto"/>
          <w:sz w:val="21"/>
          <w:szCs w:val="21"/>
        </w:rPr>
        <w:t>，具体详见评审办法前附表符合性评审。</w:t>
      </w:r>
      <w:r>
        <w:rPr>
          <w:rFonts w:ascii="Times New Roman" w:hAnsi="Times New Roman" w:eastAsia="宋体" w:cs="Times New Roman"/>
          <w:color w:val="auto"/>
          <w:sz w:val="21"/>
          <w:szCs w:val="21"/>
        </w:rPr>
        <w:t xml:space="preserve"> </w:t>
      </w:r>
    </w:p>
    <w:p w14:paraId="0BDCABC2">
      <w:pPr>
        <w:pStyle w:val="19"/>
        <w:spacing w:line="360" w:lineRule="auto"/>
        <w:ind w:firstLine="422" w:firstLineChars="201"/>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6</w:t>
      </w:r>
      <w:r>
        <w:rPr>
          <w:rFonts w:ascii="Times New Roman" w:hAnsi="Times New Roman" w:eastAsia="宋体" w:cs="Times New Roman"/>
          <w:color w:val="auto"/>
          <w:sz w:val="21"/>
          <w:szCs w:val="21"/>
        </w:rPr>
        <w:t>.1.3在需要时可要求供应商对响应文件中含义不明确的内容作必要的澄清或说明，澄清或说明应采用书面形式。澄清或说明不得超出响应文件的范围或者改变响应文件的实质性内容。</w:t>
      </w:r>
    </w:p>
    <w:p w14:paraId="2BB5EE3F">
      <w:pPr>
        <w:spacing w:line="360" w:lineRule="auto"/>
        <w:rPr>
          <w:b/>
          <w:color w:val="auto"/>
        </w:rPr>
      </w:pPr>
      <w:bookmarkStart w:id="238" w:name="_Toc107796045"/>
      <w:bookmarkStart w:id="239" w:name="_Toc107796266"/>
      <w:r>
        <w:rPr>
          <w:rFonts w:hint="eastAsia"/>
          <w:b/>
          <w:color w:val="auto"/>
        </w:rPr>
        <w:t>6</w:t>
      </w:r>
      <w:r>
        <w:rPr>
          <w:b/>
          <w:color w:val="auto"/>
        </w:rPr>
        <w:t>.2</w:t>
      </w:r>
      <w:r>
        <w:rPr>
          <w:rFonts w:hint="eastAsia"/>
          <w:b/>
          <w:color w:val="auto"/>
        </w:rPr>
        <w:t>谈判</w:t>
      </w:r>
      <w:bookmarkEnd w:id="238"/>
      <w:bookmarkEnd w:id="239"/>
      <w:r>
        <w:rPr>
          <w:rFonts w:hint="eastAsia"/>
          <w:b/>
          <w:color w:val="auto"/>
        </w:rPr>
        <w:t>及最后报价</w:t>
      </w:r>
    </w:p>
    <w:p w14:paraId="7D81A646">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6</w:t>
      </w:r>
      <w:r>
        <w:rPr>
          <w:rFonts w:ascii="Times New Roman" w:hAnsi="Times New Roman" w:eastAsia="宋体" w:cs="Times New Roman"/>
          <w:color w:val="auto"/>
          <w:sz w:val="21"/>
          <w:szCs w:val="21"/>
        </w:rPr>
        <w:t>.2.1</w:t>
      </w:r>
      <w:r>
        <w:rPr>
          <w:rFonts w:hint="eastAsia" w:ascii="Times New Roman" w:hAnsi="Times New Roman" w:eastAsia="宋体" w:cs="Times New Roman"/>
          <w:color w:val="auto"/>
          <w:sz w:val="21"/>
          <w:szCs w:val="21"/>
        </w:rPr>
        <w:t>谈判小组所有成员应当集中与通过符合性审查的单一供应商分别进行谈判，在谈判中，谈判的任何一方不得透露与谈判有关的其他供应商的技术资料、价格、折扣和其他信息。</w:t>
      </w:r>
    </w:p>
    <w:p w14:paraId="71D4BEE4">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6</w:t>
      </w:r>
      <w:r>
        <w:rPr>
          <w:rFonts w:ascii="Times New Roman" w:hAnsi="Times New Roman" w:eastAsia="宋体" w:cs="Times New Roman"/>
          <w:color w:val="auto"/>
          <w:sz w:val="21"/>
          <w:szCs w:val="21"/>
        </w:rPr>
        <w:t>.2.2</w:t>
      </w:r>
      <w:r>
        <w:rPr>
          <w:rFonts w:hint="eastAsia" w:ascii="Times New Roman" w:hAnsi="Times New Roman" w:eastAsia="宋体" w:cs="Times New Roman"/>
          <w:color w:val="auto"/>
          <w:sz w:val="21"/>
          <w:szCs w:val="21"/>
        </w:rPr>
        <w:t>谈判文件有实质性变动的，谈判小组将经采购人代表确认后，以书面形式通知所有参加谈判的供应商。但不得对涉及竞争的公平、公正性内容进行修改、变动。</w:t>
      </w:r>
    </w:p>
    <w:p w14:paraId="09AC2D96">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6</w:t>
      </w:r>
      <w:r>
        <w:rPr>
          <w:rFonts w:ascii="Times New Roman" w:hAnsi="Times New Roman" w:eastAsia="宋体" w:cs="Times New Roman"/>
          <w:color w:val="auto"/>
          <w:sz w:val="21"/>
          <w:szCs w:val="21"/>
        </w:rPr>
        <w:t>.2.3</w:t>
      </w:r>
      <w:r>
        <w:rPr>
          <w:rFonts w:hint="eastAsia" w:ascii="Times New Roman" w:hAnsi="Times New Roman" w:eastAsia="宋体" w:cs="Times New Roman"/>
          <w:color w:val="auto"/>
          <w:sz w:val="21"/>
          <w:szCs w:val="21"/>
        </w:rPr>
        <w:t>为有助于对响应文件的详细审查、评价和比较，谈判小组可要求对供应商分别进行技术询问、澄清，有关要求和答复均现场线上进行。</w:t>
      </w:r>
    </w:p>
    <w:p w14:paraId="2D5D979A">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6</w:t>
      </w:r>
      <w:r>
        <w:rPr>
          <w:rFonts w:ascii="Times New Roman" w:hAnsi="Times New Roman" w:eastAsia="宋体" w:cs="Times New Roman"/>
          <w:color w:val="auto"/>
          <w:sz w:val="21"/>
          <w:szCs w:val="21"/>
        </w:rPr>
        <w:t>.2.4</w:t>
      </w:r>
      <w:r>
        <w:rPr>
          <w:rFonts w:hint="eastAsia" w:ascii="Times New Roman" w:hAnsi="Times New Roman" w:eastAsia="宋体" w:cs="Times New Roman"/>
          <w:color w:val="auto"/>
          <w:sz w:val="21"/>
          <w:szCs w:val="21"/>
        </w:rPr>
        <w:t>谈判小组对供应商提交的澄清、说明有疑问的，可以要求供应商进一步澄清、说明。谈判小组要求供应商澄清、说明或者更正响应文件应当以书面形式作出。供应商的澄清、说明或者更正应当由法定代表人或其授权代表进行签字或者加盖电子公章。由授权代表签字的，应当附法定代表人授权书。供应商为自然人的，应当由本人签字并附身份证明。</w:t>
      </w:r>
    </w:p>
    <w:p w14:paraId="7A8DCD0D">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6</w:t>
      </w:r>
      <w:r>
        <w:rPr>
          <w:rFonts w:ascii="Times New Roman" w:hAnsi="Times New Roman" w:eastAsia="宋体" w:cs="Times New Roman"/>
          <w:color w:val="auto"/>
          <w:sz w:val="21"/>
          <w:szCs w:val="21"/>
        </w:rPr>
        <w:t>.2.5</w:t>
      </w:r>
      <w:r>
        <w:rPr>
          <w:rFonts w:hint="eastAsia" w:ascii="Times New Roman" w:hAnsi="Times New Roman" w:eastAsia="宋体" w:cs="Times New Roman"/>
          <w:color w:val="auto"/>
          <w:sz w:val="21"/>
          <w:szCs w:val="21"/>
        </w:rPr>
        <w:t>谈判小组对供应商提交的澄清、说明有疑问的，可以要求供应商进一步澄清、说明。</w:t>
      </w:r>
    </w:p>
    <w:p w14:paraId="2D007152">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6</w:t>
      </w:r>
      <w:r>
        <w:rPr>
          <w:rFonts w:ascii="Times New Roman" w:hAnsi="Times New Roman" w:eastAsia="宋体" w:cs="Times New Roman"/>
          <w:color w:val="auto"/>
          <w:sz w:val="21"/>
          <w:szCs w:val="21"/>
        </w:rPr>
        <w:t>.2.6</w:t>
      </w:r>
      <w:r>
        <w:rPr>
          <w:rFonts w:hint="eastAsia" w:ascii="Times New Roman" w:hAnsi="Times New Roman" w:eastAsia="宋体" w:cs="Times New Roman"/>
          <w:color w:val="auto"/>
          <w:sz w:val="21"/>
          <w:szCs w:val="21"/>
        </w:rPr>
        <w:t>谈判结束后，谈判小组应当要求所有继续参加谈判的供应商在规定时间内提交最后报价，提交最后报价的供应商不得少于3家。</w:t>
      </w:r>
    </w:p>
    <w:p w14:paraId="05082B89">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6</w:t>
      </w:r>
      <w:r>
        <w:rPr>
          <w:rFonts w:ascii="Times New Roman" w:hAnsi="Times New Roman" w:eastAsia="宋体" w:cs="Times New Roman"/>
          <w:color w:val="auto"/>
          <w:sz w:val="21"/>
          <w:szCs w:val="21"/>
        </w:rPr>
        <w:t xml:space="preserve">.2.7响应文件报价出现前后不一致的，除谈判文件另有规定外，按照下列规定修正： </w:t>
      </w:r>
    </w:p>
    <w:p w14:paraId="257AEAF5">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w:t>
      </w:r>
      <w:r>
        <w:rPr>
          <w:rFonts w:ascii="Times New Roman" w:hAnsi="Times New Roman" w:eastAsia="宋体" w:cs="Times New Roman"/>
          <w:color w:val="auto"/>
          <w:sz w:val="21"/>
          <w:szCs w:val="21"/>
        </w:rPr>
        <w:t>响应文件中《报价</w:t>
      </w:r>
      <w:r>
        <w:rPr>
          <w:rFonts w:hint="eastAsia" w:ascii="Times New Roman" w:hAnsi="Times New Roman" w:eastAsia="宋体" w:cs="Times New Roman"/>
          <w:color w:val="auto"/>
          <w:sz w:val="21"/>
          <w:szCs w:val="21"/>
        </w:rPr>
        <w:t>一览</w:t>
      </w:r>
      <w:r>
        <w:rPr>
          <w:rFonts w:ascii="Times New Roman" w:hAnsi="Times New Roman" w:eastAsia="宋体" w:cs="Times New Roman"/>
          <w:color w:val="auto"/>
          <w:sz w:val="21"/>
          <w:szCs w:val="21"/>
        </w:rPr>
        <w:t>表》内容与响应文件中相应内容不一致的，以《报价</w:t>
      </w:r>
      <w:r>
        <w:rPr>
          <w:rFonts w:hint="eastAsia" w:ascii="Times New Roman" w:hAnsi="Times New Roman" w:eastAsia="宋体" w:cs="Times New Roman"/>
          <w:color w:val="auto"/>
          <w:sz w:val="21"/>
          <w:szCs w:val="21"/>
        </w:rPr>
        <w:t>一览</w:t>
      </w:r>
      <w:r>
        <w:rPr>
          <w:rFonts w:ascii="Times New Roman" w:hAnsi="Times New Roman" w:eastAsia="宋体" w:cs="Times New Roman"/>
          <w:color w:val="auto"/>
          <w:sz w:val="21"/>
          <w:szCs w:val="21"/>
        </w:rPr>
        <w:t xml:space="preserve">表》为准； </w:t>
      </w:r>
    </w:p>
    <w:p w14:paraId="779477B7">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（2）</w:t>
      </w:r>
      <w:r>
        <w:rPr>
          <w:rFonts w:ascii="Times New Roman" w:hAnsi="Times New Roman" w:eastAsia="宋体" w:cs="Times New Roman"/>
          <w:color w:val="auto"/>
          <w:sz w:val="21"/>
          <w:szCs w:val="21"/>
        </w:rPr>
        <w:t xml:space="preserve">大写金额和小写金额不一致的，以大写金额为准； </w:t>
      </w:r>
    </w:p>
    <w:p w14:paraId="15C1A8F6">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（3）</w:t>
      </w:r>
      <w:r>
        <w:rPr>
          <w:rFonts w:ascii="Times New Roman" w:hAnsi="Times New Roman" w:eastAsia="宋体" w:cs="Times New Roman"/>
          <w:color w:val="auto"/>
          <w:sz w:val="21"/>
          <w:szCs w:val="21"/>
        </w:rPr>
        <w:t xml:space="preserve">单价金额小数点或者百分比有明显错位的，以报价表的总价为准，并修改单价； </w:t>
      </w:r>
    </w:p>
    <w:p w14:paraId="417B940C">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（4）</w:t>
      </w:r>
      <w:r>
        <w:rPr>
          <w:rFonts w:ascii="Times New Roman" w:hAnsi="Times New Roman" w:eastAsia="宋体" w:cs="Times New Roman"/>
          <w:color w:val="auto"/>
          <w:sz w:val="21"/>
          <w:szCs w:val="21"/>
        </w:rPr>
        <w:t>总价金额与按单价汇总金额不一致的，以单价金额计算结果为准</w:t>
      </w:r>
      <w:r>
        <w:rPr>
          <w:rFonts w:hint="eastAsia" w:ascii="Times New Roman" w:hAnsi="Times New Roman" w:eastAsia="宋体" w:cs="Times New Roman"/>
          <w:color w:val="auto"/>
          <w:sz w:val="21"/>
          <w:szCs w:val="21"/>
        </w:rPr>
        <w:t>；</w:t>
      </w:r>
    </w:p>
    <w:p w14:paraId="3CEB706B">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（5）</w:t>
      </w:r>
      <w:r>
        <w:rPr>
          <w:rFonts w:ascii="Times New Roman" w:hAnsi="Times New Roman" w:eastAsia="宋体" w:cs="Times New Roman"/>
          <w:color w:val="auto"/>
          <w:sz w:val="21"/>
          <w:szCs w:val="21"/>
        </w:rPr>
        <w:t xml:space="preserve">同时出现两种以上不一致的，按照前款规定的顺序修正。修正后的报价经供应商确认后产生约束力，供应商不确认的，其谈判无效。 </w:t>
      </w:r>
    </w:p>
    <w:p w14:paraId="2F448D77">
      <w:pPr>
        <w:pStyle w:val="19"/>
        <w:spacing w:line="360" w:lineRule="auto"/>
        <w:ind w:firstLine="424" w:firstLineChars="202"/>
        <w:jc w:val="left"/>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谈判小组认为供应商的报价明显低于其他通过符合性审查供应商的报价，有可能影响诚信履约的，应当要求其在评审现场合理的时间内提供书面说明，必要时提交相关证明材料；供应商不能证明其报价合理性的，谈判小组应当将其作为无效处理。</w:t>
      </w:r>
    </w:p>
    <w:p w14:paraId="73F3EAD7">
      <w:pPr>
        <w:spacing w:line="360" w:lineRule="auto"/>
        <w:rPr>
          <w:b/>
          <w:color w:val="auto"/>
        </w:rPr>
      </w:pPr>
      <w:r>
        <w:rPr>
          <w:rFonts w:hint="eastAsia"/>
          <w:b/>
          <w:color w:val="auto"/>
        </w:rPr>
        <w:t>6</w:t>
      </w:r>
      <w:r>
        <w:rPr>
          <w:b/>
          <w:color w:val="auto"/>
        </w:rPr>
        <w:t>.3</w:t>
      </w:r>
      <w:r>
        <w:rPr>
          <w:rFonts w:hint="eastAsia"/>
          <w:b/>
          <w:color w:val="auto"/>
        </w:rPr>
        <w:t>评审办法</w:t>
      </w:r>
    </w:p>
    <w:p w14:paraId="6F85276C">
      <w:pPr>
        <w:spacing w:line="360" w:lineRule="auto"/>
        <w:ind w:firstLine="356" w:firstLineChars="169"/>
        <w:jc w:val="left"/>
        <w:rPr>
          <w:color w:val="auto"/>
          <w:szCs w:val="21"/>
        </w:rPr>
      </w:pPr>
      <w:r>
        <w:rPr>
          <w:rFonts w:hint="eastAsia"/>
          <w:b/>
          <w:bCs/>
          <w:color w:val="auto"/>
          <w:szCs w:val="21"/>
        </w:rPr>
        <w:t>6.3.1本次竞争性谈判采用最低评标价法。成交原则：谈判小组按照供应商的谈判评审报价（未超预算价）由低到高推荐成交候选人，推荐成交候选人3人，并标明排列顺序；若出现谈判评审报价相同的情况，按最终报价（未超预算价）由低到高的顺序推荐，若最终报价也相同时，谈判小组对供应商响应文件的技术部分内容进行评价，择优选择</w:t>
      </w:r>
      <w:r>
        <w:rPr>
          <w:b/>
          <w:bCs/>
          <w:color w:val="auto"/>
        </w:rPr>
        <w:t>。</w:t>
      </w:r>
    </w:p>
    <w:p w14:paraId="62465B09">
      <w:pPr>
        <w:spacing w:line="360" w:lineRule="auto"/>
        <w:ind w:firstLine="354" w:firstLineChars="169"/>
        <w:jc w:val="left"/>
        <w:rPr>
          <w:color w:val="auto"/>
          <w:szCs w:val="21"/>
        </w:rPr>
      </w:pPr>
      <w:r>
        <w:rPr>
          <w:rFonts w:hint="eastAsia"/>
          <w:color w:val="auto"/>
          <w:szCs w:val="21"/>
        </w:rPr>
        <w:t>6.3.2谈判小组成员应依法独立评审，并对评审意见承担个人责任。谈判小组成员对需要共同认定的事项存在争议的，按照少数服从多数的原则做出结论。</w:t>
      </w:r>
    </w:p>
    <w:p w14:paraId="44AB4055">
      <w:pPr>
        <w:spacing w:line="360" w:lineRule="auto"/>
        <w:jc w:val="left"/>
        <w:outlineLvl w:val="2"/>
        <w:rPr>
          <w:b/>
          <w:color w:val="auto"/>
          <w:kern w:val="0"/>
          <w:szCs w:val="21"/>
        </w:rPr>
      </w:pPr>
      <w:bookmarkStart w:id="240" w:name="_Toc31048"/>
      <w:bookmarkStart w:id="241" w:name="_Toc7788"/>
      <w:r>
        <w:rPr>
          <w:rFonts w:hint="eastAsia"/>
          <w:b/>
          <w:color w:val="auto"/>
          <w:kern w:val="0"/>
          <w:szCs w:val="21"/>
        </w:rPr>
        <w:t>7.异常低价投标（响应）审查程序</w:t>
      </w:r>
      <w:bookmarkEnd w:id="240"/>
      <w:bookmarkEnd w:id="241"/>
    </w:p>
    <w:p w14:paraId="78CFC5B5">
      <w:pPr>
        <w:spacing w:line="360" w:lineRule="auto"/>
        <w:ind w:firstLine="422" w:firstLineChars="200"/>
        <w:rPr>
          <w:rFonts w:hint="eastAsia" w:ascii="宋体" w:hAnsi="宋体"/>
          <w:b/>
          <w:bCs/>
          <w:color w:val="auto"/>
          <w:szCs w:val="21"/>
        </w:rPr>
      </w:pPr>
      <w:r>
        <w:rPr>
          <w:rFonts w:hint="eastAsia" w:ascii="宋体" w:hAnsi="宋体"/>
          <w:b/>
          <w:bCs/>
          <w:color w:val="auto"/>
          <w:szCs w:val="21"/>
        </w:rPr>
        <w:t>7.1评审中出现下列情形之一的，评审委员会应当启动异常低价投标（响应）审查程序：</w:t>
      </w:r>
    </w:p>
    <w:p w14:paraId="55E09FDF">
      <w:pPr>
        <w:spacing w:line="360" w:lineRule="auto"/>
        <w:ind w:firstLine="420" w:firstLineChars="200"/>
        <w:rPr>
          <w:rFonts w:hint="eastAsia" w:ascii="宋体" w:hAnsi="宋体"/>
          <w:color w:val="auto"/>
          <w:szCs w:val="21"/>
        </w:rPr>
      </w:pPr>
      <w:r>
        <w:rPr>
          <w:rFonts w:hint="eastAsia" w:ascii="宋体" w:hAnsi="宋体"/>
          <w:color w:val="auto"/>
          <w:szCs w:val="21"/>
        </w:rPr>
        <w:t>（1）投标（响应）报价低于全部通过符合性审查供应商投标（响应）报价平均值50%的，即投标（响应）报价＜全部通过符合性审查供应商投标（响应）报价平均值×50%；</w:t>
      </w:r>
    </w:p>
    <w:p w14:paraId="2562163D">
      <w:pPr>
        <w:spacing w:line="360" w:lineRule="auto"/>
        <w:ind w:firstLine="420" w:firstLineChars="200"/>
        <w:rPr>
          <w:rFonts w:hint="eastAsia" w:ascii="宋体" w:hAnsi="宋体"/>
          <w:color w:val="auto"/>
          <w:szCs w:val="21"/>
        </w:rPr>
      </w:pPr>
      <w:r>
        <w:rPr>
          <w:rFonts w:hint="eastAsia" w:ascii="宋体" w:hAnsi="宋体"/>
          <w:color w:val="auto"/>
          <w:szCs w:val="21"/>
        </w:rPr>
        <w:t>（2）投标（响应）报价低于通过符合性审查的次低报价供应商投标（响应）报价50%的，即投标（响应）报价＜通过符合性审查的次低报价供应商投标（响应）报价×50%；</w:t>
      </w:r>
    </w:p>
    <w:p w14:paraId="3EFBEF09">
      <w:pPr>
        <w:spacing w:line="360" w:lineRule="auto"/>
        <w:ind w:firstLine="420" w:firstLineChars="200"/>
        <w:rPr>
          <w:rFonts w:hint="eastAsia" w:ascii="宋体" w:hAnsi="宋体"/>
          <w:color w:val="auto"/>
          <w:szCs w:val="21"/>
        </w:rPr>
      </w:pPr>
      <w:r>
        <w:rPr>
          <w:rFonts w:hint="eastAsia" w:ascii="宋体" w:hAnsi="宋体"/>
          <w:color w:val="auto"/>
          <w:szCs w:val="21"/>
        </w:rPr>
        <w:t>（3）投标（响应）报价低于采购项目最高限价45%的，即投标（响应）报价＜采购项目最高限价×45%；</w:t>
      </w:r>
    </w:p>
    <w:p w14:paraId="620E140B">
      <w:pPr>
        <w:spacing w:line="360" w:lineRule="auto"/>
        <w:ind w:firstLine="420" w:firstLineChars="200"/>
        <w:rPr>
          <w:rFonts w:hint="eastAsia" w:ascii="宋体" w:hAnsi="宋体"/>
          <w:color w:val="auto"/>
          <w:szCs w:val="21"/>
        </w:rPr>
      </w:pPr>
      <w:r>
        <w:rPr>
          <w:rFonts w:hint="eastAsia" w:ascii="宋体" w:hAnsi="宋体"/>
          <w:color w:val="auto"/>
          <w:szCs w:val="21"/>
        </w:rPr>
        <w:t>（4）评审委员会基于专业判断，认为供应商报价过低，有可能影响产品质量或者不能诚信履约的其他情形。</w:t>
      </w:r>
    </w:p>
    <w:p w14:paraId="5123D9CA">
      <w:pPr>
        <w:spacing w:line="360" w:lineRule="auto"/>
        <w:ind w:firstLine="420" w:firstLineChars="200"/>
        <w:rPr>
          <w:rFonts w:hint="eastAsia" w:ascii="宋体" w:hAnsi="宋体"/>
          <w:color w:val="auto"/>
          <w:szCs w:val="21"/>
        </w:rPr>
      </w:pPr>
      <w:r>
        <w:rPr>
          <w:rFonts w:hint="eastAsia" w:ascii="宋体" w:hAnsi="宋体"/>
          <w:color w:val="auto"/>
          <w:szCs w:val="21"/>
        </w:rPr>
        <w:t>7.2 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766F485">
      <w:pPr>
        <w:spacing w:line="360" w:lineRule="auto"/>
        <w:ind w:firstLine="422" w:firstLineChars="200"/>
        <w:rPr>
          <w:rFonts w:hint="eastAsia" w:ascii="宋体" w:hAnsi="宋体"/>
          <w:b/>
          <w:bCs/>
          <w:color w:val="auto"/>
          <w:szCs w:val="21"/>
        </w:rPr>
      </w:pPr>
      <w:r>
        <w:rPr>
          <w:rFonts w:hint="eastAsia" w:ascii="宋体" w:hAnsi="宋体"/>
          <w:b/>
          <w:bCs/>
          <w:color w:val="auto"/>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3BF7FDC">
      <w:pPr>
        <w:spacing w:line="360" w:lineRule="auto"/>
        <w:ind w:firstLine="420" w:firstLineChars="200"/>
        <w:rPr>
          <w:rFonts w:hint="eastAsia" w:ascii="宋体" w:hAnsi="宋体"/>
          <w:color w:val="auto"/>
          <w:szCs w:val="21"/>
        </w:rPr>
      </w:pPr>
      <w:r>
        <w:rPr>
          <w:rFonts w:hint="eastAsia" w:ascii="宋体" w:hAnsi="宋体"/>
          <w:color w:val="auto"/>
          <w:szCs w:val="21"/>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14990A32">
      <w:pPr>
        <w:spacing w:line="360" w:lineRule="auto"/>
        <w:ind w:firstLine="420" w:firstLineChars="200"/>
        <w:rPr>
          <w:color w:val="auto"/>
        </w:rPr>
      </w:pPr>
      <w:r>
        <w:rPr>
          <w:rFonts w:hint="eastAsia" w:ascii="宋体" w:hAnsi="宋体"/>
          <w:color w:val="auto"/>
          <w:szCs w:val="21"/>
        </w:rPr>
        <w:t>异常低价投标（响应）审查的启动原因、审查意见和审查结果应当在评审报告中记录，并随供应商提供的相关书面说明及证明材料，以及评审委员会有关互联网浏览、查询历史一并归档。</w:t>
      </w:r>
    </w:p>
    <w:p w14:paraId="401F4B66">
      <w:pPr>
        <w:spacing w:line="360" w:lineRule="auto"/>
        <w:jc w:val="left"/>
        <w:outlineLvl w:val="2"/>
        <w:rPr>
          <w:b/>
          <w:color w:val="auto"/>
          <w:kern w:val="0"/>
          <w:szCs w:val="21"/>
        </w:rPr>
      </w:pPr>
      <w:bookmarkStart w:id="242" w:name="_Toc28874"/>
      <w:r>
        <w:rPr>
          <w:rFonts w:hint="eastAsia"/>
          <w:b/>
          <w:color w:val="auto"/>
          <w:kern w:val="0"/>
          <w:szCs w:val="21"/>
          <w:lang w:val="en-US" w:eastAsia="zh-CN"/>
        </w:rPr>
        <w:t>8</w:t>
      </w:r>
      <w:r>
        <w:rPr>
          <w:rFonts w:hint="eastAsia"/>
          <w:b/>
          <w:color w:val="auto"/>
          <w:kern w:val="0"/>
          <w:szCs w:val="21"/>
        </w:rPr>
        <w:t>.谈判结果</w:t>
      </w:r>
      <w:bookmarkEnd w:id="242"/>
    </w:p>
    <w:p w14:paraId="0B9C6DD0">
      <w:pPr>
        <w:adjustRightInd w:val="0"/>
        <w:snapToGrid w:val="0"/>
        <w:spacing w:line="360" w:lineRule="auto"/>
        <w:ind w:firstLine="354" w:firstLineChars="169"/>
        <w:jc w:val="left"/>
        <w:rPr>
          <w:color w:val="auto"/>
          <w:szCs w:val="21"/>
        </w:rPr>
      </w:pPr>
      <w:bookmarkStart w:id="243" w:name="_Toc107796272"/>
      <w:bookmarkStart w:id="244" w:name="_Toc107796051"/>
      <w:r>
        <w:rPr>
          <w:rFonts w:hint="eastAsia"/>
          <w:color w:val="auto"/>
          <w:szCs w:val="21"/>
          <w:lang w:val="en-US" w:eastAsia="zh-CN"/>
        </w:rPr>
        <w:t>8</w:t>
      </w:r>
      <w:r>
        <w:rPr>
          <w:color w:val="auto"/>
          <w:szCs w:val="21"/>
        </w:rPr>
        <w:t>.1</w:t>
      </w:r>
      <w:r>
        <w:rPr>
          <w:rFonts w:hint="eastAsia"/>
          <w:color w:val="auto"/>
          <w:szCs w:val="21"/>
        </w:rPr>
        <w:t>谈判</w:t>
      </w:r>
      <w:r>
        <w:rPr>
          <w:color w:val="auto"/>
          <w:szCs w:val="21"/>
        </w:rPr>
        <w:t>小组</w:t>
      </w:r>
      <w:r>
        <w:rPr>
          <w:rFonts w:hint="eastAsia"/>
          <w:color w:val="auto"/>
          <w:szCs w:val="21"/>
        </w:rPr>
        <w:t>按最终报价由低至高的顺序推荐成交候选人，</w:t>
      </w:r>
      <w:r>
        <w:rPr>
          <w:color w:val="auto"/>
          <w:szCs w:val="21"/>
        </w:rPr>
        <w:t>并提出书面评标报告</w:t>
      </w:r>
      <w:r>
        <w:rPr>
          <w:rFonts w:hint="eastAsia"/>
          <w:color w:val="auto"/>
          <w:szCs w:val="21"/>
        </w:rPr>
        <w:t>，最终报价相同时，由谈判小组成员有记名投票确定排序。</w:t>
      </w:r>
    </w:p>
    <w:p w14:paraId="0B2D6B4E">
      <w:pPr>
        <w:adjustRightInd w:val="0"/>
        <w:snapToGrid w:val="0"/>
        <w:spacing w:line="360" w:lineRule="auto"/>
        <w:ind w:firstLine="354" w:firstLineChars="169"/>
        <w:jc w:val="left"/>
        <w:rPr>
          <w:color w:val="auto"/>
          <w:szCs w:val="21"/>
        </w:rPr>
      </w:pPr>
      <w:r>
        <w:rPr>
          <w:rFonts w:hint="eastAsia"/>
          <w:color w:val="auto"/>
          <w:szCs w:val="21"/>
          <w:lang w:val="en-US" w:eastAsia="zh-CN"/>
        </w:rPr>
        <w:t>8</w:t>
      </w:r>
      <w:r>
        <w:rPr>
          <w:color w:val="auto"/>
          <w:szCs w:val="21"/>
        </w:rPr>
        <w:t>.</w:t>
      </w:r>
      <w:r>
        <w:rPr>
          <w:rFonts w:hint="eastAsia"/>
          <w:color w:val="auto"/>
          <w:szCs w:val="21"/>
        </w:rPr>
        <w:t>2采购人从谈判小组提出的成交候选人中根据符合采购需求、质量和服务相等且报价最低的原则确定成交供应商，并将结果通知所有参加谈判的未成交的供应商。</w:t>
      </w:r>
    </w:p>
    <w:p w14:paraId="3E303588">
      <w:pPr>
        <w:spacing w:line="360" w:lineRule="auto"/>
        <w:ind w:firstLine="420" w:firstLineChars="200"/>
        <w:rPr>
          <w:color w:val="auto"/>
          <w:szCs w:val="21"/>
        </w:rPr>
      </w:pPr>
      <w:r>
        <w:rPr>
          <w:rFonts w:hint="eastAsia"/>
          <w:color w:val="auto"/>
          <w:szCs w:val="21"/>
          <w:lang w:val="en-US" w:eastAsia="zh-CN"/>
        </w:rPr>
        <w:t>8</w:t>
      </w:r>
      <w:r>
        <w:rPr>
          <w:color w:val="auto"/>
          <w:szCs w:val="21"/>
        </w:rPr>
        <w:t>.</w:t>
      </w:r>
      <w:r>
        <w:rPr>
          <w:rFonts w:hint="eastAsia"/>
          <w:color w:val="auto"/>
          <w:szCs w:val="21"/>
        </w:rPr>
        <w:t>3谈判</w:t>
      </w:r>
      <w:r>
        <w:rPr>
          <w:color w:val="auto"/>
          <w:szCs w:val="21"/>
        </w:rPr>
        <w:t>小组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供应商提供虚假材料、串通等违法违规行为的，要及时向采购人或采购代理机构报告。</w:t>
      </w:r>
    </w:p>
    <w:p w14:paraId="0CCFA447">
      <w:pPr>
        <w:spacing w:line="360" w:lineRule="auto"/>
        <w:ind w:firstLine="422" w:firstLineChars="200"/>
        <w:rPr>
          <w:rFonts w:hint="eastAsia" w:ascii="宋体" w:hAnsi="宋体"/>
          <w:b/>
          <w:bCs/>
          <w:color w:val="auto"/>
          <w:szCs w:val="21"/>
        </w:rPr>
      </w:pPr>
      <w:r>
        <w:rPr>
          <w:rFonts w:hint="eastAsia" w:ascii="宋体" w:hAnsi="宋体"/>
          <w:b/>
          <w:bCs/>
          <w:color w:val="auto"/>
          <w:szCs w:val="21"/>
        </w:rPr>
        <w:t>8.</w:t>
      </w:r>
      <w:bookmarkStart w:id="245" w:name="_Hlk151466544"/>
      <w:r>
        <w:rPr>
          <w:rFonts w:hint="eastAsia" w:ascii="宋体" w:hAnsi="宋体"/>
          <w:b/>
          <w:bCs/>
          <w:color w:val="auto"/>
          <w:szCs w:val="21"/>
          <w:lang w:val="en-US" w:eastAsia="zh-CN"/>
        </w:rPr>
        <w:t>4</w:t>
      </w:r>
      <w:r>
        <w:rPr>
          <w:rFonts w:cs="宋体"/>
          <w:b/>
          <w:bCs/>
          <w:color w:val="auto"/>
          <w:szCs w:val="21"/>
        </w:rPr>
        <w:t>提供</w:t>
      </w:r>
      <w:r>
        <w:rPr>
          <w:rFonts w:hint="eastAsia" w:cs="宋体"/>
          <w:b/>
          <w:bCs/>
          <w:color w:val="auto"/>
          <w:szCs w:val="21"/>
        </w:rPr>
        <w:t>的核心产品为</w:t>
      </w:r>
      <w:r>
        <w:rPr>
          <w:rFonts w:cs="宋体"/>
          <w:b/>
          <w:bCs/>
          <w:color w:val="auto"/>
          <w:szCs w:val="21"/>
        </w:rPr>
        <w:t>相同品牌产品且通过资格审查、符合性审查的不同投标人参加同</w:t>
      </w:r>
      <w:r>
        <w:rPr>
          <w:rFonts w:hint="eastAsia" w:cs="宋体"/>
          <w:b/>
          <w:bCs/>
          <w:color w:val="auto"/>
          <w:szCs w:val="21"/>
        </w:rPr>
        <w:t>一标段</w:t>
      </w:r>
      <w:r>
        <w:rPr>
          <w:rFonts w:cs="宋体"/>
          <w:b/>
          <w:bCs/>
          <w:color w:val="auto"/>
          <w:szCs w:val="21"/>
        </w:rPr>
        <w:t>下投标的，按一家投标人计算</w:t>
      </w:r>
      <w:bookmarkEnd w:id="245"/>
      <w:r>
        <w:rPr>
          <w:rFonts w:hint="eastAsia" w:cs="宋体"/>
          <w:b/>
          <w:bCs/>
          <w:color w:val="auto"/>
          <w:szCs w:val="21"/>
        </w:rPr>
        <w:t>（有效投标人不足3家的，该标段作废标处理）</w:t>
      </w:r>
      <w:r>
        <w:rPr>
          <w:rFonts w:cs="宋体"/>
          <w:b/>
          <w:bCs/>
          <w:color w:val="auto"/>
          <w:szCs w:val="21"/>
        </w:rPr>
        <w:t>，评审后得分最高的同品牌投标人获得中标人推荐资格；</w:t>
      </w:r>
      <w:r>
        <w:rPr>
          <w:rFonts w:hint="eastAsia" w:cs="宋体"/>
          <w:b/>
          <w:bCs/>
          <w:color w:val="auto"/>
          <w:szCs w:val="21"/>
        </w:rPr>
        <w:t>评审得分相同的，由采购人或者采购人委托评标委员会按照招标文件规定的方式确定一个投标人获得中标人推荐资格，招标文件未规定的采取随机抽取方式确定，其他同品牌投标人不作为中标候选人。</w:t>
      </w:r>
    </w:p>
    <w:p w14:paraId="14DDDCE3">
      <w:pPr>
        <w:spacing w:line="360" w:lineRule="auto"/>
        <w:ind w:firstLine="420" w:firstLineChars="200"/>
        <w:rPr>
          <w:rFonts w:hint="eastAsia" w:ascii="宋体" w:hAnsi="宋体"/>
          <w:color w:val="auto"/>
          <w:szCs w:val="21"/>
        </w:rPr>
      </w:pPr>
      <w:r>
        <w:rPr>
          <w:rFonts w:hint="eastAsia" w:ascii="宋体" w:hAnsi="宋体"/>
          <w:color w:val="auto"/>
          <w:szCs w:val="21"/>
        </w:rPr>
        <w:t>8.</w:t>
      </w:r>
      <w:r>
        <w:rPr>
          <w:rFonts w:hint="eastAsia" w:ascii="宋体" w:hAnsi="宋体"/>
          <w:color w:val="auto"/>
          <w:szCs w:val="21"/>
          <w:lang w:val="en-US" w:eastAsia="zh-CN"/>
        </w:rPr>
        <w:t>5</w:t>
      </w:r>
      <w:r>
        <w:rPr>
          <w:rFonts w:hint="eastAsia" w:ascii="宋体" w:hAnsi="宋体"/>
          <w:color w:val="auto"/>
          <w:szCs w:val="21"/>
        </w:rPr>
        <w:t>非单一产品采购项目，采购人根据采购项目技术构成、产品价格比重等合理确定核心产品，多家投标人提供的核心产品品牌相同的，按前款规定处理。</w:t>
      </w:r>
    </w:p>
    <w:bookmarkEnd w:id="243"/>
    <w:bookmarkEnd w:id="244"/>
    <w:p w14:paraId="34DADD50">
      <w:pPr>
        <w:spacing w:line="360" w:lineRule="auto"/>
        <w:jc w:val="left"/>
        <w:outlineLvl w:val="2"/>
        <w:rPr>
          <w:b/>
          <w:color w:val="auto"/>
          <w:kern w:val="0"/>
          <w:szCs w:val="21"/>
        </w:rPr>
      </w:pPr>
      <w:bookmarkStart w:id="246" w:name="_Toc22358"/>
      <w:bookmarkStart w:id="247" w:name="_Toc4194"/>
      <w:r>
        <w:rPr>
          <w:rFonts w:hint="eastAsia"/>
          <w:b/>
          <w:color w:val="auto"/>
          <w:kern w:val="0"/>
          <w:szCs w:val="21"/>
          <w:lang w:val="en-US" w:eastAsia="zh-CN"/>
        </w:rPr>
        <w:t>9</w:t>
      </w:r>
      <w:r>
        <w:rPr>
          <w:rFonts w:hint="eastAsia"/>
          <w:b/>
          <w:color w:val="auto"/>
          <w:kern w:val="0"/>
          <w:szCs w:val="21"/>
        </w:rPr>
        <w:t>.关于中小企业</w:t>
      </w:r>
      <w:bookmarkEnd w:id="246"/>
      <w:bookmarkEnd w:id="247"/>
    </w:p>
    <w:p w14:paraId="606515B8">
      <w:pPr>
        <w:snapToGrid w:val="0"/>
        <w:spacing w:line="360" w:lineRule="auto"/>
        <w:rPr>
          <w:rFonts w:hint="eastAsia" w:ascii="宋体" w:hAnsi="宋体"/>
          <w:b/>
          <w:color w:val="auto"/>
          <w:szCs w:val="21"/>
        </w:rPr>
      </w:pPr>
      <w:r>
        <w:rPr>
          <w:rFonts w:hint="eastAsia" w:ascii="宋体" w:hAnsi="宋体"/>
          <w:b/>
          <w:color w:val="auto"/>
          <w:szCs w:val="21"/>
        </w:rPr>
        <w:t>9</w:t>
      </w:r>
      <w:r>
        <w:rPr>
          <w:rFonts w:ascii="宋体" w:hAnsi="宋体"/>
          <w:b/>
          <w:color w:val="auto"/>
          <w:szCs w:val="21"/>
        </w:rPr>
        <w:t>.1</w:t>
      </w:r>
      <w:r>
        <w:rPr>
          <w:rFonts w:hint="eastAsia" w:ascii="宋体" w:hAnsi="宋体"/>
          <w:b/>
          <w:color w:val="auto"/>
          <w:szCs w:val="21"/>
        </w:rPr>
        <w:t>中小企业扶持政策</w:t>
      </w:r>
    </w:p>
    <w:p w14:paraId="20FF1B52">
      <w:pPr>
        <w:spacing w:line="360" w:lineRule="auto"/>
        <w:ind w:firstLine="420" w:firstLineChars="200"/>
        <w:rPr>
          <w:rFonts w:hint="eastAsia" w:ascii="宋体" w:hAnsi="宋体"/>
          <w:color w:val="auto"/>
          <w:szCs w:val="21"/>
        </w:rPr>
      </w:pPr>
      <w:r>
        <w:rPr>
          <w:rFonts w:hint="eastAsia" w:ascii="宋体" w:hAnsi="宋体"/>
          <w:color w:val="auto"/>
          <w:szCs w:val="21"/>
        </w:rPr>
        <w:t>9.</w:t>
      </w:r>
      <w:r>
        <w:rPr>
          <w:rFonts w:ascii="宋体" w:hAnsi="宋体"/>
          <w:color w:val="auto"/>
          <w:szCs w:val="21"/>
        </w:rPr>
        <w:t>1</w:t>
      </w:r>
      <w:r>
        <w:rPr>
          <w:rFonts w:hint="eastAsia" w:ascii="宋体" w:hAnsi="宋体"/>
          <w:color w:val="auto"/>
          <w:szCs w:val="21"/>
        </w:rPr>
        <w:t>.1根据《</w:t>
      </w:r>
      <w:r>
        <w:rPr>
          <w:rFonts w:ascii="宋体" w:hAnsi="宋体"/>
          <w:color w:val="auto"/>
          <w:szCs w:val="21"/>
        </w:rPr>
        <w:t>关于印发</w:t>
      </w:r>
      <w:r>
        <w:rPr>
          <w:rFonts w:hint="eastAsia" w:ascii="宋体" w:hAnsi="宋体"/>
          <w:color w:val="auto"/>
          <w:szCs w:val="21"/>
        </w:rPr>
        <w:t>&lt;政府采购促进中小企业发展管理办法&gt;</w:t>
      </w:r>
      <w:r>
        <w:rPr>
          <w:rFonts w:ascii="宋体" w:hAnsi="宋体"/>
          <w:color w:val="auto"/>
          <w:szCs w:val="21"/>
        </w:rPr>
        <w:t>的通知</w:t>
      </w:r>
      <w:r>
        <w:rPr>
          <w:rFonts w:hint="eastAsia" w:ascii="宋体" w:hAnsi="宋体"/>
          <w:color w:val="auto"/>
          <w:szCs w:val="21"/>
        </w:rPr>
        <w:t>》（财库【2020】46号）的规定，供应商提供的货物、工程或者服务符合下列情形的，享受评标方法中小企业扶持政策：</w:t>
      </w:r>
    </w:p>
    <w:p w14:paraId="75C7ECB5">
      <w:pPr>
        <w:spacing w:line="360" w:lineRule="auto"/>
        <w:ind w:firstLine="420" w:firstLineChars="200"/>
        <w:rPr>
          <w:rFonts w:hint="eastAsia" w:ascii="宋体" w:hAnsi="宋体"/>
          <w:color w:val="auto"/>
          <w:szCs w:val="21"/>
        </w:rPr>
      </w:pPr>
      <w:r>
        <w:rPr>
          <w:rFonts w:hint="eastAsia" w:ascii="宋体" w:hAnsi="宋体"/>
          <w:color w:val="auto"/>
          <w:szCs w:val="21"/>
        </w:rPr>
        <w:t>（一）在货物采购项目中，货物由中小企业制造，即货物由中小企业生产且使用该中小企业商号或者注册商标；</w:t>
      </w:r>
    </w:p>
    <w:p w14:paraId="11D0C661">
      <w:pPr>
        <w:spacing w:line="360" w:lineRule="auto"/>
        <w:ind w:firstLine="420" w:firstLineChars="200"/>
        <w:rPr>
          <w:rFonts w:hint="eastAsia" w:ascii="宋体" w:hAnsi="宋体"/>
          <w:color w:val="auto"/>
          <w:szCs w:val="21"/>
        </w:rPr>
      </w:pPr>
      <w:r>
        <w:rPr>
          <w:rFonts w:hint="eastAsia" w:ascii="宋体" w:hAnsi="宋体"/>
          <w:color w:val="auto"/>
          <w:szCs w:val="21"/>
        </w:rPr>
        <w:t>（二）在工程采购项目中，工程由中小企业承建，即工程施工单位为中小企业；</w:t>
      </w:r>
    </w:p>
    <w:p w14:paraId="11573D00">
      <w:pPr>
        <w:spacing w:line="360" w:lineRule="auto"/>
        <w:ind w:firstLine="420" w:firstLineChars="200"/>
        <w:rPr>
          <w:rFonts w:hint="eastAsia" w:ascii="宋体" w:hAnsi="宋体"/>
          <w:color w:val="auto"/>
          <w:szCs w:val="21"/>
        </w:rPr>
      </w:pPr>
      <w:r>
        <w:rPr>
          <w:rFonts w:hint="eastAsia" w:ascii="宋体" w:hAnsi="宋体"/>
          <w:color w:val="auto"/>
          <w:szCs w:val="21"/>
        </w:rPr>
        <w:t>（三）在服务采购项目中，服务由中小企业承接，即提供服务的人员为中小企业依照《中华人民共和国劳动合同法》订立劳动合同的从业人员。</w:t>
      </w:r>
    </w:p>
    <w:p w14:paraId="5ACBE098">
      <w:pPr>
        <w:spacing w:line="360" w:lineRule="auto"/>
        <w:ind w:firstLine="420" w:firstLineChars="200"/>
        <w:rPr>
          <w:rFonts w:hint="eastAsia" w:ascii="宋体" w:hAnsi="宋体"/>
          <w:color w:val="auto"/>
          <w:szCs w:val="21"/>
        </w:rPr>
      </w:pPr>
      <w:r>
        <w:rPr>
          <w:rFonts w:hint="eastAsia" w:ascii="宋体" w:hAnsi="宋体"/>
          <w:color w:val="auto"/>
          <w:szCs w:val="21"/>
        </w:rPr>
        <w:t>在货物采购项目中，供应商提供的货物既有中小企业制造货物，也有大型企业制造货物的，不享受评标方法规定的中小企业扶持政策。</w:t>
      </w:r>
    </w:p>
    <w:p w14:paraId="5A741EE1">
      <w:pPr>
        <w:spacing w:line="360" w:lineRule="auto"/>
        <w:ind w:firstLine="420" w:firstLineChars="200"/>
        <w:rPr>
          <w:rFonts w:hint="eastAsia" w:ascii="宋体" w:hAnsi="宋体"/>
          <w:color w:val="auto"/>
          <w:szCs w:val="21"/>
        </w:rPr>
      </w:pPr>
      <w:r>
        <w:rPr>
          <w:rFonts w:hint="eastAsia" w:ascii="宋体" w:hAnsi="宋体"/>
          <w:color w:val="auto"/>
          <w:szCs w:val="21"/>
        </w:rPr>
        <w:t>以联合体形式参加政府采购活动，联合体各方均为中小企业的，联合体视同中小企业。其中，联合体各方均为小微企业的，联合体视同小微企业。</w:t>
      </w:r>
    </w:p>
    <w:p w14:paraId="33D17AA7">
      <w:pPr>
        <w:spacing w:line="360" w:lineRule="auto"/>
        <w:ind w:firstLine="420" w:firstLineChars="200"/>
        <w:rPr>
          <w:rFonts w:hint="eastAsia" w:ascii="宋体" w:hAnsi="宋体"/>
          <w:color w:val="auto"/>
          <w:szCs w:val="21"/>
        </w:rPr>
      </w:pPr>
      <w:r>
        <w:rPr>
          <w:rFonts w:hint="eastAsia" w:ascii="宋体" w:hAnsi="宋体"/>
          <w:color w:val="auto"/>
          <w:szCs w:val="21"/>
        </w:rPr>
        <w:t>9</w:t>
      </w:r>
      <w:r>
        <w:rPr>
          <w:rFonts w:ascii="宋体" w:hAnsi="宋体"/>
          <w:color w:val="auto"/>
          <w:szCs w:val="21"/>
        </w:rPr>
        <w:t>.1.2</w:t>
      </w:r>
      <w:r>
        <w:rPr>
          <w:rFonts w:hint="eastAsia" w:ascii="宋体" w:hAnsi="宋体"/>
          <w:color w:val="auto"/>
          <w:szCs w:val="21"/>
        </w:rPr>
        <w:t>根据《云南省工业和信息化厅关于落实政府采购促进中小企业发展政策意见的通知》（云财采〔2022〕13号）的规定，供应商提供的货物既有中型企业制造，也有小微企业制造的，不享受《办法》规定的小微企业扶持政策。</w:t>
      </w:r>
    </w:p>
    <w:p w14:paraId="065B1524">
      <w:pPr>
        <w:spacing w:line="360" w:lineRule="auto"/>
        <w:ind w:firstLine="420" w:firstLineChars="200"/>
        <w:rPr>
          <w:rFonts w:hint="eastAsia" w:ascii="宋体" w:hAnsi="宋体"/>
          <w:color w:val="auto"/>
          <w:szCs w:val="21"/>
        </w:rPr>
      </w:pPr>
      <w:r>
        <w:rPr>
          <w:rFonts w:hint="eastAsia" w:ascii="宋体" w:hAnsi="宋体"/>
          <w:color w:val="auto"/>
          <w:szCs w:val="21"/>
        </w:rPr>
        <w:t>9.</w:t>
      </w:r>
      <w:r>
        <w:rPr>
          <w:rFonts w:ascii="宋体" w:hAnsi="宋体"/>
          <w:color w:val="auto"/>
          <w:szCs w:val="21"/>
        </w:rPr>
        <w:t>1</w:t>
      </w:r>
      <w:r>
        <w:rPr>
          <w:rFonts w:hint="eastAsia" w:ascii="宋体" w:hAnsi="宋体"/>
          <w:color w:val="auto"/>
          <w:szCs w:val="21"/>
        </w:rPr>
        <w:t>.</w:t>
      </w:r>
      <w:r>
        <w:rPr>
          <w:rFonts w:ascii="宋体" w:hAnsi="宋体"/>
          <w:color w:val="auto"/>
          <w:szCs w:val="21"/>
        </w:rPr>
        <w:t>3</w:t>
      </w:r>
      <w:r>
        <w:rPr>
          <w:rFonts w:hint="eastAsia" w:ascii="宋体" w:hAnsi="宋体"/>
          <w:color w:val="auto"/>
          <w:szCs w:val="21"/>
        </w:rPr>
        <w:t>评标方法所称中小企业，是指在中华人民共和国境内依法设立，依据国务院批准的中小企业划分标准确定的中型企业、小型企业和微型企业，但与大企业的负责人为同一人，或者与大企业存在直接控股、管理关系的除外。</w:t>
      </w:r>
    </w:p>
    <w:p w14:paraId="6F46A997">
      <w:pPr>
        <w:spacing w:line="360" w:lineRule="auto"/>
        <w:ind w:firstLine="420" w:firstLineChars="200"/>
        <w:rPr>
          <w:rFonts w:hint="eastAsia" w:ascii="宋体" w:hAnsi="宋体"/>
          <w:color w:val="auto"/>
          <w:szCs w:val="21"/>
        </w:rPr>
      </w:pPr>
      <w:r>
        <w:rPr>
          <w:rFonts w:hint="eastAsia" w:ascii="宋体" w:hAnsi="宋体"/>
          <w:color w:val="auto"/>
          <w:szCs w:val="21"/>
        </w:rPr>
        <w:t>符合中小企业划分标准的个体工商户，在政府采购活动中视同中小企业。</w:t>
      </w:r>
    </w:p>
    <w:p w14:paraId="04E509CF">
      <w:pPr>
        <w:spacing w:line="360" w:lineRule="auto"/>
        <w:ind w:firstLine="420" w:firstLineChars="200"/>
        <w:rPr>
          <w:rFonts w:hint="eastAsia" w:ascii="宋体" w:hAnsi="宋体"/>
          <w:color w:val="auto"/>
          <w:szCs w:val="21"/>
        </w:rPr>
      </w:pPr>
      <w:r>
        <w:rPr>
          <w:rFonts w:hint="eastAsia" w:ascii="宋体" w:hAnsi="宋体"/>
          <w:color w:val="auto"/>
          <w:szCs w:val="21"/>
        </w:rPr>
        <w:t>9.</w:t>
      </w:r>
      <w:r>
        <w:rPr>
          <w:rFonts w:ascii="宋体" w:hAnsi="宋体"/>
          <w:color w:val="auto"/>
          <w:szCs w:val="21"/>
        </w:rPr>
        <w:t>1</w:t>
      </w:r>
      <w:r>
        <w:rPr>
          <w:rFonts w:hint="eastAsia" w:ascii="宋体" w:hAnsi="宋体"/>
          <w:color w:val="auto"/>
          <w:szCs w:val="21"/>
        </w:rPr>
        <w:t>.</w:t>
      </w:r>
      <w:r>
        <w:rPr>
          <w:rFonts w:ascii="宋体" w:hAnsi="宋体"/>
          <w:color w:val="auto"/>
          <w:szCs w:val="21"/>
        </w:rPr>
        <w:t>4</w:t>
      </w:r>
      <w:r>
        <w:rPr>
          <w:rFonts w:hint="eastAsia" w:ascii="宋体" w:hAnsi="宋体"/>
          <w:color w:val="auto"/>
          <w:szCs w:val="21"/>
        </w:rPr>
        <w:t>中小企业参加政府采购活动，应当出具《中小企业声明函》（详见《投标文件格式》），否则不得享受相关中小企业扶持政策。</w:t>
      </w:r>
    </w:p>
    <w:p w14:paraId="61B5F8BA">
      <w:pPr>
        <w:pStyle w:val="22"/>
        <w:tabs>
          <w:tab w:val="left" w:pos="2472"/>
        </w:tabs>
        <w:snapToGrid w:val="0"/>
        <w:spacing w:line="360" w:lineRule="auto"/>
        <w:rPr>
          <w:rFonts w:hint="eastAsia" w:hAnsi="宋体"/>
          <w:b/>
          <w:color w:val="auto"/>
          <w:szCs w:val="21"/>
        </w:rPr>
      </w:pPr>
      <w:r>
        <w:rPr>
          <w:rFonts w:hint="eastAsia" w:hAnsi="宋体"/>
          <w:b/>
          <w:color w:val="auto"/>
          <w:szCs w:val="21"/>
        </w:rPr>
        <w:t>9.</w:t>
      </w:r>
      <w:r>
        <w:rPr>
          <w:rFonts w:hAnsi="宋体"/>
          <w:b/>
          <w:color w:val="auto"/>
          <w:szCs w:val="21"/>
        </w:rPr>
        <w:t>2</w:t>
      </w:r>
      <w:r>
        <w:rPr>
          <w:rFonts w:hint="eastAsia" w:hAnsi="宋体"/>
          <w:b/>
          <w:color w:val="auto"/>
          <w:szCs w:val="21"/>
        </w:rPr>
        <w:t>监狱企业扶持政策</w:t>
      </w:r>
    </w:p>
    <w:p w14:paraId="1D13F00F">
      <w:pPr>
        <w:spacing w:line="360" w:lineRule="auto"/>
        <w:ind w:firstLine="420" w:firstLineChars="200"/>
        <w:rPr>
          <w:rFonts w:hint="eastAsia" w:ascii="宋体" w:hAnsi="宋体"/>
          <w:color w:val="auto"/>
          <w:szCs w:val="21"/>
        </w:rPr>
      </w:pPr>
      <w:r>
        <w:rPr>
          <w:rFonts w:hint="eastAsia" w:ascii="宋体" w:hAnsi="宋体"/>
          <w:color w:val="auto"/>
          <w:szCs w:val="21"/>
        </w:rPr>
        <w:t>9.</w:t>
      </w:r>
      <w:r>
        <w:rPr>
          <w:rFonts w:ascii="宋体" w:hAnsi="宋体"/>
          <w:color w:val="auto"/>
          <w:szCs w:val="21"/>
        </w:rPr>
        <w:t>2</w:t>
      </w:r>
      <w:r>
        <w:rPr>
          <w:rFonts w:hint="eastAsia" w:ascii="宋体" w:hAnsi="宋体"/>
          <w:color w:val="auto"/>
          <w:szCs w:val="21"/>
        </w:rPr>
        <w:t>.1根据财政部《司法部关于政府采购支持监狱企业发展有关问题》的通知（财库〔2014〕68号），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参加政府采购活动时，应当提供由省级以上监狱管理局、戒毒管理局(含新疆生产建设兵团)出具的属于监狱企业的证明文件。</w:t>
      </w:r>
    </w:p>
    <w:p w14:paraId="20ED25ED">
      <w:pPr>
        <w:pStyle w:val="22"/>
        <w:tabs>
          <w:tab w:val="left" w:pos="2472"/>
        </w:tabs>
        <w:snapToGrid w:val="0"/>
        <w:spacing w:line="360" w:lineRule="auto"/>
        <w:rPr>
          <w:rFonts w:hint="eastAsia" w:hAnsi="宋体"/>
          <w:b/>
          <w:color w:val="auto"/>
          <w:szCs w:val="21"/>
        </w:rPr>
      </w:pPr>
      <w:r>
        <w:rPr>
          <w:rFonts w:hint="eastAsia" w:hAnsi="宋体"/>
          <w:b/>
          <w:color w:val="auto"/>
          <w:szCs w:val="21"/>
        </w:rPr>
        <w:t>9.3残疾人福利性单位扶持政策</w:t>
      </w:r>
    </w:p>
    <w:p w14:paraId="44D4AA99">
      <w:pPr>
        <w:spacing w:line="360" w:lineRule="auto"/>
        <w:ind w:firstLine="420" w:firstLineChars="200"/>
        <w:rPr>
          <w:rFonts w:hint="eastAsia" w:ascii="宋体" w:hAnsi="宋体"/>
          <w:color w:val="auto"/>
          <w:szCs w:val="21"/>
        </w:rPr>
      </w:pPr>
      <w:r>
        <w:rPr>
          <w:rFonts w:hint="eastAsia" w:ascii="宋体" w:hAnsi="宋体"/>
          <w:color w:val="auto"/>
          <w:szCs w:val="21"/>
        </w:rPr>
        <w:t>9.3</w:t>
      </w:r>
      <w:r>
        <w:rPr>
          <w:rFonts w:ascii="宋体" w:hAnsi="宋体"/>
          <w:color w:val="auto"/>
          <w:szCs w:val="21"/>
        </w:rPr>
        <w:t>.1根据</w:t>
      </w:r>
      <w:r>
        <w:rPr>
          <w:rFonts w:hint="eastAsia" w:ascii="宋体" w:hAnsi="宋体"/>
          <w:color w:val="auto"/>
          <w:szCs w:val="21"/>
        </w:rPr>
        <w:t>《财政部 民政部 中国残疾人联合会关于促进残疾人就业政府采购政策的通知》，享受政府采购支持政策的残疾人福利性单位应当同时满足以下条件：</w:t>
      </w:r>
    </w:p>
    <w:p w14:paraId="2DA17D95">
      <w:pPr>
        <w:spacing w:line="360" w:lineRule="auto"/>
        <w:ind w:firstLine="420" w:firstLineChars="200"/>
        <w:rPr>
          <w:rFonts w:hint="eastAsia" w:ascii="宋体" w:hAnsi="宋体"/>
          <w:color w:val="auto"/>
          <w:szCs w:val="21"/>
        </w:rPr>
      </w:pPr>
      <w:r>
        <w:rPr>
          <w:rFonts w:hint="eastAsia" w:ascii="宋体" w:hAnsi="宋体"/>
          <w:color w:val="auto"/>
          <w:szCs w:val="21"/>
        </w:rPr>
        <w:t>（1）安置的残疾人占本单位在职职工人数的比例不低于25%（含25%），并且安置的残疾人人数不少于10人（含10人）；</w:t>
      </w:r>
    </w:p>
    <w:p w14:paraId="275B9A57">
      <w:pPr>
        <w:spacing w:line="360" w:lineRule="auto"/>
        <w:ind w:firstLine="420" w:firstLineChars="200"/>
        <w:rPr>
          <w:rFonts w:hint="eastAsia" w:ascii="宋体" w:hAnsi="宋体"/>
          <w:color w:val="auto"/>
          <w:szCs w:val="21"/>
        </w:rPr>
      </w:pPr>
      <w:r>
        <w:rPr>
          <w:rFonts w:hint="eastAsia" w:ascii="宋体" w:hAnsi="宋体"/>
          <w:color w:val="auto"/>
          <w:szCs w:val="21"/>
        </w:rPr>
        <w:t>（2）依法与安置的每位残疾人签订了一年以上（含一年）的劳动合同或服务协议；</w:t>
      </w:r>
    </w:p>
    <w:p w14:paraId="003CD3F3">
      <w:pPr>
        <w:spacing w:line="360" w:lineRule="auto"/>
        <w:ind w:firstLine="420" w:firstLineChars="200"/>
        <w:rPr>
          <w:rFonts w:hint="eastAsia" w:ascii="宋体" w:hAnsi="宋体"/>
          <w:color w:val="auto"/>
          <w:szCs w:val="21"/>
        </w:rPr>
      </w:pPr>
      <w:r>
        <w:rPr>
          <w:rFonts w:hint="eastAsia" w:ascii="宋体" w:hAnsi="宋体"/>
          <w:color w:val="auto"/>
          <w:szCs w:val="21"/>
        </w:rPr>
        <w:t>（3）为安置的每位残疾人按月足额缴纳了基本养老保险、基本医疗保险、失业保险、工伤保险和生育保险等社会保险费；</w:t>
      </w:r>
    </w:p>
    <w:p w14:paraId="389BCAAC">
      <w:pPr>
        <w:spacing w:line="360" w:lineRule="auto"/>
        <w:ind w:firstLine="420" w:firstLineChars="200"/>
        <w:rPr>
          <w:rFonts w:hint="eastAsia" w:ascii="宋体" w:hAnsi="宋体"/>
          <w:color w:val="auto"/>
          <w:szCs w:val="21"/>
        </w:rPr>
      </w:pPr>
      <w:r>
        <w:rPr>
          <w:rFonts w:hint="eastAsia" w:ascii="宋体" w:hAnsi="宋体"/>
          <w:color w:val="auto"/>
          <w:szCs w:val="21"/>
        </w:rPr>
        <w:t>（4）通过银行等金融机构向安置的每位残疾人，按月支付了不低于单位所在区县适用的经省级人民政府批准的月最低工资标准的工资；</w:t>
      </w:r>
    </w:p>
    <w:p w14:paraId="4BBB0792">
      <w:pPr>
        <w:spacing w:line="360" w:lineRule="auto"/>
        <w:ind w:firstLine="420" w:firstLineChars="200"/>
        <w:rPr>
          <w:rFonts w:hint="eastAsia" w:ascii="宋体" w:hAnsi="宋体"/>
          <w:color w:val="auto"/>
          <w:szCs w:val="21"/>
        </w:rPr>
      </w:pPr>
      <w:r>
        <w:rPr>
          <w:rFonts w:hint="eastAsia" w:ascii="宋体" w:hAnsi="宋体"/>
          <w:color w:val="auto"/>
          <w:szCs w:val="21"/>
        </w:rPr>
        <w:t>（5）提供本单位制造的货物、承担的工程或者服务（以下简称产品），或者提供其他残疾人福利性单位制造的货物（不包括使用非残疾人福利性单位注册商标的货物）。</w:t>
      </w:r>
    </w:p>
    <w:p w14:paraId="611E4128">
      <w:pPr>
        <w:spacing w:line="360" w:lineRule="auto"/>
        <w:ind w:firstLine="420" w:firstLineChars="200"/>
        <w:rPr>
          <w:rFonts w:hint="eastAsia" w:ascii="宋体" w:hAnsi="宋体"/>
          <w:color w:val="auto"/>
          <w:szCs w:val="21"/>
        </w:rPr>
      </w:pPr>
      <w:r>
        <w:rPr>
          <w:rFonts w:hint="eastAsia" w:ascii="宋体" w:hAnsi="宋体"/>
          <w:color w:val="auto"/>
          <w:szCs w:val="21"/>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60B6828E">
      <w:pPr>
        <w:spacing w:line="360" w:lineRule="auto"/>
        <w:ind w:firstLine="420" w:firstLineChars="200"/>
        <w:rPr>
          <w:rFonts w:hint="eastAsia" w:ascii="宋体" w:hAnsi="宋体"/>
          <w:color w:val="auto"/>
          <w:szCs w:val="21"/>
        </w:rPr>
      </w:pPr>
      <w:r>
        <w:rPr>
          <w:rFonts w:hint="eastAsia" w:ascii="宋体" w:hAnsi="宋体"/>
          <w:color w:val="auto"/>
          <w:szCs w:val="21"/>
        </w:rPr>
        <w:t>9.3.2符合条件的残疾人福利性单位在参加政府采购活动时，应当提供《残疾人福利性单位声明函》，并对声明的真实性负责。</w:t>
      </w:r>
    </w:p>
    <w:p w14:paraId="64AB53F1">
      <w:pPr>
        <w:snapToGrid w:val="0"/>
        <w:spacing w:line="360" w:lineRule="auto"/>
        <w:rPr>
          <w:rFonts w:hint="eastAsia" w:ascii="宋体" w:hAnsi="宋体"/>
          <w:b/>
          <w:color w:val="auto"/>
          <w:szCs w:val="21"/>
        </w:rPr>
      </w:pPr>
      <w:r>
        <w:rPr>
          <w:rFonts w:hint="eastAsia" w:ascii="宋体" w:hAnsi="宋体"/>
          <w:b/>
          <w:color w:val="auto"/>
          <w:szCs w:val="21"/>
        </w:rPr>
        <w:t>9.4节能产品、环境标志产品采购按相关政策规定执行</w:t>
      </w:r>
    </w:p>
    <w:p w14:paraId="37713070">
      <w:pPr>
        <w:spacing w:line="360" w:lineRule="auto"/>
        <w:ind w:firstLine="420" w:firstLineChars="200"/>
        <w:rPr>
          <w:rFonts w:hint="eastAsia" w:ascii="宋体" w:hAnsi="宋体"/>
          <w:color w:val="auto"/>
          <w:szCs w:val="21"/>
        </w:rPr>
      </w:pPr>
      <w:r>
        <w:rPr>
          <w:rFonts w:hint="eastAsia" w:ascii="宋体" w:hAnsi="宋体"/>
          <w:color w:val="auto"/>
          <w:szCs w:val="21"/>
        </w:rPr>
        <w:t>9.4.1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节能产品政府采购品目清单、环境标志产品政府采购品目清单可通过中国政府采购网（http://www.ccgp.gov.cn/）查阅。</w:t>
      </w:r>
    </w:p>
    <w:p w14:paraId="40121B50">
      <w:pPr>
        <w:spacing w:line="360" w:lineRule="auto"/>
        <w:ind w:firstLine="420" w:firstLineChars="200"/>
        <w:rPr>
          <w:rFonts w:hint="eastAsia" w:ascii="宋体" w:hAnsi="宋体"/>
          <w:color w:val="auto"/>
          <w:szCs w:val="21"/>
        </w:rPr>
      </w:pPr>
      <w:r>
        <w:rPr>
          <w:rFonts w:hint="eastAsia" w:ascii="宋体" w:hAnsi="宋体"/>
          <w:color w:val="auto"/>
          <w:szCs w:val="21"/>
        </w:rPr>
        <w:t>9.4.2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其中，节能产品政府采购品目清单中以“★”标注的为政府强制采购产品，其余为优先采购产品。</w:t>
      </w:r>
    </w:p>
    <w:p w14:paraId="765B66DA">
      <w:pPr>
        <w:spacing w:line="360" w:lineRule="auto"/>
        <w:ind w:firstLine="420" w:firstLineChars="200"/>
        <w:rPr>
          <w:rFonts w:hint="eastAsia" w:ascii="宋体" w:hAnsi="宋体"/>
          <w:color w:val="auto"/>
          <w:szCs w:val="21"/>
        </w:rPr>
      </w:pPr>
      <w:r>
        <w:rPr>
          <w:rFonts w:hint="eastAsia" w:ascii="宋体" w:hAnsi="宋体"/>
          <w:color w:val="auto"/>
          <w:szCs w:val="21"/>
        </w:rPr>
        <w:t>9.4.3市场监管总局组织建立节能产品、环境标志产品认证结果信息发布平台，公布相关认证机构和获证产品信息。政府采购节能产品、环境标志产品认证机构名录可通过中国政府采购网（http://www.ccgp.gov.cn/）查阅。</w:t>
      </w:r>
    </w:p>
    <w:p w14:paraId="03BD976A">
      <w:pPr>
        <w:snapToGrid w:val="0"/>
        <w:spacing w:line="360" w:lineRule="auto"/>
        <w:rPr>
          <w:rFonts w:hint="eastAsia" w:ascii="宋体" w:hAnsi="宋体"/>
          <w:b/>
          <w:color w:val="auto"/>
          <w:szCs w:val="21"/>
        </w:rPr>
      </w:pPr>
      <w:r>
        <w:rPr>
          <w:rFonts w:hint="eastAsia" w:ascii="宋体" w:hAnsi="宋体"/>
          <w:b/>
          <w:color w:val="auto"/>
          <w:szCs w:val="21"/>
        </w:rPr>
        <w:t>9.5本国产品和进口产品</w:t>
      </w:r>
    </w:p>
    <w:p w14:paraId="1B667E2C">
      <w:pPr>
        <w:spacing w:line="360" w:lineRule="auto"/>
        <w:ind w:firstLine="420" w:firstLineChars="200"/>
        <w:rPr>
          <w:rFonts w:hint="eastAsia" w:ascii="宋体" w:hAnsi="宋体"/>
          <w:color w:val="auto"/>
          <w:szCs w:val="21"/>
        </w:rPr>
      </w:pPr>
      <w:r>
        <w:rPr>
          <w:rFonts w:hint="eastAsia" w:ascii="宋体" w:hAnsi="宋体"/>
          <w:color w:val="auto"/>
          <w:szCs w:val="21"/>
        </w:rPr>
        <w:t>9.5.1本国产品标准及支持政策</w:t>
      </w:r>
    </w:p>
    <w:p w14:paraId="46032E75">
      <w:pPr>
        <w:spacing w:line="360" w:lineRule="auto"/>
        <w:ind w:firstLine="420" w:firstLineChars="200"/>
        <w:rPr>
          <w:rFonts w:hint="eastAsia" w:ascii="宋体" w:hAnsi="宋体"/>
          <w:color w:val="auto"/>
          <w:szCs w:val="21"/>
        </w:rPr>
      </w:pPr>
      <w:r>
        <w:rPr>
          <w:rFonts w:hint="eastAsia" w:ascii="宋体" w:hAnsi="宋体"/>
          <w:color w:val="auto"/>
          <w:szCs w:val="21"/>
        </w:rPr>
        <w:t>（1）产品需在中华人民共和国关境内（含保税区、综合保税区等海关特殊监管区域）完成从原材料、组件到成品的制造、加工或组装，从而产生新的产品属性。仅进行包装、贴牌、简单处理等不改变产品核心属性的操作，不视为境内生产。</w:t>
      </w:r>
    </w:p>
    <w:p w14:paraId="031A1B7E">
      <w:pPr>
        <w:spacing w:line="360" w:lineRule="auto"/>
        <w:ind w:firstLine="420" w:firstLineChars="200"/>
        <w:rPr>
          <w:rFonts w:hint="eastAsia" w:ascii="宋体" w:hAnsi="宋体"/>
          <w:color w:val="auto"/>
          <w:szCs w:val="21"/>
        </w:rPr>
      </w:pPr>
      <w:r>
        <w:rPr>
          <w:rFonts w:hint="eastAsia" w:ascii="宋体" w:hAnsi="宋体"/>
          <w:color w:val="auto"/>
          <w:szCs w:val="21"/>
        </w:rPr>
        <w:t>（2）产品在境内生产的组件成本应达到财政部会同相关部门确定的总成本规定比例(具体产品目录及比例标准按国家后续发布的规定执行)。在分产品目录及比例标准正式实施前的过渡期内，符合境内生产条件的产品，可视同本国产品。</w:t>
      </w:r>
    </w:p>
    <w:p w14:paraId="1B9D7436">
      <w:pPr>
        <w:spacing w:line="360" w:lineRule="auto"/>
        <w:ind w:firstLine="420" w:firstLineChars="200"/>
        <w:rPr>
          <w:rFonts w:hint="eastAsia" w:ascii="宋体" w:hAnsi="宋体"/>
          <w:color w:val="auto"/>
          <w:szCs w:val="21"/>
        </w:rPr>
      </w:pPr>
      <w:r>
        <w:rPr>
          <w:rFonts w:hint="eastAsia" w:ascii="宋体" w:hAnsi="宋体"/>
          <w:color w:val="auto"/>
          <w:szCs w:val="21"/>
        </w:rPr>
        <w:t>（3）对国家相关部门后续发布的特定产品清单内的产品，除满足上述条件外，还需同时满足关键组件境内生产、关键工序境内完成等特定要求。</w:t>
      </w:r>
    </w:p>
    <w:p w14:paraId="02800162">
      <w:pPr>
        <w:spacing w:line="360" w:lineRule="auto"/>
        <w:ind w:firstLine="420" w:firstLineChars="200"/>
        <w:rPr>
          <w:rFonts w:hint="eastAsia" w:ascii="宋体" w:hAnsi="宋体"/>
          <w:color w:val="auto"/>
          <w:szCs w:val="21"/>
        </w:rPr>
      </w:pPr>
      <w:r>
        <w:rPr>
          <w:rFonts w:hint="eastAsia" w:ascii="宋体" w:hAnsi="宋体"/>
          <w:color w:val="auto"/>
          <w:szCs w:val="21"/>
        </w:rPr>
        <w:t>（4）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3C1B4D8">
      <w:pPr>
        <w:spacing w:line="360" w:lineRule="auto"/>
        <w:ind w:firstLine="420" w:firstLineChars="200"/>
        <w:rPr>
          <w:rFonts w:hint="eastAsia" w:ascii="宋体" w:hAnsi="宋体"/>
          <w:color w:val="auto"/>
          <w:szCs w:val="21"/>
        </w:rPr>
      </w:pPr>
      <w:r>
        <w:rPr>
          <w:rFonts w:hint="eastAsia" w:ascii="宋体" w:hAnsi="宋体"/>
          <w:color w:val="auto"/>
          <w:szCs w:val="21"/>
        </w:rPr>
        <w:t>（5）供应商对其提供的产品出具《关于符合本国产品标准的声明函》（样式见附件1，以下简称《声明函》）或财政部会同有关部门规定的有关证明文件。出具符合要求的《声明函》或有关证明文件的，该产品视为本国产品。</w:t>
      </w:r>
    </w:p>
    <w:p w14:paraId="39436457">
      <w:pPr>
        <w:spacing w:line="360" w:lineRule="auto"/>
        <w:ind w:firstLine="420" w:firstLineChars="200"/>
        <w:rPr>
          <w:rFonts w:hint="eastAsia" w:ascii="宋体" w:hAnsi="宋体"/>
          <w:color w:val="auto"/>
          <w:szCs w:val="21"/>
        </w:rPr>
      </w:pPr>
      <w:r>
        <w:rPr>
          <w:rFonts w:hint="eastAsia" w:ascii="宋体" w:hAnsi="宋体"/>
          <w:color w:val="auto"/>
          <w:szCs w:val="21"/>
        </w:rPr>
        <w:t>医疗器械产品，取得药品监督管理部门授予的准字号医疗器械注册证的，视为符合本国产品标准。</w:t>
      </w:r>
    </w:p>
    <w:p w14:paraId="696D2BF8">
      <w:pPr>
        <w:spacing w:line="360" w:lineRule="auto"/>
        <w:ind w:firstLine="420" w:firstLineChars="200"/>
        <w:rPr>
          <w:rFonts w:hint="eastAsia" w:ascii="宋体" w:hAnsi="宋体"/>
          <w:color w:val="auto"/>
          <w:szCs w:val="21"/>
        </w:rPr>
      </w:pPr>
      <w:r>
        <w:rPr>
          <w:rFonts w:hint="eastAsia" w:ascii="宋体" w:hAnsi="宋体"/>
          <w:color w:val="auto"/>
          <w:szCs w:val="21"/>
        </w:rPr>
        <w:t>（6）采购标的仅包含单一产品时，政府采购活动中既有本国产品又有非本国产品参与竞争的，供应商对其提供的产品出具《关于符合本国产品标准的声明函》，依法对本国产品给予价格评审优惠，对本国产品的报价给予20%的价格扣除，用扣除后的价格参与评审。</w:t>
      </w:r>
    </w:p>
    <w:p w14:paraId="12E08CED">
      <w:pPr>
        <w:spacing w:line="360" w:lineRule="auto"/>
        <w:ind w:firstLine="420" w:firstLineChars="200"/>
        <w:jc w:val="left"/>
        <w:rPr>
          <w:rFonts w:hint="eastAsia" w:ascii="宋体" w:hAnsi="宋体"/>
          <w:color w:val="auto"/>
          <w:szCs w:val="21"/>
        </w:rPr>
      </w:pPr>
      <w:r>
        <w:rPr>
          <w:rFonts w:hint="eastAsia" w:ascii="宋体" w:hAnsi="宋体"/>
          <w:color w:val="auto"/>
          <w:szCs w:val="21"/>
        </w:rPr>
        <w:t>（7）采购标的中含有多种产品，政府采购活动中既有本国产品又有非本国产品参与竞争的，供应商为该采购项目或者采购包提供的符合本国产品标准的产品成本之和占该供应商提供的全部产品成本之和的比例达到80%以上时，且供应商在投标（响应）文件中对此作出承诺，出具《本国产品成本占比承诺函》（样式见附件，以下简称《承诺函》），则依法对该供应商提供的全部产品给予价格评审优惠，即对该供应商提供的全部产品的总报价给予20%的价格扣除，用扣除后的价格参与评审。若供应商所投产品均符合本国产品标准，且已提供《声明函》，可不填写《承诺函》。</w:t>
      </w:r>
      <w:r>
        <w:rPr>
          <w:rFonts w:hint="eastAsia" w:ascii="宋体"/>
          <w:color w:val="auto"/>
          <w:szCs w:val="21"/>
        </w:rPr>
        <w:t>相关成本核算的原始凭证应妥善留存，以备核查。采购人可在履约验收环节对相关材料进行抽查。</w:t>
      </w:r>
    </w:p>
    <w:p w14:paraId="60B314EC">
      <w:pPr>
        <w:spacing w:line="360" w:lineRule="auto"/>
        <w:ind w:firstLine="420" w:firstLineChars="200"/>
        <w:rPr>
          <w:rFonts w:hint="eastAsia" w:ascii="宋体" w:hAnsi="宋体"/>
          <w:color w:val="auto"/>
          <w:szCs w:val="21"/>
        </w:rPr>
      </w:pPr>
      <w:r>
        <w:rPr>
          <w:rFonts w:hint="eastAsia" w:ascii="宋体" w:hAnsi="宋体"/>
          <w:color w:val="auto"/>
          <w:szCs w:val="21"/>
        </w:rPr>
        <w:t>（8）对于仅有本国产品参与竞争的政府采购项目，本国产品不享受价格扣除评审优惠。</w:t>
      </w:r>
    </w:p>
    <w:p w14:paraId="51368012">
      <w:pPr>
        <w:spacing w:line="360" w:lineRule="auto"/>
        <w:ind w:firstLine="420" w:firstLineChars="200"/>
        <w:rPr>
          <w:rFonts w:hint="eastAsia" w:ascii="宋体" w:hAnsi="宋体"/>
          <w:color w:val="auto"/>
          <w:szCs w:val="21"/>
        </w:rPr>
      </w:pPr>
      <w:r>
        <w:rPr>
          <w:rFonts w:hint="eastAsia" w:ascii="宋体" w:hAnsi="宋体"/>
          <w:color w:val="auto"/>
          <w:szCs w:val="21"/>
        </w:rPr>
        <w:t>9.5.2进口产品</w:t>
      </w:r>
    </w:p>
    <w:p w14:paraId="32DC0051">
      <w:pPr>
        <w:spacing w:line="360" w:lineRule="auto"/>
        <w:ind w:firstLine="420" w:firstLineChars="200"/>
        <w:rPr>
          <w:rFonts w:hint="eastAsia" w:ascii="宋体" w:hAnsi="宋体"/>
          <w:color w:val="auto"/>
          <w:szCs w:val="21"/>
        </w:rPr>
      </w:pPr>
      <w:r>
        <w:rPr>
          <w:rFonts w:hint="eastAsia" w:ascii="宋体" w:hAnsi="宋体"/>
          <w:color w:val="auto"/>
          <w:szCs w:val="21"/>
        </w:rPr>
        <w:t>（1）凡在海关特殊监管区域内企业生产或加工（包括从境外进口料件）销往境内其他地区的产品，不作为政府采购项下进口产品。对从境外进入海关特殊监管区域，再经办理报关手续后从海关特殊监管区进入境内其他地区的产品，应当认定为进口产品。项目若涉及采购进口产品的，具体要求详见“第</w:t>
      </w:r>
      <w:r>
        <w:rPr>
          <w:rFonts w:hint="eastAsia" w:ascii="宋体" w:hAnsi="宋体"/>
          <w:color w:val="auto"/>
          <w:szCs w:val="21"/>
          <w:lang w:val="en-US" w:eastAsia="zh-CN"/>
        </w:rPr>
        <w:t>五</w:t>
      </w:r>
      <w:r>
        <w:rPr>
          <w:rFonts w:hint="eastAsia" w:ascii="宋体" w:hAnsi="宋体"/>
          <w:color w:val="auto"/>
          <w:szCs w:val="21"/>
        </w:rPr>
        <w:t>章 采购需求”。</w:t>
      </w:r>
    </w:p>
    <w:p w14:paraId="3D04EBBB">
      <w:pPr>
        <w:spacing w:line="360" w:lineRule="auto"/>
        <w:ind w:firstLine="420" w:firstLineChars="200"/>
        <w:rPr>
          <w:rFonts w:hint="eastAsia" w:ascii="宋体" w:hAnsi="宋体"/>
          <w:color w:val="auto"/>
          <w:szCs w:val="21"/>
        </w:rPr>
      </w:pPr>
      <w:r>
        <w:rPr>
          <w:rFonts w:hint="eastAsia" w:ascii="宋体" w:hAnsi="宋体"/>
          <w:color w:val="auto"/>
          <w:szCs w:val="21"/>
        </w:rPr>
        <w:t xml:space="preserve">（2）进口产品指通过中国海关报关验放进入中国境内且产自关境外的产品，包括已经进入中国境内的进口产品。 </w:t>
      </w:r>
    </w:p>
    <w:p w14:paraId="00D449A4">
      <w:pPr>
        <w:spacing w:line="360" w:lineRule="auto"/>
        <w:ind w:firstLine="420" w:firstLineChars="200"/>
        <w:rPr>
          <w:rFonts w:hint="eastAsia" w:ascii="宋体" w:hAnsi="宋体"/>
          <w:color w:val="auto"/>
          <w:szCs w:val="21"/>
        </w:rPr>
      </w:pPr>
      <w:r>
        <w:rPr>
          <w:rFonts w:hint="eastAsia" w:ascii="宋体" w:hAnsi="宋体"/>
          <w:color w:val="auto"/>
          <w:szCs w:val="21"/>
        </w:rPr>
        <w:t>（3）若采购需求中写明允许采购进口产品，投标人应保证所投产品可履行合法报通关手续进入中国关境内。</w:t>
      </w:r>
    </w:p>
    <w:p w14:paraId="1DD683E8">
      <w:pPr>
        <w:spacing w:line="360" w:lineRule="auto"/>
        <w:ind w:firstLine="420" w:firstLineChars="200"/>
        <w:rPr>
          <w:rFonts w:hint="eastAsia" w:ascii="宋体" w:hAnsi="宋体"/>
          <w:color w:val="auto"/>
          <w:szCs w:val="21"/>
        </w:rPr>
      </w:pPr>
      <w:r>
        <w:rPr>
          <w:rFonts w:hint="eastAsia" w:ascii="宋体" w:hAnsi="宋体"/>
          <w:color w:val="auto"/>
          <w:szCs w:val="21"/>
        </w:rPr>
        <w:t>（4）若采购需求中未写明允许采购进口产品，如投标人所投产品为进口产品，其投标将被认定为投标无效。</w:t>
      </w:r>
    </w:p>
    <w:p w14:paraId="65883954">
      <w:pPr>
        <w:adjustRightInd w:val="0"/>
        <w:snapToGrid w:val="0"/>
        <w:spacing w:line="360" w:lineRule="auto"/>
        <w:ind w:firstLine="405" w:firstLineChars="169"/>
        <w:jc w:val="left"/>
        <w:rPr>
          <w:rFonts w:hint="eastAsia" w:ascii="宋体" w:hAnsi="宋体"/>
          <w:color w:val="auto"/>
          <w:sz w:val="24"/>
        </w:rPr>
      </w:pPr>
      <w:r>
        <w:rPr>
          <w:rFonts w:ascii="宋体" w:hAnsi="宋体"/>
          <w:color w:val="auto"/>
          <w:sz w:val="24"/>
        </w:rPr>
        <w:br w:type="page"/>
      </w:r>
    </w:p>
    <w:p w14:paraId="360C3192">
      <w:pPr>
        <w:spacing w:line="360" w:lineRule="auto"/>
        <w:jc w:val="center"/>
        <w:rPr>
          <w:rFonts w:hint="eastAsia" w:ascii="宋体" w:hAnsi="宋体"/>
          <w:color w:val="auto"/>
          <w:sz w:val="24"/>
        </w:rPr>
      </w:pPr>
    </w:p>
    <w:p w14:paraId="0CD670A7">
      <w:pPr>
        <w:spacing w:line="360" w:lineRule="auto"/>
        <w:jc w:val="center"/>
        <w:rPr>
          <w:rFonts w:hint="eastAsia" w:ascii="宋体" w:hAnsi="宋体"/>
          <w:color w:val="auto"/>
          <w:sz w:val="24"/>
        </w:rPr>
      </w:pPr>
    </w:p>
    <w:p w14:paraId="19AC7C81">
      <w:pPr>
        <w:spacing w:line="360" w:lineRule="auto"/>
        <w:jc w:val="center"/>
        <w:rPr>
          <w:rFonts w:hint="eastAsia" w:ascii="宋体" w:hAnsi="宋体"/>
          <w:color w:val="auto"/>
          <w:sz w:val="24"/>
        </w:rPr>
      </w:pPr>
    </w:p>
    <w:p w14:paraId="09311F6F">
      <w:pPr>
        <w:spacing w:line="360" w:lineRule="auto"/>
        <w:jc w:val="center"/>
        <w:rPr>
          <w:rFonts w:hint="eastAsia" w:ascii="宋体" w:hAnsi="宋体"/>
          <w:color w:val="auto"/>
          <w:sz w:val="24"/>
        </w:rPr>
      </w:pPr>
    </w:p>
    <w:p w14:paraId="3C8F8C23">
      <w:pPr>
        <w:spacing w:line="360" w:lineRule="auto"/>
        <w:jc w:val="center"/>
        <w:rPr>
          <w:rFonts w:hint="eastAsia" w:ascii="宋体" w:hAnsi="宋体"/>
          <w:color w:val="auto"/>
          <w:sz w:val="24"/>
        </w:rPr>
      </w:pPr>
    </w:p>
    <w:p w14:paraId="69FFF800">
      <w:pPr>
        <w:spacing w:line="360" w:lineRule="auto"/>
        <w:jc w:val="center"/>
        <w:rPr>
          <w:rFonts w:hint="eastAsia" w:ascii="宋体" w:hAnsi="宋体"/>
          <w:color w:val="auto"/>
          <w:sz w:val="24"/>
        </w:rPr>
      </w:pPr>
    </w:p>
    <w:p w14:paraId="1BD9F750">
      <w:pPr>
        <w:spacing w:line="360" w:lineRule="auto"/>
        <w:jc w:val="center"/>
        <w:rPr>
          <w:rFonts w:hint="eastAsia" w:ascii="宋体" w:hAnsi="宋体"/>
          <w:color w:val="auto"/>
          <w:sz w:val="24"/>
        </w:rPr>
      </w:pPr>
    </w:p>
    <w:p w14:paraId="13F16D57">
      <w:pPr>
        <w:spacing w:line="360" w:lineRule="auto"/>
        <w:jc w:val="center"/>
        <w:rPr>
          <w:rFonts w:hint="eastAsia" w:ascii="宋体" w:hAnsi="宋体"/>
          <w:color w:val="auto"/>
          <w:sz w:val="24"/>
        </w:rPr>
      </w:pPr>
    </w:p>
    <w:p w14:paraId="2FFC5BB4">
      <w:pPr>
        <w:spacing w:line="360" w:lineRule="auto"/>
        <w:jc w:val="center"/>
        <w:rPr>
          <w:rFonts w:hint="eastAsia" w:ascii="宋体" w:hAnsi="宋体"/>
          <w:color w:val="auto"/>
          <w:sz w:val="24"/>
        </w:rPr>
      </w:pPr>
    </w:p>
    <w:p w14:paraId="7F56CB99">
      <w:pPr>
        <w:pStyle w:val="40"/>
        <w:rPr>
          <w:color w:val="auto"/>
          <w:sz w:val="40"/>
        </w:rPr>
      </w:pPr>
      <w:bookmarkStart w:id="248" w:name="_Toc450064596"/>
      <w:bookmarkStart w:id="249" w:name="_Toc389644547"/>
      <w:bookmarkStart w:id="250" w:name="_Toc14385"/>
      <w:r>
        <w:rPr>
          <w:rFonts w:hint="eastAsia"/>
          <w:color w:val="auto"/>
          <w:sz w:val="40"/>
        </w:rPr>
        <w:t xml:space="preserve">第四章  </w:t>
      </w:r>
      <w:bookmarkEnd w:id="222"/>
      <w:bookmarkEnd w:id="248"/>
      <w:bookmarkEnd w:id="249"/>
      <w:r>
        <w:rPr>
          <w:rFonts w:hint="eastAsia"/>
          <w:color w:val="auto"/>
          <w:sz w:val="40"/>
        </w:rPr>
        <w:t>合同主要条款及格式</w:t>
      </w:r>
      <w:bookmarkEnd w:id="250"/>
    </w:p>
    <w:p w14:paraId="3FCDAA2A">
      <w:pPr>
        <w:pStyle w:val="22"/>
        <w:spacing w:line="360" w:lineRule="auto"/>
        <w:ind w:firstLine="480" w:firstLineChars="200"/>
        <w:rPr>
          <w:rFonts w:hint="eastAsia"/>
          <w:color w:val="auto"/>
          <w:sz w:val="24"/>
          <w:szCs w:val="24"/>
        </w:rPr>
      </w:pPr>
    </w:p>
    <w:p w14:paraId="5005D138">
      <w:pPr>
        <w:jc w:val="center"/>
        <w:rPr>
          <w:rFonts w:hint="eastAsia" w:ascii="宋体" w:hAnsi="宋体"/>
          <w:strike/>
          <w:color w:val="auto"/>
          <w:sz w:val="44"/>
          <w:szCs w:val="44"/>
          <w:u w:val="single"/>
        </w:rPr>
      </w:pPr>
      <w:r>
        <w:rPr>
          <w:color w:val="auto"/>
        </w:rPr>
        <w:br w:type="page"/>
      </w:r>
      <w:bookmarkStart w:id="251" w:name="_Toc450064616"/>
      <w:bookmarkStart w:id="252" w:name="_Toc389644563"/>
    </w:p>
    <w:p w14:paraId="09BA3C5B">
      <w:pPr>
        <w:spacing w:line="360" w:lineRule="auto"/>
        <w:jc w:val="center"/>
        <w:rPr>
          <w:rFonts w:hint="eastAsia" w:ascii="宋体" w:hAnsi="宋体"/>
          <w:b/>
          <w:color w:val="auto"/>
          <w:sz w:val="28"/>
          <w:szCs w:val="28"/>
        </w:rPr>
      </w:pPr>
      <w:r>
        <w:rPr>
          <w:rFonts w:hint="eastAsia" w:ascii="宋体" w:hAnsi="宋体"/>
          <w:b/>
          <w:color w:val="auto"/>
          <w:sz w:val="28"/>
          <w:szCs w:val="28"/>
        </w:rPr>
        <w:t>合同条款前附表</w:t>
      </w:r>
    </w:p>
    <w:p w14:paraId="00BABA1A">
      <w:pPr>
        <w:spacing w:line="360" w:lineRule="auto"/>
        <w:rPr>
          <w:rFonts w:hint="eastAsia" w:ascii="宋体" w:hAnsi="宋体"/>
          <w:color w:val="auto"/>
        </w:rPr>
      </w:pP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
        <w:gridCol w:w="2731"/>
        <w:gridCol w:w="5301"/>
      </w:tblGrid>
      <w:tr w14:paraId="00127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909" w:type="dxa"/>
            <w:tcBorders>
              <w:bottom w:val="single" w:color="auto" w:sz="4" w:space="0"/>
            </w:tcBorders>
            <w:vAlign w:val="center"/>
          </w:tcPr>
          <w:p w14:paraId="2C498082">
            <w:pPr>
              <w:pStyle w:val="22"/>
              <w:jc w:val="center"/>
              <w:rPr>
                <w:rFonts w:hint="eastAsia" w:hAnsi="宋体" w:cs="宋体"/>
                <w:b/>
                <w:bCs/>
                <w:color w:val="auto"/>
                <w:sz w:val="24"/>
                <w:szCs w:val="24"/>
              </w:rPr>
            </w:pPr>
            <w:r>
              <w:rPr>
                <w:rFonts w:hint="eastAsia" w:hAnsi="宋体" w:cs="宋体"/>
                <w:b/>
                <w:bCs/>
                <w:color w:val="auto"/>
                <w:sz w:val="24"/>
                <w:szCs w:val="24"/>
              </w:rPr>
              <w:t>序号</w:t>
            </w:r>
          </w:p>
        </w:tc>
        <w:tc>
          <w:tcPr>
            <w:tcW w:w="2731" w:type="dxa"/>
            <w:tcBorders>
              <w:bottom w:val="single" w:color="auto" w:sz="4" w:space="0"/>
            </w:tcBorders>
            <w:vAlign w:val="center"/>
          </w:tcPr>
          <w:p w14:paraId="3E09F8F2">
            <w:pPr>
              <w:pStyle w:val="22"/>
              <w:jc w:val="center"/>
              <w:rPr>
                <w:rFonts w:hint="eastAsia" w:hAnsi="宋体" w:cs="宋体"/>
                <w:b/>
                <w:bCs/>
                <w:color w:val="auto"/>
                <w:sz w:val="24"/>
                <w:szCs w:val="24"/>
              </w:rPr>
            </w:pPr>
            <w:r>
              <w:rPr>
                <w:rFonts w:hint="eastAsia" w:hAnsi="宋体" w:cs="宋体"/>
                <w:b/>
                <w:bCs/>
                <w:color w:val="auto"/>
                <w:sz w:val="24"/>
                <w:szCs w:val="24"/>
              </w:rPr>
              <w:t>内   容</w:t>
            </w:r>
          </w:p>
        </w:tc>
        <w:tc>
          <w:tcPr>
            <w:tcW w:w="5301" w:type="dxa"/>
            <w:tcBorders>
              <w:bottom w:val="single" w:color="auto" w:sz="4" w:space="0"/>
            </w:tcBorders>
            <w:vAlign w:val="center"/>
          </w:tcPr>
          <w:p w14:paraId="5AE1B7ED">
            <w:pPr>
              <w:pStyle w:val="22"/>
              <w:jc w:val="center"/>
              <w:rPr>
                <w:rFonts w:hint="eastAsia" w:hAnsi="宋体" w:cs="宋体"/>
                <w:b/>
                <w:bCs/>
                <w:color w:val="auto"/>
                <w:sz w:val="24"/>
                <w:szCs w:val="24"/>
              </w:rPr>
            </w:pPr>
            <w:r>
              <w:rPr>
                <w:rFonts w:hint="eastAsia" w:hAnsi="宋体" w:cs="宋体"/>
                <w:b/>
                <w:bCs/>
                <w:color w:val="auto"/>
                <w:sz w:val="24"/>
                <w:szCs w:val="24"/>
              </w:rPr>
              <w:t>要   求</w:t>
            </w:r>
          </w:p>
        </w:tc>
      </w:tr>
      <w:tr w14:paraId="72EF3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909" w:type="dxa"/>
            <w:tcBorders>
              <w:top w:val="single" w:color="auto" w:sz="4" w:space="0"/>
              <w:left w:val="single" w:color="auto" w:sz="4" w:space="0"/>
              <w:bottom w:val="single" w:color="auto" w:sz="4" w:space="0"/>
              <w:right w:val="single" w:color="auto" w:sz="4" w:space="0"/>
            </w:tcBorders>
            <w:vAlign w:val="center"/>
          </w:tcPr>
          <w:p w14:paraId="3DE1F3B0">
            <w:pPr>
              <w:pStyle w:val="22"/>
              <w:jc w:val="center"/>
              <w:rPr>
                <w:rFonts w:hint="eastAsia" w:hAnsi="宋体" w:cs="宋体"/>
                <w:bCs/>
                <w:color w:val="auto"/>
                <w:sz w:val="24"/>
                <w:szCs w:val="24"/>
              </w:rPr>
            </w:pPr>
            <w:r>
              <w:rPr>
                <w:rFonts w:hint="eastAsia" w:hAnsi="宋体" w:cs="宋体"/>
                <w:bCs/>
                <w:color w:val="auto"/>
                <w:sz w:val="24"/>
                <w:szCs w:val="24"/>
              </w:rPr>
              <w:t>1</w:t>
            </w:r>
          </w:p>
        </w:tc>
        <w:tc>
          <w:tcPr>
            <w:tcW w:w="2731" w:type="dxa"/>
            <w:tcBorders>
              <w:top w:val="single" w:color="auto" w:sz="4" w:space="0"/>
              <w:left w:val="single" w:color="auto" w:sz="4" w:space="0"/>
              <w:bottom w:val="single" w:color="auto" w:sz="4" w:space="0"/>
            </w:tcBorders>
            <w:vAlign w:val="center"/>
          </w:tcPr>
          <w:p w14:paraId="0AB228B1">
            <w:pPr>
              <w:rPr>
                <w:color w:val="auto"/>
                <w:sz w:val="24"/>
                <w:szCs w:val="24"/>
              </w:rPr>
            </w:pPr>
            <w:r>
              <w:rPr>
                <w:color w:val="auto"/>
                <w:sz w:val="24"/>
                <w:szCs w:val="24"/>
              </w:rPr>
              <w:t>合同履行期限</w:t>
            </w:r>
          </w:p>
        </w:tc>
        <w:tc>
          <w:tcPr>
            <w:tcW w:w="5301" w:type="dxa"/>
            <w:tcBorders>
              <w:top w:val="single" w:color="auto" w:sz="4" w:space="0"/>
              <w:left w:val="single" w:color="auto" w:sz="4" w:space="0"/>
              <w:bottom w:val="single" w:color="auto" w:sz="4" w:space="0"/>
            </w:tcBorders>
            <w:vAlign w:val="center"/>
          </w:tcPr>
          <w:p w14:paraId="68FBFE45">
            <w:pPr>
              <w:rPr>
                <w:color w:val="auto"/>
                <w:sz w:val="24"/>
                <w:szCs w:val="24"/>
              </w:rPr>
            </w:pPr>
            <w:r>
              <w:rPr>
                <w:rFonts w:hint="eastAsia"/>
                <w:color w:val="auto"/>
                <w:sz w:val="24"/>
                <w:szCs w:val="24"/>
              </w:rPr>
              <w:t>合同签订后20日内交付，产品最终验收合格后履行规定的质保要求</w:t>
            </w:r>
          </w:p>
        </w:tc>
      </w:tr>
      <w:tr w14:paraId="7F869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909" w:type="dxa"/>
            <w:tcBorders>
              <w:top w:val="single" w:color="auto" w:sz="4" w:space="0"/>
            </w:tcBorders>
            <w:vAlign w:val="center"/>
          </w:tcPr>
          <w:p w14:paraId="06B8F77A">
            <w:pPr>
              <w:pStyle w:val="22"/>
              <w:jc w:val="center"/>
              <w:rPr>
                <w:rFonts w:hint="eastAsia" w:hAnsi="宋体" w:cs="宋体"/>
                <w:bCs/>
                <w:color w:val="auto"/>
                <w:sz w:val="24"/>
                <w:szCs w:val="24"/>
              </w:rPr>
            </w:pPr>
            <w:r>
              <w:rPr>
                <w:rFonts w:hint="eastAsia" w:hAnsi="宋体" w:cs="宋体"/>
                <w:bCs/>
                <w:color w:val="auto"/>
                <w:sz w:val="24"/>
                <w:szCs w:val="24"/>
              </w:rPr>
              <w:t>2</w:t>
            </w:r>
          </w:p>
        </w:tc>
        <w:tc>
          <w:tcPr>
            <w:tcW w:w="2731" w:type="dxa"/>
            <w:tcBorders>
              <w:top w:val="single" w:color="auto" w:sz="4" w:space="0"/>
            </w:tcBorders>
            <w:vAlign w:val="center"/>
          </w:tcPr>
          <w:p w14:paraId="06963A0A">
            <w:pPr>
              <w:rPr>
                <w:color w:val="auto"/>
                <w:sz w:val="24"/>
                <w:szCs w:val="24"/>
              </w:rPr>
            </w:pPr>
            <w:r>
              <w:rPr>
                <w:color w:val="auto"/>
                <w:sz w:val="24"/>
                <w:szCs w:val="24"/>
              </w:rPr>
              <w:t>合同履行地点</w:t>
            </w:r>
          </w:p>
        </w:tc>
        <w:tc>
          <w:tcPr>
            <w:tcW w:w="5301" w:type="dxa"/>
            <w:tcBorders>
              <w:top w:val="single" w:color="auto" w:sz="4" w:space="0"/>
            </w:tcBorders>
            <w:vAlign w:val="center"/>
          </w:tcPr>
          <w:p w14:paraId="173E9762">
            <w:pPr>
              <w:rPr>
                <w:rFonts w:hint="default" w:eastAsia="宋体"/>
                <w:color w:val="auto"/>
                <w:sz w:val="24"/>
                <w:szCs w:val="24"/>
                <w:lang w:val="en-US" w:eastAsia="zh-CN"/>
              </w:rPr>
            </w:pPr>
            <w:r>
              <w:rPr>
                <w:rFonts w:hint="eastAsia"/>
                <w:color w:val="auto"/>
                <w:sz w:val="24"/>
                <w:szCs w:val="24"/>
                <w:lang w:val="en-US" w:eastAsia="zh-CN"/>
              </w:rPr>
              <w:t>采购人指定地点</w:t>
            </w:r>
          </w:p>
        </w:tc>
      </w:tr>
      <w:tr w14:paraId="3ACE6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09" w:type="dxa"/>
            <w:vAlign w:val="center"/>
          </w:tcPr>
          <w:p w14:paraId="2DE0DC2D">
            <w:pPr>
              <w:pStyle w:val="22"/>
              <w:jc w:val="center"/>
              <w:rPr>
                <w:rFonts w:hint="eastAsia" w:hAnsi="宋体" w:cs="宋体"/>
                <w:bCs/>
                <w:color w:val="auto"/>
                <w:sz w:val="24"/>
                <w:szCs w:val="24"/>
              </w:rPr>
            </w:pPr>
            <w:r>
              <w:rPr>
                <w:rFonts w:hint="eastAsia" w:hAnsi="宋体" w:cs="宋体"/>
                <w:bCs/>
                <w:color w:val="auto"/>
                <w:sz w:val="24"/>
                <w:szCs w:val="24"/>
              </w:rPr>
              <w:t>3</w:t>
            </w:r>
          </w:p>
        </w:tc>
        <w:tc>
          <w:tcPr>
            <w:tcW w:w="2731" w:type="dxa"/>
            <w:vAlign w:val="center"/>
          </w:tcPr>
          <w:p w14:paraId="714458D2">
            <w:pPr>
              <w:rPr>
                <w:color w:val="auto"/>
                <w:sz w:val="24"/>
                <w:szCs w:val="24"/>
              </w:rPr>
            </w:pPr>
            <w:r>
              <w:rPr>
                <w:color w:val="auto"/>
                <w:sz w:val="24"/>
                <w:szCs w:val="24"/>
              </w:rPr>
              <w:t>质量要求</w:t>
            </w:r>
          </w:p>
        </w:tc>
        <w:tc>
          <w:tcPr>
            <w:tcW w:w="5301" w:type="dxa"/>
            <w:vAlign w:val="center"/>
          </w:tcPr>
          <w:p w14:paraId="469D247A">
            <w:pPr>
              <w:rPr>
                <w:color w:val="auto"/>
                <w:sz w:val="24"/>
                <w:szCs w:val="24"/>
              </w:rPr>
            </w:pPr>
            <w:r>
              <w:rPr>
                <w:color w:val="auto"/>
                <w:sz w:val="24"/>
                <w:szCs w:val="24"/>
              </w:rPr>
              <w:t>产品质量符合国家、行业现行</w:t>
            </w:r>
            <w:r>
              <w:rPr>
                <w:rFonts w:hint="eastAsia" w:ascii="宋体" w:hAnsi="宋体" w:cs="宋体"/>
                <w:color w:val="auto"/>
                <w:sz w:val="24"/>
                <w:szCs w:val="24"/>
              </w:rPr>
              <w:t>相关标准，满足采购人需求，安装调试交付使用一次性验收合格。</w:t>
            </w:r>
          </w:p>
        </w:tc>
      </w:tr>
      <w:tr w14:paraId="61D21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09" w:type="dxa"/>
            <w:vAlign w:val="center"/>
          </w:tcPr>
          <w:p w14:paraId="37E2DFA9">
            <w:pPr>
              <w:pStyle w:val="22"/>
              <w:jc w:val="center"/>
              <w:rPr>
                <w:rFonts w:hint="eastAsia" w:hAnsi="宋体" w:cs="宋体"/>
                <w:bCs/>
                <w:color w:val="auto"/>
                <w:sz w:val="24"/>
                <w:szCs w:val="24"/>
              </w:rPr>
            </w:pPr>
            <w:r>
              <w:rPr>
                <w:rFonts w:hint="eastAsia" w:hAnsi="宋体" w:cs="宋体"/>
                <w:bCs/>
                <w:color w:val="auto"/>
                <w:sz w:val="24"/>
                <w:szCs w:val="24"/>
              </w:rPr>
              <w:t>4</w:t>
            </w:r>
          </w:p>
        </w:tc>
        <w:tc>
          <w:tcPr>
            <w:tcW w:w="2731" w:type="dxa"/>
            <w:vAlign w:val="center"/>
          </w:tcPr>
          <w:p w14:paraId="4BC8E33F">
            <w:pPr>
              <w:rPr>
                <w:color w:val="auto"/>
                <w:sz w:val="24"/>
                <w:szCs w:val="24"/>
              </w:rPr>
            </w:pPr>
            <w:r>
              <w:rPr>
                <w:color w:val="auto"/>
                <w:sz w:val="24"/>
                <w:szCs w:val="24"/>
              </w:rPr>
              <w:t>质保期</w:t>
            </w:r>
          </w:p>
        </w:tc>
        <w:tc>
          <w:tcPr>
            <w:tcW w:w="5301" w:type="dxa"/>
            <w:vAlign w:val="center"/>
          </w:tcPr>
          <w:p w14:paraId="08F1C028">
            <w:pPr>
              <w:rPr>
                <w:color w:val="auto"/>
                <w:sz w:val="24"/>
                <w:szCs w:val="24"/>
              </w:rPr>
            </w:pPr>
            <w:r>
              <w:rPr>
                <w:rFonts w:hint="eastAsia"/>
                <w:color w:val="auto"/>
                <w:sz w:val="24"/>
                <w:szCs w:val="24"/>
              </w:rPr>
              <w:t>自甲方最终验收合格出具书面验收意见显示的时间起进入质保期，货物（产品）质保期不少于 3 年。（注：特别说明：技术参数、性能需求里有明确要求的除外）。</w:t>
            </w:r>
          </w:p>
        </w:tc>
      </w:tr>
      <w:tr w14:paraId="3D480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909" w:type="dxa"/>
            <w:vAlign w:val="center"/>
          </w:tcPr>
          <w:p w14:paraId="24AEDED5">
            <w:pPr>
              <w:pStyle w:val="22"/>
              <w:jc w:val="center"/>
              <w:rPr>
                <w:rFonts w:hint="eastAsia" w:hAnsi="宋体" w:cs="宋体"/>
                <w:bCs/>
                <w:color w:val="auto"/>
                <w:sz w:val="24"/>
                <w:szCs w:val="24"/>
              </w:rPr>
            </w:pPr>
            <w:r>
              <w:rPr>
                <w:rFonts w:hint="eastAsia" w:hAnsi="宋体" w:cs="宋体"/>
                <w:bCs/>
                <w:color w:val="auto"/>
                <w:sz w:val="24"/>
                <w:szCs w:val="24"/>
              </w:rPr>
              <w:t>5</w:t>
            </w:r>
          </w:p>
        </w:tc>
        <w:tc>
          <w:tcPr>
            <w:tcW w:w="2731" w:type="dxa"/>
            <w:vAlign w:val="center"/>
          </w:tcPr>
          <w:p w14:paraId="49CFE2DE">
            <w:pPr>
              <w:rPr>
                <w:rFonts w:hint="eastAsia" w:ascii="宋体" w:hAnsi="宋体" w:cs="宋体"/>
                <w:color w:val="auto"/>
                <w:sz w:val="24"/>
                <w:szCs w:val="24"/>
              </w:rPr>
            </w:pPr>
            <w:r>
              <w:rPr>
                <w:rFonts w:hint="eastAsia" w:ascii="宋体" w:hAnsi="宋体" w:cs="宋体"/>
                <w:color w:val="auto"/>
                <w:sz w:val="24"/>
                <w:szCs w:val="24"/>
              </w:rPr>
              <w:t>付款方式</w:t>
            </w:r>
          </w:p>
        </w:tc>
        <w:tc>
          <w:tcPr>
            <w:tcW w:w="5301" w:type="dxa"/>
            <w:vAlign w:val="center"/>
          </w:tcPr>
          <w:p w14:paraId="769C1BDE">
            <w:pP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以合同签订为准</w:t>
            </w:r>
          </w:p>
        </w:tc>
      </w:tr>
      <w:tr w14:paraId="4D296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909" w:type="dxa"/>
            <w:vAlign w:val="center"/>
          </w:tcPr>
          <w:p w14:paraId="6A7EF3E5">
            <w:pPr>
              <w:pStyle w:val="22"/>
              <w:jc w:val="center"/>
              <w:rPr>
                <w:rFonts w:hint="eastAsia" w:hAnsi="宋体" w:cs="宋体"/>
                <w:bCs/>
                <w:color w:val="auto"/>
                <w:sz w:val="24"/>
                <w:szCs w:val="24"/>
              </w:rPr>
            </w:pPr>
            <w:r>
              <w:rPr>
                <w:rFonts w:hint="eastAsia" w:hAnsi="宋体" w:cs="宋体"/>
                <w:bCs/>
                <w:color w:val="auto"/>
                <w:sz w:val="24"/>
                <w:szCs w:val="24"/>
              </w:rPr>
              <w:t>6</w:t>
            </w:r>
          </w:p>
        </w:tc>
        <w:tc>
          <w:tcPr>
            <w:tcW w:w="2731" w:type="dxa"/>
            <w:vAlign w:val="center"/>
          </w:tcPr>
          <w:p w14:paraId="2265743B">
            <w:pPr>
              <w:rPr>
                <w:rFonts w:hint="eastAsia" w:ascii="宋体" w:hAnsi="宋体" w:cs="宋体"/>
                <w:color w:val="auto"/>
                <w:sz w:val="24"/>
                <w:szCs w:val="24"/>
              </w:rPr>
            </w:pPr>
            <w:r>
              <w:rPr>
                <w:rFonts w:hint="eastAsia" w:ascii="宋体" w:hAnsi="宋体" w:cs="宋体"/>
                <w:color w:val="auto"/>
                <w:sz w:val="24"/>
                <w:szCs w:val="24"/>
              </w:rPr>
              <w:t>服务标准</w:t>
            </w:r>
          </w:p>
        </w:tc>
        <w:tc>
          <w:tcPr>
            <w:tcW w:w="5301" w:type="dxa"/>
            <w:vAlign w:val="center"/>
          </w:tcPr>
          <w:p w14:paraId="26EA0307">
            <w:pPr>
              <w:rPr>
                <w:rFonts w:ascii="宋体" w:cs="宋体"/>
                <w:color w:val="auto"/>
                <w:kern w:val="0"/>
                <w:sz w:val="24"/>
                <w:szCs w:val="24"/>
              </w:rPr>
            </w:pPr>
            <w:r>
              <w:rPr>
                <w:rFonts w:hint="eastAsia" w:ascii="宋体" w:cs="宋体"/>
                <w:color w:val="auto"/>
                <w:kern w:val="0"/>
                <w:sz w:val="24"/>
                <w:szCs w:val="24"/>
              </w:rPr>
              <w:t>完全满足需求及参数表项目中的技术参数要求</w:t>
            </w:r>
          </w:p>
        </w:tc>
      </w:tr>
      <w:tr w14:paraId="61534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909" w:type="dxa"/>
            <w:vAlign w:val="center"/>
          </w:tcPr>
          <w:p w14:paraId="72E5F9B9">
            <w:pPr>
              <w:pStyle w:val="22"/>
              <w:jc w:val="center"/>
              <w:rPr>
                <w:rFonts w:hint="eastAsia" w:hAnsi="宋体" w:cs="宋体"/>
                <w:bCs/>
                <w:color w:val="auto"/>
                <w:sz w:val="24"/>
                <w:szCs w:val="24"/>
              </w:rPr>
            </w:pPr>
            <w:r>
              <w:rPr>
                <w:rFonts w:hint="eastAsia" w:hAnsi="宋体" w:cs="宋体"/>
                <w:bCs/>
                <w:color w:val="auto"/>
                <w:sz w:val="24"/>
                <w:szCs w:val="24"/>
              </w:rPr>
              <w:t>7</w:t>
            </w:r>
          </w:p>
        </w:tc>
        <w:tc>
          <w:tcPr>
            <w:tcW w:w="2731" w:type="dxa"/>
            <w:vAlign w:val="center"/>
          </w:tcPr>
          <w:p w14:paraId="597C4B71">
            <w:pPr>
              <w:rPr>
                <w:rFonts w:hint="eastAsia" w:ascii="宋体" w:hAnsi="宋体" w:cs="宋体"/>
                <w:color w:val="auto"/>
                <w:sz w:val="24"/>
                <w:szCs w:val="24"/>
              </w:rPr>
            </w:pPr>
            <w:r>
              <w:rPr>
                <w:rFonts w:hint="eastAsia" w:ascii="宋体" w:hAnsi="宋体" w:cs="宋体"/>
                <w:color w:val="auto"/>
                <w:sz w:val="24"/>
                <w:szCs w:val="24"/>
              </w:rPr>
              <w:t>验收标准</w:t>
            </w:r>
          </w:p>
        </w:tc>
        <w:tc>
          <w:tcPr>
            <w:tcW w:w="5301" w:type="dxa"/>
            <w:vAlign w:val="center"/>
          </w:tcPr>
          <w:p w14:paraId="2A48682D">
            <w:pPr>
              <w:rPr>
                <w:rFonts w:ascii="宋体" w:cs="宋体"/>
                <w:color w:val="auto"/>
                <w:kern w:val="0"/>
                <w:sz w:val="24"/>
                <w:szCs w:val="24"/>
              </w:rPr>
            </w:pPr>
            <w:r>
              <w:rPr>
                <w:rFonts w:hint="eastAsia" w:ascii="宋体" w:cs="宋体"/>
                <w:color w:val="auto"/>
                <w:kern w:val="0"/>
                <w:sz w:val="24"/>
                <w:szCs w:val="24"/>
              </w:rPr>
              <w:t>设备安装调试完成正常使用15天后组织验收，甲乙方按照合同要求共同验收，具体程序由乙方向甲方使用部门提出申请，甲方试用人员签署试用合格意见，甲方使用部门组织初验通过后，向甲方采购管理部门提出终验申请，甲方采购管理部门组织相关部门验收，验收合格后签字确认。在货物验收后被证明存在缺陷（包括但不限于潜在的缺陷）、使用不合适的材料，甲方有权要求乙方改进并承担法律责任和经济责任。</w:t>
            </w:r>
          </w:p>
        </w:tc>
      </w:tr>
    </w:tbl>
    <w:p w14:paraId="3D64E500">
      <w:pPr>
        <w:rPr>
          <w:rFonts w:hint="eastAsia" w:ascii="宋体" w:hAnsi="宋体" w:cs="宋体"/>
          <w:b/>
          <w:bCs/>
          <w:color w:val="auto"/>
          <w:sz w:val="48"/>
          <w:szCs w:val="48"/>
        </w:rPr>
      </w:pPr>
    </w:p>
    <w:p w14:paraId="0415A48B">
      <w:pPr>
        <w:rPr>
          <w:rFonts w:hint="eastAsia" w:ascii="宋体" w:hAnsi="宋体" w:cs="宋体"/>
          <w:b/>
          <w:bCs/>
          <w:color w:val="auto"/>
          <w:sz w:val="48"/>
          <w:szCs w:val="48"/>
        </w:rPr>
        <w:sectPr>
          <w:pgSz w:w="11900" w:h="16838"/>
          <w:pgMar w:top="1440" w:right="1417" w:bottom="1440" w:left="1417" w:header="737" w:footer="737" w:gutter="0"/>
          <w:pgBorders>
            <w:top w:val="none" w:sz="0" w:space="0"/>
            <w:left w:val="none" w:sz="0" w:space="0"/>
            <w:bottom w:val="none" w:sz="0" w:space="0"/>
            <w:right w:val="none" w:sz="0" w:space="0"/>
          </w:pgBorders>
          <w:pgNumType w:fmt="decimal" w:start="1"/>
          <w:cols w:space="0" w:num="1"/>
          <w:docGrid w:linePitch="312" w:charSpace="0"/>
        </w:sectPr>
      </w:pPr>
    </w:p>
    <w:p w14:paraId="36284D09">
      <w:pPr>
        <w:pStyle w:val="18"/>
        <w:spacing w:after="0"/>
        <w:jc w:val="center"/>
        <w:rPr>
          <w:rFonts w:hint="eastAsia" w:ascii="宋体" w:hAnsi="宋体" w:cs="宋体"/>
          <w:b/>
          <w:bCs/>
          <w:color w:val="auto"/>
          <w:spacing w:val="-20"/>
          <w:kern w:val="44"/>
          <w:sz w:val="48"/>
          <w:szCs w:val="48"/>
        </w:rPr>
      </w:pPr>
    </w:p>
    <w:p w14:paraId="1527A982">
      <w:pPr>
        <w:pStyle w:val="18"/>
        <w:spacing w:after="0"/>
        <w:jc w:val="center"/>
        <w:rPr>
          <w:rFonts w:hint="eastAsia" w:ascii="宋体" w:hAnsi="宋体" w:cs="宋体"/>
          <w:b/>
          <w:bCs/>
          <w:color w:val="auto"/>
          <w:spacing w:val="-20"/>
          <w:kern w:val="44"/>
          <w:sz w:val="48"/>
          <w:szCs w:val="48"/>
        </w:rPr>
      </w:pPr>
    </w:p>
    <w:p w14:paraId="02487A7B">
      <w:pPr>
        <w:pStyle w:val="18"/>
        <w:spacing w:after="0"/>
        <w:jc w:val="center"/>
        <w:rPr>
          <w:rFonts w:hint="eastAsia" w:ascii="宋体" w:hAnsi="宋体" w:cs="宋体"/>
          <w:b/>
          <w:bCs/>
          <w:color w:val="auto"/>
          <w:spacing w:val="-20"/>
          <w:kern w:val="44"/>
          <w:sz w:val="48"/>
          <w:szCs w:val="48"/>
        </w:rPr>
      </w:pPr>
    </w:p>
    <w:p w14:paraId="0C393CA7">
      <w:pPr>
        <w:pStyle w:val="18"/>
        <w:spacing w:after="0"/>
        <w:jc w:val="center"/>
        <w:rPr>
          <w:rFonts w:hint="eastAsia" w:ascii="宋体" w:hAnsi="宋体" w:cs="宋体"/>
          <w:b/>
          <w:bCs/>
          <w:color w:val="auto"/>
          <w:spacing w:val="-20"/>
          <w:kern w:val="44"/>
          <w:sz w:val="48"/>
          <w:szCs w:val="48"/>
        </w:rPr>
      </w:pPr>
    </w:p>
    <w:p w14:paraId="0623BD2D">
      <w:pPr>
        <w:pStyle w:val="18"/>
        <w:spacing w:after="0"/>
        <w:jc w:val="center"/>
        <w:rPr>
          <w:rFonts w:hint="eastAsia" w:ascii="宋体" w:hAnsi="宋体" w:cs="宋体"/>
          <w:b/>
          <w:bCs/>
          <w:color w:val="auto"/>
          <w:spacing w:val="-20"/>
          <w:kern w:val="44"/>
          <w:sz w:val="48"/>
          <w:szCs w:val="48"/>
        </w:rPr>
      </w:pPr>
    </w:p>
    <w:p w14:paraId="4A751991">
      <w:pPr>
        <w:pStyle w:val="18"/>
        <w:spacing w:after="0"/>
        <w:jc w:val="center"/>
        <w:outlineLvl w:val="1"/>
        <w:rPr>
          <w:rFonts w:hint="eastAsia" w:ascii="宋体" w:hAnsi="宋体" w:cs="宋体"/>
          <w:b/>
          <w:bCs/>
          <w:color w:val="auto"/>
          <w:spacing w:val="-20"/>
          <w:kern w:val="44"/>
          <w:sz w:val="48"/>
          <w:szCs w:val="48"/>
        </w:rPr>
      </w:pPr>
      <w:bookmarkStart w:id="253" w:name="_Toc3309"/>
      <w:bookmarkStart w:id="254" w:name="_Toc20399"/>
      <w:bookmarkStart w:id="255" w:name="_Toc32045"/>
      <w:r>
        <w:rPr>
          <w:rFonts w:hint="eastAsia" w:ascii="宋体" w:hAnsi="宋体" w:cs="宋体"/>
          <w:b/>
          <w:bCs/>
          <w:color w:val="auto"/>
          <w:spacing w:val="-20"/>
          <w:kern w:val="44"/>
          <w:sz w:val="48"/>
          <w:szCs w:val="48"/>
        </w:rPr>
        <w:t>政府采购货物买卖合同</w:t>
      </w:r>
      <w:bookmarkEnd w:id="253"/>
      <w:bookmarkEnd w:id="254"/>
      <w:bookmarkEnd w:id="255"/>
    </w:p>
    <w:p w14:paraId="1F66652A">
      <w:pPr>
        <w:pStyle w:val="18"/>
        <w:spacing w:after="0"/>
        <w:jc w:val="center"/>
        <w:rPr>
          <w:rFonts w:hint="eastAsia" w:ascii="宋体" w:hAnsi="宋体" w:cs="宋体"/>
          <w:b/>
          <w:bCs/>
          <w:color w:val="auto"/>
          <w:spacing w:val="-20"/>
          <w:kern w:val="44"/>
          <w:sz w:val="48"/>
          <w:szCs w:val="48"/>
        </w:rPr>
      </w:pPr>
      <w:r>
        <w:rPr>
          <w:rFonts w:hint="eastAsia" w:ascii="宋体" w:hAnsi="宋体" w:cs="宋体"/>
          <w:b/>
          <w:bCs/>
          <w:color w:val="auto"/>
          <w:spacing w:val="-20"/>
          <w:kern w:val="44"/>
          <w:sz w:val="48"/>
          <w:szCs w:val="48"/>
        </w:rPr>
        <w:t>（试行）</w:t>
      </w:r>
    </w:p>
    <w:p w14:paraId="5076C312">
      <w:pPr>
        <w:rPr>
          <w:rFonts w:hint="eastAsia" w:ascii="宋体" w:hAnsi="宋体" w:cs="宋体"/>
          <w:b/>
          <w:bCs/>
          <w:color w:val="auto"/>
          <w:spacing w:val="-20"/>
          <w:kern w:val="44"/>
          <w:sz w:val="40"/>
          <w:szCs w:val="40"/>
        </w:rPr>
      </w:pPr>
    </w:p>
    <w:p w14:paraId="0BB843A2">
      <w:pPr>
        <w:rPr>
          <w:rFonts w:hint="eastAsia" w:ascii="宋体" w:hAnsi="宋体" w:cs="宋体"/>
          <w:b/>
          <w:bCs/>
          <w:color w:val="auto"/>
          <w:spacing w:val="-20"/>
          <w:kern w:val="44"/>
          <w:sz w:val="40"/>
          <w:szCs w:val="40"/>
        </w:rPr>
      </w:pPr>
    </w:p>
    <w:p w14:paraId="5ECB56C1">
      <w:pPr>
        <w:rPr>
          <w:rFonts w:hint="eastAsia" w:ascii="宋体" w:hAnsi="宋体" w:cs="宋体"/>
          <w:b/>
          <w:bCs/>
          <w:color w:val="auto"/>
          <w:spacing w:val="-20"/>
          <w:kern w:val="44"/>
          <w:sz w:val="40"/>
          <w:szCs w:val="40"/>
        </w:rPr>
      </w:pPr>
    </w:p>
    <w:p w14:paraId="699CD8DB">
      <w:pPr>
        <w:spacing w:line="360" w:lineRule="auto"/>
        <w:ind w:left="420" w:leftChars="200"/>
        <w:rPr>
          <w:color w:val="auto"/>
          <w:sz w:val="32"/>
          <w:szCs w:val="32"/>
        </w:rPr>
      </w:pPr>
      <w:r>
        <w:rPr>
          <w:rFonts w:hint="eastAsia" w:ascii="宋体" w:hAnsi="宋体" w:cs="宋体"/>
          <w:color w:val="auto"/>
          <w:kern w:val="0"/>
          <w:sz w:val="32"/>
          <w:szCs w:val="32"/>
        </w:rPr>
        <w:t>项目名称：</w:t>
      </w:r>
      <w:r>
        <w:rPr>
          <w:rFonts w:hint="eastAsia"/>
          <w:color w:val="auto"/>
          <w:sz w:val="32"/>
          <w:szCs w:val="32"/>
          <w:u w:val="single"/>
        </w:rPr>
        <w:t xml:space="preserve">                             </w:t>
      </w:r>
    </w:p>
    <w:p w14:paraId="4C48BC41">
      <w:pPr>
        <w:spacing w:line="360" w:lineRule="auto"/>
        <w:ind w:left="420" w:leftChars="200"/>
        <w:rPr>
          <w:color w:val="auto"/>
          <w:sz w:val="32"/>
          <w:szCs w:val="32"/>
          <w:u w:val="single"/>
        </w:rPr>
      </w:pPr>
      <w:r>
        <w:rPr>
          <w:rFonts w:hint="eastAsia"/>
          <w:color w:val="auto"/>
          <w:sz w:val="32"/>
          <w:szCs w:val="32"/>
        </w:rPr>
        <w:t>合同编号：</w:t>
      </w:r>
      <w:r>
        <w:rPr>
          <w:rFonts w:hint="eastAsia"/>
          <w:color w:val="auto"/>
          <w:sz w:val="32"/>
          <w:szCs w:val="32"/>
          <w:u w:val="single"/>
        </w:rPr>
        <w:t xml:space="preserve">                             </w:t>
      </w:r>
    </w:p>
    <w:p w14:paraId="7C6312B7">
      <w:pPr>
        <w:spacing w:line="360" w:lineRule="auto"/>
        <w:ind w:left="420" w:leftChars="200"/>
        <w:rPr>
          <w:color w:val="auto"/>
          <w:sz w:val="32"/>
          <w:szCs w:val="32"/>
        </w:rPr>
      </w:pPr>
      <w:r>
        <w:rPr>
          <w:rFonts w:hint="eastAsia"/>
          <w:color w:val="auto"/>
          <w:sz w:val="32"/>
          <w:szCs w:val="32"/>
        </w:rPr>
        <w:t>甲    方：</w:t>
      </w:r>
      <w:r>
        <w:rPr>
          <w:rFonts w:hint="eastAsia"/>
          <w:color w:val="auto"/>
          <w:sz w:val="32"/>
          <w:szCs w:val="32"/>
          <w:u w:val="single"/>
        </w:rPr>
        <w:t xml:space="preserve">                             </w:t>
      </w:r>
    </w:p>
    <w:p w14:paraId="4666341B">
      <w:pPr>
        <w:spacing w:line="360" w:lineRule="auto"/>
        <w:ind w:left="420" w:leftChars="200"/>
        <w:rPr>
          <w:color w:val="auto"/>
          <w:sz w:val="32"/>
          <w:szCs w:val="32"/>
          <w:u w:val="single"/>
        </w:rPr>
      </w:pPr>
      <w:r>
        <w:rPr>
          <w:rFonts w:hint="eastAsia"/>
          <w:color w:val="auto"/>
          <w:sz w:val="32"/>
          <w:szCs w:val="32"/>
        </w:rPr>
        <w:t>乙    方：</w:t>
      </w:r>
      <w:r>
        <w:rPr>
          <w:rFonts w:hint="eastAsia"/>
          <w:color w:val="auto"/>
          <w:sz w:val="32"/>
          <w:szCs w:val="32"/>
          <w:u w:val="single"/>
        </w:rPr>
        <w:t xml:space="preserve">                             </w:t>
      </w:r>
    </w:p>
    <w:p w14:paraId="5117B919">
      <w:pPr>
        <w:spacing w:line="360" w:lineRule="auto"/>
        <w:ind w:left="420" w:leftChars="200"/>
        <w:rPr>
          <w:color w:val="auto"/>
          <w:sz w:val="32"/>
          <w:szCs w:val="32"/>
        </w:rPr>
      </w:pPr>
      <w:r>
        <w:rPr>
          <w:rFonts w:hint="eastAsia"/>
          <w:color w:val="auto"/>
          <w:sz w:val="32"/>
          <w:szCs w:val="32"/>
        </w:rPr>
        <w:t>签订时间：</w:t>
      </w:r>
      <w:r>
        <w:rPr>
          <w:rFonts w:hint="eastAsia"/>
          <w:color w:val="auto"/>
          <w:sz w:val="32"/>
          <w:szCs w:val="32"/>
          <w:u w:val="single"/>
        </w:rPr>
        <w:t xml:space="preserve">      </w:t>
      </w:r>
      <w:r>
        <w:rPr>
          <w:color w:val="auto"/>
          <w:sz w:val="32"/>
          <w:szCs w:val="32"/>
          <w:u w:val="single"/>
        </w:rPr>
        <w:t xml:space="preserve">           </w:t>
      </w:r>
      <w:r>
        <w:rPr>
          <w:rFonts w:hint="eastAsia"/>
          <w:color w:val="auto"/>
          <w:sz w:val="32"/>
          <w:szCs w:val="32"/>
          <w:u w:val="single"/>
        </w:rPr>
        <w:t xml:space="preserve">            </w:t>
      </w:r>
    </w:p>
    <w:p w14:paraId="652B6C69">
      <w:pPr>
        <w:rPr>
          <w:color w:val="auto"/>
        </w:rPr>
      </w:pPr>
    </w:p>
    <w:p w14:paraId="0E6D680F">
      <w:pPr>
        <w:rPr>
          <w:rFonts w:eastAsia="黑体"/>
          <w:color w:val="auto"/>
          <w:sz w:val="44"/>
          <w:szCs w:val="44"/>
        </w:rPr>
      </w:pPr>
      <w:r>
        <w:rPr>
          <w:rFonts w:eastAsia="黑体"/>
          <w:color w:val="auto"/>
          <w:sz w:val="44"/>
          <w:szCs w:val="44"/>
        </w:rPr>
        <w:br w:type="page"/>
      </w:r>
    </w:p>
    <w:p w14:paraId="594F6DB8">
      <w:pPr>
        <w:jc w:val="center"/>
        <w:rPr>
          <w:rFonts w:eastAsia="黑体"/>
          <w:color w:val="auto"/>
          <w:sz w:val="44"/>
          <w:szCs w:val="44"/>
        </w:rPr>
      </w:pPr>
      <w:r>
        <w:rPr>
          <w:rFonts w:hint="eastAsia" w:eastAsia="黑体"/>
          <w:color w:val="auto"/>
          <w:sz w:val="44"/>
          <w:szCs w:val="44"/>
        </w:rPr>
        <w:t>使 用 说 明</w:t>
      </w:r>
    </w:p>
    <w:p w14:paraId="01704D44">
      <w:pPr>
        <w:ind w:firstLine="640" w:firstLineChars="200"/>
        <w:rPr>
          <w:rFonts w:hint="eastAsia" w:ascii="仿宋_GB2312" w:hAnsi="仿宋_GB2312" w:eastAsia="仿宋_GB2312" w:cs="仿宋_GB2312"/>
          <w:color w:val="auto"/>
          <w:sz w:val="32"/>
          <w:szCs w:val="32"/>
        </w:rPr>
      </w:pPr>
    </w:p>
    <w:p w14:paraId="6FA6CAD5">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1.本合同标准文本适用于购买现成货物的采购项目，不包括需要供应商定制开发、创新研发的货物采购项目。</w:t>
      </w:r>
    </w:p>
    <w:p w14:paraId="15764A5B">
      <w:pPr>
        <w:rPr>
          <w:rFonts w:eastAsia="黑体"/>
          <w:color w:val="auto"/>
          <w:sz w:val="44"/>
          <w:szCs w:val="44"/>
        </w:rPr>
      </w:pPr>
      <w:r>
        <w:rPr>
          <w:rFonts w:hint="eastAsia" w:eastAsia="黑体"/>
          <w:color w:val="auto"/>
          <w:sz w:val="44"/>
          <w:szCs w:val="44"/>
        </w:rPr>
        <w:t xml:space="preserve">   </w:t>
      </w:r>
      <w:r>
        <w:rPr>
          <w:rFonts w:hint="eastAsia" w:ascii="仿宋_GB2312" w:hAnsi="仿宋_GB2312" w:eastAsia="仿宋_GB2312" w:cs="仿宋_GB2312"/>
          <w:color w:val="auto"/>
          <w:sz w:val="32"/>
          <w:szCs w:val="32"/>
        </w:rPr>
        <w:t>2.本合同标准文本为政府采购货物买卖合同编制提供参考，可以结合采购项目具体情况，对文本作必要的调整修订后使用。</w:t>
      </w:r>
    </w:p>
    <w:p w14:paraId="222D7EEE">
      <w:pPr>
        <w:ind w:firstLine="640" w:firstLineChars="200"/>
        <w:rPr>
          <w:rFonts w:eastAsia="黑体"/>
          <w:color w:val="auto"/>
          <w:sz w:val="44"/>
          <w:szCs w:val="44"/>
        </w:rPr>
        <w:sectPr>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仿宋_GB2312" w:hAnsi="仿宋_GB2312" w:eastAsia="仿宋_GB2312" w:cs="仿宋_GB2312"/>
          <w:color w:val="auto"/>
          <w:sz w:val="32"/>
          <w:szCs w:val="32"/>
        </w:rPr>
        <w:t>3.本合同标准文本各条款中，如涉及填写多家供应商、制造商，多种采购标的、分包主要内容等信息的，可根据采购项目具体情况添加信息项。</w:t>
      </w:r>
    </w:p>
    <w:p w14:paraId="4B62C44F">
      <w:pPr>
        <w:pStyle w:val="3"/>
        <w:adjustRightInd w:val="0"/>
        <w:snapToGrid w:val="0"/>
        <w:spacing w:line="400" w:lineRule="exact"/>
        <w:jc w:val="center"/>
        <w:rPr>
          <w:rFonts w:hint="eastAsia" w:ascii="黑体" w:hAnsi="华文中宋" w:eastAsia="黑体"/>
          <w:b w:val="0"/>
          <w:bCs w:val="0"/>
          <w:color w:val="auto"/>
          <w:sz w:val="28"/>
          <w:szCs w:val="28"/>
        </w:rPr>
      </w:pPr>
      <w:bookmarkStart w:id="256" w:name="_Toc28141"/>
      <w:bookmarkStart w:id="257" w:name="_Toc19051"/>
      <w:bookmarkStart w:id="258" w:name="_Toc13414"/>
      <w:r>
        <w:rPr>
          <w:rFonts w:hint="eastAsia" w:ascii="黑体" w:hAnsi="黑体" w:eastAsia="黑体"/>
          <w:b w:val="0"/>
          <w:bCs w:val="0"/>
          <w:color w:val="auto"/>
          <w:sz w:val="28"/>
          <w:szCs w:val="28"/>
        </w:rPr>
        <w:t xml:space="preserve">第一节 </w:t>
      </w:r>
      <w:r>
        <w:rPr>
          <w:rFonts w:hint="eastAsia" w:ascii="黑体" w:hAnsi="华文中宋" w:eastAsia="黑体"/>
          <w:b w:val="0"/>
          <w:bCs w:val="0"/>
          <w:color w:val="auto"/>
          <w:sz w:val="28"/>
          <w:szCs w:val="28"/>
        </w:rPr>
        <w:t>政府采购合同协议书</w:t>
      </w:r>
      <w:bookmarkEnd w:id="256"/>
      <w:bookmarkEnd w:id="257"/>
      <w:bookmarkEnd w:id="258"/>
    </w:p>
    <w:p w14:paraId="76CF3FBF">
      <w:pPr>
        <w:adjustRightInd w:val="0"/>
        <w:snapToGrid w:val="0"/>
        <w:spacing w:line="400" w:lineRule="exact"/>
        <w:rPr>
          <w:rFonts w:hint="eastAsia" w:ascii="宋体" w:hAnsi="宋体"/>
          <w:color w:val="auto"/>
          <w:szCs w:val="21"/>
        </w:rPr>
      </w:pPr>
      <w:r>
        <w:rPr>
          <w:rFonts w:hint="eastAsia" w:ascii="宋体" w:hAnsi="宋体"/>
          <w:color w:val="auto"/>
          <w:szCs w:val="21"/>
        </w:rPr>
        <w:t>甲方（全称）：</w:t>
      </w:r>
      <w:r>
        <w:rPr>
          <w:rFonts w:hint="eastAsia" w:ascii="宋体" w:hAnsi="宋体"/>
          <w:color w:val="auto"/>
          <w:szCs w:val="21"/>
          <w:u w:val="single"/>
        </w:rPr>
        <w:t xml:space="preserve">                        </w:t>
      </w:r>
      <w:r>
        <w:rPr>
          <w:rFonts w:hint="eastAsia" w:ascii="宋体" w:hAnsi="宋体"/>
          <w:color w:val="auto"/>
          <w:szCs w:val="21"/>
        </w:rPr>
        <w:t>（采购人、受采购人委托签订合同的单位或采购</w:t>
      </w:r>
      <w:r>
        <w:rPr>
          <w:rFonts w:hint="eastAsia" w:ascii="宋体" w:hAnsi="宋体"/>
          <w:color w:val="auto"/>
          <w:szCs w:val="21"/>
        </w:rPr>
        <w:tab/>
      </w:r>
      <w:r>
        <w:rPr>
          <w:rFonts w:hint="eastAsia" w:ascii="宋体" w:hAnsi="宋体"/>
          <w:color w:val="auto"/>
          <w:szCs w:val="21"/>
        </w:rPr>
        <w:t xml:space="preserve">                                   文件约定的合同甲方）</w:t>
      </w:r>
    </w:p>
    <w:p w14:paraId="4606EA99">
      <w:pPr>
        <w:adjustRightInd w:val="0"/>
        <w:snapToGrid w:val="0"/>
        <w:spacing w:line="400" w:lineRule="exact"/>
        <w:rPr>
          <w:rFonts w:hint="eastAsia" w:ascii="宋体" w:hAnsi="宋体"/>
          <w:color w:val="auto"/>
          <w:szCs w:val="21"/>
        </w:rPr>
      </w:pPr>
      <w:r>
        <w:rPr>
          <w:rFonts w:hint="eastAsia" w:ascii="宋体" w:hAnsi="宋体"/>
          <w:color w:val="auto"/>
          <w:szCs w:val="21"/>
        </w:rPr>
        <w:t>乙方1（全称）：</w:t>
      </w:r>
      <w:r>
        <w:rPr>
          <w:rFonts w:hint="eastAsia" w:ascii="宋体" w:hAnsi="宋体"/>
          <w:color w:val="auto"/>
          <w:szCs w:val="21"/>
          <w:u w:val="single"/>
        </w:rPr>
        <w:t xml:space="preserve">                       </w:t>
      </w:r>
      <w:r>
        <w:rPr>
          <w:rFonts w:hint="eastAsia" w:ascii="宋体" w:hAnsi="宋体"/>
          <w:color w:val="auto"/>
          <w:szCs w:val="21"/>
        </w:rPr>
        <w:t>（供应商）</w:t>
      </w:r>
    </w:p>
    <w:p w14:paraId="35AAFEF4">
      <w:pPr>
        <w:adjustRightInd w:val="0"/>
        <w:snapToGrid w:val="0"/>
        <w:spacing w:line="400" w:lineRule="exact"/>
        <w:rPr>
          <w:rFonts w:hint="eastAsia" w:ascii="宋体" w:hAnsi="宋体"/>
          <w:color w:val="auto"/>
          <w:szCs w:val="21"/>
        </w:rPr>
      </w:pPr>
      <w:r>
        <w:rPr>
          <w:rFonts w:hint="eastAsia" w:ascii="宋体" w:hAnsi="宋体"/>
          <w:color w:val="auto"/>
          <w:szCs w:val="21"/>
        </w:rPr>
        <w:t>乙方2（全称）：</w:t>
      </w:r>
      <w:r>
        <w:rPr>
          <w:rFonts w:hint="eastAsia" w:ascii="宋体" w:hAnsi="宋体"/>
          <w:color w:val="auto"/>
          <w:szCs w:val="21"/>
          <w:u w:val="single"/>
        </w:rPr>
        <w:t xml:space="preserve">                        </w:t>
      </w:r>
      <w:r>
        <w:rPr>
          <w:rFonts w:hint="eastAsia" w:ascii="宋体" w:hAnsi="宋体"/>
          <w:color w:val="auto"/>
          <w:szCs w:val="21"/>
        </w:rPr>
        <w:t>（联合体成员供应商或其他合同主体）（如有）</w:t>
      </w:r>
    </w:p>
    <w:p w14:paraId="6D2D2100">
      <w:pPr>
        <w:adjustRightInd w:val="0"/>
        <w:snapToGrid w:val="0"/>
        <w:spacing w:line="400" w:lineRule="exact"/>
        <w:rPr>
          <w:rFonts w:hint="eastAsia" w:ascii="宋体" w:hAnsi="宋体"/>
          <w:color w:val="auto"/>
          <w:szCs w:val="21"/>
        </w:rPr>
      </w:pPr>
      <w:r>
        <w:rPr>
          <w:rFonts w:hint="eastAsia"/>
          <w:color w:val="auto"/>
        </w:rPr>
        <w:t>乙方</w:t>
      </w:r>
      <w:r>
        <w:rPr>
          <w:rFonts w:hint="eastAsia" w:ascii="宋体" w:hAnsi="宋体"/>
          <w:color w:val="auto"/>
          <w:szCs w:val="21"/>
        </w:rPr>
        <w:t>3</w:t>
      </w:r>
      <w:r>
        <w:rPr>
          <w:rFonts w:hint="eastAsia"/>
          <w:color w:val="auto"/>
        </w:rPr>
        <w:t>（全称）</w:t>
      </w:r>
      <w:r>
        <w:rPr>
          <w:rFonts w:hint="eastAsia" w:ascii="宋体" w:hAnsi="宋体"/>
          <w:color w:val="auto"/>
          <w:szCs w:val="21"/>
          <w:u w:val="single"/>
        </w:rPr>
        <w:t xml:space="preserve">                          </w:t>
      </w:r>
      <w:r>
        <w:rPr>
          <w:rFonts w:hint="eastAsia" w:ascii="宋体" w:hAnsi="宋体"/>
          <w:color w:val="auto"/>
          <w:szCs w:val="21"/>
        </w:rPr>
        <w:t>（联合体成员供应商或其他合同主体）（如有）</w:t>
      </w:r>
    </w:p>
    <w:p w14:paraId="1F81C56D">
      <w:pPr>
        <w:spacing w:line="400" w:lineRule="exact"/>
        <w:rPr>
          <w:color w:val="auto"/>
        </w:rPr>
      </w:pPr>
    </w:p>
    <w:p w14:paraId="1313CBC1">
      <w:pPr>
        <w:pStyle w:val="19"/>
        <w:adjustRightInd w:val="0"/>
        <w:snapToGrid w:val="0"/>
        <w:spacing w:after="0" w:line="400" w:lineRule="exact"/>
        <w:ind w:left="0" w:leftChars="0" w:firstLine="560" w:firstLineChars="200"/>
        <w:rPr>
          <w:rFonts w:hint="eastAsia" w:ascii="宋体" w:hAnsi="宋体"/>
          <w:color w:val="auto"/>
          <w:szCs w:val="21"/>
        </w:rPr>
      </w:pPr>
      <w:r>
        <w:rPr>
          <w:rFonts w:hint="eastAsia" w:ascii="宋体" w:hAnsi="宋体"/>
          <w:color w:val="auto"/>
          <w:szCs w:val="21"/>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34221501">
      <w:pPr>
        <w:numPr>
          <w:ilvl w:val="0"/>
          <w:numId w:val="5"/>
        </w:numPr>
        <w:adjustRightInd w:val="0"/>
        <w:snapToGrid w:val="0"/>
        <w:spacing w:line="400" w:lineRule="exact"/>
        <w:ind w:firstLine="422" w:firstLineChars="200"/>
        <w:outlineLvl w:val="2"/>
        <w:rPr>
          <w:rFonts w:hint="eastAsia" w:ascii="宋体" w:hAnsi="宋体"/>
          <w:b/>
          <w:color w:val="auto"/>
          <w:szCs w:val="21"/>
        </w:rPr>
      </w:pPr>
      <w:bookmarkStart w:id="259" w:name="_Toc29052"/>
      <w:bookmarkStart w:id="260" w:name="_Toc31829"/>
      <w:bookmarkStart w:id="261" w:name="_Toc15949"/>
      <w:r>
        <w:rPr>
          <w:rFonts w:hint="eastAsia" w:ascii="宋体" w:hAnsi="宋体"/>
          <w:b/>
          <w:color w:val="auto"/>
          <w:szCs w:val="21"/>
        </w:rPr>
        <w:t>项目信息</w:t>
      </w:r>
      <w:bookmarkEnd w:id="259"/>
      <w:bookmarkEnd w:id="260"/>
      <w:bookmarkEnd w:id="261"/>
    </w:p>
    <w:p w14:paraId="4FCA287F">
      <w:pPr>
        <w:pStyle w:val="19"/>
        <w:numPr>
          <w:ilvl w:val="0"/>
          <w:numId w:val="6"/>
        </w:numPr>
        <w:adjustRightInd w:val="0"/>
        <w:snapToGrid w:val="0"/>
        <w:spacing w:after="0" w:line="400" w:lineRule="exact"/>
        <w:ind w:left="0" w:leftChars="0" w:firstLine="560" w:firstLineChars="200"/>
        <w:rPr>
          <w:rFonts w:hint="eastAsia" w:ascii="宋体" w:hAnsi="宋体"/>
          <w:color w:val="auto"/>
          <w:szCs w:val="21"/>
          <w:u w:val="single"/>
        </w:rPr>
      </w:pPr>
      <w:r>
        <w:rPr>
          <w:rFonts w:hint="eastAsia" w:ascii="宋体" w:hAnsi="宋体"/>
          <w:color w:val="auto"/>
          <w:szCs w:val="21"/>
        </w:rPr>
        <w:t>采购项目名称：</w:t>
      </w:r>
      <w:r>
        <w:rPr>
          <w:rFonts w:ascii="宋体" w:hAnsi="宋体"/>
          <w:color w:val="auto"/>
          <w:szCs w:val="21"/>
          <w:u w:val="single"/>
        </w:rPr>
        <w:t xml:space="preserve">                                          </w:t>
      </w:r>
    </w:p>
    <w:p w14:paraId="3F89BD4E">
      <w:pPr>
        <w:pStyle w:val="19"/>
        <w:numPr>
          <w:ilvl w:val="255"/>
          <w:numId w:val="0"/>
        </w:numPr>
        <w:tabs>
          <w:tab w:val="left" w:pos="999"/>
        </w:tabs>
        <w:adjustRightInd w:val="0"/>
        <w:snapToGrid w:val="0"/>
        <w:spacing w:after="0" w:line="400" w:lineRule="exact"/>
        <w:rPr>
          <w:rFonts w:hint="eastAsia" w:ascii="宋体" w:hAnsi="宋体"/>
          <w:color w:val="auto"/>
          <w:szCs w:val="21"/>
        </w:rPr>
      </w:pPr>
      <w:r>
        <w:rPr>
          <w:rFonts w:hint="eastAsia" w:ascii="宋体" w:hAnsi="宋体"/>
          <w:color w:val="auto"/>
          <w:szCs w:val="21"/>
        </w:rPr>
        <w:t xml:space="preserve">         采购项目编号：</w:t>
      </w:r>
      <w:r>
        <w:rPr>
          <w:rFonts w:ascii="宋体" w:hAnsi="宋体"/>
          <w:color w:val="auto"/>
          <w:szCs w:val="21"/>
          <w:u w:val="single"/>
        </w:rPr>
        <w:t xml:space="preserve">                                          </w:t>
      </w:r>
    </w:p>
    <w:p w14:paraId="5121E65D">
      <w:pPr>
        <w:pStyle w:val="19"/>
        <w:adjustRightInd w:val="0"/>
        <w:snapToGrid w:val="0"/>
        <w:spacing w:after="0" w:line="400" w:lineRule="exact"/>
        <w:ind w:left="0" w:leftChars="0" w:firstLine="560" w:firstLineChars="200"/>
        <w:rPr>
          <w:rFonts w:hint="eastAsia" w:ascii="宋体" w:hAnsi="宋体"/>
          <w:color w:val="auto"/>
          <w:szCs w:val="21"/>
        </w:rPr>
      </w:pPr>
      <w:r>
        <w:rPr>
          <w:rFonts w:hint="eastAsia" w:ascii="宋体" w:hAnsi="宋体"/>
          <w:color w:val="auto"/>
          <w:szCs w:val="21"/>
        </w:rPr>
        <w:t>（2）采购计划编号：</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ascii="宋体" w:hAnsi="宋体"/>
          <w:color w:val="auto"/>
          <w:szCs w:val="21"/>
        </w:rPr>
        <w:t xml:space="preserve"> </w:t>
      </w:r>
    </w:p>
    <w:p w14:paraId="582CF5F8">
      <w:pPr>
        <w:adjustRightInd w:val="0"/>
        <w:snapToGrid w:val="0"/>
        <w:spacing w:line="400" w:lineRule="exact"/>
        <w:ind w:firstLine="420" w:firstLineChars="200"/>
        <w:outlineLvl w:val="3"/>
        <w:rPr>
          <w:rFonts w:hint="eastAsia" w:ascii="宋体" w:hAnsi="宋体"/>
          <w:color w:val="auto"/>
          <w:szCs w:val="21"/>
        </w:rPr>
      </w:pPr>
      <w:bookmarkStart w:id="262" w:name="_Toc32577"/>
      <w:bookmarkStart w:id="263" w:name="_Toc31635"/>
      <w:bookmarkStart w:id="264" w:name="_Toc31419"/>
      <w:r>
        <w:rPr>
          <w:rFonts w:hint="eastAsia" w:ascii="宋体" w:hAnsi="宋体"/>
          <w:color w:val="auto"/>
          <w:szCs w:val="21"/>
        </w:rPr>
        <w:t>（3）项目内容：</w:t>
      </w:r>
      <w:bookmarkEnd w:id="262"/>
      <w:bookmarkEnd w:id="263"/>
      <w:bookmarkEnd w:id="264"/>
    </w:p>
    <w:p w14:paraId="17ABD34F">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 xml:space="preserve">     采购标的及数量（台/套</w:t>
      </w:r>
      <w:r>
        <w:rPr>
          <w:rFonts w:ascii="宋体" w:hAnsi="宋体"/>
          <w:color w:val="auto"/>
          <w:szCs w:val="21"/>
          <w:lang w:val="en"/>
        </w:rPr>
        <w:t>/</w:t>
      </w:r>
      <w:r>
        <w:rPr>
          <w:rFonts w:hint="eastAsia" w:ascii="宋体" w:hAnsi="宋体"/>
          <w:color w:val="auto"/>
          <w:szCs w:val="21"/>
          <w:lang w:val="en"/>
        </w:rPr>
        <w:t>个</w:t>
      </w:r>
      <w:r>
        <w:rPr>
          <w:rFonts w:ascii="宋体" w:hAnsi="宋体"/>
          <w:color w:val="auto"/>
          <w:szCs w:val="21"/>
          <w:lang w:val="en"/>
        </w:rPr>
        <w:t>/</w:t>
      </w:r>
      <w:r>
        <w:rPr>
          <w:rFonts w:hint="eastAsia" w:ascii="宋体" w:hAnsi="宋体"/>
          <w:color w:val="auto"/>
          <w:szCs w:val="21"/>
          <w:lang w:val="en"/>
        </w:rPr>
        <w:t>架</w:t>
      </w:r>
      <w:r>
        <w:rPr>
          <w:rFonts w:ascii="宋体" w:hAnsi="宋体"/>
          <w:color w:val="auto"/>
          <w:szCs w:val="21"/>
          <w:lang w:val="en"/>
        </w:rPr>
        <w:t>/</w:t>
      </w:r>
      <w:r>
        <w:rPr>
          <w:rFonts w:hint="eastAsia" w:ascii="宋体" w:hAnsi="宋体"/>
          <w:color w:val="auto"/>
          <w:szCs w:val="21"/>
          <w:lang w:val="en"/>
        </w:rPr>
        <w:t>组等</w:t>
      </w:r>
      <w:r>
        <w:rPr>
          <w:rFonts w:hint="eastAsia"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rPr>
        <w:t xml:space="preserve">            </w:t>
      </w:r>
      <w:r>
        <w:rPr>
          <w:rFonts w:hint="eastAsia" w:ascii="宋体" w:hAnsi="宋体"/>
          <w:color w:val="auto"/>
          <w:szCs w:val="21"/>
          <w:u w:val="single"/>
        </w:rPr>
        <w:t xml:space="preserve">                  </w:t>
      </w:r>
      <w:r>
        <w:rPr>
          <w:rFonts w:hint="eastAsia" w:ascii="宋体" w:hAnsi="宋体"/>
          <w:color w:val="auto"/>
          <w:szCs w:val="21"/>
        </w:rPr>
        <w:t xml:space="preserve"> </w:t>
      </w:r>
    </w:p>
    <w:p w14:paraId="02AF72A0">
      <w:pPr>
        <w:numPr>
          <w:ilvl w:val="255"/>
          <w:numId w:val="0"/>
        </w:numPr>
        <w:adjustRightInd w:val="0"/>
        <w:snapToGrid w:val="0"/>
        <w:spacing w:line="400" w:lineRule="exact"/>
        <w:ind w:firstLine="420" w:firstLineChars="200"/>
        <w:rPr>
          <w:rFonts w:hint="eastAsia" w:ascii="宋体" w:hAnsi="宋体" w:cs="宋体"/>
          <w:color w:val="auto"/>
          <w:szCs w:val="21"/>
          <w:lang w:val="en"/>
        </w:rPr>
      </w:pPr>
      <w:r>
        <w:rPr>
          <w:rFonts w:hint="eastAsia" w:ascii="宋体" w:hAnsi="宋体"/>
          <w:color w:val="auto"/>
          <w:szCs w:val="21"/>
        </w:rPr>
        <w:t xml:space="preserve">     </w:t>
      </w:r>
      <w:r>
        <w:rPr>
          <w:rFonts w:hint="eastAsia" w:ascii="宋体" w:hAnsi="宋体" w:cs="宋体"/>
          <w:color w:val="auto"/>
          <w:szCs w:val="21"/>
        </w:rPr>
        <w:t>品牌：</w:t>
      </w:r>
      <w:r>
        <w:rPr>
          <w:rFonts w:hint="eastAsia" w:ascii="宋体" w:hAnsi="宋体" w:cs="宋体"/>
          <w:color w:val="auto"/>
          <w:szCs w:val="21"/>
          <w:u w:val="single"/>
        </w:rPr>
        <w:t xml:space="preserve">      </w:t>
      </w:r>
      <w:r>
        <w:rPr>
          <w:rFonts w:ascii="宋体" w:hAnsi="宋体" w:cs="宋体"/>
          <w:color w:val="auto"/>
          <w:szCs w:val="21"/>
          <w:u w:val="single"/>
          <w:lang w:val="en"/>
        </w:rPr>
        <w:t xml:space="preserve">   </w:t>
      </w:r>
      <w:r>
        <w:rPr>
          <w:rFonts w:hint="eastAsia" w:ascii="宋体" w:hAnsi="宋体" w:cs="宋体"/>
          <w:color w:val="auto"/>
          <w:szCs w:val="21"/>
          <w:u w:val="single"/>
        </w:rPr>
        <w:t xml:space="preserve">    </w:t>
      </w:r>
      <w:r>
        <w:rPr>
          <w:rFonts w:ascii="宋体" w:hAnsi="宋体" w:cs="宋体"/>
          <w:color w:val="auto"/>
          <w:szCs w:val="21"/>
          <w:u w:val="single"/>
          <w:lang w:val="en"/>
        </w:rPr>
        <w:t xml:space="preserve"> </w:t>
      </w:r>
      <w:r>
        <w:rPr>
          <w:rFonts w:hint="eastAsia" w:ascii="宋体" w:hAnsi="宋体" w:cs="宋体"/>
          <w:color w:val="auto"/>
          <w:szCs w:val="21"/>
          <w:u w:val="single"/>
        </w:rPr>
        <w:t xml:space="preserve"> </w:t>
      </w:r>
      <w:r>
        <w:rPr>
          <w:rFonts w:ascii="宋体" w:hAnsi="宋体" w:cs="宋体"/>
          <w:color w:val="auto"/>
          <w:szCs w:val="21"/>
          <w:lang w:val="en"/>
        </w:rPr>
        <w:t xml:space="preserve">     </w:t>
      </w:r>
      <w:r>
        <w:rPr>
          <w:rFonts w:hint="eastAsia" w:ascii="宋体" w:hAnsi="宋体" w:cs="宋体"/>
          <w:color w:val="auto"/>
          <w:szCs w:val="21"/>
        </w:rPr>
        <w:t>规格型号：</w:t>
      </w:r>
      <w:r>
        <w:rPr>
          <w:rFonts w:hint="eastAsia" w:ascii="宋体" w:hAnsi="宋体" w:cs="宋体"/>
          <w:color w:val="auto"/>
          <w:szCs w:val="21"/>
          <w:u w:val="single"/>
        </w:rPr>
        <w:t xml:space="preserve">   </w:t>
      </w:r>
      <w:r>
        <w:rPr>
          <w:rFonts w:ascii="宋体" w:hAnsi="宋体" w:cs="宋体"/>
          <w:color w:val="auto"/>
          <w:szCs w:val="21"/>
          <w:u w:val="single"/>
          <w:lang w:val="en"/>
        </w:rPr>
        <w:t xml:space="preserve">  </w:t>
      </w:r>
      <w:r>
        <w:rPr>
          <w:rFonts w:hint="eastAsia" w:ascii="宋体" w:hAnsi="宋体" w:cs="宋体"/>
          <w:color w:val="auto"/>
          <w:szCs w:val="21"/>
          <w:u w:val="single"/>
        </w:rPr>
        <w:t xml:space="preserve">       </w:t>
      </w:r>
      <w:r>
        <w:rPr>
          <w:rFonts w:ascii="宋体" w:hAnsi="宋体" w:cs="宋体"/>
          <w:color w:val="auto"/>
          <w:szCs w:val="21"/>
          <w:u w:val="single"/>
          <w:lang w:val="en"/>
        </w:rPr>
        <w:t xml:space="preserve">   </w:t>
      </w:r>
    </w:p>
    <w:p w14:paraId="6E70C1B9">
      <w:pPr>
        <w:adjustRightInd w:val="0"/>
        <w:snapToGrid w:val="0"/>
        <w:spacing w:line="400" w:lineRule="exact"/>
        <w:ind w:firstLine="945" w:firstLineChars="450"/>
        <w:rPr>
          <w:rFonts w:hint="eastAsia" w:ascii="宋体" w:hAnsi="宋体"/>
          <w:color w:val="auto"/>
          <w:szCs w:val="21"/>
          <w:u w:val="single"/>
        </w:rPr>
      </w:pPr>
      <w:r>
        <w:rPr>
          <w:rFonts w:hint="eastAsia" w:ascii="宋体" w:hAnsi="宋体"/>
          <w:color w:val="auto"/>
          <w:szCs w:val="21"/>
        </w:rPr>
        <w:t>采购标的的技术要求、商务要求具体见附件。</w:t>
      </w:r>
    </w:p>
    <w:p w14:paraId="129ED88C">
      <w:pPr>
        <w:numPr>
          <w:ilvl w:val="255"/>
          <w:numId w:val="0"/>
        </w:numPr>
        <w:adjustRightInd w:val="0"/>
        <w:snapToGrid w:val="0"/>
        <w:spacing w:line="400" w:lineRule="exact"/>
        <w:ind w:firstLine="945" w:firstLineChars="450"/>
        <w:outlineLvl w:val="4"/>
        <w:rPr>
          <w:rFonts w:hint="eastAsia" w:ascii="宋体" w:hAnsi="宋体" w:cs="宋体"/>
          <w:color w:val="auto"/>
          <w:szCs w:val="21"/>
        </w:rPr>
      </w:pPr>
      <w:r>
        <w:rPr>
          <w:rFonts w:hint="eastAsia" w:ascii="汉仪书宋二S" w:hAnsi="汉仪书宋二S" w:eastAsia="汉仪书宋二S" w:cs="汉仪书宋二S"/>
          <w:color w:val="auto"/>
          <w:szCs w:val="21"/>
        </w:rPr>
        <w:t>①</w:t>
      </w:r>
      <w:r>
        <w:rPr>
          <w:rFonts w:hint="eastAsia" w:ascii="宋体" w:hAnsi="宋体" w:cs="宋体"/>
          <w:color w:val="auto"/>
          <w:szCs w:val="21"/>
        </w:rPr>
        <w:t>涉及信息类产品，请填写该产品关键部件的品牌、型号：</w:t>
      </w:r>
    </w:p>
    <w:p w14:paraId="44A83088">
      <w:pPr>
        <w:numPr>
          <w:ilvl w:val="255"/>
          <w:numId w:val="0"/>
        </w:numPr>
        <w:adjustRightInd w:val="0"/>
        <w:snapToGrid w:val="0"/>
        <w:spacing w:line="400" w:lineRule="exact"/>
        <w:ind w:firstLine="420" w:firstLineChars="200"/>
        <w:rPr>
          <w:rFonts w:hint="eastAsia" w:ascii="宋体" w:hAnsi="宋体" w:cs="宋体"/>
          <w:color w:val="auto"/>
          <w:kern w:val="0"/>
          <w:szCs w:val="21"/>
          <w:u w:val="single"/>
        </w:rPr>
      </w:pPr>
      <w:r>
        <w:rPr>
          <w:rFonts w:hint="eastAsia" w:ascii="宋体" w:hAnsi="宋体" w:cs="宋体"/>
          <w:color w:val="auto"/>
          <w:szCs w:val="21"/>
        </w:rPr>
        <w:t xml:space="preserve">     标的名称：</w:t>
      </w:r>
      <w:r>
        <w:rPr>
          <w:rFonts w:hint="eastAsia" w:ascii="宋体" w:hAnsi="宋体" w:cs="宋体"/>
          <w:color w:val="auto"/>
          <w:kern w:val="0"/>
          <w:szCs w:val="21"/>
          <w:u w:val="single"/>
        </w:rPr>
        <w:t xml:space="preserve">      </w:t>
      </w:r>
      <w:r>
        <w:rPr>
          <w:rFonts w:ascii="宋体" w:hAnsi="宋体" w:cs="宋体"/>
          <w:color w:val="auto"/>
          <w:kern w:val="0"/>
          <w:szCs w:val="21"/>
          <w:u w:val="single"/>
          <w:lang w:val="en"/>
        </w:rPr>
        <w:t xml:space="preserve">               </w:t>
      </w:r>
      <w:r>
        <w:rPr>
          <w:rFonts w:hint="eastAsia" w:ascii="宋体" w:hAnsi="宋体" w:cs="宋体"/>
          <w:color w:val="auto"/>
          <w:kern w:val="0"/>
          <w:szCs w:val="21"/>
          <w:u w:val="single"/>
        </w:rPr>
        <w:t xml:space="preserve">    </w:t>
      </w:r>
    </w:p>
    <w:p w14:paraId="4DE78EE0">
      <w:pPr>
        <w:numPr>
          <w:ilvl w:val="255"/>
          <w:numId w:val="0"/>
        </w:numPr>
        <w:adjustRightInd w:val="0"/>
        <w:snapToGrid w:val="0"/>
        <w:spacing w:line="400" w:lineRule="exact"/>
        <w:ind w:firstLine="420" w:firstLineChars="200"/>
        <w:rPr>
          <w:rFonts w:hint="eastAsia" w:ascii="宋体" w:hAnsi="宋体" w:cs="宋体"/>
          <w:color w:val="auto"/>
          <w:szCs w:val="21"/>
        </w:rPr>
      </w:pPr>
      <w:r>
        <w:rPr>
          <w:rFonts w:hint="eastAsia" w:ascii="宋体" w:hAnsi="宋体" w:cs="宋体"/>
          <w:color w:val="auto"/>
          <w:szCs w:val="21"/>
        </w:rPr>
        <w:t xml:space="preserve">     关键部件：</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w:t>
      </w:r>
      <w:r>
        <w:rPr>
          <w:rFonts w:hint="eastAsia" w:ascii="宋体" w:hAnsi="宋体" w:cs="宋体"/>
          <w:color w:val="auto"/>
          <w:szCs w:val="21"/>
        </w:rPr>
        <w:t>品牌：</w:t>
      </w:r>
      <w:r>
        <w:rPr>
          <w:rFonts w:hint="eastAsia" w:ascii="宋体" w:hAnsi="宋体" w:cs="宋体"/>
          <w:color w:val="auto"/>
          <w:szCs w:val="21"/>
          <w:u w:val="single"/>
        </w:rPr>
        <w:t xml:space="preserve">        </w:t>
      </w:r>
      <w:r>
        <w:rPr>
          <w:rFonts w:hint="eastAsia" w:ascii="宋体" w:hAnsi="宋体" w:cs="宋体"/>
          <w:color w:val="auto"/>
          <w:szCs w:val="21"/>
        </w:rPr>
        <w:t xml:space="preserve"> 型号：</w:t>
      </w:r>
      <w:r>
        <w:rPr>
          <w:rFonts w:hint="eastAsia" w:ascii="宋体" w:hAnsi="宋体" w:cs="宋体"/>
          <w:color w:val="auto"/>
          <w:szCs w:val="21"/>
          <w:u w:val="single"/>
        </w:rPr>
        <w:t xml:space="preserve">       </w:t>
      </w:r>
      <w:r>
        <w:rPr>
          <w:rFonts w:hint="eastAsia" w:ascii="宋体" w:hAnsi="宋体" w:cs="宋体"/>
          <w:color w:val="auto"/>
          <w:szCs w:val="21"/>
        </w:rPr>
        <w:t xml:space="preserve"> </w:t>
      </w:r>
    </w:p>
    <w:p w14:paraId="71DB67C7">
      <w:pPr>
        <w:pStyle w:val="145"/>
        <w:ind w:firstLine="420"/>
        <w:rPr>
          <w:rFonts w:hint="eastAsia" w:ascii="宋体" w:hAnsi="宋体" w:eastAsia="宋体" w:cs="宋体"/>
          <w:color w:val="auto"/>
          <w:sz w:val="21"/>
        </w:rPr>
      </w:pPr>
      <w:r>
        <w:rPr>
          <w:rFonts w:hint="eastAsia" w:ascii="宋体" w:hAnsi="宋体" w:eastAsia="宋体" w:cs="宋体"/>
          <w:color w:val="auto"/>
          <w:sz w:val="21"/>
        </w:rPr>
        <w:t xml:space="preserve">     关键部件：</w:t>
      </w:r>
      <w:r>
        <w:rPr>
          <w:rFonts w:hint="eastAsia" w:ascii="宋体" w:hAnsi="宋体" w:eastAsia="宋体" w:cs="宋体"/>
          <w:color w:val="auto"/>
          <w:sz w:val="21"/>
          <w:u w:val="single"/>
        </w:rPr>
        <w:t xml:space="preserve">          </w:t>
      </w:r>
      <w:r>
        <w:rPr>
          <w:rFonts w:hint="eastAsia" w:ascii="宋体" w:hAnsi="宋体" w:eastAsia="宋体" w:cs="宋体"/>
          <w:color w:val="auto"/>
          <w:sz w:val="21"/>
        </w:rPr>
        <w:t xml:space="preserve"> 品牌：</w:t>
      </w:r>
      <w:r>
        <w:rPr>
          <w:rFonts w:hint="eastAsia" w:ascii="宋体" w:hAnsi="宋体" w:eastAsia="宋体" w:cs="宋体"/>
          <w:color w:val="auto"/>
          <w:sz w:val="21"/>
          <w:u w:val="single"/>
        </w:rPr>
        <w:t xml:space="preserve">        </w:t>
      </w:r>
      <w:r>
        <w:rPr>
          <w:rFonts w:hint="eastAsia" w:ascii="宋体" w:hAnsi="宋体" w:eastAsia="宋体" w:cs="宋体"/>
          <w:color w:val="auto"/>
          <w:sz w:val="21"/>
        </w:rPr>
        <w:t xml:space="preserve"> 型号：</w:t>
      </w:r>
      <w:r>
        <w:rPr>
          <w:rFonts w:hint="eastAsia" w:ascii="宋体" w:hAnsi="宋体" w:eastAsia="宋体" w:cs="宋体"/>
          <w:color w:val="auto"/>
          <w:sz w:val="21"/>
          <w:u w:val="single"/>
        </w:rPr>
        <w:t xml:space="preserve">       </w:t>
      </w:r>
      <w:r>
        <w:rPr>
          <w:rFonts w:hint="eastAsia" w:ascii="宋体" w:hAnsi="宋体" w:eastAsia="宋体" w:cs="宋体"/>
          <w:color w:val="auto"/>
          <w:sz w:val="21"/>
        </w:rPr>
        <w:t xml:space="preserve"> </w:t>
      </w:r>
    </w:p>
    <w:p w14:paraId="1B9A8C75">
      <w:pPr>
        <w:pStyle w:val="145"/>
        <w:ind w:firstLine="420"/>
        <w:rPr>
          <w:rFonts w:hint="eastAsia" w:ascii="宋体" w:hAnsi="宋体" w:eastAsia="宋体" w:cs="宋体"/>
          <w:color w:val="auto"/>
          <w:sz w:val="21"/>
        </w:rPr>
      </w:pPr>
      <w:r>
        <w:rPr>
          <w:rFonts w:hint="eastAsia" w:ascii="宋体" w:hAnsi="宋体" w:eastAsia="宋体" w:cs="宋体"/>
          <w:color w:val="auto"/>
          <w:sz w:val="21"/>
        </w:rPr>
        <w:t xml:space="preserve">     关键部件：</w:t>
      </w:r>
      <w:r>
        <w:rPr>
          <w:rFonts w:hint="eastAsia" w:ascii="宋体" w:hAnsi="宋体" w:eastAsia="宋体" w:cs="宋体"/>
          <w:color w:val="auto"/>
          <w:sz w:val="21"/>
          <w:u w:val="single"/>
        </w:rPr>
        <w:t xml:space="preserve">          </w:t>
      </w:r>
      <w:r>
        <w:rPr>
          <w:rFonts w:hint="eastAsia" w:ascii="宋体" w:hAnsi="宋体" w:eastAsia="宋体" w:cs="宋体"/>
          <w:color w:val="auto"/>
          <w:sz w:val="21"/>
        </w:rPr>
        <w:t xml:space="preserve"> 品牌：</w:t>
      </w:r>
      <w:r>
        <w:rPr>
          <w:rFonts w:hint="eastAsia" w:ascii="宋体" w:hAnsi="宋体" w:eastAsia="宋体" w:cs="宋体"/>
          <w:color w:val="auto"/>
          <w:sz w:val="21"/>
          <w:u w:val="single"/>
        </w:rPr>
        <w:t xml:space="preserve">        </w:t>
      </w:r>
      <w:r>
        <w:rPr>
          <w:rFonts w:hint="eastAsia" w:ascii="宋体" w:hAnsi="宋体" w:eastAsia="宋体" w:cs="宋体"/>
          <w:color w:val="auto"/>
          <w:sz w:val="21"/>
        </w:rPr>
        <w:t xml:space="preserve"> 型号：</w:t>
      </w:r>
      <w:r>
        <w:rPr>
          <w:rFonts w:hint="eastAsia" w:ascii="宋体" w:hAnsi="宋体" w:eastAsia="宋体" w:cs="宋体"/>
          <w:color w:val="auto"/>
          <w:sz w:val="21"/>
          <w:u w:val="single"/>
        </w:rPr>
        <w:t xml:space="preserve">       </w:t>
      </w:r>
    </w:p>
    <w:p w14:paraId="7BB4DCB6">
      <w:pPr>
        <w:pStyle w:val="145"/>
        <w:numPr>
          <w:ilvl w:val="255"/>
          <w:numId w:val="0"/>
        </w:numPr>
        <w:snapToGrid w:val="0"/>
        <w:rPr>
          <w:rFonts w:hint="eastAsia" w:ascii="宋体" w:hAnsi="宋体" w:eastAsia="宋体" w:cs="宋体"/>
          <w:color w:val="auto"/>
          <w:sz w:val="21"/>
        </w:rPr>
      </w:pPr>
      <w:r>
        <w:rPr>
          <w:rFonts w:hint="eastAsia" w:ascii="宋体" w:hAnsi="宋体" w:eastAsia="宋体" w:cs="宋体"/>
          <w:color w:val="auto"/>
          <w:sz w:val="21"/>
        </w:rPr>
        <w:t xml:space="preserve">   （注：关键部件是指财政部会同有关部门发布的政府采购需求标准规定的需要通过国家有关部门指定的测评机构开展的安全可靠测评的软硬件，如CPU芯片、操作系统、数据库等。）</w:t>
      </w:r>
    </w:p>
    <w:p w14:paraId="3DA5038A">
      <w:pPr>
        <w:pStyle w:val="145"/>
        <w:numPr>
          <w:ilvl w:val="255"/>
          <w:numId w:val="0"/>
        </w:numPr>
        <w:snapToGrid w:val="0"/>
        <w:outlineLvl w:val="4"/>
        <w:rPr>
          <w:rFonts w:hint="eastAsia" w:ascii="宋体" w:hAnsi="宋体" w:eastAsia="宋体" w:cs="宋体"/>
          <w:color w:val="auto"/>
          <w:sz w:val="21"/>
        </w:rPr>
      </w:pPr>
      <w:r>
        <w:rPr>
          <w:rFonts w:hint="eastAsia" w:ascii="宋体" w:hAnsi="宋体" w:eastAsia="宋体" w:cs="宋体"/>
          <w:color w:val="auto"/>
          <w:sz w:val="21"/>
        </w:rPr>
        <w:t xml:space="preserve">         </w:t>
      </w:r>
      <w:r>
        <w:rPr>
          <w:rFonts w:hint="eastAsia" w:ascii="汉仪书宋二S" w:hAnsi="汉仪书宋二S" w:eastAsia="汉仪书宋二S" w:cs="汉仪书宋二S"/>
          <w:color w:val="auto"/>
          <w:sz w:val="21"/>
        </w:rPr>
        <w:t>②</w:t>
      </w:r>
      <w:r>
        <w:rPr>
          <w:rFonts w:hint="eastAsia" w:ascii="宋体" w:hAnsi="宋体" w:eastAsia="宋体" w:cs="宋体"/>
          <w:color w:val="auto"/>
          <w:sz w:val="21"/>
        </w:rPr>
        <w:t>涉及车辆采购，请填写是否属于新能源汽车：</w:t>
      </w:r>
    </w:p>
    <w:p w14:paraId="032294CD">
      <w:pPr>
        <w:pStyle w:val="145"/>
        <w:numPr>
          <w:ilvl w:val="255"/>
          <w:numId w:val="0"/>
        </w:numPr>
        <w:snapToGrid w:val="0"/>
        <w:rPr>
          <w:rFonts w:hint="eastAsia" w:asciiTheme="minorEastAsia" w:hAnsiTheme="minorEastAsia" w:eastAsiaTheme="minorEastAsia" w:cstheme="minorEastAsia"/>
          <w:color w:val="auto"/>
          <w:sz w:val="21"/>
        </w:rPr>
      </w:pPr>
      <w:r>
        <w:rPr>
          <w:rFonts w:hint="eastAsia" w:asciiTheme="minorEastAsia" w:hAnsiTheme="minorEastAsia" w:eastAsiaTheme="minorEastAsia" w:cstheme="minorEastAsia"/>
          <w:color w:val="auto"/>
          <w:sz w:val="21"/>
        </w:rPr>
        <w:t xml:space="preserve">         是，《政府采购品目分类目录》底级品目名称：</w:t>
      </w:r>
      <w:r>
        <w:rPr>
          <w:rFonts w:hint="eastAsia" w:ascii="宋体" w:hAnsi="宋体" w:eastAsia="宋体" w:cs="宋体"/>
          <w:color w:val="auto"/>
          <w:sz w:val="21"/>
          <w:u w:val="single"/>
        </w:rPr>
        <w:t xml:space="preserve">     </w:t>
      </w:r>
      <w:r>
        <w:rPr>
          <w:rFonts w:hint="eastAsia" w:asciiTheme="minorEastAsia" w:hAnsiTheme="minorEastAsia" w:eastAsiaTheme="minorEastAsia" w:cstheme="minorEastAsia"/>
          <w:color w:val="auto"/>
          <w:sz w:val="21"/>
        </w:rPr>
        <w:t xml:space="preserve"> 数量：</w:t>
      </w:r>
      <w:r>
        <w:rPr>
          <w:rFonts w:hint="eastAsia" w:asciiTheme="minorEastAsia" w:hAnsiTheme="minorEastAsia" w:eastAsiaTheme="minorEastAsia" w:cstheme="minorEastAsia"/>
          <w:color w:val="auto"/>
          <w:sz w:val="21"/>
          <w:u w:val="single"/>
        </w:rPr>
        <w:t xml:space="preserve"> </w:t>
      </w:r>
      <w:r>
        <w:rPr>
          <w:rFonts w:hint="eastAsia" w:ascii="宋体" w:hAnsi="宋体" w:eastAsia="宋体" w:cs="宋体"/>
          <w:color w:val="auto"/>
          <w:sz w:val="21"/>
          <w:u w:val="single"/>
        </w:rPr>
        <w:t xml:space="preserve">   </w:t>
      </w:r>
      <w:r>
        <w:rPr>
          <w:rFonts w:hint="eastAsia" w:asciiTheme="minorEastAsia" w:hAnsiTheme="minorEastAsia" w:eastAsiaTheme="minorEastAsia" w:cstheme="minorEastAsia"/>
          <w:color w:val="auto"/>
          <w:sz w:val="21"/>
        </w:rPr>
        <w:t xml:space="preserve"> 金额：</w:t>
      </w:r>
      <w:r>
        <w:rPr>
          <w:rFonts w:hint="eastAsia" w:ascii="宋体" w:hAnsi="宋体" w:eastAsia="宋体" w:cs="宋体"/>
          <w:color w:val="auto"/>
          <w:sz w:val="21"/>
          <w:u w:val="single"/>
        </w:rPr>
        <w:t xml:space="preserve">     </w:t>
      </w:r>
      <w:r>
        <w:rPr>
          <w:rFonts w:hint="eastAsia" w:asciiTheme="minorEastAsia" w:hAnsiTheme="minorEastAsia" w:eastAsiaTheme="minorEastAsia" w:cstheme="minorEastAsia"/>
          <w:color w:val="auto"/>
          <w:sz w:val="21"/>
        </w:rPr>
        <w:t xml:space="preserve"> </w:t>
      </w:r>
    </w:p>
    <w:p w14:paraId="300D5635">
      <w:pPr>
        <w:pStyle w:val="145"/>
        <w:numPr>
          <w:ilvl w:val="255"/>
          <w:numId w:val="0"/>
        </w:numPr>
        <w:snapToGrid w:val="0"/>
        <w:rPr>
          <w:rFonts w:hint="eastAsia" w:asciiTheme="minorEastAsia" w:hAnsiTheme="minorEastAsia" w:eastAsiaTheme="minorEastAsia" w:cstheme="minorEastAsia"/>
          <w:color w:val="auto"/>
          <w:sz w:val="21"/>
        </w:rPr>
      </w:pPr>
      <w:r>
        <w:rPr>
          <w:rFonts w:hint="eastAsia" w:asciiTheme="minorEastAsia" w:hAnsiTheme="minorEastAsia" w:eastAsiaTheme="minorEastAsia" w:cstheme="minorEastAsia"/>
          <w:color w:val="auto"/>
          <w:sz w:val="21"/>
        </w:rPr>
        <w:t xml:space="preserve">         否</w:t>
      </w:r>
    </w:p>
    <w:p w14:paraId="09A12E50">
      <w:pPr>
        <w:pStyle w:val="145"/>
        <w:numPr>
          <w:ilvl w:val="255"/>
          <w:numId w:val="0"/>
        </w:numPr>
        <w:snapToGrid w:val="0"/>
        <w:rPr>
          <w:rFonts w:hint="eastAsia" w:asciiTheme="minorEastAsia" w:hAnsiTheme="minorEastAsia" w:eastAsiaTheme="minorEastAsia" w:cstheme="minorEastAsia"/>
          <w:color w:val="auto"/>
          <w:sz w:val="21"/>
        </w:rPr>
      </w:pPr>
      <w:r>
        <w:rPr>
          <w:rFonts w:hint="eastAsia" w:asciiTheme="minorEastAsia" w:hAnsiTheme="minorEastAsia" w:eastAsiaTheme="minorEastAsia" w:cstheme="minorEastAsia"/>
          <w:color w:val="auto"/>
          <w:sz w:val="21"/>
        </w:rPr>
        <w:t xml:space="preserve">    （</w:t>
      </w:r>
      <w:r>
        <w:rPr>
          <w:rFonts w:asciiTheme="minorEastAsia" w:hAnsiTheme="minorEastAsia" w:eastAsiaTheme="minorEastAsia" w:cstheme="minorEastAsia"/>
          <w:color w:val="auto"/>
          <w:sz w:val="21"/>
          <w:lang w:val="en"/>
        </w:rPr>
        <w:t>4</w:t>
      </w:r>
      <w:r>
        <w:rPr>
          <w:rFonts w:hint="eastAsia" w:asciiTheme="minorEastAsia" w:hAnsiTheme="minorEastAsia" w:eastAsiaTheme="minorEastAsia" w:cstheme="minorEastAsia"/>
          <w:color w:val="auto"/>
          <w:sz w:val="21"/>
        </w:rPr>
        <w:t>）政府采购组织形式：政府集中采购  部门集中采购  分散采购</w:t>
      </w:r>
    </w:p>
    <w:p w14:paraId="6EF7438F">
      <w:pPr>
        <w:pStyle w:val="145"/>
        <w:numPr>
          <w:ilvl w:val="255"/>
          <w:numId w:val="0"/>
        </w:numPr>
        <w:snapToGrid w:val="0"/>
        <w:ind w:firstLine="420"/>
        <w:rPr>
          <w:rFonts w:hint="eastAsia" w:asciiTheme="minorEastAsia" w:hAnsiTheme="minorEastAsia" w:eastAsiaTheme="minorEastAsia" w:cstheme="minorEastAsia"/>
          <w:color w:val="auto"/>
          <w:sz w:val="21"/>
        </w:rPr>
      </w:pPr>
      <w:r>
        <w:rPr>
          <w:rFonts w:hint="eastAsia" w:asciiTheme="minorEastAsia" w:hAnsiTheme="minorEastAsia" w:eastAsiaTheme="minorEastAsia" w:cstheme="minorEastAsia"/>
          <w:color w:val="auto"/>
          <w:sz w:val="21"/>
        </w:rPr>
        <w:t>（</w:t>
      </w:r>
      <w:r>
        <w:rPr>
          <w:rFonts w:asciiTheme="minorEastAsia" w:hAnsiTheme="minorEastAsia" w:eastAsiaTheme="minorEastAsia" w:cstheme="minorEastAsia"/>
          <w:color w:val="auto"/>
          <w:sz w:val="21"/>
          <w:lang w:val="en"/>
        </w:rPr>
        <w:t>5</w:t>
      </w:r>
      <w:r>
        <w:rPr>
          <w:rFonts w:hint="eastAsia" w:asciiTheme="minorEastAsia" w:hAnsiTheme="minorEastAsia" w:eastAsiaTheme="minorEastAsia" w:cstheme="minorEastAsia"/>
          <w:color w:val="auto"/>
          <w:sz w:val="21"/>
        </w:rPr>
        <w:t>）政府采购方式：公开招标 邀请招标 竞争性谈判 竞争性磋商</w:t>
      </w:r>
    </w:p>
    <w:p w14:paraId="0AAAF880">
      <w:pPr>
        <w:pStyle w:val="145"/>
        <w:numPr>
          <w:ilvl w:val="255"/>
          <w:numId w:val="0"/>
        </w:numPr>
        <w:snapToGrid w:val="0"/>
        <w:ind w:firstLine="420"/>
        <w:rPr>
          <w:rFonts w:hint="eastAsia" w:ascii="宋体" w:hAnsi="宋体" w:eastAsia="宋体" w:cs="宋体"/>
          <w:color w:val="auto"/>
          <w:sz w:val="21"/>
          <w:u w:val="single"/>
        </w:rPr>
      </w:pPr>
      <w:r>
        <w:rPr>
          <w:rFonts w:hint="eastAsia" w:ascii="宋体" w:hAnsi="宋体" w:cs="宋体"/>
          <w:color w:val="auto"/>
        </w:rPr>
        <w:t xml:space="preserve">                  </w:t>
      </w:r>
      <w:r>
        <w:rPr>
          <w:rFonts w:hint="eastAsia" w:asciiTheme="minorEastAsia" w:hAnsiTheme="minorEastAsia" w:eastAsiaTheme="minorEastAsia" w:cstheme="minorEastAsia"/>
          <w:color w:val="auto"/>
          <w:sz w:val="21"/>
        </w:rPr>
        <w:t>询价 单一来源 框架协议 其他：</w:t>
      </w:r>
      <w:r>
        <w:rPr>
          <w:rFonts w:hint="eastAsia" w:ascii="宋体" w:hAnsi="宋体" w:eastAsia="宋体" w:cs="宋体"/>
          <w:color w:val="auto"/>
          <w:sz w:val="21"/>
          <w:u w:val="single"/>
        </w:rPr>
        <w:t xml:space="preserve">          </w:t>
      </w:r>
    </w:p>
    <w:p w14:paraId="2FF6C1E3">
      <w:pPr>
        <w:pStyle w:val="145"/>
        <w:numPr>
          <w:ilvl w:val="255"/>
          <w:numId w:val="0"/>
        </w:numPr>
        <w:snapToGrid w:val="0"/>
        <w:ind w:firstLine="420"/>
        <w:rPr>
          <w:rFonts w:hint="eastAsia" w:ascii="宋体" w:hAnsi="宋体" w:eastAsia="宋体" w:cs="宋体"/>
          <w:color w:val="auto"/>
          <w:sz w:val="21"/>
        </w:rPr>
      </w:pPr>
      <w:r>
        <w:rPr>
          <w:rFonts w:hint="eastAsia" w:ascii="宋体" w:hAnsi="宋体" w:eastAsia="宋体" w:cs="宋体"/>
          <w:color w:val="auto"/>
          <w:sz w:val="21"/>
        </w:rPr>
        <w:t>（注：在框架协议采购的第二阶段，可选择使用该合同文本）</w:t>
      </w:r>
    </w:p>
    <w:p w14:paraId="71799121">
      <w:pPr>
        <w:pStyle w:val="145"/>
        <w:numPr>
          <w:ilvl w:val="255"/>
          <w:numId w:val="0"/>
        </w:numPr>
        <w:snapToGrid w:val="0"/>
        <w:ind w:firstLine="220" w:firstLineChars="100"/>
        <w:rPr>
          <w:rFonts w:hint="eastAsia" w:ascii="宋体" w:hAnsi="宋体" w:eastAsia="宋体" w:cs="Times New Roman"/>
          <w:color w:val="auto"/>
          <w:sz w:val="21"/>
        </w:rPr>
      </w:pPr>
      <w:r>
        <w:rPr>
          <w:rFonts w:hint="eastAsia" w:ascii="宋体" w:hAnsi="宋体"/>
          <w:color w:val="auto"/>
        </w:rPr>
        <w:t xml:space="preserve"> （</w:t>
      </w:r>
      <w:r>
        <w:rPr>
          <w:rFonts w:ascii="宋体" w:hAnsi="宋体"/>
          <w:color w:val="auto"/>
          <w:lang w:val="en"/>
        </w:rPr>
        <w:t>6</w:t>
      </w:r>
      <w:r>
        <w:rPr>
          <w:rFonts w:hint="eastAsia" w:ascii="宋体" w:hAnsi="宋体"/>
          <w:color w:val="auto"/>
        </w:rPr>
        <w:t>）</w:t>
      </w:r>
      <w:r>
        <w:rPr>
          <w:rFonts w:hint="eastAsia" w:ascii="宋体" w:hAnsi="宋体" w:eastAsia="宋体" w:cs="Times New Roman"/>
          <w:color w:val="auto"/>
          <w:sz w:val="21"/>
        </w:rPr>
        <w:t>中标（成交）采购标的制造商是否为中小企业：是      否</w:t>
      </w:r>
    </w:p>
    <w:p w14:paraId="25BAAB16">
      <w:pPr>
        <w:numPr>
          <w:ilvl w:val="255"/>
          <w:numId w:val="0"/>
        </w:numPr>
        <w:adjustRightInd w:val="0"/>
        <w:snapToGrid w:val="0"/>
        <w:spacing w:line="400" w:lineRule="exact"/>
        <w:rPr>
          <w:rFonts w:hint="eastAsia" w:ascii="宋体" w:hAnsi="宋体"/>
          <w:iCs/>
          <w:color w:val="auto"/>
          <w:szCs w:val="21"/>
        </w:rPr>
      </w:pPr>
      <w:r>
        <w:rPr>
          <w:rFonts w:hint="eastAsia" w:ascii="宋体" w:hAnsi="宋体"/>
          <w:color w:val="auto"/>
          <w:szCs w:val="21"/>
        </w:rPr>
        <w:t xml:space="preserve">         本合同是否为专门面向中小企业的采购合同（中小企业预留合同）：</w:t>
      </w:r>
      <w:r>
        <w:rPr>
          <w:rFonts w:hint="eastAsia" w:ascii="宋体" w:hAnsi="宋体"/>
          <w:iCs/>
          <w:color w:val="auto"/>
          <w:szCs w:val="21"/>
        </w:rPr>
        <w:t>是    否</w:t>
      </w:r>
    </w:p>
    <w:p w14:paraId="5BE81904">
      <w:pPr>
        <w:numPr>
          <w:ilvl w:val="255"/>
          <w:numId w:val="0"/>
        </w:numPr>
        <w:adjustRightInd w:val="0"/>
        <w:snapToGrid w:val="0"/>
        <w:spacing w:line="400" w:lineRule="exact"/>
        <w:rPr>
          <w:rFonts w:hint="eastAsia" w:ascii="宋体" w:hAnsi="宋体"/>
          <w:iCs/>
          <w:color w:val="auto"/>
          <w:szCs w:val="21"/>
        </w:rPr>
      </w:pPr>
      <w:r>
        <w:rPr>
          <w:rFonts w:hint="eastAsia"/>
          <w:color w:val="auto"/>
        </w:rPr>
        <w:t xml:space="preserve">         若本项目不专门面向中小企业采购，是否给予小微企业评审优惠：</w:t>
      </w:r>
      <w:r>
        <w:rPr>
          <w:rFonts w:hint="eastAsia" w:ascii="宋体" w:hAnsi="宋体"/>
          <w:iCs/>
          <w:color w:val="auto"/>
          <w:szCs w:val="21"/>
        </w:rPr>
        <w:t>是   否</w:t>
      </w:r>
    </w:p>
    <w:p w14:paraId="5F7FEB88">
      <w:pPr>
        <w:numPr>
          <w:ilvl w:val="255"/>
          <w:numId w:val="0"/>
        </w:numPr>
        <w:adjustRightInd w:val="0"/>
        <w:snapToGrid w:val="0"/>
        <w:spacing w:line="400" w:lineRule="exact"/>
        <w:rPr>
          <w:rFonts w:hint="eastAsia" w:ascii="宋体" w:hAnsi="宋体"/>
          <w:iCs/>
          <w:color w:val="auto"/>
          <w:szCs w:val="21"/>
        </w:rPr>
      </w:pPr>
      <w:r>
        <w:rPr>
          <w:rFonts w:hint="eastAsia"/>
          <w:color w:val="auto"/>
        </w:rPr>
        <w:t xml:space="preserve">         中标（成交）采购标的制造商是否为残疾人福利性单位：</w:t>
      </w:r>
      <w:r>
        <w:rPr>
          <w:rFonts w:hint="eastAsia" w:ascii="宋体" w:hAnsi="宋体"/>
          <w:iCs/>
          <w:color w:val="auto"/>
          <w:szCs w:val="21"/>
        </w:rPr>
        <w:t>是   否</w:t>
      </w:r>
    </w:p>
    <w:p w14:paraId="3ABDFF7C">
      <w:pPr>
        <w:snapToGrid w:val="0"/>
        <w:spacing w:line="400" w:lineRule="exact"/>
        <w:rPr>
          <w:color w:val="auto"/>
        </w:rPr>
      </w:pPr>
      <w:r>
        <w:rPr>
          <w:rFonts w:hint="eastAsia"/>
          <w:color w:val="auto"/>
        </w:rPr>
        <w:t xml:space="preserve">         中标（成交）采购标的制造商是否为监狱企业：</w:t>
      </w:r>
      <w:r>
        <w:rPr>
          <w:rFonts w:hint="eastAsia" w:ascii="宋体" w:hAnsi="宋体"/>
          <w:iCs/>
          <w:color w:val="auto"/>
          <w:szCs w:val="21"/>
        </w:rPr>
        <w:t>是       否</w:t>
      </w:r>
    </w:p>
    <w:p w14:paraId="33D736BE">
      <w:pPr>
        <w:adjustRightInd w:val="0"/>
        <w:snapToGrid w:val="0"/>
        <w:spacing w:line="400" w:lineRule="exact"/>
        <w:ind w:firstLine="420" w:firstLineChars="200"/>
        <w:outlineLvl w:val="3"/>
        <w:rPr>
          <w:rFonts w:hint="eastAsia" w:ascii="宋体" w:hAnsi="宋体"/>
          <w:color w:val="auto"/>
          <w:szCs w:val="21"/>
        </w:rPr>
      </w:pPr>
      <w:bookmarkStart w:id="265" w:name="_Toc22822"/>
      <w:bookmarkStart w:id="266" w:name="_Toc22255"/>
      <w:bookmarkStart w:id="267" w:name="_Toc16776"/>
      <w:r>
        <w:rPr>
          <w:rFonts w:hint="eastAsia" w:ascii="宋体" w:hAnsi="宋体"/>
          <w:color w:val="auto"/>
          <w:szCs w:val="21"/>
        </w:rPr>
        <w:t>（</w:t>
      </w:r>
      <w:r>
        <w:rPr>
          <w:rFonts w:ascii="宋体" w:hAnsi="宋体"/>
          <w:color w:val="auto"/>
          <w:szCs w:val="21"/>
          <w:lang w:val="en"/>
        </w:rPr>
        <w:t>7</w:t>
      </w:r>
      <w:r>
        <w:rPr>
          <w:rFonts w:hint="eastAsia" w:ascii="宋体" w:hAnsi="宋体"/>
          <w:color w:val="auto"/>
          <w:szCs w:val="21"/>
        </w:rPr>
        <w:t>）合同是否分包：</w:t>
      </w:r>
      <w:r>
        <w:rPr>
          <w:rFonts w:hint="eastAsia" w:ascii="宋体" w:hAnsi="宋体"/>
          <w:iCs/>
          <w:color w:val="auto"/>
          <w:szCs w:val="21"/>
        </w:rPr>
        <w:t>是       否</w:t>
      </w:r>
      <w:bookmarkEnd w:id="265"/>
      <w:bookmarkEnd w:id="266"/>
      <w:bookmarkEnd w:id="267"/>
    </w:p>
    <w:p w14:paraId="4A609C57">
      <w:pPr>
        <w:adjustRightInd w:val="0"/>
        <w:snapToGrid w:val="0"/>
        <w:spacing w:line="400" w:lineRule="exact"/>
        <w:ind w:firstLine="840" w:firstLineChars="400"/>
        <w:rPr>
          <w:rFonts w:hint="eastAsia" w:ascii="宋体" w:hAnsi="宋体"/>
          <w:color w:val="auto"/>
          <w:szCs w:val="21"/>
          <w:u w:val="single"/>
        </w:rPr>
      </w:pPr>
      <w:r>
        <w:rPr>
          <w:rFonts w:hint="eastAsia" w:ascii="宋体" w:hAnsi="宋体"/>
          <w:color w:val="auto"/>
          <w:szCs w:val="21"/>
        </w:rPr>
        <w:t xml:space="preserve"> 分包主要内容：</w:t>
      </w:r>
      <w:r>
        <w:rPr>
          <w:rFonts w:hint="eastAsia" w:ascii="宋体" w:hAnsi="宋体"/>
          <w:color w:val="auto"/>
          <w:szCs w:val="21"/>
          <w:u w:val="single"/>
        </w:rPr>
        <w:t xml:space="preserve">                                            </w:t>
      </w:r>
    </w:p>
    <w:p w14:paraId="115FF837">
      <w:pPr>
        <w:adjustRightInd w:val="0"/>
        <w:snapToGrid w:val="0"/>
        <w:spacing w:line="400" w:lineRule="exact"/>
        <w:ind w:firstLine="840" w:firstLineChars="400"/>
        <w:rPr>
          <w:rFonts w:hint="eastAsia" w:ascii="宋体" w:hAnsi="宋体"/>
          <w:color w:val="auto"/>
          <w:szCs w:val="21"/>
        </w:rPr>
      </w:pPr>
      <w:r>
        <w:rPr>
          <w:rFonts w:hint="eastAsia" w:ascii="宋体" w:hAnsi="宋体"/>
          <w:color w:val="auto"/>
          <w:szCs w:val="21"/>
        </w:rPr>
        <w:t xml:space="preserve"> 分包供应商/制造商名称（如供应商和制造商不同，请分别填写）：</w:t>
      </w:r>
    </w:p>
    <w:p w14:paraId="7CCD2282">
      <w:pPr>
        <w:adjustRightInd w:val="0"/>
        <w:snapToGrid w:val="0"/>
        <w:spacing w:line="400" w:lineRule="exact"/>
        <w:ind w:firstLine="840" w:firstLineChars="400"/>
        <w:rPr>
          <w:rFonts w:hint="eastAsia" w:ascii="宋体" w:hAnsi="宋体"/>
          <w:color w:val="auto"/>
          <w:szCs w:val="21"/>
          <w:u w:val="single"/>
        </w:rPr>
      </w:pPr>
      <w:r>
        <w:rPr>
          <w:rFonts w:hint="eastAsia" w:ascii="宋体" w:hAnsi="宋体"/>
          <w:color w:val="auto"/>
          <w:szCs w:val="21"/>
        </w:rPr>
        <w:t xml:space="preserve"> </w:t>
      </w:r>
      <w:r>
        <w:rPr>
          <w:rFonts w:hint="eastAsia" w:ascii="宋体" w:hAnsi="宋体"/>
          <w:color w:val="auto"/>
          <w:szCs w:val="21"/>
          <w:u w:val="single"/>
        </w:rPr>
        <w:t xml:space="preserve">                                                          </w:t>
      </w:r>
    </w:p>
    <w:p w14:paraId="06CAA47E">
      <w:pPr>
        <w:adjustRightInd w:val="0"/>
        <w:snapToGrid w:val="0"/>
        <w:spacing w:line="400" w:lineRule="exact"/>
        <w:ind w:firstLine="840" w:firstLineChars="400"/>
        <w:rPr>
          <w:rFonts w:hint="eastAsia" w:ascii="宋体" w:hAnsi="宋体"/>
          <w:color w:val="auto"/>
          <w:szCs w:val="21"/>
        </w:rPr>
      </w:pPr>
      <w:r>
        <w:rPr>
          <w:rFonts w:hint="eastAsia" w:ascii="宋体" w:hAnsi="宋体"/>
          <w:color w:val="auto"/>
          <w:szCs w:val="21"/>
        </w:rPr>
        <w:t xml:space="preserve"> 分包供应商/制造商类型（如果供应商和制造商不同，只填写制造商类型）：</w:t>
      </w:r>
    </w:p>
    <w:p w14:paraId="4BAB8796">
      <w:pPr>
        <w:adjustRightInd w:val="0"/>
        <w:snapToGrid w:val="0"/>
        <w:spacing w:line="400" w:lineRule="exact"/>
        <w:ind w:firstLine="840" w:firstLineChars="400"/>
        <w:rPr>
          <w:rFonts w:hint="eastAsia" w:ascii="宋体" w:hAnsi="宋体"/>
          <w:iCs/>
          <w:color w:val="auto"/>
          <w:szCs w:val="21"/>
        </w:rPr>
      </w:pPr>
      <w:r>
        <w:rPr>
          <w:rFonts w:hint="eastAsia" w:ascii="宋体" w:hAnsi="宋体"/>
          <w:iCs/>
          <w:color w:val="auto"/>
          <w:szCs w:val="21"/>
        </w:rPr>
        <w:t xml:space="preserve"> 大型企业  中型企业  小微型企业  </w:t>
      </w:r>
    </w:p>
    <w:p w14:paraId="1AFCA98F">
      <w:pPr>
        <w:adjustRightInd w:val="0"/>
        <w:snapToGrid w:val="0"/>
        <w:spacing w:line="400" w:lineRule="exact"/>
        <w:ind w:firstLine="840" w:firstLineChars="400"/>
        <w:rPr>
          <w:rFonts w:eastAsia="华文楷体"/>
          <w:color w:val="auto"/>
        </w:rPr>
      </w:pPr>
      <w:r>
        <w:rPr>
          <w:rFonts w:hint="eastAsia" w:ascii="宋体" w:hAnsi="宋体"/>
          <w:iCs/>
          <w:color w:val="auto"/>
          <w:szCs w:val="21"/>
        </w:rPr>
        <w:t xml:space="preserve"> 残疾人福利性单位 监狱企业 其他</w:t>
      </w:r>
    </w:p>
    <w:p w14:paraId="60277E36">
      <w:pPr>
        <w:numPr>
          <w:ilvl w:val="255"/>
          <w:numId w:val="0"/>
        </w:numPr>
        <w:adjustRightInd w:val="0"/>
        <w:snapToGrid w:val="0"/>
        <w:spacing w:line="400" w:lineRule="exact"/>
        <w:rPr>
          <w:rFonts w:hint="eastAsia" w:ascii="宋体" w:hAnsi="宋体" w:cs="宋体"/>
          <w:iCs/>
          <w:color w:val="auto"/>
          <w:szCs w:val="21"/>
        </w:rPr>
      </w:pPr>
      <w:r>
        <w:rPr>
          <w:rFonts w:hint="eastAsia" w:ascii="宋体" w:hAnsi="宋体"/>
          <w:color w:val="auto"/>
          <w:szCs w:val="21"/>
        </w:rPr>
        <w:t xml:space="preserve">    </w:t>
      </w:r>
      <w:r>
        <w:rPr>
          <w:rFonts w:hint="eastAsia" w:ascii="宋体" w:hAnsi="宋体" w:cs="宋体"/>
          <w:color w:val="auto"/>
          <w:szCs w:val="21"/>
        </w:rPr>
        <w:t>（</w:t>
      </w:r>
      <w:r>
        <w:rPr>
          <w:rFonts w:ascii="宋体" w:hAnsi="宋体" w:cs="宋体"/>
          <w:color w:val="auto"/>
          <w:szCs w:val="21"/>
          <w:lang w:val="en"/>
        </w:rPr>
        <w:t>8</w:t>
      </w:r>
      <w:r>
        <w:rPr>
          <w:rFonts w:hint="eastAsia" w:ascii="宋体" w:hAnsi="宋体" w:cs="宋体"/>
          <w:color w:val="auto"/>
          <w:szCs w:val="21"/>
        </w:rPr>
        <w:t>）中标（成交）供应商是否为外商投资企业：</w:t>
      </w:r>
      <w:r>
        <w:rPr>
          <w:rFonts w:hint="eastAsia" w:ascii="宋体" w:hAnsi="宋体" w:cs="宋体"/>
          <w:iCs/>
          <w:color w:val="auto"/>
          <w:szCs w:val="21"/>
        </w:rPr>
        <w:t>是       否</w:t>
      </w:r>
    </w:p>
    <w:p w14:paraId="1DEE2F5D">
      <w:pPr>
        <w:pStyle w:val="145"/>
        <w:tabs>
          <w:tab w:val="left" w:pos="1340"/>
        </w:tabs>
        <w:ind w:firstLine="420"/>
        <w:rPr>
          <w:rFonts w:hint="eastAsia" w:ascii="宋体" w:hAnsi="宋体" w:eastAsia="宋体" w:cs="宋体"/>
          <w:color w:val="auto"/>
          <w:sz w:val="21"/>
          <w:u w:val="single"/>
        </w:rPr>
      </w:pPr>
      <w:r>
        <w:rPr>
          <w:rFonts w:hint="eastAsia" w:ascii="宋体" w:hAnsi="宋体" w:eastAsia="宋体" w:cs="宋体"/>
          <w:color w:val="auto"/>
          <w:sz w:val="21"/>
        </w:rPr>
        <w:t xml:space="preserve">     外商投资企业类型：全部由外国投资者投资  </w:t>
      </w:r>
      <w:r>
        <w:rPr>
          <w:rFonts w:hint="eastAsia" w:ascii="宋体" w:hAnsi="宋体" w:eastAsia="宋体" w:cs="宋体"/>
          <w:iCs/>
          <w:color w:val="auto"/>
          <w:sz w:val="21"/>
        </w:rPr>
        <w:t>部分由外国投资者投资</w:t>
      </w:r>
    </w:p>
    <w:p w14:paraId="677A84B6">
      <w:pPr>
        <w:numPr>
          <w:ilvl w:val="255"/>
          <w:numId w:val="0"/>
        </w:numPr>
        <w:adjustRightInd w:val="0"/>
        <w:snapToGrid w:val="0"/>
        <w:spacing w:line="400" w:lineRule="exact"/>
        <w:ind w:firstLine="420" w:firstLineChars="200"/>
        <w:outlineLvl w:val="3"/>
        <w:rPr>
          <w:rFonts w:hint="eastAsia" w:ascii="宋体" w:hAnsi="宋体" w:cs="宋体"/>
          <w:color w:val="auto"/>
          <w:szCs w:val="21"/>
        </w:rPr>
      </w:pPr>
      <w:bookmarkStart w:id="268" w:name="_Toc24188"/>
      <w:bookmarkStart w:id="269" w:name="_Toc6782"/>
      <w:bookmarkStart w:id="270" w:name="_Toc28207"/>
      <w:r>
        <w:rPr>
          <w:rFonts w:hint="eastAsia" w:ascii="宋体" w:hAnsi="宋体" w:cs="宋体"/>
          <w:color w:val="auto"/>
          <w:szCs w:val="21"/>
        </w:rPr>
        <w:t>（</w:t>
      </w:r>
      <w:r>
        <w:rPr>
          <w:rFonts w:ascii="宋体" w:hAnsi="宋体" w:cs="宋体"/>
          <w:color w:val="auto"/>
          <w:szCs w:val="21"/>
          <w:lang w:val="en"/>
        </w:rPr>
        <w:t>9</w:t>
      </w:r>
      <w:r>
        <w:rPr>
          <w:rFonts w:hint="eastAsia" w:ascii="宋体" w:hAnsi="宋体" w:cs="宋体"/>
          <w:color w:val="auto"/>
          <w:szCs w:val="21"/>
        </w:rPr>
        <w:t>）是否涉及进口产品：</w:t>
      </w:r>
      <w:bookmarkEnd w:id="268"/>
      <w:bookmarkEnd w:id="269"/>
      <w:bookmarkEnd w:id="270"/>
    </w:p>
    <w:p w14:paraId="2E05EFE4">
      <w:pPr>
        <w:numPr>
          <w:ilvl w:val="255"/>
          <w:numId w:val="0"/>
        </w:numPr>
        <w:adjustRightInd w:val="0"/>
        <w:snapToGrid w:val="0"/>
        <w:spacing w:line="400" w:lineRule="exact"/>
        <w:ind w:firstLine="840" w:firstLineChars="400"/>
        <w:rPr>
          <w:rFonts w:hint="eastAsia" w:ascii="宋体" w:hAnsi="宋体" w:cs="宋体"/>
          <w:color w:val="auto"/>
          <w:szCs w:val="21"/>
          <w:u w:val="single"/>
        </w:rPr>
      </w:pPr>
      <w:r>
        <w:rPr>
          <w:rFonts w:hint="eastAsia" w:ascii="宋体" w:hAnsi="宋体" w:cs="宋体"/>
          <w:color w:val="auto"/>
          <w:szCs w:val="21"/>
        </w:rPr>
        <w:t xml:space="preserve"> 是，《政府采购品目分类目录》底级品目名称：</w:t>
      </w:r>
      <w:r>
        <w:rPr>
          <w:rFonts w:hint="eastAsia" w:ascii="宋体" w:hAnsi="宋体" w:cs="宋体"/>
          <w:color w:val="auto"/>
          <w:szCs w:val="21"/>
          <w:u w:val="single"/>
        </w:rPr>
        <w:t xml:space="preserve">         </w:t>
      </w:r>
      <w:r>
        <w:rPr>
          <w:rFonts w:hint="eastAsia" w:ascii="宋体" w:hAnsi="宋体" w:cs="宋体"/>
          <w:color w:val="auto"/>
          <w:szCs w:val="21"/>
        </w:rPr>
        <w:t xml:space="preserve"> 金额：</w:t>
      </w:r>
      <w:r>
        <w:rPr>
          <w:rFonts w:hint="eastAsia" w:ascii="宋体" w:hAnsi="宋体" w:cs="宋体"/>
          <w:color w:val="auto"/>
          <w:szCs w:val="21"/>
          <w:u w:val="single"/>
        </w:rPr>
        <w:t xml:space="preserve">        </w:t>
      </w:r>
    </w:p>
    <w:p w14:paraId="2247F8CF">
      <w:pPr>
        <w:numPr>
          <w:ilvl w:val="255"/>
          <w:numId w:val="0"/>
        </w:numPr>
        <w:adjustRightInd w:val="0"/>
        <w:snapToGrid w:val="0"/>
        <w:spacing w:line="400" w:lineRule="exact"/>
        <w:ind w:firstLine="840" w:firstLineChars="400"/>
        <w:rPr>
          <w:rFonts w:hint="eastAsia" w:ascii="宋体" w:hAnsi="宋体"/>
          <w:color w:val="auto"/>
          <w:szCs w:val="21"/>
        </w:rPr>
      </w:pPr>
      <w:r>
        <w:rPr>
          <w:rFonts w:hint="eastAsia" w:ascii="宋体" w:hAnsi="宋体" w:cs="宋体"/>
          <w:color w:val="auto"/>
          <w:szCs w:val="21"/>
        </w:rPr>
        <w:t xml:space="preserve">        国别：</w:t>
      </w:r>
      <w:r>
        <w:rPr>
          <w:rFonts w:hint="eastAsia" w:ascii="宋体" w:hAnsi="宋体" w:cs="宋体"/>
          <w:color w:val="auto"/>
          <w:szCs w:val="21"/>
          <w:u w:val="single"/>
        </w:rPr>
        <w:t xml:space="preserve">        </w:t>
      </w:r>
      <w:r>
        <w:rPr>
          <w:rFonts w:hint="eastAsia" w:ascii="宋体" w:hAnsi="宋体" w:cs="宋体"/>
          <w:color w:val="auto"/>
          <w:szCs w:val="21"/>
        </w:rPr>
        <w:t xml:space="preserve"> 品牌：</w:t>
      </w:r>
      <w:r>
        <w:rPr>
          <w:rFonts w:hint="eastAsia" w:ascii="宋体" w:hAnsi="宋体" w:cs="宋体"/>
          <w:color w:val="auto"/>
          <w:szCs w:val="21"/>
          <w:u w:val="single"/>
        </w:rPr>
        <w:t xml:space="preserve">        </w:t>
      </w:r>
      <w:r>
        <w:rPr>
          <w:rFonts w:hint="eastAsia" w:ascii="宋体" w:hAnsi="宋体" w:cs="宋体"/>
          <w:color w:val="auto"/>
          <w:szCs w:val="21"/>
        </w:rPr>
        <w:t xml:space="preserve"> 规格型号：</w:t>
      </w:r>
      <w:r>
        <w:rPr>
          <w:rFonts w:hint="eastAsia" w:ascii="宋体" w:hAnsi="宋体" w:cs="宋体"/>
          <w:color w:val="auto"/>
          <w:szCs w:val="21"/>
          <w:u w:val="single"/>
        </w:rPr>
        <w:t xml:space="preserve">        </w:t>
      </w:r>
      <w:r>
        <w:rPr>
          <w:rFonts w:hint="eastAsia" w:ascii="宋体" w:hAnsi="宋体"/>
          <w:color w:val="auto"/>
          <w:szCs w:val="21"/>
        </w:rPr>
        <w:t xml:space="preserve">      </w:t>
      </w:r>
    </w:p>
    <w:p w14:paraId="7E43D33F">
      <w:pPr>
        <w:adjustRightInd w:val="0"/>
        <w:snapToGrid w:val="0"/>
        <w:spacing w:line="400" w:lineRule="exact"/>
        <w:ind w:firstLine="840" w:firstLineChars="400"/>
        <w:rPr>
          <w:rFonts w:hint="eastAsia" w:ascii="宋体" w:hAnsi="宋体"/>
          <w:color w:val="auto"/>
          <w:szCs w:val="21"/>
        </w:rPr>
      </w:pPr>
      <w:r>
        <w:rPr>
          <w:rFonts w:hint="eastAsia" w:ascii="宋体" w:hAnsi="宋体"/>
          <w:color w:val="auto"/>
          <w:szCs w:val="21"/>
        </w:rPr>
        <w:t xml:space="preserve"> 否</w:t>
      </w:r>
    </w:p>
    <w:p w14:paraId="6FD0FFCC">
      <w:pPr>
        <w:numPr>
          <w:ilvl w:val="255"/>
          <w:numId w:val="0"/>
        </w:numPr>
        <w:tabs>
          <w:tab w:val="left" w:pos="740"/>
        </w:tabs>
        <w:adjustRightInd w:val="0"/>
        <w:snapToGrid w:val="0"/>
        <w:spacing w:line="400" w:lineRule="exact"/>
        <w:outlineLvl w:val="3"/>
        <w:rPr>
          <w:rFonts w:hint="eastAsia" w:ascii="宋体" w:hAnsi="宋体"/>
          <w:color w:val="auto"/>
          <w:szCs w:val="21"/>
        </w:rPr>
      </w:pPr>
      <w:r>
        <w:rPr>
          <w:rFonts w:hint="eastAsia" w:ascii="宋体" w:hAnsi="宋体"/>
          <w:color w:val="auto"/>
          <w:szCs w:val="21"/>
        </w:rPr>
        <w:t xml:space="preserve">    </w:t>
      </w:r>
      <w:bookmarkStart w:id="271" w:name="_Toc9342"/>
      <w:bookmarkStart w:id="272" w:name="_Toc10696"/>
      <w:bookmarkStart w:id="273" w:name="_Toc25260"/>
      <w:r>
        <w:rPr>
          <w:rFonts w:hint="eastAsia" w:ascii="宋体" w:hAnsi="宋体"/>
          <w:color w:val="auto"/>
          <w:szCs w:val="21"/>
        </w:rPr>
        <w:t>（1</w:t>
      </w:r>
      <w:r>
        <w:rPr>
          <w:rFonts w:ascii="宋体" w:hAnsi="宋体"/>
          <w:color w:val="auto"/>
          <w:szCs w:val="21"/>
          <w:lang w:val="en"/>
        </w:rPr>
        <w:t>0</w:t>
      </w:r>
      <w:r>
        <w:rPr>
          <w:rFonts w:hint="eastAsia" w:ascii="宋体" w:hAnsi="宋体"/>
          <w:color w:val="auto"/>
          <w:szCs w:val="21"/>
        </w:rPr>
        <w:t>）是否涉及节能产品：</w:t>
      </w:r>
      <w:bookmarkEnd w:id="271"/>
      <w:bookmarkEnd w:id="272"/>
      <w:bookmarkEnd w:id="273"/>
    </w:p>
    <w:p w14:paraId="03FE57A2">
      <w:pPr>
        <w:numPr>
          <w:ilvl w:val="255"/>
          <w:numId w:val="0"/>
        </w:numPr>
        <w:tabs>
          <w:tab w:val="left" w:pos="740"/>
        </w:tabs>
        <w:adjustRightInd w:val="0"/>
        <w:snapToGrid w:val="0"/>
        <w:spacing w:line="400" w:lineRule="exact"/>
        <w:rPr>
          <w:rFonts w:hint="eastAsia" w:ascii="宋体" w:hAnsi="宋体"/>
          <w:iCs/>
          <w:color w:val="auto"/>
          <w:szCs w:val="21"/>
        </w:rPr>
      </w:pPr>
      <w:r>
        <w:rPr>
          <w:rFonts w:hint="eastAsia" w:ascii="宋体" w:hAnsi="宋体"/>
          <w:color w:val="auto"/>
          <w:szCs w:val="21"/>
        </w:rPr>
        <w:t xml:space="preserve">         是，《节能产品政府采购品目清单》的底级品目名称：</w:t>
      </w:r>
      <w:r>
        <w:rPr>
          <w:rFonts w:hint="eastAsia" w:ascii="宋体" w:hAnsi="宋体"/>
          <w:color w:val="auto"/>
          <w:szCs w:val="21"/>
          <w:u w:val="single"/>
        </w:rPr>
        <w:t xml:space="preserve">         </w:t>
      </w:r>
      <w:r>
        <w:rPr>
          <w:rFonts w:hint="eastAsia" w:ascii="宋体" w:hAnsi="宋体"/>
          <w:iCs/>
          <w:color w:val="auto"/>
          <w:szCs w:val="21"/>
        </w:rPr>
        <w:t xml:space="preserve">     </w:t>
      </w:r>
    </w:p>
    <w:p w14:paraId="323F498C">
      <w:pPr>
        <w:numPr>
          <w:ilvl w:val="255"/>
          <w:numId w:val="0"/>
        </w:numPr>
        <w:tabs>
          <w:tab w:val="left" w:pos="740"/>
        </w:tabs>
        <w:adjustRightInd w:val="0"/>
        <w:snapToGrid w:val="0"/>
        <w:spacing w:line="400" w:lineRule="exact"/>
        <w:rPr>
          <w:rFonts w:hint="eastAsia" w:ascii="宋体" w:hAnsi="宋体"/>
          <w:iCs/>
          <w:color w:val="auto"/>
          <w:szCs w:val="21"/>
        </w:rPr>
      </w:pPr>
      <w:r>
        <w:rPr>
          <w:rFonts w:hint="eastAsia" w:ascii="宋体" w:hAnsi="宋体"/>
          <w:iCs/>
          <w:color w:val="auto"/>
          <w:szCs w:val="21"/>
        </w:rPr>
        <w:t xml:space="preserve">                强制采购       优先采购    </w:t>
      </w:r>
    </w:p>
    <w:p w14:paraId="55B9781B">
      <w:pPr>
        <w:numPr>
          <w:ilvl w:val="255"/>
          <w:numId w:val="0"/>
        </w:numPr>
        <w:tabs>
          <w:tab w:val="left" w:pos="740"/>
        </w:tabs>
        <w:adjustRightInd w:val="0"/>
        <w:snapToGrid w:val="0"/>
        <w:spacing w:line="400" w:lineRule="exact"/>
        <w:rPr>
          <w:rFonts w:hint="eastAsia" w:ascii="宋体" w:hAnsi="宋体"/>
          <w:color w:val="auto"/>
          <w:szCs w:val="21"/>
        </w:rPr>
      </w:pPr>
      <w:r>
        <w:rPr>
          <w:rFonts w:hint="eastAsia" w:ascii="宋体" w:hAnsi="宋体"/>
          <w:iCs/>
          <w:color w:val="auto"/>
          <w:szCs w:val="21"/>
        </w:rPr>
        <w:t xml:space="preserve">         </w:t>
      </w:r>
      <w:r>
        <w:rPr>
          <w:rFonts w:hint="eastAsia" w:ascii="宋体" w:hAnsi="宋体"/>
          <w:color w:val="auto"/>
          <w:szCs w:val="21"/>
        </w:rPr>
        <w:t>否</w:t>
      </w:r>
    </w:p>
    <w:p w14:paraId="12B43C65">
      <w:pPr>
        <w:numPr>
          <w:ilvl w:val="255"/>
          <w:numId w:val="0"/>
        </w:numPr>
        <w:tabs>
          <w:tab w:val="left" w:pos="740"/>
        </w:tabs>
        <w:adjustRightInd w:val="0"/>
        <w:snapToGrid w:val="0"/>
        <w:spacing w:line="400" w:lineRule="exact"/>
        <w:rPr>
          <w:rFonts w:hint="eastAsia" w:ascii="宋体" w:hAnsi="宋体"/>
          <w:color w:val="auto"/>
          <w:szCs w:val="21"/>
        </w:rPr>
      </w:pPr>
      <w:r>
        <w:rPr>
          <w:rFonts w:hint="eastAsia" w:ascii="宋体" w:hAnsi="宋体"/>
          <w:color w:val="auto"/>
          <w:szCs w:val="21"/>
        </w:rPr>
        <w:t xml:space="preserve">          是否涉及环境标志产品：</w:t>
      </w:r>
    </w:p>
    <w:p w14:paraId="55CE712E">
      <w:pPr>
        <w:numPr>
          <w:ilvl w:val="255"/>
          <w:numId w:val="0"/>
        </w:numPr>
        <w:tabs>
          <w:tab w:val="left" w:pos="740"/>
        </w:tabs>
        <w:adjustRightInd w:val="0"/>
        <w:snapToGrid w:val="0"/>
        <w:spacing w:line="400" w:lineRule="exact"/>
        <w:rPr>
          <w:rFonts w:hint="eastAsia" w:ascii="宋体" w:hAnsi="宋体"/>
          <w:color w:val="auto"/>
          <w:szCs w:val="21"/>
        </w:rPr>
      </w:pPr>
      <w:r>
        <w:rPr>
          <w:rFonts w:hint="eastAsia" w:ascii="宋体" w:hAnsi="宋体"/>
          <w:color w:val="auto"/>
          <w:szCs w:val="21"/>
        </w:rPr>
        <w:t xml:space="preserve">         是，《环境标志产品政府采购品目清单》的底级品目名称：</w:t>
      </w:r>
      <w:r>
        <w:rPr>
          <w:rFonts w:hint="eastAsia" w:ascii="宋体" w:hAnsi="宋体"/>
          <w:color w:val="auto"/>
          <w:szCs w:val="21"/>
          <w:u w:val="single"/>
        </w:rPr>
        <w:t xml:space="preserve">         </w:t>
      </w:r>
      <w:r>
        <w:rPr>
          <w:rFonts w:hint="eastAsia" w:ascii="宋体" w:hAnsi="宋体"/>
          <w:iCs/>
          <w:color w:val="auto"/>
          <w:szCs w:val="21"/>
        </w:rPr>
        <w:t xml:space="preserve"> </w:t>
      </w:r>
    </w:p>
    <w:p w14:paraId="120C64D1">
      <w:pPr>
        <w:numPr>
          <w:ilvl w:val="255"/>
          <w:numId w:val="0"/>
        </w:numPr>
        <w:tabs>
          <w:tab w:val="left" w:pos="740"/>
        </w:tabs>
        <w:adjustRightInd w:val="0"/>
        <w:snapToGrid w:val="0"/>
        <w:spacing w:line="400" w:lineRule="exact"/>
        <w:rPr>
          <w:rFonts w:hint="eastAsia" w:ascii="宋体" w:hAnsi="宋体"/>
          <w:iCs/>
          <w:color w:val="auto"/>
          <w:szCs w:val="21"/>
        </w:rPr>
      </w:pPr>
      <w:r>
        <w:rPr>
          <w:rFonts w:hint="eastAsia" w:ascii="宋体" w:hAnsi="宋体"/>
          <w:iCs/>
          <w:color w:val="auto"/>
          <w:szCs w:val="21"/>
        </w:rPr>
        <w:t xml:space="preserve">                强制采购       优先采购    </w:t>
      </w:r>
    </w:p>
    <w:p w14:paraId="66C2F145">
      <w:pPr>
        <w:numPr>
          <w:ilvl w:val="255"/>
          <w:numId w:val="0"/>
        </w:numPr>
        <w:tabs>
          <w:tab w:val="left" w:pos="740"/>
        </w:tabs>
        <w:adjustRightInd w:val="0"/>
        <w:snapToGrid w:val="0"/>
        <w:spacing w:line="400" w:lineRule="exact"/>
        <w:rPr>
          <w:rFonts w:hint="eastAsia" w:ascii="宋体" w:hAnsi="宋体"/>
          <w:color w:val="auto"/>
          <w:szCs w:val="21"/>
        </w:rPr>
      </w:pPr>
      <w:r>
        <w:rPr>
          <w:rFonts w:hint="eastAsia" w:ascii="宋体" w:hAnsi="宋体"/>
          <w:iCs/>
          <w:color w:val="auto"/>
          <w:szCs w:val="21"/>
        </w:rPr>
        <w:t xml:space="preserve">         </w:t>
      </w:r>
      <w:r>
        <w:rPr>
          <w:rFonts w:hint="eastAsia" w:ascii="宋体" w:hAnsi="宋体"/>
          <w:color w:val="auto"/>
          <w:szCs w:val="21"/>
        </w:rPr>
        <w:t>否</w:t>
      </w:r>
    </w:p>
    <w:p w14:paraId="55C18827">
      <w:pPr>
        <w:pStyle w:val="145"/>
        <w:numPr>
          <w:ilvl w:val="255"/>
          <w:numId w:val="0"/>
        </w:numPr>
        <w:snapToGrid w:val="0"/>
        <w:rPr>
          <w:rFonts w:hint="eastAsia" w:ascii="宋体" w:hAnsi="宋体" w:eastAsia="宋体" w:cs="Times New Roman"/>
          <w:color w:val="auto"/>
          <w:sz w:val="21"/>
        </w:rPr>
      </w:pPr>
      <w:r>
        <w:rPr>
          <w:rFonts w:hint="eastAsia" w:ascii="宋体" w:hAnsi="宋体"/>
          <w:color w:val="auto"/>
          <w:sz w:val="21"/>
        </w:rPr>
        <w:t xml:space="preserve">          </w:t>
      </w:r>
      <w:r>
        <w:rPr>
          <w:rFonts w:hint="eastAsia" w:ascii="宋体" w:hAnsi="宋体" w:eastAsia="宋体" w:cs="Times New Roman"/>
          <w:color w:val="auto"/>
          <w:sz w:val="21"/>
        </w:rPr>
        <w:t xml:space="preserve">是否涉及绿色产品： </w:t>
      </w:r>
    </w:p>
    <w:p w14:paraId="516F49A4">
      <w:pPr>
        <w:pStyle w:val="145"/>
        <w:ind w:firstLine="420" w:firstLineChars="0"/>
        <w:rPr>
          <w:rFonts w:hint="eastAsia" w:ascii="宋体" w:hAnsi="宋体" w:eastAsia="宋体"/>
          <w:color w:val="auto"/>
          <w:u w:val="single"/>
        </w:rPr>
      </w:pPr>
      <w:r>
        <w:rPr>
          <w:rFonts w:hint="eastAsia" w:ascii="宋体" w:hAnsi="宋体" w:eastAsia="宋体" w:cs="Times New Roman"/>
          <w:color w:val="auto"/>
          <w:sz w:val="21"/>
        </w:rPr>
        <w:t xml:space="preserve">     是，绿色产品政府采购相关政策确定的底级品目名称：</w:t>
      </w:r>
      <w:r>
        <w:rPr>
          <w:rFonts w:hint="eastAsia" w:ascii="宋体" w:hAnsi="宋体" w:eastAsia="宋体"/>
          <w:color w:val="auto"/>
          <w:u w:val="single"/>
        </w:rPr>
        <w:t xml:space="preserve">         </w:t>
      </w:r>
    </w:p>
    <w:p w14:paraId="58865944">
      <w:pPr>
        <w:numPr>
          <w:ilvl w:val="255"/>
          <w:numId w:val="0"/>
        </w:numPr>
        <w:tabs>
          <w:tab w:val="left" w:pos="740"/>
        </w:tabs>
        <w:adjustRightInd w:val="0"/>
        <w:snapToGrid w:val="0"/>
        <w:spacing w:line="400" w:lineRule="exact"/>
        <w:rPr>
          <w:rFonts w:hint="eastAsia" w:ascii="宋体" w:hAnsi="宋体"/>
          <w:iCs/>
          <w:color w:val="auto"/>
          <w:szCs w:val="21"/>
        </w:rPr>
      </w:pPr>
      <w:r>
        <w:rPr>
          <w:rFonts w:hint="eastAsia" w:ascii="宋体" w:hAnsi="宋体"/>
          <w:iCs/>
          <w:color w:val="auto"/>
          <w:szCs w:val="21"/>
        </w:rPr>
        <w:t xml:space="preserve">                强制采购       优先采购    </w:t>
      </w:r>
    </w:p>
    <w:p w14:paraId="58447887">
      <w:pPr>
        <w:pStyle w:val="145"/>
        <w:ind w:firstLine="420" w:firstLineChars="0"/>
        <w:rPr>
          <w:rFonts w:hint="eastAsia" w:ascii="宋体" w:hAnsi="宋体"/>
          <w:color w:val="auto"/>
          <w:sz w:val="21"/>
        </w:rPr>
      </w:pPr>
      <w:r>
        <w:rPr>
          <w:rFonts w:hint="eastAsia" w:ascii="宋体" w:hAnsi="宋体" w:eastAsia="宋体" w:cs="Times New Roman"/>
          <w:color w:val="auto"/>
          <w:sz w:val="21"/>
        </w:rPr>
        <w:t xml:space="preserve">     否</w:t>
      </w:r>
    </w:p>
    <w:p w14:paraId="75BD3164">
      <w:pPr>
        <w:numPr>
          <w:ilvl w:val="255"/>
          <w:numId w:val="0"/>
        </w:numPr>
        <w:adjustRightInd w:val="0"/>
        <w:snapToGrid w:val="0"/>
        <w:spacing w:line="400" w:lineRule="exact"/>
        <w:rPr>
          <w:rFonts w:hint="eastAsia" w:ascii="宋体" w:hAnsi="宋体"/>
          <w:color w:val="auto"/>
          <w:szCs w:val="21"/>
        </w:rPr>
      </w:pPr>
      <w:r>
        <w:rPr>
          <w:rFonts w:hint="eastAsia" w:ascii="宋体" w:hAnsi="宋体"/>
          <w:color w:val="auto"/>
          <w:szCs w:val="21"/>
        </w:rPr>
        <w:t xml:space="preserve">    （1</w:t>
      </w:r>
      <w:r>
        <w:rPr>
          <w:rFonts w:ascii="宋体" w:hAnsi="宋体"/>
          <w:color w:val="auto"/>
          <w:szCs w:val="21"/>
          <w:lang w:val="en"/>
        </w:rPr>
        <w:t>1</w:t>
      </w:r>
      <w:r>
        <w:rPr>
          <w:rFonts w:hint="eastAsia" w:ascii="宋体" w:hAnsi="宋体"/>
          <w:color w:val="auto"/>
          <w:szCs w:val="21"/>
        </w:rPr>
        <w:t>）涉及商品包装和快递包装的，是否参考《商品包装政府采购需求标准（试行）》、《快递包装政府采购需求标准（试行）》明确产品及相关快递服务的具体包装要求：</w:t>
      </w:r>
    </w:p>
    <w:p w14:paraId="7B313039">
      <w:pPr>
        <w:numPr>
          <w:ilvl w:val="255"/>
          <w:numId w:val="0"/>
        </w:numPr>
        <w:adjustRightInd w:val="0"/>
        <w:snapToGrid w:val="0"/>
        <w:spacing w:line="400" w:lineRule="exact"/>
        <w:ind w:firstLine="840" w:firstLineChars="400"/>
        <w:rPr>
          <w:rFonts w:hint="eastAsia" w:ascii="宋体" w:hAnsi="宋体"/>
          <w:color w:val="auto"/>
          <w:szCs w:val="21"/>
        </w:rPr>
      </w:pPr>
      <w:r>
        <w:rPr>
          <w:rFonts w:hint="eastAsia" w:ascii="宋体" w:hAnsi="宋体"/>
          <w:color w:val="auto"/>
          <w:szCs w:val="21"/>
        </w:rPr>
        <w:t>是       否      不涉及</w:t>
      </w:r>
    </w:p>
    <w:p w14:paraId="1F4E3B20">
      <w:pPr>
        <w:numPr>
          <w:ilvl w:val="0"/>
          <w:numId w:val="5"/>
        </w:numPr>
        <w:adjustRightInd w:val="0"/>
        <w:snapToGrid w:val="0"/>
        <w:spacing w:line="400" w:lineRule="exact"/>
        <w:ind w:firstLine="422" w:firstLineChars="200"/>
        <w:outlineLvl w:val="2"/>
        <w:rPr>
          <w:rFonts w:hint="eastAsia" w:ascii="宋体" w:hAnsi="宋体"/>
          <w:b/>
          <w:color w:val="auto"/>
          <w:szCs w:val="21"/>
        </w:rPr>
      </w:pPr>
      <w:bookmarkStart w:id="274" w:name="_Toc14748"/>
      <w:bookmarkStart w:id="275" w:name="_Toc9246"/>
      <w:bookmarkStart w:id="276" w:name="_Toc32727"/>
      <w:r>
        <w:rPr>
          <w:rFonts w:hint="eastAsia" w:ascii="宋体" w:hAnsi="宋体"/>
          <w:b/>
          <w:color w:val="auto"/>
          <w:szCs w:val="21"/>
        </w:rPr>
        <w:t>合同金额</w:t>
      </w:r>
      <w:bookmarkEnd w:id="274"/>
      <w:bookmarkEnd w:id="275"/>
      <w:bookmarkEnd w:id="276"/>
    </w:p>
    <w:p w14:paraId="782A5D6B">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（1）合同金额小写：</w:t>
      </w:r>
      <w:r>
        <w:rPr>
          <w:rFonts w:hint="eastAsia" w:ascii="宋体" w:hAnsi="宋体"/>
          <w:color w:val="auto"/>
          <w:szCs w:val="21"/>
          <w:u w:val="single"/>
        </w:rPr>
        <w:t xml:space="preserve">                           </w:t>
      </w:r>
    </w:p>
    <w:p w14:paraId="1842B9E1">
      <w:pPr>
        <w:adjustRightInd w:val="0"/>
        <w:snapToGrid w:val="0"/>
        <w:spacing w:line="400" w:lineRule="exact"/>
        <w:rPr>
          <w:rFonts w:hint="eastAsia" w:ascii="宋体" w:hAnsi="宋体"/>
          <w:color w:val="auto"/>
          <w:szCs w:val="21"/>
          <w:u w:val="single"/>
        </w:rPr>
      </w:pPr>
      <w:r>
        <w:rPr>
          <w:rFonts w:hint="eastAsia" w:ascii="宋体" w:hAnsi="宋体"/>
          <w:color w:val="auto"/>
          <w:szCs w:val="21"/>
        </w:rPr>
        <w:t xml:space="preserve">                 大写：</w:t>
      </w:r>
      <w:r>
        <w:rPr>
          <w:rFonts w:hint="eastAsia" w:ascii="宋体" w:hAnsi="宋体"/>
          <w:color w:val="auto"/>
          <w:szCs w:val="21"/>
          <w:u w:val="single"/>
        </w:rPr>
        <w:t xml:space="preserve">                           </w:t>
      </w:r>
    </w:p>
    <w:p w14:paraId="7DEA3EDE">
      <w:pPr>
        <w:adjustRightInd w:val="0"/>
        <w:snapToGrid w:val="0"/>
        <w:spacing w:line="400" w:lineRule="exact"/>
        <w:rPr>
          <w:rFonts w:hint="eastAsia" w:ascii="宋体" w:hAnsi="宋体"/>
          <w:color w:val="auto"/>
          <w:szCs w:val="21"/>
        </w:rPr>
      </w:pPr>
      <w:r>
        <w:rPr>
          <w:rFonts w:hint="eastAsia" w:ascii="宋体" w:hAnsi="宋体"/>
          <w:color w:val="auto"/>
          <w:szCs w:val="21"/>
        </w:rPr>
        <w:t xml:space="preserve">         分包金额（如有）小写：</w:t>
      </w:r>
      <w:r>
        <w:rPr>
          <w:rFonts w:hint="eastAsia" w:ascii="宋体" w:hAnsi="宋体"/>
          <w:color w:val="auto"/>
          <w:szCs w:val="21"/>
          <w:u w:val="single"/>
        </w:rPr>
        <w:t xml:space="preserve">                   </w:t>
      </w:r>
    </w:p>
    <w:p w14:paraId="33277A19">
      <w:pPr>
        <w:adjustRightInd w:val="0"/>
        <w:snapToGrid w:val="0"/>
        <w:spacing w:line="400" w:lineRule="exact"/>
        <w:rPr>
          <w:rFonts w:hint="eastAsia" w:ascii="宋体" w:hAnsi="宋体"/>
          <w:color w:val="auto"/>
          <w:szCs w:val="21"/>
          <w:u w:val="single"/>
        </w:rPr>
      </w:pPr>
      <w:r>
        <w:rPr>
          <w:rFonts w:hint="eastAsia" w:ascii="宋体" w:hAnsi="宋体"/>
          <w:color w:val="auto"/>
          <w:szCs w:val="21"/>
        </w:rPr>
        <w:t xml:space="preserve">                     大写：</w:t>
      </w:r>
      <w:r>
        <w:rPr>
          <w:rFonts w:hint="eastAsia" w:ascii="宋体" w:hAnsi="宋体"/>
          <w:color w:val="auto"/>
          <w:szCs w:val="21"/>
          <w:u w:val="single"/>
        </w:rPr>
        <w:t xml:space="preserve">                       </w:t>
      </w:r>
    </w:p>
    <w:p w14:paraId="00159E66">
      <w:pPr>
        <w:adjustRightInd w:val="0"/>
        <w:snapToGrid w:val="0"/>
        <w:spacing w:line="400" w:lineRule="exact"/>
        <w:rPr>
          <w:rFonts w:hint="eastAsia" w:ascii="宋体" w:hAnsi="宋体"/>
          <w:color w:val="auto"/>
          <w:szCs w:val="21"/>
        </w:rPr>
      </w:pPr>
      <w:r>
        <w:rPr>
          <w:rFonts w:hint="eastAsia" w:ascii="宋体" w:hAnsi="宋体"/>
          <w:color w:val="auto"/>
          <w:szCs w:val="21"/>
        </w:rPr>
        <w:t xml:space="preserve">    （注：固定单价合同应填写单价和最高限价）</w:t>
      </w:r>
    </w:p>
    <w:p w14:paraId="7D39E222">
      <w:pPr>
        <w:numPr>
          <w:ilvl w:val="255"/>
          <w:numId w:val="0"/>
        </w:numPr>
        <w:adjustRightInd w:val="0"/>
        <w:snapToGrid w:val="0"/>
        <w:spacing w:line="400" w:lineRule="exact"/>
        <w:rPr>
          <w:rFonts w:hint="eastAsia" w:ascii="宋体" w:hAnsi="宋体"/>
          <w:color w:val="auto"/>
          <w:szCs w:val="21"/>
        </w:rPr>
      </w:pPr>
      <w:r>
        <w:rPr>
          <w:rFonts w:hint="eastAsia" w:ascii="宋体" w:hAnsi="宋体"/>
          <w:color w:val="auto"/>
          <w:szCs w:val="21"/>
        </w:rPr>
        <w:t xml:space="preserve">    （2）合同定价方式（采用组合定价方式的，可以勾选多项）：</w:t>
      </w:r>
    </w:p>
    <w:p w14:paraId="145678FF">
      <w:pPr>
        <w:adjustRightInd w:val="0"/>
        <w:snapToGrid w:val="0"/>
        <w:spacing w:line="400" w:lineRule="exact"/>
        <w:ind w:firstLine="420" w:firstLineChars="200"/>
        <w:rPr>
          <w:rFonts w:hint="eastAsia" w:ascii="宋体" w:hAnsi="宋体"/>
          <w:color w:val="auto"/>
          <w:szCs w:val="21"/>
        </w:rPr>
      </w:pPr>
      <w:r>
        <w:rPr>
          <w:rFonts w:hint="eastAsia" w:ascii="宋体" w:hAnsi="宋体"/>
          <w:iCs/>
          <w:color w:val="auto"/>
          <w:szCs w:val="21"/>
        </w:rPr>
        <w:t xml:space="preserve">  固定总价 固定单价 固定费率 成本补偿 绩效激励 其他</w:t>
      </w:r>
      <w:r>
        <w:rPr>
          <w:rFonts w:hint="eastAsia" w:ascii="宋体" w:hAnsi="宋体"/>
          <w:color w:val="auto"/>
          <w:szCs w:val="21"/>
          <w:u w:val="single"/>
        </w:rPr>
        <w:t xml:space="preserve">       </w:t>
      </w:r>
    </w:p>
    <w:p w14:paraId="65D4C3D0">
      <w:pPr>
        <w:pStyle w:val="146"/>
        <w:spacing w:line="400" w:lineRule="exact"/>
        <w:outlineLvl w:val="3"/>
        <w:rPr>
          <w:color w:val="auto"/>
        </w:rPr>
      </w:pPr>
      <w:bookmarkStart w:id="277" w:name="_Toc27731"/>
      <w:bookmarkStart w:id="278" w:name="_Toc23082"/>
      <w:bookmarkStart w:id="279" w:name="_Toc5979"/>
      <w:r>
        <w:rPr>
          <w:rFonts w:hint="eastAsia" w:ascii="宋体" w:hAnsi="宋体"/>
          <w:color w:val="auto"/>
        </w:rPr>
        <w:t>（3）付款方式（按项目实际勾选填写）：</w:t>
      </w:r>
      <w:bookmarkEnd w:id="277"/>
      <w:bookmarkEnd w:id="278"/>
      <w:bookmarkEnd w:id="279"/>
    </w:p>
    <w:p w14:paraId="0DB20279">
      <w:pPr>
        <w:adjustRightInd w:val="0"/>
        <w:snapToGrid w:val="0"/>
        <w:spacing w:line="400" w:lineRule="exact"/>
        <w:ind w:firstLine="630" w:firstLineChars="300"/>
        <w:rPr>
          <w:rFonts w:hint="eastAsia" w:ascii="宋体" w:hAnsi="宋体"/>
          <w:color w:val="auto"/>
          <w:szCs w:val="21"/>
          <w:u w:val="single"/>
        </w:rPr>
      </w:pPr>
      <w:r>
        <w:rPr>
          <w:rFonts w:hint="eastAsia" w:ascii="宋体" w:hAnsi="宋体"/>
          <w:color w:val="auto"/>
          <w:szCs w:val="21"/>
        </w:rPr>
        <w:t>全额付款：</w:t>
      </w:r>
      <w:r>
        <w:rPr>
          <w:rFonts w:hint="eastAsia" w:ascii="宋体" w:hAnsi="宋体"/>
          <w:color w:val="auto"/>
          <w:szCs w:val="21"/>
          <w:u w:val="single"/>
        </w:rPr>
        <w:t xml:space="preserve">     （应明确一次性支付合同款项的条件）                    </w:t>
      </w:r>
    </w:p>
    <w:p w14:paraId="7A79F71A">
      <w:pPr>
        <w:snapToGrid w:val="0"/>
        <w:spacing w:line="400" w:lineRule="exact"/>
        <w:ind w:firstLine="630" w:firstLineChars="300"/>
        <w:rPr>
          <w:color w:val="auto"/>
        </w:rPr>
      </w:pPr>
      <w:r>
        <w:rPr>
          <w:rFonts w:hint="eastAsia" w:ascii="宋体" w:hAnsi="宋体"/>
          <w:color w:val="auto"/>
          <w:szCs w:val="21"/>
        </w:rPr>
        <w:t>分期付款：</w:t>
      </w:r>
      <w:r>
        <w:rPr>
          <w:rFonts w:hint="eastAsia" w:ascii="宋体" w:hAnsi="宋体"/>
          <w:color w:val="auto"/>
          <w:szCs w:val="21"/>
          <w:u w:val="single"/>
        </w:rPr>
        <w:t xml:space="preserve">  （应明确分期支付合同款项的各期比例和支付条件，各期支付条件应与分期履约验收情况挂钩） </w:t>
      </w:r>
      <w:r>
        <w:rPr>
          <w:rFonts w:hint="eastAsia" w:ascii="宋体" w:hAnsi="宋体"/>
          <w:color w:val="auto"/>
          <w:szCs w:val="21"/>
        </w:rPr>
        <w:t>，其中涉及预付款的：</w:t>
      </w:r>
      <w:r>
        <w:rPr>
          <w:rFonts w:hint="eastAsia" w:ascii="宋体" w:hAnsi="宋体"/>
          <w:color w:val="auto"/>
          <w:szCs w:val="21"/>
          <w:u w:val="single"/>
        </w:rPr>
        <w:t xml:space="preserve"> （应明确预付款的支付比例和支付条件） </w:t>
      </w:r>
    </w:p>
    <w:p w14:paraId="156B9242">
      <w:pPr>
        <w:adjustRightInd w:val="0"/>
        <w:snapToGrid w:val="0"/>
        <w:spacing w:line="400" w:lineRule="exact"/>
        <w:ind w:firstLine="630" w:firstLineChars="300"/>
        <w:rPr>
          <w:rFonts w:hint="eastAsia" w:ascii="宋体" w:hAnsi="宋体"/>
          <w:color w:val="auto"/>
          <w:szCs w:val="21"/>
          <w:u w:val="single"/>
        </w:rPr>
      </w:pPr>
      <w:r>
        <w:rPr>
          <w:rFonts w:hint="eastAsia" w:ascii="宋体" w:hAnsi="宋体"/>
          <w:color w:val="auto"/>
          <w:szCs w:val="21"/>
        </w:rPr>
        <w:t>成本补偿：</w:t>
      </w:r>
      <w:r>
        <w:rPr>
          <w:rFonts w:hint="eastAsia" w:ascii="宋体" w:hAnsi="宋体"/>
          <w:color w:val="auto"/>
          <w:szCs w:val="21"/>
          <w:u w:val="single"/>
        </w:rPr>
        <w:t xml:space="preserve">      （应明确按照成本补偿方式的支付方式和支付条件）   </w:t>
      </w:r>
    </w:p>
    <w:p w14:paraId="4B09E3AC">
      <w:pPr>
        <w:adjustRightInd w:val="0"/>
        <w:snapToGrid w:val="0"/>
        <w:spacing w:line="400" w:lineRule="exact"/>
        <w:ind w:firstLine="630" w:firstLineChars="300"/>
        <w:rPr>
          <w:rFonts w:hint="eastAsia" w:ascii="宋体" w:hAnsi="宋体"/>
          <w:color w:val="auto"/>
          <w:szCs w:val="21"/>
        </w:rPr>
      </w:pPr>
      <w:r>
        <w:rPr>
          <w:rFonts w:hint="eastAsia" w:ascii="宋体" w:hAnsi="宋体"/>
          <w:color w:val="auto"/>
          <w:szCs w:val="21"/>
        </w:rPr>
        <w:t>绩效激励：</w:t>
      </w:r>
      <w:r>
        <w:rPr>
          <w:rFonts w:hint="eastAsia" w:ascii="宋体" w:hAnsi="宋体"/>
          <w:color w:val="auto"/>
          <w:szCs w:val="21"/>
          <w:u w:val="single"/>
        </w:rPr>
        <w:t xml:space="preserve">      （应明确按照绩效激励方式的支付方式和支付条件）   </w:t>
      </w:r>
    </w:p>
    <w:p w14:paraId="0DA454D9">
      <w:pPr>
        <w:numPr>
          <w:ilvl w:val="0"/>
          <w:numId w:val="5"/>
        </w:numPr>
        <w:adjustRightInd w:val="0"/>
        <w:snapToGrid w:val="0"/>
        <w:spacing w:line="400" w:lineRule="exact"/>
        <w:ind w:firstLine="422" w:firstLineChars="200"/>
        <w:outlineLvl w:val="2"/>
        <w:rPr>
          <w:rFonts w:hint="eastAsia" w:ascii="宋体" w:hAnsi="宋体"/>
          <w:b/>
          <w:color w:val="auto"/>
          <w:szCs w:val="21"/>
          <w:u w:val="single"/>
        </w:rPr>
      </w:pPr>
      <w:bookmarkStart w:id="280" w:name="_Toc7117"/>
      <w:bookmarkStart w:id="281" w:name="_Toc32533"/>
      <w:bookmarkStart w:id="282" w:name="_Toc905"/>
      <w:r>
        <w:rPr>
          <w:rFonts w:hint="eastAsia" w:ascii="宋体" w:hAnsi="宋体"/>
          <w:b/>
          <w:color w:val="auto"/>
          <w:szCs w:val="21"/>
        </w:rPr>
        <w:t>合同履行</w:t>
      </w:r>
      <w:bookmarkEnd w:id="280"/>
      <w:bookmarkEnd w:id="281"/>
      <w:bookmarkEnd w:id="282"/>
    </w:p>
    <w:p w14:paraId="213F892F">
      <w:pPr>
        <w:adjustRightInd w:val="0"/>
        <w:snapToGrid w:val="0"/>
        <w:spacing w:line="400" w:lineRule="exact"/>
        <w:ind w:firstLine="420" w:firstLineChars="200"/>
        <w:rPr>
          <w:rFonts w:hint="eastAsia" w:ascii="宋体" w:hAnsi="宋体" w:cs="宋体"/>
          <w:color w:val="auto"/>
          <w:szCs w:val="21"/>
        </w:rPr>
      </w:pPr>
      <w:r>
        <w:rPr>
          <w:rFonts w:hint="eastAsia" w:ascii="宋体" w:hAnsi="宋体" w:cs="宋体"/>
          <w:color w:val="auto"/>
          <w:szCs w:val="21"/>
        </w:rPr>
        <w:t>（1）起始日期：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日，完成日期：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67774CF9">
      <w:pPr>
        <w:adjustRightInd w:val="0"/>
        <w:snapToGrid w:val="0"/>
        <w:spacing w:line="400" w:lineRule="exact"/>
        <w:ind w:firstLine="420" w:firstLineChars="200"/>
        <w:rPr>
          <w:rFonts w:hint="eastAsia" w:ascii="宋体" w:hAnsi="宋体" w:cs="宋体"/>
          <w:color w:val="auto"/>
          <w:szCs w:val="21"/>
          <w:u w:val="single"/>
        </w:rPr>
      </w:pPr>
      <w:r>
        <w:rPr>
          <w:rFonts w:hint="eastAsia" w:ascii="宋体" w:hAnsi="宋体" w:cs="宋体"/>
          <w:color w:val="auto"/>
          <w:szCs w:val="21"/>
        </w:rPr>
        <w:t>（2）履约地点</w:t>
      </w:r>
      <w:r>
        <w:rPr>
          <w:rFonts w:hint="eastAsia" w:ascii="宋体" w:hAnsi="宋体" w:cs="宋体"/>
          <w:bCs/>
          <w:color w:val="auto"/>
          <w:szCs w:val="21"/>
        </w:rPr>
        <w:t>：</w:t>
      </w:r>
      <w:r>
        <w:rPr>
          <w:rFonts w:hint="eastAsia" w:ascii="宋体" w:hAnsi="宋体" w:cs="宋体"/>
          <w:color w:val="auto"/>
          <w:szCs w:val="21"/>
          <w:u w:val="single"/>
        </w:rPr>
        <w:t xml:space="preserve">                             </w:t>
      </w:r>
    </w:p>
    <w:p w14:paraId="51AE7F1A">
      <w:pPr>
        <w:adjustRightInd w:val="0"/>
        <w:snapToGrid w:val="0"/>
        <w:spacing w:line="400" w:lineRule="exact"/>
        <w:ind w:firstLine="420" w:firstLineChars="200"/>
        <w:outlineLvl w:val="3"/>
        <w:rPr>
          <w:rFonts w:hint="eastAsia" w:ascii="宋体" w:hAnsi="宋体" w:cs="宋体"/>
          <w:color w:val="auto"/>
          <w:szCs w:val="21"/>
        </w:rPr>
      </w:pPr>
      <w:bookmarkStart w:id="283" w:name="_Toc31812"/>
      <w:bookmarkStart w:id="284" w:name="_Toc11250"/>
      <w:bookmarkStart w:id="285" w:name="_Toc13523"/>
      <w:r>
        <w:rPr>
          <w:rFonts w:hint="eastAsia" w:ascii="宋体" w:hAnsi="宋体" w:cs="宋体"/>
          <w:bCs/>
          <w:color w:val="auto"/>
          <w:szCs w:val="21"/>
        </w:rPr>
        <w:t>（3）履约担保：</w:t>
      </w:r>
      <w:r>
        <w:rPr>
          <w:rFonts w:hint="eastAsia" w:ascii="宋体" w:hAnsi="宋体" w:cs="宋体"/>
          <w:color w:val="auto"/>
        </w:rPr>
        <w:t>是否收取履约保证金：</w:t>
      </w:r>
      <w:r>
        <w:rPr>
          <w:rFonts w:hint="eastAsia" w:ascii="宋体" w:hAnsi="宋体" w:cs="宋体"/>
          <w:color w:val="auto"/>
          <w:szCs w:val="21"/>
        </w:rPr>
        <w:t>是    否</w:t>
      </w:r>
      <w:bookmarkEnd w:id="283"/>
      <w:bookmarkEnd w:id="284"/>
      <w:bookmarkEnd w:id="285"/>
    </w:p>
    <w:p w14:paraId="53F6DAB8">
      <w:pPr>
        <w:pStyle w:val="145"/>
        <w:rPr>
          <w:rFonts w:hint="eastAsia" w:ascii="宋体" w:hAnsi="宋体" w:eastAsia="宋体" w:cs="宋体"/>
          <w:color w:val="auto"/>
          <w:sz w:val="21"/>
        </w:rPr>
      </w:pPr>
      <w:r>
        <w:rPr>
          <w:rFonts w:hint="eastAsia" w:ascii="宋体" w:hAnsi="宋体" w:cs="宋体"/>
          <w:bCs/>
          <w:color w:val="auto"/>
        </w:rPr>
        <w:t xml:space="preserve">  </w:t>
      </w:r>
      <w:r>
        <w:rPr>
          <w:rFonts w:hint="eastAsia" w:ascii="宋体" w:hAnsi="宋体" w:eastAsia="宋体" w:cs="宋体"/>
          <w:color w:val="auto"/>
          <w:sz w:val="21"/>
        </w:rPr>
        <w:t xml:space="preserve">  收取履约保证金形式：</w:t>
      </w:r>
      <w:r>
        <w:rPr>
          <w:rFonts w:hint="eastAsia" w:ascii="宋体" w:hAnsi="宋体" w:eastAsia="宋体" w:cs="宋体"/>
          <w:bCs/>
          <w:color w:val="auto"/>
          <w:sz w:val="21"/>
          <w:u w:val="single"/>
        </w:rPr>
        <w:t xml:space="preserve">                            </w:t>
      </w:r>
    </w:p>
    <w:p w14:paraId="71C6AD27">
      <w:pPr>
        <w:pStyle w:val="145"/>
        <w:ind w:firstLine="420"/>
        <w:rPr>
          <w:rFonts w:hint="eastAsia" w:ascii="宋体" w:hAnsi="宋体" w:eastAsia="宋体" w:cs="宋体"/>
          <w:color w:val="auto"/>
          <w:sz w:val="21"/>
        </w:rPr>
      </w:pPr>
      <w:r>
        <w:rPr>
          <w:rFonts w:hint="eastAsia" w:ascii="宋体" w:hAnsi="宋体" w:eastAsia="宋体" w:cs="宋体"/>
          <w:color w:val="auto"/>
          <w:sz w:val="21"/>
        </w:rPr>
        <w:t xml:space="preserve">    收取履约保证金金额：</w:t>
      </w:r>
      <w:r>
        <w:rPr>
          <w:rFonts w:hint="eastAsia" w:ascii="宋体" w:hAnsi="宋体" w:eastAsia="宋体" w:cs="宋体"/>
          <w:bCs/>
          <w:color w:val="auto"/>
          <w:sz w:val="21"/>
          <w:u w:val="single"/>
        </w:rPr>
        <w:t xml:space="preserve">                            </w:t>
      </w:r>
    </w:p>
    <w:p w14:paraId="5E08909D">
      <w:pPr>
        <w:snapToGrid w:val="0"/>
        <w:spacing w:line="400" w:lineRule="exact"/>
        <w:ind w:firstLine="420" w:firstLineChars="200"/>
        <w:rPr>
          <w:rFonts w:hint="eastAsia" w:ascii="宋体" w:hAnsi="宋体" w:cs="宋体"/>
          <w:color w:val="auto"/>
        </w:rPr>
      </w:pPr>
      <w:r>
        <w:rPr>
          <w:rFonts w:hint="eastAsia" w:ascii="宋体" w:hAnsi="宋体" w:cs="宋体"/>
          <w:bCs/>
          <w:color w:val="auto"/>
          <w:szCs w:val="21"/>
        </w:rPr>
        <w:t xml:space="preserve">    履约担保期限：</w:t>
      </w:r>
      <w:r>
        <w:rPr>
          <w:rFonts w:hint="eastAsia" w:ascii="宋体" w:hAnsi="宋体" w:cs="宋体"/>
          <w:bCs/>
          <w:color w:val="auto"/>
          <w:szCs w:val="21"/>
          <w:u w:val="single"/>
        </w:rPr>
        <w:t xml:space="preserve">                                  </w:t>
      </w:r>
    </w:p>
    <w:p w14:paraId="53D6862B">
      <w:pPr>
        <w:adjustRightInd w:val="0"/>
        <w:snapToGrid w:val="0"/>
        <w:spacing w:line="400" w:lineRule="exact"/>
        <w:ind w:firstLine="420" w:firstLineChars="200"/>
        <w:rPr>
          <w:rFonts w:hint="eastAsia" w:ascii="宋体" w:hAnsi="宋体" w:cs="宋体"/>
          <w:bCs/>
          <w:color w:val="auto"/>
          <w:szCs w:val="21"/>
        </w:rPr>
      </w:pPr>
      <w:r>
        <w:rPr>
          <w:rFonts w:hint="eastAsia" w:ascii="宋体" w:hAnsi="宋体" w:cs="宋体"/>
          <w:bCs/>
          <w:color w:val="auto"/>
          <w:szCs w:val="21"/>
        </w:rPr>
        <w:t>（4）分期履行要求：</w:t>
      </w:r>
      <w:r>
        <w:rPr>
          <w:rFonts w:hint="eastAsia" w:ascii="宋体" w:hAnsi="宋体" w:cs="宋体"/>
          <w:bCs/>
          <w:color w:val="auto"/>
          <w:szCs w:val="21"/>
          <w:u w:val="single"/>
        </w:rPr>
        <w:t xml:space="preserve">                                                        </w:t>
      </w:r>
    </w:p>
    <w:p w14:paraId="0D432FC0">
      <w:pPr>
        <w:adjustRightInd w:val="0"/>
        <w:snapToGrid w:val="0"/>
        <w:spacing w:line="400" w:lineRule="exact"/>
        <w:ind w:firstLine="420" w:firstLineChars="200"/>
        <w:rPr>
          <w:rFonts w:hint="eastAsia" w:ascii="宋体" w:hAnsi="宋体" w:cs="宋体"/>
          <w:color w:val="auto"/>
          <w:szCs w:val="21"/>
          <w:u w:val="single"/>
        </w:rPr>
      </w:pPr>
      <w:r>
        <w:rPr>
          <w:rFonts w:hint="eastAsia" w:ascii="宋体" w:hAnsi="宋体" w:cs="宋体"/>
          <w:bCs/>
          <w:color w:val="auto"/>
          <w:szCs w:val="21"/>
        </w:rPr>
        <w:t>（5）风险处置措施和替代方案：</w:t>
      </w:r>
      <w:r>
        <w:rPr>
          <w:rFonts w:hint="eastAsia" w:ascii="宋体" w:hAnsi="宋体" w:cs="宋体"/>
          <w:color w:val="auto"/>
          <w:szCs w:val="21"/>
          <w:u w:val="single"/>
        </w:rPr>
        <w:t xml:space="preserve"> </w:t>
      </w:r>
      <w:r>
        <w:rPr>
          <w:color w:val="auto"/>
          <w:szCs w:val="21"/>
          <w:u w:val="single"/>
        </w:rPr>
        <w:t xml:space="preserve">              </w:t>
      </w:r>
      <w:r>
        <w:rPr>
          <w:rFonts w:hint="eastAsia" w:ascii="宋体" w:hAnsi="宋体" w:cs="宋体"/>
          <w:color w:val="auto"/>
          <w:szCs w:val="21"/>
          <w:u w:val="single"/>
        </w:rPr>
        <w:t xml:space="preserve">                                                </w:t>
      </w:r>
    </w:p>
    <w:p w14:paraId="7FBD4084">
      <w:pPr>
        <w:numPr>
          <w:ilvl w:val="0"/>
          <w:numId w:val="5"/>
        </w:numPr>
        <w:adjustRightInd w:val="0"/>
        <w:snapToGrid w:val="0"/>
        <w:spacing w:line="400" w:lineRule="exact"/>
        <w:ind w:firstLine="422" w:firstLineChars="200"/>
        <w:outlineLvl w:val="2"/>
        <w:rPr>
          <w:rFonts w:hint="eastAsia" w:ascii="宋体" w:hAnsi="宋体"/>
          <w:b/>
          <w:color w:val="auto"/>
          <w:szCs w:val="21"/>
        </w:rPr>
      </w:pPr>
      <w:bookmarkStart w:id="286" w:name="_Toc27150"/>
      <w:bookmarkStart w:id="287" w:name="_Toc10482"/>
      <w:bookmarkStart w:id="288" w:name="_Toc32630"/>
      <w:r>
        <w:rPr>
          <w:rFonts w:hint="eastAsia" w:ascii="宋体" w:hAnsi="宋体"/>
          <w:b/>
          <w:color w:val="auto"/>
          <w:szCs w:val="21"/>
        </w:rPr>
        <w:t>合同验收</w:t>
      </w:r>
      <w:bookmarkEnd w:id="286"/>
      <w:bookmarkEnd w:id="287"/>
      <w:bookmarkEnd w:id="288"/>
    </w:p>
    <w:p w14:paraId="776FFCCF">
      <w:pPr>
        <w:numPr>
          <w:ilvl w:val="0"/>
          <w:numId w:val="7"/>
        </w:numPr>
        <w:adjustRightInd w:val="0"/>
        <w:snapToGrid w:val="0"/>
        <w:spacing w:line="400" w:lineRule="exact"/>
        <w:ind w:firstLine="420" w:firstLineChars="200"/>
        <w:outlineLvl w:val="3"/>
        <w:rPr>
          <w:rFonts w:hint="eastAsia" w:ascii="宋体" w:hAnsi="宋体"/>
          <w:bCs/>
          <w:color w:val="auto"/>
          <w:szCs w:val="21"/>
        </w:rPr>
      </w:pPr>
      <w:bookmarkStart w:id="289" w:name="_Toc17423"/>
      <w:bookmarkStart w:id="290" w:name="_Toc6655"/>
      <w:bookmarkStart w:id="291" w:name="_Toc10588"/>
      <w:r>
        <w:rPr>
          <w:rFonts w:hint="eastAsia" w:ascii="宋体" w:hAnsi="宋体"/>
          <w:bCs/>
          <w:color w:val="auto"/>
          <w:szCs w:val="21"/>
        </w:rPr>
        <w:t>验收组织方式：自行组织 委托第三方组织</w:t>
      </w:r>
      <w:bookmarkEnd w:id="289"/>
      <w:bookmarkEnd w:id="290"/>
      <w:bookmarkEnd w:id="291"/>
    </w:p>
    <w:p w14:paraId="68DFEB4D">
      <w:pPr>
        <w:adjustRightInd w:val="0"/>
        <w:snapToGrid w:val="0"/>
        <w:spacing w:line="400" w:lineRule="exact"/>
        <w:rPr>
          <w:rFonts w:hint="eastAsia" w:ascii="宋体" w:hAnsi="宋体"/>
          <w:bCs/>
          <w:color w:val="auto"/>
          <w:szCs w:val="21"/>
        </w:rPr>
      </w:pPr>
      <w:r>
        <w:rPr>
          <w:rFonts w:hint="eastAsia" w:ascii="宋体" w:hAnsi="宋体"/>
          <w:bCs/>
          <w:color w:val="auto"/>
          <w:szCs w:val="21"/>
        </w:rPr>
        <w:t xml:space="preserve">         验收主体：</w:t>
      </w:r>
      <w:r>
        <w:rPr>
          <w:rFonts w:hint="eastAsia" w:ascii="宋体" w:hAnsi="宋体"/>
          <w:bCs/>
          <w:color w:val="auto"/>
          <w:szCs w:val="21"/>
          <w:u w:val="single"/>
        </w:rPr>
        <w:t xml:space="preserve">                  </w:t>
      </w:r>
    </w:p>
    <w:p w14:paraId="4D40C7AF">
      <w:pPr>
        <w:adjustRightInd w:val="0"/>
        <w:snapToGrid w:val="0"/>
        <w:spacing w:line="400" w:lineRule="exact"/>
        <w:rPr>
          <w:rFonts w:hint="eastAsia" w:ascii="宋体" w:hAnsi="宋体"/>
          <w:bCs/>
          <w:color w:val="auto"/>
          <w:szCs w:val="21"/>
        </w:rPr>
      </w:pPr>
      <w:r>
        <w:rPr>
          <w:rFonts w:hint="eastAsia" w:ascii="宋体" w:hAnsi="宋体"/>
          <w:bCs/>
          <w:color w:val="auto"/>
          <w:szCs w:val="21"/>
        </w:rPr>
        <w:t xml:space="preserve">        是否邀请本项目的其他供应商参加验收：是  否</w:t>
      </w:r>
    </w:p>
    <w:p w14:paraId="40BDCC8A">
      <w:pPr>
        <w:adjustRightInd w:val="0"/>
        <w:snapToGrid w:val="0"/>
        <w:spacing w:line="400" w:lineRule="exact"/>
        <w:ind w:firstLine="840" w:firstLineChars="400"/>
        <w:rPr>
          <w:rFonts w:hint="eastAsia" w:ascii="宋体" w:hAnsi="宋体"/>
          <w:bCs/>
          <w:color w:val="auto"/>
          <w:szCs w:val="21"/>
        </w:rPr>
      </w:pPr>
      <w:r>
        <w:rPr>
          <w:rFonts w:hint="eastAsia" w:ascii="宋体" w:hAnsi="宋体"/>
          <w:bCs/>
          <w:color w:val="auto"/>
          <w:szCs w:val="21"/>
        </w:rPr>
        <w:t>是否邀请专家参加验收：是  否</w:t>
      </w:r>
    </w:p>
    <w:p w14:paraId="73F3069F">
      <w:pPr>
        <w:adjustRightInd w:val="0"/>
        <w:snapToGrid w:val="0"/>
        <w:spacing w:line="400" w:lineRule="exact"/>
        <w:ind w:firstLine="840" w:firstLineChars="400"/>
        <w:rPr>
          <w:rFonts w:hint="eastAsia" w:ascii="宋体" w:hAnsi="宋体"/>
          <w:bCs/>
          <w:color w:val="auto"/>
          <w:szCs w:val="21"/>
        </w:rPr>
      </w:pPr>
      <w:r>
        <w:rPr>
          <w:rFonts w:hint="eastAsia" w:ascii="宋体" w:hAnsi="宋体"/>
          <w:bCs/>
          <w:color w:val="auto"/>
          <w:szCs w:val="21"/>
        </w:rPr>
        <w:t>是否邀请服务对象参加验收：是  否</w:t>
      </w:r>
    </w:p>
    <w:p w14:paraId="09CB4B93">
      <w:pPr>
        <w:adjustRightInd w:val="0"/>
        <w:snapToGrid w:val="0"/>
        <w:spacing w:line="400" w:lineRule="exact"/>
        <w:ind w:firstLine="840" w:firstLineChars="400"/>
        <w:rPr>
          <w:rFonts w:hint="eastAsia" w:ascii="宋体" w:hAnsi="宋体"/>
          <w:bCs/>
          <w:color w:val="auto"/>
          <w:szCs w:val="21"/>
        </w:rPr>
      </w:pPr>
      <w:r>
        <w:rPr>
          <w:rFonts w:hint="eastAsia" w:ascii="宋体" w:hAnsi="宋体"/>
          <w:bCs/>
          <w:color w:val="auto"/>
          <w:szCs w:val="21"/>
        </w:rPr>
        <w:t>是否邀请第三方检测机构参加验收：是  否</w:t>
      </w:r>
    </w:p>
    <w:p w14:paraId="2ADE1270">
      <w:pPr>
        <w:adjustRightInd w:val="0"/>
        <w:snapToGrid w:val="0"/>
        <w:spacing w:line="400" w:lineRule="exact"/>
        <w:ind w:firstLine="840" w:firstLineChars="400"/>
        <w:rPr>
          <w:rFonts w:hint="eastAsia" w:ascii="宋体" w:hAnsi="宋体"/>
          <w:bCs/>
          <w:color w:val="auto"/>
          <w:szCs w:val="21"/>
        </w:rPr>
      </w:pPr>
      <w:r>
        <w:rPr>
          <w:rFonts w:hint="eastAsia" w:ascii="宋体" w:hAnsi="宋体"/>
          <w:bCs/>
          <w:color w:val="auto"/>
          <w:szCs w:val="21"/>
        </w:rPr>
        <w:t>是否进行抽查检测：是，抽查比例：</w:t>
      </w:r>
      <w:r>
        <w:rPr>
          <w:rFonts w:hint="eastAsia" w:ascii="宋体" w:hAnsi="宋体"/>
          <w:bCs/>
          <w:color w:val="auto"/>
          <w:szCs w:val="21"/>
          <w:u w:val="single"/>
        </w:rPr>
        <w:t xml:space="preserve">        </w:t>
      </w:r>
      <w:r>
        <w:rPr>
          <w:rFonts w:hint="eastAsia" w:ascii="宋体" w:hAnsi="宋体"/>
          <w:bCs/>
          <w:color w:val="auto"/>
          <w:szCs w:val="21"/>
        </w:rPr>
        <w:t xml:space="preserve"> 否</w:t>
      </w:r>
    </w:p>
    <w:p w14:paraId="0831DCDB">
      <w:pPr>
        <w:adjustRightInd w:val="0"/>
        <w:snapToGrid w:val="0"/>
        <w:spacing w:line="400" w:lineRule="exact"/>
        <w:ind w:firstLine="840" w:firstLineChars="400"/>
        <w:rPr>
          <w:rFonts w:hint="eastAsia" w:ascii="宋体" w:hAnsi="宋体"/>
          <w:bCs/>
          <w:color w:val="auto"/>
          <w:szCs w:val="21"/>
          <w:u w:val="single"/>
        </w:rPr>
      </w:pPr>
      <w:r>
        <w:rPr>
          <w:rFonts w:hint="eastAsia" w:ascii="宋体" w:hAnsi="宋体"/>
          <w:bCs/>
          <w:color w:val="auto"/>
          <w:szCs w:val="21"/>
        </w:rPr>
        <w:t>是否存在破坏性检测：是，</w:t>
      </w:r>
      <w:r>
        <w:rPr>
          <w:rFonts w:hint="eastAsia" w:ascii="宋体" w:hAnsi="宋体"/>
          <w:bCs/>
          <w:color w:val="auto"/>
          <w:szCs w:val="21"/>
          <w:u w:val="single"/>
        </w:rPr>
        <w:t>（应明确对被破坏的检测产品的处理方式）</w:t>
      </w:r>
    </w:p>
    <w:p w14:paraId="409D3E61">
      <w:pPr>
        <w:adjustRightInd w:val="0"/>
        <w:snapToGrid w:val="0"/>
        <w:spacing w:line="400" w:lineRule="exact"/>
        <w:ind w:firstLine="840" w:firstLineChars="400"/>
        <w:rPr>
          <w:rFonts w:hint="eastAsia" w:ascii="宋体" w:hAnsi="宋体"/>
          <w:bCs/>
          <w:color w:val="auto"/>
          <w:szCs w:val="21"/>
        </w:rPr>
      </w:pPr>
      <w:r>
        <w:rPr>
          <w:rFonts w:hint="eastAsia" w:ascii="宋体" w:hAnsi="宋体"/>
          <w:bCs/>
          <w:color w:val="auto"/>
          <w:szCs w:val="21"/>
        </w:rPr>
        <w:t xml:space="preserve">                    否</w:t>
      </w:r>
    </w:p>
    <w:p w14:paraId="3AA249C5">
      <w:pPr>
        <w:adjustRightInd w:val="0"/>
        <w:snapToGrid w:val="0"/>
        <w:spacing w:line="400" w:lineRule="exact"/>
        <w:ind w:firstLine="840" w:firstLineChars="400"/>
        <w:rPr>
          <w:rFonts w:hint="eastAsia" w:ascii="宋体" w:hAnsi="宋体"/>
          <w:bCs/>
          <w:color w:val="auto"/>
          <w:szCs w:val="21"/>
          <w:u w:val="single"/>
        </w:rPr>
      </w:pPr>
      <w:r>
        <w:rPr>
          <w:rFonts w:hint="eastAsia" w:ascii="宋体" w:hAnsi="宋体"/>
          <w:bCs/>
          <w:color w:val="auto"/>
          <w:szCs w:val="21"/>
        </w:rPr>
        <w:t>验收组织的其他事项：</w:t>
      </w:r>
      <w:r>
        <w:rPr>
          <w:rFonts w:hint="eastAsia" w:ascii="宋体" w:hAnsi="宋体"/>
          <w:bCs/>
          <w:color w:val="auto"/>
          <w:szCs w:val="21"/>
          <w:u w:val="single"/>
        </w:rPr>
        <w:t xml:space="preserve">                </w:t>
      </w:r>
    </w:p>
    <w:p w14:paraId="0B5F8DF7">
      <w:pPr>
        <w:adjustRightInd w:val="0"/>
        <w:snapToGrid w:val="0"/>
        <w:spacing w:line="400" w:lineRule="exact"/>
        <w:ind w:firstLine="420" w:firstLineChars="200"/>
        <w:rPr>
          <w:rFonts w:hint="eastAsia" w:ascii="宋体" w:hAnsi="宋体"/>
          <w:bCs/>
          <w:color w:val="auto"/>
          <w:szCs w:val="21"/>
          <w:u w:val="single"/>
        </w:rPr>
      </w:pPr>
      <w:r>
        <w:rPr>
          <w:rFonts w:hint="eastAsia" w:ascii="宋体" w:hAnsi="宋体"/>
          <w:bCs/>
          <w:color w:val="auto"/>
          <w:szCs w:val="21"/>
        </w:rPr>
        <w:t>（2）履约验收时间：</w:t>
      </w:r>
      <w:r>
        <w:rPr>
          <w:rFonts w:hint="eastAsia" w:ascii="宋体" w:hAnsi="宋体"/>
          <w:bCs/>
          <w:color w:val="auto"/>
          <w:szCs w:val="21"/>
          <w:u w:val="single"/>
        </w:rPr>
        <w:t xml:space="preserve">（计划于何时验收/供应商提出验收申请之日起   日内组织验收） </w:t>
      </w:r>
    </w:p>
    <w:p w14:paraId="0979296B">
      <w:pPr>
        <w:adjustRightInd w:val="0"/>
        <w:snapToGrid w:val="0"/>
        <w:spacing w:line="400" w:lineRule="exact"/>
        <w:ind w:firstLine="420" w:firstLineChars="200"/>
        <w:outlineLvl w:val="3"/>
        <w:rPr>
          <w:rFonts w:hint="eastAsia" w:ascii="宋体" w:hAnsi="宋体"/>
          <w:bCs/>
          <w:color w:val="auto"/>
          <w:szCs w:val="21"/>
        </w:rPr>
      </w:pPr>
      <w:bookmarkStart w:id="292" w:name="_Toc26708"/>
      <w:bookmarkStart w:id="293" w:name="_Toc7676"/>
      <w:bookmarkStart w:id="294" w:name="_Toc26461"/>
      <w:r>
        <w:rPr>
          <w:rFonts w:hint="eastAsia" w:ascii="宋体" w:hAnsi="宋体"/>
          <w:bCs/>
          <w:color w:val="auto"/>
          <w:szCs w:val="21"/>
        </w:rPr>
        <w:t>（3）履约验收方式：一次性验收</w:t>
      </w:r>
      <w:bookmarkEnd w:id="292"/>
      <w:bookmarkEnd w:id="293"/>
      <w:bookmarkEnd w:id="294"/>
      <w:r>
        <w:rPr>
          <w:rFonts w:hint="eastAsia" w:ascii="宋体" w:hAnsi="宋体"/>
          <w:bCs/>
          <w:color w:val="auto"/>
          <w:szCs w:val="21"/>
        </w:rPr>
        <w:t xml:space="preserve">         </w:t>
      </w:r>
    </w:p>
    <w:p w14:paraId="568201F1">
      <w:pPr>
        <w:adjustRightInd w:val="0"/>
        <w:snapToGrid w:val="0"/>
        <w:spacing w:line="400" w:lineRule="exact"/>
        <w:rPr>
          <w:rFonts w:hint="eastAsia" w:ascii="宋体" w:hAnsi="宋体"/>
          <w:bCs/>
          <w:color w:val="auto"/>
          <w:szCs w:val="21"/>
        </w:rPr>
      </w:pPr>
      <w:r>
        <w:rPr>
          <w:rFonts w:hint="eastAsia" w:ascii="宋体" w:hAnsi="宋体"/>
          <w:bCs/>
          <w:color w:val="auto"/>
          <w:szCs w:val="21"/>
        </w:rPr>
        <w:t xml:space="preserve">                       分期/分项验收：</w:t>
      </w:r>
      <w:r>
        <w:rPr>
          <w:rFonts w:hint="eastAsia" w:ascii="宋体" w:hAnsi="宋体"/>
          <w:bCs/>
          <w:color w:val="auto"/>
          <w:szCs w:val="21"/>
          <w:u w:val="single"/>
        </w:rPr>
        <w:t xml:space="preserve"> （应明确分期</w:t>
      </w:r>
      <w:r>
        <w:rPr>
          <w:rFonts w:ascii="宋体" w:hAnsi="宋体"/>
          <w:bCs/>
          <w:color w:val="auto"/>
          <w:szCs w:val="21"/>
          <w:u w:val="single"/>
          <w:lang w:val="en"/>
        </w:rPr>
        <w:t>/</w:t>
      </w:r>
      <w:r>
        <w:rPr>
          <w:rFonts w:hint="eastAsia" w:ascii="宋体" w:hAnsi="宋体"/>
          <w:bCs/>
          <w:color w:val="auto"/>
          <w:szCs w:val="21"/>
          <w:u w:val="single"/>
          <w:lang w:val="en"/>
        </w:rPr>
        <w:t>分项验收的工作安排</w:t>
      </w:r>
      <w:r>
        <w:rPr>
          <w:rFonts w:hint="eastAsia" w:ascii="宋体" w:hAnsi="宋体"/>
          <w:bCs/>
          <w:color w:val="auto"/>
          <w:szCs w:val="21"/>
          <w:u w:val="single"/>
        </w:rPr>
        <w:t xml:space="preserve">）  </w:t>
      </w:r>
    </w:p>
    <w:p w14:paraId="7D58F364">
      <w:pPr>
        <w:adjustRightInd w:val="0"/>
        <w:snapToGrid w:val="0"/>
        <w:spacing w:line="400" w:lineRule="exact"/>
        <w:ind w:firstLine="420" w:firstLineChars="200"/>
        <w:rPr>
          <w:rFonts w:hint="eastAsia" w:ascii="宋体" w:hAnsi="宋体"/>
          <w:bCs/>
          <w:color w:val="auto"/>
          <w:szCs w:val="21"/>
        </w:rPr>
      </w:pPr>
      <w:r>
        <w:rPr>
          <w:rFonts w:hint="eastAsia" w:ascii="宋体" w:hAnsi="宋体"/>
          <w:bCs/>
          <w:color w:val="auto"/>
          <w:szCs w:val="21"/>
        </w:rPr>
        <w:t>（4）履约验收程序：</w:t>
      </w:r>
      <w:r>
        <w:rPr>
          <w:rFonts w:hint="eastAsia" w:ascii="宋体" w:hAnsi="宋体"/>
          <w:bCs/>
          <w:color w:val="auto"/>
          <w:szCs w:val="21"/>
          <w:u w:val="single"/>
        </w:rPr>
        <w:t xml:space="preserve">                                         </w:t>
      </w:r>
    </w:p>
    <w:p w14:paraId="1A7E656C">
      <w:pPr>
        <w:adjustRightInd w:val="0"/>
        <w:snapToGrid w:val="0"/>
        <w:spacing w:line="400" w:lineRule="exact"/>
        <w:ind w:firstLine="420" w:firstLineChars="200"/>
        <w:rPr>
          <w:rFonts w:hint="eastAsia" w:ascii="宋体" w:hAnsi="宋体"/>
          <w:bCs/>
          <w:color w:val="auto"/>
          <w:szCs w:val="21"/>
          <w:u w:val="single"/>
        </w:rPr>
      </w:pPr>
      <w:r>
        <w:rPr>
          <w:rFonts w:hint="eastAsia" w:ascii="宋体" w:hAnsi="宋体"/>
          <w:bCs/>
          <w:color w:val="auto"/>
          <w:szCs w:val="21"/>
        </w:rPr>
        <w:t>（5）履约验收的内容：</w:t>
      </w:r>
      <w:r>
        <w:rPr>
          <w:rFonts w:hint="eastAsia" w:ascii="宋体" w:hAnsi="宋体"/>
          <w:bCs/>
          <w:color w:val="auto"/>
          <w:szCs w:val="21"/>
          <w:u w:val="single"/>
        </w:rPr>
        <w:t xml:space="preserve"> （应当包括每一项技术和商务要求的履约情况，特别是落实政府采购扶持中小企业，支持绿色发展和乡村振兴等政策情况）                                      </w:t>
      </w:r>
    </w:p>
    <w:p w14:paraId="6FB8D6DE">
      <w:pPr>
        <w:adjustRightInd w:val="0"/>
        <w:snapToGrid w:val="0"/>
        <w:spacing w:line="400" w:lineRule="exact"/>
        <w:ind w:firstLine="420" w:firstLineChars="200"/>
        <w:rPr>
          <w:rFonts w:hint="eastAsia" w:ascii="宋体" w:hAnsi="宋体"/>
          <w:bCs/>
          <w:color w:val="auto"/>
          <w:szCs w:val="21"/>
          <w:u w:val="single"/>
        </w:rPr>
      </w:pPr>
      <w:r>
        <w:rPr>
          <w:rFonts w:hint="eastAsia" w:ascii="宋体" w:hAnsi="宋体"/>
          <w:bCs/>
          <w:color w:val="auto"/>
          <w:szCs w:val="21"/>
        </w:rPr>
        <w:t>（6）履约验收标准：</w:t>
      </w:r>
      <w:r>
        <w:rPr>
          <w:rFonts w:hint="eastAsia" w:ascii="宋体" w:hAnsi="宋体"/>
          <w:bCs/>
          <w:color w:val="auto"/>
          <w:szCs w:val="21"/>
          <w:u w:val="single"/>
        </w:rPr>
        <w:t xml:space="preserve">                                         </w:t>
      </w:r>
    </w:p>
    <w:p w14:paraId="378023F9">
      <w:pPr>
        <w:pStyle w:val="145"/>
        <w:ind w:firstLine="420"/>
        <w:outlineLvl w:val="3"/>
        <w:rPr>
          <w:rFonts w:hint="eastAsia" w:ascii="宋体" w:hAnsi="宋体" w:eastAsia="宋体" w:cs="宋体"/>
          <w:color w:val="auto"/>
          <w:sz w:val="21"/>
        </w:rPr>
      </w:pPr>
      <w:bookmarkStart w:id="295" w:name="_Toc6484"/>
      <w:bookmarkStart w:id="296" w:name="_Toc14284"/>
      <w:bookmarkStart w:id="297" w:name="_Toc19446"/>
      <w:r>
        <w:rPr>
          <w:rFonts w:hint="eastAsia" w:ascii="宋体" w:hAnsi="宋体" w:eastAsia="宋体" w:cs="宋体"/>
          <w:bCs/>
          <w:color w:val="auto"/>
          <w:sz w:val="21"/>
        </w:rPr>
        <w:t>（7）是否以采购活动中供应商提供的样品作为参考：是  否</w:t>
      </w:r>
      <w:bookmarkEnd w:id="295"/>
      <w:bookmarkEnd w:id="296"/>
      <w:bookmarkEnd w:id="297"/>
    </w:p>
    <w:p w14:paraId="378F7CFE">
      <w:pPr>
        <w:adjustRightInd w:val="0"/>
        <w:snapToGrid w:val="0"/>
        <w:spacing w:line="400" w:lineRule="exact"/>
        <w:ind w:firstLine="420" w:firstLineChars="200"/>
        <w:rPr>
          <w:rFonts w:hint="eastAsia" w:ascii="宋体" w:hAnsi="宋体" w:cs="宋体"/>
          <w:bCs/>
          <w:color w:val="auto"/>
          <w:szCs w:val="21"/>
          <w:u w:val="single"/>
        </w:rPr>
      </w:pPr>
      <w:r>
        <w:rPr>
          <w:rFonts w:hint="eastAsia" w:ascii="宋体" w:hAnsi="宋体" w:cs="宋体"/>
          <w:bCs/>
          <w:color w:val="auto"/>
          <w:szCs w:val="21"/>
        </w:rPr>
        <w:t>（8）履约验收其他事项：</w:t>
      </w:r>
      <w:r>
        <w:rPr>
          <w:rFonts w:hint="eastAsia" w:ascii="宋体" w:hAnsi="宋体" w:cs="宋体"/>
          <w:bCs/>
          <w:color w:val="auto"/>
          <w:szCs w:val="21"/>
          <w:u w:val="single"/>
        </w:rPr>
        <w:t xml:space="preserve">      （产权过户登记等）          </w:t>
      </w:r>
    </w:p>
    <w:p w14:paraId="0059B546">
      <w:pPr>
        <w:numPr>
          <w:ilvl w:val="0"/>
          <w:numId w:val="5"/>
        </w:numPr>
        <w:adjustRightInd w:val="0"/>
        <w:snapToGrid w:val="0"/>
        <w:spacing w:line="400" w:lineRule="exact"/>
        <w:ind w:firstLine="422" w:firstLineChars="200"/>
        <w:outlineLvl w:val="2"/>
        <w:rPr>
          <w:rFonts w:hint="eastAsia" w:ascii="宋体" w:hAnsi="宋体"/>
          <w:b/>
          <w:color w:val="auto"/>
          <w:szCs w:val="21"/>
        </w:rPr>
      </w:pPr>
      <w:bookmarkStart w:id="298" w:name="_Toc31708"/>
      <w:bookmarkStart w:id="299" w:name="_Toc27801"/>
      <w:bookmarkStart w:id="300" w:name="_Toc11042"/>
      <w:r>
        <w:rPr>
          <w:rFonts w:hint="eastAsia" w:ascii="宋体" w:hAnsi="宋体"/>
          <w:b/>
          <w:color w:val="auto"/>
          <w:szCs w:val="21"/>
        </w:rPr>
        <w:t>组成合同的文件</w:t>
      </w:r>
      <w:bookmarkEnd w:id="298"/>
      <w:bookmarkEnd w:id="299"/>
      <w:bookmarkEnd w:id="300"/>
    </w:p>
    <w:p w14:paraId="4056AF64">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本协议书与下列文件一起构成合同文件，如下述文件之间有任何抵触、矛盾或歧义，应按以下顺序解释：</w:t>
      </w:r>
    </w:p>
    <w:p w14:paraId="47D73A21">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（1）政府采购合同协议书及其变更、补充协议</w:t>
      </w:r>
    </w:p>
    <w:p w14:paraId="24B06850">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（2）政府采购合同专用条款</w:t>
      </w:r>
    </w:p>
    <w:p w14:paraId="2CC65E91">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（3）政府采购合同通用条款</w:t>
      </w:r>
    </w:p>
    <w:p w14:paraId="7AB3B6A1">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（4）中标（成交）通知书</w:t>
      </w:r>
    </w:p>
    <w:p w14:paraId="2A074BE4">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（5）投标（响应）文件</w:t>
      </w:r>
    </w:p>
    <w:p w14:paraId="3BAE6CBF">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（6）采购文件</w:t>
      </w:r>
    </w:p>
    <w:p w14:paraId="4B26CF5B">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（7）有关技术文件，图纸</w:t>
      </w:r>
    </w:p>
    <w:p w14:paraId="3BB0225B">
      <w:pPr>
        <w:pStyle w:val="145"/>
        <w:ind w:firstLine="420"/>
        <w:rPr>
          <w:rFonts w:hint="eastAsia" w:ascii="宋体" w:hAnsi="宋体" w:eastAsia="宋体" w:cs="宋体"/>
          <w:color w:val="auto"/>
          <w:sz w:val="21"/>
        </w:rPr>
      </w:pPr>
      <w:r>
        <w:rPr>
          <w:rFonts w:hint="eastAsia" w:ascii="宋体" w:hAnsi="宋体" w:eastAsia="宋体" w:cs="宋体"/>
          <w:color w:val="auto"/>
          <w:sz w:val="21"/>
        </w:rPr>
        <w:t>（8）</w:t>
      </w:r>
      <w:r>
        <w:rPr>
          <w:color w:val="auto"/>
          <w:sz w:val="21"/>
        </w:rPr>
        <w:t>国家法律、行政法规和规章制度规定或合同约定的作为合同组成部分的其他文件</w:t>
      </w:r>
    </w:p>
    <w:p w14:paraId="4D8AC9A5">
      <w:pPr>
        <w:numPr>
          <w:ilvl w:val="0"/>
          <w:numId w:val="5"/>
        </w:numPr>
        <w:adjustRightInd w:val="0"/>
        <w:snapToGrid w:val="0"/>
        <w:spacing w:line="400" w:lineRule="exact"/>
        <w:ind w:firstLine="422" w:firstLineChars="200"/>
        <w:outlineLvl w:val="2"/>
        <w:rPr>
          <w:rFonts w:hint="eastAsia" w:ascii="宋体" w:hAnsi="宋体"/>
          <w:b/>
          <w:color w:val="auto"/>
          <w:szCs w:val="21"/>
        </w:rPr>
      </w:pPr>
      <w:bookmarkStart w:id="301" w:name="_Toc19354"/>
      <w:bookmarkStart w:id="302" w:name="_Toc31743"/>
      <w:bookmarkStart w:id="303" w:name="_Toc18363"/>
      <w:r>
        <w:rPr>
          <w:rFonts w:hint="eastAsia" w:ascii="宋体" w:hAnsi="宋体"/>
          <w:b/>
          <w:color w:val="auto"/>
          <w:szCs w:val="21"/>
        </w:rPr>
        <w:t>合同生效</w:t>
      </w:r>
      <w:bookmarkEnd w:id="301"/>
      <w:bookmarkEnd w:id="302"/>
      <w:bookmarkEnd w:id="303"/>
    </w:p>
    <w:p w14:paraId="22E4A3FE">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本合同自</w:t>
      </w:r>
      <w:r>
        <w:rPr>
          <w:rFonts w:hint="eastAsia" w:ascii="宋体" w:hAnsi="宋体"/>
          <w:color w:val="auto"/>
          <w:szCs w:val="21"/>
          <w:u w:val="single"/>
        </w:rPr>
        <w:t xml:space="preserve">                             </w:t>
      </w:r>
      <w:r>
        <w:rPr>
          <w:rFonts w:hint="eastAsia" w:ascii="宋体" w:hAnsi="宋体"/>
          <w:color w:val="auto"/>
          <w:szCs w:val="21"/>
        </w:rPr>
        <w:t>生效。</w:t>
      </w:r>
    </w:p>
    <w:p w14:paraId="7618D89F">
      <w:pPr>
        <w:numPr>
          <w:ilvl w:val="0"/>
          <w:numId w:val="5"/>
        </w:numPr>
        <w:adjustRightInd w:val="0"/>
        <w:snapToGrid w:val="0"/>
        <w:spacing w:line="400" w:lineRule="exact"/>
        <w:ind w:firstLine="422" w:firstLineChars="200"/>
        <w:outlineLvl w:val="2"/>
        <w:rPr>
          <w:rFonts w:hint="eastAsia" w:ascii="宋体" w:hAnsi="宋体"/>
          <w:b/>
          <w:color w:val="auto"/>
          <w:szCs w:val="21"/>
        </w:rPr>
      </w:pPr>
      <w:bookmarkStart w:id="304" w:name="_Toc10064"/>
      <w:bookmarkStart w:id="305" w:name="_Toc10293"/>
      <w:bookmarkStart w:id="306" w:name="_Toc19867"/>
      <w:r>
        <w:rPr>
          <w:rFonts w:hint="eastAsia" w:ascii="宋体" w:hAnsi="宋体"/>
          <w:b/>
          <w:color w:val="auto"/>
          <w:szCs w:val="21"/>
        </w:rPr>
        <w:t>合同份数</w:t>
      </w:r>
      <w:bookmarkEnd w:id="304"/>
      <w:bookmarkEnd w:id="305"/>
      <w:bookmarkEnd w:id="306"/>
    </w:p>
    <w:p w14:paraId="5BE922CC">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本合同一式</w:t>
      </w:r>
      <w:r>
        <w:rPr>
          <w:rFonts w:hint="eastAsia" w:ascii="宋体" w:hAnsi="宋体"/>
          <w:color w:val="auto"/>
          <w:szCs w:val="21"/>
          <w:u w:val="single"/>
        </w:rPr>
        <w:t xml:space="preserve">    </w:t>
      </w:r>
      <w:r>
        <w:rPr>
          <w:rFonts w:hint="eastAsia" w:ascii="宋体" w:hAnsi="宋体"/>
          <w:color w:val="auto"/>
          <w:szCs w:val="21"/>
        </w:rPr>
        <w:t>份，甲方执</w:t>
      </w:r>
      <w:r>
        <w:rPr>
          <w:rFonts w:hint="eastAsia" w:ascii="宋体" w:hAnsi="宋体"/>
          <w:color w:val="auto"/>
          <w:szCs w:val="21"/>
          <w:u w:val="single"/>
        </w:rPr>
        <w:t xml:space="preserve">    </w:t>
      </w:r>
      <w:r>
        <w:rPr>
          <w:rFonts w:hint="eastAsia" w:ascii="宋体" w:hAnsi="宋体"/>
          <w:color w:val="auto"/>
          <w:szCs w:val="21"/>
        </w:rPr>
        <w:t>份，乙方执</w:t>
      </w:r>
      <w:r>
        <w:rPr>
          <w:rFonts w:hint="eastAsia" w:ascii="宋体" w:hAnsi="宋体"/>
          <w:color w:val="auto"/>
          <w:szCs w:val="21"/>
          <w:u w:val="single"/>
        </w:rPr>
        <w:t xml:space="preserve">    </w:t>
      </w:r>
      <w:r>
        <w:rPr>
          <w:rFonts w:hint="eastAsia" w:ascii="宋体" w:hAnsi="宋体"/>
          <w:color w:val="auto"/>
          <w:szCs w:val="21"/>
        </w:rPr>
        <w:t>份，均具有同等法律效力。</w:t>
      </w:r>
    </w:p>
    <w:p w14:paraId="1EF912BA">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合同订立时间：</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6EFBCEF2">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合同订立地点：</w:t>
      </w:r>
      <w:r>
        <w:rPr>
          <w:rFonts w:hint="eastAsia" w:ascii="宋体" w:hAnsi="宋体"/>
          <w:color w:val="auto"/>
          <w:szCs w:val="21"/>
          <w:u w:val="single"/>
        </w:rPr>
        <w:t xml:space="preserve">                           </w:t>
      </w:r>
    </w:p>
    <w:p w14:paraId="17575F81">
      <w:pPr>
        <w:adjustRightInd w:val="0"/>
        <w:snapToGrid w:val="0"/>
        <w:spacing w:line="400" w:lineRule="exact"/>
        <w:ind w:firstLine="420" w:firstLineChars="200"/>
        <w:rPr>
          <w:color w:val="auto"/>
        </w:rPr>
      </w:pPr>
      <w:r>
        <w:rPr>
          <w:rFonts w:hint="eastAsia" w:ascii="宋体" w:hAnsi="宋体"/>
          <w:color w:val="auto"/>
          <w:szCs w:val="21"/>
        </w:rPr>
        <w:t>附件：具体标的及其技术要求和商务要求、联合协议、分包意向协议等。</w:t>
      </w:r>
    </w:p>
    <w:p w14:paraId="41D128C0">
      <w:pPr>
        <w:pStyle w:val="146"/>
        <w:spacing w:line="400" w:lineRule="exact"/>
        <w:rPr>
          <w:color w:val="auto"/>
        </w:rPr>
      </w:pPr>
    </w:p>
    <w:p w14:paraId="0AE39DA4">
      <w:pPr>
        <w:pStyle w:val="3"/>
        <w:spacing w:line="400" w:lineRule="exact"/>
        <w:rPr>
          <w:rFonts w:hint="eastAsia" w:ascii="宋体" w:hAnsi="宋体"/>
          <w:b w:val="0"/>
          <w:bCs w:val="0"/>
          <w:color w:val="auto"/>
          <w:sz w:val="21"/>
          <w:szCs w:val="21"/>
        </w:rPr>
      </w:pPr>
      <w:r>
        <w:rPr>
          <w:color w:val="auto"/>
          <w:lang w:val="en"/>
        </w:rPr>
        <w:t xml:space="preserve">   </w:t>
      </w:r>
    </w:p>
    <w:p w14:paraId="1C3A5551">
      <w:pPr>
        <w:rPr>
          <w:color w:val="auto"/>
        </w:rPr>
      </w:pPr>
      <w:r>
        <w:rPr>
          <w:rFonts w:hint="eastAsia"/>
          <w:color w:val="auto"/>
        </w:rPr>
        <w:br w:type="page"/>
      </w:r>
    </w:p>
    <w:p w14:paraId="20A50C9A">
      <w:pPr>
        <w:pStyle w:val="146"/>
        <w:rPr>
          <w:color w:val="auto"/>
        </w:rPr>
      </w:pP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59"/>
        <w:gridCol w:w="2627"/>
        <w:gridCol w:w="2155"/>
        <w:gridCol w:w="2305"/>
      </w:tblGrid>
      <w:tr w14:paraId="7416996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4686" w:type="dxa"/>
            <w:gridSpan w:val="2"/>
            <w:tcBorders>
              <w:bottom w:val="single" w:color="auto" w:sz="2" w:space="0"/>
              <w:right w:val="single" w:color="auto" w:sz="2" w:space="0"/>
            </w:tcBorders>
            <w:vAlign w:val="center"/>
          </w:tcPr>
          <w:p w14:paraId="6D09D40E">
            <w:pPr>
              <w:adjustRightInd w:val="0"/>
              <w:snapToGrid w:val="0"/>
              <w:spacing w:line="300" w:lineRule="exact"/>
              <w:jc w:val="center"/>
              <w:rPr>
                <w:color w:val="auto"/>
              </w:rPr>
            </w:pPr>
            <w:r>
              <w:rPr>
                <w:color w:val="auto"/>
                <w:szCs w:val="21"/>
              </w:rPr>
              <w:t>甲方</w:t>
            </w:r>
            <w:r>
              <w:rPr>
                <w:rFonts w:hint="eastAsia"/>
                <w:color w:val="auto"/>
                <w:szCs w:val="21"/>
              </w:rPr>
              <w:t>（采购人</w:t>
            </w:r>
            <w:r>
              <w:rPr>
                <w:rFonts w:hint="eastAsia" w:ascii="宋体" w:hAnsi="宋体"/>
                <w:color w:val="auto"/>
                <w:szCs w:val="21"/>
              </w:rPr>
              <w:t>、受采购人委托签订合同的单位或</w:t>
            </w:r>
            <w:r>
              <w:rPr>
                <w:rFonts w:hint="eastAsia"/>
                <w:color w:val="auto"/>
                <w:szCs w:val="21"/>
              </w:rPr>
              <w:t>采购文件约定的合同甲方）</w:t>
            </w:r>
          </w:p>
        </w:tc>
        <w:tc>
          <w:tcPr>
            <w:tcW w:w="4460" w:type="dxa"/>
            <w:gridSpan w:val="2"/>
            <w:tcBorders>
              <w:left w:val="single" w:color="auto" w:sz="2" w:space="0"/>
              <w:bottom w:val="single" w:color="auto" w:sz="2" w:space="0"/>
            </w:tcBorders>
            <w:vAlign w:val="center"/>
          </w:tcPr>
          <w:p w14:paraId="119479FB">
            <w:pPr>
              <w:adjustRightInd w:val="0"/>
              <w:snapToGrid w:val="0"/>
              <w:spacing w:line="300" w:lineRule="exact"/>
              <w:jc w:val="center"/>
              <w:rPr>
                <w:color w:val="auto"/>
              </w:rPr>
            </w:pPr>
            <w:r>
              <w:rPr>
                <w:color w:val="auto"/>
                <w:szCs w:val="21"/>
              </w:rPr>
              <w:t>乙方</w:t>
            </w:r>
            <w:r>
              <w:rPr>
                <w:rFonts w:hint="eastAsia"/>
                <w:color w:val="auto"/>
                <w:szCs w:val="21"/>
              </w:rPr>
              <w:t>（供应商）</w:t>
            </w:r>
          </w:p>
        </w:tc>
      </w:tr>
      <w:tr w14:paraId="028D936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2059" w:type="dxa"/>
            <w:tcBorders>
              <w:top w:val="single" w:color="auto" w:sz="2" w:space="0"/>
              <w:bottom w:val="single" w:color="auto" w:sz="2" w:space="0"/>
              <w:right w:val="single" w:color="auto" w:sz="2" w:space="0"/>
            </w:tcBorders>
            <w:vAlign w:val="center"/>
          </w:tcPr>
          <w:p w14:paraId="6767EAB6">
            <w:pPr>
              <w:adjustRightInd w:val="0"/>
              <w:snapToGrid w:val="0"/>
              <w:spacing w:line="300" w:lineRule="exact"/>
              <w:jc w:val="center"/>
              <w:rPr>
                <w:color w:val="auto"/>
                <w:szCs w:val="21"/>
              </w:rPr>
            </w:pPr>
            <w:r>
              <w:rPr>
                <w:color w:val="auto"/>
                <w:szCs w:val="21"/>
              </w:rPr>
              <w:t>单位名称</w:t>
            </w:r>
            <w:r>
              <w:rPr>
                <w:rFonts w:hint="eastAsia"/>
                <w:color w:val="auto"/>
                <w:szCs w:val="21"/>
              </w:rPr>
              <w:t>（公章或合同章）</w:t>
            </w:r>
          </w:p>
        </w:tc>
        <w:tc>
          <w:tcPr>
            <w:tcW w:w="2627" w:type="dxa"/>
            <w:tcBorders>
              <w:top w:val="single" w:color="auto" w:sz="2" w:space="0"/>
              <w:left w:val="single" w:color="auto" w:sz="2" w:space="0"/>
              <w:bottom w:val="single" w:color="auto" w:sz="2" w:space="0"/>
              <w:right w:val="single" w:color="auto" w:sz="2" w:space="0"/>
            </w:tcBorders>
            <w:vAlign w:val="center"/>
          </w:tcPr>
          <w:p w14:paraId="4B73C2FE">
            <w:pPr>
              <w:adjustRightInd w:val="0"/>
              <w:snapToGrid w:val="0"/>
              <w:spacing w:line="300" w:lineRule="exact"/>
              <w:jc w:val="center"/>
              <w:rPr>
                <w:color w:val="auto"/>
                <w:szCs w:val="21"/>
              </w:rPr>
            </w:pPr>
          </w:p>
        </w:tc>
        <w:tc>
          <w:tcPr>
            <w:tcW w:w="2155" w:type="dxa"/>
            <w:tcBorders>
              <w:top w:val="single" w:color="auto" w:sz="2" w:space="0"/>
              <w:left w:val="single" w:color="auto" w:sz="2" w:space="0"/>
              <w:bottom w:val="single" w:color="auto" w:sz="2" w:space="0"/>
              <w:right w:val="single" w:color="auto" w:sz="2" w:space="0"/>
            </w:tcBorders>
            <w:vAlign w:val="center"/>
          </w:tcPr>
          <w:p w14:paraId="3D7346C8">
            <w:pPr>
              <w:adjustRightInd w:val="0"/>
              <w:snapToGrid w:val="0"/>
              <w:spacing w:line="300" w:lineRule="exact"/>
              <w:jc w:val="center"/>
              <w:rPr>
                <w:color w:val="auto"/>
                <w:szCs w:val="21"/>
              </w:rPr>
            </w:pPr>
            <w:r>
              <w:rPr>
                <w:color w:val="auto"/>
                <w:szCs w:val="21"/>
              </w:rPr>
              <w:t>单位名称</w:t>
            </w:r>
            <w:r>
              <w:rPr>
                <w:rFonts w:hint="eastAsia"/>
                <w:color w:val="auto"/>
                <w:szCs w:val="21"/>
              </w:rPr>
              <w:t>（公章或合同章）</w:t>
            </w:r>
          </w:p>
        </w:tc>
        <w:tc>
          <w:tcPr>
            <w:tcW w:w="2305" w:type="dxa"/>
            <w:tcBorders>
              <w:top w:val="single" w:color="auto" w:sz="2" w:space="0"/>
              <w:left w:val="single" w:color="auto" w:sz="2" w:space="0"/>
              <w:bottom w:val="single" w:color="auto" w:sz="2" w:space="0"/>
            </w:tcBorders>
            <w:vAlign w:val="center"/>
          </w:tcPr>
          <w:p w14:paraId="63F7C424">
            <w:pPr>
              <w:adjustRightInd w:val="0"/>
              <w:snapToGrid w:val="0"/>
              <w:spacing w:line="300" w:lineRule="exact"/>
              <w:jc w:val="center"/>
              <w:rPr>
                <w:color w:val="auto"/>
                <w:spacing w:val="20"/>
                <w:szCs w:val="21"/>
              </w:rPr>
            </w:pPr>
          </w:p>
        </w:tc>
      </w:tr>
      <w:tr w14:paraId="4730F1E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2059" w:type="dxa"/>
            <w:vMerge w:val="restart"/>
            <w:tcBorders>
              <w:top w:val="single" w:color="auto" w:sz="2" w:space="0"/>
              <w:right w:val="single" w:color="auto" w:sz="2" w:space="0"/>
            </w:tcBorders>
            <w:vAlign w:val="center"/>
          </w:tcPr>
          <w:p w14:paraId="4063EFBE">
            <w:pPr>
              <w:adjustRightInd w:val="0"/>
              <w:snapToGrid w:val="0"/>
              <w:spacing w:line="300" w:lineRule="exact"/>
              <w:jc w:val="center"/>
              <w:rPr>
                <w:color w:val="auto"/>
                <w:szCs w:val="21"/>
              </w:rPr>
            </w:pPr>
            <w:r>
              <w:rPr>
                <w:color w:val="auto"/>
                <w:szCs w:val="21"/>
              </w:rPr>
              <w:t>法定代表人</w:t>
            </w:r>
          </w:p>
          <w:p w14:paraId="61863F9A">
            <w:pPr>
              <w:adjustRightInd w:val="0"/>
              <w:snapToGrid w:val="0"/>
              <w:spacing w:line="300" w:lineRule="exact"/>
              <w:ind w:firstLine="100" w:firstLineChars="48"/>
              <w:jc w:val="center"/>
              <w:rPr>
                <w:color w:val="auto"/>
                <w:szCs w:val="21"/>
              </w:rPr>
            </w:pPr>
            <w:r>
              <w:rPr>
                <w:rFonts w:hint="eastAsia"/>
                <w:color w:val="auto"/>
                <w:szCs w:val="21"/>
              </w:rPr>
              <w:t>或其</w:t>
            </w:r>
            <w:r>
              <w:rPr>
                <w:color w:val="auto"/>
                <w:szCs w:val="21"/>
              </w:rPr>
              <w:t>委托代理人</w:t>
            </w:r>
            <w:r>
              <w:rPr>
                <w:rFonts w:hint="eastAsia"/>
                <w:color w:val="auto"/>
                <w:szCs w:val="21"/>
              </w:rPr>
              <w:t>（签章）</w:t>
            </w:r>
          </w:p>
        </w:tc>
        <w:tc>
          <w:tcPr>
            <w:tcW w:w="2627" w:type="dxa"/>
            <w:vMerge w:val="restart"/>
            <w:tcBorders>
              <w:top w:val="single" w:color="auto" w:sz="2" w:space="0"/>
              <w:left w:val="single" w:color="auto" w:sz="2" w:space="0"/>
              <w:right w:val="single" w:color="auto" w:sz="2" w:space="0"/>
            </w:tcBorders>
            <w:vAlign w:val="center"/>
          </w:tcPr>
          <w:p w14:paraId="31EB6D01">
            <w:pPr>
              <w:adjustRightInd w:val="0"/>
              <w:snapToGrid w:val="0"/>
              <w:spacing w:line="300" w:lineRule="exact"/>
              <w:jc w:val="center"/>
              <w:rPr>
                <w:color w:val="auto"/>
                <w:szCs w:val="21"/>
              </w:rPr>
            </w:pPr>
          </w:p>
        </w:tc>
        <w:tc>
          <w:tcPr>
            <w:tcW w:w="2155" w:type="dxa"/>
            <w:tcBorders>
              <w:top w:val="single" w:color="auto" w:sz="2" w:space="0"/>
              <w:left w:val="single" w:color="auto" w:sz="2" w:space="0"/>
              <w:right w:val="single" w:color="auto" w:sz="2" w:space="0"/>
            </w:tcBorders>
            <w:vAlign w:val="center"/>
          </w:tcPr>
          <w:p w14:paraId="2D1CC87D">
            <w:pPr>
              <w:adjustRightInd w:val="0"/>
              <w:snapToGrid w:val="0"/>
              <w:spacing w:line="300" w:lineRule="exact"/>
              <w:jc w:val="center"/>
              <w:rPr>
                <w:color w:val="auto"/>
                <w:szCs w:val="21"/>
              </w:rPr>
            </w:pPr>
            <w:r>
              <w:rPr>
                <w:color w:val="auto"/>
                <w:szCs w:val="21"/>
              </w:rPr>
              <w:t>法定代表人</w:t>
            </w:r>
          </w:p>
          <w:p w14:paraId="4458DF55">
            <w:pPr>
              <w:adjustRightInd w:val="0"/>
              <w:snapToGrid w:val="0"/>
              <w:spacing w:line="300" w:lineRule="exact"/>
              <w:jc w:val="center"/>
              <w:rPr>
                <w:color w:val="auto"/>
                <w:szCs w:val="21"/>
              </w:rPr>
            </w:pPr>
            <w:r>
              <w:rPr>
                <w:rFonts w:hint="eastAsia"/>
                <w:color w:val="auto"/>
                <w:szCs w:val="21"/>
              </w:rPr>
              <w:t>或其</w:t>
            </w:r>
            <w:r>
              <w:rPr>
                <w:color w:val="auto"/>
                <w:szCs w:val="21"/>
              </w:rPr>
              <w:t>委托代理人</w:t>
            </w:r>
            <w:r>
              <w:rPr>
                <w:rFonts w:hint="eastAsia"/>
                <w:color w:val="auto"/>
                <w:szCs w:val="21"/>
              </w:rPr>
              <w:t>（签章）</w:t>
            </w:r>
          </w:p>
        </w:tc>
        <w:tc>
          <w:tcPr>
            <w:tcW w:w="2305" w:type="dxa"/>
            <w:tcBorders>
              <w:top w:val="single" w:color="auto" w:sz="2" w:space="0"/>
              <w:left w:val="single" w:color="auto" w:sz="2" w:space="0"/>
              <w:bottom w:val="single" w:color="auto" w:sz="2" w:space="0"/>
            </w:tcBorders>
            <w:vAlign w:val="center"/>
          </w:tcPr>
          <w:p w14:paraId="26E701E6">
            <w:pPr>
              <w:adjustRightInd w:val="0"/>
              <w:snapToGrid w:val="0"/>
              <w:spacing w:line="300" w:lineRule="exact"/>
              <w:jc w:val="center"/>
              <w:rPr>
                <w:color w:val="auto"/>
                <w:szCs w:val="21"/>
              </w:rPr>
            </w:pPr>
          </w:p>
        </w:tc>
      </w:tr>
      <w:tr w14:paraId="0E4E0CB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59" w:type="dxa"/>
            <w:vMerge w:val="continue"/>
            <w:tcBorders>
              <w:bottom w:val="single" w:color="auto" w:sz="2" w:space="0"/>
              <w:right w:val="single" w:color="auto" w:sz="2" w:space="0"/>
            </w:tcBorders>
            <w:vAlign w:val="center"/>
          </w:tcPr>
          <w:p w14:paraId="4E9F3C89">
            <w:pPr>
              <w:adjustRightInd w:val="0"/>
              <w:snapToGrid w:val="0"/>
              <w:spacing w:line="300" w:lineRule="exact"/>
              <w:jc w:val="center"/>
              <w:rPr>
                <w:color w:val="auto"/>
                <w:szCs w:val="21"/>
              </w:rPr>
            </w:pPr>
          </w:p>
        </w:tc>
        <w:tc>
          <w:tcPr>
            <w:tcW w:w="2627" w:type="dxa"/>
            <w:vMerge w:val="continue"/>
            <w:tcBorders>
              <w:left w:val="single" w:color="auto" w:sz="2" w:space="0"/>
              <w:bottom w:val="single" w:color="auto" w:sz="2" w:space="0"/>
              <w:right w:val="single" w:color="auto" w:sz="2" w:space="0"/>
            </w:tcBorders>
            <w:vAlign w:val="center"/>
          </w:tcPr>
          <w:p w14:paraId="312D9D79">
            <w:pPr>
              <w:adjustRightInd w:val="0"/>
              <w:snapToGrid w:val="0"/>
              <w:spacing w:line="300" w:lineRule="exact"/>
              <w:jc w:val="center"/>
              <w:rPr>
                <w:color w:val="auto"/>
                <w:szCs w:val="21"/>
              </w:rPr>
            </w:pPr>
          </w:p>
        </w:tc>
        <w:tc>
          <w:tcPr>
            <w:tcW w:w="2155" w:type="dxa"/>
            <w:tcBorders>
              <w:top w:val="single" w:color="auto" w:sz="2" w:space="0"/>
              <w:left w:val="single" w:color="auto" w:sz="2" w:space="0"/>
              <w:bottom w:val="single" w:color="auto" w:sz="2" w:space="0"/>
              <w:right w:val="single" w:color="auto" w:sz="2" w:space="0"/>
            </w:tcBorders>
            <w:vAlign w:val="center"/>
          </w:tcPr>
          <w:p w14:paraId="52901E70">
            <w:pPr>
              <w:adjustRightInd w:val="0"/>
              <w:snapToGrid w:val="0"/>
              <w:spacing w:line="300" w:lineRule="exact"/>
              <w:jc w:val="center"/>
              <w:rPr>
                <w:color w:val="auto"/>
                <w:szCs w:val="21"/>
              </w:rPr>
            </w:pPr>
            <w:r>
              <w:rPr>
                <w:rFonts w:hint="eastAsia"/>
                <w:color w:val="auto"/>
                <w:szCs w:val="21"/>
              </w:rPr>
              <w:t>拥有者性别</w:t>
            </w:r>
          </w:p>
        </w:tc>
        <w:tc>
          <w:tcPr>
            <w:tcW w:w="2305" w:type="dxa"/>
            <w:tcBorders>
              <w:top w:val="single" w:color="auto" w:sz="2" w:space="0"/>
              <w:left w:val="single" w:color="auto" w:sz="2" w:space="0"/>
              <w:bottom w:val="single" w:color="auto" w:sz="2" w:space="0"/>
            </w:tcBorders>
            <w:vAlign w:val="center"/>
          </w:tcPr>
          <w:p w14:paraId="653C06F9">
            <w:pPr>
              <w:adjustRightInd w:val="0"/>
              <w:snapToGrid w:val="0"/>
              <w:spacing w:line="300" w:lineRule="exact"/>
              <w:jc w:val="center"/>
              <w:rPr>
                <w:color w:val="auto"/>
                <w:spacing w:val="20"/>
                <w:szCs w:val="21"/>
              </w:rPr>
            </w:pPr>
          </w:p>
        </w:tc>
      </w:tr>
      <w:tr w14:paraId="098E603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59" w:type="dxa"/>
            <w:tcBorders>
              <w:top w:val="single" w:color="auto" w:sz="2" w:space="0"/>
              <w:bottom w:val="single" w:color="auto" w:sz="2" w:space="0"/>
              <w:right w:val="single" w:color="auto" w:sz="2" w:space="0"/>
            </w:tcBorders>
            <w:vAlign w:val="center"/>
          </w:tcPr>
          <w:p w14:paraId="707CD954">
            <w:pPr>
              <w:adjustRightInd w:val="0"/>
              <w:snapToGrid w:val="0"/>
              <w:spacing w:line="300" w:lineRule="exact"/>
              <w:jc w:val="center"/>
              <w:rPr>
                <w:color w:val="auto"/>
                <w:szCs w:val="21"/>
              </w:rPr>
            </w:pPr>
            <w:r>
              <w:rPr>
                <w:rFonts w:hint="eastAsia"/>
                <w:color w:val="auto"/>
                <w:szCs w:val="21"/>
              </w:rPr>
              <w:t>住  所</w:t>
            </w:r>
          </w:p>
        </w:tc>
        <w:tc>
          <w:tcPr>
            <w:tcW w:w="2627" w:type="dxa"/>
            <w:tcBorders>
              <w:top w:val="single" w:color="auto" w:sz="2" w:space="0"/>
              <w:left w:val="single" w:color="auto" w:sz="2" w:space="0"/>
              <w:bottom w:val="single" w:color="auto" w:sz="2" w:space="0"/>
              <w:right w:val="single" w:color="auto" w:sz="2" w:space="0"/>
            </w:tcBorders>
            <w:vAlign w:val="center"/>
          </w:tcPr>
          <w:p w14:paraId="22412084">
            <w:pPr>
              <w:adjustRightInd w:val="0"/>
              <w:snapToGrid w:val="0"/>
              <w:spacing w:line="300" w:lineRule="exact"/>
              <w:jc w:val="center"/>
              <w:rPr>
                <w:color w:val="auto"/>
                <w:szCs w:val="21"/>
              </w:rPr>
            </w:pPr>
          </w:p>
        </w:tc>
        <w:tc>
          <w:tcPr>
            <w:tcW w:w="2155" w:type="dxa"/>
            <w:tcBorders>
              <w:top w:val="single" w:color="auto" w:sz="2" w:space="0"/>
              <w:left w:val="single" w:color="auto" w:sz="2" w:space="0"/>
              <w:bottom w:val="single" w:color="auto" w:sz="2" w:space="0"/>
              <w:right w:val="single" w:color="auto" w:sz="2" w:space="0"/>
            </w:tcBorders>
            <w:vAlign w:val="center"/>
          </w:tcPr>
          <w:p w14:paraId="7FACD9AF">
            <w:pPr>
              <w:adjustRightInd w:val="0"/>
              <w:snapToGrid w:val="0"/>
              <w:spacing w:line="300" w:lineRule="exact"/>
              <w:jc w:val="center"/>
              <w:rPr>
                <w:color w:val="auto"/>
                <w:szCs w:val="21"/>
              </w:rPr>
            </w:pPr>
            <w:r>
              <w:rPr>
                <w:rFonts w:hint="eastAsia"/>
                <w:color w:val="auto"/>
                <w:szCs w:val="21"/>
              </w:rPr>
              <w:t>住  所</w:t>
            </w:r>
          </w:p>
        </w:tc>
        <w:tc>
          <w:tcPr>
            <w:tcW w:w="2305" w:type="dxa"/>
            <w:tcBorders>
              <w:top w:val="single" w:color="auto" w:sz="2" w:space="0"/>
              <w:left w:val="single" w:color="auto" w:sz="2" w:space="0"/>
              <w:bottom w:val="single" w:color="auto" w:sz="2" w:space="0"/>
            </w:tcBorders>
            <w:vAlign w:val="center"/>
          </w:tcPr>
          <w:p w14:paraId="7150AD88">
            <w:pPr>
              <w:adjustRightInd w:val="0"/>
              <w:snapToGrid w:val="0"/>
              <w:spacing w:line="300" w:lineRule="exact"/>
              <w:jc w:val="center"/>
              <w:rPr>
                <w:color w:val="auto"/>
                <w:spacing w:val="20"/>
                <w:szCs w:val="21"/>
              </w:rPr>
            </w:pPr>
          </w:p>
        </w:tc>
      </w:tr>
      <w:tr w14:paraId="1D8079A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59" w:type="dxa"/>
            <w:tcBorders>
              <w:top w:val="single" w:color="auto" w:sz="2" w:space="0"/>
              <w:bottom w:val="single" w:color="auto" w:sz="2" w:space="0"/>
              <w:right w:val="single" w:color="auto" w:sz="2" w:space="0"/>
            </w:tcBorders>
            <w:vAlign w:val="center"/>
          </w:tcPr>
          <w:p w14:paraId="5CF2A767">
            <w:pPr>
              <w:adjustRightInd w:val="0"/>
              <w:snapToGrid w:val="0"/>
              <w:spacing w:line="300" w:lineRule="exact"/>
              <w:jc w:val="center"/>
              <w:rPr>
                <w:color w:val="auto"/>
                <w:szCs w:val="21"/>
              </w:rPr>
            </w:pPr>
            <w:r>
              <w:rPr>
                <w:color w:val="auto"/>
                <w:szCs w:val="21"/>
              </w:rPr>
              <w:t>联 系 人</w:t>
            </w:r>
          </w:p>
        </w:tc>
        <w:tc>
          <w:tcPr>
            <w:tcW w:w="2627" w:type="dxa"/>
            <w:tcBorders>
              <w:top w:val="single" w:color="auto" w:sz="2" w:space="0"/>
              <w:left w:val="single" w:color="auto" w:sz="2" w:space="0"/>
              <w:bottom w:val="single" w:color="auto" w:sz="2" w:space="0"/>
              <w:right w:val="single" w:color="auto" w:sz="2" w:space="0"/>
            </w:tcBorders>
            <w:vAlign w:val="center"/>
          </w:tcPr>
          <w:p w14:paraId="4A98799C">
            <w:pPr>
              <w:adjustRightInd w:val="0"/>
              <w:snapToGrid w:val="0"/>
              <w:spacing w:line="300" w:lineRule="exact"/>
              <w:jc w:val="center"/>
              <w:rPr>
                <w:color w:val="auto"/>
                <w:szCs w:val="21"/>
              </w:rPr>
            </w:pPr>
          </w:p>
        </w:tc>
        <w:tc>
          <w:tcPr>
            <w:tcW w:w="2155" w:type="dxa"/>
            <w:tcBorders>
              <w:top w:val="single" w:color="auto" w:sz="2" w:space="0"/>
              <w:left w:val="single" w:color="auto" w:sz="2" w:space="0"/>
              <w:bottom w:val="single" w:color="auto" w:sz="2" w:space="0"/>
              <w:right w:val="single" w:color="auto" w:sz="2" w:space="0"/>
            </w:tcBorders>
            <w:vAlign w:val="center"/>
          </w:tcPr>
          <w:p w14:paraId="3A4B2231">
            <w:pPr>
              <w:adjustRightInd w:val="0"/>
              <w:snapToGrid w:val="0"/>
              <w:spacing w:line="300" w:lineRule="exact"/>
              <w:jc w:val="center"/>
              <w:rPr>
                <w:color w:val="auto"/>
                <w:szCs w:val="21"/>
              </w:rPr>
            </w:pPr>
            <w:r>
              <w:rPr>
                <w:color w:val="auto"/>
                <w:szCs w:val="21"/>
              </w:rPr>
              <w:t>联 系 人</w:t>
            </w:r>
          </w:p>
        </w:tc>
        <w:tc>
          <w:tcPr>
            <w:tcW w:w="2305" w:type="dxa"/>
            <w:tcBorders>
              <w:top w:val="single" w:color="auto" w:sz="2" w:space="0"/>
              <w:left w:val="single" w:color="auto" w:sz="2" w:space="0"/>
              <w:bottom w:val="single" w:color="auto" w:sz="2" w:space="0"/>
            </w:tcBorders>
            <w:vAlign w:val="center"/>
          </w:tcPr>
          <w:p w14:paraId="167A83C9">
            <w:pPr>
              <w:adjustRightInd w:val="0"/>
              <w:snapToGrid w:val="0"/>
              <w:spacing w:line="300" w:lineRule="exact"/>
              <w:jc w:val="center"/>
              <w:rPr>
                <w:color w:val="auto"/>
                <w:spacing w:val="20"/>
                <w:szCs w:val="21"/>
              </w:rPr>
            </w:pPr>
          </w:p>
        </w:tc>
      </w:tr>
      <w:tr w14:paraId="3B4CA8E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59" w:type="dxa"/>
            <w:tcBorders>
              <w:top w:val="single" w:color="auto" w:sz="2" w:space="0"/>
              <w:bottom w:val="single" w:color="auto" w:sz="2" w:space="0"/>
              <w:right w:val="single" w:color="auto" w:sz="2" w:space="0"/>
            </w:tcBorders>
            <w:vAlign w:val="center"/>
          </w:tcPr>
          <w:p w14:paraId="6FE50E05">
            <w:pPr>
              <w:adjustRightInd w:val="0"/>
              <w:snapToGrid w:val="0"/>
              <w:spacing w:line="300" w:lineRule="exact"/>
              <w:jc w:val="center"/>
              <w:rPr>
                <w:color w:val="auto"/>
                <w:szCs w:val="21"/>
              </w:rPr>
            </w:pPr>
            <w:r>
              <w:rPr>
                <w:color w:val="auto"/>
                <w:szCs w:val="21"/>
              </w:rPr>
              <w:t>联系电话</w:t>
            </w:r>
          </w:p>
        </w:tc>
        <w:tc>
          <w:tcPr>
            <w:tcW w:w="2627" w:type="dxa"/>
            <w:tcBorders>
              <w:top w:val="single" w:color="auto" w:sz="2" w:space="0"/>
              <w:left w:val="single" w:color="auto" w:sz="2" w:space="0"/>
              <w:bottom w:val="single" w:color="auto" w:sz="2" w:space="0"/>
              <w:right w:val="single" w:color="auto" w:sz="2" w:space="0"/>
            </w:tcBorders>
            <w:vAlign w:val="center"/>
          </w:tcPr>
          <w:p w14:paraId="1C0C3320">
            <w:pPr>
              <w:adjustRightInd w:val="0"/>
              <w:snapToGrid w:val="0"/>
              <w:spacing w:line="300" w:lineRule="exact"/>
              <w:jc w:val="center"/>
              <w:rPr>
                <w:color w:val="auto"/>
                <w:szCs w:val="21"/>
              </w:rPr>
            </w:pPr>
          </w:p>
        </w:tc>
        <w:tc>
          <w:tcPr>
            <w:tcW w:w="2155" w:type="dxa"/>
            <w:tcBorders>
              <w:top w:val="single" w:color="auto" w:sz="2" w:space="0"/>
              <w:left w:val="single" w:color="auto" w:sz="2" w:space="0"/>
              <w:bottom w:val="single" w:color="auto" w:sz="2" w:space="0"/>
              <w:right w:val="single" w:color="auto" w:sz="2" w:space="0"/>
            </w:tcBorders>
            <w:vAlign w:val="center"/>
          </w:tcPr>
          <w:p w14:paraId="1818C09E">
            <w:pPr>
              <w:adjustRightInd w:val="0"/>
              <w:snapToGrid w:val="0"/>
              <w:spacing w:line="300" w:lineRule="exact"/>
              <w:jc w:val="center"/>
              <w:rPr>
                <w:color w:val="auto"/>
                <w:szCs w:val="21"/>
              </w:rPr>
            </w:pPr>
            <w:r>
              <w:rPr>
                <w:color w:val="auto"/>
                <w:szCs w:val="21"/>
              </w:rPr>
              <w:t>联系电话</w:t>
            </w:r>
          </w:p>
        </w:tc>
        <w:tc>
          <w:tcPr>
            <w:tcW w:w="2305" w:type="dxa"/>
            <w:tcBorders>
              <w:top w:val="single" w:color="auto" w:sz="2" w:space="0"/>
              <w:left w:val="single" w:color="auto" w:sz="2" w:space="0"/>
              <w:bottom w:val="single" w:color="auto" w:sz="2" w:space="0"/>
            </w:tcBorders>
            <w:vAlign w:val="center"/>
          </w:tcPr>
          <w:p w14:paraId="5433B5EE">
            <w:pPr>
              <w:adjustRightInd w:val="0"/>
              <w:snapToGrid w:val="0"/>
              <w:spacing w:line="300" w:lineRule="exact"/>
              <w:jc w:val="center"/>
              <w:rPr>
                <w:color w:val="auto"/>
                <w:spacing w:val="20"/>
                <w:szCs w:val="21"/>
              </w:rPr>
            </w:pPr>
          </w:p>
        </w:tc>
      </w:tr>
      <w:tr w14:paraId="1C31314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59" w:type="dxa"/>
            <w:tcBorders>
              <w:top w:val="single" w:color="auto" w:sz="2" w:space="0"/>
              <w:bottom w:val="single" w:color="auto" w:sz="2" w:space="0"/>
              <w:right w:val="single" w:color="auto" w:sz="2" w:space="0"/>
            </w:tcBorders>
            <w:vAlign w:val="center"/>
          </w:tcPr>
          <w:p w14:paraId="3DC275D1">
            <w:pPr>
              <w:adjustRightInd w:val="0"/>
              <w:snapToGrid w:val="0"/>
              <w:spacing w:line="300" w:lineRule="exact"/>
              <w:jc w:val="center"/>
              <w:rPr>
                <w:color w:val="auto"/>
                <w:szCs w:val="21"/>
              </w:rPr>
            </w:pPr>
            <w:r>
              <w:rPr>
                <w:rFonts w:hint="eastAsia"/>
                <w:color w:val="auto"/>
                <w:szCs w:val="21"/>
              </w:rPr>
              <w:t>通信地址</w:t>
            </w:r>
          </w:p>
        </w:tc>
        <w:tc>
          <w:tcPr>
            <w:tcW w:w="2627" w:type="dxa"/>
            <w:tcBorders>
              <w:top w:val="single" w:color="auto" w:sz="2" w:space="0"/>
              <w:left w:val="single" w:color="auto" w:sz="2" w:space="0"/>
              <w:bottom w:val="single" w:color="auto" w:sz="2" w:space="0"/>
              <w:right w:val="single" w:color="auto" w:sz="2" w:space="0"/>
            </w:tcBorders>
            <w:vAlign w:val="center"/>
          </w:tcPr>
          <w:p w14:paraId="75F9225B">
            <w:pPr>
              <w:adjustRightInd w:val="0"/>
              <w:snapToGrid w:val="0"/>
              <w:spacing w:line="300" w:lineRule="exact"/>
              <w:jc w:val="center"/>
              <w:rPr>
                <w:color w:val="auto"/>
                <w:szCs w:val="21"/>
              </w:rPr>
            </w:pPr>
          </w:p>
        </w:tc>
        <w:tc>
          <w:tcPr>
            <w:tcW w:w="2155" w:type="dxa"/>
            <w:tcBorders>
              <w:top w:val="single" w:color="auto" w:sz="2" w:space="0"/>
              <w:left w:val="single" w:color="auto" w:sz="2" w:space="0"/>
              <w:bottom w:val="single" w:color="auto" w:sz="2" w:space="0"/>
              <w:right w:val="single" w:color="auto" w:sz="2" w:space="0"/>
            </w:tcBorders>
            <w:vAlign w:val="center"/>
          </w:tcPr>
          <w:p w14:paraId="7DE3C32F">
            <w:pPr>
              <w:adjustRightInd w:val="0"/>
              <w:snapToGrid w:val="0"/>
              <w:spacing w:line="300" w:lineRule="exact"/>
              <w:jc w:val="center"/>
              <w:rPr>
                <w:color w:val="auto"/>
                <w:szCs w:val="21"/>
              </w:rPr>
            </w:pPr>
            <w:r>
              <w:rPr>
                <w:rFonts w:hint="eastAsia"/>
                <w:color w:val="auto"/>
                <w:szCs w:val="21"/>
              </w:rPr>
              <w:t>通信地址</w:t>
            </w:r>
          </w:p>
        </w:tc>
        <w:tc>
          <w:tcPr>
            <w:tcW w:w="2305" w:type="dxa"/>
            <w:tcBorders>
              <w:top w:val="single" w:color="auto" w:sz="2" w:space="0"/>
              <w:left w:val="single" w:color="auto" w:sz="2" w:space="0"/>
              <w:bottom w:val="single" w:color="auto" w:sz="2" w:space="0"/>
            </w:tcBorders>
            <w:vAlign w:val="center"/>
          </w:tcPr>
          <w:p w14:paraId="3D1FB10B">
            <w:pPr>
              <w:adjustRightInd w:val="0"/>
              <w:snapToGrid w:val="0"/>
              <w:spacing w:line="300" w:lineRule="exact"/>
              <w:jc w:val="center"/>
              <w:rPr>
                <w:color w:val="auto"/>
                <w:spacing w:val="20"/>
                <w:szCs w:val="21"/>
              </w:rPr>
            </w:pPr>
          </w:p>
        </w:tc>
      </w:tr>
      <w:tr w14:paraId="4975A9F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59" w:type="dxa"/>
            <w:tcBorders>
              <w:top w:val="single" w:color="auto" w:sz="2" w:space="0"/>
              <w:bottom w:val="single" w:color="auto" w:sz="2" w:space="0"/>
              <w:right w:val="single" w:color="auto" w:sz="2" w:space="0"/>
            </w:tcBorders>
            <w:vAlign w:val="center"/>
          </w:tcPr>
          <w:p w14:paraId="372FF5E7">
            <w:pPr>
              <w:adjustRightInd w:val="0"/>
              <w:snapToGrid w:val="0"/>
              <w:spacing w:line="300" w:lineRule="exact"/>
              <w:jc w:val="center"/>
              <w:rPr>
                <w:color w:val="auto"/>
                <w:szCs w:val="21"/>
              </w:rPr>
            </w:pPr>
            <w:r>
              <w:rPr>
                <w:color w:val="auto"/>
                <w:szCs w:val="21"/>
              </w:rPr>
              <w:t>邮政编码</w:t>
            </w:r>
          </w:p>
        </w:tc>
        <w:tc>
          <w:tcPr>
            <w:tcW w:w="2627" w:type="dxa"/>
            <w:tcBorders>
              <w:top w:val="single" w:color="auto" w:sz="2" w:space="0"/>
              <w:left w:val="single" w:color="auto" w:sz="2" w:space="0"/>
              <w:bottom w:val="single" w:color="auto" w:sz="2" w:space="0"/>
              <w:right w:val="single" w:color="auto" w:sz="2" w:space="0"/>
            </w:tcBorders>
            <w:vAlign w:val="center"/>
          </w:tcPr>
          <w:p w14:paraId="4132F26E">
            <w:pPr>
              <w:adjustRightInd w:val="0"/>
              <w:snapToGrid w:val="0"/>
              <w:spacing w:line="300" w:lineRule="exact"/>
              <w:jc w:val="center"/>
              <w:rPr>
                <w:color w:val="auto"/>
                <w:szCs w:val="21"/>
              </w:rPr>
            </w:pPr>
          </w:p>
        </w:tc>
        <w:tc>
          <w:tcPr>
            <w:tcW w:w="2155" w:type="dxa"/>
            <w:tcBorders>
              <w:top w:val="single" w:color="auto" w:sz="2" w:space="0"/>
              <w:left w:val="single" w:color="auto" w:sz="2" w:space="0"/>
              <w:bottom w:val="single" w:color="auto" w:sz="2" w:space="0"/>
              <w:right w:val="single" w:color="auto" w:sz="2" w:space="0"/>
            </w:tcBorders>
            <w:vAlign w:val="center"/>
          </w:tcPr>
          <w:p w14:paraId="0D4689A2">
            <w:pPr>
              <w:adjustRightInd w:val="0"/>
              <w:snapToGrid w:val="0"/>
              <w:spacing w:line="300" w:lineRule="exact"/>
              <w:jc w:val="center"/>
              <w:rPr>
                <w:color w:val="auto"/>
                <w:szCs w:val="21"/>
              </w:rPr>
            </w:pPr>
            <w:r>
              <w:rPr>
                <w:color w:val="auto"/>
                <w:szCs w:val="21"/>
              </w:rPr>
              <w:t>邮政编码</w:t>
            </w:r>
          </w:p>
        </w:tc>
        <w:tc>
          <w:tcPr>
            <w:tcW w:w="2305" w:type="dxa"/>
            <w:tcBorders>
              <w:top w:val="single" w:color="auto" w:sz="2" w:space="0"/>
              <w:left w:val="single" w:color="auto" w:sz="2" w:space="0"/>
              <w:bottom w:val="single" w:color="auto" w:sz="2" w:space="0"/>
            </w:tcBorders>
            <w:vAlign w:val="center"/>
          </w:tcPr>
          <w:p w14:paraId="7113A2C4">
            <w:pPr>
              <w:adjustRightInd w:val="0"/>
              <w:snapToGrid w:val="0"/>
              <w:spacing w:line="300" w:lineRule="exact"/>
              <w:jc w:val="center"/>
              <w:rPr>
                <w:color w:val="auto"/>
                <w:spacing w:val="20"/>
                <w:szCs w:val="21"/>
              </w:rPr>
            </w:pPr>
          </w:p>
        </w:tc>
      </w:tr>
      <w:tr w14:paraId="7557C57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59" w:type="dxa"/>
            <w:tcBorders>
              <w:top w:val="single" w:color="auto" w:sz="2" w:space="0"/>
              <w:bottom w:val="single" w:color="auto" w:sz="2" w:space="0"/>
              <w:right w:val="single" w:color="auto" w:sz="2" w:space="0"/>
            </w:tcBorders>
            <w:vAlign w:val="center"/>
          </w:tcPr>
          <w:p w14:paraId="206D52B4">
            <w:pPr>
              <w:adjustRightInd w:val="0"/>
              <w:snapToGrid w:val="0"/>
              <w:spacing w:line="300" w:lineRule="exact"/>
              <w:jc w:val="center"/>
              <w:rPr>
                <w:color w:val="auto"/>
                <w:szCs w:val="21"/>
              </w:rPr>
            </w:pPr>
            <w:r>
              <w:rPr>
                <w:rFonts w:hint="eastAsia"/>
                <w:color w:val="auto"/>
                <w:szCs w:val="21"/>
              </w:rPr>
              <w:t>电子邮箱</w:t>
            </w:r>
          </w:p>
        </w:tc>
        <w:tc>
          <w:tcPr>
            <w:tcW w:w="2627" w:type="dxa"/>
            <w:tcBorders>
              <w:top w:val="single" w:color="auto" w:sz="2" w:space="0"/>
              <w:left w:val="single" w:color="auto" w:sz="2" w:space="0"/>
              <w:bottom w:val="single" w:color="auto" w:sz="2" w:space="0"/>
              <w:right w:val="single" w:color="auto" w:sz="2" w:space="0"/>
            </w:tcBorders>
            <w:vAlign w:val="center"/>
          </w:tcPr>
          <w:p w14:paraId="705EAFB0">
            <w:pPr>
              <w:adjustRightInd w:val="0"/>
              <w:snapToGrid w:val="0"/>
              <w:spacing w:line="300" w:lineRule="exact"/>
              <w:jc w:val="center"/>
              <w:rPr>
                <w:color w:val="auto"/>
                <w:szCs w:val="21"/>
              </w:rPr>
            </w:pPr>
          </w:p>
        </w:tc>
        <w:tc>
          <w:tcPr>
            <w:tcW w:w="2155" w:type="dxa"/>
            <w:tcBorders>
              <w:top w:val="single" w:color="auto" w:sz="2" w:space="0"/>
              <w:left w:val="single" w:color="auto" w:sz="2" w:space="0"/>
              <w:bottom w:val="single" w:color="auto" w:sz="2" w:space="0"/>
              <w:right w:val="single" w:color="auto" w:sz="2" w:space="0"/>
            </w:tcBorders>
            <w:vAlign w:val="center"/>
          </w:tcPr>
          <w:p w14:paraId="6EB1D00A">
            <w:pPr>
              <w:adjustRightInd w:val="0"/>
              <w:snapToGrid w:val="0"/>
              <w:spacing w:line="300" w:lineRule="exact"/>
              <w:jc w:val="center"/>
              <w:rPr>
                <w:color w:val="auto"/>
                <w:szCs w:val="21"/>
              </w:rPr>
            </w:pPr>
            <w:r>
              <w:rPr>
                <w:rFonts w:hint="eastAsia"/>
                <w:color w:val="auto"/>
                <w:szCs w:val="21"/>
              </w:rPr>
              <w:t>电子邮箱</w:t>
            </w:r>
          </w:p>
        </w:tc>
        <w:tc>
          <w:tcPr>
            <w:tcW w:w="2305" w:type="dxa"/>
            <w:tcBorders>
              <w:top w:val="single" w:color="auto" w:sz="2" w:space="0"/>
              <w:left w:val="single" w:color="auto" w:sz="2" w:space="0"/>
              <w:bottom w:val="single" w:color="auto" w:sz="2" w:space="0"/>
            </w:tcBorders>
            <w:vAlign w:val="center"/>
          </w:tcPr>
          <w:p w14:paraId="2E87E659">
            <w:pPr>
              <w:adjustRightInd w:val="0"/>
              <w:snapToGrid w:val="0"/>
              <w:spacing w:line="300" w:lineRule="exact"/>
              <w:jc w:val="center"/>
              <w:rPr>
                <w:color w:val="auto"/>
                <w:spacing w:val="20"/>
                <w:szCs w:val="21"/>
              </w:rPr>
            </w:pPr>
          </w:p>
        </w:tc>
      </w:tr>
      <w:tr w14:paraId="0218D6F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59" w:type="dxa"/>
            <w:tcBorders>
              <w:top w:val="single" w:color="auto" w:sz="2" w:space="0"/>
              <w:bottom w:val="single" w:color="auto" w:sz="2" w:space="0"/>
              <w:right w:val="single" w:color="auto" w:sz="2" w:space="0"/>
            </w:tcBorders>
            <w:vAlign w:val="center"/>
          </w:tcPr>
          <w:p w14:paraId="05DED6DA">
            <w:pPr>
              <w:adjustRightInd w:val="0"/>
              <w:snapToGrid w:val="0"/>
              <w:spacing w:line="300" w:lineRule="exact"/>
              <w:jc w:val="center"/>
              <w:rPr>
                <w:color w:val="auto"/>
                <w:szCs w:val="21"/>
              </w:rPr>
            </w:pPr>
            <w:r>
              <w:rPr>
                <w:rFonts w:hint="eastAsia"/>
                <w:color w:val="auto"/>
                <w:szCs w:val="21"/>
              </w:rPr>
              <w:t>统一社会信用代码</w:t>
            </w:r>
          </w:p>
        </w:tc>
        <w:tc>
          <w:tcPr>
            <w:tcW w:w="2627" w:type="dxa"/>
            <w:tcBorders>
              <w:top w:val="single" w:color="auto" w:sz="2" w:space="0"/>
              <w:left w:val="single" w:color="auto" w:sz="2" w:space="0"/>
              <w:bottom w:val="single" w:color="auto" w:sz="2" w:space="0"/>
              <w:right w:val="single" w:color="auto" w:sz="2" w:space="0"/>
            </w:tcBorders>
            <w:vAlign w:val="center"/>
          </w:tcPr>
          <w:p w14:paraId="76B36A5B">
            <w:pPr>
              <w:adjustRightInd w:val="0"/>
              <w:snapToGrid w:val="0"/>
              <w:spacing w:line="300" w:lineRule="exact"/>
              <w:jc w:val="center"/>
              <w:rPr>
                <w:color w:val="auto"/>
                <w:szCs w:val="21"/>
              </w:rPr>
            </w:pPr>
          </w:p>
        </w:tc>
        <w:tc>
          <w:tcPr>
            <w:tcW w:w="2155" w:type="dxa"/>
            <w:tcBorders>
              <w:top w:val="single" w:color="auto" w:sz="2" w:space="0"/>
              <w:left w:val="single" w:color="auto" w:sz="2" w:space="0"/>
              <w:bottom w:val="single" w:color="auto" w:sz="2" w:space="0"/>
              <w:right w:val="single" w:color="auto" w:sz="2" w:space="0"/>
            </w:tcBorders>
            <w:vAlign w:val="center"/>
          </w:tcPr>
          <w:p w14:paraId="0093D35A">
            <w:pPr>
              <w:adjustRightInd w:val="0"/>
              <w:snapToGrid w:val="0"/>
              <w:spacing w:line="300" w:lineRule="exact"/>
              <w:jc w:val="center"/>
              <w:rPr>
                <w:color w:val="auto"/>
                <w:szCs w:val="21"/>
              </w:rPr>
            </w:pPr>
            <w:r>
              <w:rPr>
                <w:rFonts w:hint="eastAsia"/>
                <w:color w:val="auto"/>
                <w:szCs w:val="21"/>
              </w:rPr>
              <w:t>统一社会信用代码</w:t>
            </w:r>
          </w:p>
        </w:tc>
        <w:tc>
          <w:tcPr>
            <w:tcW w:w="2305" w:type="dxa"/>
            <w:tcBorders>
              <w:top w:val="single" w:color="auto" w:sz="2" w:space="0"/>
              <w:left w:val="single" w:color="auto" w:sz="2" w:space="0"/>
              <w:bottom w:val="single" w:color="auto" w:sz="2" w:space="0"/>
            </w:tcBorders>
            <w:vAlign w:val="center"/>
          </w:tcPr>
          <w:p w14:paraId="20E563E3">
            <w:pPr>
              <w:adjustRightInd w:val="0"/>
              <w:snapToGrid w:val="0"/>
              <w:spacing w:line="300" w:lineRule="exact"/>
              <w:jc w:val="center"/>
              <w:rPr>
                <w:color w:val="auto"/>
                <w:spacing w:val="20"/>
                <w:szCs w:val="21"/>
              </w:rPr>
            </w:pPr>
          </w:p>
        </w:tc>
      </w:tr>
      <w:tr w14:paraId="1AF3C07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59" w:type="dxa"/>
            <w:tcBorders>
              <w:top w:val="single" w:color="auto" w:sz="2" w:space="0"/>
              <w:bottom w:val="single" w:color="auto" w:sz="2" w:space="0"/>
              <w:right w:val="single" w:color="auto" w:sz="2" w:space="0"/>
            </w:tcBorders>
            <w:vAlign w:val="center"/>
          </w:tcPr>
          <w:p w14:paraId="1AC08B1F">
            <w:pPr>
              <w:adjustRightInd w:val="0"/>
              <w:snapToGrid w:val="0"/>
              <w:spacing w:line="300" w:lineRule="exact"/>
              <w:jc w:val="center"/>
              <w:rPr>
                <w:color w:val="auto"/>
                <w:szCs w:val="21"/>
              </w:rPr>
            </w:pPr>
          </w:p>
        </w:tc>
        <w:tc>
          <w:tcPr>
            <w:tcW w:w="2627" w:type="dxa"/>
            <w:tcBorders>
              <w:top w:val="single" w:color="auto" w:sz="2" w:space="0"/>
              <w:left w:val="single" w:color="auto" w:sz="2" w:space="0"/>
              <w:bottom w:val="single" w:color="auto" w:sz="2" w:space="0"/>
              <w:right w:val="single" w:color="auto" w:sz="2" w:space="0"/>
            </w:tcBorders>
            <w:vAlign w:val="center"/>
          </w:tcPr>
          <w:p w14:paraId="7132A612">
            <w:pPr>
              <w:adjustRightInd w:val="0"/>
              <w:snapToGrid w:val="0"/>
              <w:spacing w:line="300" w:lineRule="exact"/>
              <w:jc w:val="center"/>
              <w:rPr>
                <w:color w:val="auto"/>
                <w:szCs w:val="21"/>
              </w:rPr>
            </w:pPr>
          </w:p>
        </w:tc>
        <w:tc>
          <w:tcPr>
            <w:tcW w:w="2155" w:type="dxa"/>
            <w:tcBorders>
              <w:top w:val="single" w:color="auto" w:sz="2" w:space="0"/>
              <w:left w:val="single" w:color="auto" w:sz="2" w:space="0"/>
              <w:bottom w:val="single" w:color="auto" w:sz="2" w:space="0"/>
              <w:right w:val="single" w:color="auto" w:sz="2" w:space="0"/>
            </w:tcBorders>
            <w:vAlign w:val="center"/>
          </w:tcPr>
          <w:p w14:paraId="04D362DF">
            <w:pPr>
              <w:adjustRightInd w:val="0"/>
              <w:snapToGrid w:val="0"/>
              <w:spacing w:line="300" w:lineRule="exact"/>
              <w:jc w:val="center"/>
              <w:rPr>
                <w:color w:val="auto"/>
                <w:szCs w:val="21"/>
              </w:rPr>
            </w:pPr>
            <w:r>
              <w:rPr>
                <w:color w:val="auto"/>
                <w:szCs w:val="21"/>
              </w:rPr>
              <w:t>开户名称</w:t>
            </w:r>
          </w:p>
        </w:tc>
        <w:tc>
          <w:tcPr>
            <w:tcW w:w="2305" w:type="dxa"/>
            <w:tcBorders>
              <w:top w:val="single" w:color="auto" w:sz="2" w:space="0"/>
              <w:left w:val="single" w:color="auto" w:sz="2" w:space="0"/>
              <w:bottom w:val="single" w:color="auto" w:sz="2" w:space="0"/>
            </w:tcBorders>
            <w:vAlign w:val="center"/>
          </w:tcPr>
          <w:p w14:paraId="1EF6EFFA">
            <w:pPr>
              <w:adjustRightInd w:val="0"/>
              <w:snapToGrid w:val="0"/>
              <w:spacing w:line="300" w:lineRule="exact"/>
              <w:jc w:val="center"/>
              <w:rPr>
                <w:color w:val="auto"/>
                <w:spacing w:val="20"/>
                <w:szCs w:val="21"/>
              </w:rPr>
            </w:pPr>
          </w:p>
        </w:tc>
      </w:tr>
      <w:tr w14:paraId="2178C53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59" w:type="dxa"/>
            <w:tcBorders>
              <w:top w:val="single" w:color="auto" w:sz="2" w:space="0"/>
              <w:bottom w:val="single" w:color="auto" w:sz="2" w:space="0"/>
              <w:right w:val="single" w:color="auto" w:sz="2" w:space="0"/>
            </w:tcBorders>
            <w:vAlign w:val="center"/>
          </w:tcPr>
          <w:p w14:paraId="54884A8C">
            <w:pPr>
              <w:adjustRightInd w:val="0"/>
              <w:snapToGrid w:val="0"/>
              <w:spacing w:line="300" w:lineRule="exact"/>
              <w:jc w:val="center"/>
              <w:rPr>
                <w:color w:val="auto"/>
                <w:szCs w:val="21"/>
              </w:rPr>
            </w:pPr>
          </w:p>
        </w:tc>
        <w:tc>
          <w:tcPr>
            <w:tcW w:w="2627" w:type="dxa"/>
            <w:tcBorders>
              <w:top w:val="single" w:color="auto" w:sz="2" w:space="0"/>
              <w:left w:val="single" w:color="auto" w:sz="2" w:space="0"/>
              <w:bottom w:val="single" w:color="auto" w:sz="2" w:space="0"/>
              <w:right w:val="single" w:color="auto" w:sz="2" w:space="0"/>
            </w:tcBorders>
            <w:vAlign w:val="center"/>
          </w:tcPr>
          <w:p w14:paraId="7FD42B33">
            <w:pPr>
              <w:adjustRightInd w:val="0"/>
              <w:snapToGrid w:val="0"/>
              <w:spacing w:line="300" w:lineRule="exact"/>
              <w:jc w:val="center"/>
              <w:rPr>
                <w:color w:val="auto"/>
                <w:szCs w:val="21"/>
              </w:rPr>
            </w:pPr>
          </w:p>
        </w:tc>
        <w:tc>
          <w:tcPr>
            <w:tcW w:w="2155" w:type="dxa"/>
            <w:tcBorders>
              <w:top w:val="single" w:color="auto" w:sz="2" w:space="0"/>
              <w:left w:val="single" w:color="auto" w:sz="2" w:space="0"/>
              <w:bottom w:val="single" w:color="auto" w:sz="2" w:space="0"/>
              <w:right w:val="single" w:color="auto" w:sz="2" w:space="0"/>
            </w:tcBorders>
            <w:vAlign w:val="center"/>
          </w:tcPr>
          <w:p w14:paraId="4817A94E">
            <w:pPr>
              <w:adjustRightInd w:val="0"/>
              <w:snapToGrid w:val="0"/>
              <w:spacing w:line="300" w:lineRule="exact"/>
              <w:jc w:val="center"/>
              <w:rPr>
                <w:color w:val="auto"/>
                <w:szCs w:val="21"/>
              </w:rPr>
            </w:pPr>
            <w:r>
              <w:rPr>
                <w:color w:val="auto"/>
                <w:szCs w:val="21"/>
              </w:rPr>
              <w:t>开户银行</w:t>
            </w:r>
          </w:p>
        </w:tc>
        <w:tc>
          <w:tcPr>
            <w:tcW w:w="2305" w:type="dxa"/>
            <w:tcBorders>
              <w:top w:val="single" w:color="auto" w:sz="2" w:space="0"/>
              <w:left w:val="single" w:color="auto" w:sz="2" w:space="0"/>
              <w:bottom w:val="single" w:color="auto" w:sz="2" w:space="0"/>
            </w:tcBorders>
            <w:vAlign w:val="center"/>
          </w:tcPr>
          <w:p w14:paraId="1FC32B9C">
            <w:pPr>
              <w:adjustRightInd w:val="0"/>
              <w:snapToGrid w:val="0"/>
              <w:spacing w:line="300" w:lineRule="exact"/>
              <w:jc w:val="center"/>
              <w:rPr>
                <w:color w:val="auto"/>
                <w:spacing w:val="20"/>
                <w:szCs w:val="21"/>
              </w:rPr>
            </w:pPr>
          </w:p>
        </w:tc>
      </w:tr>
      <w:tr w14:paraId="591E70F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59" w:type="dxa"/>
            <w:tcBorders>
              <w:top w:val="single" w:color="auto" w:sz="2" w:space="0"/>
              <w:bottom w:val="single" w:color="auto" w:sz="2" w:space="0"/>
              <w:right w:val="single" w:color="auto" w:sz="2" w:space="0"/>
            </w:tcBorders>
            <w:vAlign w:val="center"/>
          </w:tcPr>
          <w:p w14:paraId="7EB29913">
            <w:pPr>
              <w:adjustRightInd w:val="0"/>
              <w:snapToGrid w:val="0"/>
              <w:spacing w:line="300" w:lineRule="exact"/>
              <w:jc w:val="center"/>
              <w:rPr>
                <w:color w:val="auto"/>
                <w:szCs w:val="21"/>
              </w:rPr>
            </w:pPr>
          </w:p>
        </w:tc>
        <w:tc>
          <w:tcPr>
            <w:tcW w:w="2627" w:type="dxa"/>
            <w:tcBorders>
              <w:top w:val="single" w:color="auto" w:sz="2" w:space="0"/>
              <w:left w:val="single" w:color="auto" w:sz="2" w:space="0"/>
              <w:bottom w:val="single" w:color="auto" w:sz="2" w:space="0"/>
              <w:right w:val="single" w:color="auto" w:sz="2" w:space="0"/>
            </w:tcBorders>
            <w:vAlign w:val="center"/>
          </w:tcPr>
          <w:p w14:paraId="58543828">
            <w:pPr>
              <w:adjustRightInd w:val="0"/>
              <w:snapToGrid w:val="0"/>
              <w:spacing w:line="300" w:lineRule="exact"/>
              <w:jc w:val="center"/>
              <w:rPr>
                <w:color w:val="auto"/>
                <w:szCs w:val="21"/>
              </w:rPr>
            </w:pPr>
          </w:p>
        </w:tc>
        <w:tc>
          <w:tcPr>
            <w:tcW w:w="2155" w:type="dxa"/>
            <w:tcBorders>
              <w:top w:val="single" w:color="auto" w:sz="2" w:space="0"/>
              <w:left w:val="single" w:color="auto" w:sz="2" w:space="0"/>
              <w:bottom w:val="single" w:color="auto" w:sz="2" w:space="0"/>
              <w:right w:val="single" w:color="auto" w:sz="2" w:space="0"/>
            </w:tcBorders>
            <w:vAlign w:val="center"/>
          </w:tcPr>
          <w:p w14:paraId="6143E819">
            <w:pPr>
              <w:adjustRightInd w:val="0"/>
              <w:snapToGrid w:val="0"/>
              <w:spacing w:line="300" w:lineRule="exact"/>
              <w:jc w:val="center"/>
              <w:rPr>
                <w:color w:val="auto"/>
                <w:szCs w:val="21"/>
              </w:rPr>
            </w:pPr>
            <w:r>
              <w:rPr>
                <w:color w:val="auto"/>
                <w:szCs w:val="21"/>
              </w:rPr>
              <w:t>银行账号</w:t>
            </w:r>
          </w:p>
        </w:tc>
        <w:tc>
          <w:tcPr>
            <w:tcW w:w="2305" w:type="dxa"/>
            <w:tcBorders>
              <w:top w:val="single" w:color="auto" w:sz="2" w:space="0"/>
              <w:left w:val="single" w:color="auto" w:sz="2" w:space="0"/>
              <w:bottom w:val="single" w:color="auto" w:sz="2" w:space="0"/>
            </w:tcBorders>
            <w:vAlign w:val="center"/>
          </w:tcPr>
          <w:p w14:paraId="1B8DC2A7">
            <w:pPr>
              <w:adjustRightInd w:val="0"/>
              <w:snapToGrid w:val="0"/>
              <w:spacing w:line="300" w:lineRule="exact"/>
              <w:jc w:val="center"/>
              <w:rPr>
                <w:color w:val="auto"/>
                <w:spacing w:val="20"/>
                <w:szCs w:val="21"/>
              </w:rPr>
            </w:pPr>
          </w:p>
        </w:tc>
      </w:tr>
      <w:tr w14:paraId="1220F6F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9146" w:type="dxa"/>
            <w:gridSpan w:val="4"/>
            <w:tcBorders>
              <w:top w:val="single" w:color="auto" w:sz="2" w:space="0"/>
            </w:tcBorders>
            <w:vAlign w:val="center"/>
          </w:tcPr>
          <w:p w14:paraId="02796E30">
            <w:pPr>
              <w:pStyle w:val="19"/>
              <w:adjustRightInd w:val="0"/>
              <w:snapToGrid w:val="0"/>
              <w:spacing w:before="120" w:beforeLines="50" w:after="0" w:line="360" w:lineRule="auto"/>
              <w:ind w:left="0" w:leftChars="0"/>
              <w:jc w:val="left"/>
              <w:rPr>
                <w:color w:val="auto"/>
                <w:spacing w:val="20"/>
                <w:szCs w:val="21"/>
              </w:rPr>
            </w:pPr>
            <w:r>
              <w:rPr>
                <w:rFonts w:hint="eastAsia" w:ascii="宋体" w:hAnsi="宋体"/>
                <w:color w:val="auto"/>
                <w:szCs w:val="21"/>
              </w:rPr>
              <w:t>注：涉及联合体或其他合同主体的信息应按上表格式加列。</w:t>
            </w:r>
          </w:p>
        </w:tc>
      </w:tr>
    </w:tbl>
    <w:p w14:paraId="664EACF1">
      <w:pPr>
        <w:pStyle w:val="3"/>
        <w:adjustRightInd w:val="0"/>
        <w:snapToGrid w:val="0"/>
        <w:spacing w:before="120" w:beforeLines="50"/>
        <w:jc w:val="center"/>
        <w:rPr>
          <w:rFonts w:hint="eastAsia" w:ascii="黑体" w:hAnsi="黑体" w:eastAsia="黑体"/>
          <w:color w:val="auto"/>
          <w:sz w:val="28"/>
          <w:szCs w:val="28"/>
        </w:rPr>
      </w:pPr>
      <w:bookmarkStart w:id="307" w:name="_Toc27624"/>
      <w:bookmarkEnd w:id="307"/>
      <w:r>
        <w:rPr>
          <w:rFonts w:ascii="宋体" w:hAnsi="宋体"/>
          <w:color w:val="auto"/>
          <w:sz w:val="21"/>
          <w:szCs w:val="21"/>
          <w:u w:val="single"/>
        </w:rPr>
        <w:br w:type="page"/>
      </w:r>
      <w:bookmarkStart w:id="308" w:name="_Toc19190"/>
      <w:bookmarkStart w:id="309" w:name="_Toc21245"/>
      <w:bookmarkStart w:id="310" w:name="_Toc5935"/>
      <w:r>
        <w:rPr>
          <w:rFonts w:hint="eastAsia" w:ascii="黑体" w:hAnsi="黑体" w:eastAsia="黑体"/>
          <w:b w:val="0"/>
          <w:bCs w:val="0"/>
          <w:color w:val="auto"/>
          <w:sz w:val="28"/>
          <w:szCs w:val="28"/>
        </w:rPr>
        <w:t>第二节 政府采购合同通用条款</w:t>
      </w:r>
      <w:bookmarkEnd w:id="308"/>
      <w:bookmarkEnd w:id="309"/>
      <w:bookmarkEnd w:id="310"/>
    </w:p>
    <w:p w14:paraId="633E8FD1">
      <w:pPr>
        <w:tabs>
          <w:tab w:val="left" w:pos="8820"/>
          <w:tab w:val="left" w:pos="9345"/>
          <w:tab w:val="left" w:pos="9765"/>
        </w:tabs>
        <w:adjustRightInd w:val="0"/>
        <w:snapToGrid w:val="0"/>
        <w:spacing w:line="400" w:lineRule="exact"/>
        <w:jc w:val="left"/>
        <w:outlineLvl w:val="2"/>
        <w:rPr>
          <w:rFonts w:hint="eastAsia" w:ascii="宋体" w:hAnsi="宋体"/>
          <w:b/>
          <w:bCs/>
          <w:color w:val="auto"/>
          <w:sz w:val="24"/>
        </w:rPr>
      </w:pPr>
      <w:bookmarkStart w:id="311" w:name="_Toc14072"/>
      <w:bookmarkStart w:id="312" w:name="_Toc27094"/>
      <w:bookmarkStart w:id="313" w:name="_Toc931"/>
      <w:r>
        <w:rPr>
          <w:rFonts w:hint="eastAsia" w:ascii="宋体" w:hAnsi="宋体"/>
          <w:b/>
          <w:color w:val="auto"/>
          <w:sz w:val="24"/>
        </w:rPr>
        <w:t xml:space="preserve">1. </w:t>
      </w:r>
      <w:r>
        <w:rPr>
          <w:rFonts w:hint="eastAsia" w:ascii="宋体" w:hAnsi="宋体"/>
          <w:b/>
          <w:bCs/>
          <w:color w:val="auto"/>
          <w:sz w:val="24"/>
        </w:rPr>
        <w:t>定义</w:t>
      </w:r>
      <w:bookmarkEnd w:id="311"/>
      <w:bookmarkEnd w:id="312"/>
      <w:bookmarkEnd w:id="313"/>
    </w:p>
    <w:p w14:paraId="6C99F837">
      <w:pPr>
        <w:autoSpaceDE w:val="0"/>
        <w:autoSpaceDN w:val="0"/>
        <w:adjustRightInd w:val="0"/>
        <w:snapToGrid w:val="0"/>
        <w:spacing w:line="400" w:lineRule="exact"/>
        <w:ind w:firstLine="420" w:firstLineChars="200"/>
        <w:jc w:val="left"/>
        <w:outlineLvl w:val="3"/>
        <w:rPr>
          <w:color w:val="auto"/>
          <w:szCs w:val="21"/>
        </w:rPr>
      </w:pPr>
      <w:bookmarkStart w:id="314" w:name="_Toc24603"/>
      <w:bookmarkStart w:id="315" w:name="_Toc12139"/>
      <w:bookmarkStart w:id="316" w:name="_Toc28245"/>
      <w:r>
        <w:rPr>
          <w:color w:val="auto"/>
          <w:szCs w:val="21"/>
        </w:rPr>
        <w:t>1.1合同当事人</w:t>
      </w:r>
      <w:bookmarkEnd w:id="314"/>
      <w:bookmarkEnd w:id="315"/>
      <w:bookmarkEnd w:id="316"/>
    </w:p>
    <w:p w14:paraId="189DC4AD">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（1）采购人（以下称甲方）是指使用财政性资金，通过政府采购方式向供应商购买货物及其相关服务的国家机关、事业单位、团体组织。</w:t>
      </w:r>
    </w:p>
    <w:p w14:paraId="6CBC9B0B">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（2）供应商（以下称乙方）是指参加政府采购活动并且中标（成交），向采购人提供合同约定的货物及其相关服务的法人、非法人组织或者自然人。</w:t>
      </w:r>
    </w:p>
    <w:p w14:paraId="0ADFA01C">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（3）其他合同主体是指除采购人和供应商以外，</w:t>
      </w:r>
      <w:r>
        <w:rPr>
          <w:bCs/>
          <w:color w:val="auto"/>
          <w:szCs w:val="21"/>
        </w:rPr>
        <w:t>依法参与合同缔结或履行，享有权利、承担义务的合同当事人</w:t>
      </w:r>
      <w:r>
        <w:rPr>
          <w:rFonts w:hint="eastAsia" w:ascii="宋体" w:hAnsi="宋体"/>
          <w:color w:val="auto"/>
          <w:szCs w:val="21"/>
        </w:rPr>
        <w:t>。</w:t>
      </w:r>
    </w:p>
    <w:p w14:paraId="17334771">
      <w:pPr>
        <w:tabs>
          <w:tab w:val="left" w:pos="570"/>
          <w:tab w:val="left" w:pos="9240"/>
          <w:tab w:val="left" w:pos="9555"/>
        </w:tabs>
        <w:adjustRightInd w:val="0"/>
        <w:snapToGrid w:val="0"/>
        <w:spacing w:line="400" w:lineRule="exact"/>
        <w:ind w:firstLine="420" w:firstLineChars="200"/>
        <w:jc w:val="left"/>
        <w:outlineLvl w:val="3"/>
        <w:rPr>
          <w:rFonts w:hint="eastAsia" w:ascii="宋体" w:hAnsi="宋体"/>
          <w:color w:val="auto"/>
          <w:szCs w:val="21"/>
        </w:rPr>
      </w:pPr>
      <w:bookmarkStart w:id="317" w:name="_Toc1832"/>
      <w:bookmarkStart w:id="318" w:name="_Toc15171"/>
      <w:bookmarkStart w:id="319" w:name="_Toc4413"/>
      <w:r>
        <w:rPr>
          <w:rFonts w:hint="eastAsia" w:ascii="宋体" w:hAnsi="宋体"/>
          <w:color w:val="auto"/>
          <w:szCs w:val="21"/>
        </w:rPr>
        <w:t>1.2本合同下列术语应解释为：</w:t>
      </w:r>
      <w:bookmarkEnd w:id="317"/>
      <w:bookmarkEnd w:id="318"/>
      <w:bookmarkEnd w:id="319"/>
    </w:p>
    <w:p w14:paraId="406AA84F">
      <w:pPr>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（1）“合同”系指</w:t>
      </w:r>
      <w:r>
        <w:rPr>
          <w:bCs/>
          <w:color w:val="auto"/>
          <w:szCs w:val="21"/>
        </w:rPr>
        <w:t>合同当事人意思表示达成一致的任何协议，包括签署的</w:t>
      </w:r>
      <w:r>
        <w:rPr>
          <w:rFonts w:hint="eastAsia" w:ascii="宋体" w:hAnsi="宋体"/>
          <w:color w:val="auto"/>
          <w:szCs w:val="21"/>
        </w:rPr>
        <w:t>政府采购合同协议书及其变更、补充协议，政府采购合同专用条款，政府采购合同通用条款，中标（成交）通知书，投标（响应）文件，采购文件，有关技术文件和图纸，以及</w:t>
      </w:r>
      <w:r>
        <w:rPr>
          <w:color w:val="auto"/>
          <w:szCs w:val="21"/>
        </w:rPr>
        <w:t>国家法律、行政法规和规章制度规定或合同约定的作为合同组成部分的其他文件</w:t>
      </w:r>
      <w:r>
        <w:rPr>
          <w:rFonts w:hint="eastAsia" w:ascii="宋体" w:hAnsi="宋体"/>
          <w:color w:val="auto"/>
          <w:szCs w:val="21"/>
        </w:rPr>
        <w:t>。</w:t>
      </w:r>
    </w:p>
    <w:p w14:paraId="3FA13EC9">
      <w:pPr>
        <w:tabs>
          <w:tab w:val="left" w:pos="570"/>
          <w:tab w:val="left" w:pos="9240"/>
          <w:tab w:val="left" w:pos="9555"/>
        </w:tabs>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（2）“合同价款”系指根据本合同规定乙方在全面履行合同义务后甲方应支付给乙方的价款。</w:t>
      </w:r>
    </w:p>
    <w:p w14:paraId="670FA16D">
      <w:pPr>
        <w:tabs>
          <w:tab w:val="left" w:pos="570"/>
          <w:tab w:val="left" w:pos="9240"/>
          <w:tab w:val="left" w:pos="9555"/>
        </w:tabs>
        <w:adjustRightInd w:val="0"/>
        <w:snapToGrid w:val="0"/>
        <w:spacing w:line="400" w:lineRule="exact"/>
        <w:ind w:firstLine="420" w:firstLineChars="200"/>
        <w:jc w:val="left"/>
        <w:rPr>
          <w:color w:val="auto"/>
          <w:szCs w:val="21"/>
        </w:rPr>
      </w:pPr>
      <w:r>
        <w:rPr>
          <w:rFonts w:hint="eastAsia" w:ascii="宋体" w:hAnsi="宋体"/>
          <w:color w:val="auto"/>
          <w:szCs w:val="21"/>
        </w:rPr>
        <w:t>（3）“货物”系指乙方根据本合同规定须向甲方提供的各种形态和种类的物品，包括原材料、设备、产品（</w:t>
      </w:r>
      <w:r>
        <w:rPr>
          <w:color w:val="auto"/>
          <w:szCs w:val="21"/>
        </w:rPr>
        <w:t>包括软件）及相关的其备品备件、工具、手册及</w:t>
      </w:r>
      <w:r>
        <w:rPr>
          <w:color w:val="auto"/>
          <w:szCs w:val="21"/>
          <w:lang w:val="en"/>
        </w:rPr>
        <w:t>其他</w:t>
      </w:r>
      <w:r>
        <w:rPr>
          <w:color w:val="auto"/>
          <w:szCs w:val="21"/>
        </w:rPr>
        <w:t>技术资料和材料等。</w:t>
      </w:r>
    </w:p>
    <w:p w14:paraId="4D7ECC30">
      <w:pPr>
        <w:adjustRightInd w:val="0"/>
        <w:snapToGrid w:val="0"/>
        <w:spacing w:line="400" w:lineRule="exact"/>
        <w:ind w:firstLine="420" w:firstLineChars="200"/>
        <w:jc w:val="left"/>
        <w:rPr>
          <w:color w:val="auto"/>
          <w:szCs w:val="21"/>
          <w:highlight w:val="yellow"/>
        </w:rPr>
      </w:pPr>
      <w:r>
        <w:rPr>
          <w:color w:val="auto"/>
          <w:szCs w:val="21"/>
        </w:rPr>
        <w:t>（4）“</w:t>
      </w:r>
      <w:r>
        <w:rPr>
          <w:rFonts w:hint="eastAsia" w:ascii="宋体" w:hAnsi="宋体"/>
          <w:color w:val="auto"/>
          <w:szCs w:val="21"/>
        </w:rPr>
        <w:t>相关</w:t>
      </w:r>
      <w:r>
        <w:rPr>
          <w:color w:val="auto"/>
          <w:szCs w:val="21"/>
        </w:rPr>
        <w:t>服务”系指根据合同规定，乙方应提供的与货物有关的技术、管理和</w:t>
      </w:r>
      <w:r>
        <w:rPr>
          <w:color w:val="auto"/>
          <w:szCs w:val="21"/>
          <w:lang w:val="en"/>
        </w:rPr>
        <w:t>其他</w:t>
      </w:r>
      <w:r>
        <w:rPr>
          <w:color w:val="auto"/>
          <w:szCs w:val="21"/>
        </w:rPr>
        <w:t>服务，包括但不限于：管理和质量保证、运输、保险、检验、现场准备、安装、集成、调试、培训、维修、废弃处置、技术支持等以及合同中规定乙方应承担的</w:t>
      </w:r>
      <w:r>
        <w:rPr>
          <w:color w:val="auto"/>
          <w:szCs w:val="21"/>
          <w:lang w:val="en"/>
        </w:rPr>
        <w:t>其他</w:t>
      </w:r>
      <w:r>
        <w:rPr>
          <w:color w:val="auto"/>
          <w:szCs w:val="21"/>
        </w:rPr>
        <w:t>义务。</w:t>
      </w:r>
    </w:p>
    <w:p w14:paraId="356CE818">
      <w:pPr>
        <w:adjustRightInd w:val="0"/>
        <w:snapToGrid w:val="0"/>
        <w:spacing w:line="400" w:lineRule="exact"/>
        <w:ind w:firstLine="420" w:firstLineChars="200"/>
        <w:jc w:val="left"/>
        <w:rPr>
          <w:color w:val="auto"/>
          <w:szCs w:val="21"/>
          <w:highlight w:val="yellow"/>
        </w:rPr>
      </w:pPr>
      <w:r>
        <w:rPr>
          <w:color w:val="auto"/>
          <w:szCs w:val="21"/>
        </w:rPr>
        <w:t>（5）“分包”系指中标（成交）供应商按采购文件、投标（响应）文件的规定，根据分包意向协议，将中标（成交）项目中的部分履约内容，分给具有相应资质条件的供应商履行合同的行为。</w:t>
      </w:r>
    </w:p>
    <w:p w14:paraId="4C1562AF">
      <w:pPr>
        <w:tabs>
          <w:tab w:val="left" w:pos="570"/>
          <w:tab w:val="left" w:pos="9240"/>
          <w:tab w:val="left" w:pos="9555"/>
        </w:tabs>
        <w:adjustRightInd w:val="0"/>
        <w:snapToGrid w:val="0"/>
        <w:spacing w:line="400" w:lineRule="exact"/>
        <w:ind w:firstLine="420" w:firstLineChars="200"/>
        <w:jc w:val="left"/>
        <w:rPr>
          <w:color w:val="auto"/>
          <w:szCs w:val="21"/>
        </w:rPr>
      </w:pPr>
      <w:r>
        <w:rPr>
          <w:color w:val="auto"/>
          <w:szCs w:val="21"/>
        </w:rPr>
        <w:t>（6）</w:t>
      </w:r>
      <w:r>
        <w:rPr>
          <w:rFonts w:hint="eastAsia" w:ascii="宋体" w:hAnsi="宋体"/>
          <w:color w:val="auto"/>
          <w:szCs w:val="21"/>
        </w:rPr>
        <w:t>“联合体”系指由两个以上的自然人、法人或者非法人组织组成，以一个供应商的身份共同参加政府采购的主体</w:t>
      </w:r>
      <w:r>
        <w:rPr>
          <w:color w:val="auto"/>
          <w:szCs w:val="21"/>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Pr>
          <w:b/>
          <w:bCs/>
          <w:color w:val="auto"/>
          <w:szCs w:val="21"/>
        </w:rPr>
        <w:t>政府采购合同专用条款</w:t>
      </w:r>
      <w:r>
        <w:rPr>
          <w:color w:val="auto"/>
          <w:szCs w:val="21"/>
        </w:rPr>
        <w:t>】。</w:t>
      </w:r>
    </w:p>
    <w:p w14:paraId="185A2268">
      <w:pPr>
        <w:tabs>
          <w:tab w:val="left" w:pos="570"/>
          <w:tab w:val="left" w:pos="9240"/>
          <w:tab w:val="left" w:pos="9555"/>
        </w:tabs>
        <w:adjustRightInd w:val="0"/>
        <w:snapToGrid w:val="0"/>
        <w:spacing w:line="400" w:lineRule="exact"/>
        <w:ind w:firstLine="420" w:firstLineChars="200"/>
        <w:jc w:val="left"/>
        <w:outlineLvl w:val="4"/>
        <w:rPr>
          <w:color w:val="auto"/>
          <w:szCs w:val="21"/>
        </w:rPr>
      </w:pPr>
      <w:r>
        <w:rPr>
          <w:color w:val="auto"/>
          <w:szCs w:val="21"/>
        </w:rPr>
        <w:t>（7）其他术语解释，见【</w:t>
      </w:r>
      <w:r>
        <w:rPr>
          <w:b/>
          <w:bCs/>
          <w:color w:val="auto"/>
          <w:szCs w:val="21"/>
        </w:rPr>
        <w:t>政府采购合同专用条款</w:t>
      </w:r>
      <w:r>
        <w:rPr>
          <w:color w:val="auto"/>
          <w:szCs w:val="21"/>
        </w:rPr>
        <w:t>】。</w:t>
      </w:r>
    </w:p>
    <w:p w14:paraId="58E388A5">
      <w:pPr>
        <w:numPr>
          <w:ilvl w:val="0"/>
          <w:numId w:val="8"/>
        </w:numPr>
        <w:autoSpaceDE w:val="0"/>
        <w:autoSpaceDN w:val="0"/>
        <w:adjustRightInd w:val="0"/>
        <w:snapToGrid w:val="0"/>
        <w:spacing w:line="400" w:lineRule="exact"/>
        <w:jc w:val="left"/>
        <w:outlineLvl w:val="2"/>
        <w:rPr>
          <w:b/>
          <w:bCs/>
          <w:color w:val="auto"/>
          <w:sz w:val="24"/>
        </w:rPr>
      </w:pPr>
      <w:bookmarkStart w:id="320" w:name="_Toc8517"/>
      <w:bookmarkStart w:id="321" w:name="_Toc14032"/>
      <w:bookmarkStart w:id="322" w:name="_Toc3035"/>
      <w:r>
        <w:rPr>
          <w:b/>
          <w:color w:val="auto"/>
          <w:sz w:val="24"/>
        </w:rPr>
        <w:t>合同标的及金额</w:t>
      </w:r>
      <w:bookmarkEnd w:id="320"/>
      <w:bookmarkEnd w:id="321"/>
      <w:bookmarkEnd w:id="322"/>
    </w:p>
    <w:p w14:paraId="15A5AEBD">
      <w:pPr>
        <w:autoSpaceDE w:val="0"/>
        <w:autoSpaceDN w:val="0"/>
        <w:adjustRightInd w:val="0"/>
        <w:snapToGrid w:val="0"/>
        <w:spacing w:line="400" w:lineRule="exact"/>
        <w:ind w:firstLine="420" w:firstLineChars="200"/>
        <w:jc w:val="left"/>
        <w:rPr>
          <w:b/>
          <w:bCs/>
          <w:i/>
          <w:iCs/>
          <w:color w:val="auto"/>
          <w:szCs w:val="21"/>
        </w:rPr>
      </w:pPr>
      <w:r>
        <w:rPr>
          <w:color w:val="auto"/>
          <w:szCs w:val="21"/>
        </w:rPr>
        <w:t>2.1 合同标的及金额应与中标（成交）结果一致。乙方为履行本合同而发生的所有费用均应包含在合同价款中，甲方不再另行支付</w:t>
      </w:r>
      <w:r>
        <w:rPr>
          <w:color w:val="auto"/>
          <w:szCs w:val="21"/>
          <w:lang w:val="en"/>
        </w:rPr>
        <w:t>其他</w:t>
      </w:r>
      <w:r>
        <w:rPr>
          <w:color w:val="auto"/>
          <w:szCs w:val="21"/>
        </w:rPr>
        <w:t>任何费用。</w:t>
      </w:r>
    </w:p>
    <w:p w14:paraId="395EB69D">
      <w:pPr>
        <w:adjustRightInd w:val="0"/>
        <w:snapToGrid w:val="0"/>
        <w:spacing w:line="400" w:lineRule="exact"/>
        <w:jc w:val="left"/>
        <w:outlineLvl w:val="2"/>
        <w:rPr>
          <w:b/>
          <w:color w:val="auto"/>
          <w:sz w:val="24"/>
        </w:rPr>
      </w:pPr>
      <w:bookmarkStart w:id="323" w:name="_Toc6302"/>
      <w:bookmarkStart w:id="324" w:name="_Toc10538"/>
      <w:bookmarkStart w:id="325" w:name="_Toc21720"/>
      <w:r>
        <w:rPr>
          <w:b/>
          <w:color w:val="auto"/>
          <w:sz w:val="24"/>
        </w:rPr>
        <w:t>3. 履行合同的时间、地点和方式</w:t>
      </w:r>
      <w:bookmarkEnd w:id="323"/>
      <w:bookmarkEnd w:id="324"/>
      <w:bookmarkEnd w:id="325"/>
    </w:p>
    <w:p w14:paraId="280C3FCF">
      <w:pPr>
        <w:autoSpaceDE w:val="0"/>
        <w:autoSpaceDN w:val="0"/>
        <w:adjustRightInd w:val="0"/>
        <w:snapToGrid w:val="0"/>
        <w:spacing w:line="400" w:lineRule="exact"/>
        <w:ind w:firstLine="420" w:firstLineChars="200"/>
        <w:jc w:val="left"/>
        <w:outlineLvl w:val="3"/>
        <w:rPr>
          <w:color w:val="auto"/>
          <w:szCs w:val="21"/>
        </w:rPr>
      </w:pPr>
      <w:bookmarkStart w:id="326" w:name="_Toc8240"/>
      <w:bookmarkStart w:id="327" w:name="_Toc24946"/>
      <w:bookmarkStart w:id="328" w:name="_Toc18594"/>
      <w:r>
        <w:rPr>
          <w:color w:val="auto"/>
          <w:szCs w:val="21"/>
        </w:rPr>
        <w:t xml:space="preserve">3.1 </w:t>
      </w:r>
      <w:r>
        <w:rPr>
          <w:rFonts w:hint="eastAsia" w:ascii="宋体" w:hAnsi="宋体" w:cs="宋体"/>
          <w:color w:val="auto"/>
          <w:szCs w:val="21"/>
        </w:rPr>
        <w:t>乙方应当在约定的时间、地点，按照约定方式履行合同。</w:t>
      </w:r>
      <w:bookmarkEnd w:id="326"/>
      <w:bookmarkEnd w:id="327"/>
      <w:bookmarkEnd w:id="328"/>
    </w:p>
    <w:p w14:paraId="37DF9FFD">
      <w:pPr>
        <w:autoSpaceDE w:val="0"/>
        <w:autoSpaceDN w:val="0"/>
        <w:adjustRightInd w:val="0"/>
        <w:snapToGrid w:val="0"/>
        <w:spacing w:line="400" w:lineRule="exact"/>
        <w:jc w:val="left"/>
        <w:outlineLvl w:val="2"/>
        <w:rPr>
          <w:b/>
          <w:bCs/>
          <w:color w:val="auto"/>
          <w:sz w:val="24"/>
        </w:rPr>
      </w:pPr>
      <w:bookmarkStart w:id="329" w:name="_Toc32385"/>
      <w:bookmarkStart w:id="330" w:name="_Toc32734"/>
      <w:bookmarkStart w:id="331" w:name="_Toc10987"/>
      <w:r>
        <w:rPr>
          <w:b/>
          <w:bCs/>
          <w:color w:val="auto"/>
          <w:sz w:val="24"/>
        </w:rPr>
        <w:t>4. 甲方的权利和义务</w:t>
      </w:r>
      <w:bookmarkEnd w:id="329"/>
      <w:bookmarkEnd w:id="330"/>
      <w:bookmarkEnd w:id="331"/>
    </w:p>
    <w:p w14:paraId="0F358240">
      <w:pPr>
        <w:autoSpaceDE w:val="0"/>
        <w:autoSpaceDN w:val="0"/>
        <w:adjustRightInd w:val="0"/>
        <w:snapToGrid w:val="0"/>
        <w:spacing w:line="400" w:lineRule="exact"/>
        <w:ind w:firstLine="420" w:firstLineChars="200"/>
        <w:jc w:val="left"/>
        <w:rPr>
          <w:color w:val="auto"/>
          <w:szCs w:val="21"/>
        </w:rPr>
      </w:pPr>
      <w:r>
        <w:rPr>
          <w:color w:val="auto"/>
          <w:szCs w:val="21"/>
        </w:rPr>
        <w:t>4.1 签署合同后，甲方应确定项目负责人（或项目联系人），负责与本合同有关的事务。甲方有权对乙方的履约行为进行检查，并及时确认乙方提交的事项。甲方应当配合乙方完成相关项目实施工作。</w:t>
      </w:r>
    </w:p>
    <w:p w14:paraId="06E5C65A">
      <w:pPr>
        <w:autoSpaceDE w:val="0"/>
        <w:autoSpaceDN w:val="0"/>
        <w:adjustRightInd w:val="0"/>
        <w:snapToGrid w:val="0"/>
        <w:spacing w:line="400" w:lineRule="exact"/>
        <w:ind w:firstLine="420" w:firstLineChars="200"/>
        <w:jc w:val="left"/>
        <w:rPr>
          <w:color w:val="auto"/>
          <w:szCs w:val="21"/>
        </w:rPr>
      </w:pPr>
      <w:r>
        <w:rPr>
          <w:color w:val="auto"/>
          <w:szCs w:val="21"/>
        </w:rPr>
        <w:t>4.2 甲方有权要求乙方按时提交各阶段有关安排计划，并有权定期核对乙方提供货物数量、规格、质量等内容。甲方有权督促乙方工作并要求乙方更换不符合要求的货物。</w:t>
      </w:r>
    </w:p>
    <w:p w14:paraId="76F3E23A">
      <w:pPr>
        <w:autoSpaceDE w:val="0"/>
        <w:autoSpaceDN w:val="0"/>
        <w:adjustRightInd w:val="0"/>
        <w:snapToGrid w:val="0"/>
        <w:spacing w:line="400" w:lineRule="exact"/>
        <w:ind w:firstLine="420" w:firstLineChars="200"/>
        <w:jc w:val="left"/>
        <w:rPr>
          <w:color w:val="auto"/>
          <w:szCs w:val="21"/>
        </w:rPr>
      </w:pPr>
      <w:r>
        <w:rPr>
          <w:color w:val="auto"/>
          <w:szCs w:val="21"/>
        </w:rPr>
        <w:t>4.3 甲方有权要求乙方对缺陷部分予以修复，并按合同约定享有货物保修及其他合同约定的权利。</w:t>
      </w:r>
    </w:p>
    <w:p w14:paraId="5C94D22F">
      <w:pPr>
        <w:snapToGrid w:val="0"/>
        <w:spacing w:line="400" w:lineRule="exact"/>
        <w:ind w:firstLine="420" w:firstLineChars="200"/>
        <w:rPr>
          <w:color w:val="auto"/>
        </w:rPr>
      </w:pPr>
      <w:r>
        <w:rPr>
          <w:color w:val="auto"/>
          <w:szCs w:val="21"/>
        </w:rPr>
        <w:t>4.4 甲方应当按照合同约定及时对交付的货物进行验收，未在</w:t>
      </w:r>
      <w:r>
        <w:rPr>
          <w:b/>
          <w:bCs/>
          <w:color w:val="auto"/>
          <w:szCs w:val="21"/>
        </w:rPr>
        <w:t>【政府采购合同专用条款】</w:t>
      </w:r>
      <w:r>
        <w:rPr>
          <w:color w:val="auto"/>
          <w:szCs w:val="21"/>
        </w:rPr>
        <w:t>约定的期限内对乙方履约提出任何异议或者向乙方作出任何说明的，视为验收通过。</w:t>
      </w:r>
    </w:p>
    <w:p w14:paraId="4953C6C6">
      <w:pPr>
        <w:autoSpaceDE w:val="0"/>
        <w:autoSpaceDN w:val="0"/>
        <w:adjustRightInd w:val="0"/>
        <w:snapToGrid w:val="0"/>
        <w:spacing w:line="400" w:lineRule="exact"/>
        <w:ind w:firstLine="420" w:firstLineChars="200"/>
        <w:jc w:val="left"/>
        <w:rPr>
          <w:color w:val="auto"/>
          <w:szCs w:val="21"/>
        </w:rPr>
      </w:pPr>
      <w:r>
        <w:rPr>
          <w:color w:val="auto"/>
          <w:szCs w:val="21"/>
        </w:rPr>
        <w:t>4.5 甲方应当根据合同约定及时向乙方支付合同价款，不得以内部人员变更、履行内部付款流程等为由，拒绝或迟延支付。</w:t>
      </w:r>
    </w:p>
    <w:p w14:paraId="49B6A1BF">
      <w:pPr>
        <w:autoSpaceDE w:val="0"/>
        <w:autoSpaceDN w:val="0"/>
        <w:adjustRightInd w:val="0"/>
        <w:snapToGrid w:val="0"/>
        <w:spacing w:line="400" w:lineRule="exact"/>
        <w:ind w:firstLine="420" w:firstLineChars="200"/>
        <w:jc w:val="left"/>
        <w:rPr>
          <w:color w:val="auto"/>
          <w:szCs w:val="21"/>
        </w:rPr>
      </w:pPr>
      <w:r>
        <w:rPr>
          <w:color w:val="auto"/>
          <w:szCs w:val="21"/>
        </w:rPr>
        <w:t>4.6 国家法律法规规定及【政府采购合同专用条款】约定应由甲方承担的其他义务和责任。</w:t>
      </w:r>
    </w:p>
    <w:p w14:paraId="2ECDFEAF">
      <w:pPr>
        <w:autoSpaceDE w:val="0"/>
        <w:autoSpaceDN w:val="0"/>
        <w:adjustRightInd w:val="0"/>
        <w:snapToGrid w:val="0"/>
        <w:spacing w:line="400" w:lineRule="exact"/>
        <w:jc w:val="left"/>
        <w:outlineLvl w:val="2"/>
        <w:rPr>
          <w:b/>
          <w:bCs/>
          <w:color w:val="auto"/>
          <w:sz w:val="24"/>
        </w:rPr>
      </w:pPr>
      <w:bookmarkStart w:id="332" w:name="_Toc14830"/>
      <w:bookmarkStart w:id="333" w:name="_Toc10114"/>
      <w:bookmarkStart w:id="334" w:name="_Toc26046"/>
      <w:r>
        <w:rPr>
          <w:b/>
          <w:bCs/>
          <w:color w:val="auto"/>
          <w:sz w:val="24"/>
        </w:rPr>
        <w:t>5. 乙方的权利和义务</w:t>
      </w:r>
      <w:bookmarkEnd w:id="332"/>
      <w:bookmarkEnd w:id="333"/>
      <w:bookmarkEnd w:id="334"/>
    </w:p>
    <w:p w14:paraId="567FBB3A">
      <w:pPr>
        <w:autoSpaceDE w:val="0"/>
        <w:autoSpaceDN w:val="0"/>
        <w:adjustRightInd w:val="0"/>
        <w:snapToGrid w:val="0"/>
        <w:spacing w:line="400" w:lineRule="exact"/>
        <w:ind w:firstLine="420" w:firstLineChars="200"/>
        <w:jc w:val="left"/>
        <w:rPr>
          <w:color w:val="auto"/>
          <w:szCs w:val="21"/>
        </w:rPr>
      </w:pPr>
      <w:r>
        <w:rPr>
          <w:color w:val="auto"/>
          <w:szCs w:val="21"/>
        </w:rPr>
        <w:t>5.1 签署合同后，乙方应确定项目负责人（或项目联系人），负责与本合同有关的事务。</w:t>
      </w:r>
    </w:p>
    <w:p w14:paraId="6AD78940">
      <w:pPr>
        <w:autoSpaceDE w:val="0"/>
        <w:autoSpaceDN w:val="0"/>
        <w:adjustRightInd w:val="0"/>
        <w:snapToGrid w:val="0"/>
        <w:spacing w:line="400" w:lineRule="exact"/>
        <w:ind w:firstLine="420" w:firstLineChars="200"/>
        <w:jc w:val="left"/>
        <w:rPr>
          <w:color w:val="auto"/>
          <w:szCs w:val="21"/>
        </w:rPr>
      </w:pPr>
      <w:r>
        <w:rPr>
          <w:color w:val="auto"/>
          <w:szCs w:val="21"/>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06605B88">
      <w:pPr>
        <w:pStyle w:val="18"/>
        <w:spacing w:after="0" w:line="400" w:lineRule="exact"/>
        <w:ind w:firstLine="369" w:firstLineChars="176"/>
        <w:outlineLvl w:val="3"/>
        <w:rPr>
          <w:color w:val="auto"/>
          <w:szCs w:val="21"/>
        </w:rPr>
      </w:pPr>
      <w:bookmarkStart w:id="335" w:name="_Toc11540"/>
      <w:bookmarkStart w:id="336" w:name="_Toc32333"/>
      <w:bookmarkStart w:id="337" w:name="_Toc22229"/>
      <w:r>
        <w:rPr>
          <w:color w:val="auto"/>
          <w:szCs w:val="21"/>
        </w:rPr>
        <w:t>5.3乙方有权根据合同约定向甲方收取合同价款。</w:t>
      </w:r>
      <w:bookmarkEnd w:id="335"/>
      <w:bookmarkEnd w:id="336"/>
      <w:bookmarkEnd w:id="337"/>
    </w:p>
    <w:p w14:paraId="0FD3EEB0">
      <w:pPr>
        <w:pStyle w:val="18"/>
        <w:spacing w:after="0" w:line="400" w:lineRule="exact"/>
        <w:ind w:firstLine="369" w:firstLineChars="176"/>
        <w:rPr>
          <w:color w:val="auto"/>
          <w:szCs w:val="21"/>
        </w:rPr>
      </w:pPr>
      <w:r>
        <w:rPr>
          <w:color w:val="auto"/>
          <w:szCs w:val="21"/>
        </w:rPr>
        <w:t>5.4国家法律法规规定及【政府采购合同专用条款】约定应由乙方承担的其他义务和责任。</w:t>
      </w:r>
    </w:p>
    <w:p w14:paraId="1907973B">
      <w:pPr>
        <w:numPr>
          <w:ilvl w:val="0"/>
          <w:numId w:val="9"/>
        </w:numPr>
        <w:autoSpaceDE w:val="0"/>
        <w:autoSpaceDN w:val="0"/>
        <w:adjustRightInd w:val="0"/>
        <w:snapToGrid w:val="0"/>
        <w:spacing w:line="400" w:lineRule="exact"/>
        <w:jc w:val="left"/>
        <w:outlineLvl w:val="2"/>
        <w:rPr>
          <w:b/>
          <w:bCs/>
          <w:color w:val="auto"/>
          <w:sz w:val="24"/>
        </w:rPr>
      </w:pPr>
      <w:bookmarkStart w:id="338" w:name="_Toc495"/>
      <w:bookmarkStart w:id="339" w:name="_Toc22817"/>
      <w:bookmarkStart w:id="340" w:name="_Toc10055"/>
      <w:r>
        <w:rPr>
          <w:b/>
          <w:bCs/>
          <w:color w:val="auto"/>
          <w:sz w:val="24"/>
        </w:rPr>
        <w:t>合同履行</w:t>
      </w:r>
      <w:bookmarkEnd w:id="338"/>
      <w:bookmarkEnd w:id="339"/>
      <w:bookmarkEnd w:id="340"/>
    </w:p>
    <w:p w14:paraId="731978C6">
      <w:pPr>
        <w:autoSpaceDE w:val="0"/>
        <w:autoSpaceDN w:val="0"/>
        <w:adjustRightInd w:val="0"/>
        <w:snapToGrid w:val="0"/>
        <w:spacing w:line="400" w:lineRule="exact"/>
        <w:ind w:firstLine="420" w:firstLineChars="200"/>
        <w:jc w:val="left"/>
        <w:rPr>
          <w:color w:val="auto"/>
          <w:szCs w:val="21"/>
        </w:rPr>
      </w:pPr>
      <w:r>
        <w:rPr>
          <w:color w:val="auto"/>
          <w:szCs w:val="21"/>
        </w:rPr>
        <w:t>6.1 甲乙双方应当按照【政府采购合同专用条款】约定顺序履行合同义务；如果没有先后顺序的，应当同时履行。</w:t>
      </w:r>
    </w:p>
    <w:p w14:paraId="57D125ED">
      <w:pPr>
        <w:autoSpaceDE w:val="0"/>
        <w:autoSpaceDN w:val="0"/>
        <w:adjustRightInd w:val="0"/>
        <w:snapToGrid w:val="0"/>
        <w:spacing w:line="400" w:lineRule="exact"/>
        <w:ind w:firstLine="420" w:firstLineChars="200"/>
        <w:jc w:val="left"/>
        <w:rPr>
          <w:color w:val="auto"/>
        </w:rPr>
      </w:pPr>
      <w:r>
        <w:rPr>
          <w:color w:val="auto"/>
          <w:szCs w:val="21"/>
        </w:rPr>
        <w:t>6.2 甲乙双方按照合同约定顺序履行合同义务时，应当先履行一方未履行的，后履行一方有权拒绝其履行请求。先履行一方履行不符合约定的，后履行一方有权拒绝其相应的履行请求。</w:t>
      </w:r>
    </w:p>
    <w:p w14:paraId="6FEA265E">
      <w:pPr>
        <w:adjustRightInd w:val="0"/>
        <w:snapToGrid w:val="0"/>
        <w:spacing w:line="400" w:lineRule="exact"/>
        <w:jc w:val="left"/>
        <w:outlineLvl w:val="2"/>
        <w:rPr>
          <w:b/>
          <w:bCs/>
          <w:color w:val="auto"/>
          <w:sz w:val="24"/>
        </w:rPr>
      </w:pPr>
      <w:bookmarkStart w:id="341" w:name="_Toc29093"/>
      <w:bookmarkStart w:id="342" w:name="_Toc18436"/>
      <w:bookmarkStart w:id="343" w:name="_Toc9914"/>
      <w:r>
        <w:rPr>
          <w:b/>
          <w:bCs/>
          <w:color w:val="auto"/>
          <w:sz w:val="24"/>
        </w:rPr>
        <w:t>7. 货物包装、运输、保险和交付要求</w:t>
      </w:r>
      <w:bookmarkEnd w:id="341"/>
      <w:bookmarkEnd w:id="342"/>
      <w:bookmarkEnd w:id="343"/>
    </w:p>
    <w:p w14:paraId="39EF7E7F">
      <w:pPr>
        <w:autoSpaceDE w:val="0"/>
        <w:autoSpaceDN w:val="0"/>
        <w:adjustRightInd w:val="0"/>
        <w:snapToGrid w:val="0"/>
        <w:spacing w:line="400" w:lineRule="exact"/>
        <w:ind w:firstLine="420" w:firstLineChars="200"/>
        <w:jc w:val="left"/>
        <w:rPr>
          <w:color w:val="auto"/>
          <w:szCs w:val="21"/>
        </w:rPr>
      </w:pPr>
      <w:r>
        <w:rPr>
          <w:color w:val="auto"/>
          <w:szCs w:val="21"/>
        </w:rPr>
        <w:t>7.1 本合同涉及商品包装、快递包装的，除【政府采购合同专用条款】另有约定外，包装应适应远距离运输、防潮、防震、防锈和防野蛮装卸等要求，确保货物安全无损地运抵【政府采购合同专用条款】约定的指定现场。</w:t>
      </w:r>
    </w:p>
    <w:p w14:paraId="227EE06E">
      <w:pPr>
        <w:autoSpaceDE w:val="0"/>
        <w:autoSpaceDN w:val="0"/>
        <w:adjustRightInd w:val="0"/>
        <w:snapToGrid w:val="0"/>
        <w:spacing w:line="400" w:lineRule="exact"/>
        <w:ind w:firstLine="420" w:firstLineChars="200"/>
        <w:jc w:val="left"/>
        <w:rPr>
          <w:color w:val="auto"/>
          <w:szCs w:val="21"/>
        </w:rPr>
      </w:pPr>
      <w:r>
        <w:rPr>
          <w:color w:val="auto"/>
          <w:szCs w:val="21"/>
        </w:rPr>
        <w:t>7.2 除【政府采购合同专用条款】另有约定外，乙方负责办理将货物运抵本合同规定的交货地点，并装卸、交付至甲方的一切运输事项，相关费用应包含在合同价款中。</w:t>
      </w:r>
    </w:p>
    <w:p w14:paraId="7D849EEF">
      <w:pPr>
        <w:autoSpaceDE w:val="0"/>
        <w:autoSpaceDN w:val="0"/>
        <w:adjustRightInd w:val="0"/>
        <w:snapToGrid w:val="0"/>
        <w:spacing w:line="400" w:lineRule="exact"/>
        <w:ind w:firstLine="420" w:firstLineChars="200"/>
        <w:jc w:val="left"/>
        <w:outlineLvl w:val="3"/>
        <w:rPr>
          <w:color w:val="auto"/>
          <w:szCs w:val="21"/>
        </w:rPr>
      </w:pPr>
      <w:bookmarkStart w:id="344" w:name="_Toc30380"/>
      <w:bookmarkStart w:id="345" w:name="_Toc6812"/>
      <w:bookmarkStart w:id="346" w:name="_Toc885"/>
      <w:r>
        <w:rPr>
          <w:color w:val="auto"/>
          <w:szCs w:val="21"/>
        </w:rPr>
        <w:t>7.3 货物保险要求按【政府采购合同专用条款】规定执行。</w:t>
      </w:r>
      <w:bookmarkEnd w:id="344"/>
      <w:bookmarkEnd w:id="345"/>
      <w:bookmarkEnd w:id="346"/>
    </w:p>
    <w:p w14:paraId="65A95E02">
      <w:pPr>
        <w:autoSpaceDE w:val="0"/>
        <w:autoSpaceDN w:val="0"/>
        <w:adjustRightInd w:val="0"/>
        <w:snapToGrid w:val="0"/>
        <w:spacing w:line="400" w:lineRule="exact"/>
        <w:ind w:firstLine="420" w:firstLineChars="200"/>
        <w:jc w:val="left"/>
        <w:rPr>
          <w:color w:val="auto"/>
          <w:szCs w:val="21"/>
        </w:rPr>
      </w:pPr>
      <w:r>
        <w:rPr>
          <w:color w:val="auto"/>
          <w:szCs w:val="21"/>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3A328A7F">
      <w:pPr>
        <w:autoSpaceDE w:val="0"/>
        <w:autoSpaceDN w:val="0"/>
        <w:adjustRightInd w:val="0"/>
        <w:snapToGrid w:val="0"/>
        <w:spacing w:line="400" w:lineRule="exact"/>
        <w:ind w:firstLine="420" w:firstLineChars="200"/>
        <w:jc w:val="left"/>
        <w:rPr>
          <w:color w:val="auto"/>
          <w:szCs w:val="21"/>
        </w:rPr>
      </w:pPr>
      <w:r>
        <w:rPr>
          <w:color w:val="auto"/>
          <w:szCs w:val="21"/>
        </w:rPr>
        <w:t xml:space="preserve">7.5 </w:t>
      </w:r>
      <w:r>
        <w:rPr>
          <w:rFonts w:hint="eastAsia" w:ascii="宋体" w:hAnsi="宋体" w:cs="宋体"/>
          <w:color w:val="auto"/>
          <w:szCs w:val="21"/>
        </w:rPr>
        <w:t>乙方在运输到达之前应提前通知甲方，并提示货物运输装卸的注意事项，甲方配合乙方做好货物的接收工作。</w:t>
      </w:r>
    </w:p>
    <w:p w14:paraId="39EBA3DE">
      <w:pPr>
        <w:pStyle w:val="145"/>
        <w:ind w:firstLine="420"/>
        <w:rPr>
          <w:rFonts w:hint="eastAsia"/>
          <w:color w:val="auto"/>
          <w:sz w:val="21"/>
        </w:rPr>
      </w:pPr>
      <w:r>
        <w:rPr>
          <w:color w:val="auto"/>
          <w:sz w:val="21"/>
        </w:rPr>
        <w:t xml:space="preserve">7.6 </w:t>
      </w:r>
      <w:r>
        <w:rPr>
          <w:rFonts w:hint="eastAsia" w:ascii="宋体" w:hAnsi="宋体" w:eastAsia="宋体" w:cs="Times New Roman"/>
          <w:color w:val="auto"/>
          <w:sz w:val="21"/>
        </w:rPr>
        <w:t>如因包装、运输问题导致货物</w:t>
      </w:r>
      <w:r>
        <w:rPr>
          <w:color w:val="auto"/>
          <w:sz w:val="21"/>
        </w:rPr>
        <w:t>损毁、丢失</w:t>
      </w:r>
      <w:r>
        <w:rPr>
          <w:rFonts w:hint="eastAsia" w:ascii="宋体" w:hAnsi="宋体" w:eastAsia="宋体" w:cs="Times New Roman"/>
          <w:color w:val="auto"/>
          <w:sz w:val="21"/>
        </w:rPr>
        <w:t>或者品质下降，甲方有权要求降价、换货、拒收部分或整批货物，由此产生的费用和损失，均由乙方承担。</w:t>
      </w:r>
    </w:p>
    <w:p w14:paraId="50A5AE44">
      <w:pPr>
        <w:adjustRightInd w:val="0"/>
        <w:snapToGrid w:val="0"/>
        <w:spacing w:line="400" w:lineRule="exact"/>
        <w:jc w:val="left"/>
        <w:outlineLvl w:val="2"/>
        <w:rPr>
          <w:rFonts w:hint="eastAsia" w:ascii="宋体" w:hAnsi="宋体"/>
          <w:b/>
          <w:color w:val="auto"/>
          <w:sz w:val="24"/>
        </w:rPr>
      </w:pPr>
      <w:bookmarkStart w:id="347" w:name="_Toc15216"/>
      <w:bookmarkStart w:id="348" w:name="_Toc15708"/>
      <w:bookmarkStart w:id="349" w:name="_Toc5619"/>
      <w:r>
        <w:rPr>
          <w:b/>
          <w:color w:val="auto"/>
          <w:sz w:val="24"/>
        </w:rPr>
        <w:t xml:space="preserve">8. </w:t>
      </w:r>
      <w:r>
        <w:rPr>
          <w:rFonts w:hint="eastAsia" w:ascii="宋体" w:hAnsi="宋体"/>
          <w:b/>
          <w:color w:val="auto"/>
          <w:sz w:val="24"/>
        </w:rPr>
        <w:t>质量标准和保证</w:t>
      </w:r>
      <w:bookmarkEnd w:id="347"/>
      <w:bookmarkEnd w:id="348"/>
      <w:bookmarkEnd w:id="349"/>
    </w:p>
    <w:p w14:paraId="5C99C9DE">
      <w:pPr>
        <w:pStyle w:val="22"/>
        <w:adjustRightInd w:val="0"/>
        <w:snapToGrid w:val="0"/>
        <w:spacing w:line="400" w:lineRule="exact"/>
        <w:ind w:firstLine="420" w:firstLineChars="200"/>
        <w:jc w:val="left"/>
        <w:outlineLvl w:val="3"/>
        <w:rPr>
          <w:rFonts w:hint="eastAsia" w:hAnsi="宋体"/>
          <w:b/>
          <w:color w:val="auto"/>
        </w:rPr>
      </w:pPr>
      <w:bookmarkStart w:id="350" w:name="_Toc19219"/>
      <w:bookmarkStart w:id="351" w:name="_Toc29403"/>
      <w:bookmarkStart w:id="352" w:name="_Toc21992"/>
      <w:r>
        <w:rPr>
          <w:rFonts w:hint="eastAsia" w:hAnsi="宋体"/>
          <w:color w:val="auto"/>
        </w:rPr>
        <w:t>8.1 质量标准</w:t>
      </w:r>
      <w:bookmarkEnd w:id="350"/>
      <w:bookmarkEnd w:id="351"/>
      <w:bookmarkEnd w:id="352"/>
    </w:p>
    <w:p w14:paraId="5BFD4D12">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（1）本合同下提供的货物应符合合同</w:t>
      </w:r>
      <w:r>
        <w:rPr>
          <w:rFonts w:hint="eastAsia" w:ascii="宋体" w:hAnsi="宋体" w:cs="宋体"/>
          <w:color w:val="auto"/>
          <w:szCs w:val="21"/>
        </w:rPr>
        <w:t>约定的品牌、规格型号、技术性能、配置、质量、数量等要求。</w:t>
      </w:r>
      <w:r>
        <w:rPr>
          <w:rFonts w:hint="eastAsia" w:ascii="宋体" w:hAnsi="宋体"/>
          <w:color w:val="auto"/>
          <w:szCs w:val="21"/>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0F45FD93">
      <w:pPr>
        <w:pStyle w:val="22"/>
        <w:adjustRightInd w:val="0"/>
        <w:snapToGrid w:val="0"/>
        <w:spacing w:line="400" w:lineRule="exact"/>
        <w:ind w:firstLine="420" w:firstLineChars="200"/>
        <w:jc w:val="left"/>
        <w:rPr>
          <w:rFonts w:hint="eastAsia" w:hAnsi="宋体"/>
          <w:color w:val="auto"/>
        </w:rPr>
      </w:pPr>
      <w:r>
        <w:rPr>
          <w:rFonts w:hint="eastAsia" w:hAnsi="宋体"/>
          <w:color w:val="auto"/>
        </w:rPr>
        <w:t>（2）采用中华人民共和国法定计量单位。</w:t>
      </w:r>
    </w:p>
    <w:p w14:paraId="5AA0E748">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（3）乙方所提供的货物应符合国家有关安全、环保、卫生的规定。</w:t>
      </w:r>
    </w:p>
    <w:p w14:paraId="4ACFF7BE">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（4）乙方应向甲方提交所提供货物的技术文件，包括相应的中文技术文件，如：产品目录、图纸、操作手册、使用说明、维护手册或服务指南等。上述文件应包装好随货物一同发运。</w:t>
      </w:r>
    </w:p>
    <w:p w14:paraId="7952B434">
      <w:pPr>
        <w:autoSpaceDE w:val="0"/>
        <w:autoSpaceDN w:val="0"/>
        <w:adjustRightInd w:val="0"/>
        <w:snapToGrid w:val="0"/>
        <w:spacing w:line="400" w:lineRule="exact"/>
        <w:ind w:firstLine="420" w:firstLineChars="200"/>
        <w:jc w:val="left"/>
        <w:outlineLvl w:val="3"/>
        <w:rPr>
          <w:rFonts w:hint="eastAsia" w:ascii="宋体" w:hAnsi="宋体"/>
          <w:color w:val="auto"/>
          <w:szCs w:val="21"/>
        </w:rPr>
      </w:pPr>
      <w:bookmarkStart w:id="353" w:name="_Toc11422"/>
      <w:bookmarkStart w:id="354" w:name="_Toc5027"/>
      <w:bookmarkStart w:id="355" w:name="_Toc530"/>
      <w:r>
        <w:rPr>
          <w:rFonts w:hint="eastAsia" w:ascii="宋体" w:hAnsi="宋体"/>
          <w:color w:val="auto"/>
          <w:szCs w:val="21"/>
        </w:rPr>
        <w:t>8.2 保证</w:t>
      </w:r>
      <w:bookmarkEnd w:id="353"/>
      <w:bookmarkEnd w:id="354"/>
      <w:bookmarkEnd w:id="355"/>
    </w:p>
    <w:p w14:paraId="7A187591">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乙方应保证提供的货物完全符合合同规定的质量、规格和性能要求。乙方应保证货物在正确安装、正常使用和保养条件下，在其使用寿命期内具备合同约定的性能。存在质量保证期的，货物最终交付验收合格后在【政府采购合同专用条款】规定或乙方书面承诺（两者以较长的为准）的质量保证期内，本保证保持有效。</w:t>
      </w:r>
    </w:p>
    <w:p w14:paraId="47EEC9F5">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（2）在质量保证期内所发现的缺陷，甲方应尽快以书面形式通知乙方。</w:t>
      </w:r>
    </w:p>
    <w:p w14:paraId="1C272B8E">
      <w:pPr>
        <w:autoSpaceDE w:val="0"/>
        <w:autoSpaceDN w:val="0"/>
        <w:adjustRightInd w:val="0"/>
        <w:snapToGrid w:val="0"/>
        <w:spacing w:line="400" w:lineRule="exact"/>
        <w:ind w:firstLine="420" w:firstLineChars="200"/>
        <w:jc w:val="left"/>
        <w:rPr>
          <w:rFonts w:hint="eastAsia" w:ascii="宋体" w:hAnsi="宋体"/>
          <w:color w:val="auto"/>
          <w:szCs w:val="20"/>
        </w:rPr>
      </w:pPr>
      <w:r>
        <w:rPr>
          <w:rFonts w:hint="eastAsia" w:ascii="宋体" w:hAnsi="宋体"/>
          <w:color w:val="auto"/>
          <w:szCs w:val="20"/>
        </w:rPr>
        <w:t>（3）乙方收到通知后，应在【政府采购合同专用条款】规定的响应时间内以合理的速度免费维修或更换有缺陷的货物或部件。</w:t>
      </w:r>
    </w:p>
    <w:p w14:paraId="04C9AC63">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（4）在质量保证期内，如果货物的质量或规格与合同不符，或证实货物是有缺陷的，包括潜在的缺陷或使用不符合要求的材料等，甲方可以根据本合同第1</w:t>
      </w:r>
      <w:r>
        <w:rPr>
          <w:color w:val="auto"/>
          <w:szCs w:val="21"/>
        </w:rPr>
        <w:t>5</w:t>
      </w:r>
      <w:r>
        <w:rPr>
          <w:rFonts w:hint="eastAsia" w:ascii="宋体" w:hAnsi="宋体"/>
          <w:color w:val="auto"/>
          <w:szCs w:val="21"/>
        </w:rPr>
        <w:t>.1条规定以书面形式</w:t>
      </w:r>
      <w:r>
        <w:rPr>
          <w:color w:val="auto"/>
          <w:szCs w:val="21"/>
        </w:rPr>
        <w:t>追究</w:t>
      </w:r>
      <w:r>
        <w:rPr>
          <w:rFonts w:hint="eastAsia" w:ascii="宋体" w:hAnsi="宋体"/>
          <w:color w:val="auto"/>
          <w:szCs w:val="21"/>
        </w:rPr>
        <w:t>乙方</w:t>
      </w:r>
      <w:r>
        <w:rPr>
          <w:color w:val="auto"/>
          <w:szCs w:val="21"/>
        </w:rPr>
        <w:t>的违约责任</w:t>
      </w:r>
      <w:r>
        <w:rPr>
          <w:rFonts w:hint="eastAsia" w:ascii="宋体" w:hAnsi="宋体"/>
          <w:color w:val="auto"/>
          <w:szCs w:val="21"/>
        </w:rPr>
        <w:t>。</w:t>
      </w:r>
    </w:p>
    <w:p w14:paraId="1B892071">
      <w:pPr>
        <w:adjustRightInd w:val="0"/>
        <w:snapToGrid w:val="0"/>
        <w:spacing w:line="400" w:lineRule="exact"/>
        <w:ind w:firstLine="420" w:firstLineChars="200"/>
        <w:jc w:val="left"/>
        <w:rPr>
          <w:color w:val="auto"/>
        </w:rPr>
      </w:pPr>
      <w:r>
        <w:rPr>
          <w:rFonts w:hint="eastAsia" w:ascii="宋体" w:hAnsi="宋体"/>
          <w:color w:val="auto"/>
          <w:szCs w:val="21"/>
        </w:rPr>
        <w:t>（5）乙方在约定的时间内未能弥补缺陷，甲方可采取必要的补救措施，但其风险和费用将由乙方承担，甲方根据合同约定对乙方行使的其他权利不受影响。</w:t>
      </w:r>
    </w:p>
    <w:p w14:paraId="157AE37F">
      <w:pPr>
        <w:adjustRightInd w:val="0"/>
        <w:snapToGrid w:val="0"/>
        <w:spacing w:line="400" w:lineRule="exact"/>
        <w:jc w:val="left"/>
        <w:outlineLvl w:val="2"/>
        <w:rPr>
          <w:rFonts w:hint="eastAsia" w:ascii="宋体" w:hAnsi="宋体"/>
          <w:b/>
          <w:bCs/>
          <w:color w:val="auto"/>
          <w:sz w:val="24"/>
        </w:rPr>
      </w:pPr>
      <w:bookmarkStart w:id="356" w:name="_Toc29609"/>
      <w:bookmarkStart w:id="357" w:name="_Toc5030"/>
      <w:bookmarkStart w:id="358" w:name="_Toc28954"/>
      <w:r>
        <w:rPr>
          <w:b/>
          <w:bCs/>
          <w:color w:val="auto"/>
          <w:sz w:val="24"/>
        </w:rPr>
        <w:t>9</w:t>
      </w:r>
      <w:r>
        <w:rPr>
          <w:rFonts w:hint="eastAsia" w:ascii="宋体" w:hAnsi="宋体"/>
          <w:b/>
          <w:bCs/>
          <w:color w:val="auto"/>
          <w:sz w:val="24"/>
        </w:rPr>
        <w:t>.</w:t>
      </w:r>
      <w:r>
        <w:rPr>
          <w:b/>
          <w:bCs/>
          <w:color w:val="auto"/>
          <w:sz w:val="24"/>
        </w:rPr>
        <w:t xml:space="preserve"> </w:t>
      </w:r>
      <w:r>
        <w:rPr>
          <w:rFonts w:hint="eastAsia" w:ascii="宋体" w:hAnsi="宋体"/>
          <w:b/>
          <w:bCs/>
          <w:color w:val="auto"/>
          <w:sz w:val="24"/>
        </w:rPr>
        <w:t>权利瑕疵担保</w:t>
      </w:r>
      <w:bookmarkEnd w:id="356"/>
      <w:bookmarkEnd w:id="357"/>
      <w:bookmarkEnd w:id="358"/>
    </w:p>
    <w:p w14:paraId="6E1BC1BB">
      <w:pPr>
        <w:autoSpaceDE w:val="0"/>
        <w:autoSpaceDN w:val="0"/>
        <w:adjustRightInd w:val="0"/>
        <w:snapToGrid w:val="0"/>
        <w:spacing w:line="400" w:lineRule="exact"/>
        <w:ind w:firstLine="420" w:firstLineChars="200"/>
        <w:jc w:val="left"/>
        <w:rPr>
          <w:color w:val="auto"/>
          <w:szCs w:val="21"/>
        </w:rPr>
      </w:pPr>
      <w:r>
        <w:rPr>
          <w:color w:val="auto"/>
          <w:szCs w:val="21"/>
        </w:rPr>
        <w:t>9.1 乙方保证对其出售的货物享有合法的权利。</w:t>
      </w:r>
    </w:p>
    <w:p w14:paraId="21D11399">
      <w:pPr>
        <w:autoSpaceDE w:val="0"/>
        <w:autoSpaceDN w:val="0"/>
        <w:adjustRightInd w:val="0"/>
        <w:snapToGrid w:val="0"/>
        <w:spacing w:line="400" w:lineRule="exact"/>
        <w:ind w:firstLine="420" w:firstLineChars="200"/>
        <w:jc w:val="left"/>
        <w:rPr>
          <w:color w:val="auto"/>
          <w:szCs w:val="21"/>
        </w:rPr>
      </w:pPr>
      <w:r>
        <w:rPr>
          <w:color w:val="auto"/>
          <w:szCs w:val="21"/>
        </w:rPr>
        <w:t xml:space="preserve">9.2 </w:t>
      </w:r>
      <w:r>
        <w:rPr>
          <w:rFonts w:hint="eastAsia" w:ascii="宋体" w:hAnsi="宋体" w:cs="宋体"/>
          <w:color w:val="auto"/>
          <w:szCs w:val="15"/>
        </w:rPr>
        <w:t>乙方保证在交付的货物上不存在抵押权等担保物权。</w:t>
      </w:r>
    </w:p>
    <w:p w14:paraId="5177AC7A">
      <w:pPr>
        <w:autoSpaceDE w:val="0"/>
        <w:autoSpaceDN w:val="0"/>
        <w:adjustRightInd w:val="0"/>
        <w:snapToGrid w:val="0"/>
        <w:spacing w:line="400" w:lineRule="exact"/>
        <w:ind w:firstLine="420" w:firstLineChars="200"/>
        <w:jc w:val="left"/>
        <w:rPr>
          <w:color w:val="auto"/>
          <w:szCs w:val="21"/>
        </w:rPr>
      </w:pPr>
      <w:r>
        <w:rPr>
          <w:color w:val="auto"/>
          <w:szCs w:val="21"/>
        </w:rPr>
        <w:t>9.3 如甲方使用上述货物构成对第三人侵权的，则由乙方承担全部责任。</w:t>
      </w:r>
    </w:p>
    <w:p w14:paraId="241868C5">
      <w:pPr>
        <w:autoSpaceDE w:val="0"/>
        <w:autoSpaceDN w:val="0"/>
        <w:adjustRightInd w:val="0"/>
        <w:snapToGrid w:val="0"/>
        <w:spacing w:line="400" w:lineRule="exact"/>
        <w:jc w:val="left"/>
        <w:outlineLvl w:val="2"/>
        <w:rPr>
          <w:b/>
          <w:bCs/>
          <w:color w:val="auto"/>
          <w:sz w:val="24"/>
        </w:rPr>
      </w:pPr>
      <w:bookmarkStart w:id="359" w:name="_Toc19985"/>
      <w:bookmarkStart w:id="360" w:name="_Toc1595"/>
      <w:bookmarkStart w:id="361" w:name="_Toc3260"/>
      <w:r>
        <w:rPr>
          <w:b/>
          <w:bCs/>
          <w:color w:val="auto"/>
          <w:sz w:val="24"/>
        </w:rPr>
        <w:t>10. 知识产权保护</w:t>
      </w:r>
      <w:bookmarkEnd w:id="359"/>
      <w:bookmarkEnd w:id="360"/>
      <w:bookmarkEnd w:id="361"/>
    </w:p>
    <w:p w14:paraId="1887DF27">
      <w:pPr>
        <w:autoSpaceDE w:val="0"/>
        <w:autoSpaceDN w:val="0"/>
        <w:adjustRightInd w:val="0"/>
        <w:snapToGrid w:val="0"/>
        <w:spacing w:line="400" w:lineRule="exact"/>
        <w:ind w:firstLine="420" w:firstLineChars="200"/>
        <w:jc w:val="left"/>
        <w:rPr>
          <w:rFonts w:hint="eastAsia" w:ascii="宋体" w:hAnsi="宋体"/>
          <w:color w:val="auto"/>
          <w:szCs w:val="21"/>
        </w:rPr>
      </w:pPr>
      <w:bookmarkStart w:id="362" w:name="_Hlk163047038"/>
      <w:bookmarkEnd w:id="362"/>
      <w:r>
        <w:rPr>
          <w:color w:val="auto"/>
          <w:szCs w:val="21"/>
        </w:rPr>
        <w:t>10.1 乙方对其所销售的货物应当享有知识产权或经权利人合法授权，保证没有侵犯任</w:t>
      </w:r>
      <w:r>
        <w:rPr>
          <w:rFonts w:hint="eastAsia" w:ascii="宋体" w:hAnsi="宋体"/>
          <w:color w:val="auto"/>
          <w:szCs w:val="21"/>
        </w:rPr>
        <w:t>何第三人的知识产权等权利。</w:t>
      </w:r>
      <w:r>
        <w:rPr>
          <w:rFonts w:hint="eastAsia" w:ascii="宋体" w:hAnsi="宋体" w:cs="宋体"/>
          <w:color w:val="auto"/>
          <w:szCs w:val="15"/>
        </w:rPr>
        <w:t>因违反前述约定对第三人构成侵权的，应当由乙方向第三人承担法律责任；甲方依法向第三人赔偿后，有权向乙方追偿。甲方有其他损失的，乙方应当赔偿</w:t>
      </w:r>
      <w:r>
        <w:rPr>
          <w:rFonts w:hint="eastAsia" w:ascii="宋体" w:hAnsi="宋体"/>
          <w:color w:val="auto"/>
          <w:szCs w:val="21"/>
        </w:rPr>
        <w:t>。</w:t>
      </w:r>
    </w:p>
    <w:p w14:paraId="556C9987">
      <w:pPr>
        <w:autoSpaceDE w:val="0"/>
        <w:autoSpaceDN w:val="0"/>
        <w:adjustRightInd w:val="0"/>
        <w:snapToGrid w:val="0"/>
        <w:spacing w:line="400" w:lineRule="exact"/>
        <w:jc w:val="left"/>
        <w:outlineLvl w:val="2"/>
        <w:rPr>
          <w:rFonts w:hint="eastAsia" w:ascii="宋体" w:hAnsi="宋体"/>
          <w:b/>
          <w:bCs/>
          <w:color w:val="auto"/>
          <w:sz w:val="24"/>
        </w:rPr>
      </w:pPr>
      <w:bookmarkStart w:id="363" w:name="_Toc1348"/>
      <w:bookmarkStart w:id="364" w:name="_Toc15612"/>
      <w:bookmarkStart w:id="365" w:name="_Toc18829"/>
      <w:r>
        <w:rPr>
          <w:rFonts w:hint="eastAsia" w:ascii="宋体" w:hAnsi="宋体"/>
          <w:b/>
          <w:bCs/>
          <w:color w:val="auto"/>
          <w:sz w:val="24"/>
        </w:rPr>
        <w:t>11. 保密义务</w:t>
      </w:r>
      <w:bookmarkEnd w:id="363"/>
      <w:bookmarkEnd w:id="364"/>
      <w:bookmarkEnd w:id="365"/>
    </w:p>
    <w:p w14:paraId="6B9130A2">
      <w:pPr>
        <w:autoSpaceDE w:val="0"/>
        <w:autoSpaceDN w:val="0"/>
        <w:adjustRightInd w:val="0"/>
        <w:snapToGrid w:val="0"/>
        <w:spacing w:line="400" w:lineRule="exact"/>
        <w:ind w:firstLine="420" w:firstLineChars="200"/>
        <w:jc w:val="left"/>
        <w:rPr>
          <w:rFonts w:hint="eastAsia" w:ascii="宋体" w:hAnsi="宋体" w:cs="宋体"/>
          <w:color w:val="auto"/>
          <w:szCs w:val="15"/>
        </w:rPr>
      </w:pPr>
      <w:r>
        <w:rPr>
          <w:rFonts w:hint="eastAsia" w:ascii="宋体" w:hAnsi="宋体" w:cs="宋体"/>
          <w:color w:val="auto"/>
          <w:szCs w:val="15"/>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政府采购合同专用条款】中约定。</w:t>
      </w:r>
    </w:p>
    <w:p w14:paraId="5FB56D8A">
      <w:pPr>
        <w:autoSpaceDE w:val="0"/>
        <w:autoSpaceDN w:val="0"/>
        <w:adjustRightInd w:val="0"/>
        <w:snapToGrid w:val="0"/>
        <w:spacing w:line="400" w:lineRule="exact"/>
        <w:jc w:val="left"/>
        <w:outlineLvl w:val="2"/>
        <w:rPr>
          <w:rFonts w:hint="eastAsia" w:ascii="宋体" w:hAnsi="宋体"/>
          <w:b/>
          <w:bCs/>
          <w:color w:val="auto"/>
          <w:sz w:val="24"/>
        </w:rPr>
      </w:pPr>
      <w:bookmarkStart w:id="366" w:name="_Toc5526"/>
      <w:bookmarkStart w:id="367" w:name="_Toc4804"/>
      <w:bookmarkStart w:id="368" w:name="_Toc19622"/>
      <w:r>
        <w:rPr>
          <w:rFonts w:hint="eastAsia" w:ascii="宋体" w:hAnsi="宋体"/>
          <w:b/>
          <w:bCs/>
          <w:color w:val="auto"/>
          <w:sz w:val="24"/>
        </w:rPr>
        <w:t>12. 合同价款支付</w:t>
      </w:r>
      <w:bookmarkEnd w:id="366"/>
      <w:bookmarkEnd w:id="367"/>
      <w:bookmarkEnd w:id="368"/>
    </w:p>
    <w:p w14:paraId="5476341E">
      <w:pPr>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12.1 合同价款支付按照国库集中支付制度及财政管理相关规定执行。</w:t>
      </w:r>
    </w:p>
    <w:p w14:paraId="6739D5D6">
      <w:pPr>
        <w:pStyle w:val="3"/>
        <w:spacing w:line="400" w:lineRule="exact"/>
        <w:ind w:firstLine="420" w:firstLineChars="200"/>
        <w:rPr>
          <w:rFonts w:hint="eastAsia" w:ascii="宋体" w:hAnsi="宋体" w:cs="宋体"/>
          <w:b w:val="0"/>
          <w:bCs w:val="0"/>
          <w:color w:val="auto"/>
          <w:sz w:val="21"/>
          <w:szCs w:val="15"/>
        </w:rPr>
      </w:pPr>
      <w:bookmarkStart w:id="369" w:name="_Toc31212"/>
      <w:bookmarkStart w:id="370" w:name="_Toc4868"/>
      <w:bookmarkStart w:id="371" w:name="_Toc21469"/>
      <w:r>
        <w:rPr>
          <w:rFonts w:hint="eastAsia" w:ascii="宋体" w:hAnsi="宋体" w:cs="宋体"/>
          <w:b w:val="0"/>
          <w:bCs w:val="0"/>
          <w:color w:val="auto"/>
          <w:sz w:val="21"/>
          <w:szCs w:val="15"/>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政府采购合同专用条款】中约定。</w:t>
      </w:r>
      <w:bookmarkEnd w:id="369"/>
      <w:bookmarkEnd w:id="370"/>
      <w:bookmarkEnd w:id="371"/>
    </w:p>
    <w:p w14:paraId="4C8EB7CF">
      <w:pPr>
        <w:pStyle w:val="18"/>
        <w:spacing w:after="0" w:line="400" w:lineRule="exact"/>
        <w:outlineLvl w:val="2"/>
        <w:rPr>
          <w:rFonts w:hint="eastAsia" w:ascii="宋体" w:hAnsi="宋体"/>
          <w:b/>
          <w:bCs/>
          <w:color w:val="auto"/>
          <w:sz w:val="24"/>
          <w:szCs w:val="24"/>
        </w:rPr>
      </w:pPr>
      <w:bookmarkStart w:id="372" w:name="_Toc5192"/>
      <w:bookmarkStart w:id="373" w:name="_Toc20428"/>
      <w:bookmarkStart w:id="374" w:name="_Toc4592"/>
      <w:r>
        <w:rPr>
          <w:rFonts w:hint="eastAsia" w:ascii="宋体" w:hAnsi="宋体"/>
          <w:b/>
          <w:bCs/>
          <w:color w:val="auto"/>
          <w:sz w:val="24"/>
          <w:szCs w:val="24"/>
        </w:rPr>
        <w:t>13. 履约保证金</w:t>
      </w:r>
      <w:bookmarkEnd w:id="372"/>
      <w:bookmarkEnd w:id="373"/>
      <w:bookmarkEnd w:id="374"/>
    </w:p>
    <w:p w14:paraId="4D041481">
      <w:pPr>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 xml:space="preserve">13.1 </w:t>
      </w:r>
      <w:r>
        <w:rPr>
          <w:rFonts w:hint="eastAsia" w:ascii="宋体" w:hAnsi="宋体" w:cs="宋体"/>
          <w:color w:val="auto"/>
          <w:szCs w:val="15"/>
        </w:rPr>
        <w:t>乙方应当以支票、汇票、本票或者金融机构、担保机构出具的保函等非现金形式提交。</w:t>
      </w:r>
    </w:p>
    <w:p w14:paraId="65431E62">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13.2 如果乙方出现【政府采购合同专用条款】约定情形的，履约保证金不予退还；如果乙方未能按合同约定全面履行义务，甲方有权从履约保证金中取得补偿或赔偿，且不影响甲方要求乙方承担合同约定的超过履约保证金的违约责任的权利。</w:t>
      </w:r>
    </w:p>
    <w:p w14:paraId="2DE81647">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13.3 甲方在项目通过验收后按照【政府采购合同专用条款】规定的时间内将履约保证金退还乙方；逾期退还的，乙方可要求甲方支付违约金，违约金按照【政府采购合同专用条款】规定支付。</w:t>
      </w:r>
    </w:p>
    <w:p w14:paraId="2228ACE3">
      <w:pPr>
        <w:autoSpaceDE w:val="0"/>
        <w:autoSpaceDN w:val="0"/>
        <w:adjustRightInd w:val="0"/>
        <w:snapToGrid w:val="0"/>
        <w:spacing w:line="400" w:lineRule="exact"/>
        <w:jc w:val="left"/>
        <w:outlineLvl w:val="2"/>
        <w:rPr>
          <w:rFonts w:hint="eastAsia" w:ascii="宋体" w:hAnsi="宋体"/>
          <w:b/>
          <w:color w:val="auto"/>
          <w:sz w:val="24"/>
        </w:rPr>
      </w:pPr>
      <w:bookmarkStart w:id="375" w:name="_Toc27187"/>
      <w:bookmarkStart w:id="376" w:name="_Toc18645"/>
      <w:bookmarkStart w:id="377" w:name="_Toc19721"/>
      <w:r>
        <w:rPr>
          <w:rFonts w:hint="eastAsia" w:ascii="宋体" w:hAnsi="宋体"/>
          <w:b/>
          <w:bCs/>
          <w:color w:val="auto"/>
          <w:sz w:val="24"/>
        </w:rPr>
        <w:t xml:space="preserve">14. </w:t>
      </w:r>
      <w:r>
        <w:rPr>
          <w:rFonts w:hint="eastAsia"/>
          <w:b/>
          <w:color w:val="auto"/>
          <w:sz w:val="24"/>
        </w:rPr>
        <w:t>售后</w:t>
      </w:r>
      <w:r>
        <w:rPr>
          <w:rFonts w:hint="eastAsia" w:ascii="宋体" w:hAnsi="宋体"/>
          <w:b/>
          <w:color w:val="auto"/>
          <w:sz w:val="24"/>
        </w:rPr>
        <w:t>服务</w:t>
      </w:r>
      <w:bookmarkEnd w:id="375"/>
      <w:bookmarkEnd w:id="376"/>
      <w:bookmarkEnd w:id="377"/>
    </w:p>
    <w:p w14:paraId="47D6E13F">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14.1 除项目不涉及或采购活动中明确约定无须承担外，乙方还应提供下列服务：</w:t>
      </w:r>
    </w:p>
    <w:p w14:paraId="1BEDF497">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（1）货物的现场移动、安装、调试、启动监督及技术支持；</w:t>
      </w:r>
    </w:p>
    <w:p w14:paraId="564C5682">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（2）提供货物组装和维修所需的专用工具和辅助材料；</w:t>
      </w:r>
    </w:p>
    <w:p w14:paraId="65517B14">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（3）在【政府采购合同专用条款】约定的期限内对所有的货物实施运行监督、维修，但前提条件是该服务并不能免除乙方在质量保证期内所承担的义务；</w:t>
      </w:r>
    </w:p>
    <w:p w14:paraId="0FBBA2BC">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（4）在制造商所在地或指定现场就货物的安装、启动、运营、维护、废弃处置等对甲方操作人员进行培训</w:t>
      </w:r>
      <w:r>
        <w:rPr>
          <w:rFonts w:hint="eastAsia" w:ascii="宋体" w:hAnsi="宋体" w:cs="宋体"/>
          <w:color w:val="auto"/>
          <w:szCs w:val="15"/>
        </w:rPr>
        <w:t>；</w:t>
      </w:r>
    </w:p>
    <w:p w14:paraId="6AA307A8">
      <w:pPr>
        <w:pStyle w:val="145"/>
        <w:ind w:firstLine="420"/>
        <w:rPr>
          <w:rFonts w:hint="eastAsia" w:ascii="宋体" w:hAnsi="宋体" w:eastAsia="宋体" w:cs="Times New Roman"/>
          <w:color w:val="auto"/>
          <w:sz w:val="21"/>
        </w:rPr>
      </w:pPr>
      <w:r>
        <w:rPr>
          <w:rFonts w:hint="eastAsia" w:ascii="宋体" w:hAnsi="宋体" w:eastAsia="宋体" w:cs="Times New Roman"/>
          <w:color w:val="auto"/>
          <w:sz w:val="21"/>
        </w:rPr>
        <w:t>（5）依照法律、行政法规的规定或者按照【政府采购合同专用条款】约定，货物在有效使用年限届满后应予回收的，乙方负有自行或者委托第三人对货物予以回收的义务；</w:t>
      </w:r>
    </w:p>
    <w:p w14:paraId="3FFB6F69">
      <w:pPr>
        <w:autoSpaceDE w:val="0"/>
        <w:autoSpaceDN w:val="0"/>
        <w:adjustRightInd w:val="0"/>
        <w:snapToGrid w:val="0"/>
        <w:spacing w:line="400" w:lineRule="exact"/>
        <w:ind w:firstLine="420" w:firstLineChars="200"/>
        <w:jc w:val="left"/>
        <w:outlineLvl w:val="3"/>
        <w:rPr>
          <w:rFonts w:hint="eastAsia" w:ascii="宋体" w:hAnsi="宋体"/>
          <w:color w:val="auto"/>
          <w:szCs w:val="21"/>
        </w:rPr>
      </w:pPr>
      <w:bookmarkStart w:id="378" w:name="_Toc12665"/>
      <w:bookmarkStart w:id="379" w:name="_Toc26514"/>
      <w:bookmarkStart w:id="380" w:name="_Toc12570"/>
      <w:r>
        <w:rPr>
          <w:rFonts w:hint="eastAsia" w:ascii="宋体" w:hAnsi="宋体"/>
          <w:color w:val="auto"/>
          <w:szCs w:val="21"/>
        </w:rPr>
        <w:t>（6）【政府采购合同专用条款】规定由乙方提供的其他服务。</w:t>
      </w:r>
      <w:bookmarkEnd w:id="378"/>
      <w:bookmarkEnd w:id="379"/>
      <w:bookmarkEnd w:id="380"/>
    </w:p>
    <w:p w14:paraId="18A06741">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14.2 乙方提供的售后服务的费用已包含在合同价款中，甲方不再另行支付。</w:t>
      </w:r>
    </w:p>
    <w:p w14:paraId="2B8E8A41">
      <w:pPr>
        <w:adjustRightInd w:val="0"/>
        <w:snapToGrid w:val="0"/>
        <w:spacing w:line="400" w:lineRule="exact"/>
        <w:jc w:val="left"/>
        <w:outlineLvl w:val="2"/>
        <w:rPr>
          <w:rFonts w:hint="eastAsia" w:ascii="宋体" w:hAnsi="宋体"/>
          <w:b/>
          <w:bCs/>
          <w:color w:val="auto"/>
          <w:sz w:val="24"/>
        </w:rPr>
      </w:pPr>
      <w:bookmarkStart w:id="381" w:name="_Toc25642"/>
      <w:bookmarkStart w:id="382" w:name="_Toc9596"/>
      <w:bookmarkStart w:id="383" w:name="_Toc6559"/>
      <w:r>
        <w:rPr>
          <w:rFonts w:hint="eastAsia" w:ascii="宋体" w:hAnsi="宋体"/>
          <w:b/>
          <w:bCs/>
          <w:color w:val="auto"/>
          <w:sz w:val="24"/>
        </w:rPr>
        <w:t>15. 违约责任</w:t>
      </w:r>
      <w:bookmarkEnd w:id="381"/>
      <w:bookmarkEnd w:id="382"/>
      <w:bookmarkEnd w:id="383"/>
    </w:p>
    <w:p w14:paraId="686D59C6">
      <w:pPr>
        <w:adjustRightInd w:val="0"/>
        <w:snapToGrid w:val="0"/>
        <w:spacing w:line="400" w:lineRule="exact"/>
        <w:ind w:firstLine="420" w:firstLineChars="200"/>
        <w:jc w:val="left"/>
        <w:outlineLvl w:val="3"/>
        <w:rPr>
          <w:rFonts w:hint="eastAsia" w:ascii="宋体" w:hAnsi="宋体"/>
          <w:bCs/>
          <w:color w:val="auto"/>
          <w:szCs w:val="21"/>
        </w:rPr>
      </w:pPr>
      <w:bookmarkStart w:id="384" w:name="_Toc25478"/>
      <w:bookmarkStart w:id="385" w:name="_Toc15662"/>
      <w:bookmarkStart w:id="386" w:name="_Toc16630"/>
      <w:r>
        <w:rPr>
          <w:rFonts w:hint="eastAsia" w:ascii="宋体" w:hAnsi="宋体"/>
          <w:bCs/>
          <w:color w:val="auto"/>
          <w:szCs w:val="21"/>
        </w:rPr>
        <w:t>15.1质量瑕疵的违约责任</w:t>
      </w:r>
      <w:bookmarkEnd w:id="384"/>
      <w:bookmarkEnd w:id="385"/>
      <w:bookmarkEnd w:id="386"/>
    </w:p>
    <w:p w14:paraId="4A04D188">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乙方提供的产品不符合合同约定的质量标准或存在产品质量缺陷，甲方有权要求乙方根据【政府采购合同专用条款】要求及时修理、重作、更换，并承担由此给甲方造成的损失。</w:t>
      </w:r>
    </w:p>
    <w:p w14:paraId="7F3BEDD3">
      <w:pPr>
        <w:autoSpaceDE w:val="0"/>
        <w:autoSpaceDN w:val="0"/>
        <w:adjustRightInd w:val="0"/>
        <w:snapToGrid w:val="0"/>
        <w:spacing w:line="400" w:lineRule="exact"/>
        <w:ind w:firstLine="420" w:firstLineChars="200"/>
        <w:jc w:val="left"/>
        <w:outlineLvl w:val="3"/>
        <w:rPr>
          <w:rFonts w:hint="eastAsia" w:ascii="宋体" w:hAnsi="宋体"/>
          <w:bCs/>
          <w:color w:val="auto"/>
          <w:szCs w:val="21"/>
        </w:rPr>
      </w:pPr>
      <w:bookmarkStart w:id="387" w:name="_Toc21466"/>
      <w:bookmarkStart w:id="388" w:name="_Toc1309"/>
      <w:bookmarkStart w:id="389" w:name="_Toc24778"/>
      <w:r>
        <w:rPr>
          <w:rFonts w:hint="eastAsia" w:ascii="宋体" w:hAnsi="宋体"/>
          <w:bCs/>
          <w:color w:val="auto"/>
          <w:szCs w:val="21"/>
        </w:rPr>
        <w:t>15.2 迟延交货的违约责任</w:t>
      </w:r>
      <w:bookmarkEnd w:id="387"/>
      <w:bookmarkEnd w:id="388"/>
      <w:bookmarkEnd w:id="389"/>
    </w:p>
    <w:p w14:paraId="632FF223">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32EAB7F5">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2）如果乙方没有按照合同规定的时间交货和提供相关服务，甲方有权从货款中扣除误期赔偿费而不影响合同项下的其他补救方法，赔偿费按【政府采购合同专用条款】规定执行。如果涉及公共利益，且赔偿金额无法弥补公共利益损失，甲方可要求继续履行或者采取其他补救措施。</w:t>
      </w:r>
    </w:p>
    <w:p w14:paraId="16AEE0A2">
      <w:pPr>
        <w:autoSpaceDE w:val="0"/>
        <w:autoSpaceDN w:val="0"/>
        <w:adjustRightInd w:val="0"/>
        <w:snapToGrid w:val="0"/>
        <w:spacing w:line="400" w:lineRule="exact"/>
        <w:ind w:firstLine="420" w:firstLineChars="200"/>
        <w:jc w:val="left"/>
        <w:outlineLvl w:val="3"/>
        <w:rPr>
          <w:rFonts w:hint="eastAsia" w:ascii="宋体" w:hAnsi="宋体"/>
          <w:color w:val="auto"/>
          <w:szCs w:val="21"/>
        </w:rPr>
      </w:pPr>
      <w:bookmarkStart w:id="390" w:name="_Toc5333"/>
      <w:bookmarkStart w:id="391" w:name="_Toc3004"/>
      <w:bookmarkStart w:id="392" w:name="_Toc17764"/>
      <w:r>
        <w:rPr>
          <w:rFonts w:hint="eastAsia" w:ascii="宋体" w:hAnsi="宋体"/>
          <w:color w:val="auto"/>
          <w:szCs w:val="21"/>
        </w:rPr>
        <w:t>15.3 迟延支付的违约责任</w:t>
      </w:r>
      <w:bookmarkEnd w:id="390"/>
      <w:bookmarkEnd w:id="391"/>
      <w:bookmarkEnd w:id="392"/>
    </w:p>
    <w:p w14:paraId="74F06B54">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甲方存在迟延支付乙方合同款项的，应当承担【政府采购合同专用条款】规定的逾期付款利息。</w:t>
      </w:r>
    </w:p>
    <w:p w14:paraId="362D6E56">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15.4其他违约责任根据项目实际需要按【政府采购合同专用条款】规定执行。</w:t>
      </w:r>
    </w:p>
    <w:p w14:paraId="7D072DA3">
      <w:pPr>
        <w:numPr>
          <w:ilvl w:val="0"/>
          <w:numId w:val="10"/>
        </w:numPr>
        <w:autoSpaceDE w:val="0"/>
        <w:autoSpaceDN w:val="0"/>
        <w:adjustRightInd w:val="0"/>
        <w:snapToGrid w:val="0"/>
        <w:spacing w:line="400" w:lineRule="exact"/>
        <w:jc w:val="left"/>
        <w:outlineLvl w:val="2"/>
        <w:rPr>
          <w:rFonts w:hint="eastAsia" w:ascii="宋体" w:hAnsi="宋体"/>
          <w:b/>
          <w:color w:val="auto"/>
          <w:sz w:val="24"/>
        </w:rPr>
      </w:pPr>
      <w:bookmarkStart w:id="393" w:name="_Toc23436"/>
      <w:bookmarkStart w:id="394" w:name="_Toc27802"/>
      <w:bookmarkStart w:id="395" w:name="_Toc28885"/>
      <w:r>
        <w:rPr>
          <w:rFonts w:hint="eastAsia" w:ascii="宋体" w:hAnsi="宋体"/>
          <w:b/>
          <w:color w:val="auto"/>
          <w:sz w:val="24"/>
        </w:rPr>
        <w:t>合同变更、中止与终止</w:t>
      </w:r>
      <w:bookmarkEnd w:id="393"/>
      <w:bookmarkEnd w:id="394"/>
      <w:bookmarkEnd w:id="395"/>
    </w:p>
    <w:p w14:paraId="2412E541">
      <w:pPr>
        <w:adjustRightInd w:val="0"/>
        <w:snapToGrid w:val="0"/>
        <w:spacing w:line="400" w:lineRule="exact"/>
        <w:jc w:val="left"/>
        <w:outlineLvl w:val="3"/>
        <w:rPr>
          <w:rFonts w:hint="eastAsia" w:ascii="宋体" w:hAnsi="宋体"/>
          <w:color w:val="auto"/>
          <w:szCs w:val="21"/>
        </w:rPr>
      </w:pPr>
      <w:r>
        <w:rPr>
          <w:rFonts w:hint="eastAsia" w:ascii="宋体" w:hAnsi="宋体"/>
          <w:color w:val="auto"/>
          <w:szCs w:val="21"/>
        </w:rPr>
        <w:t xml:space="preserve">    </w:t>
      </w:r>
      <w:bookmarkStart w:id="396" w:name="_Toc18069"/>
      <w:bookmarkStart w:id="397" w:name="_Toc31046"/>
      <w:bookmarkStart w:id="398" w:name="_Toc23035"/>
      <w:r>
        <w:rPr>
          <w:rFonts w:hint="eastAsia" w:ascii="宋体" w:hAnsi="宋体"/>
          <w:color w:val="auto"/>
          <w:szCs w:val="21"/>
        </w:rPr>
        <w:t>16.1合同的变更</w:t>
      </w:r>
      <w:bookmarkEnd w:id="396"/>
      <w:bookmarkEnd w:id="397"/>
      <w:bookmarkEnd w:id="398"/>
    </w:p>
    <w:p w14:paraId="34F0C275">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政府采购合同履行中，在不改变合同其他条款的前提下，甲方可以在合同价款10%的范围内追加与合同标的相同的货物，并就此与乙方协商一致后签订补充协议。</w:t>
      </w:r>
    </w:p>
    <w:p w14:paraId="2D96B52B">
      <w:pPr>
        <w:adjustRightInd w:val="0"/>
        <w:snapToGrid w:val="0"/>
        <w:spacing w:line="400" w:lineRule="exact"/>
        <w:ind w:firstLine="420" w:firstLineChars="200"/>
        <w:jc w:val="left"/>
        <w:outlineLvl w:val="3"/>
        <w:rPr>
          <w:rFonts w:hint="eastAsia" w:ascii="宋体" w:hAnsi="宋体"/>
          <w:color w:val="auto"/>
          <w:szCs w:val="21"/>
        </w:rPr>
      </w:pPr>
      <w:bookmarkStart w:id="399" w:name="_Toc20704"/>
      <w:bookmarkStart w:id="400" w:name="_Toc23820"/>
      <w:bookmarkStart w:id="401" w:name="_Toc22823"/>
      <w:r>
        <w:rPr>
          <w:rFonts w:hint="eastAsia" w:ascii="宋体" w:hAnsi="宋体"/>
          <w:color w:val="auto"/>
          <w:szCs w:val="21"/>
        </w:rPr>
        <w:t>16.2合同的中止</w:t>
      </w:r>
      <w:bookmarkEnd w:id="399"/>
      <w:bookmarkEnd w:id="400"/>
      <w:bookmarkEnd w:id="401"/>
    </w:p>
    <w:p w14:paraId="117B3F18">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（1）合同履行过程中因供应商就采购文件、采购过程或结果提起投诉的，甲方认为有必要的，可以中止合同的履行。</w:t>
      </w:r>
    </w:p>
    <w:p w14:paraId="7B8C9EDD">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22EFE255">
      <w:pPr>
        <w:pStyle w:val="145"/>
        <w:ind w:firstLine="420"/>
        <w:jc w:val="both"/>
        <w:rPr>
          <w:rFonts w:hint="eastAsia"/>
          <w:color w:val="auto"/>
          <w:sz w:val="21"/>
        </w:rPr>
      </w:pPr>
      <w:r>
        <w:rPr>
          <w:rFonts w:hint="eastAsia" w:ascii="宋体" w:hAnsi="宋体" w:eastAsia="宋体" w:cs="宋体"/>
          <w:color w:val="auto"/>
          <w:sz w:val="21"/>
        </w:rPr>
        <w:t>（3）乙方分立、合并或者变更住所的，应当及时以书面形式告知甲方。乙方没有及时告知甲方，致使合同履行发生困难的，甲方可以中止合同履行并要求乙方承担由此给甲方造成的损失。</w:t>
      </w:r>
    </w:p>
    <w:p w14:paraId="10902CE0">
      <w:pPr>
        <w:snapToGrid w:val="0"/>
        <w:spacing w:line="400" w:lineRule="exact"/>
        <w:ind w:firstLine="420" w:firstLineChars="200"/>
        <w:jc w:val="left"/>
        <w:rPr>
          <w:color w:val="auto"/>
        </w:rPr>
      </w:pPr>
      <w:r>
        <w:rPr>
          <w:rFonts w:hint="eastAsia" w:ascii="宋体" w:hAnsi="宋体"/>
          <w:color w:val="auto"/>
          <w:szCs w:val="21"/>
        </w:rPr>
        <w:t>（4）甲方不得以行政区划调整、政府换届、机构或者职能调整以及相关责任人更替为由中止合同。</w:t>
      </w:r>
    </w:p>
    <w:p w14:paraId="6995CF07">
      <w:pPr>
        <w:adjustRightInd w:val="0"/>
        <w:snapToGrid w:val="0"/>
        <w:spacing w:line="400" w:lineRule="exact"/>
        <w:ind w:firstLine="420" w:firstLineChars="200"/>
        <w:jc w:val="left"/>
        <w:outlineLvl w:val="3"/>
        <w:rPr>
          <w:rFonts w:hint="eastAsia" w:ascii="宋体" w:hAnsi="宋体"/>
          <w:color w:val="auto"/>
          <w:szCs w:val="21"/>
        </w:rPr>
      </w:pPr>
      <w:bookmarkStart w:id="402" w:name="_Toc29946"/>
      <w:bookmarkStart w:id="403" w:name="_Toc24567"/>
      <w:bookmarkStart w:id="404" w:name="_Toc8777"/>
      <w:r>
        <w:rPr>
          <w:rFonts w:hint="eastAsia" w:ascii="宋体" w:hAnsi="宋体"/>
          <w:color w:val="auto"/>
          <w:szCs w:val="21"/>
        </w:rPr>
        <w:t>16.3合同的终止</w:t>
      </w:r>
      <w:bookmarkEnd w:id="402"/>
      <w:bookmarkEnd w:id="403"/>
      <w:bookmarkEnd w:id="404"/>
    </w:p>
    <w:p w14:paraId="231C3A7C">
      <w:pPr>
        <w:autoSpaceDE w:val="0"/>
        <w:autoSpaceDN w:val="0"/>
        <w:adjustRightInd w:val="0"/>
        <w:snapToGrid w:val="0"/>
        <w:spacing w:line="400" w:lineRule="exact"/>
        <w:ind w:firstLine="420" w:firstLineChars="200"/>
        <w:jc w:val="left"/>
        <w:outlineLvl w:val="4"/>
        <w:rPr>
          <w:rFonts w:hint="eastAsia" w:ascii="宋体" w:hAnsi="宋体"/>
          <w:color w:val="auto"/>
          <w:szCs w:val="21"/>
        </w:rPr>
      </w:pPr>
      <w:r>
        <w:rPr>
          <w:rFonts w:hint="eastAsia" w:ascii="宋体" w:hAnsi="宋体"/>
          <w:color w:val="auto"/>
          <w:szCs w:val="21"/>
        </w:rPr>
        <w:t>（1）合同因有效期限届满而终止；</w:t>
      </w:r>
    </w:p>
    <w:p w14:paraId="4B49DE06">
      <w:pPr>
        <w:snapToGrid w:val="0"/>
        <w:spacing w:line="400" w:lineRule="exact"/>
        <w:ind w:firstLine="420" w:firstLineChars="200"/>
        <w:rPr>
          <w:rFonts w:hint="eastAsia" w:ascii="宋体" w:hAnsi="宋体" w:cs="宋体"/>
          <w:color w:val="auto"/>
          <w:szCs w:val="21"/>
        </w:rPr>
      </w:pPr>
      <w:r>
        <w:rPr>
          <w:rFonts w:hint="eastAsia" w:ascii="宋体" w:hAnsi="宋体"/>
          <w:color w:val="auto"/>
          <w:szCs w:val="21"/>
        </w:rPr>
        <w:t>（2）乙方未按合同约定履行，构成根本性违约的，甲方有权终止合同，</w:t>
      </w:r>
      <w:r>
        <w:rPr>
          <w:rFonts w:hint="eastAsia" w:ascii="宋体" w:hAnsi="宋体" w:cs="宋体"/>
          <w:color w:val="auto"/>
          <w:szCs w:val="21"/>
        </w:rPr>
        <w:t>并追究乙方的违约责任</w:t>
      </w:r>
      <w:r>
        <w:rPr>
          <w:rFonts w:hint="eastAsia" w:ascii="宋体" w:hAnsi="宋体"/>
          <w:color w:val="auto"/>
          <w:szCs w:val="21"/>
        </w:rPr>
        <w:t>。</w:t>
      </w:r>
    </w:p>
    <w:p w14:paraId="3CFA47F7">
      <w:pPr>
        <w:pStyle w:val="145"/>
        <w:outlineLvl w:val="3"/>
        <w:rPr>
          <w:rFonts w:hint="eastAsia" w:ascii="宋体" w:hAnsi="宋体"/>
          <w:color w:val="auto"/>
        </w:rPr>
      </w:pPr>
      <w:bookmarkStart w:id="405" w:name="_Toc4143"/>
      <w:bookmarkStart w:id="406" w:name="_Toc25088"/>
      <w:bookmarkStart w:id="407" w:name="_Toc5908"/>
      <w:r>
        <w:rPr>
          <w:rFonts w:hint="eastAsia" w:ascii="宋体" w:hAnsi="宋体"/>
          <w:color w:val="auto"/>
        </w:rPr>
        <w:t xml:space="preserve">16.4 </w:t>
      </w:r>
      <w:r>
        <w:rPr>
          <w:rFonts w:hint="eastAsia" w:ascii="宋体" w:hAnsi="宋体" w:eastAsia="宋体" w:cs="Times New Roman"/>
          <w:color w:val="auto"/>
          <w:sz w:val="21"/>
        </w:rPr>
        <w:t>涉及国家利益、社会公共利益的情形</w:t>
      </w:r>
      <w:bookmarkEnd w:id="405"/>
      <w:bookmarkEnd w:id="406"/>
      <w:bookmarkEnd w:id="407"/>
    </w:p>
    <w:p w14:paraId="2F8B2A1A">
      <w:pPr>
        <w:pStyle w:val="145"/>
        <w:ind w:firstLine="420"/>
        <w:jc w:val="both"/>
        <w:rPr>
          <w:rFonts w:hint="eastAsia"/>
          <w:color w:val="auto"/>
          <w:sz w:val="21"/>
        </w:rPr>
      </w:pPr>
      <w:r>
        <w:rPr>
          <w:rFonts w:hint="eastAsia" w:ascii="宋体" w:hAnsi="宋体" w:eastAsia="宋体" w:cs="宋体"/>
          <w:color w:val="auto"/>
          <w:sz w:val="21"/>
        </w:rPr>
        <w:t>政府采购合同继续履行将损害国家利益和社会公共利益的，双方当事人应当变更、中止或者终止合同。有过错的一方应当承担赔偿责任，双方都有过错的，各自承担相应的责任。</w:t>
      </w:r>
    </w:p>
    <w:p w14:paraId="75C60885">
      <w:pPr>
        <w:autoSpaceDE w:val="0"/>
        <w:autoSpaceDN w:val="0"/>
        <w:adjustRightInd w:val="0"/>
        <w:snapToGrid w:val="0"/>
        <w:spacing w:line="400" w:lineRule="exact"/>
        <w:jc w:val="left"/>
        <w:outlineLvl w:val="2"/>
        <w:rPr>
          <w:rFonts w:hint="eastAsia" w:ascii="宋体" w:hAnsi="宋体"/>
          <w:b/>
          <w:bCs/>
          <w:color w:val="auto"/>
          <w:sz w:val="24"/>
        </w:rPr>
      </w:pPr>
      <w:bookmarkStart w:id="408" w:name="_Toc28199"/>
      <w:bookmarkStart w:id="409" w:name="_Toc26785"/>
      <w:bookmarkStart w:id="410" w:name="_Toc30388"/>
      <w:r>
        <w:rPr>
          <w:rFonts w:hint="eastAsia" w:ascii="宋体" w:hAnsi="宋体"/>
          <w:b/>
          <w:bCs/>
          <w:color w:val="auto"/>
          <w:sz w:val="24"/>
        </w:rPr>
        <w:t>17. 合同分包</w:t>
      </w:r>
      <w:bookmarkEnd w:id="408"/>
      <w:bookmarkEnd w:id="409"/>
      <w:bookmarkEnd w:id="410"/>
    </w:p>
    <w:p w14:paraId="7EEC1912">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17.1 乙方不得将合同转包给其他供应商。涉及合同分包的，乙方应根据采购文件和投标（响应）文件规定进行合同分包。</w:t>
      </w:r>
    </w:p>
    <w:p w14:paraId="0FC64AA3">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17.2 乙方执行政府采购政策向中小企业依法分包的，乙方应当按采购文件和投标（响应）文件签订分包意向协议，分包意向协议属于本合同组成部分。</w:t>
      </w:r>
    </w:p>
    <w:p w14:paraId="0C4C5BEF">
      <w:pPr>
        <w:autoSpaceDE w:val="0"/>
        <w:autoSpaceDN w:val="0"/>
        <w:adjustRightInd w:val="0"/>
        <w:snapToGrid w:val="0"/>
        <w:spacing w:line="400" w:lineRule="exact"/>
        <w:jc w:val="left"/>
        <w:outlineLvl w:val="2"/>
        <w:rPr>
          <w:rFonts w:hint="eastAsia" w:ascii="宋体" w:hAnsi="宋体"/>
          <w:b/>
          <w:bCs/>
          <w:color w:val="auto"/>
          <w:sz w:val="24"/>
        </w:rPr>
      </w:pPr>
      <w:bookmarkStart w:id="411" w:name="_Toc20954"/>
      <w:bookmarkStart w:id="412" w:name="_Toc11230"/>
      <w:bookmarkStart w:id="413" w:name="_Toc28327"/>
      <w:r>
        <w:rPr>
          <w:rFonts w:hint="eastAsia" w:ascii="宋体" w:hAnsi="宋体"/>
          <w:b/>
          <w:bCs/>
          <w:color w:val="auto"/>
          <w:sz w:val="24"/>
        </w:rPr>
        <w:t>18. 不可抗力</w:t>
      </w:r>
      <w:bookmarkEnd w:id="411"/>
      <w:bookmarkEnd w:id="412"/>
      <w:bookmarkEnd w:id="413"/>
    </w:p>
    <w:p w14:paraId="695DF6D3">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18.1 不可抗力是指合同双方不能预见、不能避免且不能克服的客观情况。</w:t>
      </w:r>
    </w:p>
    <w:p w14:paraId="213BFA18">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18.2 任何一方对由于不可抗力造成的部分或全部不能履行合同不承担违约责任。但迟延履行后发生不可抗力的，不能免除责任。</w:t>
      </w:r>
    </w:p>
    <w:p w14:paraId="4EAFF1E1">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07A59436">
      <w:pPr>
        <w:autoSpaceDE w:val="0"/>
        <w:autoSpaceDN w:val="0"/>
        <w:adjustRightInd w:val="0"/>
        <w:snapToGrid w:val="0"/>
        <w:spacing w:line="400" w:lineRule="exact"/>
        <w:jc w:val="left"/>
        <w:outlineLvl w:val="2"/>
        <w:rPr>
          <w:rFonts w:hint="eastAsia" w:ascii="宋体" w:hAnsi="宋体"/>
          <w:b/>
          <w:bCs/>
          <w:color w:val="auto"/>
          <w:sz w:val="24"/>
        </w:rPr>
      </w:pPr>
      <w:bookmarkStart w:id="414" w:name="_Toc18549"/>
      <w:bookmarkStart w:id="415" w:name="_Toc4477"/>
      <w:bookmarkStart w:id="416" w:name="_Toc9062"/>
      <w:r>
        <w:rPr>
          <w:rFonts w:hint="eastAsia" w:ascii="宋体" w:hAnsi="宋体"/>
          <w:b/>
          <w:bCs/>
          <w:color w:val="auto"/>
          <w:sz w:val="24"/>
        </w:rPr>
        <w:t>19. 解决争议的方法</w:t>
      </w:r>
      <w:bookmarkEnd w:id="414"/>
      <w:bookmarkEnd w:id="415"/>
      <w:bookmarkEnd w:id="416"/>
    </w:p>
    <w:p w14:paraId="7A2BF358">
      <w:pPr>
        <w:pStyle w:val="145"/>
        <w:ind w:firstLine="420"/>
        <w:jc w:val="both"/>
        <w:rPr>
          <w:rFonts w:hint="eastAsia" w:ascii="宋体" w:hAnsi="宋体" w:eastAsia="宋体" w:cs="宋体"/>
          <w:color w:val="auto"/>
          <w:sz w:val="21"/>
        </w:rPr>
      </w:pPr>
      <w:r>
        <w:rPr>
          <w:rFonts w:hint="eastAsia" w:ascii="宋体" w:hAnsi="宋体" w:eastAsia="宋体" w:cs="宋体"/>
          <w:color w:val="auto"/>
          <w:sz w:val="21"/>
        </w:rPr>
        <w:t>19.1 因本合同及合同有关事项发生的争议，由甲乙双方友好协商解决。协商不成时，可以向有关组织申请调解。合同一方或双方不愿调解或调解不成的，可以通过仲裁或诉讼的方式解决争议。</w:t>
      </w:r>
    </w:p>
    <w:p w14:paraId="17774848">
      <w:pPr>
        <w:pStyle w:val="145"/>
        <w:ind w:firstLine="420"/>
        <w:jc w:val="both"/>
        <w:rPr>
          <w:rFonts w:hint="eastAsia" w:ascii="宋体" w:hAnsi="宋体" w:eastAsia="宋体" w:cs="Times New Roman"/>
          <w:color w:val="auto"/>
          <w:sz w:val="21"/>
        </w:rPr>
      </w:pPr>
      <w:r>
        <w:rPr>
          <w:rFonts w:hint="eastAsia" w:ascii="宋体" w:hAnsi="宋体" w:eastAsia="宋体" w:cs="Times New Roman"/>
          <w:color w:val="auto"/>
          <w:sz w:val="21"/>
        </w:rPr>
        <w:t>19.2 选择仲裁的，应在【政府采购合同专用条款】中明确仲裁机构及仲裁地；通过诉讼方式解决的，可以在【政府采购合同专用条款】中进一步约定选择与争议有实际联系的地点的人民法院管辖，但管辖法院的约定不得违反级别管辖和专属管辖的规定。</w:t>
      </w:r>
    </w:p>
    <w:p w14:paraId="6638A8D8">
      <w:pPr>
        <w:pStyle w:val="145"/>
        <w:ind w:firstLine="420"/>
        <w:jc w:val="both"/>
        <w:rPr>
          <w:rFonts w:hint="eastAsia" w:ascii="宋体" w:hAnsi="宋体" w:eastAsia="宋体" w:cs="宋体"/>
          <w:color w:val="auto"/>
          <w:sz w:val="21"/>
        </w:rPr>
      </w:pPr>
      <w:r>
        <w:rPr>
          <w:rFonts w:hint="eastAsia" w:ascii="宋体" w:hAnsi="宋体" w:eastAsia="宋体" w:cs="宋体"/>
          <w:color w:val="auto"/>
          <w:sz w:val="21"/>
        </w:rPr>
        <w:t>19.3 如甲乙双方有争议的事项不影响合同其他部分的履行，在争议解决期间，合同其他部分应当继续履行。</w:t>
      </w:r>
    </w:p>
    <w:p w14:paraId="43B9394D">
      <w:pPr>
        <w:autoSpaceDE w:val="0"/>
        <w:autoSpaceDN w:val="0"/>
        <w:adjustRightInd w:val="0"/>
        <w:snapToGrid w:val="0"/>
        <w:spacing w:line="400" w:lineRule="exact"/>
        <w:jc w:val="left"/>
        <w:outlineLvl w:val="2"/>
        <w:rPr>
          <w:rFonts w:hint="eastAsia" w:ascii="宋体" w:hAnsi="宋体"/>
          <w:color w:val="auto"/>
          <w:sz w:val="24"/>
        </w:rPr>
      </w:pPr>
      <w:bookmarkStart w:id="417" w:name="_Toc32321"/>
      <w:bookmarkStart w:id="418" w:name="_Toc27016"/>
      <w:bookmarkStart w:id="419" w:name="_Toc18641"/>
      <w:r>
        <w:rPr>
          <w:rFonts w:hint="eastAsia" w:ascii="宋体" w:hAnsi="宋体"/>
          <w:b/>
          <w:color w:val="auto"/>
          <w:sz w:val="24"/>
        </w:rPr>
        <w:t>20. 政府采购政策</w:t>
      </w:r>
      <w:bookmarkEnd w:id="417"/>
      <w:bookmarkEnd w:id="418"/>
      <w:bookmarkEnd w:id="419"/>
    </w:p>
    <w:p w14:paraId="3089F67F">
      <w:pPr>
        <w:autoSpaceDE w:val="0"/>
        <w:autoSpaceDN w:val="0"/>
        <w:adjustRightInd w:val="0"/>
        <w:snapToGrid w:val="0"/>
        <w:spacing w:line="400" w:lineRule="exact"/>
        <w:ind w:firstLine="420" w:firstLineChars="200"/>
        <w:jc w:val="left"/>
        <w:outlineLvl w:val="3"/>
        <w:rPr>
          <w:rFonts w:hint="eastAsia" w:ascii="宋体" w:hAnsi="宋体"/>
          <w:color w:val="auto"/>
          <w:szCs w:val="21"/>
        </w:rPr>
      </w:pPr>
      <w:bookmarkStart w:id="420" w:name="_Toc23751"/>
      <w:bookmarkStart w:id="421" w:name="_Toc24711"/>
      <w:bookmarkStart w:id="422" w:name="_Toc22989"/>
      <w:r>
        <w:rPr>
          <w:rFonts w:hint="eastAsia" w:ascii="宋体" w:hAnsi="宋体"/>
          <w:color w:val="auto"/>
          <w:szCs w:val="21"/>
        </w:rPr>
        <w:t xml:space="preserve">20.1 </w:t>
      </w:r>
      <w:r>
        <w:rPr>
          <w:rFonts w:hint="eastAsia" w:ascii="宋体" w:hAnsi="宋体" w:cs="宋体"/>
          <w:color w:val="auto"/>
          <w:lang w:val="en-GB"/>
        </w:rPr>
        <w:t>本合同应当按照规定执行政府采购政策。</w:t>
      </w:r>
      <w:bookmarkEnd w:id="420"/>
      <w:bookmarkEnd w:id="421"/>
      <w:bookmarkEnd w:id="422"/>
    </w:p>
    <w:p w14:paraId="2E6D50D9">
      <w:pPr>
        <w:autoSpaceDE w:val="0"/>
        <w:autoSpaceDN w:val="0"/>
        <w:adjustRightInd w:val="0"/>
        <w:snapToGrid w:val="0"/>
        <w:spacing w:line="400" w:lineRule="exact"/>
        <w:ind w:firstLine="420" w:firstLineChars="200"/>
        <w:jc w:val="left"/>
        <w:rPr>
          <w:rFonts w:hint="eastAsia" w:ascii="宋体" w:hAnsi="宋体"/>
          <w:color w:val="auto"/>
          <w:szCs w:val="21"/>
        </w:rPr>
      </w:pPr>
      <w:r>
        <w:rPr>
          <w:rFonts w:ascii="宋体" w:hAnsi="宋体"/>
          <w:color w:val="auto"/>
          <w:szCs w:val="21"/>
        </w:rPr>
        <w:t>2</w:t>
      </w:r>
      <w:r>
        <w:rPr>
          <w:rFonts w:hint="eastAsia" w:ascii="宋体" w:hAnsi="宋体"/>
          <w:color w:val="auto"/>
          <w:szCs w:val="21"/>
        </w:rPr>
        <w:t>0.2 本合同依法执行政府采购政策的方式和内容，属于合同履约验收的范围。</w:t>
      </w:r>
      <w:r>
        <w:rPr>
          <w:rFonts w:hint="eastAsia" w:ascii="宋体" w:hAnsi="宋体" w:cs="宋体"/>
          <w:color w:val="auto"/>
        </w:rPr>
        <w:t>甲乙双方</w:t>
      </w:r>
      <w:r>
        <w:rPr>
          <w:rFonts w:hint="eastAsia" w:ascii="宋体" w:hAnsi="宋体" w:cs="宋体"/>
          <w:color w:val="auto"/>
          <w:lang w:val="en-GB"/>
        </w:rPr>
        <w:t>未按规定要求执行政府采购政策造成损失的</w:t>
      </w:r>
      <w:r>
        <w:rPr>
          <w:rFonts w:hint="eastAsia" w:ascii="宋体" w:hAnsi="宋体"/>
          <w:color w:val="auto"/>
          <w:szCs w:val="21"/>
        </w:rPr>
        <w:t>，有过错的一方应当承担赔偿责任，双方都有过错的，各自承担相应的责任。</w:t>
      </w:r>
    </w:p>
    <w:p w14:paraId="2A816C82">
      <w:pPr>
        <w:pStyle w:val="18"/>
        <w:spacing w:after="0" w:line="400" w:lineRule="exact"/>
        <w:ind w:firstLine="420" w:firstLineChars="200"/>
        <w:rPr>
          <w:color w:val="auto"/>
        </w:rPr>
      </w:pPr>
      <w:r>
        <w:rPr>
          <w:rFonts w:ascii="宋体" w:hAnsi="宋体"/>
          <w:color w:val="auto"/>
          <w:szCs w:val="21"/>
        </w:rPr>
        <w:t>2</w:t>
      </w:r>
      <w:r>
        <w:rPr>
          <w:rFonts w:hint="eastAsia" w:ascii="宋体" w:hAnsi="宋体"/>
          <w:color w:val="auto"/>
          <w:szCs w:val="21"/>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38057F14">
      <w:pPr>
        <w:autoSpaceDE w:val="0"/>
        <w:autoSpaceDN w:val="0"/>
        <w:adjustRightInd w:val="0"/>
        <w:snapToGrid w:val="0"/>
        <w:spacing w:line="400" w:lineRule="exact"/>
        <w:jc w:val="left"/>
        <w:outlineLvl w:val="2"/>
        <w:rPr>
          <w:rFonts w:hint="eastAsia" w:ascii="宋体" w:hAnsi="宋体"/>
          <w:b/>
          <w:color w:val="auto"/>
          <w:sz w:val="24"/>
        </w:rPr>
      </w:pPr>
      <w:bookmarkStart w:id="423" w:name="_Toc23808"/>
      <w:bookmarkStart w:id="424" w:name="_Toc31702"/>
      <w:bookmarkStart w:id="425" w:name="_Toc12677"/>
      <w:r>
        <w:rPr>
          <w:rFonts w:hint="eastAsia" w:ascii="宋体" w:hAnsi="宋体"/>
          <w:b/>
          <w:color w:val="auto"/>
          <w:sz w:val="24"/>
        </w:rPr>
        <w:t>21. 法律适用</w:t>
      </w:r>
      <w:bookmarkEnd w:id="423"/>
      <w:bookmarkEnd w:id="424"/>
      <w:bookmarkEnd w:id="425"/>
    </w:p>
    <w:p w14:paraId="0F657B3C">
      <w:pPr>
        <w:pStyle w:val="145"/>
        <w:ind w:firstLine="420"/>
        <w:jc w:val="both"/>
        <w:rPr>
          <w:rFonts w:hint="eastAsia" w:ascii="宋体" w:hAnsi="宋体" w:eastAsia="宋体" w:cs="宋体"/>
          <w:color w:val="auto"/>
          <w:sz w:val="21"/>
        </w:rPr>
      </w:pPr>
      <w:r>
        <w:rPr>
          <w:rFonts w:hint="eastAsia" w:ascii="宋体" w:hAnsi="宋体" w:eastAsia="宋体" w:cs="宋体"/>
          <w:color w:val="auto"/>
          <w:sz w:val="21"/>
        </w:rPr>
        <w:t>21.1 本合同的订立、生效、解释、履行及与本合同有关的争议解决，均适用法律、行政法规。</w:t>
      </w:r>
    </w:p>
    <w:p w14:paraId="436B5A80">
      <w:pPr>
        <w:pStyle w:val="145"/>
        <w:ind w:firstLine="420"/>
        <w:jc w:val="both"/>
        <w:rPr>
          <w:rFonts w:hint="eastAsia" w:ascii="宋体" w:hAnsi="宋体" w:eastAsia="宋体" w:cs="宋体"/>
          <w:color w:val="auto"/>
          <w:sz w:val="21"/>
        </w:rPr>
      </w:pPr>
      <w:r>
        <w:rPr>
          <w:rFonts w:hint="eastAsia" w:ascii="宋体" w:hAnsi="宋体" w:eastAsia="宋体" w:cs="宋体"/>
          <w:color w:val="auto"/>
          <w:sz w:val="21"/>
        </w:rPr>
        <w:t>21.2 本合同条款与法律、行政法规的强制性规定不一致的，双方当事人应按照法律、行政法规的强制性规定修改本合同的相关条款。</w:t>
      </w:r>
    </w:p>
    <w:p w14:paraId="73A5873C">
      <w:pPr>
        <w:numPr>
          <w:ilvl w:val="255"/>
          <w:numId w:val="0"/>
        </w:numPr>
        <w:autoSpaceDE w:val="0"/>
        <w:autoSpaceDN w:val="0"/>
        <w:adjustRightInd w:val="0"/>
        <w:snapToGrid w:val="0"/>
        <w:spacing w:line="400" w:lineRule="exact"/>
        <w:jc w:val="left"/>
        <w:outlineLvl w:val="2"/>
        <w:rPr>
          <w:rFonts w:hint="eastAsia" w:ascii="宋体" w:hAnsi="宋体"/>
          <w:b/>
          <w:color w:val="auto"/>
          <w:sz w:val="24"/>
        </w:rPr>
      </w:pPr>
      <w:bookmarkStart w:id="426" w:name="_Toc10804"/>
      <w:bookmarkStart w:id="427" w:name="_Toc7992"/>
      <w:bookmarkStart w:id="428" w:name="_Toc15415"/>
      <w:r>
        <w:rPr>
          <w:rFonts w:hint="eastAsia" w:ascii="宋体" w:hAnsi="宋体"/>
          <w:b/>
          <w:color w:val="auto"/>
          <w:sz w:val="24"/>
        </w:rPr>
        <w:t>22. 通知</w:t>
      </w:r>
      <w:bookmarkEnd w:id="426"/>
      <w:bookmarkEnd w:id="427"/>
      <w:bookmarkEnd w:id="428"/>
    </w:p>
    <w:p w14:paraId="7C203169">
      <w:pPr>
        <w:pStyle w:val="145"/>
        <w:ind w:firstLine="420"/>
        <w:jc w:val="both"/>
        <w:rPr>
          <w:rFonts w:hint="eastAsia" w:ascii="宋体" w:hAnsi="宋体" w:eastAsia="宋体" w:cs="宋体"/>
          <w:color w:val="auto"/>
          <w:sz w:val="21"/>
        </w:rPr>
      </w:pPr>
      <w:r>
        <w:rPr>
          <w:rFonts w:hint="eastAsia" w:ascii="宋体" w:hAnsi="宋体" w:eastAsia="宋体" w:cs="宋体"/>
          <w:color w:val="auto"/>
          <w:sz w:val="21"/>
        </w:rPr>
        <w:t>22.1 本合同任何一方向对方发出的通知、信件、数据电文等，应当发送至本合同第一部分《政府采购合同协议书》所约定的通讯地址、联系人、联系电话或电子邮箱。</w:t>
      </w:r>
    </w:p>
    <w:p w14:paraId="6E6638EB">
      <w:pPr>
        <w:pStyle w:val="145"/>
        <w:ind w:firstLine="0" w:firstLineChars="0"/>
        <w:jc w:val="both"/>
        <w:rPr>
          <w:rFonts w:hint="eastAsia"/>
          <w:color w:val="auto"/>
          <w:sz w:val="21"/>
        </w:rPr>
      </w:pPr>
      <w:r>
        <w:rPr>
          <w:rFonts w:hint="eastAsia" w:ascii="宋体" w:hAnsi="宋体" w:eastAsia="宋体" w:cs="宋体"/>
          <w:color w:val="auto"/>
          <w:sz w:val="21"/>
        </w:rPr>
        <w:t xml:space="preserve">    22.2 一方当事人变更名称、住所、联系人、联系电话或电子邮箱等信息的，应当在变更后3日内及时书面通知对方，对方实际收到变更通知前的送达仍为有效送达。</w:t>
      </w:r>
    </w:p>
    <w:p w14:paraId="6A955F60">
      <w:pPr>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22.3本合同一方给另一方的通知均应采用书面形式，传真或快递送到本合同中规定的对方的地址和办理签收手续。</w:t>
      </w:r>
    </w:p>
    <w:p w14:paraId="7E615F05">
      <w:pPr>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22.4通知以送达之日或通知书中规定的生效之日起生效，两者中以较迟之日为准。</w:t>
      </w:r>
    </w:p>
    <w:p w14:paraId="54EC5B06">
      <w:pPr>
        <w:numPr>
          <w:ilvl w:val="0"/>
          <w:numId w:val="11"/>
        </w:numPr>
        <w:adjustRightInd w:val="0"/>
        <w:snapToGrid w:val="0"/>
        <w:spacing w:line="400" w:lineRule="exact"/>
        <w:jc w:val="left"/>
        <w:outlineLvl w:val="2"/>
        <w:rPr>
          <w:rFonts w:hint="eastAsia" w:ascii="宋体" w:hAnsi="宋体"/>
          <w:b/>
          <w:bCs/>
          <w:color w:val="auto"/>
          <w:sz w:val="24"/>
        </w:rPr>
      </w:pPr>
      <w:bookmarkStart w:id="429" w:name="_Toc4715"/>
      <w:bookmarkStart w:id="430" w:name="_Toc19095"/>
      <w:bookmarkStart w:id="431" w:name="_Toc7100"/>
      <w:r>
        <w:rPr>
          <w:rFonts w:hint="eastAsia" w:ascii="宋体" w:hAnsi="宋体"/>
          <w:b/>
          <w:bCs/>
          <w:color w:val="auto"/>
          <w:sz w:val="24"/>
        </w:rPr>
        <w:t>合同未尽事项</w:t>
      </w:r>
      <w:bookmarkEnd w:id="429"/>
      <w:bookmarkEnd w:id="430"/>
      <w:bookmarkEnd w:id="431"/>
    </w:p>
    <w:p w14:paraId="60DE9902">
      <w:pPr>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23.1合同未尽事项见【政府采购合同专用条款】。</w:t>
      </w:r>
    </w:p>
    <w:p w14:paraId="2481B3AA">
      <w:pPr>
        <w:adjustRightInd w:val="0"/>
        <w:snapToGrid w:val="0"/>
        <w:spacing w:line="400" w:lineRule="exact"/>
        <w:jc w:val="left"/>
        <w:rPr>
          <w:rFonts w:hint="eastAsia" w:ascii="黑体" w:hAnsi="华文中宋" w:eastAsia="黑体"/>
          <w:color w:val="auto"/>
          <w:sz w:val="28"/>
          <w:szCs w:val="28"/>
        </w:rPr>
      </w:pPr>
      <w:r>
        <w:rPr>
          <w:rFonts w:hint="eastAsia" w:ascii="宋体" w:hAnsi="宋体"/>
          <w:bCs/>
          <w:color w:val="auto"/>
          <w:szCs w:val="21"/>
        </w:rPr>
        <w:t xml:space="preserve">    23.2 合同附件与合同正文具有同等的法律效力。</w:t>
      </w:r>
    </w:p>
    <w:p w14:paraId="34D9EE32">
      <w:pPr>
        <w:adjustRightInd w:val="0"/>
        <w:snapToGrid w:val="0"/>
        <w:jc w:val="center"/>
        <w:rPr>
          <w:rFonts w:hint="eastAsia" w:ascii="黑体" w:hAnsi="华文中宋" w:eastAsia="黑体"/>
          <w:color w:val="auto"/>
          <w:sz w:val="28"/>
          <w:szCs w:val="28"/>
        </w:rPr>
      </w:pPr>
      <w:r>
        <w:rPr>
          <w:rFonts w:hint="eastAsia" w:ascii="黑体" w:hAnsi="华文中宋" w:eastAsia="黑体"/>
          <w:color w:val="auto"/>
          <w:sz w:val="28"/>
          <w:szCs w:val="28"/>
        </w:rPr>
        <w:br w:type="page"/>
      </w:r>
    </w:p>
    <w:p w14:paraId="362EDA3B">
      <w:pPr>
        <w:pStyle w:val="3"/>
        <w:adjustRightInd w:val="0"/>
        <w:snapToGrid w:val="0"/>
        <w:jc w:val="center"/>
        <w:rPr>
          <w:rFonts w:hint="eastAsia" w:ascii="黑体" w:hAnsi="华文中宋" w:eastAsia="黑体"/>
          <w:b w:val="0"/>
          <w:bCs w:val="0"/>
          <w:color w:val="auto"/>
          <w:sz w:val="28"/>
          <w:szCs w:val="28"/>
        </w:rPr>
      </w:pPr>
      <w:bookmarkStart w:id="432" w:name="_Toc23966"/>
      <w:bookmarkStart w:id="433" w:name="_Toc10437"/>
      <w:bookmarkStart w:id="434" w:name="_Toc32259"/>
      <w:r>
        <w:rPr>
          <w:rFonts w:hint="eastAsia" w:ascii="黑体" w:hAnsi="华文中宋" w:eastAsia="黑体"/>
          <w:b w:val="0"/>
          <w:bCs w:val="0"/>
          <w:color w:val="auto"/>
          <w:sz w:val="28"/>
          <w:szCs w:val="28"/>
        </w:rPr>
        <w:t>第三节 政府采购合同专用条款</w:t>
      </w:r>
      <w:bookmarkEnd w:id="432"/>
      <w:bookmarkEnd w:id="433"/>
      <w:bookmarkEnd w:id="434"/>
    </w:p>
    <w:tbl>
      <w:tblPr>
        <w:tblStyle w:val="44"/>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59"/>
        <w:gridCol w:w="1589"/>
        <w:gridCol w:w="6171"/>
      </w:tblGrid>
      <w:tr w14:paraId="7DA1B6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0" w:hRule="atLeast"/>
        </w:trPr>
        <w:tc>
          <w:tcPr>
            <w:tcW w:w="1659" w:type="dxa"/>
            <w:vAlign w:val="center"/>
          </w:tcPr>
          <w:p w14:paraId="29BDF873">
            <w:pPr>
              <w:adjustRightInd w:val="0"/>
              <w:snapToGrid w:val="0"/>
              <w:jc w:val="center"/>
              <w:rPr>
                <w:rFonts w:hint="eastAsia" w:ascii="宋体" w:hAnsi="宋体"/>
                <w:color w:val="auto"/>
                <w:szCs w:val="21"/>
              </w:rPr>
            </w:pPr>
            <w:r>
              <w:rPr>
                <w:rFonts w:hint="eastAsia" w:ascii="宋体" w:hAnsi="宋体"/>
                <w:color w:val="auto"/>
                <w:szCs w:val="21"/>
              </w:rPr>
              <w:t>第二节</w:t>
            </w:r>
          </w:p>
          <w:p w14:paraId="1CDB6A4A">
            <w:pPr>
              <w:adjustRightInd w:val="0"/>
              <w:snapToGrid w:val="0"/>
              <w:jc w:val="center"/>
              <w:rPr>
                <w:rFonts w:hint="eastAsia" w:ascii="宋体" w:hAnsi="宋体"/>
                <w:color w:val="auto"/>
                <w:szCs w:val="21"/>
              </w:rPr>
            </w:pPr>
            <w:r>
              <w:rPr>
                <w:rFonts w:hint="eastAsia" w:ascii="宋体" w:hAnsi="宋体"/>
                <w:color w:val="auto"/>
                <w:szCs w:val="21"/>
              </w:rPr>
              <w:t>第1.2（6）项</w:t>
            </w:r>
          </w:p>
        </w:tc>
        <w:tc>
          <w:tcPr>
            <w:tcW w:w="1589" w:type="dxa"/>
            <w:vAlign w:val="center"/>
          </w:tcPr>
          <w:p w14:paraId="5821A434">
            <w:pPr>
              <w:adjustRightInd w:val="0"/>
              <w:snapToGrid w:val="0"/>
              <w:jc w:val="left"/>
              <w:rPr>
                <w:rFonts w:hint="eastAsia" w:ascii="宋体" w:hAnsi="宋体"/>
                <w:color w:val="auto"/>
                <w:szCs w:val="21"/>
              </w:rPr>
            </w:pPr>
            <w:r>
              <w:rPr>
                <w:rFonts w:hint="eastAsia" w:ascii="宋体" w:hAnsi="宋体"/>
                <w:color w:val="auto"/>
                <w:szCs w:val="21"/>
              </w:rPr>
              <w:t>联合体具体要求</w:t>
            </w:r>
          </w:p>
        </w:tc>
        <w:tc>
          <w:tcPr>
            <w:tcW w:w="6171" w:type="dxa"/>
            <w:vAlign w:val="center"/>
          </w:tcPr>
          <w:p w14:paraId="3F455DEB">
            <w:pPr>
              <w:adjustRightInd w:val="0"/>
              <w:snapToGrid w:val="0"/>
              <w:jc w:val="left"/>
              <w:rPr>
                <w:rFonts w:hint="eastAsia" w:ascii="宋体" w:hAnsi="宋体"/>
                <w:color w:val="auto"/>
                <w:szCs w:val="21"/>
              </w:rPr>
            </w:pPr>
            <w:r>
              <w:rPr>
                <w:rFonts w:hint="eastAsia" w:ascii="宋体" w:hAnsi="宋体"/>
                <w:color w:val="auto"/>
                <w:szCs w:val="21"/>
              </w:rPr>
              <w:t>本条针对联合体采购项目</w:t>
            </w:r>
          </w:p>
        </w:tc>
      </w:tr>
      <w:tr w14:paraId="1D3135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5" w:hRule="atLeast"/>
        </w:trPr>
        <w:tc>
          <w:tcPr>
            <w:tcW w:w="1659" w:type="dxa"/>
            <w:vAlign w:val="center"/>
          </w:tcPr>
          <w:p w14:paraId="261CF71A">
            <w:pPr>
              <w:adjustRightInd w:val="0"/>
              <w:snapToGrid w:val="0"/>
              <w:jc w:val="center"/>
              <w:rPr>
                <w:rFonts w:hint="eastAsia" w:ascii="宋体" w:hAnsi="宋体"/>
                <w:color w:val="auto"/>
                <w:szCs w:val="21"/>
              </w:rPr>
            </w:pPr>
            <w:r>
              <w:rPr>
                <w:rFonts w:hint="eastAsia" w:ascii="宋体" w:hAnsi="宋体"/>
                <w:color w:val="auto"/>
                <w:szCs w:val="21"/>
              </w:rPr>
              <w:t>第二节</w:t>
            </w:r>
          </w:p>
          <w:p w14:paraId="5DCC1EE0">
            <w:pPr>
              <w:adjustRightInd w:val="0"/>
              <w:snapToGrid w:val="0"/>
              <w:jc w:val="center"/>
              <w:rPr>
                <w:rFonts w:hint="eastAsia" w:ascii="宋体" w:hAnsi="宋体"/>
                <w:color w:val="auto"/>
                <w:szCs w:val="21"/>
              </w:rPr>
            </w:pPr>
            <w:r>
              <w:rPr>
                <w:rFonts w:hint="eastAsia" w:ascii="宋体" w:hAnsi="宋体"/>
                <w:color w:val="auto"/>
                <w:szCs w:val="21"/>
              </w:rPr>
              <w:t>第1.2（7）项</w:t>
            </w:r>
          </w:p>
        </w:tc>
        <w:tc>
          <w:tcPr>
            <w:tcW w:w="1589" w:type="dxa"/>
            <w:vAlign w:val="center"/>
          </w:tcPr>
          <w:p w14:paraId="6A63C6BC">
            <w:pPr>
              <w:adjustRightInd w:val="0"/>
              <w:snapToGrid w:val="0"/>
              <w:jc w:val="left"/>
              <w:rPr>
                <w:rFonts w:hint="eastAsia" w:ascii="宋体" w:hAnsi="宋体"/>
                <w:color w:val="auto"/>
                <w:szCs w:val="21"/>
              </w:rPr>
            </w:pPr>
            <w:r>
              <w:rPr>
                <w:rFonts w:hint="eastAsia" w:ascii="宋体" w:hAnsi="宋体"/>
                <w:color w:val="auto"/>
                <w:szCs w:val="21"/>
              </w:rPr>
              <w:t>其他术语解释</w:t>
            </w:r>
          </w:p>
        </w:tc>
        <w:tc>
          <w:tcPr>
            <w:tcW w:w="6171" w:type="dxa"/>
            <w:vAlign w:val="center"/>
          </w:tcPr>
          <w:p w14:paraId="00DE784F">
            <w:pPr>
              <w:adjustRightInd w:val="0"/>
              <w:snapToGrid w:val="0"/>
              <w:jc w:val="left"/>
              <w:rPr>
                <w:rFonts w:hint="eastAsia" w:ascii="宋体" w:hAnsi="宋体"/>
                <w:color w:val="auto"/>
                <w:szCs w:val="21"/>
              </w:rPr>
            </w:pPr>
            <w:r>
              <w:rPr>
                <w:rFonts w:hint="eastAsia" w:ascii="宋体" w:hAnsi="宋体"/>
                <w:color w:val="auto"/>
                <w:szCs w:val="21"/>
              </w:rPr>
              <w:t>本条结合项目实际需求进行描述</w:t>
            </w:r>
          </w:p>
        </w:tc>
      </w:tr>
      <w:tr w14:paraId="618113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39" w:hRule="atLeast"/>
        </w:trPr>
        <w:tc>
          <w:tcPr>
            <w:tcW w:w="1659" w:type="dxa"/>
            <w:vAlign w:val="center"/>
          </w:tcPr>
          <w:p w14:paraId="209D6418">
            <w:pPr>
              <w:adjustRightInd w:val="0"/>
              <w:snapToGrid w:val="0"/>
              <w:jc w:val="center"/>
              <w:rPr>
                <w:rFonts w:hint="eastAsia" w:ascii="宋体" w:hAnsi="宋体"/>
                <w:color w:val="auto"/>
                <w:szCs w:val="21"/>
              </w:rPr>
            </w:pPr>
            <w:r>
              <w:rPr>
                <w:rFonts w:hint="eastAsia" w:ascii="宋体" w:hAnsi="宋体"/>
                <w:color w:val="auto"/>
                <w:szCs w:val="21"/>
              </w:rPr>
              <w:t>第二节</w:t>
            </w:r>
          </w:p>
          <w:p w14:paraId="66D29290">
            <w:pPr>
              <w:adjustRightInd w:val="0"/>
              <w:snapToGrid w:val="0"/>
              <w:jc w:val="center"/>
              <w:rPr>
                <w:rFonts w:hint="eastAsia" w:ascii="宋体" w:hAnsi="宋体"/>
                <w:color w:val="auto"/>
                <w:szCs w:val="21"/>
              </w:rPr>
            </w:pPr>
            <w:r>
              <w:rPr>
                <w:rFonts w:hint="eastAsia" w:ascii="宋体" w:hAnsi="宋体"/>
                <w:color w:val="auto"/>
                <w:szCs w:val="21"/>
              </w:rPr>
              <w:t>第4.4款</w:t>
            </w:r>
          </w:p>
        </w:tc>
        <w:tc>
          <w:tcPr>
            <w:tcW w:w="1589" w:type="dxa"/>
            <w:vAlign w:val="center"/>
          </w:tcPr>
          <w:p w14:paraId="519F96AF">
            <w:pPr>
              <w:adjustRightInd w:val="0"/>
              <w:snapToGrid w:val="0"/>
              <w:jc w:val="left"/>
              <w:rPr>
                <w:rFonts w:hint="eastAsia" w:ascii="宋体" w:hAnsi="宋体"/>
                <w:color w:val="auto"/>
                <w:szCs w:val="21"/>
              </w:rPr>
            </w:pPr>
            <w:r>
              <w:rPr>
                <w:rFonts w:hint="eastAsia" w:ascii="宋体" w:hAnsi="宋体"/>
                <w:color w:val="auto"/>
                <w:szCs w:val="21"/>
              </w:rPr>
              <w:t>履约验收中甲方提出异议或作出说明的期限</w:t>
            </w:r>
          </w:p>
        </w:tc>
        <w:tc>
          <w:tcPr>
            <w:tcW w:w="6171" w:type="dxa"/>
            <w:vAlign w:val="center"/>
          </w:tcPr>
          <w:p w14:paraId="1A9028EC">
            <w:pPr>
              <w:pStyle w:val="2"/>
              <w:spacing w:before="0" w:after="0"/>
              <w:rPr>
                <w:rFonts w:hint="eastAsia" w:ascii="宋体" w:hAnsi="宋体"/>
                <w:b w:val="0"/>
                <w:color w:val="auto"/>
                <w:spacing w:val="0"/>
                <w:kern w:val="2"/>
                <w:sz w:val="21"/>
                <w:szCs w:val="21"/>
              </w:rPr>
            </w:pPr>
            <w:bookmarkStart w:id="435" w:name="_Toc16283"/>
            <w:bookmarkStart w:id="436" w:name="_Toc21363"/>
            <w:bookmarkStart w:id="437" w:name="_Toc9223"/>
            <w:r>
              <w:rPr>
                <w:rFonts w:hint="eastAsia" w:ascii="宋体" w:hAnsi="宋体"/>
                <w:b w:val="0"/>
                <w:color w:val="auto"/>
                <w:spacing w:val="0"/>
                <w:kern w:val="2"/>
                <w:sz w:val="21"/>
                <w:szCs w:val="21"/>
              </w:rPr>
              <w:t>货物类项目：</w:t>
            </w:r>
            <w:bookmarkEnd w:id="435"/>
            <w:bookmarkEnd w:id="436"/>
            <w:bookmarkEnd w:id="437"/>
          </w:p>
          <w:p w14:paraId="46AE9B7C">
            <w:pPr>
              <w:pStyle w:val="2"/>
              <w:spacing w:before="0" w:after="0"/>
              <w:rPr>
                <w:rFonts w:hint="eastAsia" w:ascii="宋体" w:hAnsi="宋体"/>
                <w:b w:val="0"/>
                <w:color w:val="auto"/>
                <w:spacing w:val="0"/>
                <w:kern w:val="2"/>
                <w:sz w:val="21"/>
                <w:szCs w:val="21"/>
              </w:rPr>
            </w:pPr>
            <w:bookmarkStart w:id="438" w:name="_Toc12348"/>
            <w:bookmarkStart w:id="439" w:name="_Toc25728"/>
            <w:bookmarkStart w:id="440" w:name="_Toc15268"/>
            <w:r>
              <w:rPr>
                <w:rFonts w:hint="eastAsia" w:ascii="宋体" w:hAnsi="宋体"/>
                <w:b w:val="0"/>
                <w:color w:val="auto"/>
                <w:spacing w:val="0"/>
                <w:kern w:val="2"/>
                <w:sz w:val="21"/>
                <w:szCs w:val="21"/>
              </w:rPr>
              <w:t>1.项目初验：货物送达甲方指定地点时，甲乙双方共同初验，对</w:t>
            </w:r>
            <w:r>
              <w:rPr>
                <w:rFonts w:ascii="宋体" w:hAnsi="宋体"/>
                <w:b w:val="0"/>
                <w:color w:val="auto"/>
                <w:spacing w:val="0"/>
                <w:kern w:val="2"/>
                <w:sz w:val="21"/>
                <w:szCs w:val="21"/>
              </w:rPr>
              <w:t>货物规格、数量、包装等进行检验，若有异议</w:t>
            </w:r>
            <w:r>
              <w:rPr>
                <w:rFonts w:hint="eastAsia" w:ascii="宋体" w:hAnsi="宋体"/>
                <w:b w:val="0"/>
                <w:color w:val="auto"/>
                <w:spacing w:val="0"/>
                <w:kern w:val="2"/>
                <w:sz w:val="21"/>
                <w:szCs w:val="21"/>
              </w:rPr>
              <w:t>甲方</w:t>
            </w:r>
            <w:r>
              <w:rPr>
                <w:rFonts w:ascii="宋体" w:hAnsi="宋体"/>
                <w:b w:val="0"/>
                <w:color w:val="auto"/>
                <w:spacing w:val="0"/>
                <w:kern w:val="2"/>
                <w:sz w:val="21"/>
                <w:szCs w:val="21"/>
              </w:rPr>
              <w:t>应</w:t>
            </w:r>
            <w:r>
              <w:rPr>
                <w:rFonts w:hint="eastAsia" w:ascii="宋体" w:hAnsi="宋体"/>
                <w:b w:val="0"/>
                <w:color w:val="auto"/>
                <w:spacing w:val="0"/>
                <w:kern w:val="2"/>
                <w:sz w:val="21"/>
                <w:szCs w:val="21"/>
              </w:rPr>
              <w:t>当场</w:t>
            </w:r>
            <w:r>
              <w:rPr>
                <w:rFonts w:ascii="宋体" w:hAnsi="宋体"/>
                <w:b w:val="0"/>
                <w:color w:val="auto"/>
                <w:spacing w:val="0"/>
                <w:kern w:val="2"/>
                <w:sz w:val="21"/>
                <w:szCs w:val="21"/>
              </w:rPr>
              <w:t>提出，</w:t>
            </w:r>
            <w:r>
              <w:rPr>
                <w:rFonts w:hint="eastAsia" w:ascii="宋体" w:hAnsi="宋体"/>
                <w:b w:val="0"/>
                <w:color w:val="auto"/>
                <w:spacing w:val="0"/>
                <w:kern w:val="2"/>
                <w:sz w:val="21"/>
                <w:szCs w:val="21"/>
              </w:rPr>
              <w:t>乙方应于七个工作日免费进行换货</w:t>
            </w:r>
            <w:r>
              <w:rPr>
                <w:rFonts w:ascii="宋体" w:hAnsi="宋体"/>
                <w:b w:val="0"/>
                <w:color w:val="auto"/>
                <w:spacing w:val="0"/>
                <w:kern w:val="2"/>
                <w:sz w:val="21"/>
                <w:szCs w:val="21"/>
              </w:rPr>
              <w:t>。</w:t>
            </w:r>
            <w:bookmarkEnd w:id="438"/>
            <w:bookmarkEnd w:id="439"/>
            <w:bookmarkEnd w:id="440"/>
          </w:p>
          <w:p w14:paraId="757878E8">
            <w:pPr>
              <w:pStyle w:val="2"/>
              <w:spacing w:before="0" w:after="0"/>
              <w:rPr>
                <w:rFonts w:hint="eastAsia" w:ascii="宋体" w:hAnsi="宋体"/>
                <w:b w:val="0"/>
                <w:color w:val="auto"/>
                <w:spacing w:val="0"/>
                <w:kern w:val="2"/>
                <w:sz w:val="21"/>
                <w:szCs w:val="21"/>
              </w:rPr>
            </w:pPr>
            <w:bookmarkStart w:id="441" w:name="_Toc30210"/>
            <w:bookmarkStart w:id="442" w:name="_Toc12831"/>
            <w:bookmarkStart w:id="443" w:name="_Toc29033"/>
            <w:r>
              <w:rPr>
                <w:rFonts w:hint="eastAsia" w:ascii="宋体" w:hAnsi="宋体"/>
                <w:b w:val="0"/>
                <w:color w:val="auto"/>
                <w:spacing w:val="0"/>
                <w:kern w:val="2"/>
                <w:sz w:val="21"/>
                <w:szCs w:val="21"/>
              </w:rPr>
              <w:t>2.项目终验：乙方按合同约定完成安装调试后，甲乙双方共同进行验收。验收时，甲方对货物提出有异议的，乙方当场认可的，应于七个工作日内免费进行换货。乙方不予认可的，甲方有权指定云南省内具有鉴定资质的单位针对该货物进行检测并出具检测报告，若检测合格的，由甲方承担检测费用；若检测不合格的，乙方须承担检测费用，并免费进行换货，并按照第二节第15.1款承担违约责任。</w:t>
            </w:r>
            <w:bookmarkEnd w:id="441"/>
            <w:bookmarkEnd w:id="442"/>
            <w:bookmarkEnd w:id="443"/>
          </w:p>
          <w:p w14:paraId="632E389A">
            <w:pPr>
              <w:rPr>
                <w:rFonts w:hint="eastAsia" w:ascii="宋体" w:hAnsi="宋体"/>
                <w:color w:val="auto"/>
                <w:szCs w:val="21"/>
              </w:rPr>
            </w:pPr>
          </w:p>
          <w:p w14:paraId="2B421F89">
            <w:pPr>
              <w:rPr>
                <w:rFonts w:hint="eastAsia" w:ascii="宋体" w:hAnsi="宋体"/>
                <w:color w:val="auto"/>
                <w:szCs w:val="21"/>
              </w:rPr>
            </w:pPr>
            <w:r>
              <w:rPr>
                <w:rFonts w:hint="eastAsia" w:ascii="宋体" w:hAnsi="宋体"/>
                <w:color w:val="auto"/>
                <w:szCs w:val="21"/>
              </w:rPr>
              <w:t>软件类项目参考：乙方按合同约定完成安装调试后，甲乙双方共同进行验收。在测评验收过程中，若发现技术漏洞、模块功能缺失等技术问题，乙方应于X个工作日内进行整改，并按照第二节第15.1款承担违约责任。</w:t>
            </w:r>
          </w:p>
          <w:p w14:paraId="4727A1E8">
            <w:pPr>
              <w:rPr>
                <w:rFonts w:hint="eastAsia" w:ascii="宋体" w:hAnsi="宋体"/>
                <w:color w:val="auto"/>
                <w:szCs w:val="21"/>
              </w:rPr>
            </w:pPr>
          </w:p>
          <w:p w14:paraId="37014F2D">
            <w:pPr>
              <w:adjustRightInd w:val="0"/>
              <w:snapToGrid w:val="0"/>
              <w:jc w:val="left"/>
              <w:rPr>
                <w:rFonts w:hint="eastAsia" w:ascii="宋体" w:hAnsi="宋体"/>
                <w:color w:val="auto"/>
                <w:szCs w:val="21"/>
              </w:rPr>
            </w:pPr>
            <w:r>
              <w:rPr>
                <w:rFonts w:hint="eastAsia" w:ascii="宋体" w:hAnsi="宋体"/>
                <w:color w:val="auto"/>
                <w:szCs w:val="21"/>
              </w:rPr>
              <w:t>服务类项目：根据具体服务项目要求确定，如没有请删除本条高亮说明</w:t>
            </w:r>
          </w:p>
        </w:tc>
      </w:tr>
      <w:tr w14:paraId="5C91C4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6" w:hRule="atLeast"/>
        </w:trPr>
        <w:tc>
          <w:tcPr>
            <w:tcW w:w="1659" w:type="dxa"/>
            <w:vAlign w:val="center"/>
          </w:tcPr>
          <w:p w14:paraId="5DB81FCB">
            <w:pPr>
              <w:adjustRightInd w:val="0"/>
              <w:snapToGrid w:val="0"/>
              <w:jc w:val="center"/>
              <w:rPr>
                <w:rFonts w:hint="eastAsia" w:ascii="宋体" w:hAnsi="宋体"/>
                <w:color w:val="auto"/>
                <w:szCs w:val="21"/>
              </w:rPr>
            </w:pPr>
            <w:r>
              <w:rPr>
                <w:rFonts w:hint="eastAsia" w:ascii="宋体" w:hAnsi="宋体"/>
                <w:color w:val="auto"/>
                <w:szCs w:val="21"/>
              </w:rPr>
              <w:t>第二节</w:t>
            </w:r>
          </w:p>
          <w:p w14:paraId="52C07679">
            <w:pPr>
              <w:adjustRightInd w:val="0"/>
              <w:snapToGrid w:val="0"/>
              <w:jc w:val="center"/>
              <w:rPr>
                <w:rFonts w:hint="eastAsia" w:ascii="宋体" w:hAnsi="宋体"/>
                <w:color w:val="auto"/>
                <w:szCs w:val="21"/>
              </w:rPr>
            </w:pPr>
            <w:r>
              <w:rPr>
                <w:rFonts w:hint="eastAsia" w:ascii="宋体" w:hAnsi="宋体"/>
                <w:color w:val="auto"/>
                <w:szCs w:val="21"/>
              </w:rPr>
              <w:t>第4.6款</w:t>
            </w:r>
          </w:p>
        </w:tc>
        <w:tc>
          <w:tcPr>
            <w:tcW w:w="1589" w:type="dxa"/>
            <w:vAlign w:val="center"/>
          </w:tcPr>
          <w:p w14:paraId="78F02950">
            <w:pPr>
              <w:adjustRightInd w:val="0"/>
              <w:snapToGrid w:val="0"/>
              <w:jc w:val="left"/>
              <w:rPr>
                <w:rFonts w:hint="eastAsia" w:ascii="宋体" w:hAnsi="宋体"/>
                <w:color w:val="auto"/>
                <w:szCs w:val="21"/>
              </w:rPr>
            </w:pPr>
            <w:r>
              <w:rPr>
                <w:rFonts w:hint="eastAsia" w:ascii="宋体" w:hAnsi="宋体"/>
                <w:color w:val="auto"/>
                <w:szCs w:val="21"/>
              </w:rPr>
              <w:t>约定甲方承担的其他义务和责任</w:t>
            </w:r>
          </w:p>
        </w:tc>
        <w:tc>
          <w:tcPr>
            <w:tcW w:w="6171" w:type="dxa"/>
            <w:vAlign w:val="center"/>
          </w:tcPr>
          <w:p w14:paraId="0D32CC0C">
            <w:pPr>
              <w:adjustRightInd w:val="0"/>
              <w:snapToGrid w:val="0"/>
              <w:jc w:val="left"/>
              <w:rPr>
                <w:rFonts w:hint="eastAsia" w:ascii="宋体" w:hAnsi="宋体"/>
                <w:color w:val="auto"/>
                <w:szCs w:val="21"/>
              </w:rPr>
            </w:pPr>
            <w:r>
              <w:rPr>
                <w:rFonts w:hint="eastAsia"/>
                <w:color w:val="auto"/>
                <w:spacing w:val="2"/>
              </w:rPr>
              <w:t>负责组织成立验收小组对货物和项目进行验收并签署验收报告。</w:t>
            </w:r>
          </w:p>
        </w:tc>
      </w:tr>
      <w:tr w14:paraId="781FC0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51" w:hRule="atLeast"/>
        </w:trPr>
        <w:tc>
          <w:tcPr>
            <w:tcW w:w="1659" w:type="dxa"/>
            <w:vAlign w:val="center"/>
          </w:tcPr>
          <w:p w14:paraId="58F99394">
            <w:pPr>
              <w:adjustRightInd w:val="0"/>
              <w:snapToGrid w:val="0"/>
              <w:jc w:val="center"/>
              <w:rPr>
                <w:rFonts w:hint="eastAsia" w:ascii="宋体" w:hAnsi="宋体"/>
                <w:color w:val="auto"/>
                <w:szCs w:val="21"/>
              </w:rPr>
            </w:pPr>
            <w:r>
              <w:rPr>
                <w:rFonts w:hint="eastAsia" w:ascii="宋体" w:hAnsi="宋体"/>
                <w:color w:val="auto"/>
                <w:szCs w:val="21"/>
              </w:rPr>
              <w:t>第二节</w:t>
            </w:r>
          </w:p>
          <w:p w14:paraId="017C013A">
            <w:pPr>
              <w:snapToGrid w:val="0"/>
              <w:jc w:val="center"/>
              <w:rPr>
                <w:color w:val="auto"/>
              </w:rPr>
            </w:pPr>
            <w:r>
              <w:rPr>
                <w:rFonts w:hint="eastAsia" w:ascii="宋体" w:hAnsi="宋体"/>
                <w:color w:val="auto"/>
                <w:szCs w:val="21"/>
              </w:rPr>
              <w:t>第5.4款</w:t>
            </w:r>
          </w:p>
        </w:tc>
        <w:tc>
          <w:tcPr>
            <w:tcW w:w="1589" w:type="dxa"/>
            <w:vAlign w:val="center"/>
          </w:tcPr>
          <w:p w14:paraId="28FD7E84">
            <w:pPr>
              <w:adjustRightInd w:val="0"/>
              <w:snapToGrid w:val="0"/>
              <w:jc w:val="left"/>
              <w:rPr>
                <w:rFonts w:hint="eastAsia" w:ascii="宋体" w:hAnsi="宋体"/>
                <w:color w:val="auto"/>
                <w:szCs w:val="21"/>
              </w:rPr>
            </w:pPr>
            <w:r>
              <w:rPr>
                <w:rFonts w:hint="eastAsia" w:ascii="宋体" w:hAnsi="宋体"/>
                <w:color w:val="auto"/>
                <w:szCs w:val="21"/>
              </w:rPr>
              <w:t>约定乙方承担的其他义务和责任</w:t>
            </w:r>
          </w:p>
        </w:tc>
        <w:tc>
          <w:tcPr>
            <w:tcW w:w="6171" w:type="dxa"/>
            <w:vAlign w:val="center"/>
          </w:tcPr>
          <w:p w14:paraId="5D249118">
            <w:pPr>
              <w:pStyle w:val="147"/>
              <w:spacing w:before="140" w:line="233" w:lineRule="auto"/>
              <w:ind w:left="131" w:right="109" w:hanging="9"/>
              <w:rPr>
                <w:rFonts w:hint="eastAsia"/>
                <w:color w:val="auto"/>
                <w:spacing w:val="2"/>
                <w:lang w:eastAsia="zh-CN"/>
              </w:rPr>
            </w:pPr>
            <w:r>
              <w:rPr>
                <w:rFonts w:hint="eastAsia"/>
                <w:color w:val="auto"/>
                <w:spacing w:val="2"/>
                <w:lang w:eastAsia="zh-CN"/>
              </w:rPr>
              <w:t>1.乙方保证提供的产品均为全新的、未曾使用过、无瑕疵的合格优质品供货时提供产品合格证。</w:t>
            </w:r>
          </w:p>
          <w:p w14:paraId="56BF86A0">
            <w:pPr>
              <w:pStyle w:val="147"/>
              <w:spacing w:before="140" w:line="233" w:lineRule="auto"/>
              <w:ind w:left="131" w:right="109" w:hanging="9"/>
              <w:rPr>
                <w:rFonts w:hint="eastAsia"/>
                <w:color w:val="auto"/>
                <w:spacing w:val="2"/>
                <w:lang w:eastAsia="zh-CN"/>
              </w:rPr>
            </w:pPr>
            <w:r>
              <w:rPr>
                <w:rFonts w:hint="eastAsia"/>
                <w:color w:val="auto"/>
                <w:spacing w:val="2"/>
                <w:lang w:eastAsia="zh-CN"/>
              </w:rPr>
              <w:t>2.乙方保证履行其投标文件中质量保证承诺的所有条款。</w:t>
            </w:r>
          </w:p>
          <w:p w14:paraId="3A3D8E14">
            <w:pPr>
              <w:pStyle w:val="147"/>
              <w:spacing w:before="140" w:line="233" w:lineRule="auto"/>
              <w:ind w:left="131" w:right="109" w:hanging="9"/>
              <w:rPr>
                <w:rFonts w:hint="eastAsia"/>
                <w:color w:val="auto"/>
                <w:spacing w:val="2"/>
                <w:lang w:eastAsia="zh-CN"/>
              </w:rPr>
            </w:pPr>
            <w:r>
              <w:rPr>
                <w:rFonts w:hint="eastAsia"/>
                <w:color w:val="auto"/>
                <w:spacing w:val="2"/>
                <w:lang w:eastAsia="zh-CN"/>
              </w:rPr>
              <w:t>3.保证甲方在合同产品使用期间不受第三方提出侵犯其专利权、商标权和工业设计权的起诉。如甲方因合同设备侵权产生纠纷的，乙方应当承担甲方全部损失（包括但不限于赔偿费用、律师费、诉讼费、差旅费等）。</w:t>
            </w:r>
          </w:p>
          <w:p w14:paraId="41A9555C">
            <w:pPr>
              <w:pStyle w:val="147"/>
              <w:spacing w:before="140" w:line="233" w:lineRule="auto"/>
              <w:ind w:left="131" w:right="109" w:hanging="9"/>
              <w:rPr>
                <w:rFonts w:hint="eastAsia"/>
                <w:color w:val="auto"/>
                <w:spacing w:val="2"/>
                <w:lang w:eastAsia="zh-CN"/>
              </w:rPr>
            </w:pPr>
            <w:r>
              <w:rPr>
                <w:rFonts w:hint="eastAsia"/>
                <w:color w:val="auto"/>
                <w:spacing w:val="2"/>
                <w:lang w:eastAsia="zh-CN"/>
              </w:rPr>
              <w:t>4.严格遵守招标文件、投标文件及中标所承诺的一切规定和条款。</w:t>
            </w:r>
          </w:p>
          <w:p w14:paraId="682A3646">
            <w:pPr>
              <w:pStyle w:val="147"/>
              <w:spacing w:before="140" w:line="233" w:lineRule="auto"/>
              <w:ind w:left="131" w:right="109" w:hanging="9"/>
              <w:rPr>
                <w:rFonts w:hint="eastAsia"/>
                <w:color w:val="auto"/>
                <w:spacing w:val="2"/>
                <w:lang w:eastAsia="zh-CN"/>
              </w:rPr>
            </w:pPr>
            <w:r>
              <w:rPr>
                <w:rFonts w:hint="eastAsia"/>
                <w:color w:val="auto"/>
                <w:spacing w:val="2"/>
                <w:lang w:eastAsia="zh-CN"/>
              </w:rPr>
              <w:t>5.参与甲方共同进行产品和项目的验收。</w:t>
            </w:r>
          </w:p>
          <w:p w14:paraId="6A7EF615">
            <w:pPr>
              <w:pStyle w:val="147"/>
              <w:spacing w:before="140" w:line="233" w:lineRule="auto"/>
              <w:ind w:left="131" w:right="109" w:hanging="9"/>
              <w:rPr>
                <w:rFonts w:hint="eastAsia"/>
                <w:color w:val="auto"/>
                <w:spacing w:val="2"/>
                <w:lang w:eastAsia="zh-CN"/>
              </w:rPr>
            </w:pPr>
            <w:r>
              <w:rPr>
                <w:rFonts w:hint="eastAsia"/>
                <w:color w:val="auto"/>
                <w:spacing w:val="2"/>
                <w:lang w:eastAsia="zh-CN"/>
              </w:rPr>
              <w:t>6.未经许可，乙方不得转让全部或部分其应履行的合同义务。</w:t>
            </w:r>
          </w:p>
          <w:p w14:paraId="0B0B8592">
            <w:pPr>
              <w:adjustRightInd w:val="0"/>
              <w:snapToGrid w:val="0"/>
              <w:jc w:val="left"/>
              <w:rPr>
                <w:rFonts w:hint="eastAsia" w:ascii="宋体" w:hAnsi="宋体"/>
                <w:color w:val="auto"/>
                <w:szCs w:val="21"/>
              </w:rPr>
            </w:pPr>
          </w:p>
        </w:tc>
      </w:tr>
      <w:tr w14:paraId="6A6637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5" w:hRule="atLeast"/>
        </w:trPr>
        <w:tc>
          <w:tcPr>
            <w:tcW w:w="1659" w:type="dxa"/>
            <w:vAlign w:val="center"/>
          </w:tcPr>
          <w:p w14:paraId="3D633898">
            <w:pPr>
              <w:adjustRightInd w:val="0"/>
              <w:snapToGrid w:val="0"/>
              <w:jc w:val="center"/>
              <w:rPr>
                <w:rFonts w:hint="eastAsia" w:ascii="宋体" w:hAnsi="宋体"/>
                <w:color w:val="auto"/>
                <w:szCs w:val="21"/>
              </w:rPr>
            </w:pPr>
            <w:r>
              <w:rPr>
                <w:rFonts w:hint="eastAsia" w:ascii="宋体" w:hAnsi="宋体"/>
                <w:color w:val="auto"/>
                <w:szCs w:val="21"/>
              </w:rPr>
              <w:t>第二节</w:t>
            </w:r>
          </w:p>
          <w:p w14:paraId="48917CAE">
            <w:pPr>
              <w:snapToGrid w:val="0"/>
              <w:jc w:val="center"/>
              <w:rPr>
                <w:rFonts w:hint="eastAsia" w:ascii="宋体" w:hAnsi="宋体"/>
                <w:color w:val="auto"/>
                <w:szCs w:val="21"/>
              </w:rPr>
            </w:pPr>
            <w:r>
              <w:rPr>
                <w:rFonts w:hint="eastAsia" w:ascii="宋体" w:hAnsi="宋体"/>
                <w:color w:val="auto"/>
                <w:szCs w:val="21"/>
              </w:rPr>
              <w:t>第6.1款</w:t>
            </w:r>
          </w:p>
        </w:tc>
        <w:tc>
          <w:tcPr>
            <w:tcW w:w="1589" w:type="dxa"/>
            <w:vAlign w:val="center"/>
          </w:tcPr>
          <w:p w14:paraId="3EAE7F36">
            <w:pPr>
              <w:adjustRightInd w:val="0"/>
              <w:snapToGrid w:val="0"/>
              <w:jc w:val="left"/>
              <w:rPr>
                <w:rFonts w:hint="eastAsia" w:ascii="宋体" w:hAnsi="宋体"/>
                <w:color w:val="auto"/>
                <w:szCs w:val="21"/>
              </w:rPr>
            </w:pPr>
            <w:r>
              <w:rPr>
                <w:rFonts w:hint="eastAsia" w:ascii="宋体" w:hAnsi="宋体"/>
                <w:color w:val="auto"/>
                <w:szCs w:val="21"/>
              </w:rPr>
              <w:t>履行合同义务的顺序</w:t>
            </w:r>
          </w:p>
        </w:tc>
        <w:tc>
          <w:tcPr>
            <w:tcW w:w="6171" w:type="dxa"/>
            <w:vAlign w:val="center"/>
          </w:tcPr>
          <w:p w14:paraId="4B96653B">
            <w:pPr>
              <w:rPr>
                <w:color w:val="auto"/>
              </w:rPr>
            </w:pPr>
            <w:r>
              <w:rPr>
                <w:rFonts w:hint="eastAsia" w:ascii="宋体" w:hAnsi="宋体"/>
                <w:color w:val="auto"/>
                <w:szCs w:val="21"/>
                <w:u w:val="single"/>
              </w:rPr>
              <w:t>根据具体服务项目要求确定必要的履行顺序，如没有请删除本条高亮说明。</w:t>
            </w:r>
          </w:p>
        </w:tc>
      </w:tr>
      <w:tr w14:paraId="614E7D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5" w:hRule="atLeast"/>
        </w:trPr>
        <w:tc>
          <w:tcPr>
            <w:tcW w:w="1659" w:type="dxa"/>
            <w:vMerge w:val="restart"/>
            <w:vAlign w:val="center"/>
          </w:tcPr>
          <w:p w14:paraId="124F81C7">
            <w:pPr>
              <w:adjustRightInd w:val="0"/>
              <w:snapToGrid w:val="0"/>
              <w:jc w:val="center"/>
              <w:rPr>
                <w:rFonts w:hint="eastAsia" w:ascii="宋体" w:hAnsi="宋体"/>
                <w:color w:val="auto"/>
                <w:szCs w:val="21"/>
              </w:rPr>
            </w:pPr>
            <w:r>
              <w:rPr>
                <w:rFonts w:hint="eastAsia" w:ascii="宋体" w:hAnsi="宋体"/>
                <w:color w:val="auto"/>
                <w:szCs w:val="21"/>
              </w:rPr>
              <w:t>第二节</w:t>
            </w:r>
          </w:p>
          <w:p w14:paraId="0C6847F6">
            <w:pPr>
              <w:adjustRightInd w:val="0"/>
              <w:snapToGrid w:val="0"/>
              <w:jc w:val="center"/>
              <w:rPr>
                <w:rFonts w:hint="eastAsia" w:ascii="宋体" w:hAnsi="宋体"/>
                <w:color w:val="auto"/>
                <w:szCs w:val="21"/>
              </w:rPr>
            </w:pPr>
            <w:r>
              <w:rPr>
                <w:rFonts w:hint="eastAsia" w:ascii="宋体" w:hAnsi="宋体"/>
                <w:color w:val="auto"/>
                <w:szCs w:val="21"/>
              </w:rPr>
              <w:t>第7.1款</w:t>
            </w:r>
          </w:p>
        </w:tc>
        <w:tc>
          <w:tcPr>
            <w:tcW w:w="1589" w:type="dxa"/>
            <w:vAlign w:val="center"/>
          </w:tcPr>
          <w:p w14:paraId="329C7BC2">
            <w:pPr>
              <w:adjustRightInd w:val="0"/>
              <w:snapToGrid w:val="0"/>
              <w:jc w:val="left"/>
              <w:rPr>
                <w:rFonts w:hint="eastAsia" w:ascii="宋体" w:hAnsi="宋体"/>
                <w:color w:val="auto"/>
                <w:szCs w:val="21"/>
              </w:rPr>
            </w:pPr>
            <w:r>
              <w:rPr>
                <w:rFonts w:hint="eastAsia" w:ascii="宋体" w:hAnsi="宋体"/>
                <w:color w:val="auto"/>
                <w:szCs w:val="21"/>
              </w:rPr>
              <w:t>包装特殊要求</w:t>
            </w:r>
          </w:p>
        </w:tc>
        <w:tc>
          <w:tcPr>
            <w:tcW w:w="6171" w:type="dxa"/>
            <w:vAlign w:val="center"/>
          </w:tcPr>
          <w:p w14:paraId="6C746BA8">
            <w:pPr>
              <w:rPr>
                <w:rFonts w:hint="eastAsia" w:ascii="宋体" w:hAnsi="宋体" w:cs="宋体"/>
                <w:color w:val="auto"/>
                <w:spacing w:val="2"/>
                <w:szCs w:val="21"/>
              </w:rPr>
            </w:pPr>
            <w:r>
              <w:rPr>
                <w:rFonts w:hint="eastAsia" w:ascii="宋体" w:hAnsi="宋体" w:cs="宋体"/>
                <w:color w:val="auto"/>
                <w:spacing w:val="2"/>
                <w:szCs w:val="21"/>
              </w:rPr>
              <w:t>本条结合项目实际需求进行描述</w:t>
            </w:r>
          </w:p>
        </w:tc>
      </w:tr>
      <w:tr w14:paraId="4757F4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5" w:hRule="atLeast"/>
        </w:trPr>
        <w:tc>
          <w:tcPr>
            <w:tcW w:w="1659" w:type="dxa"/>
            <w:vMerge w:val="continue"/>
            <w:vAlign w:val="center"/>
          </w:tcPr>
          <w:p w14:paraId="3EBBE195">
            <w:pPr>
              <w:adjustRightInd w:val="0"/>
              <w:snapToGrid w:val="0"/>
              <w:jc w:val="center"/>
              <w:rPr>
                <w:rFonts w:hint="eastAsia" w:ascii="宋体" w:hAnsi="宋体"/>
                <w:color w:val="auto"/>
                <w:szCs w:val="21"/>
              </w:rPr>
            </w:pPr>
          </w:p>
        </w:tc>
        <w:tc>
          <w:tcPr>
            <w:tcW w:w="1589" w:type="dxa"/>
            <w:vAlign w:val="center"/>
          </w:tcPr>
          <w:p w14:paraId="2F69F62F">
            <w:pPr>
              <w:adjustRightInd w:val="0"/>
              <w:snapToGrid w:val="0"/>
              <w:jc w:val="left"/>
              <w:rPr>
                <w:rFonts w:hint="eastAsia" w:ascii="宋体" w:hAnsi="宋体"/>
                <w:color w:val="auto"/>
                <w:szCs w:val="21"/>
              </w:rPr>
            </w:pPr>
            <w:r>
              <w:rPr>
                <w:rFonts w:hint="eastAsia" w:ascii="宋体" w:hAnsi="宋体"/>
                <w:color w:val="auto"/>
                <w:szCs w:val="21"/>
              </w:rPr>
              <w:t>指定现场</w:t>
            </w:r>
          </w:p>
        </w:tc>
        <w:tc>
          <w:tcPr>
            <w:tcW w:w="6171" w:type="dxa"/>
            <w:vAlign w:val="center"/>
          </w:tcPr>
          <w:p w14:paraId="62CEB8B2">
            <w:pPr>
              <w:rPr>
                <w:rFonts w:hint="eastAsia" w:ascii="宋体" w:hAnsi="宋体" w:cs="宋体"/>
                <w:color w:val="auto"/>
                <w:spacing w:val="2"/>
                <w:szCs w:val="21"/>
              </w:rPr>
            </w:pPr>
            <w:r>
              <w:rPr>
                <w:rFonts w:hint="eastAsia" w:ascii="宋体" w:hAnsi="宋体" w:cs="宋体"/>
                <w:color w:val="auto"/>
                <w:spacing w:val="2"/>
                <w:szCs w:val="21"/>
              </w:rPr>
              <w:t>本条结项目实际需求进行描述</w:t>
            </w:r>
          </w:p>
        </w:tc>
      </w:tr>
      <w:tr w14:paraId="6A9D3A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5" w:hRule="atLeast"/>
        </w:trPr>
        <w:tc>
          <w:tcPr>
            <w:tcW w:w="1659" w:type="dxa"/>
            <w:vAlign w:val="center"/>
          </w:tcPr>
          <w:p w14:paraId="0D400681">
            <w:pPr>
              <w:adjustRightInd w:val="0"/>
              <w:snapToGrid w:val="0"/>
              <w:jc w:val="center"/>
              <w:rPr>
                <w:rFonts w:hint="eastAsia" w:ascii="宋体" w:hAnsi="宋体"/>
                <w:color w:val="auto"/>
                <w:szCs w:val="21"/>
              </w:rPr>
            </w:pPr>
            <w:r>
              <w:rPr>
                <w:rFonts w:hint="eastAsia" w:ascii="宋体" w:hAnsi="宋体"/>
                <w:color w:val="auto"/>
                <w:szCs w:val="21"/>
              </w:rPr>
              <w:t>第二节</w:t>
            </w:r>
          </w:p>
          <w:p w14:paraId="2DCDDE23">
            <w:pPr>
              <w:adjustRightInd w:val="0"/>
              <w:snapToGrid w:val="0"/>
              <w:jc w:val="center"/>
              <w:rPr>
                <w:rFonts w:hint="eastAsia" w:ascii="宋体" w:hAnsi="宋体"/>
                <w:color w:val="auto"/>
                <w:szCs w:val="21"/>
              </w:rPr>
            </w:pPr>
            <w:r>
              <w:rPr>
                <w:rFonts w:hint="eastAsia" w:ascii="宋体" w:hAnsi="宋体"/>
                <w:color w:val="auto"/>
                <w:szCs w:val="21"/>
              </w:rPr>
              <w:t>第7.2款</w:t>
            </w:r>
          </w:p>
        </w:tc>
        <w:tc>
          <w:tcPr>
            <w:tcW w:w="1589" w:type="dxa"/>
            <w:vAlign w:val="center"/>
          </w:tcPr>
          <w:p w14:paraId="4CBB9F21">
            <w:pPr>
              <w:adjustRightInd w:val="0"/>
              <w:snapToGrid w:val="0"/>
              <w:jc w:val="left"/>
              <w:rPr>
                <w:rFonts w:hint="eastAsia" w:ascii="宋体" w:hAnsi="宋体"/>
                <w:color w:val="auto"/>
                <w:szCs w:val="21"/>
              </w:rPr>
            </w:pPr>
            <w:r>
              <w:rPr>
                <w:rFonts w:hint="eastAsia" w:ascii="宋体" w:hAnsi="宋体"/>
                <w:color w:val="auto"/>
                <w:szCs w:val="21"/>
              </w:rPr>
              <w:t>运输特殊要求</w:t>
            </w:r>
          </w:p>
        </w:tc>
        <w:tc>
          <w:tcPr>
            <w:tcW w:w="6171" w:type="dxa"/>
            <w:vAlign w:val="center"/>
          </w:tcPr>
          <w:p w14:paraId="0D382EE1">
            <w:pPr>
              <w:rPr>
                <w:rFonts w:hint="eastAsia" w:ascii="宋体" w:hAnsi="宋体" w:cs="宋体"/>
                <w:color w:val="auto"/>
                <w:spacing w:val="2"/>
                <w:szCs w:val="21"/>
              </w:rPr>
            </w:pPr>
            <w:r>
              <w:rPr>
                <w:rFonts w:hint="eastAsia" w:ascii="宋体" w:hAnsi="宋体" w:cs="宋体"/>
                <w:color w:val="auto"/>
                <w:spacing w:val="2"/>
                <w:szCs w:val="21"/>
              </w:rPr>
              <w:t>本条结合项目实际需求进行描述</w:t>
            </w:r>
          </w:p>
        </w:tc>
      </w:tr>
      <w:tr w14:paraId="4C249A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0" w:hRule="atLeast"/>
        </w:trPr>
        <w:tc>
          <w:tcPr>
            <w:tcW w:w="1659" w:type="dxa"/>
            <w:vAlign w:val="center"/>
          </w:tcPr>
          <w:p w14:paraId="14E6C73F">
            <w:pPr>
              <w:adjustRightInd w:val="0"/>
              <w:snapToGrid w:val="0"/>
              <w:jc w:val="center"/>
              <w:rPr>
                <w:rFonts w:hint="eastAsia" w:ascii="宋体" w:hAnsi="宋体"/>
                <w:color w:val="auto"/>
                <w:szCs w:val="21"/>
              </w:rPr>
            </w:pPr>
            <w:r>
              <w:rPr>
                <w:rFonts w:hint="eastAsia" w:ascii="宋体" w:hAnsi="宋体"/>
                <w:color w:val="auto"/>
                <w:szCs w:val="21"/>
              </w:rPr>
              <w:t>第二节</w:t>
            </w:r>
          </w:p>
          <w:p w14:paraId="5C657836">
            <w:pPr>
              <w:adjustRightInd w:val="0"/>
              <w:snapToGrid w:val="0"/>
              <w:jc w:val="center"/>
              <w:rPr>
                <w:rFonts w:hint="eastAsia" w:ascii="宋体" w:hAnsi="宋体"/>
                <w:color w:val="auto"/>
                <w:szCs w:val="21"/>
              </w:rPr>
            </w:pPr>
            <w:r>
              <w:rPr>
                <w:rFonts w:hint="eastAsia" w:ascii="宋体" w:hAnsi="宋体"/>
                <w:color w:val="auto"/>
                <w:szCs w:val="21"/>
              </w:rPr>
              <w:t>第7.3款</w:t>
            </w:r>
          </w:p>
        </w:tc>
        <w:tc>
          <w:tcPr>
            <w:tcW w:w="1589" w:type="dxa"/>
            <w:vAlign w:val="center"/>
          </w:tcPr>
          <w:p w14:paraId="598324A5">
            <w:pPr>
              <w:adjustRightInd w:val="0"/>
              <w:snapToGrid w:val="0"/>
              <w:jc w:val="left"/>
              <w:rPr>
                <w:rFonts w:hint="eastAsia" w:ascii="宋体" w:hAnsi="宋体"/>
                <w:color w:val="auto"/>
                <w:szCs w:val="21"/>
              </w:rPr>
            </w:pPr>
            <w:r>
              <w:rPr>
                <w:rFonts w:hint="eastAsia" w:ascii="宋体" w:hAnsi="宋体"/>
                <w:color w:val="auto"/>
                <w:szCs w:val="21"/>
              </w:rPr>
              <w:t>保险要求</w:t>
            </w:r>
          </w:p>
        </w:tc>
        <w:tc>
          <w:tcPr>
            <w:tcW w:w="6171" w:type="dxa"/>
            <w:vAlign w:val="center"/>
          </w:tcPr>
          <w:p w14:paraId="374032CA">
            <w:pPr>
              <w:rPr>
                <w:rFonts w:hint="eastAsia" w:ascii="宋体" w:hAnsi="宋体" w:cs="宋体"/>
                <w:color w:val="auto"/>
                <w:spacing w:val="2"/>
                <w:szCs w:val="21"/>
              </w:rPr>
            </w:pPr>
            <w:r>
              <w:rPr>
                <w:rFonts w:hint="eastAsia" w:ascii="宋体" w:hAnsi="宋体" w:cs="宋体"/>
                <w:color w:val="auto"/>
                <w:spacing w:val="2"/>
                <w:szCs w:val="21"/>
              </w:rPr>
              <w:t>本条结合项目实际需求进行描述</w:t>
            </w:r>
          </w:p>
        </w:tc>
      </w:tr>
      <w:tr w14:paraId="50E3E0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5" w:hRule="atLeast"/>
        </w:trPr>
        <w:tc>
          <w:tcPr>
            <w:tcW w:w="1659" w:type="dxa"/>
            <w:vAlign w:val="center"/>
          </w:tcPr>
          <w:p w14:paraId="653587E7">
            <w:pPr>
              <w:adjustRightInd w:val="0"/>
              <w:snapToGrid w:val="0"/>
              <w:jc w:val="center"/>
              <w:rPr>
                <w:rFonts w:hint="eastAsia" w:ascii="宋体" w:hAnsi="宋体"/>
                <w:color w:val="auto"/>
                <w:szCs w:val="21"/>
              </w:rPr>
            </w:pPr>
            <w:r>
              <w:rPr>
                <w:rFonts w:hint="eastAsia" w:ascii="宋体" w:hAnsi="宋体"/>
                <w:color w:val="auto"/>
                <w:szCs w:val="21"/>
              </w:rPr>
              <w:t>第二节</w:t>
            </w:r>
          </w:p>
          <w:p w14:paraId="173084E7">
            <w:pPr>
              <w:adjustRightInd w:val="0"/>
              <w:snapToGrid w:val="0"/>
              <w:jc w:val="center"/>
              <w:rPr>
                <w:rFonts w:hint="eastAsia" w:ascii="宋体" w:hAnsi="宋体"/>
                <w:color w:val="auto"/>
                <w:szCs w:val="21"/>
              </w:rPr>
            </w:pPr>
            <w:r>
              <w:rPr>
                <w:rFonts w:hint="eastAsia" w:ascii="宋体" w:hAnsi="宋体"/>
                <w:color w:val="auto"/>
                <w:szCs w:val="21"/>
              </w:rPr>
              <w:t>第8.2（1）项</w:t>
            </w:r>
          </w:p>
        </w:tc>
        <w:tc>
          <w:tcPr>
            <w:tcW w:w="1589" w:type="dxa"/>
            <w:vAlign w:val="center"/>
          </w:tcPr>
          <w:p w14:paraId="1D495350">
            <w:pPr>
              <w:adjustRightInd w:val="0"/>
              <w:snapToGrid w:val="0"/>
              <w:jc w:val="left"/>
              <w:rPr>
                <w:rFonts w:hint="eastAsia" w:ascii="宋体" w:hAnsi="宋体"/>
                <w:color w:val="auto"/>
                <w:szCs w:val="21"/>
              </w:rPr>
            </w:pPr>
            <w:r>
              <w:rPr>
                <w:rFonts w:hint="eastAsia" w:ascii="宋体" w:hAnsi="宋体"/>
                <w:color w:val="auto"/>
                <w:szCs w:val="21"/>
              </w:rPr>
              <w:t>质量保证期</w:t>
            </w:r>
          </w:p>
        </w:tc>
        <w:tc>
          <w:tcPr>
            <w:tcW w:w="6171" w:type="dxa"/>
            <w:vAlign w:val="center"/>
          </w:tcPr>
          <w:p w14:paraId="2DA60283">
            <w:pPr>
              <w:rPr>
                <w:rFonts w:hint="eastAsia" w:ascii="宋体" w:hAnsi="宋体" w:cs="宋体"/>
                <w:color w:val="auto"/>
                <w:spacing w:val="2"/>
                <w:szCs w:val="21"/>
              </w:rPr>
            </w:pPr>
            <w:r>
              <w:rPr>
                <w:rFonts w:hint="eastAsia" w:ascii="宋体" w:hAnsi="宋体" w:cs="宋体"/>
                <w:color w:val="auto"/>
                <w:spacing w:val="2"/>
                <w:szCs w:val="21"/>
              </w:rPr>
              <w:t>整体项目质保期     年，自项目最终验收合格之日起计算。</w:t>
            </w:r>
          </w:p>
          <w:p w14:paraId="6815CF86">
            <w:pPr>
              <w:rPr>
                <w:rFonts w:hint="eastAsia" w:ascii="宋体" w:hAnsi="宋体" w:cs="宋体"/>
                <w:color w:val="auto"/>
                <w:spacing w:val="2"/>
                <w:szCs w:val="21"/>
              </w:rPr>
            </w:pPr>
            <w:r>
              <w:rPr>
                <w:rFonts w:hint="eastAsia" w:ascii="宋体" w:hAnsi="宋体" w:cs="宋体"/>
                <w:color w:val="auto"/>
                <w:spacing w:val="2"/>
                <w:szCs w:val="21"/>
              </w:rPr>
              <w:t>货物质保期     年，自货物最终验收合格之日起计算。</w:t>
            </w:r>
          </w:p>
        </w:tc>
      </w:tr>
      <w:tr w14:paraId="55B022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18" w:hRule="atLeast"/>
        </w:trPr>
        <w:tc>
          <w:tcPr>
            <w:tcW w:w="1659" w:type="dxa"/>
            <w:vAlign w:val="center"/>
          </w:tcPr>
          <w:p w14:paraId="261D8379">
            <w:pPr>
              <w:adjustRightInd w:val="0"/>
              <w:snapToGrid w:val="0"/>
              <w:jc w:val="center"/>
              <w:rPr>
                <w:rFonts w:hint="eastAsia" w:ascii="宋体" w:hAnsi="宋体"/>
                <w:color w:val="auto"/>
                <w:szCs w:val="21"/>
              </w:rPr>
            </w:pPr>
            <w:r>
              <w:rPr>
                <w:rFonts w:hint="eastAsia" w:ascii="宋体" w:hAnsi="宋体"/>
                <w:color w:val="auto"/>
                <w:szCs w:val="21"/>
              </w:rPr>
              <w:t>第二节</w:t>
            </w:r>
          </w:p>
          <w:p w14:paraId="6EA6C736">
            <w:pPr>
              <w:adjustRightInd w:val="0"/>
              <w:snapToGrid w:val="0"/>
              <w:jc w:val="center"/>
              <w:rPr>
                <w:rFonts w:hint="eastAsia" w:ascii="宋体" w:hAnsi="宋体"/>
                <w:color w:val="auto"/>
                <w:szCs w:val="21"/>
              </w:rPr>
            </w:pPr>
            <w:r>
              <w:rPr>
                <w:rFonts w:hint="eastAsia" w:ascii="宋体" w:hAnsi="宋体"/>
                <w:color w:val="auto"/>
                <w:szCs w:val="21"/>
              </w:rPr>
              <w:t>第8.2（3）项</w:t>
            </w:r>
          </w:p>
        </w:tc>
        <w:tc>
          <w:tcPr>
            <w:tcW w:w="1589" w:type="dxa"/>
            <w:vAlign w:val="center"/>
          </w:tcPr>
          <w:p w14:paraId="33C9ED5E">
            <w:pPr>
              <w:adjustRightInd w:val="0"/>
              <w:snapToGrid w:val="0"/>
              <w:jc w:val="left"/>
              <w:rPr>
                <w:rFonts w:hint="eastAsia" w:ascii="宋体" w:hAnsi="宋体"/>
                <w:color w:val="auto"/>
                <w:szCs w:val="21"/>
              </w:rPr>
            </w:pPr>
            <w:r>
              <w:rPr>
                <w:rFonts w:hint="eastAsia" w:ascii="宋体" w:hAnsi="宋体"/>
                <w:color w:val="auto"/>
                <w:szCs w:val="21"/>
              </w:rPr>
              <w:t>货物质量缺陷</w:t>
            </w:r>
          </w:p>
          <w:p w14:paraId="545CA2A1">
            <w:pPr>
              <w:adjustRightInd w:val="0"/>
              <w:snapToGrid w:val="0"/>
              <w:jc w:val="left"/>
              <w:rPr>
                <w:rFonts w:hint="eastAsia" w:ascii="宋体" w:hAnsi="宋体"/>
                <w:color w:val="auto"/>
                <w:szCs w:val="21"/>
              </w:rPr>
            </w:pPr>
            <w:r>
              <w:rPr>
                <w:rFonts w:hint="eastAsia" w:ascii="宋体" w:hAnsi="宋体"/>
                <w:color w:val="auto"/>
                <w:szCs w:val="21"/>
              </w:rPr>
              <w:t>响应时间</w:t>
            </w:r>
          </w:p>
        </w:tc>
        <w:tc>
          <w:tcPr>
            <w:tcW w:w="6171" w:type="dxa"/>
            <w:vAlign w:val="center"/>
          </w:tcPr>
          <w:p w14:paraId="4F0B4EF7">
            <w:pPr>
              <w:pStyle w:val="2"/>
              <w:spacing w:before="0" w:after="0"/>
              <w:rPr>
                <w:rFonts w:hint="eastAsia" w:ascii="宋体" w:hAnsi="宋体" w:cs="宋体"/>
                <w:b w:val="0"/>
                <w:color w:val="auto"/>
                <w:spacing w:val="2"/>
                <w:kern w:val="2"/>
                <w:sz w:val="21"/>
                <w:szCs w:val="21"/>
              </w:rPr>
            </w:pPr>
            <w:bookmarkStart w:id="444" w:name="_Toc862"/>
            <w:bookmarkStart w:id="445" w:name="_Toc6033"/>
            <w:bookmarkStart w:id="446" w:name="_Toc10442"/>
            <w:r>
              <w:rPr>
                <w:rFonts w:hint="eastAsia" w:ascii="宋体" w:hAnsi="宋体" w:cs="宋体"/>
                <w:b w:val="0"/>
                <w:color w:val="auto"/>
                <w:spacing w:val="2"/>
                <w:kern w:val="2"/>
                <w:sz w:val="21"/>
                <w:szCs w:val="21"/>
              </w:rPr>
              <w:t>货物类项目：</w:t>
            </w:r>
            <w:bookmarkEnd w:id="444"/>
            <w:bookmarkEnd w:id="445"/>
            <w:bookmarkEnd w:id="446"/>
          </w:p>
          <w:p w14:paraId="5CFAF176">
            <w:pPr>
              <w:pStyle w:val="2"/>
              <w:spacing w:before="0" w:after="0"/>
              <w:rPr>
                <w:rFonts w:hint="eastAsia" w:ascii="宋体" w:hAnsi="宋体" w:cs="宋体"/>
                <w:b w:val="0"/>
                <w:color w:val="auto"/>
                <w:spacing w:val="2"/>
                <w:kern w:val="2"/>
                <w:sz w:val="21"/>
                <w:szCs w:val="21"/>
              </w:rPr>
            </w:pPr>
            <w:bookmarkStart w:id="447" w:name="_Toc31415"/>
            <w:bookmarkStart w:id="448" w:name="_Toc12954"/>
            <w:bookmarkStart w:id="449" w:name="_Toc30813"/>
            <w:r>
              <w:rPr>
                <w:rFonts w:hint="eastAsia" w:ascii="宋体" w:hAnsi="宋体" w:cs="宋体"/>
                <w:b w:val="0"/>
                <w:color w:val="auto"/>
                <w:spacing w:val="2"/>
                <w:kern w:val="2"/>
                <w:sz w:val="21"/>
                <w:szCs w:val="21"/>
              </w:rPr>
              <w:t>质保期内，若</w:t>
            </w:r>
            <w:r>
              <w:rPr>
                <w:rFonts w:ascii="宋体" w:hAnsi="宋体" w:cs="宋体"/>
                <w:b w:val="0"/>
                <w:color w:val="auto"/>
                <w:spacing w:val="2"/>
                <w:kern w:val="2"/>
                <w:sz w:val="21"/>
                <w:szCs w:val="21"/>
              </w:rPr>
              <w:t>货物规格、数量、包装等</w:t>
            </w:r>
            <w:r>
              <w:rPr>
                <w:rFonts w:hint="eastAsia" w:ascii="宋体" w:hAnsi="宋体" w:cs="宋体"/>
                <w:b w:val="0"/>
                <w:color w:val="auto"/>
                <w:spacing w:val="2"/>
                <w:kern w:val="2"/>
                <w:sz w:val="21"/>
                <w:szCs w:val="21"/>
              </w:rPr>
              <w:t>存在表面瑕疵的</w:t>
            </w:r>
            <w:r>
              <w:rPr>
                <w:rFonts w:ascii="宋体" w:hAnsi="宋体" w:cs="宋体"/>
                <w:b w:val="0"/>
                <w:color w:val="auto"/>
                <w:spacing w:val="2"/>
                <w:kern w:val="2"/>
                <w:sz w:val="21"/>
                <w:szCs w:val="21"/>
              </w:rPr>
              <w:t>，</w:t>
            </w:r>
            <w:r>
              <w:rPr>
                <w:rFonts w:hint="eastAsia" w:ascii="宋体" w:hAnsi="宋体" w:cs="宋体"/>
                <w:b w:val="0"/>
                <w:color w:val="auto"/>
                <w:spacing w:val="2"/>
                <w:kern w:val="2"/>
                <w:sz w:val="21"/>
                <w:szCs w:val="21"/>
              </w:rPr>
              <w:t>甲方应及时通知乙方</w:t>
            </w:r>
            <w:r>
              <w:rPr>
                <w:rFonts w:ascii="宋体" w:hAnsi="宋体" w:cs="宋体"/>
                <w:b w:val="0"/>
                <w:color w:val="auto"/>
                <w:spacing w:val="2"/>
                <w:kern w:val="2"/>
                <w:sz w:val="21"/>
                <w:szCs w:val="21"/>
              </w:rPr>
              <w:t>，</w:t>
            </w:r>
            <w:r>
              <w:rPr>
                <w:rFonts w:hint="eastAsia" w:ascii="宋体" w:hAnsi="宋体" w:cs="宋体"/>
                <w:b w:val="0"/>
                <w:color w:val="auto"/>
                <w:spacing w:val="2"/>
                <w:kern w:val="2"/>
                <w:sz w:val="21"/>
                <w:szCs w:val="21"/>
              </w:rPr>
              <w:t>乙方应于七个工作日免费进行换货或维修</w:t>
            </w:r>
            <w:r>
              <w:rPr>
                <w:rFonts w:ascii="宋体" w:hAnsi="宋体" w:cs="宋体"/>
                <w:b w:val="0"/>
                <w:color w:val="auto"/>
                <w:spacing w:val="2"/>
                <w:kern w:val="2"/>
                <w:sz w:val="21"/>
                <w:szCs w:val="21"/>
              </w:rPr>
              <w:t>。</w:t>
            </w:r>
            <w:bookmarkEnd w:id="447"/>
            <w:bookmarkEnd w:id="448"/>
            <w:bookmarkEnd w:id="449"/>
          </w:p>
          <w:p w14:paraId="0A496EE4">
            <w:pPr>
              <w:pStyle w:val="2"/>
              <w:spacing w:before="0" w:after="0"/>
              <w:rPr>
                <w:rFonts w:hint="eastAsia" w:ascii="宋体" w:hAnsi="宋体" w:cs="宋体"/>
                <w:b w:val="0"/>
                <w:color w:val="auto"/>
                <w:spacing w:val="2"/>
                <w:kern w:val="2"/>
                <w:sz w:val="21"/>
                <w:szCs w:val="21"/>
              </w:rPr>
            </w:pPr>
            <w:bookmarkStart w:id="450" w:name="_Toc22093"/>
            <w:bookmarkStart w:id="451" w:name="_Toc12242"/>
            <w:bookmarkStart w:id="452" w:name="_Toc23029"/>
            <w:r>
              <w:rPr>
                <w:rFonts w:hint="eastAsia" w:ascii="宋体" w:hAnsi="宋体" w:cs="宋体"/>
                <w:b w:val="0"/>
                <w:color w:val="auto"/>
                <w:spacing w:val="2"/>
                <w:kern w:val="2"/>
                <w:sz w:val="21"/>
                <w:szCs w:val="21"/>
              </w:rPr>
              <w:t>质保期内，若</w:t>
            </w:r>
            <w:r>
              <w:rPr>
                <w:rFonts w:ascii="宋体" w:hAnsi="宋体" w:cs="宋体"/>
                <w:b w:val="0"/>
                <w:color w:val="auto"/>
                <w:spacing w:val="2"/>
                <w:kern w:val="2"/>
                <w:sz w:val="21"/>
                <w:szCs w:val="21"/>
              </w:rPr>
              <w:t>货物</w:t>
            </w:r>
            <w:r>
              <w:rPr>
                <w:rFonts w:hint="eastAsia" w:ascii="宋体" w:hAnsi="宋体" w:cs="宋体"/>
                <w:b w:val="0"/>
                <w:color w:val="auto"/>
                <w:spacing w:val="2"/>
                <w:kern w:val="2"/>
                <w:sz w:val="21"/>
                <w:szCs w:val="21"/>
              </w:rPr>
              <w:t>存在</w:t>
            </w:r>
            <w:r>
              <w:rPr>
                <w:rFonts w:ascii="宋体" w:hAnsi="宋体" w:cs="宋体"/>
                <w:b w:val="0"/>
                <w:color w:val="auto"/>
                <w:spacing w:val="2"/>
                <w:kern w:val="2"/>
                <w:sz w:val="21"/>
                <w:szCs w:val="21"/>
              </w:rPr>
              <w:t>内在质量</w:t>
            </w:r>
            <w:r>
              <w:rPr>
                <w:rFonts w:hint="eastAsia" w:ascii="宋体" w:hAnsi="宋体" w:cs="宋体"/>
                <w:b w:val="0"/>
                <w:color w:val="auto"/>
                <w:spacing w:val="2"/>
                <w:kern w:val="2"/>
                <w:sz w:val="21"/>
                <w:szCs w:val="21"/>
              </w:rPr>
              <w:t>问题的，甲方应及时向乙方提出书面异议的</w:t>
            </w:r>
            <w:r>
              <w:rPr>
                <w:rFonts w:ascii="宋体" w:hAnsi="宋体" w:cs="宋体"/>
                <w:b w:val="0"/>
                <w:color w:val="auto"/>
                <w:spacing w:val="2"/>
                <w:kern w:val="2"/>
                <w:sz w:val="21"/>
                <w:szCs w:val="21"/>
              </w:rPr>
              <w:t>，</w:t>
            </w:r>
            <w:r>
              <w:rPr>
                <w:rFonts w:hint="eastAsia" w:ascii="宋体" w:hAnsi="宋体" w:cs="宋体"/>
                <w:b w:val="0"/>
                <w:color w:val="auto"/>
                <w:spacing w:val="2"/>
                <w:kern w:val="2"/>
                <w:sz w:val="21"/>
                <w:szCs w:val="21"/>
              </w:rPr>
              <w:t>乙方应于七个工作日内对异议是否成立进行答复。如乙方认可质量异议的</w:t>
            </w:r>
            <w:r>
              <w:rPr>
                <w:rFonts w:ascii="宋体" w:hAnsi="宋体" w:cs="宋体"/>
                <w:b w:val="0"/>
                <w:color w:val="auto"/>
                <w:spacing w:val="2"/>
                <w:kern w:val="2"/>
                <w:sz w:val="21"/>
                <w:szCs w:val="21"/>
              </w:rPr>
              <w:t>，</w:t>
            </w:r>
            <w:r>
              <w:rPr>
                <w:rFonts w:hint="eastAsia" w:ascii="宋体" w:hAnsi="宋体" w:cs="宋体"/>
                <w:b w:val="0"/>
                <w:color w:val="auto"/>
                <w:spacing w:val="2"/>
                <w:kern w:val="2"/>
                <w:sz w:val="21"/>
                <w:szCs w:val="21"/>
              </w:rPr>
              <w:t>甲方有权暂停付款，并要求乙方按照第二节第15.1款承担违约责任。如乙方不认可质量异议的，</w:t>
            </w:r>
            <w:r>
              <w:rPr>
                <w:rFonts w:ascii="宋体" w:hAnsi="宋体" w:cs="宋体"/>
                <w:b w:val="0"/>
                <w:color w:val="auto"/>
                <w:spacing w:val="2"/>
                <w:kern w:val="2"/>
                <w:sz w:val="21"/>
                <w:szCs w:val="21"/>
              </w:rPr>
              <w:t>甲方有权指定云南省内具有检测资质的单位针对该</w:t>
            </w:r>
            <w:r>
              <w:rPr>
                <w:rFonts w:hint="eastAsia" w:ascii="宋体" w:hAnsi="宋体" w:cs="宋体"/>
                <w:b w:val="0"/>
                <w:color w:val="auto"/>
                <w:spacing w:val="2"/>
                <w:kern w:val="2"/>
                <w:sz w:val="21"/>
                <w:szCs w:val="21"/>
              </w:rPr>
              <w:t>异议货物</w:t>
            </w:r>
            <w:r>
              <w:rPr>
                <w:rFonts w:ascii="宋体" w:hAnsi="宋体" w:cs="宋体"/>
                <w:b w:val="0"/>
                <w:color w:val="auto"/>
                <w:spacing w:val="2"/>
                <w:kern w:val="2"/>
                <w:sz w:val="21"/>
                <w:szCs w:val="21"/>
              </w:rPr>
              <w:t>进行检测，若检测合格，由甲方承担检测费用；若检测不合格，则乙方须承担检测费用，</w:t>
            </w:r>
            <w:r>
              <w:rPr>
                <w:rFonts w:hint="eastAsia" w:ascii="宋体" w:hAnsi="宋体" w:cs="宋体"/>
                <w:b w:val="0"/>
                <w:color w:val="auto"/>
                <w:spacing w:val="2"/>
                <w:kern w:val="2"/>
                <w:sz w:val="21"/>
                <w:szCs w:val="21"/>
              </w:rPr>
              <w:t>乙方应在七个工作日免费进行换货或维修，</w:t>
            </w:r>
            <w:r>
              <w:rPr>
                <w:rFonts w:ascii="宋体" w:hAnsi="宋体" w:cs="宋体"/>
                <w:b w:val="0"/>
                <w:color w:val="auto"/>
                <w:spacing w:val="2"/>
                <w:kern w:val="2"/>
                <w:sz w:val="21"/>
                <w:szCs w:val="21"/>
              </w:rPr>
              <w:t>甲方有权暂停付款，并要求乙方按照第二</w:t>
            </w:r>
            <w:r>
              <w:rPr>
                <w:rFonts w:hint="eastAsia" w:ascii="宋体" w:hAnsi="宋体" w:cs="宋体"/>
                <w:b w:val="0"/>
                <w:color w:val="auto"/>
                <w:spacing w:val="2"/>
                <w:kern w:val="2"/>
                <w:sz w:val="21"/>
                <w:szCs w:val="21"/>
              </w:rPr>
              <w:t>节</w:t>
            </w:r>
            <w:r>
              <w:rPr>
                <w:rFonts w:ascii="宋体" w:hAnsi="宋体" w:cs="宋体"/>
                <w:b w:val="0"/>
                <w:color w:val="auto"/>
                <w:spacing w:val="2"/>
                <w:kern w:val="2"/>
                <w:sz w:val="21"/>
                <w:szCs w:val="21"/>
              </w:rPr>
              <w:t>第15.1款承担违约责任。</w:t>
            </w:r>
            <w:bookmarkEnd w:id="450"/>
            <w:bookmarkEnd w:id="451"/>
            <w:bookmarkEnd w:id="452"/>
          </w:p>
          <w:p w14:paraId="30FA7033">
            <w:pPr>
              <w:rPr>
                <w:rFonts w:hint="eastAsia" w:ascii="宋体" w:hAnsi="宋体" w:cs="宋体"/>
                <w:color w:val="auto"/>
                <w:spacing w:val="2"/>
                <w:szCs w:val="21"/>
              </w:rPr>
            </w:pPr>
            <w:r>
              <w:rPr>
                <w:rFonts w:hint="eastAsia" w:ascii="宋体" w:hAnsi="宋体" w:cs="宋体"/>
                <w:color w:val="auto"/>
                <w:spacing w:val="2"/>
                <w:szCs w:val="21"/>
              </w:rPr>
              <w:t>软件类项目：</w:t>
            </w:r>
          </w:p>
          <w:p w14:paraId="25641DA0">
            <w:pPr>
              <w:rPr>
                <w:rFonts w:hint="eastAsia" w:ascii="宋体" w:hAnsi="宋体" w:cs="宋体"/>
                <w:color w:val="auto"/>
                <w:spacing w:val="2"/>
                <w:szCs w:val="21"/>
              </w:rPr>
            </w:pPr>
            <w:r>
              <w:rPr>
                <w:rFonts w:hint="eastAsia" w:ascii="宋体" w:hAnsi="宋体" w:cs="宋体"/>
                <w:color w:val="auto"/>
                <w:spacing w:val="2"/>
                <w:szCs w:val="21"/>
              </w:rPr>
              <w:t>服务类项目：根据具体服务项目要求确定，如没有请删除本条高亮说明</w:t>
            </w:r>
          </w:p>
        </w:tc>
      </w:tr>
      <w:tr w14:paraId="0CE1D5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6" w:hRule="atLeast"/>
        </w:trPr>
        <w:tc>
          <w:tcPr>
            <w:tcW w:w="1659" w:type="dxa"/>
            <w:vAlign w:val="center"/>
          </w:tcPr>
          <w:p w14:paraId="37E83C5C">
            <w:pPr>
              <w:snapToGrid w:val="0"/>
              <w:jc w:val="center"/>
              <w:rPr>
                <w:rFonts w:hint="eastAsia" w:ascii="宋体" w:hAnsi="宋体" w:cs="宋体"/>
                <w:color w:val="auto"/>
                <w:szCs w:val="21"/>
              </w:rPr>
            </w:pPr>
            <w:r>
              <w:rPr>
                <w:rFonts w:hint="eastAsia" w:ascii="宋体" w:hAnsi="宋体" w:cs="宋体"/>
                <w:color w:val="auto"/>
                <w:szCs w:val="21"/>
              </w:rPr>
              <w:t>第二节</w:t>
            </w:r>
          </w:p>
          <w:p w14:paraId="62607F13">
            <w:pPr>
              <w:pStyle w:val="145"/>
              <w:ind w:firstLine="0" w:firstLineChars="0"/>
              <w:jc w:val="center"/>
              <w:rPr>
                <w:rFonts w:hint="eastAsia"/>
                <w:color w:val="auto"/>
              </w:rPr>
            </w:pPr>
            <w:r>
              <w:rPr>
                <w:rFonts w:hint="eastAsia" w:ascii="宋体" w:hAnsi="宋体" w:eastAsia="宋体" w:cs="宋体"/>
                <w:color w:val="auto"/>
              </w:rPr>
              <w:t>第11.1款</w:t>
            </w:r>
          </w:p>
        </w:tc>
        <w:tc>
          <w:tcPr>
            <w:tcW w:w="1589" w:type="dxa"/>
            <w:vAlign w:val="center"/>
          </w:tcPr>
          <w:p w14:paraId="5C4DB922">
            <w:pPr>
              <w:adjustRightInd w:val="0"/>
              <w:snapToGrid w:val="0"/>
              <w:rPr>
                <w:rFonts w:hint="eastAsia" w:ascii="宋体" w:hAnsi="宋体"/>
                <w:color w:val="auto"/>
                <w:szCs w:val="21"/>
              </w:rPr>
            </w:pPr>
            <w:r>
              <w:rPr>
                <w:rFonts w:hint="eastAsia" w:ascii="宋体" w:hAnsi="宋体"/>
                <w:color w:val="auto"/>
                <w:szCs w:val="21"/>
              </w:rPr>
              <w:t>其他应当保密的信息</w:t>
            </w:r>
          </w:p>
        </w:tc>
        <w:tc>
          <w:tcPr>
            <w:tcW w:w="6171" w:type="dxa"/>
            <w:vAlign w:val="center"/>
          </w:tcPr>
          <w:p w14:paraId="54D6ECBE">
            <w:pPr>
              <w:pStyle w:val="147"/>
              <w:spacing w:before="140" w:line="233" w:lineRule="auto"/>
              <w:ind w:left="131" w:right="109" w:hanging="9"/>
              <w:rPr>
                <w:rFonts w:hint="eastAsia"/>
                <w:color w:val="auto"/>
                <w:spacing w:val="2"/>
                <w:lang w:eastAsia="zh-CN"/>
              </w:rPr>
            </w:pPr>
            <w:r>
              <w:rPr>
                <w:rFonts w:hint="eastAsia"/>
                <w:color w:val="auto"/>
                <w:spacing w:val="2"/>
                <w:lang w:eastAsia="zh-CN"/>
              </w:rPr>
              <w:t>根据具体采购项目添加保密要求，如没有请删除本条高亮说明。</w:t>
            </w:r>
          </w:p>
        </w:tc>
      </w:tr>
      <w:tr w14:paraId="2F628D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9" w:hRule="atLeast"/>
        </w:trPr>
        <w:tc>
          <w:tcPr>
            <w:tcW w:w="1659" w:type="dxa"/>
            <w:vAlign w:val="center"/>
          </w:tcPr>
          <w:p w14:paraId="109FC387">
            <w:pPr>
              <w:adjustRightInd w:val="0"/>
              <w:snapToGrid w:val="0"/>
              <w:jc w:val="center"/>
              <w:rPr>
                <w:rFonts w:hint="eastAsia" w:ascii="宋体" w:hAnsi="宋体"/>
                <w:color w:val="auto"/>
                <w:szCs w:val="21"/>
              </w:rPr>
            </w:pPr>
            <w:r>
              <w:rPr>
                <w:rFonts w:hint="eastAsia" w:ascii="宋体" w:hAnsi="宋体"/>
                <w:color w:val="auto"/>
                <w:szCs w:val="21"/>
              </w:rPr>
              <w:t>第二节</w:t>
            </w:r>
          </w:p>
          <w:p w14:paraId="46263CE8">
            <w:pPr>
              <w:adjustRightInd w:val="0"/>
              <w:snapToGrid w:val="0"/>
              <w:jc w:val="center"/>
              <w:rPr>
                <w:rFonts w:hint="eastAsia" w:ascii="宋体" w:hAnsi="宋体"/>
                <w:color w:val="auto"/>
                <w:szCs w:val="21"/>
              </w:rPr>
            </w:pPr>
            <w:r>
              <w:rPr>
                <w:rFonts w:hint="eastAsia" w:ascii="宋体" w:hAnsi="宋体"/>
                <w:color w:val="auto"/>
                <w:szCs w:val="21"/>
              </w:rPr>
              <w:t>第12.2款</w:t>
            </w:r>
          </w:p>
        </w:tc>
        <w:tc>
          <w:tcPr>
            <w:tcW w:w="1589" w:type="dxa"/>
            <w:vAlign w:val="center"/>
          </w:tcPr>
          <w:p w14:paraId="5A4C6F82">
            <w:pPr>
              <w:adjustRightInd w:val="0"/>
              <w:snapToGrid w:val="0"/>
              <w:jc w:val="left"/>
              <w:rPr>
                <w:rFonts w:hint="eastAsia" w:ascii="宋体" w:hAnsi="宋体"/>
                <w:color w:val="auto"/>
                <w:szCs w:val="21"/>
              </w:rPr>
            </w:pPr>
            <w:r>
              <w:rPr>
                <w:rFonts w:hint="eastAsia" w:ascii="宋体" w:hAnsi="宋体"/>
                <w:color w:val="auto"/>
                <w:szCs w:val="21"/>
              </w:rPr>
              <w:t>合同价款支付时间</w:t>
            </w:r>
          </w:p>
        </w:tc>
        <w:tc>
          <w:tcPr>
            <w:tcW w:w="6171" w:type="dxa"/>
            <w:vAlign w:val="center"/>
          </w:tcPr>
          <w:p w14:paraId="74F6350C">
            <w:pPr>
              <w:rPr>
                <w:rFonts w:hint="eastAsia" w:ascii="宋体" w:hAnsi="宋体" w:cs="宋体"/>
                <w:color w:val="auto"/>
                <w:spacing w:val="2"/>
                <w:szCs w:val="21"/>
              </w:rPr>
            </w:pPr>
            <w:r>
              <w:rPr>
                <w:rFonts w:hint="eastAsia" w:ascii="宋体" w:hAnsi="宋体" w:cs="宋体"/>
                <w:color w:val="auto"/>
                <w:spacing w:val="2"/>
                <w:szCs w:val="21"/>
              </w:rPr>
              <w:t>本条需按照价款支付进度表述计划付款时间。建议如下约定：</w:t>
            </w:r>
          </w:p>
          <w:p w14:paraId="18B3F8E7">
            <w:pPr>
              <w:rPr>
                <w:rFonts w:hint="eastAsia" w:ascii="宋体" w:hAnsi="宋体" w:cs="宋体"/>
                <w:color w:val="auto"/>
                <w:spacing w:val="2"/>
                <w:szCs w:val="21"/>
              </w:rPr>
            </w:pPr>
            <w:r>
              <w:rPr>
                <w:rFonts w:hint="eastAsia" w:ascii="宋体" w:hAnsi="宋体" w:cs="宋体"/>
                <w:color w:val="auto"/>
                <w:spacing w:val="2"/>
                <w:szCs w:val="21"/>
              </w:rPr>
              <w:t>软件类项目：</w:t>
            </w:r>
          </w:p>
          <w:p w14:paraId="2C28CEC6">
            <w:pPr>
              <w:rPr>
                <w:rFonts w:hint="eastAsia" w:ascii="宋体" w:hAnsi="宋体" w:cs="宋体"/>
                <w:color w:val="auto"/>
                <w:spacing w:val="2"/>
                <w:szCs w:val="21"/>
              </w:rPr>
            </w:pPr>
            <w:r>
              <w:rPr>
                <w:rFonts w:hint="eastAsia" w:ascii="宋体" w:hAnsi="宋体" w:cs="宋体"/>
                <w:color w:val="auto"/>
                <w:spacing w:val="2"/>
                <w:szCs w:val="21"/>
              </w:rPr>
              <w:t>项目安装并初步调试完成后支付合同金额的70%；按采购方需求调试完成，并初步验收后支付合同金额的20%；验收完成交付，并正常使用一年后支付合同金额的10%。如整体项目进度未按合同约定履行时，合同价款支付时间按实际履行时间支付相应进度货款。甲方自收到乙方出具的等额发票后10个工作日内支付到乙方账户。</w:t>
            </w:r>
          </w:p>
          <w:p w14:paraId="3358C9AA">
            <w:pPr>
              <w:rPr>
                <w:rFonts w:hint="eastAsia" w:ascii="宋体" w:hAnsi="宋体" w:cs="宋体"/>
                <w:color w:val="auto"/>
                <w:spacing w:val="2"/>
                <w:szCs w:val="21"/>
              </w:rPr>
            </w:pPr>
          </w:p>
          <w:p w14:paraId="1987D7F0">
            <w:pPr>
              <w:rPr>
                <w:rFonts w:hint="eastAsia" w:ascii="宋体" w:hAnsi="宋体" w:cs="宋体"/>
                <w:color w:val="auto"/>
                <w:spacing w:val="2"/>
                <w:szCs w:val="21"/>
              </w:rPr>
            </w:pPr>
            <w:r>
              <w:rPr>
                <w:rFonts w:hint="eastAsia" w:ascii="宋体" w:hAnsi="宋体" w:cs="宋体"/>
                <w:color w:val="auto"/>
                <w:spacing w:val="2"/>
                <w:szCs w:val="21"/>
              </w:rPr>
              <w:t>货物类项目：</w:t>
            </w:r>
          </w:p>
          <w:p w14:paraId="777E7D09">
            <w:pPr>
              <w:ind w:firstLine="420" w:firstLineChars="200"/>
              <w:rPr>
                <w:rFonts w:hint="eastAsia" w:ascii="宋体" w:hAnsi="宋体" w:cs="宋体"/>
                <w:color w:val="auto"/>
                <w:spacing w:val="2"/>
                <w:szCs w:val="21"/>
              </w:rPr>
            </w:pPr>
            <w:r>
              <w:rPr>
                <w:color w:val="auto"/>
              </w:rPr>
              <w:t>以合同签订为准。如整体项目进度未按合同约定履行时，合同价款支付时间按实际履行时间支付相应进度货款。甲方自收到乙方出具的等额发票后10个工作日内支付到乙方账户。</w:t>
            </w:r>
            <w:r>
              <w:rPr>
                <w:rFonts w:hint="eastAsia" w:ascii="宋体" w:hAnsi="宋体" w:cs="宋体"/>
                <w:color w:val="auto"/>
                <w:spacing w:val="2"/>
                <w:szCs w:val="21"/>
              </w:rPr>
              <w:t>甲方自收到乙方出具的等额发票后10个工作日内支付到乙方账户。</w:t>
            </w:r>
          </w:p>
          <w:p w14:paraId="65AC195B">
            <w:pPr>
              <w:pStyle w:val="2"/>
              <w:spacing w:before="0" w:after="0"/>
              <w:rPr>
                <w:rFonts w:hint="eastAsia" w:ascii="宋体" w:hAnsi="宋体" w:cs="宋体"/>
                <w:b w:val="0"/>
                <w:color w:val="auto"/>
                <w:spacing w:val="2"/>
                <w:kern w:val="2"/>
                <w:sz w:val="21"/>
                <w:szCs w:val="21"/>
              </w:rPr>
            </w:pPr>
          </w:p>
          <w:p w14:paraId="64438F4F">
            <w:pPr>
              <w:rPr>
                <w:rFonts w:hint="eastAsia" w:ascii="宋体" w:hAnsi="宋体" w:cs="宋体"/>
                <w:color w:val="auto"/>
                <w:spacing w:val="2"/>
                <w:szCs w:val="21"/>
              </w:rPr>
            </w:pPr>
            <w:r>
              <w:rPr>
                <w:rFonts w:hint="eastAsia" w:ascii="宋体" w:hAnsi="宋体" w:cs="宋体"/>
                <w:color w:val="auto"/>
                <w:spacing w:val="2"/>
                <w:szCs w:val="21"/>
              </w:rPr>
              <w:t>监管账户需咨询财务处意见。如甲方项目资金属于财政专项资金，出现未能按照合同约定付款时，乙方应办理开户银行为中国建设银行的监管易账户，甲方将项目剩余款项汇入该监管易账户，待项目达到付款条件时再进行付款。”</w:t>
            </w:r>
          </w:p>
        </w:tc>
      </w:tr>
      <w:tr w14:paraId="15ED04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15" w:hRule="atLeast"/>
        </w:trPr>
        <w:tc>
          <w:tcPr>
            <w:tcW w:w="1659" w:type="dxa"/>
            <w:vAlign w:val="center"/>
          </w:tcPr>
          <w:p w14:paraId="1537D22A">
            <w:pPr>
              <w:adjustRightInd w:val="0"/>
              <w:snapToGrid w:val="0"/>
              <w:jc w:val="center"/>
              <w:rPr>
                <w:rFonts w:hint="eastAsia" w:ascii="宋体" w:hAnsi="宋体"/>
                <w:color w:val="auto"/>
                <w:szCs w:val="21"/>
              </w:rPr>
            </w:pPr>
            <w:r>
              <w:rPr>
                <w:rFonts w:hint="eastAsia" w:ascii="宋体" w:hAnsi="宋体"/>
                <w:color w:val="auto"/>
                <w:szCs w:val="21"/>
              </w:rPr>
              <w:t>第二节</w:t>
            </w:r>
          </w:p>
          <w:p w14:paraId="568B4739">
            <w:pPr>
              <w:adjustRightInd w:val="0"/>
              <w:snapToGrid w:val="0"/>
              <w:jc w:val="center"/>
              <w:rPr>
                <w:rFonts w:hint="eastAsia" w:ascii="宋体" w:hAnsi="宋体"/>
                <w:color w:val="auto"/>
                <w:szCs w:val="21"/>
              </w:rPr>
            </w:pPr>
            <w:r>
              <w:rPr>
                <w:rFonts w:hint="eastAsia" w:ascii="宋体" w:hAnsi="宋体"/>
                <w:color w:val="auto"/>
                <w:szCs w:val="21"/>
              </w:rPr>
              <w:t>第13.2款</w:t>
            </w:r>
          </w:p>
        </w:tc>
        <w:tc>
          <w:tcPr>
            <w:tcW w:w="1589" w:type="dxa"/>
            <w:vAlign w:val="center"/>
          </w:tcPr>
          <w:p w14:paraId="075DCF43">
            <w:pPr>
              <w:adjustRightInd w:val="0"/>
              <w:snapToGrid w:val="0"/>
              <w:jc w:val="left"/>
              <w:rPr>
                <w:rFonts w:hint="eastAsia" w:ascii="宋体" w:hAnsi="宋体"/>
                <w:color w:val="auto"/>
                <w:szCs w:val="21"/>
              </w:rPr>
            </w:pPr>
            <w:r>
              <w:rPr>
                <w:rFonts w:hint="eastAsia" w:ascii="宋体" w:hAnsi="宋体"/>
                <w:color w:val="auto"/>
                <w:szCs w:val="21"/>
              </w:rPr>
              <w:t>履约保证金不予退还的情形</w:t>
            </w:r>
          </w:p>
        </w:tc>
        <w:tc>
          <w:tcPr>
            <w:tcW w:w="6171" w:type="dxa"/>
            <w:vAlign w:val="center"/>
          </w:tcPr>
          <w:p w14:paraId="3563AD59">
            <w:pPr>
              <w:rPr>
                <w:rFonts w:hint="eastAsia" w:ascii="宋体" w:hAnsi="宋体" w:cs="宋体"/>
                <w:color w:val="auto"/>
                <w:spacing w:val="2"/>
                <w:szCs w:val="21"/>
              </w:rPr>
            </w:pPr>
            <w:r>
              <w:rPr>
                <w:rFonts w:hint="eastAsia" w:ascii="宋体" w:hAnsi="宋体" w:cs="宋体"/>
                <w:color w:val="auto"/>
                <w:spacing w:val="2"/>
                <w:szCs w:val="21"/>
              </w:rPr>
              <w:t>根据本合同约定乙方应当向甲方支付违约金或承担赔偿责任的，甲方有权从履约保证金中直接扣除相应金额，履约保证金不足以偿付的，乙方应以予补足。</w:t>
            </w:r>
          </w:p>
          <w:p w14:paraId="2A338D94">
            <w:pPr>
              <w:rPr>
                <w:rFonts w:hint="eastAsia" w:ascii="宋体" w:hAnsi="宋体" w:cs="宋体"/>
                <w:color w:val="auto"/>
                <w:spacing w:val="2"/>
                <w:szCs w:val="21"/>
              </w:rPr>
            </w:pPr>
            <w:r>
              <w:rPr>
                <w:rFonts w:hint="eastAsia" w:ascii="宋体" w:hAnsi="宋体" w:cs="宋体"/>
                <w:color w:val="auto"/>
                <w:spacing w:val="2"/>
                <w:szCs w:val="21"/>
              </w:rPr>
              <w:t>根据具体采购项目添加约定不予退还履约保证金及扣除履约保证金的情况，如没有请删除本条高亮说明。</w:t>
            </w:r>
          </w:p>
        </w:tc>
      </w:tr>
      <w:tr w14:paraId="333ACE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6" w:hRule="atLeast"/>
        </w:trPr>
        <w:tc>
          <w:tcPr>
            <w:tcW w:w="1659" w:type="dxa"/>
            <w:vAlign w:val="center"/>
          </w:tcPr>
          <w:p w14:paraId="07652CFA">
            <w:pPr>
              <w:adjustRightInd w:val="0"/>
              <w:snapToGrid w:val="0"/>
              <w:jc w:val="center"/>
              <w:rPr>
                <w:rFonts w:hint="eastAsia" w:ascii="宋体" w:hAnsi="宋体"/>
                <w:color w:val="auto"/>
                <w:szCs w:val="21"/>
              </w:rPr>
            </w:pPr>
            <w:r>
              <w:rPr>
                <w:rFonts w:hint="eastAsia" w:ascii="宋体" w:hAnsi="宋体"/>
                <w:color w:val="auto"/>
                <w:szCs w:val="21"/>
              </w:rPr>
              <w:t>第二节</w:t>
            </w:r>
          </w:p>
          <w:p w14:paraId="38E18CAF">
            <w:pPr>
              <w:adjustRightInd w:val="0"/>
              <w:snapToGrid w:val="0"/>
              <w:jc w:val="center"/>
              <w:rPr>
                <w:rFonts w:hint="eastAsia" w:ascii="宋体" w:hAnsi="宋体"/>
                <w:color w:val="auto"/>
                <w:szCs w:val="21"/>
              </w:rPr>
            </w:pPr>
            <w:r>
              <w:rPr>
                <w:rFonts w:hint="eastAsia" w:ascii="宋体" w:hAnsi="宋体"/>
                <w:color w:val="auto"/>
                <w:szCs w:val="21"/>
              </w:rPr>
              <w:t>第13.3款</w:t>
            </w:r>
          </w:p>
        </w:tc>
        <w:tc>
          <w:tcPr>
            <w:tcW w:w="1589" w:type="dxa"/>
            <w:vAlign w:val="center"/>
          </w:tcPr>
          <w:p w14:paraId="40E8D33A">
            <w:pPr>
              <w:adjustRightInd w:val="0"/>
              <w:snapToGrid w:val="0"/>
              <w:jc w:val="left"/>
              <w:rPr>
                <w:rFonts w:hint="eastAsia" w:ascii="宋体" w:hAnsi="宋体"/>
                <w:color w:val="auto"/>
                <w:szCs w:val="21"/>
              </w:rPr>
            </w:pPr>
            <w:r>
              <w:rPr>
                <w:rFonts w:hint="eastAsia" w:ascii="宋体" w:hAnsi="宋体"/>
                <w:color w:val="auto"/>
                <w:szCs w:val="21"/>
              </w:rPr>
              <w:t>履约保证金退还时间及逾期退还的违约金</w:t>
            </w:r>
          </w:p>
        </w:tc>
        <w:tc>
          <w:tcPr>
            <w:tcW w:w="6171" w:type="dxa"/>
            <w:vAlign w:val="center"/>
          </w:tcPr>
          <w:p w14:paraId="51FC8966">
            <w:pPr>
              <w:rPr>
                <w:rFonts w:hint="eastAsia" w:ascii="宋体" w:hAnsi="宋体" w:cs="宋体"/>
                <w:color w:val="auto"/>
                <w:spacing w:val="2"/>
                <w:szCs w:val="21"/>
              </w:rPr>
            </w:pPr>
            <w:r>
              <w:rPr>
                <w:rFonts w:hint="eastAsia" w:ascii="宋体" w:hAnsi="宋体" w:cs="宋体"/>
                <w:color w:val="auto"/>
                <w:spacing w:val="2"/>
                <w:szCs w:val="21"/>
              </w:rPr>
              <w:t>甲乙双方验收合格次日起算一年，若乙方无合同违约情况发生，甲方在一年期满之后10个工作日内将履约保证金全额无息退还至乙方账户。</w:t>
            </w:r>
          </w:p>
        </w:tc>
      </w:tr>
      <w:tr w14:paraId="466693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5" w:hRule="atLeast"/>
        </w:trPr>
        <w:tc>
          <w:tcPr>
            <w:tcW w:w="1659" w:type="dxa"/>
            <w:vAlign w:val="center"/>
          </w:tcPr>
          <w:p w14:paraId="4C411733">
            <w:pPr>
              <w:adjustRightInd w:val="0"/>
              <w:snapToGrid w:val="0"/>
              <w:jc w:val="center"/>
              <w:rPr>
                <w:rFonts w:hint="eastAsia" w:ascii="宋体" w:hAnsi="宋体"/>
                <w:color w:val="auto"/>
                <w:szCs w:val="21"/>
              </w:rPr>
            </w:pPr>
            <w:r>
              <w:rPr>
                <w:rFonts w:hint="eastAsia" w:ascii="宋体" w:hAnsi="宋体"/>
                <w:color w:val="auto"/>
                <w:szCs w:val="21"/>
              </w:rPr>
              <w:t>第二节</w:t>
            </w:r>
          </w:p>
          <w:p w14:paraId="247B6E5C">
            <w:pPr>
              <w:adjustRightInd w:val="0"/>
              <w:snapToGrid w:val="0"/>
              <w:jc w:val="center"/>
              <w:rPr>
                <w:rFonts w:hint="eastAsia" w:ascii="宋体" w:hAnsi="宋体"/>
                <w:color w:val="auto"/>
                <w:szCs w:val="21"/>
              </w:rPr>
            </w:pPr>
            <w:r>
              <w:rPr>
                <w:rFonts w:hint="eastAsia" w:ascii="宋体" w:hAnsi="宋体"/>
                <w:color w:val="auto"/>
                <w:szCs w:val="21"/>
              </w:rPr>
              <w:t>第14.1（3）项</w:t>
            </w:r>
          </w:p>
        </w:tc>
        <w:tc>
          <w:tcPr>
            <w:tcW w:w="1589" w:type="dxa"/>
            <w:vAlign w:val="center"/>
          </w:tcPr>
          <w:p w14:paraId="1E8ED9A5">
            <w:pPr>
              <w:adjustRightInd w:val="0"/>
              <w:snapToGrid w:val="0"/>
              <w:jc w:val="left"/>
              <w:rPr>
                <w:rFonts w:hint="eastAsia" w:ascii="宋体" w:hAnsi="宋体"/>
                <w:color w:val="auto"/>
                <w:szCs w:val="21"/>
              </w:rPr>
            </w:pPr>
            <w:r>
              <w:rPr>
                <w:rFonts w:hint="eastAsia" w:ascii="宋体" w:hAnsi="宋体"/>
                <w:color w:val="auto"/>
                <w:szCs w:val="21"/>
              </w:rPr>
              <w:t>运行监督、维修期限</w:t>
            </w:r>
          </w:p>
        </w:tc>
        <w:tc>
          <w:tcPr>
            <w:tcW w:w="6171" w:type="dxa"/>
            <w:vAlign w:val="center"/>
          </w:tcPr>
          <w:p w14:paraId="7632E9B8">
            <w:pPr>
              <w:rPr>
                <w:rFonts w:hint="eastAsia" w:ascii="宋体" w:hAnsi="宋体" w:cs="宋体"/>
                <w:color w:val="auto"/>
                <w:spacing w:val="2"/>
                <w:szCs w:val="21"/>
              </w:rPr>
            </w:pPr>
            <w:r>
              <w:rPr>
                <w:rFonts w:hint="eastAsia" w:ascii="宋体" w:hAnsi="宋体" w:cs="宋体"/>
                <w:color w:val="auto"/>
                <w:spacing w:val="2"/>
                <w:szCs w:val="21"/>
              </w:rPr>
              <w:t>本条结合项目实际需求进行描述，如项目整体维保期限等。</w:t>
            </w:r>
          </w:p>
        </w:tc>
      </w:tr>
      <w:tr w14:paraId="4DC8E3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5" w:hRule="atLeast"/>
        </w:trPr>
        <w:tc>
          <w:tcPr>
            <w:tcW w:w="1659" w:type="dxa"/>
            <w:vAlign w:val="center"/>
          </w:tcPr>
          <w:p w14:paraId="04131B52">
            <w:pPr>
              <w:adjustRightInd w:val="0"/>
              <w:snapToGrid w:val="0"/>
              <w:jc w:val="center"/>
              <w:rPr>
                <w:rFonts w:hint="eastAsia" w:ascii="宋体" w:hAnsi="宋体"/>
                <w:color w:val="auto"/>
                <w:szCs w:val="21"/>
              </w:rPr>
            </w:pPr>
            <w:r>
              <w:rPr>
                <w:rFonts w:hint="eastAsia" w:ascii="宋体" w:hAnsi="宋体"/>
                <w:color w:val="auto"/>
                <w:szCs w:val="21"/>
              </w:rPr>
              <w:t>第二节</w:t>
            </w:r>
          </w:p>
          <w:p w14:paraId="758E5CB1">
            <w:pPr>
              <w:adjustRightInd w:val="0"/>
              <w:snapToGrid w:val="0"/>
              <w:jc w:val="center"/>
              <w:rPr>
                <w:rFonts w:hint="eastAsia" w:ascii="宋体" w:hAnsi="宋体"/>
                <w:color w:val="auto"/>
                <w:szCs w:val="21"/>
              </w:rPr>
            </w:pPr>
            <w:r>
              <w:rPr>
                <w:rFonts w:hint="eastAsia" w:ascii="宋体" w:hAnsi="宋体"/>
                <w:color w:val="auto"/>
                <w:szCs w:val="21"/>
              </w:rPr>
              <w:t>第14.1（5）项</w:t>
            </w:r>
          </w:p>
        </w:tc>
        <w:tc>
          <w:tcPr>
            <w:tcW w:w="1589" w:type="dxa"/>
            <w:vAlign w:val="center"/>
          </w:tcPr>
          <w:p w14:paraId="6F93E5F0">
            <w:pPr>
              <w:adjustRightInd w:val="0"/>
              <w:snapToGrid w:val="0"/>
              <w:jc w:val="left"/>
              <w:rPr>
                <w:rFonts w:hint="eastAsia" w:ascii="宋体" w:hAnsi="宋体"/>
                <w:color w:val="auto"/>
                <w:szCs w:val="21"/>
              </w:rPr>
            </w:pPr>
            <w:r>
              <w:rPr>
                <w:rFonts w:hint="eastAsia" w:ascii="宋体" w:hAnsi="宋体"/>
                <w:color w:val="auto"/>
                <w:szCs w:val="21"/>
              </w:rPr>
              <w:t>货物回收的约定</w:t>
            </w:r>
          </w:p>
        </w:tc>
        <w:tc>
          <w:tcPr>
            <w:tcW w:w="6171" w:type="dxa"/>
            <w:vAlign w:val="center"/>
          </w:tcPr>
          <w:p w14:paraId="37E1059D">
            <w:pPr>
              <w:adjustRightInd w:val="0"/>
              <w:snapToGrid w:val="0"/>
              <w:jc w:val="left"/>
              <w:rPr>
                <w:rFonts w:hint="eastAsia" w:ascii="宋体" w:hAnsi="宋体" w:cs="宋体"/>
                <w:color w:val="auto"/>
                <w:spacing w:val="2"/>
                <w:szCs w:val="21"/>
              </w:rPr>
            </w:pPr>
            <w:r>
              <w:rPr>
                <w:rFonts w:hint="eastAsia" w:ascii="宋体" w:hAnsi="宋体" w:cs="宋体"/>
                <w:color w:val="auto"/>
                <w:spacing w:val="2"/>
                <w:szCs w:val="21"/>
              </w:rPr>
              <w:t>根据具体采购项目添加货物回收约定，如没有请删除本条高亮说明。</w:t>
            </w:r>
          </w:p>
        </w:tc>
      </w:tr>
      <w:tr w14:paraId="741294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5" w:hRule="atLeast"/>
        </w:trPr>
        <w:tc>
          <w:tcPr>
            <w:tcW w:w="1659" w:type="dxa"/>
            <w:vAlign w:val="center"/>
          </w:tcPr>
          <w:p w14:paraId="45ED6F9A">
            <w:pPr>
              <w:adjustRightInd w:val="0"/>
              <w:snapToGrid w:val="0"/>
              <w:jc w:val="center"/>
              <w:rPr>
                <w:rFonts w:hint="eastAsia" w:ascii="宋体" w:hAnsi="宋体"/>
                <w:color w:val="auto"/>
                <w:szCs w:val="21"/>
              </w:rPr>
            </w:pPr>
            <w:r>
              <w:rPr>
                <w:rFonts w:hint="eastAsia" w:ascii="宋体" w:hAnsi="宋体"/>
                <w:color w:val="auto"/>
                <w:szCs w:val="21"/>
              </w:rPr>
              <w:t>第二节</w:t>
            </w:r>
          </w:p>
          <w:p w14:paraId="1B902FF6">
            <w:pPr>
              <w:adjustRightInd w:val="0"/>
              <w:snapToGrid w:val="0"/>
              <w:jc w:val="center"/>
              <w:rPr>
                <w:rFonts w:hint="eastAsia" w:ascii="宋体" w:hAnsi="宋体"/>
                <w:color w:val="auto"/>
                <w:szCs w:val="21"/>
              </w:rPr>
            </w:pPr>
            <w:r>
              <w:rPr>
                <w:rFonts w:hint="eastAsia" w:ascii="宋体" w:hAnsi="宋体"/>
                <w:color w:val="auto"/>
                <w:szCs w:val="21"/>
              </w:rPr>
              <w:t>第14.1（6）项</w:t>
            </w:r>
          </w:p>
        </w:tc>
        <w:tc>
          <w:tcPr>
            <w:tcW w:w="1589" w:type="dxa"/>
            <w:vAlign w:val="center"/>
          </w:tcPr>
          <w:p w14:paraId="080D553B">
            <w:pPr>
              <w:adjustRightInd w:val="0"/>
              <w:snapToGrid w:val="0"/>
              <w:jc w:val="left"/>
              <w:rPr>
                <w:rFonts w:hint="eastAsia" w:ascii="宋体" w:hAnsi="宋体"/>
                <w:color w:val="auto"/>
                <w:szCs w:val="21"/>
              </w:rPr>
            </w:pPr>
            <w:r>
              <w:rPr>
                <w:rFonts w:hint="eastAsia" w:ascii="宋体" w:hAnsi="宋体"/>
                <w:color w:val="auto"/>
                <w:szCs w:val="21"/>
              </w:rPr>
              <w:t>乙方提供的其他服务</w:t>
            </w:r>
          </w:p>
        </w:tc>
        <w:tc>
          <w:tcPr>
            <w:tcW w:w="6171" w:type="dxa"/>
            <w:vAlign w:val="center"/>
          </w:tcPr>
          <w:p w14:paraId="23385F0B">
            <w:pPr>
              <w:adjustRightInd w:val="0"/>
              <w:snapToGrid w:val="0"/>
              <w:jc w:val="left"/>
              <w:rPr>
                <w:rFonts w:hint="eastAsia" w:ascii="宋体" w:hAnsi="宋体" w:cs="宋体"/>
                <w:color w:val="auto"/>
                <w:spacing w:val="2"/>
                <w:szCs w:val="21"/>
              </w:rPr>
            </w:pPr>
            <w:r>
              <w:rPr>
                <w:rFonts w:hint="eastAsia" w:ascii="宋体" w:hAnsi="宋体" w:cs="宋体"/>
                <w:color w:val="auto"/>
                <w:spacing w:val="2"/>
                <w:szCs w:val="21"/>
              </w:rPr>
              <w:t>根据具体采购项目添加乙方应提供的服务，如没有请删除本条高亮说明。</w:t>
            </w:r>
          </w:p>
        </w:tc>
      </w:tr>
      <w:tr w14:paraId="50B811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96" w:hRule="atLeast"/>
        </w:trPr>
        <w:tc>
          <w:tcPr>
            <w:tcW w:w="1659" w:type="dxa"/>
            <w:vAlign w:val="center"/>
          </w:tcPr>
          <w:p w14:paraId="787095B7">
            <w:pPr>
              <w:adjustRightInd w:val="0"/>
              <w:snapToGrid w:val="0"/>
              <w:jc w:val="center"/>
              <w:rPr>
                <w:rFonts w:hint="eastAsia" w:ascii="宋体" w:hAnsi="宋体"/>
                <w:color w:val="auto"/>
                <w:szCs w:val="21"/>
              </w:rPr>
            </w:pPr>
            <w:r>
              <w:rPr>
                <w:rFonts w:hint="eastAsia" w:ascii="宋体" w:hAnsi="宋体"/>
                <w:color w:val="auto"/>
                <w:szCs w:val="21"/>
              </w:rPr>
              <w:t>第二节</w:t>
            </w:r>
          </w:p>
          <w:p w14:paraId="7E4B54B6">
            <w:pPr>
              <w:adjustRightInd w:val="0"/>
              <w:snapToGrid w:val="0"/>
              <w:jc w:val="center"/>
              <w:rPr>
                <w:rFonts w:hint="eastAsia" w:ascii="宋体" w:hAnsi="宋体"/>
                <w:color w:val="auto"/>
                <w:szCs w:val="21"/>
              </w:rPr>
            </w:pPr>
            <w:r>
              <w:rPr>
                <w:rFonts w:hint="eastAsia" w:ascii="宋体" w:hAnsi="宋体"/>
                <w:color w:val="auto"/>
                <w:szCs w:val="21"/>
              </w:rPr>
              <w:t>第15.1款</w:t>
            </w:r>
          </w:p>
        </w:tc>
        <w:tc>
          <w:tcPr>
            <w:tcW w:w="1589" w:type="dxa"/>
            <w:vAlign w:val="center"/>
          </w:tcPr>
          <w:p w14:paraId="4AE434B0">
            <w:pPr>
              <w:adjustRightInd w:val="0"/>
              <w:snapToGrid w:val="0"/>
              <w:jc w:val="left"/>
              <w:rPr>
                <w:rFonts w:hint="eastAsia" w:ascii="宋体" w:hAnsi="宋体"/>
                <w:color w:val="auto"/>
                <w:szCs w:val="21"/>
              </w:rPr>
            </w:pPr>
            <w:r>
              <w:rPr>
                <w:rFonts w:hint="eastAsia" w:ascii="宋体" w:hAnsi="宋体"/>
                <w:color w:val="auto"/>
                <w:szCs w:val="21"/>
              </w:rPr>
              <w:t>修理、重作、更换相关具体规定</w:t>
            </w:r>
          </w:p>
        </w:tc>
        <w:tc>
          <w:tcPr>
            <w:tcW w:w="6171" w:type="dxa"/>
            <w:vAlign w:val="center"/>
          </w:tcPr>
          <w:p w14:paraId="13F4FCD5">
            <w:pPr>
              <w:adjustRightInd w:val="0"/>
              <w:snapToGrid w:val="0"/>
              <w:jc w:val="left"/>
              <w:rPr>
                <w:rFonts w:hint="eastAsia" w:ascii="宋体" w:hAnsi="宋体" w:cs="宋体"/>
                <w:color w:val="auto"/>
                <w:spacing w:val="2"/>
                <w:szCs w:val="21"/>
              </w:rPr>
            </w:pPr>
            <w:r>
              <w:rPr>
                <w:rFonts w:hint="eastAsia" w:ascii="宋体" w:hAnsi="宋体" w:cs="宋体"/>
                <w:color w:val="auto"/>
                <w:spacing w:val="2"/>
                <w:szCs w:val="21"/>
              </w:rPr>
              <w:t>除发生不可抗力事实外，乙方提供的产品和安装调试不符合合同约定的，甲方有权拒收、拒验并拒付相应货款，直至乙方按合同约定更换产品和安装调试，更换和安装调试费用由乙方承担，造成甲方经济损失的应依法赔偿。乙方未在合同约定时间内完成换货的，逾期一日将向甲方每日偿付合同总额万分之五的违约金。</w:t>
            </w:r>
          </w:p>
        </w:tc>
      </w:tr>
      <w:tr w14:paraId="5F63B3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537" w:hRule="atLeast"/>
        </w:trPr>
        <w:tc>
          <w:tcPr>
            <w:tcW w:w="1659" w:type="dxa"/>
            <w:vAlign w:val="center"/>
          </w:tcPr>
          <w:p w14:paraId="76BA70A9">
            <w:pPr>
              <w:adjustRightInd w:val="0"/>
              <w:snapToGrid w:val="0"/>
              <w:jc w:val="center"/>
              <w:rPr>
                <w:rFonts w:hint="eastAsia" w:ascii="宋体" w:hAnsi="宋体"/>
                <w:color w:val="auto"/>
                <w:szCs w:val="21"/>
              </w:rPr>
            </w:pPr>
            <w:r>
              <w:rPr>
                <w:rFonts w:hint="eastAsia" w:ascii="宋体" w:hAnsi="宋体"/>
                <w:color w:val="auto"/>
                <w:szCs w:val="21"/>
              </w:rPr>
              <w:t>第二节</w:t>
            </w:r>
          </w:p>
          <w:p w14:paraId="6537CD9F">
            <w:pPr>
              <w:adjustRightInd w:val="0"/>
              <w:snapToGrid w:val="0"/>
              <w:jc w:val="center"/>
              <w:rPr>
                <w:rFonts w:hint="eastAsia" w:ascii="宋体" w:hAnsi="宋体"/>
                <w:color w:val="auto"/>
                <w:szCs w:val="21"/>
              </w:rPr>
            </w:pPr>
            <w:r>
              <w:rPr>
                <w:rFonts w:hint="eastAsia" w:ascii="宋体" w:hAnsi="宋体"/>
                <w:color w:val="auto"/>
                <w:szCs w:val="21"/>
              </w:rPr>
              <w:t>第15.2（2）项</w:t>
            </w:r>
          </w:p>
        </w:tc>
        <w:tc>
          <w:tcPr>
            <w:tcW w:w="1589" w:type="dxa"/>
            <w:vAlign w:val="center"/>
          </w:tcPr>
          <w:p w14:paraId="5ECE4F67">
            <w:pPr>
              <w:adjustRightInd w:val="0"/>
              <w:snapToGrid w:val="0"/>
              <w:jc w:val="left"/>
              <w:rPr>
                <w:rFonts w:hint="eastAsia" w:ascii="宋体" w:hAnsi="宋体"/>
                <w:color w:val="auto"/>
                <w:szCs w:val="21"/>
              </w:rPr>
            </w:pPr>
            <w:r>
              <w:rPr>
                <w:rFonts w:hint="eastAsia" w:ascii="宋体" w:hAnsi="宋体"/>
                <w:color w:val="auto"/>
                <w:szCs w:val="21"/>
              </w:rPr>
              <w:t>迟延交货赔偿费</w:t>
            </w:r>
          </w:p>
        </w:tc>
        <w:tc>
          <w:tcPr>
            <w:tcW w:w="6171" w:type="dxa"/>
            <w:vAlign w:val="center"/>
          </w:tcPr>
          <w:p w14:paraId="3AFF2F81">
            <w:pPr>
              <w:adjustRightInd w:val="0"/>
              <w:snapToGrid w:val="0"/>
              <w:jc w:val="left"/>
              <w:rPr>
                <w:rFonts w:hint="eastAsia" w:ascii="宋体" w:hAnsi="宋体" w:cs="宋体"/>
                <w:color w:val="auto"/>
                <w:spacing w:val="2"/>
                <w:szCs w:val="21"/>
              </w:rPr>
            </w:pPr>
            <w:r>
              <w:rPr>
                <w:rFonts w:hint="eastAsia" w:ascii="宋体" w:hAnsi="宋体" w:cs="宋体"/>
                <w:color w:val="auto"/>
                <w:spacing w:val="2"/>
                <w:szCs w:val="21"/>
              </w:rPr>
              <w:t>乙方迟延交货、安装调试或提供服务的，甲方有权从货款中误期赔偿费，每日误期赔偿费按合同总额的万分之五计收，误期赔偿费累计不超过合同总额的百分之五。误期赔偿费累计至合同总额的百分之五时，甲方有权单方面解除合同，甲方无须向乙方承担任何责任，支付任何费用（包括设备使用费），如合同解除给甲方造成损失的，乙方应当赔偿损失。合同解除后，乙方应当取回已交付的设备，如乙方拒绝取回设备的，甲方可通过邮寄、运输等方式交还产生的费用及设备在途风险由乙方承担。</w:t>
            </w:r>
          </w:p>
        </w:tc>
      </w:tr>
      <w:tr w14:paraId="2615EE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5" w:hRule="atLeast"/>
        </w:trPr>
        <w:tc>
          <w:tcPr>
            <w:tcW w:w="1659" w:type="dxa"/>
            <w:vAlign w:val="center"/>
          </w:tcPr>
          <w:p w14:paraId="2A8750D9">
            <w:pPr>
              <w:adjustRightInd w:val="0"/>
              <w:snapToGrid w:val="0"/>
              <w:jc w:val="center"/>
              <w:rPr>
                <w:rFonts w:hint="eastAsia" w:ascii="宋体" w:hAnsi="宋体"/>
                <w:color w:val="auto"/>
                <w:szCs w:val="21"/>
              </w:rPr>
            </w:pPr>
            <w:r>
              <w:rPr>
                <w:rFonts w:hint="eastAsia" w:ascii="宋体" w:hAnsi="宋体"/>
                <w:color w:val="auto"/>
                <w:szCs w:val="21"/>
              </w:rPr>
              <w:t>第二节</w:t>
            </w:r>
          </w:p>
          <w:p w14:paraId="740CC9A7">
            <w:pPr>
              <w:adjustRightInd w:val="0"/>
              <w:snapToGrid w:val="0"/>
              <w:jc w:val="center"/>
              <w:rPr>
                <w:rFonts w:hint="eastAsia" w:ascii="宋体" w:hAnsi="宋体"/>
                <w:color w:val="auto"/>
                <w:szCs w:val="21"/>
              </w:rPr>
            </w:pPr>
            <w:r>
              <w:rPr>
                <w:rFonts w:hint="eastAsia" w:ascii="宋体" w:hAnsi="宋体"/>
                <w:color w:val="auto"/>
                <w:szCs w:val="21"/>
              </w:rPr>
              <w:t>第15.3款</w:t>
            </w:r>
          </w:p>
        </w:tc>
        <w:tc>
          <w:tcPr>
            <w:tcW w:w="1589" w:type="dxa"/>
            <w:vAlign w:val="center"/>
          </w:tcPr>
          <w:p w14:paraId="17031562">
            <w:pPr>
              <w:adjustRightInd w:val="0"/>
              <w:snapToGrid w:val="0"/>
              <w:jc w:val="left"/>
              <w:rPr>
                <w:rFonts w:hint="eastAsia" w:ascii="宋体" w:hAnsi="宋体"/>
                <w:color w:val="auto"/>
                <w:szCs w:val="21"/>
              </w:rPr>
            </w:pPr>
            <w:r>
              <w:rPr>
                <w:rFonts w:hint="eastAsia" w:ascii="宋体" w:hAnsi="宋体"/>
                <w:color w:val="auto"/>
                <w:szCs w:val="21"/>
              </w:rPr>
              <w:t>逾期付款利息</w:t>
            </w:r>
          </w:p>
        </w:tc>
        <w:tc>
          <w:tcPr>
            <w:tcW w:w="6171" w:type="dxa"/>
            <w:vAlign w:val="center"/>
          </w:tcPr>
          <w:p w14:paraId="1B0A0151">
            <w:pPr>
              <w:adjustRightInd w:val="0"/>
              <w:snapToGrid w:val="0"/>
              <w:jc w:val="left"/>
              <w:rPr>
                <w:rFonts w:hint="eastAsia" w:ascii="宋体" w:hAnsi="宋体" w:cs="宋体"/>
                <w:color w:val="auto"/>
                <w:spacing w:val="2"/>
                <w:szCs w:val="21"/>
              </w:rPr>
            </w:pPr>
            <w:r>
              <w:rPr>
                <w:rFonts w:hint="eastAsia" w:ascii="宋体" w:hAnsi="宋体" w:cs="宋体"/>
                <w:color w:val="auto"/>
                <w:spacing w:val="2"/>
                <w:szCs w:val="21"/>
              </w:rPr>
              <w:t>逾期支付合同款将向乙方每日偿付欠款总额万分之五的逾期利息，逾期利息累计不超过欠款总额的百分之五。</w:t>
            </w:r>
          </w:p>
        </w:tc>
      </w:tr>
      <w:tr w14:paraId="02391A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5" w:hRule="atLeast"/>
        </w:trPr>
        <w:tc>
          <w:tcPr>
            <w:tcW w:w="1659" w:type="dxa"/>
            <w:tcBorders>
              <w:bottom w:val="single" w:color="auto" w:sz="2" w:space="0"/>
              <w:right w:val="single" w:color="auto" w:sz="2" w:space="0"/>
            </w:tcBorders>
            <w:vAlign w:val="center"/>
          </w:tcPr>
          <w:p w14:paraId="46C8F075">
            <w:pPr>
              <w:adjustRightInd w:val="0"/>
              <w:snapToGrid w:val="0"/>
              <w:jc w:val="center"/>
              <w:rPr>
                <w:rFonts w:hint="eastAsia" w:ascii="宋体" w:hAnsi="宋体"/>
                <w:color w:val="auto"/>
                <w:szCs w:val="21"/>
              </w:rPr>
            </w:pPr>
            <w:r>
              <w:rPr>
                <w:rFonts w:hint="eastAsia" w:ascii="宋体" w:hAnsi="宋体"/>
                <w:color w:val="auto"/>
                <w:szCs w:val="21"/>
              </w:rPr>
              <w:t>第二节</w:t>
            </w:r>
          </w:p>
          <w:p w14:paraId="25F8EF48">
            <w:pPr>
              <w:adjustRightInd w:val="0"/>
              <w:snapToGrid w:val="0"/>
              <w:jc w:val="center"/>
              <w:rPr>
                <w:rFonts w:hint="eastAsia" w:ascii="宋体" w:hAnsi="宋体"/>
                <w:color w:val="auto"/>
                <w:szCs w:val="21"/>
              </w:rPr>
            </w:pPr>
            <w:r>
              <w:rPr>
                <w:rFonts w:hint="eastAsia" w:ascii="宋体" w:hAnsi="宋体"/>
                <w:color w:val="auto"/>
                <w:szCs w:val="21"/>
              </w:rPr>
              <w:t>第15.4款</w:t>
            </w:r>
          </w:p>
        </w:tc>
        <w:tc>
          <w:tcPr>
            <w:tcW w:w="1589" w:type="dxa"/>
            <w:tcBorders>
              <w:left w:val="single" w:color="auto" w:sz="2" w:space="0"/>
              <w:bottom w:val="single" w:color="auto" w:sz="2" w:space="0"/>
              <w:right w:val="single" w:color="auto" w:sz="2" w:space="0"/>
            </w:tcBorders>
            <w:vAlign w:val="center"/>
          </w:tcPr>
          <w:p w14:paraId="2F5071EE">
            <w:pPr>
              <w:adjustRightInd w:val="0"/>
              <w:snapToGrid w:val="0"/>
              <w:jc w:val="left"/>
              <w:rPr>
                <w:rFonts w:hint="eastAsia" w:ascii="宋体" w:hAnsi="宋体"/>
                <w:color w:val="auto"/>
                <w:szCs w:val="21"/>
              </w:rPr>
            </w:pPr>
            <w:r>
              <w:rPr>
                <w:rFonts w:hint="eastAsia" w:ascii="宋体" w:hAnsi="宋体"/>
                <w:color w:val="auto"/>
                <w:szCs w:val="21"/>
              </w:rPr>
              <w:t>其他违约责任</w:t>
            </w:r>
          </w:p>
        </w:tc>
        <w:tc>
          <w:tcPr>
            <w:tcW w:w="6171" w:type="dxa"/>
            <w:tcBorders>
              <w:left w:val="single" w:color="auto" w:sz="2" w:space="0"/>
              <w:bottom w:val="single" w:color="auto" w:sz="2" w:space="0"/>
            </w:tcBorders>
            <w:vAlign w:val="center"/>
          </w:tcPr>
          <w:p w14:paraId="134CD2F3">
            <w:pPr>
              <w:adjustRightInd w:val="0"/>
              <w:snapToGrid w:val="0"/>
              <w:jc w:val="left"/>
              <w:rPr>
                <w:rFonts w:hint="eastAsia" w:ascii="宋体" w:hAnsi="宋体" w:cs="宋体"/>
                <w:color w:val="auto"/>
                <w:spacing w:val="2"/>
                <w:szCs w:val="21"/>
              </w:rPr>
            </w:pPr>
            <w:r>
              <w:rPr>
                <w:rFonts w:hint="eastAsia" w:ascii="宋体" w:hAnsi="宋体" w:cs="宋体"/>
                <w:color w:val="auto"/>
                <w:spacing w:val="2"/>
                <w:szCs w:val="21"/>
              </w:rPr>
              <w:t>可以根据具体采购项目添加相应违约责任，如没有请删除本条高亮说明。</w:t>
            </w:r>
          </w:p>
        </w:tc>
      </w:tr>
      <w:tr w14:paraId="6D2D9D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19" w:hRule="atLeast"/>
        </w:trPr>
        <w:tc>
          <w:tcPr>
            <w:tcW w:w="1659" w:type="dxa"/>
            <w:tcBorders>
              <w:top w:val="single" w:color="auto" w:sz="2" w:space="0"/>
              <w:right w:val="single" w:color="auto" w:sz="2" w:space="0"/>
            </w:tcBorders>
            <w:vAlign w:val="center"/>
          </w:tcPr>
          <w:p w14:paraId="55610CA4">
            <w:pPr>
              <w:adjustRightInd w:val="0"/>
              <w:snapToGrid w:val="0"/>
              <w:jc w:val="center"/>
              <w:rPr>
                <w:rFonts w:hint="eastAsia" w:ascii="宋体" w:hAnsi="宋体"/>
                <w:color w:val="auto"/>
                <w:szCs w:val="21"/>
              </w:rPr>
            </w:pPr>
            <w:r>
              <w:rPr>
                <w:rFonts w:hint="eastAsia" w:ascii="宋体" w:hAnsi="宋体"/>
                <w:color w:val="auto"/>
                <w:szCs w:val="21"/>
              </w:rPr>
              <w:t>第二节</w:t>
            </w:r>
          </w:p>
          <w:p w14:paraId="185826EB">
            <w:pPr>
              <w:adjustRightInd w:val="0"/>
              <w:snapToGrid w:val="0"/>
              <w:jc w:val="center"/>
              <w:rPr>
                <w:rFonts w:hint="eastAsia" w:ascii="宋体" w:hAnsi="宋体"/>
                <w:color w:val="auto"/>
                <w:szCs w:val="21"/>
              </w:rPr>
            </w:pPr>
            <w:r>
              <w:rPr>
                <w:rFonts w:hint="eastAsia" w:ascii="宋体" w:hAnsi="宋体"/>
                <w:color w:val="auto"/>
                <w:szCs w:val="21"/>
              </w:rPr>
              <w:t>第19.2款</w:t>
            </w:r>
          </w:p>
        </w:tc>
        <w:tc>
          <w:tcPr>
            <w:tcW w:w="1589" w:type="dxa"/>
            <w:tcBorders>
              <w:top w:val="single" w:color="auto" w:sz="2" w:space="0"/>
              <w:left w:val="single" w:color="auto" w:sz="2" w:space="0"/>
              <w:right w:val="single" w:color="auto" w:sz="2" w:space="0"/>
            </w:tcBorders>
            <w:vAlign w:val="center"/>
          </w:tcPr>
          <w:p w14:paraId="4A8276B5">
            <w:pPr>
              <w:adjustRightInd w:val="0"/>
              <w:snapToGrid w:val="0"/>
              <w:jc w:val="left"/>
              <w:rPr>
                <w:rFonts w:hint="eastAsia" w:ascii="宋体" w:hAnsi="宋体"/>
                <w:color w:val="auto"/>
                <w:szCs w:val="21"/>
              </w:rPr>
            </w:pPr>
            <w:r>
              <w:rPr>
                <w:rFonts w:hint="eastAsia" w:ascii="宋体" w:hAnsi="宋体"/>
                <w:color w:val="auto"/>
                <w:szCs w:val="21"/>
              </w:rPr>
              <w:t>解决争议的方法</w:t>
            </w:r>
          </w:p>
        </w:tc>
        <w:tc>
          <w:tcPr>
            <w:tcW w:w="6171" w:type="dxa"/>
            <w:tcBorders>
              <w:top w:val="single" w:color="auto" w:sz="2" w:space="0"/>
              <w:left w:val="single" w:color="auto" w:sz="2" w:space="0"/>
            </w:tcBorders>
            <w:vAlign w:val="center"/>
          </w:tcPr>
          <w:p w14:paraId="5538C8AB">
            <w:pPr>
              <w:autoSpaceDE w:val="0"/>
              <w:autoSpaceDN w:val="0"/>
              <w:adjustRightInd w:val="0"/>
              <w:snapToGrid w:val="0"/>
              <w:spacing w:line="400" w:lineRule="exact"/>
              <w:jc w:val="left"/>
              <w:rPr>
                <w:rFonts w:hint="eastAsia" w:ascii="宋体" w:hAnsi="宋体" w:cs="宋体"/>
                <w:iCs/>
                <w:color w:val="auto"/>
                <w:szCs w:val="21"/>
              </w:rPr>
            </w:pPr>
            <w:r>
              <w:rPr>
                <w:rFonts w:hint="eastAsia" w:ascii="宋体" w:hAnsi="宋体" w:cs="宋体"/>
                <w:iCs/>
                <w:color w:val="auto"/>
                <w:szCs w:val="21"/>
              </w:rPr>
              <w:t>因本合同及合同有关事项发生的争议，按下列第</w:t>
            </w:r>
            <w:r>
              <w:rPr>
                <w:rFonts w:hint="eastAsia" w:ascii="宋体" w:hAnsi="宋体" w:cs="宋体"/>
                <w:iCs/>
                <w:color w:val="auto"/>
                <w:szCs w:val="21"/>
                <w:u w:val="single"/>
              </w:rPr>
              <w:t xml:space="preserve"> </w:t>
            </w:r>
            <w:r>
              <w:rPr>
                <w:iCs/>
                <w:color w:val="auto"/>
                <w:szCs w:val="21"/>
                <w:u w:val="single"/>
              </w:rPr>
              <w:t>2</w:t>
            </w:r>
            <w:r>
              <w:rPr>
                <w:rFonts w:hint="eastAsia" w:ascii="宋体" w:hAnsi="宋体" w:cs="宋体"/>
                <w:iCs/>
                <w:color w:val="auto"/>
                <w:szCs w:val="21"/>
                <w:u w:val="single"/>
              </w:rPr>
              <w:t xml:space="preserve"> </w:t>
            </w:r>
            <w:r>
              <w:rPr>
                <w:rFonts w:hint="eastAsia" w:ascii="宋体" w:hAnsi="宋体" w:cs="宋体"/>
                <w:iCs/>
                <w:color w:val="auto"/>
                <w:szCs w:val="21"/>
              </w:rPr>
              <w:t>种方式解决：</w:t>
            </w:r>
          </w:p>
          <w:p w14:paraId="7B5C42AD">
            <w:pPr>
              <w:autoSpaceDE w:val="0"/>
              <w:autoSpaceDN w:val="0"/>
              <w:adjustRightInd w:val="0"/>
              <w:snapToGrid w:val="0"/>
              <w:spacing w:line="400" w:lineRule="exact"/>
              <w:jc w:val="left"/>
              <w:rPr>
                <w:rFonts w:hint="eastAsia" w:ascii="宋体" w:hAnsi="宋体" w:cs="宋体"/>
                <w:iCs/>
                <w:color w:val="auto"/>
                <w:szCs w:val="21"/>
              </w:rPr>
            </w:pPr>
            <w:r>
              <w:rPr>
                <w:rFonts w:hint="eastAsia" w:ascii="宋体" w:hAnsi="宋体" w:cs="宋体"/>
                <w:iCs/>
                <w:color w:val="auto"/>
                <w:szCs w:val="21"/>
              </w:rPr>
              <w:t>（1）向</w:t>
            </w:r>
            <w:r>
              <w:rPr>
                <w:rFonts w:hint="eastAsia" w:ascii="宋体" w:hAnsi="宋体" w:cs="宋体"/>
                <w:iCs/>
                <w:color w:val="auto"/>
                <w:szCs w:val="21"/>
                <w:u w:val="single"/>
              </w:rPr>
              <w:t xml:space="preserve">           /         </w:t>
            </w:r>
            <w:r>
              <w:rPr>
                <w:rFonts w:hint="eastAsia" w:ascii="宋体" w:hAnsi="宋体" w:cs="宋体"/>
                <w:iCs/>
                <w:color w:val="auto"/>
                <w:szCs w:val="21"/>
              </w:rPr>
              <w:t>仲裁委员会申请仲裁，仲裁地点为</w:t>
            </w:r>
            <w:r>
              <w:rPr>
                <w:rFonts w:hint="eastAsia" w:ascii="宋体" w:hAnsi="宋体" w:cs="宋体"/>
                <w:iCs/>
                <w:color w:val="auto"/>
                <w:szCs w:val="21"/>
                <w:u w:val="single"/>
              </w:rPr>
              <w:t xml:space="preserve">      /     </w:t>
            </w:r>
            <w:r>
              <w:rPr>
                <w:rFonts w:hint="eastAsia" w:ascii="宋体" w:hAnsi="宋体" w:cs="宋体"/>
                <w:iCs/>
                <w:color w:val="auto"/>
                <w:szCs w:val="21"/>
              </w:rPr>
              <w:t>；</w:t>
            </w:r>
          </w:p>
          <w:p w14:paraId="488E3FB1">
            <w:pPr>
              <w:adjustRightInd w:val="0"/>
              <w:snapToGrid w:val="0"/>
              <w:jc w:val="left"/>
              <w:rPr>
                <w:rFonts w:hint="eastAsia" w:ascii="宋体" w:hAnsi="宋体"/>
                <w:color w:val="auto"/>
                <w:szCs w:val="21"/>
                <w:u w:val="single"/>
              </w:rPr>
            </w:pPr>
            <w:r>
              <w:rPr>
                <w:rFonts w:hint="eastAsia" w:ascii="宋体" w:hAnsi="宋体" w:cs="宋体"/>
                <w:iCs/>
                <w:color w:val="auto"/>
                <w:szCs w:val="21"/>
              </w:rPr>
              <w:t xml:space="preserve">（2）向 </w:t>
            </w:r>
            <w:r>
              <w:rPr>
                <w:rFonts w:hint="eastAsia" w:ascii="宋体" w:hAnsi="宋体" w:cs="宋体"/>
                <w:iCs/>
                <w:color w:val="auto"/>
                <w:szCs w:val="21"/>
                <w:u w:val="single"/>
              </w:rPr>
              <w:t xml:space="preserve"> </w:t>
            </w:r>
            <w:r>
              <w:rPr>
                <w:b/>
                <w:color w:val="auto"/>
                <w:u w:val="single"/>
              </w:rPr>
              <w:t>甲方所在地有管辖权的</w:t>
            </w:r>
            <w:r>
              <w:rPr>
                <w:iCs/>
                <w:color w:val="auto"/>
                <w:szCs w:val="21"/>
                <w:u w:val="single"/>
              </w:rPr>
              <w:t xml:space="preserve">  </w:t>
            </w:r>
            <w:r>
              <w:rPr>
                <w:rFonts w:hint="eastAsia" w:ascii="宋体" w:hAnsi="宋体" w:cs="宋体"/>
                <w:iCs/>
                <w:color w:val="auto"/>
                <w:szCs w:val="21"/>
              </w:rPr>
              <w:t>人民法院起诉。</w:t>
            </w:r>
          </w:p>
        </w:tc>
      </w:tr>
      <w:tr w14:paraId="555A9C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6" w:hRule="atLeast"/>
        </w:trPr>
        <w:tc>
          <w:tcPr>
            <w:tcW w:w="1659" w:type="dxa"/>
            <w:vAlign w:val="center"/>
          </w:tcPr>
          <w:p w14:paraId="6CFD1CE6">
            <w:pPr>
              <w:adjustRightInd w:val="0"/>
              <w:snapToGrid w:val="0"/>
              <w:jc w:val="center"/>
              <w:rPr>
                <w:rFonts w:hint="eastAsia" w:ascii="宋体" w:hAnsi="宋体"/>
                <w:color w:val="auto"/>
                <w:szCs w:val="21"/>
              </w:rPr>
            </w:pPr>
            <w:r>
              <w:rPr>
                <w:rFonts w:hint="eastAsia" w:ascii="宋体" w:hAnsi="宋体"/>
                <w:color w:val="auto"/>
                <w:szCs w:val="21"/>
              </w:rPr>
              <w:t>第二节</w:t>
            </w:r>
          </w:p>
          <w:p w14:paraId="59AB19AE">
            <w:pPr>
              <w:adjustRightInd w:val="0"/>
              <w:snapToGrid w:val="0"/>
              <w:jc w:val="center"/>
              <w:rPr>
                <w:rFonts w:hint="eastAsia" w:ascii="宋体" w:hAnsi="宋体"/>
                <w:color w:val="auto"/>
                <w:szCs w:val="21"/>
              </w:rPr>
            </w:pPr>
            <w:r>
              <w:rPr>
                <w:rFonts w:hint="eastAsia" w:ascii="宋体" w:hAnsi="宋体"/>
                <w:color w:val="auto"/>
                <w:szCs w:val="21"/>
              </w:rPr>
              <w:t>第23.1款</w:t>
            </w:r>
          </w:p>
        </w:tc>
        <w:tc>
          <w:tcPr>
            <w:tcW w:w="1589" w:type="dxa"/>
            <w:vAlign w:val="center"/>
          </w:tcPr>
          <w:p w14:paraId="382DD4BC">
            <w:pPr>
              <w:adjustRightInd w:val="0"/>
              <w:snapToGrid w:val="0"/>
              <w:jc w:val="left"/>
              <w:rPr>
                <w:rFonts w:hint="eastAsia" w:ascii="宋体" w:hAnsi="宋体"/>
                <w:color w:val="auto"/>
                <w:szCs w:val="21"/>
              </w:rPr>
            </w:pPr>
            <w:r>
              <w:rPr>
                <w:rFonts w:hint="eastAsia" w:ascii="宋体" w:hAnsi="宋体"/>
                <w:bCs/>
                <w:color w:val="auto"/>
                <w:szCs w:val="21"/>
              </w:rPr>
              <w:t>其他专用条款</w:t>
            </w:r>
          </w:p>
        </w:tc>
        <w:tc>
          <w:tcPr>
            <w:tcW w:w="6171" w:type="dxa"/>
            <w:vAlign w:val="center"/>
          </w:tcPr>
          <w:p w14:paraId="230008CB">
            <w:pPr>
              <w:adjustRightInd w:val="0"/>
              <w:snapToGrid w:val="0"/>
              <w:jc w:val="left"/>
              <w:rPr>
                <w:color w:val="auto"/>
                <w:szCs w:val="21"/>
                <w:u w:val="single"/>
              </w:rPr>
            </w:pPr>
            <w:r>
              <w:rPr>
                <w:color w:val="auto"/>
                <w:szCs w:val="21"/>
                <w:u w:val="single"/>
              </w:rPr>
              <w:t>（1）由甲乙双方共同协商解决。</w:t>
            </w:r>
          </w:p>
          <w:p w14:paraId="4404D9B0">
            <w:pPr>
              <w:adjustRightInd w:val="0"/>
              <w:snapToGrid w:val="0"/>
              <w:jc w:val="left"/>
              <w:rPr>
                <w:color w:val="auto"/>
              </w:rPr>
            </w:pPr>
            <w:r>
              <w:rPr>
                <w:color w:val="auto"/>
                <w:szCs w:val="21"/>
                <w:u w:val="single"/>
              </w:rPr>
              <w:t>（2）可以根据具体采购项目添加其他专用条款</w:t>
            </w:r>
          </w:p>
        </w:tc>
      </w:tr>
    </w:tbl>
    <w:p w14:paraId="14CABD6E">
      <w:pPr>
        <w:widowControl/>
        <w:jc w:val="left"/>
        <w:rPr>
          <w:rFonts w:cs="宋体"/>
          <w:color w:val="auto"/>
          <w:shd w:val="clear" w:color="auto" w:fill="FFFFFF"/>
        </w:rPr>
      </w:pPr>
    </w:p>
    <w:p w14:paraId="30DEF607">
      <w:pPr>
        <w:rPr>
          <w:rFonts w:hint="eastAsia"/>
          <w:color w:val="auto"/>
          <w:sz w:val="40"/>
        </w:rPr>
      </w:pPr>
      <w:r>
        <w:rPr>
          <w:rFonts w:hint="eastAsia"/>
          <w:color w:val="auto"/>
          <w:sz w:val="40"/>
        </w:rPr>
        <w:br w:type="page"/>
      </w:r>
    </w:p>
    <w:p w14:paraId="40E99643">
      <w:pPr>
        <w:pStyle w:val="40"/>
        <w:rPr>
          <w:rFonts w:hint="default" w:eastAsia="宋体"/>
          <w:color w:val="auto"/>
          <w:sz w:val="40"/>
          <w:lang w:val="en-US" w:eastAsia="zh-CN"/>
        </w:rPr>
      </w:pPr>
      <w:bookmarkStart w:id="453" w:name="_Toc24293"/>
      <w:r>
        <w:rPr>
          <w:rFonts w:hint="eastAsia"/>
          <w:color w:val="auto"/>
          <w:sz w:val="40"/>
        </w:rPr>
        <w:t xml:space="preserve">第五章 </w:t>
      </w:r>
      <w:bookmarkEnd w:id="251"/>
      <w:bookmarkEnd w:id="252"/>
      <w:bookmarkStart w:id="454" w:name="_Toc389644565"/>
      <w:r>
        <w:rPr>
          <w:rFonts w:hint="eastAsia"/>
          <w:color w:val="auto"/>
          <w:sz w:val="40"/>
          <w:lang w:val="en-US" w:eastAsia="zh-CN"/>
        </w:rPr>
        <w:t xml:space="preserve"> </w:t>
      </w:r>
      <w:r>
        <w:rPr>
          <w:rFonts w:hint="eastAsia"/>
          <w:color w:val="auto"/>
          <w:sz w:val="40"/>
        </w:rPr>
        <w:t>采购需求</w:t>
      </w:r>
      <w:r>
        <w:rPr>
          <w:rFonts w:hint="eastAsia"/>
          <w:color w:val="auto"/>
          <w:sz w:val="40"/>
          <w:lang w:val="en-US" w:eastAsia="zh-CN"/>
        </w:rPr>
        <w:t>及技术要求</w:t>
      </w:r>
      <w:bookmarkEnd w:id="453"/>
    </w:p>
    <w:bookmarkEnd w:id="454"/>
    <w:p w14:paraId="4A86DFA0">
      <w:pPr>
        <w:snapToGrid w:val="0"/>
        <w:spacing w:line="360" w:lineRule="auto"/>
        <w:jc w:val="center"/>
        <w:rPr>
          <w:rFonts w:ascii="宋体" w:hAnsi="宋体"/>
          <w:b/>
          <w:bCs/>
          <w:color w:val="auto"/>
          <w:sz w:val="24"/>
          <w:szCs w:val="24"/>
          <w:lang w:eastAsia="zh-CN"/>
        </w:rPr>
      </w:pPr>
      <w:bookmarkStart w:id="455" w:name="_Toc78603129"/>
      <w:bookmarkStart w:id="456" w:name="_Toc29357077"/>
      <w:bookmarkStart w:id="457" w:name="_Toc450064597"/>
      <w:bookmarkStart w:id="458" w:name="_Toc389644548"/>
      <w:r>
        <w:rPr>
          <w:rFonts w:hint="eastAsia" w:ascii="宋体" w:hAnsi="宋体"/>
          <w:b/>
          <w:bCs/>
          <w:color w:val="auto"/>
          <w:sz w:val="24"/>
          <w:szCs w:val="24"/>
          <w:lang w:eastAsia="zh-CN"/>
        </w:rPr>
        <w:t>采购需求一览表</w:t>
      </w:r>
    </w:p>
    <w:p w14:paraId="56ECCEBB">
      <w:pPr>
        <w:spacing w:line="360" w:lineRule="auto"/>
        <w:ind w:firstLine="426" w:firstLineChars="202"/>
        <w:rPr>
          <w:rFonts w:hint="default" w:ascii="宋体" w:hAnsi="宋体" w:eastAsia="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标段1：电子类</w:t>
      </w:r>
    </w:p>
    <w:tbl>
      <w:tblPr>
        <w:tblStyle w:val="119"/>
        <w:tblW w:w="930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38"/>
        <w:gridCol w:w="2992"/>
        <w:gridCol w:w="1307"/>
        <w:gridCol w:w="1290"/>
        <w:gridCol w:w="1275"/>
        <w:gridCol w:w="1305"/>
      </w:tblGrid>
      <w:tr w14:paraId="1E911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1138" w:type="dxa"/>
            <w:shd w:val="clear" w:color="auto" w:fill="auto"/>
            <w:vAlign w:val="center"/>
          </w:tcPr>
          <w:p w14:paraId="0AF2D81E">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b/>
                <w:bCs/>
                <w:i w:val="0"/>
                <w:iCs w:val="0"/>
                <w:caps w:val="0"/>
                <w:color w:val="auto"/>
                <w:spacing w:val="0"/>
                <w:kern w:val="0"/>
                <w:sz w:val="21"/>
                <w:szCs w:val="21"/>
                <w:lang w:val="en-US" w:eastAsia="zh-CN" w:bidi="ar"/>
              </w:rPr>
            </w:pPr>
            <w:r>
              <w:rPr>
                <w:rFonts w:hint="eastAsia" w:ascii="宋体" w:hAnsi="宋体" w:eastAsia="宋体" w:cs="宋体"/>
                <w:b/>
                <w:bCs/>
                <w:i w:val="0"/>
                <w:iCs w:val="0"/>
                <w:caps w:val="0"/>
                <w:color w:val="auto"/>
                <w:spacing w:val="0"/>
                <w:kern w:val="0"/>
                <w:sz w:val="21"/>
                <w:szCs w:val="21"/>
                <w:lang w:val="en-US" w:eastAsia="zh-CN" w:bidi="ar"/>
              </w:rPr>
              <w:t>序号</w:t>
            </w:r>
          </w:p>
        </w:tc>
        <w:tc>
          <w:tcPr>
            <w:tcW w:w="2992" w:type="dxa"/>
            <w:vAlign w:val="center"/>
          </w:tcPr>
          <w:p w14:paraId="7D5D1A54">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b/>
                <w:bCs/>
                <w:i w:val="0"/>
                <w:iCs w:val="0"/>
                <w:caps w:val="0"/>
                <w:color w:val="auto"/>
                <w:spacing w:val="0"/>
                <w:kern w:val="0"/>
                <w:sz w:val="21"/>
                <w:szCs w:val="21"/>
                <w:lang w:val="en-US" w:eastAsia="zh-CN" w:bidi="ar"/>
              </w:rPr>
            </w:pPr>
            <w:r>
              <w:rPr>
                <w:rFonts w:hint="eastAsia" w:ascii="宋体" w:hAnsi="宋体" w:eastAsia="宋体" w:cs="宋体"/>
                <w:b/>
                <w:bCs/>
                <w:i w:val="0"/>
                <w:iCs w:val="0"/>
                <w:caps w:val="0"/>
                <w:color w:val="auto"/>
                <w:spacing w:val="0"/>
                <w:kern w:val="0"/>
                <w:sz w:val="21"/>
                <w:szCs w:val="21"/>
                <w:lang w:val="en-US" w:eastAsia="zh-CN" w:bidi="ar"/>
              </w:rPr>
              <w:t>产品名称</w:t>
            </w:r>
          </w:p>
        </w:tc>
        <w:tc>
          <w:tcPr>
            <w:tcW w:w="1307" w:type="dxa"/>
            <w:vAlign w:val="center"/>
          </w:tcPr>
          <w:p w14:paraId="3E4014B5">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数量</w:t>
            </w:r>
          </w:p>
        </w:tc>
        <w:tc>
          <w:tcPr>
            <w:tcW w:w="1290" w:type="dxa"/>
            <w:vAlign w:val="center"/>
          </w:tcPr>
          <w:p w14:paraId="53F82B79">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单价（元）</w:t>
            </w:r>
          </w:p>
        </w:tc>
        <w:tc>
          <w:tcPr>
            <w:tcW w:w="1275" w:type="dxa"/>
            <w:vAlign w:val="center"/>
          </w:tcPr>
          <w:p w14:paraId="68DC948E">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总价（元）</w:t>
            </w:r>
          </w:p>
        </w:tc>
        <w:tc>
          <w:tcPr>
            <w:tcW w:w="1305" w:type="dxa"/>
            <w:vAlign w:val="center"/>
          </w:tcPr>
          <w:p w14:paraId="20FE501E">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是否为核心产品</w:t>
            </w:r>
          </w:p>
        </w:tc>
      </w:tr>
      <w:tr w14:paraId="751199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9" w:hRule="atLeast"/>
          <w:jc w:val="center"/>
        </w:trPr>
        <w:tc>
          <w:tcPr>
            <w:tcW w:w="1138" w:type="dxa"/>
            <w:vMerge w:val="restart"/>
            <w:shd w:val="clear" w:color="auto" w:fill="auto"/>
            <w:vAlign w:val="center"/>
          </w:tcPr>
          <w:p w14:paraId="3377FED6">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1</w:t>
            </w:r>
          </w:p>
        </w:tc>
        <w:tc>
          <w:tcPr>
            <w:tcW w:w="2992" w:type="dxa"/>
            <w:vAlign w:val="center"/>
          </w:tcPr>
          <w:p w14:paraId="3030062E">
            <w:pPr>
              <w:widowControl/>
              <w:autoSpaceDE w:val="0"/>
              <w:autoSpaceDN w:val="0"/>
              <w:spacing w:before="312" w:after="10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教学一体机电脑</w:t>
            </w:r>
          </w:p>
        </w:tc>
        <w:tc>
          <w:tcPr>
            <w:tcW w:w="1307" w:type="dxa"/>
            <w:vMerge w:val="restart"/>
            <w:vAlign w:val="center"/>
          </w:tcPr>
          <w:p w14:paraId="1651B517">
            <w:pPr>
              <w:widowControl/>
              <w:autoSpaceDE w:val="0"/>
              <w:autoSpaceDN w:val="0"/>
              <w:spacing w:before="312" w:after="10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20台</w:t>
            </w:r>
          </w:p>
        </w:tc>
        <w:tc>
          <w:tcPr>
            <w:tcW w:w="1290" w:type="dxa"/>
            <w:vMerge w:val="restart"/>
            <w:vAlign w:val="center"/>
          </w:tcPr>
          <w:p w14:paraId="771721F0">
            <w:pPr>
              <w:widowControl/>
              <w:autoSpaceDE w:val="0"/>
              <w:autoSpaceDN w:val="0"/>
              <w:spacing w:before="312" w:after="10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13500.00</w:t>
            </w:r>
          </w:p>
        </w:tc>
        <w:tc>
          <w:tcPr>
            <w:tcW w:w="1275" w:type="dxa"/>
            <w:vMerge w:val="restart"/>
            <w:vAlign w:val="center"/>
          </w:tcPr>
          <w:p w14:paraId="2AC4AF23">
            <w:pPr>
              <w:widowControl/>
              <w:autoSpaceDE w:val="0"/>
              <w:autoSpaceDN w:val="0"/>
              <w:spacing w:before="312" w:after="10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270000.00</w:t>
            </w:r>
          </w:p>
        </w:tc>
        <w:tc>
          <w:tcPr>
            <w:tcW w:w="1305" w:type="dxa"/>
            <w:vMerge w:val="restart"/>
            <w:vAlign w:val="center"/>
          </w:tcPr>
          <w:p w14:paraId="0CC70658">
            <w:pPr>
              <w:widowControl/>
              <w:autoSpaceDE w:val="0"/>
              <w:autoSpaceDN w:val="0"/>
              <w:spacing w:before="312" w:after="10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val="en-US" w:eastAsia="zh-CN" w:bidi="ar"/>
              </w:rPr>
              <w:t>否</w:t>
            </w:r>
          </w:p>
        </w:tc>
      </w:tr>
      <w:tr w14:paraId="101D64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9" w:hRule="atLeast"/>
          <w:jc w:val="center"/>
        </w:trPr>
        <w:tc>
          <w:tcPr>
            <w:tcW w:w="1138" w:type="dxa"/>
            <w:vMerge w:val="continue"/>
            <w:shd w:val="clear" w:color="auto" w:fill="auto"/>
            <w:vAlign w:val="center"/>
          </w:tcPr>
          <w:p w14:paraId="01A4A1DC">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p>
        </w:tc>
        <w:tc>
          <w:tcPr>
            <w:tcW w:w="2992" w:type="dxa"/>
            <w:vAlign w:val="center"/>
          </w:tcPr>
          <w:p w14:paraId="4C46AE6F">
            <w:pPr>
              <w:widowControl/>
              <w:autoSpaceDE w:val="0"/>
              <w:autoSpaceDN w:val="0"/>
              <w:spacing w:before="312" w:after="10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壁挂展台</w:t>
            </w:r>
          </w:p>
        </w:tc>
        <w:tc>
          <w:tcPr>
            <w:tcW w:w="1307" w:type="dxa"/>
            <w:vMerge w:val="continue"/>
            <w:vAlign w:val="center"/>
          </w:tcPr>
          <w:p w14:paraId="4FCBFF6C">
            <w:pPr>
              <w:widowControl/>
              <w:autoSpaceDE w:val="0"/>
              <w:autoSpaceDN w:val="0"/>
              <w:spacing w:before="312" w:after="100"/>
              <w:jc w:val="center"/>
              <w:rPr>
                <w:rFonts w:hint="eastAsia" w:ascii="宋体" w:hAnsi="宋体" w:eastAsia="宋体" w:cs="宋体"/>
                <w:i w:val="0"/>
                <w:iCs w:val="0"/>
                <w:caps w:val="0"/>
                <w:color w:val="auto"/>
                <w:spacing w:val="0"/>
                <w:kern w:val="0"/>
                <w:sz w:val="21"/>
                <w:szCs w:val="21"/>
                <w:lang w:val="en-US" w:eastAsia="zh-CN" w:bidi="ar"/>
              </w:rPr>
            </w:pPr>
          </w:p>
        </w:tc>
        <w:tc>
          <w:tcPr>
            <w:tcW w:w="1290" w:type="dxa"/>
            <w:vMerge w:val="continue"/>
            <w:vAlign w:val="center"/>
          </w:tcPr>
          <w:p w14:paraId="5D64A7B9">
            <w:pPr>
              <w:widowControl/>
              <w:autoSpaceDE w:val="0"/>
              <w:autoSpaceDN w:val="0"/>
              <w:spacing w:before="312" w:after="100"/>
              <w:jc w:val="center"/>
              <w:rPr>
                <w:rFonts w:hint="eastAsia" w:ascii="宋体" w:hAnsi="宋体" w:eastAsia="宋体" w:cs="宋体"/>
                <w:i w:val="0"/>
                <w:iCs w:val="0"/>
                <w:caps w:val="0"/>
                <w:color w:val="auto"/>
                <w:spacing w:val="0"/>
                <w:kern w:val="0"/>
                <w:sz w:val="21"/>
                <w:szCs w:val="21"/>
                <w:lang w:val="en-US" w:eastAsia="zh-CN" w:bidi="ar"/>
              </w:rPr>
            </w:pPr>
          </w:p>
        </w:tc>
        <w:tc>
          <w:tcPr>
            <w:tcW w:w="1275" w:type="dxa"/>
            <w:vMerge w:val="continue"/>
            <w:vAlign w:val="center"/>
          </w:tcPr>
          <w:p w14:paraId="762DA593">
            <w:pPr>
              <w:widowControl/>
              <w:autoSpaceDE w:val="0"/>
              <w:autoSpaceDN w:val="0"/>
              <w:spacing w:before="312" w:after="100"/>
              <w:jc w:val="center"/>
              <w:rPr>
                <w:rFonts w:hint="eastAsia" w:ascii="宋体" w:hAnsi="宋体" w:eastAsia="宋体" w:cs="宋体"/>
                <w:i w:val="0"/>
                <w:iCs w:val="0"/>
                <w:caps w:val="0"/>
                <w:color w:val="auto"/>
                <w:spacing w:val="0"/>
                <w:kern w:val="0"/>
                <w:sz w:val="21"/>
                <w:szCs w:val="21"/>
                <w:lang w:val="en-US" w:eastAsia="zh-CN" w:bidi="ar"/>
              </w:rPr>
            </w:pPr>
          </w:p>
        </w:tc>
        <w:tc>
          <w:tcPr>
            <w:tcW w:w="1305" w:type="dxa"/>
            <w:vMerge w:val="continue"/>
            <w:vAlign w:val="center"/>
          </w:tcPr>
          <w:p w14:paraId="7E5BB125">
            <w:pPr>
              <w:widowControl/>
              <w:autoSpaceDE w:val="0"/>
              <w:autoSpaceDN w:val="0"/>
              <w:spacing w:before="312" w:after="100"/>
              <w:jc w:val="center"/>
              <w:rPr>
                <w:rFonts w:hint="eastAsia" w:ascii="宋体" w:hAnsi="宋体" w:eastAsia="宋体" w:cs="宋体"/>
                <w:i w:val="0"/>
                <w:iCs w:val="0"/>
                <w:caps w:val="0"/>
                <w:color w:val="auto"/>
                <w:spacing w:val="0"/>
                <w:kern w:val="0"/>
                <w:sz w:val="21"/>
                <w:szCs w:val="21"/>
                <w:lang w:val="en-US" w:eastAsia="zh-CN" w:bidi="ar"/>
              </w:rPr>
            </w:pPr>
          </w:p>
        </w:tc>
      </w:tr>
      <w:tr w14:paraId="0D496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9" w:hRule="atLeast"/>
          <w:jc w:val="center"/>
        </w:trPr>
        <w:tc>
          <w:tcPr>
            <w:tcW w:w="1138" w:type="dxa"/>
            <w:shd w:val="clear" w:color="auto" w:fill="auto"/>
            <w:vAlign w:val="center"/>
          </w:tcPr>
          <w:p w14:paraId="0162C162">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2</w:t>
            </w:r>
          </w:p>
        </w:tc>
        <w:tc>
          <w:tcPr>
            <w:tcW w:w="2992" w:type="dxa"/>
            <w:vAlign w:val="center"/>
          </w:tcPr>
          <w:p w14:paraId="516A6784">
            <w:pPr>
              <w:widowControl/>
              <w:autoSpaceDE w:val="0"/>
              <w:autoSpaceDN w:val="0"/>
              <w:spacing w:before="312" w:after="10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信息技术教室（教师机）</w:t>
            </w:r>
          </w:p>
        </w:tc>
        <w:tc>
          <w:tcPr>
            <w:tcW w:w="1307" w:type="dxa"/>
            <w:vAlign w:val="center"/>
          </w:tcPr>
          <w:p w14:paraId="4F7E5CCD">
            <w:pPr>
              <w:widowControl/>
              <w:autoSpaceDE w:val="0"/>
              <w:autoSpaceDN w:val="0"/>
              <w:spacing w:before="312" w:after="10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4台</w:t>
            </w:r>
          </w:p>
        </w:tc>
        <w:tc>
          <w:tcPr>
            <w:tcW w:w="1290" w:type="dxa"/>
            <w:vAlign w:val="center"/>
          </w:tcPr>
          <w:p w14:paraId="328061C1">
            <w:pPr>
              <w:widowControl/>
              <w:autoSpaceDE w:val="0"/>
              <w:autoSpaceDN w:val="0"/>
              <w:spacing w:before="312" w:after="10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4500.00</w:t>
            </w:r>
          </w:p>
        </w:tc>
        <w:tc>
          <w:tcPr>
            <w:tcW w:w="1275" w:type="dxa"/>
            <w:vAlign w:val="center"/>
          </w:tcPr>
          <w:p w14:paraId="5EC4E38C">
            <w:pPr>
              <w:widowControl/>
              <w:autoSpaceDE w:val="0"/>
              <w:autoSpaceDN w:val="0"/>
              <w:spacing w:before="312" w:after="10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18000.00</w:t>
            </w:r>
          </w:p>
        </w:tc>
        <w:tc>
          <w:tcPr>
            <w:tcW w:w="1305" w:type="dxa"/>
            <w:vAlign w:val="center"/>
          </w:tcPr>
          <w:p w14:paraId="771186D4">
            <w:pPr>
              <w:widowControl/>
              <w:autoSpaceDE w:val="0"/>
              <w:autoSpaceDN w:val="0"/>
              <w:spacing w:before="312" w:after="10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val="en-US" w:eastAsia="zh-CN" w:bidi="ar"/>
              </w:rPr>
              <w:t>否</w:t>
            </w:r>
          </w:p>
        </w:tc>
      </w:tr>
      <w:tr w14:paraId="2DF4C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1" w:hRule="atLeast"/>
          <w:jc w:val="center"/>
        </w:trPr>
        <w:tc>
          <w:tcPr>
            <w:tcW w:w="1138" w:type="dxa"/>
            <w:shd w:val="clear" w:color="auto" w:fill="auto"/>
            <w:vAlign w:val="center"/>
          </w:tcPr>
          <w:p w14:paraId="0E135AF2">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3</w:t>
            </w:r>
          </w:p>
        </w:tc>
        <w:tc>
          <w:tcPr>
            <w:tcW w:w="2992" w:type="dxa"/>
            <w:vAlign w:val="center"/>
          </w:tcPr>
          <w:p w14:paraId="7FD4EE95">
            <w:pPr>
              <w:widowControl/>
              <w:autoSpaceDE w:val="0"/>
              <w:autoSpaceDN w:val="0"/>
              <w:spacing w:before="312" w:after="10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信息技术教室（学生机）</w:t>
            </w:r>
          </w:p>
        </w:tc>
        <w:tc>
          <w:tcPr>
            <w:tcW w:w="1307" w:type="dxa"/>
            <w:vAlign w:val="center"/>
          </w:tcPr>
          <w:p w14:paraId="2E06C4F7">
            <w:pPr>
              <w:widowControl/>
              <w:autoSpaceDE w:val="0"/>
              <w:autoSpaceDN w:val="0"/>
              <w:spacing w:before="312" w:after="10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100台</w:t>
            </w:r>
          </w:p>
        </w:tc>
        <w:tc>
          <w:tcPr>
            <w:tcW w:w="1290" w:type="dxa"/>
            <w:vAlign w:val="center"/>
          </w:tcPr>
          <w:p w14:paraId="1EA73EA1">
            <w:pPr>
              <w:widowControl/>
              <w:autoSpaceDE w:val="0"/>
              <w:autoSpaceDN w:val="0"/>
              <w:spacing w:before="312" w:after="10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4000.00</w:t>
            </w:r>
          </w:p>
        </w:tc>
        <w:tc>
          <w:tcPr>
            <w:tcW w:w="1275" w:type="dxa"/>
            <w:vAlign w:val="center"/>
          </w:tcPr>
          <w:p w14:paraId="51CEE53B">
            <w:pPr>
              <w:widowControl/>
              <w:autoSpaceDE w:val="0"/>
              <w:autoSpaceDN w:val="0"/>
              <w:spacing w:before="312" w:after="10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400000.00</w:t>
            </w:r>
          </w:p>
        </w:tc>
        <w:tc>
          <w:tcPr>
            <w:tcW w:w="1305" w:type="dxa"/>
            <w:vAlign w:val="center"/>
          </w:tcPr>
          <w:p w14:paraId="247434CB">
            <w:pPr>
              <w:widowControl/>
              <w:autoSpaceDE w:val="0"/>
              <w:autoSpaceDN w:val="0"/>
              <w:spacing w:before="312" w:after="100"/>
              <w:jc w:val="center"/>
              <w:rPr>
                <w:rFonts w:hint="eastAsia" w:ascii="宋体" w:hAnsi="宋体" w:eastAsia="宋体" w:cs="宋体"/>
                <w:i w:val="0"/>
                <w:iCs w:val="0"/>
                <w:caps w:val="0"/>
                <w:color w:val="auto"/>
                <w:spacing w:val="0"/>
                <w:kern w:val="0"/>
                <w:sz w:val="21"/>
                <w:szCs w:val="21"/>
                <w:lang w:val="en-US" w:eastAsia="zh-CN" w:bidi="ar"/>
              </w:rPr>
            </w:pPr>
            <w:r>
              <w:rPr>
                <w:rFonts w:ascii="宋体" w:hAnsi="宋体" w:cs="宋体"/>
                <w:color w:val="auto"/>
                <w:sz w:val="21"/>
                <w:szCs w:val="21"/>
                <w:lang w:eastAsia="zh-CN" w:bidi="ar"/>
              </w:rPr>
              <w:t>是</w:t>
            </w:r>
          </w:p>
        </w:tc>
      </w:tr>
      <w:tr w14:paraId="7F64AD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4" w:hRule="atLeast"/>
          <w:jc w:val="center"/>
        </w:trPr>
        <w:tc>
          <w:tcPr>
            <w:tcW w:w="1138" w:type="dxa"/>
            <w:shd w:val="clear" w:color="auto" w:fill="auto"/>
            <w:vAlign w:val="center"/>
          </w:tcPr>
          <w:p w14:paraId="729FBAFB">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4</w:t>
            </w:r>
          </w:p>
        </w:tc>
        <w:tc>
          <w:tcPr>
            <w:tcW w:w="2992" w:type="dxa"/>
            <w:vAlign w:val="center"/>
          </w:tcPr>
          <w:p w14:paraId="228A70C2">
            <w:pPr>
              <w:widowControl/>
              <w:autoSpaceDE w:val="0"/>
              <w:autoSpaceDN w:val="0"/>
              <w:spacing w:before="312" w:after="10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触控查询一体机</w:t>
            </w:r>
          </w:p>
        </w:tc>
        <w:tc>
          <w:tcPr>
            <w:tcW w:w="1307" w:type="dxa"/>
            <w:vAlign w:val="center"/>
          </w:tcPr>
          <w:p w14:paraId="0EF9BFBF">
            <w:pPr>
              <w:widowControl/>
              <w:autoSpaceDE w:val="0"/>
              <w:autoSpaceDN w:val="0"/>
              <w:spacing w:before="312" w:after="10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1台</w:t>
            </w:r>
          </w:p>
        </w:tc>
        <w:tc>
          <w:tcPr>
            <w:tcW w:w="1290" w:type="dxa"/>
            <w:vAlign w:val="center"/>
          </w:tcPr>
          <w:p w14:paraId="2F5B96A8">
            <w:pPr>
              <w:widowControl/>
              <w:autoSpaceDE w:val="0"/>
              <w:autoSpaceDN w:val="0"/>
              <w:spacing w:before="312" w:after="10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7000.00</w:t>
            </w:r>
          </w:p>
        </w:tc>
        <w:tc>
          <w:tcPr>
            <w:tcW w:w="1275" w:type="dxa"/>
            <w:vAlign w:val="center"/>
          </w:tcPr>
          <w:p w14:paraId="7B795BB7">
            <w:pPr>
              <w:widowControl/>
              <w:autoSpaceDE w:val="0"/>
              <w:autoSpaceDN w:val="0"/>
              <w:spacing w:before="312" w:after="10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7000.00</w:t>
            </w:r>
          </w:p>
        </w:tc>
        <w:tc>
          <w:tcPr>
            <w:tcW w:w="1305" w:type="dxa"/>
            <w:vAlign w:val="center"/>
          </w:tcPr>
          <w:p w14:paraId="6A7DD823">
            <w:pPr>
              <w:widowControl/>
              <w:autoSpaceDE w:val="0"/>
              <w:autoSpaceDN w:val="0"/>
              <w:spacing w:before="312" w:after="100"/>
              <w:jc w:val="center"/>
              <w:rPr>
                <w:rFonts w:hint="eastAsia" w:ascii="宋体" w:hAnsi="宋体" w:eastAsia="宋体" w:cs="宋体"/>
                <w:i w:val="0"/>
                <w:iCs w:val="0"/>
                <w:caps w:val="0"/>
                <w:color w:val="auto"/>
                <w:spacing w:val="0"/>
                <w:kern w:val="0"/>
                <w:sz w:val="21"/>
                <w:szCs w:val="21"/>
                <w:lang w:val="en-US" w:eastAsia="zh-CN" w:bidi="ar"/>
              </w:rPr>
            </w:pPr>
            <w:r>
              <w:rPr>
                <w:rFonts w:ascii="宋体" w:hAnsi="宋体" w:cs="宋体"/>
                <w:color w:val="auto"/>
                <w:sz w:val="21"/>
                <w:szCs w:val="21"/>
                <w:lang w:eastAsia="zh-CN" w:bidi="ar"/>
              </w:rPr>
              <w:t>否</w:t>
            </w:r>
          </w:p>
        </w:tc>
      </w:tr>
    </w:tbl>
    <w:p w14:paraId="7B3A1CE9">
      <w:pPr>
        <w:keepNext w:val="0"/>
        <w:keepLines w:val="0"/>
        <w:widowControl/>
        <w:suppressLineNumbers w:val="0"/>
        <w:spacing w:before="312" w:beforeAutospacing="0" w:after="100" w:afterAutospacing="0"/>
        <w:ind w:left="0" w:right="0" w:firstLine="0"/>
        <w:jc w:val="left"/>
        <w:rPr>
          <w:rFonts w:hint="default" w:ascii="宋体" w:hAnsi="宋体" w:eastAsia="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标段2：家具类</w:t>
      </w:r>
    </w:p>
    <w:tbl>
      <w:tblPr>
        <w:tblStyle w:val="119"/>
        <w:tblW w:w="937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38"/>
        <w:gridCol w:w="3041"/>
        <w:gridCol w:w="1260"/>
        <w:gridCol w:w="1290"/>
        <w:gridCol w:w="1255"/>
        <w:gridCol w:w="1392"/>
      </w:tblGrid>
      <w:tr w14:paraId="5E8492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jc w:val="center"/>
        </w:trPr>
        <w:tc>
          <w:tcPr>
            <w:tcW w:w="1138" w:type="dxa"/>
            <w:shd w:val="clear" w:color="auto" w:fill="auto"/>
            <w:vAlign w:val="center"/>
          </w:tcPr>
          <w:p w14:paraId="1A923758">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b/>
                <w:bCs/>
                <w:i w:val="0"/>
                <w:iCs w:val="0"/>
                <w:caps w:val="0"/>
                <w:color w:val="auto"/>
                <w:spacing w:val="0"/>
                <w:kern w:val="0"/>
                <w:sz w:val="21"/>
                <w:szCs w:val="21"/>
                <w:lang w:val="en-US" w:eastAsia="zh-CN" w:bidi="ar"/>
              </w:rPr>
            </w:pPr>
            <w:r>
              <w:rPr>
                <w:rFonts w:hint="eastAsia" w:ascii="宋体" w:hAnsi="宋体" w:eastAsia="宋体" w:cs="宋体"/>
                <w:b/>
                <w:bCs/>
                <w:i w:val="0"/>
                <w:iCs w:val="0"/>
                <w:caps w:val="0"/>
                <w:color w:val="auto"/>
                <w:spacing w:val="0"/>
                <w:kern w:val="0"/>
                <w:sz w:val="21"/>
                <w:szCs w:val="21"/>
                <w:lang w:val="en-US" w:eastAsia="zh-CN" w:bidi="ar"/>
              </w:rPr>
              <w:t>序号</w:t>
            </w:r>
          </w:p>
        </w:tc>
        <w:tc>
          <w:tcPr>
            <w:tcW w:w="3041" w:type="dxa"/>
            <w:vAlign w:val="center"/>
          </w:tcPr>
          <w:p w14:paraId="30483293">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b/>
                <w:bCs/>
                <w:i w:val="0"/>
                <w:iCs w:val="0"/>
                <w:caps w:val="0"/>
                <w:color w:val="auto"/>
                <w:spacing w:val="0"/>
                <w:kern w:val="0"/>
                <w:sz w:val="21"/>
                <w:szCs w:val="21"/>
                <w:lang w:val="en-US" w:eastAsia="zh-CN" w:bidi="ar"/>
              </w:rPr>
            </w:pPr>
            <w:r>
              <w:rPr>
                <w:rFonts w:hint="eastAsia" w:ascii="宋体" w:hAnsi="宋体" w:eastAsia="宋体" w:cs="宋体"/>
                <w:b/>
                <w:bCs/>
                <w:i w:val="0"/>
                <w:iCs w:val="0"/>
                <w:caps w:val="0"/>
                <w:color w:val="auto"/>
                <w:spacing w:val="0"/>
                <w:kern w:val="0"/>
                <w:sz w:val="21"/>
                <w:szCs w:val="21"/>
                <w:lang w:val="en-US" w:eastAsia="zh-CN" w:bidi="ar"/>
              </w:rPr>
              <w:t>产品名称</w:t>
            </w:r>
          </w:p>
        </w:tc>
        <w:tc>
          <w:tcPr>
            <w:tcW w:w="1260" w:type="dxa"/>
            <w:vAlign w:val="center"/>
          </w:tcPr>
          <w:p w14:paraId="0858EAE3">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数量</w:t>
            </w:r>
          </w:p>
        </w:tc>
        <w:tc>
          <w:tcPr>
            <w:tcW w:w="1290" w:type="dxa"/>
            <w:vAlign w:val="center"/>
          </w:tcPr>
          <w:p w14:paraId="756478BA">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单价（元）</w:t>
            </w:r>
          </w:p>
        </w:tc>
        <w:tc>
          <w:tcPr>
            <w:tcW w:w="1255" w:type="dxa"/>
            <w:vAlign w:val="center"/>
          </w:tcPr>
          <w:p w14:paraId="5995B5CE">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总价（元）</w:t>
            </w:r>
          </w:p>
        </w:tc>
        <w:tc>
          <w:tcPr>
            <w:tcW w:w="1392" w:type="dxa"/>
            <w:vAlign w:val="center"/>
          </w:tcPr>
          <w:p w14:paraId="44FC71F6">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是否为核心产品</w:t>
            </w:r>
          </w:p>
        </w:tc>
      </w:tr>
      <w:tr w14:paraId="27C1A2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4" w:hRule="atLeast"/>
          <w:jc w:val="center"/>
        </w:trPr>
        <w:tc>
          <w:tcPr>
            <w:tcW w:w="1138" w:type="dxa"/>
            <w:shd w:val="clear" w:color="auto" w:fill="auto"/>
            <w:vAlign w:val="center"/>
          </w:tcPr>
          <w:p w14:paraId="221A2177">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w:t>
            </w:r>
          </w:p>
        </w:tc>
        <w:tc>
          <w:tcPr>
            <w:tcW w:w="3041" w:type="dxa"/>
            <w:vAlign w:val="center"/>
          </w:tcPr>
          <w:p w14:paraId="30655438">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课桌椅</w:t>
            </w:r>
          </w:p>
        </w:tc>
        <w:tc>
          <w:tcPr>
            <w:tcW w:w="1260" w:type="dxa"/>
            <w:vAlign w:val="center"/>
          </w:tcPr>
          <w:p w14:paraId="287A2A43">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600套</w:t>
            </w:r>
          </w:p>
        </w:tc>
        <w:tc>
          <w:tcPr>
            <w:tcW w:w="1290" w:type="dxa"/>
            <w:vAlign w:val="center"/>
          </w:tcPr>
          <w:p w14:paraId="670EDCAD">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300.00</w:t>
            </w:r>
          </w:p>
        </w:tc>
        <w:tc>
          <w:tcPr>
            <w:tcW w:w="1255" w:type="dxa"/>
            <w:vAlign w:val="center"/>
          </w:tcPr>
          <w:p w14:paraId="5E29D607">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180000.00</w:t>
            </w:r>
          </w:p>
        </w:tc>
        <w:tc>
          <w:tcPr>
            <w:tcW w:w="1392" w:type="dxa"/>
            <w:vAlign w:val="center"/>
          </w:tcPr>
          <w:p w14:paraId="08879698">
            <w:pPr>
              <w:widowControl/>
              <w:autoSpaceDE w:val="0"/>
              <w:autoSpaceDN w:val="0"/>
              <w:spacing w:before="312" w:after="10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color w:val="auto"/>
                <w:sz w:val="21"/>
                <w:szCs w:val="21"/>
                <w:lang w:eastAsia="zh-CN" w:bidi="ar"/>
              </w:rPr>
              <w:t>是</w:t>
            </w:r>
          </w:p>
        </w:tc>
      </w:tr>
      <w:tr w14:paraId="486AF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9" w:hRule="atLeast"/>
          <w:jc w:val="center"/>
        </w:trPr>
        <w:tc>
          <w:tcPr>
            <w:tcW w:w="1138" w:type="dxa"/>
            <w:shd w:val="clear" w:color="auto" w:fill="auto"/>
            <w:vAlign w:val="center"/>
          </w:tcPr>
          <w:p w14:paraId="208F89F5">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2</w:t>
            </w:r>
          </w:p>
        </w:tc>
        <w:tc>
          <w:tcPr>
            <w:tcW w:w="3041" w:type="dxa"/>
            <w:vAlign w:val="center"/>
          </w:tcPr>
          <w:p w14:paraId="69D74376">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普通教室讲台</w:t>
            </w:r>
          </w:p>
        </w:tc>
        <w:tc>
          <w:tcPr>
            <w:tcW w:w="1260" w:type="dxa"/>
            <w:vAlign w:val="center"/>
          </w:tcPr>
          <w:p w14:paraId="200ED969">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12张</w:t>
            </w:r>
          </w:p>
        </w:tc>
        <w:tc>
          <w:tcPr>
            <w:tcW w:w="1290" w:type="dxa"/>
            <w:vAlign w:val="center"/>
          </w:tcPr>
          <w:p w14:paraId="65DBE298">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800.00</w:t>
            </w:r>
          </w:p>
        </w:tc>
        <w:tc>
          <w:tcPr>
            <w:tcW w:w="1255" w:type="dxa"/>
            <w:vAlign w:val="center"/>
          </w:tcPr>
          <w:p w14:paraId="58A57A3C">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9600.00</w:t>
            </w:r>
          </w:p>
        </w:tc>
        <w:tc>
          <w:tcPr>
            <w:tcW w:w="1392" w:type="dxa"/>
            <w:vAlign w:val="center"/>
          </w:tcPr>
          <w:p w14:paraId="2B17CA19">
            <w:pPr>
              <w:widowControl/>
              <w:autoSpaceDE w:val="0"/>
              <w:autoSpaceDN w:val="0"/>
              <w:spacing w:before="312" w:after="10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color w:val="auto"/>
                <w:sz w:val="21"/>
                <w:szCs w:val="21"/>
                <w:lang w:eastAsia="zh-CN" w:bidi="ar"/>
              </w:rPr>
              <w:t>否</w:t>
            </w:r>
          </w:p>
        </w:tc>
      </w:tr>
      <w:tr w14:paraId="460C29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6" w:hRule="atLeast"/>
          <w:jc w:val="center"/>
        </w:trPr>
        <w:tc>
          <w:tcPr>
            <w:tcW w:w="1138" w:type="dxa"/>
            <w:shd w:val="clear" w:color="auto" w:fill="auto"/>
            <w:vAlign w:val="center"/>
          </w:tcPr>
          <w:p w14:paraId="1240C21C">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3</w:t>
            </w:r>
          </w:p>
        </w:tc>
        <w:tc>
          <w:tcPr>
            <w:tcW w:w="3041" w:type="dxa"/>
            <w:vAlign w:val="center"/>
          </w:tcPr>
          <w:p w14:paraId="32CFEC5C">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信息技术教室教师电脑桌</w:t>
            </w:r>
          </w:p>
        </w:tc>
        <w:tc>
          <w:tcPr>
            <w:tcW w:w="1260" w:type="dxa"/>
            <w:vAlign w:val="center"/>
          </w:tcPr>
          <w:p w14:paraId="5631BA8C">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2套</w:t>
            </w:r>
          </w:p>
        </w:tc>
        <w:tc>
          <w:tcPr>
            <w:tcW w:w="1290" w:type="dxa"/>
            <w:vAlign w:val="center"/>
          </w:tcPr>
          <w:p w14:paraId="26B4AF34">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700.00</w:t>
            </w:r>
          </w:p>
        </w:tc>
        <w:tc>
          <w:tcPr>
            <w:tcW w:w="1255" w:type="dxa"/>
            <w:vAlign w:val="center"/>
          </w:tcPr>
          <w:p w14:paraId="406D6664">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1400.00</w:t>
            </w:r>
          </w:p>
        </w:tc>
        <w:tc>
          <w:tcPr>
            <w:tcW w:w="1392" w:type="dxa"/>
            <w:vAlign w:val="center"/>
          </w:tcPr>
          <w:p w14:paraId="24D5E50F">
            <w:pPr>
              <w:widowControl/>
              <w:autoSpaceDE w:val="0"/>
              <w:autoSpaceDN w:val="0"/>
              <w:spacing w:before="312" w:after="10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color w:val="auto"/>
                <w:sz w:val="21"/>
                <w:szCs w:val="21"/>
                <w:lang w:eastAsia="zh-CN" w:bidi="ar"/>
              </w:rPr>
              <w:t>否</w:t>
            </w:r>
          </w:p>
        </w:tc>
      </w:tr>
      <w:tr w14:paraId="31ADE3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6" w:hRule="atLeast"/>
          <w:jc w:val="center"/>
        </w:trPr>
        <w:tc>
          <w:tcPr>
            <w:tcW w:w="1138" w:type="dxa"/>
            <w:shd w:val="clear" w:color="auto" w:fill="auto"/>
            <w:vAlign w:val="center"/>
          </w:tcPr>
          <w:p w14:paraId="2255E38B">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4</w:t>
            </w:r>
          </w:p>
        </w:tc>
        <w:tc>
          <w:tcPr>
            <w:tcW w:w="3041" w:type="dxa"/>
            <w:vAlign w:val="center"/>
          </w:tcPr>
          <w:p w14:paraId="5E3C9186">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信息技术教室学生电脑桌</w:t>
            </w:r>
          </w:p>
        </w:tc>
        <w:tc>
          <w:tcPr>
            <w:tcW w:w="1260" w:type="dxa"/>
            <w:vAlign w:val="center"/>
          </w:tcPr>
          <w:p w14:paraId="2CF39C0A">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50套</w:t>
            </w:r>
          </w:p>
        </w:tc>
        <w:tc>
          <w:tcPr>
            <w:tcW w:w="1290" w:type="dxa"/>
            <w:vAlign w:val="center"/>
          </w:tcPr>
          <w:p w14:paraId="16DB5420">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700.00</w:t>
            </w:r>
          </w:p>
        </w:tc>
        <w:tc>
          <w:tcPr>
            <w:tcW w:w="1255" w:type="dxa"/>
            <w:vAlign w:val="center"/>
          </w:tcPr>
          <w:p w14:paraId="78D30CDD">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35000.00</w:t>
            </w:r>
          </w:p>
        </w:tc>
        <w:tc>
          <w:tcPr>
            <w:tcW w:w="1392" w:type="dxa"/>
            <w:vAlign w:val="center"/>
          </w:tcPr>
          <w:p w14:paraId="7E69854F">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b/>
                <w:bCs/>
                <w:color w:val="auto"/>
                <w:spacing w:val="-1"/>
                <w:sz w:val="21"/>
                <w:szCs w:val="21"/>
                <w:lang w:eastAsia="zh-CN"/>
              </w:rPr>
              <w:t>否</w:t>
            </w:r>
          </w:p>
        </w:tc>
      </w:tr>
      <w:tr w14:paraId="54B49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1" w:hRule="atLeast"/>
          <w:jc w:val="center"/>
        </w:trPr>
        <w:tc>
          <w:tcPr>
            <w:tcW w:w="1138" w:type="dxa"/>
            <w:shd w:val="clear" w:color="auto" w:fill="auto"/>
            <w:vAlign w:val="center"/>
          </w:tcPr>
          <w:p w14:paraId="2C0CEA03">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5</w:t>
            </w:r>
          </w:p>
        </w:tc>
        <w:tc>
          <w:tcPr>
            <w:tcW w:w="3041" w:type="dxa"/>
            <w:vAlign w:val="center"/>
          </w:tcPr>
          <w:p w14:paraId="6D498922">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科学实验室（教师操作台）及凳子</w:t>
            </w:r>
          </w:p>
        </w:tc>
        <w:tc>
          <w:tcPr>
            <w:tcW w:w="1260" w:type="dxa"/>
            <w:vAlign w:val="center"/>
          </w:tcPr>
          <w:p w14:paraId="72A50C08">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2套</w:t>
            </w:r>
          </w:p>
        </w:tc>
        <w:tc>
          <w:tcPr>
            <w:tcW w:w="1290" w:type="dxa"/>
            <w:vAlign w:val="center"/>
          </w:tcPr>
          <w:p w14:paraId="3AD9B37F">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2300.00</w:t>
            </w:r>
          </w:p>
        </w:tc>
        <w:tc>
          <w:tcPr>
            <w:tcW w:w="1255" w:type="dxa"/>
            <w:vAlign w:val="center"/>
          </w:tcPr>
          <w:p w14:paraId="5B66F0FB">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4600.00</w:t>
            </w:r>
          </w:p>
        </w:tc>
        <w:tc>
          <w:tcPr>
            <w:tcW w:w="1392" w:type="dxa"/>
            <w:vAlign w:val="center"/>
          </w:tcPr>
          <w:p w14:paraId="3D8FD6F3">
            <w:pPr>
              <w:widowControl/>
              <w:autoSpaceDE w:val="0"/>
              <w:autoSpaceDN w:val="0"/>
              <w:spacing w:before="312" w:after="10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color w:val="auto"/>
                <w:sz w:val="21"/>
                <w:szCs w:val="21"/>
                <w:lang w:eastAsia="zh-CN" w:bidi="ar"/>
              </w:rPr>
              <w:t>否</w:t>
            </w:r>
          </w:p>
        </w:tc>
      </w:tr>
      <w:tr w14:paraId="2D720C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6" w:hRule="atLeast"/>
          <w:jc w:val="center"/>
        </w:trPr>
        <w:tc>
          <w:tcPr>
            <w:tcW w:w="1138" w:type="dxa"/>
            <w:shd w:val="clear" w:color="auto" w:fill="auto"/>
            <w:vAlign w:val="center"/>
          </w:tcPr>
          <w:p w14:paraId="4796C64B">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6</w:t>
            </w:r>
          </w:p>
        </w:tc>
        <w:tc>
          <w:tcPr>
            <w:tcW w:w="3041" w:type="dxa"/>
            <w:vAlign w:val="center"/>
          </w:tcPr>
          <w:p w14:paraId="6D606F43">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实验室（学生实验桌）及凳子</w:t>
            </w:r>
          </w:p>
        </w:tc>
        <w:tc>
          <w:tcPr>
            <w:tcW w:w="1260" w:type="dxa"/>
            <w:vAlign w:val="center"/>
          </w:tcPr>
          <w:p w14:paraId="65116C61">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50套</w:t>
            </w:r>
          </w:p>
        </w:tc>
        <w:tc>
          <w:tcPr>
            <w:tcW w:w="1290" w:type="dxa"/>
            <w:vAlign w:val="center"/>
          </w:tcPr>
          <w:p w14:paraId="5FFF8D50">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2300.00</w:t>
            </w:r>
          </w:p>
        </w:tc>
        <w:tc>
          <w:tcPr>
            <w:tcW w:w="1255" w:type="dxa"/>
            <w:vAlign w:val="center"/>
          </w:tcPr>
          <w:p w14:paraId="2802978A">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115000.00</w:t>
            </w:r>
          </w:p>
        </w:tc>
        <w:tc>
          <w:tcPr>
            <w:tcW w:w="1392" w:type="dxa"/>
            <w:vAlign w:val="center"/>
          </w:tcPr>
          <w:p w14:paraId="7FB7BFD0">
            <w:pPr>
              <w:widowControl/>
              <w:autoSpaceDE w:val="0"/>
              <w:autoSpaceDN w:val="0"/>
              <w:spacing w:before="312" w:after="10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color w:val="auto"/>
                <w:sz w:val="21"/>
                <w:szCs w:val="21"/>
                <w:lang w:eastAsia="zh-CN" w:bidi="ar"/>
              </w:rPr>
              <w:t>否</w:t>
            </w:r>
          </w:p>
        </w:tc>
      </w:tr>
      <w:tr w14:paraId="722136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1" w:hRule="atLeast"/>
          <w:jc w:val="center"/>
        </w:trPr>
        <w:tc>
          <w:tcPr>
            <w:tcW w:w="1138" w:type="dxa"/>
            <w:shd w:val="clear" w:color="auto" w:fill="auto"/>
            <w:vAlign w:val="center"/>
          </w:tcPr>
          <w:p w14:paraId="533935E7">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7</w:t>
            </w:r>
          </w:p>
        </w:tc>
        <w:tc>
          <w:tcPr>
            <w:tcW w:w="3041" w:type="dxa"/>
            <w:vAlign w:val="center"/>
          </w:tcPr>
          <w:p w14:paraId="02980BD4">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实验准备室实验药品柜</w:t>
            </w:r>
          </w:p>
        </w:tc>
        <w:tc>
          <w:tcPr>
            <w:tcW w:w="1260" w:type="dxa"/>
            <w:vAlign w:val="center"/>
          </w:tcPr>
          <w:p w14:paraId="6F9FF451">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12个</w:t>
            </w:r>
          </w:p>
        </w:tc>
        <w:tc>
          <w:tcPr>
            <w:tcW w:w="1290" w:type="dxa"/>
            <w:vAlign w:val="center"/>
          </w:tcPr>
          <w:p w14:paraId="2FBF4703">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1500.00</w:t>
            </w:r>
          </w:p>
        </w:tc>
        <w:tc>
          <w:tcPr>
            <w:tcW w:w="1255" w:type="dxa"/>
            <w:vAlign w:val="center"/>
          </w:tcPr>
          <w:p w14:paraId="664BD8BC">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18000.00</w:t>
            </w:r>
          </w:p>
        </w:tc>
        <w:tc>
          <w:tcPr>
            <w:tcW w:w="1392" w:type="dxa"/>
            <w:vAlign w:val="center"/>
          </w:tcPr>
          <w:p w14:paraId="3BF4873B">
            <w:pPr>
              <w:widowControl/>
              <w:autoSpaceDE w:val="0"/>
              <w:autoSpaceDN w:val="0"/>
              <w:spacing w:before="312" w:after="10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color w:val="auto"/>
                <w:sz w:val="21"/>
                <w:szCs w:val="21"/>
                <w:lang w:eastAsia="zh-CN" w:bidi="ar"/>
              </w:rPr>
              <w:t>否</w:t>
            </w:r>
          </w:p>
        </w:tc>
      </w:tr>
      <w:tr w14:paraId="1DF1C0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jc w:val="center"/>
        </w:trPr>
        <w:tc>
          <w:tcPr>
            <w:tcW w:w="1138" w:type="dxa"/>
            <w:shd w:val="clear" w:color="auto" w:fill="auto"/>
            <w:vAlign w:val="center"/>
          </w:tcPr>
          <w:p w14:paraId="08D6AC64">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8</w:t>
            </w:r>
          </w:p>
        </w:tc>
        <w:tc>
          <w:tcPr>
            <w:tcW w:w="3041" w:type="dxa"/>
            <w:vAlign w:val="center"/>
          </w:tcPr>
          <w:p w14:paraId="57355C1B">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音乐教室学生椅凳</w:t>
            </w:r>
          </w:p>
        </w:tc>
        <w:tc>
          <w:tcPr>
            <w:tcW w:w="1260" w:type="dxa"/>
            <w:vAlign w:val="center"/>
          </w:tcPr>
          <w:p w14:paraId="346F6AA5">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100个</w:t>
            </w:r>
          </w:p>
        </w:tc>
        <w:tc>
          <w:tcPr>
            <w:tcW w:w="1290" w:type="dxa"/>
            <w:vAlign w:val="center"/>
          </w:tcPr>
          <w:p w14:paraId="2A6658FD">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25.00</w:t>
            </w:r>
          </w:p>
        </w:tc>
        <w:tc>
          <w:tcPr>
            <w:tcW w:w="1255" w:type="dxa"/>
            <w:vAlign w:val="center"/>
          </w:tcPr>
          <w:p w14:paraId="058F5C60">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2500.00</w:t>
            </w:r>
          </w:p>
        </w:tc>
        <w:tc>
          <w:tcPr>
            <w:tcW w:w="1392" w:type="dxa"/>
            <w:vAlign w:val="center"/>
          </w:tcPr>
          <w:p w14:paraId="4651F549">
            <w:pPr>
              <w:widowControl/>
              <w:autoSpaceDE w:val="0"/>
              <w:autoSpaceDN w:val="0"/>
              <w:spacing w:before="312" w:after="10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color w:val="auto"/>
                <w:sz w:val="21"/>
                <w:szCs w:val="21"/>
                <w:lang w:eastAsia="zh-CN" w:bidi="ar"/>
              </w:rPr>
              <w:t>否</w:t>
            </w:r>
          </w:p>
        </w:tc>
      </w:tr>
      <w:tr w14:paraId="532A91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jc w:val="center"/>
        </w:trPr>
        <w:tc>
          <w:tcPr>
            <w:tcW w:w="1138" w:type="dxa"/>
            <w:shd w:val="clear" w:color="auto" w:fill="auto"/>
            <w:vAlign w:val="center"/>
          </w:tcPr>
          <w:p w14:paraId="43BDBC06">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9</w:t>
            </w:r>
          </w:p>
        </w:tc>
        <w:tc>
          <w:tcPr>
            <w:tcW w:w="3041" w:type="dxa"/>
            <w:vAlign w:val="center"/>
          </w:tcPr>
          <w:p w14:paraId="6BBC1349">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音乐教室讲台（数量2套）</w:t>
            </w:r>
          </w:p>
        </w:tc>
        <w:tc>
          <w:tcPr>
            <w:tcW w:w="1260" w:type="dxa"/>
            <w:vAlign w:val="center"/>
          </w:tcPr>
          <w:p w14:paraId="7CC4D961">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2套</w:t>
            </w:r>
          </w:p>
        </w:tc>
        <w:tc>
          <w:tcPr>
            <w:tcW w:w="1290" w:type="dxa"/>
            <w:vAlign w:val="center"/>
          </w:tcPr>
          <w:p w14:paraId="37925D04">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800.00</w:t>
            </w:r>
          </w:p>
        </w:tc>
        <w:tc>
          <w:tcPr>
            <w:tcW w:w="1255" w:type="dxa"/>
            <w:vAlign w:val="center"/>
          </w:tcPr>
          <w:p w14:paraId="17142D60">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1600.00</w:t>
            </w:r>
          </w:p>
        </w:tc>
        <w:tc>
          <w:tcPr>
            <w:tcW w:w="1392" w:type="dxa"/>
            <w:vAlign w:val="center"/>
          </w:tcPr>
          <w:p w14:paraId="0BF211C5">
            <w:pPr>
              <w:widowControl/>
              <w:autoSpaceDE w:val="0"/>
              <w:autoSpaceDN w:val="0"/>
              <w:spacing w:before="312" w:after="10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color w:val="auto"/>
                <w:sz w:val="21"/>
                <w:szCs w:val="21"/>
                <w:lang w:eastAsia="zh-CN" w:bidi="ar"/>
              </w:rPr>
              <w:t>否</w:t>
            </w:r>
          </w:p>
        </w:tc>
      </w:tr>
      <w:tr w14:paraId="6C80A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1" w:hRule="atLeast"/>
          <w:jc w:val="center"/>
        </w:trPr>
        <w:tc>
          <w:tcPr>
            <w:tcW w:w="1138" w:type="dxa"/>
            <w:shd w:val="clear" w:color="auto" w:fill="auto"/>
            <w:vAlign w:val="center"/>
          </w:tcPr>
          <w:p w14:paraId="1E151048">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10</w:t>
            </w:r>
          </w:p>
        </w:tc>
        <w:tc>
          <w:tcPr>
            <w:tcW w:w="3041" w:type="dxa"/>
            <w:vAlign w:val="center"/>
          </w:tcPr>
          <w:p w14:paraId="4E421613">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美术教室讲台</w:t>
            </w:r>
          </w:p>
        </w:tc>
        <w:tc>
          <w:tcPr>
            <w:tcW w:w="1260" w:type="dxa"/>
            <w:vAlign w:val="center"/>
          </w:tcPr>
          <w:p w14:paraId="64573F8A">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2套</w:t>
            </w:r>
          </w:p>
        </w:tc>
        <w:tc>
          <w:tcPr>
            <w:tcW w:w="1290" w:type="dxa"/>
            <w:vAlign w:val="center"/>
          </w:tcPr>
          <w:p w14:paraId="4EA87ECB">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800.00</w:t>
            </w:r>
          </w:p>
        </w:tc>
        <w:tc>
          <w:tcPr>
            <w:tcW w:w="1255" w:type="dxa"/>
            <w:vAlign w:val="center"/>
          </w:tcPr>
          <w:p w14:paraId="7CB7B3E0">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1600.00</w:t>
            </w:r>
          </w:p>
        </w:tc>
        <w:tc>
          <w:tcPr>
            <w:tcW w:w="1392" w:type="dxa"/>
            <w:vAlign w:val="center"/>
          </w:tcPr>
          <w:p w14:paraId="256D6EF8">
            <w:pPr>
              <w:widowControl/>
              <w:autoSpaceDE w:val="0"/>
              <w:autoSpaceDN w:val="0"/>
              <w:spacing w:before="312" w:after="10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color w:val="auto"/>
                <w:sz w:val="21"/>
                <w:szCs w:val="21"/>
                <w:lang w:eastAsia="zh-CN" w:bidi="ar"/>
              </w:rPr>
              <w:t>否</w:t>
            </w:r>
          </w:p>
        </w:tc>
      </w:tr>
      <w:tr w14:paraId="4470B5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6" w:hRule="atLeast"/>
          <w:jc w:val="center"/>
        </w:trPr>
        <w:tc>
          <w:tcPr>
            <w:tcW w:w="1138" w:type="dxa"/>
            <w:shd w:val="clear" w:color="auto" w:fill="auto"/>
            <w:vAlign w:val="center"/>
          </w:tcPr>
          <w:p w14:paraId="25934B80">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11</w:t>
            </w:r>
          </w:p>
        </w:tc>
        <w:tc>
          <w:tcPr>
            <w:tcW w:w="3041" w:type="dxa"/>
            <w:vAlign w:val="center"/>
          </w:tcPr>
          <w:p w14:paraId="132FB800">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教师办公室柜子</w:t>
            </w:r>
          </w:p>
        </w:tc>
        <w:tc>
          <w:tcPr>
            <w:tcW w:w="1260" w:type="dxa"/>
            <w:vAlign w:val="center"/>
          </w:tcPr>
          <w:p w14:paraId="3CE4DD7E">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6个</w:t>
            </w:r>
          </w:p>
        </w:tc>
        <w:tc>
          <w:tcPr>
            <w:tcW w:w="1290" w:type="dxa"/>
            <w:vAlign w:val="center"/>
          </w:tcPr>
          <w:p w14:paraId="0C9A1AC9">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800.00</w:t>
            </w:r>
          </w:p>
        </w:tc>
        <w:tc>
          <w:tcPr>
            <w:tcW w:w="1255" w:type="dxa"/>
            <w:vAlign w:val="center"/>
          </w:tcPr>
          <w:p w14:paraId="4F7D9174">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4800.00</w:t>
            </w:r>
          </w:p>
        </w:tc>
        <w:tc>
          <w:tcPr>
            <w:tcW w:w="1392" w:type="dxa"/>
            <w:vAlign w:val="center"/>
          </w:tcPr>
          <w:p w14:paraId="7D8526F3">
            <w:pPr>
              <w:widowControl/>
              <w:autoSpaceDE w:val="0"/>
              <w:autoSpaceDN w:val="0"/>
              <w:spacing w:before="312" w:after="10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color w:val="auto"/>
                <w:sz w:val="21"/>
                <w:szCs w:val="21"/>
                <w:lang w:eastAsia="zh-CN" w:bidi="ar"/>
              </w:rPr>
              <w:t>否</w:t>
            </w:r>
          </w:p>
        </w:tc>
      </w:tr>
      <w:tr w14:paraId="62528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6" w:hRule="atLeast"/>
          <w:jc w:val="center"/>
        </w:trPr>
        <w:tc>
          <w:tcPr>
            <w:tcW w:w="1138" w:type="dxa"/>
            <w:shd w:val="clear" w:color="auto" w:fill="auto"/>
            <w:vAlign w:val="center"/>
          </w:tcPr>
          <w:p w14:paraId="4AD086EF">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12</w:t>
            </w:r>
          </w:p>
        </w:tc>
        <w:tc>
          <w:tcPr>
            <w:tcW w:w="3041" w:type="dxa"/>
            <w:vAlign w:val="center"/>
          </w:tcPr>
          <w:p w14:paraId="615A937D">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教师办公室桌子</w:t>
            </w:r>
          </w:p>
        </w:tc>
        <w:tc>
          <w:tcPr>
            <w:tcW w:w="1260" w:type="dxa"/>
            <w:vAlign w:val="center"/>
          </w:tcPr>
          <w:p w14:paraId="772156C7">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16套</w:t>
            </w:r>
          </w:p>
        </w:tc>
        <w:tc>
          <w:tcPr>
            <w:tcW w:w="1290" w:type="dxa"/>
            <w:vAlign w:val="center"/>
          </w:tcPr>
          <w:p w14:paraId="1FC3F2E4">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1000.00</w:t>
            </w:r>
          </w:p>
        </w:tc>
        <w:tc>
          <w:tcPr>
            <w:tcW w:w="1255" w:type="dxa"/>
            <w:vAlign w:val="center"/>
          </w:tcPr>
          <w:p w14:paraId="5FE3123B">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16000.00</w:t>
            </w:r>
          </w:p>
        </w:tc>
        <w:tc>
          <w:tcPr>
            <w:tcW w:w="1392" w:type="dxa"/>
            <w:vAlign w:val="center"/>
          </w:tcPr>
          <w:p w14:paraId="2F91ED72">
            <w:pPr>
              <w:widowControl/>
              <w:autoSpaceDE w:val="0"/>
              <w:autoSpaceDN w:val="0"/>
              <w:spacing w:before="312" w:after="10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color w:val="auto"/>
                <w:sz w:val="21"/>
                <w:szCs w:val="21"/>
                <w:lang w:eastAsia="zh-CN" w:bidi="ar"/>
              </w:rPr>
              <w:t>否</w:t>
            </w:r>
          </w:p>
        </w:tc>
      </w:tr>
      <w:tr w14:paraId="3F717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 w:hRule="atLeast"/>
          <w:jc w:val="center"/>
        </w:trPr>
        <w:tc>
          <w:tcPr>
            <w:tcW w:w="1138" w:type="dxa"/>
            <w:shd w:val="clear" w:color="auto" w:fill="auto"/>
            <w:vAlign w:val="center"/>
          </w:tcPr>
          <w:p w14:paraId="4586B123">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13</w:t>
            </w:r>
          </w:p>
        </w:tc>
        <w:tc>
          <w:tcPr>
            <w:tcW w:w="3041" w:type="dxa"/>
            <w:vAlign w:val="center"/>
          </w:tcPr>
          <w:p w14:paraId="04A5671D">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教师办公室椅子</w:t>
            </w:r>
          </w:p>
        </w:tc>
        <w:tc>
          <w:tcPr>
            <w:tcW w:w="1260" w:type="dxa"/>
            <w:vAlign w:val="center"/>
          </w:tcPr>
          <w:p w14:paraId="36B6F50D">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16套</w:t>
            </w:r>
          </w:p>
        </w:tc>
        <w:tc>
          <w:tcPr>
            <w:tcW w:w="1290" w:type="dxa"/>
            <w:vAlign w:val="center"/>
          </w:tcPr>
          <w:p w14:paraId="4A7686A1">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320.00</w:t>
            </w:r>
          </w:p>
        </w:tc>
        <w:tc>
          <w:tcPr>
            <w:tcW w:w="1255" w:type="dxa"/>
            <w:vAlign w:val="center"/>
          </w:tcPr>
          <w:p w14:paraId="2BECE1D0">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5120.00</w:t>
            </w:r>
          </w:p>
        </w:tc>
        <w:tc>
          <w:tcPr>
            <w:tcW w:w="1392" w:type="dxa"/>
            <w:vAlign w:val="center"/>
          </w:tcPr>
          <w:p w14:paraId="285DF850">
            <w:pPr>
              <w:widowControl/>
              <w:autoSpaceDE w:val="0"/>
              <w:autoSpaceDN w:val="0"/>
              <w:spacing w:before="312" w:after="10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color w:val="auto"/>
                <w:sz w:val="21"/>
                <w:szCs w:val="21"/>
                <w:lang w:eastAsia="zh-CN" w:bidi="ar"/>
              </w:rPr>
              <w:t>否</w:t>
            </w:r>
          </w:p>
        </w:tc>
      </w:tr>
      <w:tr w14:paraId="26CF53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6" w:hRule="atLeast"/>
          <w:jc w:val="center"/>
        </w:trPr>
        <w:tc>
          <w:tcPr>
            <w:tcW w:w="1138" w:type="dxa"/>
            <w:shd w:val="clear" w:color="auto" w:fill="auto"/>
            <w:vAlign w:val="center"/>
          </w:tcPr>
          <w:p w14:paraId="14D75589">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14</w:t>
            </w:r>
          </w:p>
        </w:tc>
        <w:tc>
          <w:tcPr>
            <w:tcW w:w="3041" w:type="dxa"/>
            <w:vAlign w:val="center"/>
          </w:tcPr>
          <w:p w14:paraId="14EA282E">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八人位图书桌椅</w:t>
            </w:r>
          </w:p>
        </w:tc>
        <w:tc>
          <w:tcPr>
            <w:tcW w:w="1260" w:type="dxa"/>
            <w:vAlign w:val="center"/>
          </w:tcPr>
          <w:p w14:paraId="4F3D2BC7">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40套</w:t>
            </w:r>
          </w:p>
        </w:tc>
        <w:tc>
          <w:tcPr>
            <w:tcW w:w="1290" w:type="dxa"/>
            <w:vAlign w:val="center"/>
          </w:tcPr>
          <w:p w14:paraId="02730657">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500.00</w:t>
            </w:r>
          </w:p>
        </w:tc>
        <w:tc>
          <w:tcPr>
            <w:tcW w:w="1255" w:type="dxa"/>
            <w:vAlign w:val="center"/>
          </w:tcPr>
          <w:p w14:paraId="595054E9">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20000.00</w:t>
            </w:r>
          </w:p>
        </w:tc>
        <w:tc>
          <w:tcPr>
            <w:tcW w:w="1392" w:type="dxa"/>
            <w:vAlign w:val="center"/>
          </w:tcPr>
          <w:p w14:paraId="379F2E8B">
            <w:pPr>
              <w:widowControl/>
              <w:autoSpaceDE w:val="0"/>
              <w:autoSpaceDN w:val="0"/>
              <w:spacing w:before="312" w:after="10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color w:val="auto"/>
                <w:sz w:val="21"/>
                <w:szCs w:val="21"/>
                <w:lang w:eastAsia="zh-CN" w:bidi="ar"/>
              </w:rPr>
              <w:t>否</w:t>
            </w:r>
          </w:p>
        </w:tc>
      </w:tr>
      <w:tr w14:paraId="1C9DF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6" w:hRule="atLeast"/>
          <w:jc w:val="center"/>
        </w:trPr>
        <w:tc>
          <w:tcPr>
            <w:tcW w:w="1138" w:type="dxa"/>
            <w:shd w:val="clear" w:color="auto" w:fill="auto"/>
            <w:vAlign w:val="center"/>
          </w:tcPr>
          <w:p w14:paraId="01770BD4">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val="en-US" w:eastAsia="zh-CN"/>
              </w:rPr>
              <w:t>15</w:t>
            </w:r>
          </w:p>
        </w:tc>
        <w:tc>
          <w:tcPr>
            <w:tcW w:w="3041" w:type="dxa"/>
            <w:vAlign w:val="center"/>
          </w:tcPr>
          <w:p w14:paraId="669689C7">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书架沙发</w:t>
            </w:r>
          </w:p>
        </w:tc>
        <w:tc>
          <w:tcPr>
            <w:tcW w:w="1260" w:type="dxa"/>
            <w:vAlign w:val="center"/>
          </w:tcPr>
          <w:p w14:paraId="59CBE9D9">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4套</w:t>
            </w:r>
          </w:p>
        </w:tc>
        <w:tc>
          <w:tcPr>
            <w:tcW w:w="1290" w:type="dxa"/>
            <w:vAlign w:val="center"/>
          </w:tcPr>
          <w:p w14:paraId="0040BC97">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2500.00</w:t>
            </w:r>
          </w:p>
        </w:tc>
        <w:tc>
          <w:tcPr>
            <w:tcW w:w="1255" w:type="dxa"/>
            <w:vAlign w:val="center"/>
          </w:tcPr>
          <w:p w14:paraId="11AEF7A1">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10000.00</w:t>
            </w:r>
          </w:p>
        </w:tc>
        <w:tc>
          <w:tcPr>
            <w:tcW w:w="1392" w:type="dxa"/>
            <w:vAlign w:val="center"/>
          </w:tcPr>
          <w:p w14:paraId="34AD2628">
            <w:pPr>
              <w:widowControl/>
              <w:autoSpaceDE w:val="0"/>
              <w:autoSpaceDN w:val="0"/>
              <w:spacing w:before="312" w:after="10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color w:val="auto"/>
                <w:sz w:val="21"/>
                <w:szCs w:val="21"/>
                <w:lang w:eastAsia="zh-CN" w:bidi="ar"/>
              </w:rPr>
              <w:t>否</w:t>
            </w:r>
          </w:p>
        </w:tc>
      </w:tr>
      <w:tr w14:paraId="7DA7A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6" w:hRule="atLeast"/>
          <w:jc w:val="center"/>
        </w:trPr>
        <w:tc>
          <w:tcPr>
            <w:tcW w:w="1138" w:type="dxa"/>
            <w:shd w:val="clear" w:color="auto" w:fill="auto"/>
            <w:vAlign w:val="center"/>
          </w:tcPr>
          <w:p w14:paraId="5C32A93F">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val="en-US" w:eastAsia="zh-CN"/>
              </w:rPr>
              <w:t>16</w:t>
            </w:r>
          </w:p>
        </w:tc>
        <w:tc>
          <w:tcPr>
            <w:tcW w:w="3041" w:type="dxa"/>
            <w:vAlign w:val="center"/>
          </w:tcPr>
          <w:p w14:paraId="5B4DD01E">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组合黑板</w:t>
            </w:r>
          </w:p>
        </w:tc>
        <w:tc>
          <w:tcPr>
            <w:tcW w:w="1260" w:type="dxa"/>
            <w:vAlign w:val="center"/>
          </w:tcPr>
          <w:p w14:paraId="07DB7850">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20套</w:t>
            </w:r>
          </w:p>
        </w:tc>
        <w:tc>
          <w:tcPr>
            <w:tcW w:w="1290" w:type="dxa"/>
            <w:vAlign w:val="center"/>
          </w:tcPr>
          <w:p w14:paraId="772510E5">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1200.00</w:t>
            </w:r>
          </w:p>
        </w:tc>
        <w:tc>
          <w:tcPr>
            <w:tcW w:w="1255" w:type="dxa"/>
            <w:vAlign w:val="center"/>
          </w:tcPr>
          <w:p w14:paraId="5D6ECDE9">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24000.00</w:t>
            </w:r>
          </w:p>
        </w:tc>
        <w:tc>
          <w:tcPr>
            <w:tcW w:w="1392" w:type="dxa"/>
            <w:vAlign w:val="center"/>
          </w:tcPr>
          <w:p w14:paraId="157F101C">
            <w:pPr>
              <w:widowControl/>
              <w:autoSpaceDE w:val="0"/>
              <w:autoSpaceDN w:val="0"/>
              <w:spacing w:before="312" w:after="10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color w:val="auto"/>
                <w:sz w:val="21"/>
                <w:szCs w:val="21"/>
                <w:lang w:eastAsia="zh-CN" w:bidi="ar"/>
              </w:rPr>
              <w:t>否</w:t>
            </w:r>
          </w:p>
        </w:tc>
      </w:tr>
    </w:tbl>
    <w:p w14:paraId="5B45BA7A">
      <w:pPr>
        <w:spacing w:line="360" w:lineRule="auto"/>
        <w:rPr>
          <w:rFonts w:ascii="宋体" w:hAnsi="宋体" w:cs="宋体"/>
          <w:b/>
          <w:color w:val="auto"/>
          <w:szCs w:val="21"/>
        </w:rPr>
      </w:pPr>
      <w:r>
        <w:rPr>
          <w:rFonts w:hint="eastAsia" w:ascii="宋体" w:hAnsi="宋体" w:cs="宋体"/>
          <w:color w:val="auto"/>
          <w:sz w:val="21"/>
          <w:szCs w:val="21"/>
          <w:lang w:eastAsia="zh-CN"/>
        </w:rPr>
        <w:t>★</w:t>
      </w:r>
      <w:r>
        <w:rPr>
          <w:rFonts w:hint="eastAsia" w:ascii="宋体" w:hAnsi="宋体" w:cs="宋体"/>
          <w:b/>
          <w:color w:val="auto"/>
          <w:szCs w:val="21"/>
        </w:rPr>
        <w:t>注：</w:t>
      </w:r>
    </w:p>
    <w:p w14:paraId="52D30D67">
      <w:pPr>
        <w:spacing w:line="360" w:lineRule="auto"/>
        <w:ind w:firstLine="422" w:firstLineChars="200"/>
        <w:rPr>
          <w:rFonts w:ascii="宋体" w:hAnsi="宋体" w:cs="宋体"/>
          <w:b/>
          <w:color w:val="auto"/>
          <w:szCs w:val="21"/>
          <w:lang w:eastAsia="zh-CN"/>
        </w:rPr>
      </w:pPr>
      <w:r>
        <w:rPr>
          <w:rFonts w:hint="eastAsia" w:ascii="宋体" w:hAnsi="宋体" w:cs="宋体"/>
          <w:b/>
          <w:color w:val="auto"/>
          <w:szCs w:val="21"/>
          <w:lang w:eastAsia="zh-CN"/>
        </w:rPr>
        <w:t>1、投标人须对所投标段内的所有项目内容进行整体投标报价，不得缺项漏项，否则按不实质性响应</w:t>
      </w:r>
      <w:r>
        <w:rPr>
          <w:rFonts w:hint="eastAsia" w:ascii="宋体" w:hAnsi="宋体" w:cs="宋体"/>
          <w:b/>
          <w:color w:val="auto"/>
          <w:szCs w:val="21"/>
          <w:lang w:val="en-US" w:eastAsia="zh-CN"/>
        </w:rPr>
        <w:t>谈判</w:t>
      </w:r>
      <w:r>
        <w:rPr>
          <w:rFonts w:hint="eastAsia" w:ascii="宋体" w:hAnsi="宋体" w:cs="宋体"/>
          <w:b/>
          <w:color w:val="auto"/>
          <w:szCs w:val="21"/>
          <w:lang w:eastAsia="zh-CN"/>
        </w:rPr>
        <w:t>文件要求处理。</w:t>
      </w:r>
    </w:p>
    <w:p w14:paraId="7A07070A">
      <w:pPr>
        <w:spacing w:line="360" w:lineRule="auto"/>
        <w:ind w:firstLine="422" w:firstLineChars="200"/>
        <w:rPr>
          <w:rFonts w:ascii="宋体" w:hAnsi="宋体" w:cs="宋体"/>
          <w:b/>
          <w:color w:val="auto"/>
          <w:szCs w:val="21"/>
          <w:lang w:eastAsia="zh-CN"/>
        </w:rPr>
      </w:pPr>
      <w:r>
        <w:rPr>
          <w:rFonts w:hint="eastAsia" w:ascii="宋体" w:hAnsi="宋体" w:cs="宋体"/>
          <w:b/>
          <w:color w:val="auto"/>
          <w:szCs w:val="21"/>
          <w:lang w:eastAsia="zh-CN"/>
        </w:rPr>
        <w:t>2、提供</w:t>
      </w:r>
      <w:r>
        <w:rPr>
          <w:rFonts w:hint="eastAsia" w:ascii="宋体" w:hAnsi="宋体"/>
          <w:b/>
          <w:bCs/>
          <w:color w:val="auto"/>
          <w:szCs w:val="21"/>
          <w:lang w:eastAsia="zh-CN"/>
        </w:rPr>
        <w:t>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非单一产品采购项目，采购人应当根据采购项目技术构成、产品价格比重等合理确定核心产品，并在招标文件中载明。多家投标人提供的核心产品品牌相同的，按前款规定处理。按上述条款执行后，有效投标人不足3家的，本项目应予废标</w:t>
      </w:r>
      <w:r>
        <w:rPr>
          <w:rFonts w:hint="eastAsia" w:ascii="宋体" w:hAnsi="宋体" w:cs="宋体"/>
          <w:b/>
          <w:color w:val="auto"/>
          <w:szCs w:val="21"/>
          <w:lang w:eastAsia="zh-CN"/>
        </w:rPr>
        <w:t>。</w:t>
      </w:r>
    </w:p>
    <w:p w14:paraId="4CB6ED41">
      <w:pPr>
        <w:snapToGrid w:val="0"/>
        <w:spacing w:line="360" w:lineRule="auto"/>
        <w:rPr>
          <w:rFonts w:hint="eastAsia" w:ascii="宋体" w:hAnsi="宋体"/>
          <w:b/>
          <w:bCs/>
          <w:color w:val="auto"/>
          <w:sz w:val="21"/>
          <w:szCs w:val="21"/>
          <w:lang w:val="en-US" w:eastAsia="zh-CN"/>
        </w:rPr>
      </w:pPr>
    </w:p>
    <w:p w14:paraId="514DC6A6">
      <w:pPr>
        <w:snapToGrid w:val="0"/>
        <w:spacing w:line="360" w:lineRule="auto"/>
        <w:rPr>
          <w:rFonts w:hint="eastAsia" w:ascii="宋体" w:hAnsi="宋体"/>
          <w:b/>
          <w:bCs/>
          <w:color w:val="auto"/>
          <w:sz w:val="21"/>
          <w:szCs w:val="21"/>
          <w:lang w:val="en-US" w:eastAsia="zh-CN"/>
        </w:rPr>
      </w:pPr>
    </w:p>
    <w:p w14:paraId="6354AE15">
      <w:pPr>
        <w:snapToGrid w:val="0"/>
        <w:spacing w:line="360" w:lineRule="auto"/>
        <w:rPr>
          <w:rFonts w:hint="default" w:ascii="宋体" w:hAnsi="宋体"/>
          <w:b/>
          <w:bCs/>
          <w:color w:val="auto"/>
          <w:sz w:val="21"/>
          <w:szCs w:val="21"/>
          <w:lang w:val="en-US" w:eastAsia="zh-CN"/>
        </w:rPr>
        <w:sectPr>
          <w:footerReference r:id="rId8" w:type="default"/>
          <w:pgSz w:w="11906" w:h="16838"/>
          <w:pgMar w:top="1440" w:right="1310" w:bottom="1440" w:left="1310" w:header="737" w:footer="737" w:gutter="0"/>
          <w:pgNumType w:fmt="decimal"/>
          <w:cols w:space="720" w:num="1"/>
          <w:docGrid w:type="lines" w:linePitch="317" w:charSpace="0"/>
        </w:sectPr>
      </w:pPr>
    </w:p>
    <w:p w14:paraId="423F08BE">
      <w:pPr>
        <w:widowControl/>
        <w:spacing w:before="312" w:after="100"/>
        <w:rPr>
          <w:rFonts w:ascii="宋体" w:hAnsi="宋体" w:cs="宋体"/>
          <w:color w:val="auto"/>
          <w:sz w:val="21"/>
          <w:szCs w:val="21"/>
          <w:lang w:eastAsia="zh-CN"/>
        </w:rPr>
      </w:pPr>
      <w:r>
        <w:rPr>
          <w:rFonts w:hint="eastAsia" w:ascii="宋体" w:hAnsi="宋体" w:cs="宋体"/>
          <w:b/>
          <w:bCs/>
          <w:color w:val="auto"/>
          <w:sz w:val="21"/>
          <w:szCs w:val="21"/>
          <w:lang w:eastAsia="zh-CN" w:bidi="ar"/>
        </w:rPr>
        <w:t>一、采购标的需实现的功能或者目标，以及为落实政府采购政策需满足的要求；</w:t>
      </w:r>
    </w:p>
    <w:p w14:paraId="2B62B73E">
      <w:pPr>
        <w:widowControl/>
        <w:spacing w:before="312" w:after="100"/>
        <w:ind w:firstLine="640"/>
        <w:rPr>
          <w:rFonts w:ascii="宋体" w:hAnsi="宋体" w:cs="宋体"/>
          <w:color w:val="auto"/>
          <w:sz w:val="21"/>
          <w:szCs w:val="21"/>
          <w:lang w:eastAsia="zh-CN"/>
        </w:rPr>
      </w:pPr>
      <w:r>
        <w:rPr>
          <w:rFonts w:hint="eastAsia" w:ascii="宋体" w:hAnsi="宋体" w:cs="宋体"/>
          <w:color w:val="auto"/>
          <w:sz w:val="21"/>
          <w:szCs w:val="21"/>
          <w:lang w:eastAsia="zh-CN" w:bidi="ar"/>
        </w:rPr>
        <w:t>根据《中华人民共和国政府采购法》、《中华人民共和国政府采购法实施条例》及《政府采购货物和服务招标投标管理办法》（财政部令第87号）将对供应商进行信用查询；</w:t>
      </w:r>
    </w:p>
    <w:p w14:paraId="159CF6C7">
      <w:pPr>
        <w:widowControl/>
        <w:spacing w:before="312" w:after="100"/>
        <w:ind w:firstLine="640"/>
        <w:rPr>
          <w:rFonts w:ascii="宋体" w:hAnsi="宋体" w:cs="宋体"/>
          <w:color w:val="auto"/>
          <w:sz w:val="21"/>
          <w:szCs w:val="21"/>
          <w:lang w:eastAsia="zh-CN"/>
        </w:rPr>
      </w:pPr>
      <w:r>
        <w:rPr>
          <w:rFonts w:hint="eastAsia" w:ascii="宋体" w:hAnsi="宋体" w:cs="宋体"/>
          <w:color w:val="auto"/>
          <w:sz w:val="21"/>
          <w:szCs w:val="21"/>
          <w:lang w:eastAsia="zh-CN" w:bidi="ar"/>
        </w:rPr>
        <w:t>根据财政部、工业和信息化部关于印发按照“《政府采购促进中小企业发展管理办法》财库〔2020〕46号的规定划分及云南省财政厅关于贯彻《财政部关于进一步加大政府采购支持中小企业力度的通知》的通知规定，对属于小型、微型企业的投标人给予评审加分；根据“中小企业声明函”及提供的认定证明中所确定的企业性质，如投标人属于小微型企业，且提供自有服务的，对其报价给予10%的扣除，扣除后的价格参与价格评审；</w:t>
      </w:r>
    </w:p>
    <w:p w14:paraId="09146D6F">
      <w:pPr>
        <w:widowControl/>
        <w:spacing w:before="312" w:after="100"/>
        <w:ind w:firstLine="640"/>
        <w:rPr>
          <w:rFonts w:ascii="宋体" w:hAnsi="宋体" w:cs="宋体"/>
          <w:color w:val="auto"/>
          <w:sz w:val="21"/>
          <w:szCs w:val="21"/>
          <w:lang w:eastAsia="zh-CN"/>
        </w:rPr>
      </w:pPr>
      <w:r>
        <w:rPr>
          <w:rFonts w:hint="eastAsia" w:ascii="宋体" w:hAnsi="宋体" w:cs="宋体"/>
          <w:color w:val="auto"/>
          <w:sz w:val="21"/>
          <w:szCs w:val="21"/>
          <w:lang w:eastAsia="zh-CN" w:bidi="ar"/>
        </w:rPr>
        <w:t>采购人采购的产品属于须具备强制性认证的产品以及其他须符合国家有关部门颁布的生产安全标准的产品，供应商提供的有关产品须符合上述规定，否则其响应文件将被拒绝，并在交付时向采购人提供上述全部产品的认证及认可证明资料，否则采购人有权不予结算相关费用或解除合同，相关损失和责任由供应商全部承担。若本次采购的产品属于《节能产品政府采购品目清单》、《环境标志产品政府采购品目清单》范围内强制采购的产品，投标单位须提供国家确定的认证机构出具的、处于有效期之内的节能产品、环境标志产品认证证书复印件，否则视为非实质性响应采购文件要求；</w:t>
      </w:r>
    </w:p>
    <w:p w14:paraId="1C6D85EB">
      <w:pPr>
        <w:widowControl/>
        <w:spacing w:before="312" w:after="100"/>
        <w:ind w:firstLine="640"/>
        <w:rPr>
          <w:rFonts w:ascii="宋体" w:hAnsi="宋体" w:cs="宋体"/>
          <w:color w:val="auto"/>
          <w:sz w:val="21"/>
          <w:szCs w:val="21"/>
          <w:lang w:eastAsia="zh-CN"/>
        </w:rPr>
      </w:pPr>
      <w:r>
        <w:rPr>
          <w:rFonts w:hint="eastAsia" w:ascii="宋体" w:hAnsi="宋体" w:cs="宋体"/>
          <w:color w:val="auto"/>
          <w:sz w:val="21"/>
          <w:szCs w:val="21"/>
          <w:lang w:eastAsia="zh-CN" w:bidi="ar"/>
        </w:rPr>
        <w:t>若本次采购的产品属于《节能产品政府采购品目清单》、《环境标志产品政府采购品目清单》范围内优先采购的产品，投标单位可提供国家确定的认证机构出具的、处于有效期之内的节能产品、环境标志产品认证证书复印件，本项目评审中予以考虑。</w:t>
      </w:r>
    </w:p>
    <w:p w14:paraId="4E3931C0">
      <w:pPr>
        <w:widowControl/>
        <w:spacing w:before="312" w:after="100"/>
        <w:rPr>
          <w:rFonts w:ascii="宋体" w:hAnsi="宋体" w:cs="宋体"/>
          <w:color w:val="auto"/>
          <w:sz w:val="21"/>
          <w:szCs w:val="21"/>
          <w:lang w:eastAsia="zh-CN"/>
        </w:rPr>
      </w:pPr>
      <w:r>
        <w:rPr>
          <w:rFonts w:hint="eastAsia" w:ascii="宋体" w:hAnsi="宋体" w:cs="宋体"/>
          <w:b/>
          <w:bCs/>
          <w:color w:val="auto"/>
          <w:sz w:val="21"/>
          <w:szCs w:val="21"/>
          <w:lang w:eastAsia="zh-CN" w:bidi="ar"/>
        </w:rPr>
        <w:t>二、采购标的需执行的国家相关标准、行业标准、地方标准或者其他标准、规范；</w:t>
      </w:r>
    </w:p>
    <w:p w14:paraId="4F3D475A">
      <w:pPr>
        <w:widowControl/>
        <w:spacing w:before="312" w:after="100"/>
        <w:ind w:firstLine="640"/>
        <w:rPr>
          <w:rFonts w:ascii="宋体" w:hAnsi="宋体" w:cs="宋体"/>
          <w:color w:val="auto"/>
          <w:sz w:val="21"/>
          <w:szCs w:val="21"/>
          <w:lang w:eastAsia="zh-CN" w:bidi="ar"/>
        </w:rPr>
      </w:pPr>
      <w:r>
        <w:rPr>
          <w:rFonts w:hint="eastAsia" w:ascii="宋体" w:hAnsi="宋体" w:cs="宋体"/>
          <w:color w:val="auto"/>
          <w:sz w:val="21"/>
          <w:szCs w:val="21"/>
          <w:lang w:eastAsia="zh-CN" w:bidi="ar"/>
        </w:rPr>
        <w:t>投标人提供的所有产品（包括设计、制造、调试以及节能、环保等）都应符合已颁布的现行中华人民共和国认可的国家标准、地方标准和行业标准。如果这些标准内容有矛盾时，应按最高标准的条款执行。</w:t>
      </w:r>
    </w:p>
    <w:p w14:paraId="04FCEC28">
      <w:pPr>
        <w:snapToGrid w:val="0"/>
        <w:spacing w:line="360" w:lineRule="auto"/>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三、采购标的需满足的质量、安全、技术规格、物理特性等要求；</w:t>
      </w:r>
    </w:p>
    <w:tbl>
      <w:tblPr>
        <w:tblStyle w:val="119"/>
        <w:tblW w:w="1487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99"/>
        <w:gridCol w:w="1511"/>
        <w:gridCol w:w="12568"/>
      </w:tblGrid>
      <w:tr w14:paraId="0D3F56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2" w:hRule="atLeast"/>
          <w:jc w:val="center"/>
        </w:trPr>
        <w:tc>
          <w:tcPr>
            <w:tcW w:w="799" w:type="dxa"/>
            <w:shd w:val="clear" w:color="auto" w:fill="auto"/>
            <w:vAlign w:val="center"/>
          </w:tcPr>
          <w:p w14:paraId="0024C248">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序号</w:t>
            </w:r>
          </w:p>
        </w:tc>
        <w:tc>
          <w:tcPr>
            <w:tcW w:w="1511" w:type="dxa"/>
            <w:vAlign w:val="center"/>
          </w:tcPr>
          <w:p w14:paraId="65764192">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产品名称</w:t>
            </w:r>
          </w:p>
        </w:tc>
        <w:tc>
          <w:tcPr>
            <w:tcW w:w="12568" w:type="dxa"/>
            <w:vAlign w:val="center"/>
          </w:tcPr>
          <w:p w14:paraId="5505989A">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电子类1标段参数</w:t>
            </w:r>
          </w:p>
        </w:tc>
      </w:tr>
      <w:tr w14:paraId="063886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2" w:hRule="atLeast"/>
          <w:jc w:val="center"/>
        </w:trPr>
        <w:tc>
          <w:tcPr>
            <w:tcW w:w="799" w:type="dxa"/>
            <w:vMerge w:val="restart"/>
            <w:shd w:val="clear" w:color="auto" w:fill="auto"/>
            <w:vAlign w:val="center"/>
          </w:tcPr>
          <w:p w14:paraId="3C52E7D9">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1</w:t>
            </w:r>
          </w:p>
        </w:tc>
        <w:tc>
          <w:tcPr>
            <w:tcW w:w="1511" w:type="dxa"/>
            <w:vAlign w:val="center"/>
          </w:tcPr>
          <w:p w14:paraId="11065B25">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教学一体机电脑</w:t>
            </w:r>
          </w:p>
        </w:tc>
        <w:tc>
          <w:tcPr>
            <w:tcW w:w="12568" w:type="dxa"/>
          </w:tcPr>
          <w:p w14:paraId="4EDB57E6">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1.显示大屏技术参数。</w:t>
            </w:r>
          </w:p>
          <w:p w14:paraId="1F812202">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（1）整机设计：左、右、下三边框皆具备磁吸功能，边框任意位置可吸附具备磁吸功能的书写笔，86英寸A规液晶显示屏，比例16:9。</w:t>
            </w:r>
          </w:p>
          <w:p w14:paraId="2E0BB18D">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（2）屏幕采用全物理钢化玻璃，钢化玻璃表面硬度≥9H，透光率≥91%，雾度≤8%。，分辨率：≥3840×2160,色域覆盖率≥NTSC 72%。</w:t>
            </w:r>
          </w:p>
          <w:p w14:paraId="46591513">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（3）触控技术：采用红外触控技术，支持至少两种系统中≥50点触控.</w:t>
            </w:r>
          </w:p>
          <w:p w14:paraId="6FF183FA">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（4）响应：书写触控延迟≤25ms，触摸响应≤4ms。</w:t>
            </w:r>
          </w:p>
          <w:p w14:paraId="75F2AE3B">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2.中控系统功能及其他。</w:t>
            </w:r>
          </w:p>
          <w:p w14:paraId="3D162953">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（1）整机全通道支持纸质护眼模式，可实现画面纹理的实时调整；支持纸质纹理：牛皮纸、素描纸、宣纸、水彩纸、水纹纸；支持透明度调节；支持色温调节。</w:t>
            </w:r>
          </w:p>
          <w:p w14:paraId="115F625B">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（2）摄像头：内置非独立式摄像头，像素≥1600万，可输出4K分辨率的视频。</w:t>
            </w:r>
          </w:p>
          <w:p w14:paraId="474B9E9F">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（3）整机具备熄屏扩声功能，在关闭显示部分的情况下可播放音频及本地扩音，轻触显示部分可点亮屏幕。</w:t>
            </w:r>
          </w:p>
          <w:p w14:paraId="3A27B595">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（4）设备同侧前置多接口与功能按键，并支持护眼，可通过按键一键调节。</w:t>
            </w:r>
          </w:p>
          <w:p w14:paraId="68A45ADE">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（5）支持人脸识别、课堂远程巡课、随机抽选、班级学生视力检测功能和课堂教学数据采集。</w:t>
            </w:r>
          </w:p>
          <w:p w14:paraId="05F54FB1">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（6）音响：整机设备内置2.2声道扬声器，前朝向发声，具备高音扬声器和低音扬声器，最大功率≥80W。</w:t>
            </w:r>
          </w:p>
          <w:p w14:paraId="37C43694">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（7）拾音效果：具备AI 空间感知音效模式，整机听力模式下具备AI人声语言增强功能，支持三挡强弱调节。</w:t>
            </w:r>
          </w:p>
          <w:p w14:paraId="78F57F45">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（8）整机内置趣味画板功能，支持自由画、涂色和拼图模式；保存绘画作品时，支持调用整机麦克风进行录音，并将录音和画作合成为作品保存在画廊。</w:t>
            </w:r>
          </w:p>
          <w:p w14:paraId="6D74616A">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（9）文件传输：支持通过扫码、wifi直联、超声三种方式连接，实现文件传输功能。</w:t>
            </w:r>
          </w:p>
          <w:p w14:paraId="0B48D40A">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（10）整机内置非独立外扩展的4阵列麦克风，可用于对教室环境音频进行采集，麦克风拾音距离≥12米。</w:t>
            </w:r>
          </w:p>
          <w:p w14:paraId="1B234E16">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（11）支持标准、多媒体和节能三种图像模式调节,自定义图像设置，可对对比度、屏幕色温、图像亮度、亮度范围、色彩空间调节设置。</w:t>
            </w:r>
          </w:p>
          <w:p w14:paraId="50F2182F">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（12）整机支持蓝牙Bluetooth 5.4标准，固件版本号HCI13.0/LMP13.0。</w:t>
            </w:r>
          </w:p>
          <w:p w14:paraId="2584424D">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（13）整机支持发出频率为18kHz-22kHz超声波信号，智能手机通过麦克风接收后，智能手机与整机无需在同一局域网内，可实现配对，一键投屏，用户无需手动输入投屏码或扫码获取投屏码；</w:t>
            </w:r>
          </w:p>
          <w:p w14:paraId="3D4DE43C">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（14）整机内置双WiFi6无线网卡（不接受外接），在Android和Windows系统下，可实现Wi-Fi无线上网连接、AP无线热点发射。</w:t>
            </w:r>
          </w:p>
          <w:p w14:paraId="5B0AD86F">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（15）整机嵌入式系统版本≥Android 15，主频≥1.6GHz，内存≥2GB，DDR最大速率≥2666MT/S，存储空间≥32GB。</w:t>
            </w:r>
          </w:p>
          <w:p w14:paraId="65579B69">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3.OPS电脑参数：</w:t>
            </w:r>
          </w:p>
          <w:p w14:paraId="10FB4D6E">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（17）CPU 不低于intel酷睿i5系列，8GB或以上配置，硬盘：256GB或以上固态硬盘。</w:t>
            </w:r>
          </w:p>
          <w:p w14:paraId="4718B750">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（18）PC模块可抽拉式插入整机，可实现无单独接线的插拔。</w:t>
            </w:r>
          </w:p>
          <w:p w14:paraId="1562998A">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（19）和整机的连接采用万兆级接口，传输速率≥10Gbps，具有独立非外扩展的电脑USB接口：≥3路USB。</w:t>
            </w:r>
          </w:p>
        </w:tc>
      </w:tr>
      <w:tr w14:paraId="21A43F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99" w:type="dxa"/>
            <w:vMerge w:val="continue"/>
            <w:shd w:val="clear" w:color="auto" w:fill="auto"/>
            <w:vAlign w:val="center"/>
          </w:tcPr>
          <w:p w14:paraId="07A08348">
            <w:pPr>
              <w:widowControl/>
              <w:autoSpaceDE w:val="0"/>
              <w:autoSpaceDN w:val="0"/>
              <w:spacing w:before="312" w:after="100"/>
              <w:jc w:val="center"/>
              <w:rPr>
                <w:rFonts w:ascii="宋体" w:hAnsi="宋体" w:cs="宋体"/>
                <w:color w:val="auto"/>
                <w:sz w:val="21"/>
                <w:szCs w:val="21"/>
                <w:lang w:eastAsia="zh-CN" w:bidi="ar"/>
              </w:rPr>
            </w:pPr>
          </w:p>
        </w:tc>
        <w:tc>
          <w:tcPr>
            <w:tcW w:w="1511" w:type="dxa"/>
            <w:vAlign w:val="center"/>
          </w:tcPr>
          <w:p w14:paraId="7C1348F0">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壁挂展台</w:t>
            </w:r>
          </w:p>
        </w:tc>
        <w:tc>
          <w:tcPr>
            <w:tcW w:w="12568" w:type="dxa"/>
          </w:tcPr>
          <w:p w14:paraId="6B6D7E64">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≥800 万像素，USB 5V 直供电，A4 幅面，壁挂式，实时批注，磁吸托板 + LED 补光灯</w:t>
            </w:r>
          </w:p>
        </w:tc>
      </w:tr>
      <w:tr w14:paraId="4D7A6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99" w:type="dxa"/>
            <w:shd w:val="clear" w:color="auto" w:fill="auto"/>
            <w:vAlign w:val="center"/>
          </w:tcPr>
          <w:p w14:paraId="1DEBCED8">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2</w:t>
            </w:r>
          </w:p>
        </w:tc>
        <w:tc>
          <w:tcPr>
            <w:tcW w:w="1511" w:type="dxa"/>
            <w:vAlign w:val="center"/>
          </w:tcPr>
          <w:p w14:paraId="01C31C43">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信息技术教室（教师机）</w:t>
            </w:r>
          </w:p>
        </w:tc>
        <w:tc>
          <w:tcPr>
            <w:tcW w:w="12568" w:type="dxa"/>
          </w:tcPr>
          <w:p w14:paraId="2BA363BD">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1.处理器：采用国产处理器，物理核心数≥8核，线程数≥8线程，主频≥2.7GHz，末级缓存缓存容量≥8MB；热设计功耗≤70W，CPU需通过中国信息安全测评中心安全可靠等级认证；</w:t>
            </w:r>
          </w:p>
          <w:p w14:paraId="36361AF5">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2.内存：≥16GB DDR4内存，内存插槽数量≥4，单内存最大支持容量≥16GB，内存插槽满配时提供的最高内存容量≥64GB；</w:t>
            </w:r>
          </w:p>
          <w:p w14:paraId="54B505EA">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3.硬盘：≥512G M.2 PCIe NVMe 固态硬盘+≥1T机械硬盘</w:t>
            </w:r>
          </w:p>
          <w:p w14:paraId="3FB0C4D7">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4.显卡：集成显卡，显存位宽≥128bit，等效频率≥2666MT/s，核心频率≥450MHz，可扩展独立显卡；</w:t>
            </w:r>
          </w:p>
          <w:p w14:paraId="7B7C35FB">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5.USB接口总数≥12个，其中≥4个USB3.2 Gen 1，所有USB接口原生非转接，支持USB单个开关管控；</w:t>
            </w:r>
          </w:p>
          <w:p w14:paraId="672FE221">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6.网卡：主板集成1000M自适应以太网卡；</w:t>
            </w:r>
          </w:p>
          <w:p w14:paraId="3303073F">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7.主板扩展槽：PCIe 插槽≥4个，其中至少≥1个PCIe x16</w:t>
            </w:r>
          </w:p>
          <w:p w14:paraId="1639CE03">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8.主板其他内置接口：≥1个M.2接口；≥4个SATA3.0接口，≥1个COM接口，≥1个PS/2接口，板载VGA +HDMI+DP显示接口，前置1组耳机和麦克接口，后置1组音频接口（1*耳机接口、1*麦克接口、1*音频输入）；</w:t>
            </w:r>
          </w:p>
          <w:p w14:paraId="496B92BD">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9.键鼠：USB有线键盘、光电鼠标；</w:t>
            </w:r>
          </w:p>
          <w:p w14:paraId="3EE92B8F">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10.光驱：无光驱；</w:t>
            </w:r>
          </w:p>
          <w:p w14:paraId="388BED39">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11.机箱：体积≤10L</w:t>
            </w:r>
          </w:p>
          <w:p w14:paraId="2D847357">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12.电源：≥200W高效电源；</w:t>
            </w:r>
          </w:p>
          <w:p w14:paraId="4D498E7F">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13.显示器：显示屏尺寸≥23.8英寸，屏幕类型采用IPS材质，显示屏屏占比：≥85%，显示屏分辨率：≥1920x1080，显示屏可视角度：水平≥178 °，显示屏像素密度：≥90像素/英寸，显示屏屏幕比例：16:9，显示器外观颜色：黑色商务色系，显示屏防蓝光：支持防蓝光模式，蓝光加权辐射亮度比应≤0.0012W/(•cd•sr)（瓦每坎特拉每球面度），显示屏低频闪：显示屏应支持低频闪≤-35dB；显示屏防炫目：显示屏镜面反射率≤10%；显示屏刷新率≥100Hz，显示屏位深≥8位，显示屏色域≥99% sRGB，显示屏色准△E ≤ 4，显示屏响应时间≤5ms，显示屏亮度≥300 尼特，显示屏亮度一致性≥70%，显示屏对比度≥1000:1，显示接口：至少支持VGA、HDMI、DVI、DP、Type-C中2种及以上显示接口（至少包含1个HDMI接口），显示器支持标准、电影、游戏、节能等4种显示模式可选；</w:t>
            </w:r>
          </w:p>
          <w:p w14:paraId="19EC7954">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14.操作系统：支持UOS/KOS系统；</w:t>
            </w:r>
          </w:p>
          <w:p w14:paraId="6B8BC431">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w:t>
            </w:r>
            <w:r>
              <w:rPr>
                <w:rFonts w:hint="eastAsia" w:ascii="宋体" w:hAnsi="宋体" w:cs="宋体"/>
                <w:color w:val="auto"/>
                <w:sz w:val="21"/>
                <w:szCs w:val="21"/>
                <w:lang w:val="en-US" w:eastAsia="zh-CN" w:bidi="ar"/>
              </w:rPr>
              <w:t>5</w:t>
            </w:r>
            <w:r>
              <w:rPr>
                <w:rFonts w:hint="eastAsia" w:ascii="宋体" w:hAnsi="宋体" w:cs="宋体"/>
                <w:color w:val="auto"/>
                <w:sz w:val="21"/>
                <w:szCs w:val="21"/>
                <w:lang w:eastAsia="zh-CN" w:bidi="ar"/>
              </w:rPr>
              <w:t>.保修服务：整机提供三年原厂免费上门质保服务，</w:t>
            </w:r>
            <w:r>
              <w:rPr>
                <w:rFonts w:hint="eastAsia" w:ascii="宋体" w:hAnsi="宋体" w:cs="宋体"/>
                <w:color w:val="auto"/>
                <w:sz w:val="21"/>
                <w:szCs w:val="21"/>
                <w:lang w:val="en-US" w:eastAsia="zh-CN" w:bidi="ar"/>
              </w:rPr>
              <w:t>中标后</w:t>
            </w:r>
            <w:r>
              <w:rPr>
                <w:rFonts w:hint="eastAsia" w:ascii="宋体" w:hAnsi="宋体" w:cs="宋体"/>
                <w:color w:val="auto"/>
                <w:sz w:val="21"/>
                <w:szCs w:val="21"/>
                <w:lang w:eastAsia="zh-CN" w:bidi="ar"/>
              </w:rPr>
              <w:t>提供原厂商针对本项目服务承诺函原件；</w:t>
            </w:r>
          </w:p>
          <w:p w14:paraId="5236FC71">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w:t>
            </w:r>
            <w:r>
              <w:rPr>
                <w:rFonts w:hint="eastAsia" w:ascii="宋体" w:hAnsi="宋体" w:cs="宋体"/>
                <w:color w:val="auto"/>
                <w:sz w:val="21"/>
                <w:szCs w:val="21"/>
                <w:lang w:val="en-US" w:eastAsia="zh-CN" w:bidi="ar"/>
              </w:rPr>
              <w:t>6</w:t>
            </w:r>
            <w:r>
              <w:rPr>
                <w:rFonts w:hint="eastAsia" w:ascii="宋体" w:hAnsi="宋体" w:cs="宋体"/>
                <w:color w:val="auto"/>
                <w:sz w:val="21"/>
                <w:szCs w:val="21"/>
                <w:lang w:eastAsia="zh-CN" w:bidi="ar"/>
              </w:rPr>
              <w:t>.备份还原软件：出厂预装备份还原软件（非操作系统自带），软件具有系统备份模块、系统恢复模块、启动修复模块、磁盘分区修复模块，需支持安全启动功能，支持在未部署情况下直接向外设进行备份和恢复（需提供计算机软件著作权登记证书复印件和软件使用手册）</w:t>
            </w:r>
          </w:p>
          <w:p w14:paraId="227F53D8">
            <w:pPr>
              <w:widowControl/>
              <w:autoSpaceDE w:val="0"/>
              <w:autoSpaceDN w:val="0"/>
              <w:spacing w:before="312" w:after="100"/>
              <w:rPr>
                <w:rFonts w:hint="eastAsia" w:ascii="宋体" w:hAnsi="宋体" w:cs="宋体"/>
                <w:b/>
                <w:bCs/>
                <w:color w:val="auto"/>
                <w:sz w:val="21"/>
                <w:szCs w:val="21"/>
                <w:lang w:eastAsia="zh-CN" w:bidi="ar"/>
              </w:rPr>
            </w:pPr>
            <w:r>
              <w:rPr>
                <w:rFonts w:hint="eastAsia" w:ascii="宋体" w:hAnsi="宋体" w:cs="宋体"/>
                <w:b/>
                <w:bCs/>
                <w:color w:val="auto"/>
                <w:sz w:val="21"/>
                <w:szCs w:val="21"/>
                <w:lang w:eastAsia="zh-CN" w:bidi="ar"/>
              </w:rPr>
              <w:t>1</w:t>
            </w:r>
            <w:r>
              <w:rPr>
                <w:rFonts w:hint="eastAsia" w:ascii="宋体" w:hAnsi="宋体" w:cs="宋体"/>
                <w:b/>
                <w:bCs/>
                <w:color w:val="auto"/>
                <w:sz w:val="21"/>
                <w:szCs w:val="21"/>
                <w:lang w:val="en-US" w:eastAsia="zh-CN" w:bidi="ar"/>
              </w:rPr>
              <w:t>7</w:t>
            </w:r>
            <w:r>
              <w:rPr>
                <w:rFonts w:hint="eastAsia" w:ascii="宋体" w:hAnsi="宋体" w:cs="宋体"/>
                <w:b/>
                <w:bCs/>
                <w:color w:val="auto"/>
                <w:sz w:val="21"/>
                <w:szCs w:val="21"/>
                <w:lang w:eastAsia="zh-CN" w:bidi="ar"/>
              </w:rPr>
              <w:t>.具有产品可靠性检验证书，平均无故障时间（MTBF）≥100万小时。</w:t>
            </w:r>
          </w:p>
          <w:p w14:paraId="2023D890">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val="en-US" w:eastAsia="zh-CN" w:bidi="ar"/>
              </w:rPr>
              <w:t>18</w:t>
            </w:r>
            <w:r>
              <w:rPr>
                <w:rFonts w:hint="eastAsia" w:ascii="宋体" w:hAnsi="宋体" w:cs="宋体"/>
                <w:color w:val="auto"/>
                <w:sz w:val="21"/>
                <w:szCs w:val="21"/>
                <w:lang w:eastAsia="zh-CN" w:bidi="ar"/>
              </w:rPr>
              <w:t>.产品空闲状态声功率级≤2.65  Bel</w:t>
            </w:r>
          </w:p>
        </w:tc>
      </w:tr>
      <w:tr w14:paraId="23F4B9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2" w:hRule="atLeast"/>
          <w:jc w:val="center"/>
        </w:trPr>
        <w:tc>
          <w:tcPr>
            <w:tcW w:w="799" w:type="dxa"/>
            <w:shd w:val="clear" w:color="auto" w:fill="auto"/>
            <w:vAlign w:val="center"/>
          </w:tcPr>
          <w:p w14:paraId="4AA7DDEB">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3</w:t>
            </w:r>
          </w:p>
        </w:tc>
        <w:tc>
          <w:tcPr>
            <w:tcW w:w="1511" w:type="dxa"/>
            <w:vAlign w:val="center"/>
          </w:tcPr>
          <w:p w14:paraId="5D8B0688">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信息技术教室（学生机）</w:t>
            </w:r>
          </w:p>
        </w:tc>
        <w:tc>
          <w:tcPr>
            <w:tcW w:w="12568" w:type="dxa"/>
          </w:tcPr>
          <w:p w14:paraId="2FBB0792">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1,处理器：采用国产处理器，物理核心数≥8核，线程数≥8线程，主频≥2.7GHz，末级缓存缓存容量≥8MB；热设计功耗≤70W，CPU需通过中国信息安全测评中心安全可靠等级认证；</w:t>
            </w:r>
          </w:p>
          <w:p w14:paraId="351E31E0">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2.内存：≥8GB DDR4内存，内存插槽数量≥4，单内存最大支持容量≥16GB，内存插槽满配时提供的最高内存容量≥64GB；</w:t>
            </w:r>
          </w:p>
          <w:p w14:paraId="51FFD94A">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3.硬盘：≥256G M.2 PCIe NVMe 固态硬盘+≥1T机械硬盘</w:t>
            </w:r>
          </w:p>
          <w:p w14:paraId="689F16BA">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4.显卡：集成显卡，显存位宽≥128bit，等效频率≥2666MT/s，核心频率≥450MHz，可扩展独立显卡；</w:t>
            </w:r>
          </w:p>
          <w:p w14:paraId="3A37BADB">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5.USB接口总数≥12个，其中≥4个USB3.2 Gen 1，所有USB接口原生非转接，支持USB单个开关管控；</w:t>
            </w:r>
          </w:p>
          <w:p w14:paraId="070842DF">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6.网卡：主板集成1000M自适应以太网卡；</w:t>
            </w:r>
          </w:p>
          <w:p w14:paraId="62FA1A49">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7.主板扩展槽：PCIe 插槽≥4个，其中至少≥1个PCIe x16</w:t>
            </w:r>
          </w:p>
          <w:p w14:paraId="2FCF41FB">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8.主板其他内置接口：≥1个M.2接口；≥4个SATA3.0接口，≥1个COM接口，≥1个PS/2接口，板载VGA +HDMI+DP显示接口，前置1组耳机和麦克接口，后置1组音频接口（1*耳机接口、1*麦克接口、1*音频输入）；</w:t>
            </w:r>
          </w:p>
          <w:p w14:paraId="3D22FD65">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9.键鼠：USB有线键盘、光电鼠标；</w:t>
            </w:r>
          </w:p>
          <w:p w14:paraId="025FE2E9">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10.光驱：无光驱；</w:t>
            </w:r>
          </w:p>
          <w:p w14:paraId="6BCC7299">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11.机箱：体积≤10L</w:t>
            </w:r>
          </w:p>
          <w:p w14:paraId="546CB27C">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12.电源：≥200W高效电源；</w:t>
            </w:r>
          </w:p>
          <w:p w14:paraId="69081729">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13.显示器：显示屏尺寸≥23.8英寸，屏幕类型采用IPS材质，显示屏屏占比：≥85%，显示屏分辨率：≥1920x1080，显示屏可视角度：水平≥178 °，显示屏像素密度：≥90像素/英寸，显示屏屏幕比例：16:9，显示器外观颜色：黑色商务色系，显示屏防蓝光：支持防蓝光模式，蓝光加权辐射亮度比应≤0.0012W/(•cd•sr)（瓦每坎特拉每球面度），显示屏低频闪：显示屏应支持低频闪≤-35dB；显示屏防炫目：显示屏镜面反射率≤10%；显示屏刷新率≥100Hz，显示屏位深≥8位，显示屏色域≥99% sRGB，显示屏色准△E ≤ 4，显示屏响应时间≤5ms，显示屏亮度≥300 尼特，显示屏亮度一致性≥70%，显示屏对比度≥1000:1，显示接口：至少支持VGA、HDMI、DVI、DP、Type-C中2种及以上显示接口（至少包含1个HDMI接口），显示器支持标准、电影、游戏、节能等4种显示模式可选；</w:t>
            </w:r>
          </w:p>
          <w:p w14:paraId="766D711C">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14.操作系统：支持UOS/KOS系统；</w:t>
            </w:r>
          </w:p>
          <w:p w14:paraId="1204DB60">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w:t>
            </w:r>
            <w:r>
              <w:rPr>
                <w:rFonts w:hint="eastAsia" w:ascii="宋体" w:hAnsi="宋体" w:cs="宋体"/>
                <w:color w:val="auto"/>
                <w:sz w:val="21"/>
                <w:szCs w:val="21"/>
                <w:lang w:val="en-US" w:eastAsia="zh-CN" w:bidi="ar"/>
              </w:rPr>
              <w:t>5</w:t>
            </w:r>
            <w:r>
              <w:rPr>
                <w:rFonts w:hint="eastAsia" w:ascii="宋体" w:hAnsi="宋体" w:cs="宋体"/>
                <w:color w:val="auto"/>
                <w:sz w:val="21"/>
                <w:szCs w:val="21"/>
                <w:lang w:eastAsia="zh-CN" w:bidi="ar"/>
              </w:rPr>
              <w:t>.保修服务：整机提供三年原厂免费上门质保服务，</w:t>
            </w:r>
            <w:r>
              <w:rPr>
                <w:rFonts w:hint="eastAsia" w:ascii="宋体" w:hAnsi="宋体" w:cs="宋体"/>
                <w:color w:val="auto"/>
                <w:sz w:val="21"/>
                <w:szCs w:val="21"/>
                <w:lang w:val="en-US" w:eastAsia="zh-CN" w:bidi="ar"/>
              </w:rPr>
              <w:t>中标后</w:t>
            </w:r>
            <w:r>
              <w:rPr>
                <w:rFonts w:hint="eastAsia" w:ascii="宋体" w:hAnsi="宋体" w:cs="宋体"/>
                <w:color w:val="auto"/>
                <w:sz w:val="21"/>
                <w:szCs w:val="21"/>
                <w:lang w:eastAsia="zh-CN" w:bidi="ar"/>
              </w:rPr>
              <w:t>提供原厂商针对本项目服务承诺函原件；</w:t>
            </w:r>
          </w:p>
          <w:p w14:paraId="183BB050">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val="en-US" w:eastAsia="zh-CN" w:bidi="ar"/>
              </w:rPr>
              <w:t>16</w:t>
            </w:r>
            <w:r>
              <w:rPr>
                <w:rFonts w:hint="eastAsia" w:ascii="宋体" w:hAnsi="宋体" w:cs="宋体"/>
                <w:color w:val="auto"/>
                <w:sz w:val="21"/>
                <w:szCs w:val="21"/>
                <w:lang w:eastAsia="zh-CN" w:bidi="ar"/>
              </w:rPr>
              <w:t>.备份还原软件：出厂预装备份还原软件（非操作系统自带），软件具有系统备份模块、系统恢复模块、启动修复模块、磁盘分区修复模块，需支持安全启动功能，支持在未部署情况下直接向外设进行备份和恢复（需提供计算机软件著作权登记证书复印件和软件使用手册）</w:t>
            </w:r>
          </w:p>
          <w:p w14:paraId="055FBBCD">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w:t>
            </w:r>
            <w:r>
              <w:rPr>
                <w:rFonts w:hint="eastAsia" w:ascii="宋体" w:hAnsi="宋体" w:cs="宋体"/>
                <w:color w:val="auto"/>
                <w:sz w:val="21"/>
                <w:szCs w:val="21"/>
                <w:lang w:val="en-US" w:eastAsia="zh-CN" w:bidi="ar"/>
              </w:rPr>
              <w:t>7</w:t>
            </w:r>
            <w:r>
              <w:rPr>
                <w:rFonts w:hint="eastAsia" w:ascii="宋体" w:hAnsi="宋体" w:cs="宋体"/>
                <w:color w:val="auto"/>
                <w:sz w:val="21"/>
                <w:szCs w:val="21"/>
                <w:lang w:eastAsia="zh-CN" w:bidi="ar"/>
              </w:rPr>
              <w:t>.具有产品可靠性检验证书，平均无故障时间（MTBF）≥100万小时。</w:t>
            </w:r>
          </w:p>
          <w:p w14:paraId="291EAE8A">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val="en-US" w:eastAsia="zh-CN" w:bidi="ar"/>
              </w:rPr>
              <w:t>18</w:t>
            </w:r>
            <w:r>
              <w:rPr>
                <w:rFonts w:hint="eastAsia" w:ascii="宋体" w:hAnsi="宋体" w:cs="宋体"/>
                <w:color w:val="auto"/>
                <w:sz w:val="21"/>
                <w:szCs w:val="21"/>
                <w:lang w:eastAsia="zh-CN" w:bidi="ar"/>
              </w:rPr>
              <w:t>.产品空闲状态声功率级≤2.65  Bel。</w:t>
            </w:r>
          </w:p>
        </w:tc>
      </w:tr>
      <w:tr w14:paraId="5A79FF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2" w:hRule="atLeast"/>
          <w:jc w:val="center"/>
        </w:trPr>
        <w:tc>
          <w:tcPr>
            <w:tcW w:w="799" w:type="dxa"/>
            <w:shd w:val="clear" w:color="auto" w:fill="auto"/>
            <w:vAlign w:val="center"/>
          </w:tcPr>
          <w:p w14:paraId="5F80574A">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4</w:t>
            </w:r>
          </w:p>
        </w:tc>
        <w:tc>
          <w:tcPr>
            <w:tcW w:w="1511" w:type="dxa"/>
            <w:vAlign w:val="center"/>
          </w:tcPr>
          <w:p w14:paraId="7FB57544">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触控查询一体机</w:t>
            </w:r>
          </w:p>
        </w:tc>
        <w:tc>
          <w:tcPr>
            <w:tcW w:w="12568" w:type="dxa"/>
          </w:tcPr>
          <w:p w14:paraId="14947C88">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"触摸屏：32寸触摸屏</w:t>
            </w:r>
          </w:p>
          <w:p w14:paraId="6ED36973">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产品说明：高稳定性，高透光性，可达92%，</w:t>
            </w:r>
          </w:p>
          <w:p w14:paraId="75462A6E">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单点触摸寿命大于5000万次</w:t>
            </w:r>
          </w:p>
          <w:p w14:paraId="74E9FF29">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分辨率：4096×4096；</w:t>
            </w:r>
          </w:p>
          <w:p w14:paraId="41276258">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透光率：92%</w:t>
            </w:r>
          </w:p>
          <w:p w14:paraId="37F22B77">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响应时间：&lt;10ms</w:t>
            </w:r>
          </w:p>
          <w:p w14:paraId="5DA15D7C">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最小触摸体：&gt;5mm</w:t>
            </w:r>
          </w:p>
          <w:p w14:paraId="1C94F3D6">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技术参数：分辨率：1280*1024</w:t>
            </w:r>
          </w:p>
          <w:p w14:paraId="6257C4AA">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对比度：2000:1</w:t>
            </w:r>
          </w:p>
          <w:p w14:paraId="4AB15DB6">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亮度：350cd/m2</w:t>
            </w:r>
          </w:p>
          <w:p w14:paraId="7803358F">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屏幕比例：4：3</w:t>
            </w:r>
          </w:p>
          <w:p w14:paraId="6C917686">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响应速度：6ms；</w:t>
            </w:r>
          </w:p>
          <w:p w14:paraId="3D45AA3F">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可提供RJ45标准网络接口</w:t>
            </w:r>
          </w:p>
          <w:p w14:paraId="50F82EA2">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电压：AC220V ± 10% 50HZ ± 1HZ</w:t>
            </w:r>
          </w:p>
          <w:p w14:paraId="3CFC6268">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功率：230W</w:t>
            </w:r>
          </w:p>
          <w:p w14:paraId="271783AB">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频率：50HZ</w:t>
            </w:r>
          </w:p>
          <w:p w14:paraId="4E0A7CF6">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开机瞬间电流为3A</w:t>
            </w:r>
          </w:p>
          <w:p w14:paraId="3434A75D">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操作温度 - 20℃-50℃</w:t>
            </w:r>
          </w:p>
          <w:p w14:paraId="42122214">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存储温度 - 35℃-50℃</w:t>
            </w:r>
          </w:p>
          <w:p w14:paraId="02F5A7F3">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操作相对湿度 5%-95%.</w:t>
            </w:r>
          </w:p>
          <w:p w14:paraId="5AE998C5">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内置：音响、控制面板、电源、风扇、网络功能</w:t>
            </w:r>
          </w:p>
          <w:p w14:paraId="0F478394">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标配配置：I3主板，2GDDR3 内存,32G固态硬盘"</w:t>
            </w:r>
          </w:p>
        </w:tc>
      </w:tr>
      <w:tr w14:paraId="040F7D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6" w:hRule="atLeast"/>
          <w:jc w:val="center"/>
        </w:trPr>
        <w:tc>
          <w:tcPr>
            <w:tcW w:w="799" w:type="dxa"/>
            <w:vAlign w:val="center"/>
          </w:tcPr>
          <w:p w14:paraId="5100B9A1">
            <w:pPr>
              <w:autoSpaceDE w:val="0"/>
              <w:autoSpaceDN w:val="0"/>
              <w:jc w:val="center"/>
              <w:rPr>
                <w:rFonts w:ascii="宋体" w:hAnsi="宋体" w:cs="宋体"/>
                <w:b/>
                <w:color w:val="auto"/>
                <w:sz w:val="21"/>
                <w:szCs w:val="21"/>
              </w:rPr>
            </w:pPr>
            <w:r>
              <w:rPr>
                <w:rFonts w:hint="eastAsia" w:ascii="宋体" w:hAnsi="宋体" w:cs="宋体"/>
                <w:b/>
                <w:color w:val="auto"/>
                <w:spacing w:val="-4"/>
                <w:sz w:val="21"/>
                <w:szCs w:val="21"/>
              </w:rPr>
              <w:t>序号</w:t>
            </w:r>
          </w:p>
        </w:tc>
        <w:tc>
          <w:tcPr>
            <w:tcW w:w="1511" w:type="dxa"/>
            <w:vAlign w:val="center"/>
          </w:tcPr>
          <w:p w14:paraId="3D1A87F6">
            <w:pPr>
              <w:autoSpaceDE w:val="0"/>
              <w:autoSpaceDN w:val="0"/>
              <w:jc w:val="center"/>
              <w:rPr>
                <w:rFonts w:ascii="宋体" w:hAnsi="宋体" w:cs="宋体"/>
                <w:b/>
                <w:color w:val="auto"/>
                <w:sz w:val="21"/>
                <w:szCs w:val="21"/>
              </w:rPr>
            </w:pPr>
            <w:r>
              <w:rPr>
                <w:rFonts w:hint="eastAsia" w:ascii="宋体" w:hAnsi="宋体" w:cs="宋体"/>
                <w:b/>
                <w:color w:val="auto"/>
                <w:spacing w:val="-4"/>
                <w:sz w:val="21"/>
                <w:szCs w:val="21"/>
              </w:rPr>
              <w:t>产品名称</w:t>
            </w:r>
          </w:p>
        </w:tc>
        <w:tc>
          <w:tcPr>
            <w:tcW w:w="12568" w:type="dxa"/>
          </w:tcPr>
          <w:p w14:paraId="460104F5">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b/>
                <w:bCs/>
                <w:color w:val="auto"/>
                <w:sz w:val="21"/>
                <w:szCs w:val="21"/>
                <w:lang w:eastAsia="zh-CN" w:bidi="ar"/>
              </w:rPr>
              <w:t>家具类2标段参数</w:t>
            </w:r>
          </w:p>
        </w:tc>
      </w:tr>
      <w:tr w14:paraId="019A6A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6" w:hRule="atLeast"/>
          <w:jc w:val="center"/>
        </w:trPr>
        <w:tc>
          <w:tcPr>
            <w:tcW w:w="799" w:type="dxa"/>
            <w:shd w:val="clear" w:color="auto" w:fill="auto"/>
            <w:vAlign w:val="center"/>
          </w:tcPr>
          <w:p w14:paraId="27C4AA17">
            <w:pPr>
              <w:autoSpaceDE w:val="0"/>
              <w:autoSpaceDN w:val="0"/>
              <w:jc w:val="center"/>
              <w:textAlignment w:val="center"/>
              <w:rPr>
                <w:rFonts w:ascii="宋体" w:hAnsi="宋体" w:cs="宋体"/>
                <w:color w:val="auto"/>
                <w:sz w:val="21"/>
                <w:szCs w:val="21"/>
              </w:rPr>
            </w:pPr>
            <w:r>
              <w:rPr>
                <w:rFonts w:hint="eastAsia" w:ascii="宋体" w:hAnsi="宋体" w:cs="宋体"/>
                <w:color w:val="auto"/>
                <w:sz w:val="21"/>
                <w:szCs w:val="21"/>
                <w:lang w:eastAsia="zh-CN" w:bidi="ar"/>
              </w:rPr>
              <w:t>1</w:t>
            </w:r>
          </w:p>
        </w:tc>
        <w:tc>
          <w:tcPr>
            <w:tcW w:w="1511" w:type="dxa"/>
            <w:vAlign w:val="center"/>
          </w:tcPr>
          <w:p w14:paraId="2D5DBF0C">
            <w:pPr>
              <w:autoSpaceDE w:val="0"/>
              <w:autoSpaceDN w:val="0"/>
              <w:jc w:val="center"/>
              <w:rPr>
                <w:rFonts w:ascii="宋体" w:hAnsi="宋体" w:cs="宋体"/>
                <w:color w:val="auto"/>
                <w:sz w:val="21"/>
                <w:szCs w:val="21"/>
                <w:lang w:eastAsia="zh-CN"/>
              </w:rPr>
            </w:pPr>
            <w:r>
              <w:rPr>
                <w:rFonts w:hint="eastAsia" w:ascii="宋体" w:hAnsi="宋体" w:cs="宋体"/>
                <w:color w:val="auto"/>
                <w:spacing w:val="-2"/>
                <w:sz w:val="21"/>
                <w:szCs w:val="21"/>
                <w:lang w:eastAsia="zh-CN"/>
              </w:rPr>
              <w:t>课桌椅</w:t>
            </w:r>
          </w:p>
        </w:tc>
        <w:tc>
          <w:tcPr>
            <w:tcW w:w="12568" w:type="dxa"/>
          </w:tcPr>
          <w:p w14:paraId="1FC799EE">
            <w:pPr>
              <w:keepNext w:val="0"/>
              <w:keepLines w:val="0"/>
              <w:pageBreakBefore w:val="0"/>
              <w:widowControl/>
              <w:kinsoku/>
              <w:wordWrap/>
              <w:overflowPunct/>
              <w:topLinePunct w:val="0"/>
              <w:autoSpaceDE/>
              <w:autoSpaceDN/>
              <w:bidi w:val="0"/>
              <w:adjustRightInd/>
              <w:snapToGrid/>
              <w:spacing w:before="312" w:after="100" w:line="240" w:lineRule="auto"/>
              <w:textAlignment w:val="auto"/>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课桌：桌面板规格600mm×400mm×760mm：采用实木颗粒板，面板基材厚度为18mm，PP塑料，一次注塑成型无接缝（橡木色灰边），桌面正前方带内径不小于长210mm文具盒，宽度不小于50mm，深为15mm.桌面上方左右带杯槽，杯槽直径不低于65mm，桌面背面不低于4根PVC一次性注塑加强筋，加强筋与注塑封边无缝连接，增加桌面的使用年限及桌面的平整度。桌斗长500mm，上深度305mm,下深度350mm,内空高度150mm;采用≥0.7mm厚钢板一次冲压成型，桌斗两侧及斗底部应有不小于12条加强筋，增加书斗的强度，斗口有放置笔的笔槽，笔槽起到防止物品掉落或加强书桌承重能力的作用，课斗两侧带书包挂钩。桌斗下加20mm×20mm×1.0mm方管拉筋，桌脚外升降管材料为30mm×60mm×1.2mm椭圆焊管，升降内套管为20mm×50mm×l.2mm椭圆管,升降方式为套管升降，中间采用塑料中层加长套相互连接。桌下横拉档材料为30mm×60mm×1.2mm椭圆形焊管，桌地脚30mm×60mm×1.2mm椭圆管两端套PP塑料脚套。椅子：升降方式为套管升降，椅面规格：不小于长370mm×宽375mm×高450mm：靠背不小于405mm×240mm采用环保PP塑料一次中空吹塑成型，内管材料为20mm×50mm×1.2mm椭圆焊管;外管材料60mm×30mm×l.2mm、触地管30mm×60mm×1.2mm椭圆管套PP塑料脚套;椅子下横拉档材料为30mm×60mm×1.2mm椭圆焊管。课桌椅所有钢材均为优质镀锌椭圆管，均符合国家相关环保标准4.课桌椅升降要求：课桌椅高度上下可升降，每档升降度30mm。课桌最高度离地面≥790mm，最低降度≥670mm。椅子最高度离地面≥450mm，最低降度≥360mm</w:t>
            </w:r>
          </w:p>
          <w:p w14:paraId="42404271">
            <w:pPr>
              <w:keepNext w:val="0"/>
              <w:keepLines w:val="0"/>
              <w:pageBreakBefore w:val="0"/>
              <w:widowControl/>
              <w:kinsoku/>
              <w:wordWrap/>
              <w:overflowPunct/>
              <w:topLinePunct w:val="0"/>
              <w:autoSpaceDE/>
              <w:autoSpaceDN/>
              <w:bidi w:val="0"/>
              <w:adjustRightInd/>
              <w:snapToGrid/>
              <w:spacing w:before="312" w:after="100" w:line="240" w:lineRule="auto"/>
              <w:textAlignment w:val="auto"/>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2.脚套：采用全新PP注塑一次成型，采用无锐角设计、防滑、稳固，保证安全性。依据GB 18584-2024《家具中有害物质限量》标准。</w:t>
            </w:r>
          </w:p>
          <w:p w14:paraId="1F38D6A0">
            <w:pPr>
              <w:keepNext w:val="0"/>
              <w:keepLines w:val="0"/>
              <w:pageBreakBefore w:val="0"/>
              <w:widowControl/>
              <w:kinsoku/>
              <w:wordWrap/>
              <w:overflowPunct/>
              <w:topLinePunct w:val="0"/>
              <w:autoSpaceDE/>
              <w:autoSpaceDN/>
              <w:bidi w:val="0"/>
              <w:adjustRightInd/>
              <w:snapToGrid/>
              <w:spacing w:before="312" w:after="100" w:line="240" w:lineRule="auto"/>
              <w:textAlignment w:val="auto"/>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3.管材和冲压不允许有裂缝、弯曲处弧形应圆滑一致;焊接处应无错位、脱焊、虚焊、焊穿、无杂渣、气孔、焊瘤;在接触人体部分或桌斗部分不得有毛刺、刃口或棱角;所有钢件表面经砂洗后静电喷塑，色调协训，美观大方。使用的全部材料必须符合环保及国家相关质量要求。</w:t>
            </w:r>
          </w:p>
          <w:p w14:paraId="122327EE">
            <w:pPr>
              <w:keepNext w:val="0"/>
              <w:keepLines w:val="0"/>
              <w:pageBreakBefore w:val="0"/>
              <w:widowControl/>
              <w:kinsoku/>
              <w:wordWrap/>
              <w:overflowPunct/>
              <w:topLinePunct w:val="0"/>
              <w:autoSpaceDE/>
              <w:autoSpaceDN/>
              <w:bidi w:val="0"/>
              <w:adjustRightInd/>
              <w:snapToGrid/>
              <w:spacing w:before="312" w:after="100" w:line="240" w:lineRule="auto"/>
              <w:textAlignment w:val="auto"/>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4.实木颗粒板符合GB/T 4897-2015《刨花板》，GB/T 39600-2021《人造板及其制品甲醛释放量分级》。</w:t>
            </w:r>
          </w:p>
          <w:p w14:paraId="010AF51C">
            <w:pPr>
              <w:keepNext w:val="0"/>
              <w:keepLines w:val="0"/>
              <w:pageBreakBefore w:val="0"/>
              <w:widowControl/>
              <w:kinsoku/>
              <w:wordWrap/>
              <w:overflowPunct/>
              <w:topLinePunct w:val="0"/>
              <w:autoSpaceDE/>
              <w:autoSpaceDN/>
              <w:bidi w:val="0"/>
              <w:adjustRightInd/>
              <w:snapToGrid/>
              <w:spacing w:before="312" w:after="100" w:line="240" w:lineRule="auto"/>
              <w:textAlignment w:val="auto"/>
              <w:rPr>
                <w:rFonts w:ascii="宋体" w:hAnsi="宋体" w:cs="宋体"/>
                <w:color w:val="auto"/>
                <w:sz w:val="21"/>
                <w:szCs w:val="21"/>
                <w:lang w:eastAsia="zh-CN" w:bidi="ar"/>
              </w:rPr>
            </w:pPr>
            <w:r>
              <w:rPr>
                <w:rFonts w:hint="eastAsia" w:ascii="宋体" w:hAnsi="宋体" w:cs="宋体"/>
                <w:color w:val="auto"/>
                <w:sz w:val="21"/>
                <w:szCs w:val="21"/>
                <w:lang w:eastAsia="zh-CN" w:bidi="ar"/>
              </w:rPr>
              <w:t>5.产品质量结构稳定，不易摇晃。依据通过QB/T 4071-2021《课桌椅》标准、GB/T 3325-2024《金属家具通用技术条件》、GB 18580-2017《室内装饰装修材料人造板及其制品中甲醛释放限量》。</w:t>
            </w:r>
          </w:p>
        </w:tc>
      </w:tr>
      <w:tr w14:paraId="070511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73" w:hRule="atLeast"/>
          <w:jc w:val="center"/>
        </w:trPr>
        <w:tc>
          <w:tcPr>
            <w:tcW w:w="799" w:type="dxa"/>
            <w:shd w:val="clear" w:color="auto" w:fill="auto"/>
            <w:vAlign w:val="center"/>
          </w:tcPr>
          <w:p w14:paraId="7B01EC29">
            <w:pPr>
              <w:autoSpaceDE w:val="0"/>
              <w:autoSpaceDN w:val="0"/>
              <w:spacing w:line="360" w:lineRule="auto"/>
              <w:jc w:val="center"/>
              <w:textAlignment w:val="center"/>
              <w:rPr>
                <w:rFonts w:ascii="宋体" w:hAnsi="宋体" w:cs="宋体"/>
                <w:color w:val="auto"/>
                <w:sz w:val="21"/>
                <w:szCs w:val="21"/>
              </w:rPr>
            </w:pPr>
            <w:r>
              <w:rPr>
                <w:rFonts w:hint="eastAsia" w:ascii="宋体" w:hAnsi="宋体" w:cs="宋体"/>
                <w:color w:val="auto"/>
                <w:sz w:val="21"/>
                <w:szCs w:val="21"/>
                <w:lang w:eastAsia="zh-CN" w:bidi="ar"/>
              </w:rPr>
              <w:t>2</w:t>
            </w:r>
          </w:p>
        </w:tc>
        <w:tc>
          <w:tcPr>
            <w:tcW w:w="1511" w:type="dxa"/>
            <w:vAlign w:val="center"/>
          </w:tcPr>
          <w:p w14:paraId="1F7F935B">
            <w:pPr>
              <w:autoSpaceDE w:val="0"/>
              <w:autoSpaceDN w:val="0"/>
              <w:spacing w:line="360" w:lineRule="auto"/>
              <w:jc w:val="center"/>
              <w:rPr>
                <w:rFonts w:ascii="宋体" w:hAnsi="宋体" w:cs="宋体"/>
                <w:color w:val="auto"/>
                <w:sz w:val="21"/>
                <w:szCs w:val="21"/>
                <w:lang w:eastAsia="zh-CN"/>
              </w:rPr>
            </w:pPr>
            <w:r>
              <w:rPr>
                <w:rFonts w:hint="eastAsia" w:ascii="宋体" w:hAnsi="宋体" w:cs="宋体"/>
                <w:color w:val="auto"/>
                <w:spacing w:val="-3"/>
                <w:sz w:val="21"/>
                <w:szCs w:val="21"/>
                <w:lang w:eastAsia="zh-CN"/>
              </w:rPr>
              <w:t>普通教室讲台</w:t>
            </w:r>
          </w:p>
        </w:tc>
        <w:tc>
          <w:tcPr>
            <w:tcW w:w="12568" w:type="dxa"/>
          </w:tcPr>
          <w:p w14:paraId="058797B3">
            <w:pPr>
              <w:autoSpaceDE w:val="0"/>
              <w:autoSpaceDN w:val="0"/>
              <w:spacing w:line="360" w:lineRule="auto"/>
              <w:textAlignment w:val="center"/>
              <w:rPr>
                <w:rFonts w:ascii="宋体" w:hAnsi="宋体" w:cs="宋体"/>
                <w:color w:val="auto"/>
                <w:sz w:val="21"/>
                <w:szCs w:val="21"/>
              </w:rPr>
            </w:pPr>
            <w:r>
              <w:rPr>
                <w:rFonts w:hint="eastAsia" w:ascii="宋体" w:hAnsi="宋体" w:cs="宋体"/>
                <w:color w:val="auto"/>
                <w:sz w:val="21"/>
                <w:szCs w:val="21"/>
              </w:rPr>
              <w:t>尺寸：1200mm×600mm×1050mm</w:t>
            </w:r>
          </w:p>
          <w:p w14:paraId="5F2007D2">
            <w:pPr>
              <w:autoSpaceDE w:val="0"/>
              <w:autoSpaceDN w:val="0"/>
              <w:spacing w:line="360" w:lineRule="auto"/>
              <w:textAlignment w:val="center"/>
              <w:rPr>
                <w:rFonts w:ascii="宋体" w:hAnsi="宋体" w:cs="宋体"/>
                <w:color w:val="auto"/>
                <w:sz w:val="21"/>
                <w:szCs w:val="21"/>
                <w:lang w:eastAsia="zh-CN"/>
              </w:rPr>
            </w:pPr>
            <w:r>
              <w:rPr>
                <w:rFonts w:hint="eastAsia" w:ascii="宋体" w:hAnsi="宋体" w:cs="宋体"/>
                <w:color w:val="auto"/>
                <w:sz w:val="21"/>
                <w:szCs w:val="21"/>
                <w:lang w:eastAsia="zh-CN"/>
              </w:rPr>
              <w:t>1、桌子面板、侧板采用优质</w:t>
            </w:r>
            <w:r>
              <w:rPr>
                <w:rFonts w:hint="eastAsia" w:ascii="宋体" w:hAnsi="宋体" w:cs="宋体"/>
                <w:color w:val="auto"/>
                <w:sz w:val="21"/>
                <w:szCs w:val="21"/>
                <w:lang w:eastAsia="zh-CN" w:bidi="ar"/>
              </w:rPr>
              <w:t>E1级环保</w:t>
            </w:r>
            <w:r>
              <w:rPr>
                <w:rFonts w:hint="eastAsia" w:ascii="宋体" w:hAnsi="宋体" w:cs="宋体"/>
                <w:color w:val="auto"/>
                <w:sz w:val="21"/>
                <w:szCs w:val="21"/>
                <w:lang w:eastAsia="zh-CN"/>
              </w:rPr>
              <w:t>三聚氰胺板25mm厚制作，其余部分采用优质三聚氰胺板15mm厚制作，桌子后背板到底。桌面上面有三边围边，桌面下面带两个抽屉，桌子板面光洁平整，无气泡、渣粒；面板釆用同色PVC加热熔胶封边，保证受热受冻不会脱胶开裂。</w:t>
            </w:r>
          </w:p>
          <w:p w14:paraId="52C6316C">
            <w:pPr>
              <w:autoSpaceDE w:val="0"/>
              <w:autoSpaceDN w:val="0"/>
              <w:spacing w:line="360" w:lineRule="auto"/>
              <w:textAlignment w:val="center"/>
              <w:rPr>
                <w:rFonts w:ascii="宋体" w:hAnsi="宋体" w:cs="宋体"/>
                <w:color w:val="auto"/>
                <w:sz w:val="21"/>
                <w:szCs w:val="21"/>
                <w:lang w:eastAsia="zh-CN"/>
              </w:rPr>
            </w:pPr>
            <w:r>
              <w:rPr>
                <w:rFonts w:hint="eastAsia" w:ascii="宋体" w:hAnsi="宋体" w:cs="宋体"/>
                <w:color w:val="auto"/>
                <w:sz w:val="21"/>
                <w:szCs w:val="21"/>
                <w:lang w:eastAsia="zh-CN"/>
              </w:rPr>
              <w:t>2、工艺：整桌用优质三合一五金件连接受力。</w:t>
            </w:r>
          </w:p>
          <w:p w14:paraId="483CB205">
            <w:pPr>
              <w:autoSpaceDE w:val="0"/>
              <w:autoSpaceDN w:val="0"/>
              <w:spacing w:line="360" w:lineRule="auto"/>
              <w:textAlignment w:val="center"/>
              <w:rPr>
                <w:rFonts w:ascii="宋体" w:hAnsi="宋体" w:cs="宋体"/>
                <w:color w:val="auto"/>
                <w:spacing w:val="-2"/>
                <w:sz w:val="21"/>
                <w:szCs w:val="21"/>
                <w:lang w:eastAsia="zh-CN"/>
              </w:rPr>
            </w:pPr>
            <w:r>
              <w:rPr>
                <w:rFonts w:hint="eastAsia" w:ascii="宋体" w:hAnsi="宋体" w:cs="宋体"/>
                <w:color w:val="auto"/>
                <w:sz w:val="21"/>
                <w:szCs w:val="21"/>
                <w:lang w:eastAsia="zh-CN"/>
              </w:rPr>
              <w:t>3．五金件：</w:t>
            </w:r>
            <w:r>
              <w:rPr>
                <w:rFonts w:hint="eastAsia" w:ascii="宋体" w:hAnsi="宋体" w:cs="宋体"/>
                <w:color w:val="auto"/>
                <w:sz w:val="21"/>
                <w:szCs w:val="21"/>
                <w:lang w:eastAsia="zh-CN" w:bidi="ar"/>
              </w:rPr>
              <w:t>符合国家标准或相关部门最新颁布的标准要求</w:t>
            </w:r>
            <w:r>
              <w:rPr>
                <w:rFonts w:hint="eastAsia" w:ascii="宋体" w:hAnsi="宋体" w:cs="宋体"/>
                <w:color w:val="auto"/>
                <w:sz w:val="21"/>
                <w:szCs w:val="21"/>
                <w:lang w:eastAsia="zh-CN"/>
              </w:rPr>
              <w:t>，牢固耐用。</w:t>
            </w:r>
          </w:p>
        </w:tc>
      </w:tr>
      <w:tr w14:paraId="783E01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76" w:hRule="atLeast"/>
          <w:jc w:val="center"/>
        </w:trPr>
        <w:tc>
          <w:tcPr>
            <w:tcW w:w="799" w:type="dxa"/>
            <w:shd w:val="clear" w:color="auto" w:fill="auto"/>
            <w:vAlign w:val="center"/>
          </w:tcPr>
          <w:p w14:paraId="7A5FDDD9">
            <w:pPr>
              <w:autoSpaceDE w:val="0"/>
              <w:autoSpaceDN w:val="0"/>
              <w:spacing w:line="360" w:lineRule="auto"/>
              <w:jc w:val="center"/>
              <w:textAlignment w:val="center"/>
              <w:rPr>
                <w:rFonts w:ascii="宋体" w:hAnsi="宋体" w:cs="宋体"/>
                <w:color w:val="auto"/>
                <w:sz w:val="21"/>
                <w:szCs w:val="21"/>
              </w:rPr>
            </w:pPr>
            <w:r>
              <w:rPr>
                <w:rFonts w:hint="eastAsia" w:ascii="宋体" w:hAnsi="宋体" w:cs="宋体"/>
                <w:color w:val="auto"/>
                <w:sz w:val="21"/>
                <w:szCs w:val="21"/>
                <w:lang w:eastAsia="zh-CN" w:bidi="ar"/>
              </w:rPr>
              <w:t>3</w:t>
            </w:r>
          </w:p>
        </w:tc>
        <w:tc>
          <w:tcPr>
            <w:tcW w:w="1511" w:type="dxa"/>
            <w:vAlign w:val="center"/>
          </w:tcPr>
          <w:p w14:paraId="597A9134">
            <w:pPr>
              <w:autoSpaceDE w:val="0"/>
              <w:autoSpaceDN w:val="0"/>
              <w:spacing w:line="360" w:lineRule="auto"/>
              <w:jc w:val="center"/>
              <w:rPr>
                <w:rFonts w:ascii="宋体" w:hAnsi="宋体" w:cs="宋体"/>
                <w:color w:val="auto"/>
                <w:sz w:val="21"/>
                <w:szCs w:val="21"/>
                <w:lang w:eastAsia="zh-CN"/>
              </w:rPr>
            </w:pPr>
            <w:r>
              <w:rPr>
                <w:rFonts w:hint="eastAsia" w:ascii="宋体" w:hAnsi="宋体" w:cs="宋体"/>
                <w:color w:val="auto"/>
                <w:spacing w:val="-1"/>
                <w:sz w:val="21"/>
                <w:szCs w:val="21"/>
                <w:lang w:eastAsia="zh-CN"/>
              </w:rPr>
              <w:t>信息技术教室教师</w:t>
            </w:r>
            <w:r>
              <w:rPr>
                <w:rFonts w:hint="eastAsia" w:ascii="宋体" w:hAnsi="宋体" w:cs="宋体"/>
                <w:color w:val="auto"/>
                <w:spacing w:val="-11"/>
                <w:sz w:val="21"/>
                <w:szCs w:val="21"/>
                <w:lang w:eastAsia="zh-CN"/>
              </w:rPr>
              <w:t>电脑桌</w:t>
            </w:r>
          </w:p>
        </w:tc>
        <w:tc>
          <w:tcPr>
            <w:tcW w:w="12568" w:type="dxa"/>
          </w:tcPr>
          <w:p w14:paraId="269B2CF0">
            <w:pPr>
              <w:autoSpaceDE w:val="0"/>
              <w:autoSpaceDN w:val="0"/>
              <w:spacing w:line="360" w:lineRule="auto"/>
              <w:rPr>
                <w:rFonts w:ascii="宋体" w:hAnsi="宋体" w:cs="宋体"/>
                <w:color w:val="auto"/>
                <w:spacing w:val="-2"/>
                <w:sz w:val="21"/>
                <w:szCs w:val="21"/>
                <w:lang w:eastAsia="zh-CN"/>
              </w:rPr>
            </w:pPr>
            <w:r>
              <w:rPr>
                <w:rFonts w:hint="eastAsia" w:ascii="宋体" w:hAnsi="宋体" w:cs="宋体"/>
                <w:color w:val="auto"/>
                <w:spacing w:val="-2"/>
                <w:sz w:val="21"/>
                <w:szCs w:val="21"/>
                <w:lang w:eastAsia="zh-CN"/>
              </w:rPr>
              <w:t>定制规格尺寸：双人桌子（1张）：尺寸：1400mm×600mm×750mm，桌子能满足2套19.5-23寸台式电脑或一体机（含键盘鼠标）放置，桌子设计有电脑相关连线穿孔等。椅子（2把）：立柱采用≥1.0mm厚的方管、钢板金属件冲压成型符合GB/t3325标准。</w:t>
            </w:r>
          </w:p>
          <w:p w14:paraId="636135A6">
            <w:pPr>
              <w:autoSpaceDE w:val="0"/>
              <w:autoSpaceDN w:val="0"/>
              <w:spacing w:line="360" w:lineRule="auto"/>
              <w:rPr>
                <w:rFonts w:ascii="宋体" w:hAnsi="宋体" w:cs="宋体"/>
                <w:color w:val="auto"/>
                <w:spacing w:val="-2"/>
                <w:sz w:val="21"/>
                <w:szCs w:val="21"/>
                <w:lang w:eastAsia="zh-CN"/>
              </w:rPr>
            </w:pPr>
            <w:r>
              <w:rPr>
                <w:rFonts w:hint="eastAsia" w:ascii="宋体" w:hAnsi="宋体" w:cs="宋体"/>
                <w:color w:val="auto"/>
                <w:spacing w:val="-2"/>
                <w:sz w:val="21"/>
                <w:szCs w:val="21"/>
                <w:lang w:eastAsia="zh-CN"/>
              </w:rPr>
              <w:t>材料：整体钢木结构，桌子面板采用实木颗板材料，抗弯力强，不易变形，耐磨环保PVC封边，符合国家环保标准。</w:t>
            </w:r>
          </w:p>
          <w:p w14:paraId="14B0D3FB">
            <w:pPr>
              <w:autoSpaceDE w:val="0"/>
              <w:autoSpaceDN w:val="0"/>
              <w:spacing w:line="360" w:lineRule="auto"/>
              <w:rPr>
                <w:rFonts w:ascii="宋体" w:hAnsi="宋体" w:cs="宋体"/>
                <w:color w:val="auto"/>
                <w:spacing w:val="-2"/>
                <w:sz w:val="21"/>
                <w:szCs w:val="21"/>
                <w:lang w:eastAsia="zh-CN"/>
              </w:rPr>
            </w:pPr>
            <w:r>
              <w:rPr>
                <w:rFonts w:hint="eastAsia" w:ascii="宋体" w:hAnsi="宋体" w:cs="宋体"/>
                <w:color w:val="auto"/>
                <w:spacing w:val="-2"/>
                <w:sz w:val="21"/>
                <w:szCs w:val="21"/>
                <w:lang w:eastAsia="zh-CN"/>
              </w:rPr>
              <w:t>设计要求：桌子根据机房布线要求，配置相应的强弱电走线槽和对应开孔；桌面下单独设计有放置教师计算机主机的隔间或抬板，有相关穿线孔，且与教师桌一体化集成设计。</w:t>
            </w:r>
          </w:p>
          <w:p w14:paraId="233F1168">
            <w:pPr>
              <w:autoSpaceDE w:val="0"/>
              <w:autoSpaceDN w:val="0"/>
              <w:spacing w:line="360" w:lineRule="auto"/>
              <w:rPr>
                <w:rFonts w:ascii="宋体" w:hAnsi="宋体" w:cs="宋体"/>
                <w:color w:val="auto"/>
                <w:spacing w:val="-2"/>
                <w:sz w:val="21"/>
                <w:szCs w:val="21"/>
                <w:lang w:eastAsia="zh-CN"/>
              </w:rPr>
            </w:pPr>
            <w:r>
              <w:rPr>
                <w:rFonts w:hint="eastAsia" w:ascii="宋体" w:hAnsi="宋体" w:cs="宋体"/>
                <w:color w:val="auto"/>
                <w:spacing w:val="-2"/>
                <w:sz w:val="21"/>
                <w:szCs w:val="21"/>
                <w:lang w:eastAsia="zh-CN"/>
              </w:rPr>
              <w:t>功能：具备多媒体网络教室双人电脑桌的常用功能。</w:t>
            </w:r>
          </w:p>
          <w:p w14:paraId="7F7D5AF6">
            <w:pPr>
              <w:autoSpaceDE w:val="0"/>
              <w:autoSpaceDN w:val="0"/>
              <w:spacing w:line="360" w:lineRule="auto"/>
              <w:rPr>
                <w:rFonts w:ascii="宋体" w:hAnsi="宋体" w:cs="宋体"/>
                <w:color w:val="auto"/>
                <w:spacing w:val="-2"/>
                <w:sz w:val="21"/>
                <w:szCs w:val="21"/>
                <w:lang w:eastAsia="zh-CN"/>
              </w:rPr>
            </w:pPr>
            <w:r>
              <w:rPr>
                <w:rFonts w:hint="eastAsia" w:ascii="宋体" w:hAnsi="宋体" w:cs="宋体"/>
                <w:color w:val="auto"/>
                <w:spacing w:val="-2"/>
                <w:sz w:val="21"/>
                <w:szCs w:val="21"/>
                <w:lang w:eastAsia="zh-CN"/>
              </w:rPr>
              <w:t>安装及质保要求：桌子须根据机房布线要求，配置相应的强弱电走线槽对应开关，桌腿设计有线槽，所有进线不得外露，桌椅安装整体结实且与地面做无痕连接，不晃动，质保3年。</w:t>
            </w:r>
          </w:p>
        </w:tc>
      </w:tr>
      <w:tr w14:paraId="432D6D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4" w:hRule="atLeast"/>
          <w:jc w:val="center"/>
        </w:trPr>
        <w:tc>
          <w:tcPr>
            <w:tcW w:w="799" w:type="dxa"/>
            <w:shd w:val="clear" w:color="auto" w:fill="auto"/>
            <w:vAlign w:val="center"/>
          </w:tcPr>
          <w:p w14:paraId="6F5361F1">
            <w:pPr>
              <w:autoSpaceDE w:val="0"/>
              <w:autoSpaceDN w:val="0"/>
              <w:spacing w:line="360" w:lineRule="auto"/>
              <w:jc w:val="center"/>
              <w:textAlignment w:val="center"/>
              <w:rPr>
                <w:rFonts w:ascii="宋体" w:hAnsi="宋体" w:cs="宋体"/>
                <w:color w:val="auto"/>
                <w:sz w:val="21"/>
                <w:szCs w:val="21"/>
              </w:rPr>
            </w:pPr>
            <w:r>
              <w:rPr>
                <w:rFonts w:hint="eastAsia" w:ascii="宋体" w:hAnsi="宋体" w:cs="宋体"/>
                <w:color w:val="auto"/>
                <w:sz w:val="21"/>
                <w:szCs w:val="21"/>
                <w:lang w:eastAsia="zh-CN" w:bidi="ar"/>
              </w:rPr>
              <w:t>4</w:t>
            </w:r>
          </w:p>
        </w:tc>
        <w:tc>
          <w:tcPr>
            <w:tcW w:w="1511" w:type="dxa"/>
            <w:vAlign w:val="center"/>
          </w:tcPr>
          <w:p w14:paraId="200E3EF9">
            <w:pPr>
              <w:autoSpaceDE w:val="0"/>
              <w:autoSpaceDN w:val="0"/>
              <w:spacing w:line="360" w:lineRule="auto"/>
              <w:jc w:val="center"/>
              <w:rPr>
                <w:rFonts w:ascii="宋体" w:hAnsi="宋体" w:cs="宋体"/>
                <w:color w:val="auto"/>
                <w:sz w:val="21"/>
                <w:szCs w:val="21"/>
                <w:lang w:eastAsia="zh-CN"/>
              </w:rPr>
            </w:pPr>
            <w:r>
              <w:rPr>
                <w:rFonts w:hint="eastAsia" w:ascii="宋体" w:hAnsi="宋体" w:cs="宋体"/>
                <w:color w:val="auto"/>
                <w:spacing w:val="-1"/>
                <w:sz w:val="21"/>
                <w:szCs w:val="21"/>
                <w:lang w:eastAsia="zh-CN"/>
              </w:rPr>
              <w:t>信息技术教室学生</w:t>
            </w:r>
            <w:r>
              <w:rPr>
                <w:rFonts w:hint="eastAsia" w:ascii="宋体" w:hAnsi="宋体" w:cs="宋体"/>
                <w:color w:val="auto"/>
                <w:spacing w:val="-11"/>
                <w:sz w:val="21"/>
                <w:szCs w:val="21"/>
                <w:lang w:eastAsia="zh-CN"/>
              </w:rPr>
              <w:t>电脑桌</w:t>
            </w:r>
          </w:p>
        </w:tc>
        <w:tc>
          <w:tcPr>
            <w:tcW w:w="12568" w:type="dxa"/>
          </w:tcPr>
          <w:p w14:paraId="07BB507E">
            <w:pPr>
              <w:autoSpaceDE w:val="0"/>
              <w:autoSpaceDN w:val="0"/>
              <w:spacing w:line="360" w:lineRule="auto"/>
              <w:rPr>
                <w:rFonts w:ascii="宋体" w:hAnsi="宋体" w:cs="宋体"/>
                <w:color w:val="auto"/>
                <w:spacing w:val="-2"/>
                <w:sz w:val="21"/>
                <w:szCs w:val="21"/>
                <w:lang w:eastAsia="zh-CN"/>
              </w:rPr>
            </w:pPr>
            <w:r>
              <w:rPr>
                <w:rFonts w:hint="eastAsia" w:ascii="宋体" w:hAnsi="宋体" w:cs="宋体"/>
                <w:color w:val="auto"/>
                <w:spacing w:val="-2"/>
                <w:sz w:val="21"/>
                <w:szCs w:val="21"/>
                <w:lang w:eastAsia="zh-CN"/>
              </w:rPr>
              <w:t xml:space="preserve">电脑桌 1.尺寸：1400mm×600mm×750mm（双人），桌子满足2套19.5-23寸台式电脑或一体机（含键盘鼠标）放置，桌子设计有电脑相关连线穿孔等。2.立柱采用≥1.0mm厚的25mm×25mm方管、凳身采用国标钢优质精装冷轧方管,表面酸洗磷化,防腐,防锈,钝化处理后静电喷塑。焊接部分采用高标准熔接焊，表面平整光滑，符合国家环保标准。钢板金属件焊接成型符合GB/t3325标准。3.材料：桌子面板采用三聚氰胺板材材料，厚度≥25mm,其它板材≥16mm,抗弯力强，不易变形，耐磨环保PVC封边，符合国家环保标准。 </w:t>
            </w:r>
          </w:p>
          <w:p w14:paraId="170B685B">
            <w:pPr>
              <w:autoSpaceDE w:val="0"/>
              <w:autoSpaceDN w:val="0"/>
              <w:spacing w:line="360" w:lineRule="auto"/>
              <w:rPr>
                <w:rFonts w:ascii="宋体" w:hAnsi="宋体" w:cs="宋体"/>
                <w:color w:val="auto"/>
                <w:sz w:val="21"/>
                <w:szCs w:val="21"/>
                <w:lang w:eastAsia="zh-CN"/>
              </w:rPr>
            </w:pPr>
            <w:r>
              <w:rPr>
                <w:rFonts w:hint="eastAsia" w:ascii="宋体" w:hAnsi="宋体" w:cs="宋体"/>
                <w:color w:val="auto"/>
                <w:spacing w:val="-2"/>
                <w:sz w:val="21"/>
                <w:szCs w:val="21"/>
                <w:lang w:eastAsia="zh-CN"/>
              </w:rPr>
              <w:t>学生凳 四脚金属方凳，与电脑桌配套使用。</w:t>
            </w:r>
          </w:p>
        </w:tc>
      </w:tr>
      <w:tr w14:paraId="2CFE5E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7" w:hRule="atLeast"/>
          <w:jc w:val="center"/>
        </w:trPr>
        <w:tc>
          <w:tcPr>
            <w:tcW w:w="799" w:type="dxa"/>
            <w:shd w:val="clear" w:color="auto" w:fill="auto"/>
            <w:vAlign w:val="center"/>
          </w:tcPr>
          <w:p w14:paraId="2DDF4B4C">
            <w:pPr>
              <w:autoSpaceDE w:val="0"/>
              <w:autoSpaceDN w:val="0"/>
              <w:spacing w:line="360" w:lineRule="auto"/>
              <w:jc w:val="center"/>
              <w:textAlignment w:val="center"/>
              <w:rPr>
                <w:rFonts w:ascii="宋体" w:hAnsi="宋体" w:cs="宋体"/>
                <w:color w:val="auto"/>
                <w:sz w:val="21"/>
                <w:szCs w:val="21"/>
              </w:rPr>
            </w:pPr>
            <w:r>
              <w:rPr>
                <w:rFonts w:hint="eastAsia" w:ascii="宋体" w:hAnsi="宋体" w:cs="宋体"/>
                <w:color w:val="auto"/>
                <w:sz w:val="21"/>
                <w:szCs w:val="21"/>
                <w:lang w:eastAsia="zh-CN" w:bidi="ar"/>
              </w:rPr>
              <w:t>5</w:t>
            </w:r>
          </w:p>
        </w:tc>
        <w:tc>
          <w:tcPr>
            <w:tcW w:w="1511" w:type="dxa"/>
            <w:tcBorders>
              <w:top w:val="nil"/>
            </w:tcBorders>
            <w:vAlign w:val="center"/>
          </w:tcPr>
          <w:p w14:paraId="630E8B43">
            <w:pPr>
              <w:autoSpaceDE w:val="0"/>
              <w:autoSpaceDN w:val="0"/>
              <w:spacing w:line="360" w:lineRule="auto"/>
              <w:jc w:val="center"/>
              <w:rPr>
                <w:rFonts w:ascii="宋体" w:hAnsi="宋体" w:cs="宋体"/>
                <w:color w:val="auto"/>
                <w:sz w:val="21"/>
                <w:szCs w:val="21"/>
                <w:lang w:eastAsia="zh-CN"/>
              </w:rPr>
            </w:pPr>
            <w:r>
              <w:rPr>
                <w:rFonts w:hint="eastAsia" w:ascii="宋体" w:hAnsi="宋体" w:cs="宋体"/>
                <w:color w:val="auto"/>
                <w:spacing w:val="-1"/>
                <w:sz w:val="21"/>
                <w:szCs w:val="21"/>
                <w:lang w:eastAsia="zh-CN"/>
              </w:rPr>
              <w:t>科学实验室（教师操作台）及凳子</w:t>
            </w:r>
          </w:p>
        </w:tc>
        <w:tc>
          <w:tcPr>
            <w:tcW w:w="12568" w:type="dxa"/>
          </w:tcPr>
          <w:p w14:paraId="10A42BE7">
            <w:pPr>
              <w:autoSpaceDE w:val="0"/>
              <w:autoSpaceDN w:val="0"/>
              <w:spacing w:line="360" w:lineRule="auto"/>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教师操作台</w:t>
            </w:r>
          </w:p>
          <w:p w14:paraId="3800CF73">
            <w:pPr>
              <w:autoSpaceDE w:val="0"/>
              <w:autoSpaceDN w:val="0"/>
              <w:spacing w:line="360" w:lineRule="auto"/>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尺寸：2400mm</w:t>
            </w:r>
            <w:r>
              <w:rPr>
                <w:rFonts w:hint="eastAsia" w:ascii="宋体" w:hAnsi="宋体" w:cs="宋体"/>
                <w:color w:val="auto"/>
                <w:kern w:val="2"/>
                <w:sz w:val="21"/>
                <w:szCs w:val="21"/>
                <w:lang w:eastAsia="zh-CN" w:bidi="ar"/>
              </w:rPr>
              <w:t>×</w:t>
            </w:r>
            <w:r>
              <w:rPr>
                <w:rFonts w:hint="eastAsia" w:ascii="宋体" w:hAnsi="宋体" w:cs="宋体"/>
                <w:color w:val="auto"/>
                <w:spacing w:val="-1"/>
                <w:sz w:val="21"/>
                <w:szCs w:val="21"/>
                <w:lang w:eastAsia="zh-CN"/>
              </w:rPr>
              <w:t>700mm</w:t>
            </w:r>
            <w:r>
              <w:rPr>
                <w:rFonts w:hint="eastAsia" w:ascii="宋体" w:hAnsi="宋体" w:cs="宋体"/>
                <w:color w:val="auto"/>
                <w:kern w:val="2"/>
                <w:sz w:val="21"/>
                <w:szCs w:val="21"/>
                <w:lang w:eastAsia="zh-CN" w:bidi="ar"/>
              </w:rPr>
              <w:t>×</w:t>
            </w:r>
            <w:r>
              <w:rPr>
                <w:rFonts w:hint="eastAsia" w:ascii="宋体" w:hAnsi="宋体" w:cs="宋体"/>
                <w:color w:val="auto"/>
                <w:spacing w:val="-1"/>
                <w:sz w:val="21"/>
                <w:szCs w:val="21"/>
                <w:lang w:eastAsia="zh-CN"/>
              </w:rPr>
              <w:t>850㎜ ,全钢结构.</w:t>
            </w:r>
          </w:p>
          <w:p w14:paraId="29429036">
            <w:pPr>
              <w:autoSpaceDE w:val="0"/>
              <w:autoSpaceDN w:val="0"/>
              <w:spacing w:line="360" w:lineRule="auto"/>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1、台面材料：采用12.7mm厚实芯理化板。</w:t>
            </w:r>
          </w:p>
          <w:p w14:paraId="7FD0F6FA">
            <w:pPr>
              <w:autoSpaceDE w:val="0"/>
              <w:autoSpaceDN w:val="0"/>
              <w:spacing w:line="360" w:lineRule="auto"/>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2、柜身：按照多媒体讲台,设计了电脑主机、显示器等设备的摆放空间，同时设计了电源盒、网络接口、电脑专用插座.中间部分是讲课演示部分，并设抽屉式结构，抽屉装有教师演示安全电源及控制装置。台身主体背板、吊板及所有板材均采用高品质1.0mm +/- 0.07mm的镀锌钢板，拉力強度&gt;270N/mm2,表面均经静电及磷化处理，环氧树脂喷涂厚度≥75um。门铰：采用广东“DTC”175度阻尼铰链。自闭式，与柜体面水平角度&lt;15度时，柜门即可自行关闭，弹性好，外形美观，使用过程中无噪音，可开关十万次，达到五金行业标准，使用寿命长。</w:t>
            </w:r>
          </w:p>
          <w:p w14:paraId="3F3532B1">
            <w:pPr>
              <w:autoSpaceDE w:val="0"/>
              <w:autoSpaceDN w:val="0"/>
              <w:spacing w:line="360" w:lineRule="auto"/>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滑轨：三节滑轨。达到五金行业标准，使用寿命长。</w:t>
            </w:r>
          </w:p>
          <w:p w14:paraId="49DBDFD7">
            <w:pPr>
              <w:autoSpaceDE w:val="0"/>
              <w:autoSpaceDN w:val="0"/>
              <w:spacing w:line="360" w:lineRule="auto"/>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手抽：C字型不锈钢，表面有光滑防腐涂层。外形美观、经久耐用。组装接缝严密，连接牢固，无松动现象。</w:t>
            </w:r>
          </w:p>
          <w:p w14:paraId="42B0FACC">
            <w:pPr>
              <w:autoSpaceDE w:val="0"/>
              <w:autoSpaceDN w:val="0"/>
              <w:spacing w:line="360" w:lineRule="auto"/>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3、门板及抽面：采用双层钢板，必须两层组装是设计，内置防撞胶垫，装于抽屉及门板内侧，减缓碰撞，保护柜体，保证关门减少噪音；</w:t>
            </w:r>
          </w:p>
          <w:p w14:paraId="7B6E23B4">
            <w:pPr>
              <w:autoSpaceDE w:val="0"/>
              <w:autoSpaceDN w:val="0"/>
              <w:spacing w:line="360" w:lineRule="auto"/>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4、固定脚：采用ABS工程塑料模具成型制作而成，具有高度可调、耐磨、防潮、耐腐蚀等特点。</w:t>
            </w:r>
          </w:p>
          <w:p w14:paraId="0702439F">
            <w:pPr>
              <w:autoSpaceDE w:val="0"/>
              <w:autoSpaceDN w:val="0"/>
              <w:spacing w:line="360" w:lineRule="auto"/>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5、组合结构：水槽组合单元*1组，大型置物单元*2组，组合单元均采用整体焊接工艺，以增加其整体置物的最大强度，大型置物单元，其内部置物纵深≥60cm。</w:t>
            </w:r>
          </w:p>
          <w:p w14:paraId="4ECAEBFE">
            <w:pPr>
              <w:autoSpaceDE w:val="0"/>
              <w:autoSpaceDN w:val="0"/>
              <w:spacing w:line="360" w:lineRule="auto"/>
              <w:rPr>
                <w:rFonts w:ascii="宋体" w:hAnsi="宋体" w:cs="宋体"/>
                <w:b/>
                <w:bCs/>
                <w:color w:val="auto"/>
                <w:spacing w:val="-1"/>
                <w:sz w:val="21"/>
                <w:szCs w:val="21"/>
                <w:lang w:eastAsia="zh-CN"/>
              </w:rPr>
            </w:pPr>
            <w:r>
              <w:rPr>
                <w:rFonts w:hint="eastAsia" w:ascii="宋体" w:hAnsi="宋体" w:cs="宋体"/>
                <w:b/>
                <w:bCs/>
                <w:color w:val="auto"/>
                <w:spacing w:val="-1"/>
                <w:sz w:val="21"/>
                <w:szCs w:val="21"/>
                <w:lang w:eastAsia="zh-CN"/>
              </w:rPr>
              <w:t>讲台水槽</w:t>
            </w:r>
          </w:p>
          <w:p w14:paraId="2FA157B7">
            <w:pPr>
              <w:autoSpaceDE w:val="0"/>
              <w:autoSpaceDN w:val="0"/>
              <w:spacing w:line="360" w:lineRule="auto"/>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440mm×330mm×190mm 度高密度PP一体成型的水槽，水封式水塞，有效防止下水管废气溢出，排水口有过滤装置，有耐酸碱耐热耐有机溶液的特性。</w:t>
            </w:r>
          </w:p>
          <w:p w14:paraId="4894FDBC">
            <w:pPr>
              <w:autoSpaceDE w:val="0"/>
              <w:autoSpaceDN w:val="0"/>
              <w:spacing w:line="360" w:lineRule="auto"/>
              <w:rPr>
                <w:rFonts w:ascii="宋体" w:hAnsi="宋体" w:cs="宋体"/>
                <w:b/>
                <w:bCs/>
                <w:color w:val="auto"/>
                <w:spacing w:val="-1"/>
                <w:sz w:val="21"/>
                <w:szCs w:val="21"/>
                <w:lang w:eastAsia="zh-CN"/>
              </w:rPr>
            </w:pPr>
            <w:r>
              <w:rPr>
                <w:rFonts w:hint="eastAsia" w:ascii="宋体" w:hAnsi="宋体" w:cs="宋体"/>
                <w:b/>
                <w:bCs/>
                <w:color w:val="auto"/>
                <w:spacing w:val="-1"/>
                <w:sz w:val="21"/>
                <w:szCs w:val="21"/>
                <w:lang w:eastAsia="zh-CN"/>
              </w:rPr>
              <w:t>教师转椅</w:t>
            </w:r>
          </w:p>
          <w:p w14:paraId="1020F1C4">
            <w:pPr>
              <w:autoSpaceDE w:val="0"/>
              <w:autoSpaceDN w:val="0"/>
              <w:spacing w:line="360" w:lineRule="auto"/>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靠背及下座采用高密度网布格，阻燃、舒适、回弹性好。面料为优质网布格.依照人体工程学设计，线条流畅，美观大方，骨架钢管电镀，气动升降。</w:t>
            </w:r>
          </w:p>
        </w:tc>
      </w:tr>
      <w:tr w14:paraId="155A26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53" w:hRule="atLeast"/>
          <w:jc w:val="center"/>
        </w:trPr>
        <w:tc>
          <w:tcPr>
            <w:tcW w:w="799" w:type="dxa"/>
            <w:shd w:val="clear" w:color="auto" w:fill="auto"/>
            <w:vAlign w:val="center"/>
          </w:tcPr>
          <w:p w14:paraId="5837096E">
            <w:pPr>
              <w:autoSpaceDE w:val="0"/>
              <w:autoSpaceDN w:val="0"/>
              <w:spacing w:line="360" w:lineRule="auto"/>
              <w:jc w:val="center"/>
              <w:textAlignment w:val="center"/>
              <w:rPr>
                <w:rFonts w:ascii="宋体" w:hAnsi="宋体" w:cs="宋体"/>
                <w:color w:val="auto"/>
                <w:sz w:val="21"/>
                <w:szCs w:val="21"/>
              </w:rPr>
            </w:pPr>
            <w:r>
              <w:rPr>
                <w:rFonts w:hint="eastAsia" w:ascii="宋体" w:hAnsi="宋体" w:cs="宋体"/>
                <w:color w:val="auto"/>
                <w:sz w:val="21"/>
                <w:szCs w:val="21"/>
                <w:lang w:eastAsia="zh-CN" w:bidi="ar"/>
              </w:rPr>
              <w:t>6</w:t>
            </w:r>
          </w:p>
        </w:tc>
        <w:tc>
          <w:tcPr>
            <w:tcW w:w="1511" w:type="dxa"/>
            <w:vAlign w:val="center"/>
          </w:tcPr>
          <w:p w14:paraId="0600AC53">
            <w:pPr>
              <w:autoSpaceDE w:val="0"/>
              <w:autoSpaceDN w:val="0"/>
              <w:spacing w:line="360" w:lineRule="auto"/>
              <w:jc w:val="center"/>
              <w:rPr>
                <w:rFonts w:ascii="宋体" w:hAnsi="宋体" w:cs="宋体"/>
                <w:color w:val="auto"/>
                <w:sz w:val="21"/>
                <w:szCs w:val="21"/>
                <w:lang w:eastAsia="zh-CN"/>
              </w:rPr>
            </w:pPr>
            <w:r>
              <w:rPr>
                <w:rFonts w:hint="eastAsia" w:ascii="宋体" w:hAnsi="宋体" w:cs="宋体"/>
                <w:color w:val="auto"/>
                <w:spacing w:val="-1"/>
                <w:sz w:val="21"/>
                <w:szCs w:val="21"/>
                <w:lang w:eastAsia="zh-CN"/>
              </w:rPr>
              <w:t>实验室（学生实验</w:t>
            </w:r>
            <w:r>
              <w:rPr>
                <w:rFonts w:hint="eastAsia" w:ascii="宋体" w:hAnsi="宋体" w:cs="宋体"/>
                <w:color w:val="auto"/>
                <w:spacing w:val="-2"/>
                <w:sz w:val="21"/>
                <w:szCs w:val="21"/>
                <w:lang w:eastAsia="zh-CN"/>
              </w:rPr>
              <w:t>桌）及凳子</w:t>
            </w:r>
          </w:p>
        </w:tc>
        <w:tc>
          <w:tcPr>
            <w:tcW w:w="12568" w:type="dxa"/>
          </w:tcPr>
          <w:p w14:paraId="25EBF9CC">
            <w:pPr>
              <w:autoSpaceDE w:val="0"/>
              <w:autoSpaceDN w:val="0"/>
              <w:spacing w:line="360" w:lineRule="auto"/>
              <w:textAlignment w:val="center"/>
              <w:rPr>
                <w:rFonts w:ascii="宋体" w:hAnsi="宋体" w:cs="宋体"/>
                <w:b/>
                <w:bCs/>
                <w:color w:val="auto"/>
                <w:sz w:val="21"/>
                <w:szCs w:val="21"/>
                <w:lang w:eastAsia="zh-CN"/>
              </w:rPr>
            </w:pPr>
            <w:r>
              <w:rPr>
                <w:rFonts w:hint="eastAsia" w:ascii="宋体" w:hAnsi="宋体" w:cs="宋体"/>
                <w:b/>
                <w:bCs/>
                <w:color w:val="auto"/>
                <w:sz w:val="21"/>
                <w:szCs w:val="21"/>
                <w:lang w:eastAsia="zh-CN" w:bidi="ar"/>
              </w:rPr>
              <w:t>学生实验桌</w:t>
            </w:r>
          </w:p>
          <w:p w14:paraId="3F4DCDF0">
            <w:pPr>
              <w:autoSpaceDE w:val="0"/>
              <w:autoSpaceDN w:val="0"/>
              <w:spacing w:line="360" w:lineRule="auto"/>
              <w:textAlignment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1.规格：1200mm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bidi="ar"/>
              </w:rPr>
              <w:t>600mm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bidi="ar"/>
              </w:rPr>
              <w:t>780mm。</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2.结构：新型塑铝结构，学生位镂空式，符合人体工程学设计，美观大方。主框架字型结构无木板；</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3.台面材料：采用12.7mm厚实芯理化板</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4.桌身：由桌腿、立柱、前横梁、中横梁、后横梁组成。</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5.桌腿：采用工字型压铸铝一次成型，材料表面经高压静电喷涂环氧树脂防护层，耐酸碱，耐腐蚀处理。上腿规格：长545mm宽50mm高100mm，壁厚3.5mm；下腿规格：长500mm宽50mm高100mm，壁厚3.5mm，下脚配有专门的可更换型护脚盖；</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6.立柱：采用50×120mm，壁厚1.5mm；前横梁采用28mm×28mm，壁厚1.0mm；中横梁采用28mm×28mm，壁厚1.0mm；后横梁：采用28mm×28mm，壁厚1.0mm。大横梁：目型加强横梁14mm×69mm，壁厚1.0mm，卡件与立柱使用工业级卡件连接，不少于4个连接件（不采用普通螺丝锁件)使整体强度更加牢靠。材料均采用优质铝镁合金材料，材料表面经高压静电喷涂环氧树脂防护层，耐酸碱，耐腐蚀处理。</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7.专用电源盒：规格：190mm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bidi="ar"/>
              </w:rPr>
              <w:t>255mm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bidi="ar"/>
              </w:rPr>
              <w:t>150mm，采用工程塑料模具成型，翻转式开启，操作简单；</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 xml:space="preserve">8.挡水线：铝合金一体挡水线，两侧配有塑料保护套。 </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 xml:space="preserve">9.螺丝帽：上脚俩侧分别配有专门螺丝帽，遮盖螺丝孔，配色与整体相协调， </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10.书包斗：规格：440mm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bidi="ar"/>
              </w:rPr>
              <w:t>260mm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bidi="ar"/>
              </w:rPr>
              <w:t>160mm，采用PP材料，大型模具一次性注塑成型,上面设计有可悬挂凳子的圆形孔，镂空海鸥独特造型。</w:t>
            </w:r>
          </w:p>
          <w:p w14:paraId="17B68EFA">
            <w:pPr>
              <w:autoSpaceDE w:val="0"/>
              <w:autoSpaceDN w:val="0"/>
              <w:spacing w:line="360" w:lineRule="auto"/>
              <w:textAlignment w:val="center"/>
              <w:rPr>
                <w:rFonts w:ascii="宋体" w:hAnsi="宋体" w:cs="宋体"/>
                <w:b/>
                <w:bCs/>
                <w:color w:val="auto"/>
                <w:sz w:val="21"/>
                <w:szCs w:val="21"/>
                <w:lang w:eastAsia="zh-CN"/>
              </w:rPr>
            </w:pPr>
            <w:r>
              <w:rPr>
                <w:rFonts w:hint="eastAsia" w:ascii="宋体" w:hAnsi="宋体" w:cs="宋体"/>
                <w:b/>
                <w:bCs/>
                <w:color w:val="auto"/>
                <w:sz w:val="21"/>
                <w:szCs w:val="21"/>
                <w:lang w:eastAsia="zh-CN" w:bidi="ar"/>
              </w:rPr>
              <w:t>多功能柱</w:t>
            </w:r>
          </w:p>
          <w:p w14:paraId="0C0B40C3">
            <w:pPr>
              <w:autoSpaceDE w:val="0"/>
              <w:autoSpaceDN w:val="0"/>
              <w:spacing w:line="360" w:lineRule="auto"/>
              <w:textAlignment w:val="center"/>
              <w:rPr>
                <w:rFonts w:ascii="宋体" w:hAnsi="宋体" w:cs="宋体"/>
                <w:color w:val="auto"/>
                <w:sz w:val="21"/>
                <w:szCs w:val="21"/>
                <w:lang w:eastAsia="zh-CN"/>
              </w:rPr>
            </w:pPr>
            <w:r>
              <w:rPr>
                <w:rFonts w:hint="eastAsia" w:ascii="宋体" w:hAnsi="宋体" w:cs="宋体"/>
                <w:color w:val="auto"/>
                <w:sz w:val="21"/>
                <w:szCs w:val="21"/>
                <w:lang w:eastAsia="zh-CN" w:bidi="ar"/>
              </w:rPr>
              <w:t>功能柱规格：长320mm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bidi="ar"/>
              </w:rPr>
              <w:t>宽200mm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bidi="ar"/>
              </w:rPr>
              <w:t>高760mm，采用ABS塑料一次注塑成型，以齿合槽配以螺丝连接.功能柱正面设有ABS注塑成型的的检修门，并配有专用锁具,方便安装和日后维修。</w:t>
            </w:r>
          </w:p>
          <w:p w14:paraId="38844DB9">
            <w:pPr>
              <w:autoSpaceDE w:val="0"/>
              <w:autoSpaceDN w:val="0"/>
              <w:spacing w:line="360" w:lineRule="auto"/>
              <w:textAlignment w:val="center"/>
              <w:rPr>
                <w:rFonts w:ascii="宋体" w:hAnsi="宋体" w:cs="宋体"/>
                <w:b/>
                <w:bCs/>
                <w:color w:val="auto"/>
                <w:sz w:val="21"/>
                <w:szCs w:val="21"/>
                <w:lang w:eastAsia="zh-CN"/>
              </w:rPr>
            </w:pPr>
            <w:r>
              <w:rPr>
                <w:rFonts w:hint="eastAsia" w:ascii="宋体" w:hAnsi="宋体" w:cs="宋体"/>
                <w:b/>
                <w:bCs/>
                <w:color w:val="auto"/>
                <w:sz w:val="21"/>
                <w:szCs w:val="21"/>
                <w:lang w:eastAsia="zh-CN" w:bidi="ar"/>
              </w:rPr>
              <w:t>学生桌水槽柜</w:t>
            </w:r>
          </w:p>
          <w:p w14:paraId="1F61C18C">
            <w:pPr>
              <w:autoSpaceDE w:val="0"/>
              <w:autoSpaceDN w:val="0"/>
              <w:spacing w:line="360" w:lineRule="auto"/>
              <w:textAlignment w:val="center"/>
              <w:rPr>
                <w:rFonts w:ascii="宋体" w:hAnsi="宋体" w:cs="宋体"/>
                <w:color w:val="auto"/>
                <w:sz w:val="21"/>
                <w:szCs w:val="21"/>
                <w:lang w:eastAsia="zh-CN"/>
              </w:rPr>
            </w:pPr>
            <w:r>
              <w:rPr>
                <w:rFonts w:hint="eastAsia" w:ascii="宋体" w:hAnsi="宋体" w:cs="宋体"/>
                <w:color w:val="auto"/>
                <w:sz w:val="21"/>
                <w:szCs w:val="21"/>
                <w:lang w:eastAsia="zh-CN" w:bidi="ar"/>
              </w:rPr>
              <w:t>水槽台整体规格：长500mm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bidi="ar"/>
              </w:rPr>
              <w:t>宽600mm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bidi="ar"/>
              </w:rPr>
              <w:t>高845mm，分柜体和水槽两部分组成。柜体部分采用PP改性材料，塑料注塑模一次性成型，卯榫结构连接，螺丝加固确保柜体结构稳固；柜体前后各有一个带锁的检修门，方便日后维修。</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水槽部分，采用PP材料一次注塑成型，前沿有挡水并带有防溢水孔，水槽预留安装水嘴和洗眼器孔，水封式水塞可防止废水回流和堵塞。</w:t>
            </w:r>
          </w:p>
          <w:p w14:paraId="309FC64B">
            <w:pPr>
              <w:autoSpaceDE w:val="0"/>
              <w:autoSpaceDN w:val="0"/>
              <w:spacing w:line="360" w:lineRule="auto"/>
              <w:textAlignment w:val="center"/>
              <w:rPr>
                <w:rFonts w:ascii="宋体" w:hAnsi="宋体" w:cs="宋体"/>
                <w:b/>
                <w:bCs/>
                <w:color w:val="auto"/>
                <w:sz w:val="21"/>
                <w:szCs w:val="21"/>
                <w:lang w:eastAsia="zh-CN"/>
              </w:rPr>
            </w:pPr>
            <w:r>
              <w:rPr>
                <w:rFonts w:hint="eastAsia" w:ascii="宋体" w:hAnsi="宋体" w:cs="宋体"/>
                <w:b/>
                <w:bCs/>
                <w:color w:val="auto"/>
                <w:sz w:val="21"/>
                <w:szCs w:val="21"/>
                <w:lang w:eastAsia="zh-CN" w:bidi="ar"/>
              </w:rPr>
              <w:t>学生安全电源</w:t>
            </w:r>
          </w:p>
          <w:p w14:paraId="2A5CDE6D">
            <w:pPr>
              <w:autoSpaceDE w:val="0"/>
              <w:autoSpaceDN w:val="0"/>
              <w:spacing w:line="360" w:lineRule="auto"/>
              <w:textAlignment w:val="center"/>
              <w:rPr>
                <w:rFonts w:ascii="宋体" w:hAnsi="宋体" w:cs="宋体"/>
                <w:color w:val="auto"/>
                <w:sz w:val="21"/>
                <w:szCs w:val="21"/>
                <w:lang w:eastAsia="zh-CN"/>
              </w:rPr>
            </w:pPr>
            <w:r>
              <w:rPr>
                <w:rFonts w:hint="eastAsia" w:ascii="宋体" w:hAnsi="宋体" w:cs="宋体"/>
                <w:color w:val="auto"/>
                <w:sz w:val="21"/>
                <w:szCs w:val="21"/>
                <w:lang w:eastAsia="zh-CN" w:bidi="ar"/>
              </w:rPr>
              <w:t>1、ABS翻转式电源盒，放置在书包盒中间，实验和安装都非常方便。</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2、学生交流2V到24V输出，电流2A，自动过载保护，自动恢复。电压2V每档，由教师集中控制。</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3、学生直流2V到24V输出，电流2A，自动过载保护，自动恢复。由教师集中控制</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4、配置1组220V国标5孔插座，保险丝保护，工作指示。系统具有漏电保护功能。</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具有过载保护装置。</w:t>
            </w:r>
          </w:p>
          <w:p w14:paraId="7EA6BF0A">
            <w:pPr>
              <w:autoSpaceDE w:val="0"/>
              <w:autoSpaceDN w:val="0"/>
              <w:spacing w:line="360" w:lineRule="auto"/>
              <w:textAlignment w:val="center"/>
              <w:rPr>
                <w:rFonts w:ascii="宋体" w:hAnsi="宋体" w:cs="宋体"/>
                <w:b/>
                <w:bCs/>
                <w:color w:val="auto"/>
                <w:sz w:val="21"/>
                <w:szCs w:val="21"/>
                <w:lang w:eastAsia="zh-CN"/>
              </w:rPr>
            </w:pPr>
            <w:r>
              <w:rPr>
                <w:rFonts w:hint="eastAsia" w:ascii="宋体" w:hAnsi="宋体" w:cs="宋体"/>
                <w:b/>
                <w:bCs/>
                <w:color w:val="auto"/>
                <w:sz w:val="21"/>
                <w:szCs w:val="21"/>
                <w:lang w:eastAsia="zh-CN" w:bidi="ar"/>
              </w:rPr>
              <w:t>教师总控台电源装置</w:t>
            </w:r>
          </w:p>
          <w:p w14:paraId="5119440C">
            <w:pPr>
              <w:autoSpaceDE w:val="0"/>
              <w:autoSpaceDN w:val="0"/>
              <w:spacing w:line="360" w:lineRule="auto"/>
              <w:textAlignment w:val="center"/>
              <w:rPr>
                <w:rFonts w:ascii="宋体" w:hAnsi="宋体" w:cs="宋体"/>
                <w:color w:val="auto"/>
                <w:sz w:val="21"/>
                <w:szCs w:val="21"/>
                <w:lang w:eastAsia="zh-CN"/>
              </w:rPr>
            </w:pPr>
            <w:r>
              <w:rPr>
                <w:rFonts w:hint="eastAsia" w:ascii="宋体" w:hAnsi="宋体" w:cs="宋体"/>
                <w:color w:val="auto"/>
                <w:sz w:val="21"/>
                <w:szCs w:val="21"/>
                <w:lang w:eastAsia="zh-CN" w:bidi="ar"/>
              </w:rPr>
              <w:t>l、漏电保护开关、工作指示灯选用国产优质产品、220V交流输出插座(六孔插座)取用国产优质产品；</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2、低压交流电源：2-24V可调(每档2V)，额定电流3A(短路、过载自动保护、自动复位)；</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3、直流稳压电源：1.5-18V连续可调，额定电流6A，18v—24v额定电流3A，(短路、过载自动保护、自动复位)；85系指针表显示。.</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4、直流大电流输出：9V／40A；8秒自动断开。.</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5、教师插座电源：220V交流，负载电流10A。五孔(或三孔两用)交流电源插座1个。设置在演示台的中间抽屉内。</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A:由教师控制学生实验台交流220V电源，每组由空气开关控制，共分四组，并配有漏电保护开关；</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B:由教师统一控制学生实验台低压电源，交流每档2V,共12档。直流可以在控制范围内微调。</w:t>
            </w:r>
          </w:p>
          <w:p w14:paraId="0C356F6F">
            <w:pPr>
              <w:autoSpaceDE w:val="0"/>
              <w:autoSpaceDN w:val="0"/>
              <w:spacing w:line="360" w:lineRule="auto"/>
              <w:textAlignment w:val="center"/>
              <w:rPr>
                <w:rFonts w:ascii="宋体" w:hAnsi="宋体" w:cs="宋体"/>
                <w:b/>
                <w:bCs/>
                <w:color w:val="auto"/>
                <w:sz w:val="21"/>
                <w:szCs w:val="21"/>
                <w:lang w:eastAsia="zh-CN"/>
              </w:rPr>
            </w:pPr>
            <w:r>
              <w:rPr>
                <w:rFonts w:hint="eastAsia" w:ascii="宋体" w:hAnsi="宋体" w:cs="宋体"/>
                <w:b/>
                <w:bCs/>
                <w:color w:val="auto"/>
                <w:sz w:val="21"/>
                <w:szCs w:val="21"/>
                <w:lang w:eastAsia="zh-CN" w:bidi="ar"/>
              </w:rPr>
              <w:t>学生凳</w:t>
            </w:r>
          </w:p>
          <w:p w14:paraId="7E74D04D">
            <w:pPr>
              <w:autoSpaceDE w:val="0"/>
              <w:autoSpaceDN w:val="0"/>
              <w:spacing w:line="360" w:lineRule="auto"/>
              <w:textAlignment w:val="center"/>
              <w:rPr>
                <w:rFonts w:ascii="宋体" w:hAnsi="宋体" w:cs="宋体"/>
                <w:color w:val="auto"/>
                <w:sz w:val="21"/>
                <w:szCs w:val="21"/>
                <w:lang w:eastAsia="zh-CN"/>
              </w:rPr>
            </w:pPr>
            <w:r>
              <w:rPr>
                <w:rFonts w:hint="eastAsia" w:ascii="宋体" w:hAnsi="宋体" w:cs="宋体"/>
                <w:color w:val="auto"/>
                <w:sz w:val="21"/>
                <w:szCs w:val="21"/>
                <w:lang w:eastAsia="zh-CN" w:bidi="ar"/>
              </w:rPr>
              <w:t>凳面尺寸：直径300mm×30mm 采用环保型ABS改性塑料一次性注塑成型 ，表面防滑不发光。凳架采用20mm×40mm×1.2mm椭圆形无缝钢管成型制作，全圆满焊接完成，结构牢固，经高温粉体烤漆处理，长时间使用也不会产生表面烤漆剥落现象，螺旋升降，托盘采用160mm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bidi="ar"/>
              </w:rPr>
              <w:t>160mm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bidi="ar"/>
              </w:rPr>
              <w:t>1.5mm钢板冲压而成，托盘与螺杆之间设有一个锥形盘加固，使凳子更加稳固。脚垫：采用PP加耐磨纤维质塑料，实心倒勾式一体射出成型。凳面可通过旋转螺杆来升降凳子高度,可调高度5cm.</w:t>
            </w:r>
          </w:p>
          <w:p w14:paraId="6436719F">
            <w:pPr>
              <w:autoSpaceDE w:val="0"/>
              <w:autoSpaceDN w:val="0"/>
              <w:spacing w:line="360" w:lineRule="auto"/>
              <w:textAlignment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三联水嘴</w:t>
            </w:r>
          </w:p>
          <w:p w14:paraId="0ED8CCEE">
            <w:pPr>
              <w:autoSpaceDE w:val="0"/>
              <w:autoSpaceDN w:val="0"/>
              <w:spacing w:line="360" w:lineRule="auto"/>
              <w:textAlignment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鹅颈式实验室专用优质化验水嘴：要求防酸碱、防锈、防虹吸、防阻塞，表面环氧树脂喷涂。出水嘴为铜质瓷芯，高头，便于多用途使用，可拆卸清洗阻塞。出水嘴可拆卸，内有成型螺纹，可方便连接循环等特殊用水水管。</w:t>
            </w:r>
          </w:p>
          <w:p w14:paraId="22F66B9F">
            <w:pPr>
              <w:autoSpaceDE w:val="0"/>
              <w:autoSpaceDN w:val="0"/>
              <w:spacing w:line="360" w:lineRule="auto"/>
              <w:textAlignment w:val="center"/>
              <w:rPr>
                <w:rFonts w:ascii="宋体" w:hAnsi="宋体" w:cs="宋体"/>
                <w:b/>
                <w:bCs/>
                <w:color w:val="auto"/>
                <w:sz w:val="21"/>
                <w:szCs w:val="21"/>
                <w:lang w:eastAsia="zh-CN"/>
              </w:rPr>
            </w:pPr>
            <w:r>
              <w:rPr>
                <w:rFonts w:hint="eastAsia" w:ascii="宋体" w:hAnsi="宋体" w:cs="宋体"/>
                <w:b/>
                <w:bCs/>
                <w:color w:val="auto"/>
                <w:sz w:val="21"/>
                <w:szCs w:val="21"/>
                <w:lang w:eastAsia="zh-CN" w:bidi="ar"/>
              </w:rPr>
              <w:t>洗眼器</w:t>
            </w:r>
          </w:p>
          <w:p w14:paraId="3743B9FD">
            <w:pPr>
              <w:autoSpaceDE w:val="0"/>
              <w:autoSpaceDN w:val="0"/>
              <w:spacing w:line="360" w:lineRule="auto"/>
              <w:textAlignment w:val="center"/>
              <w:rPr>
                <w:rFonts w:ascii="宋体" w:hAnsi="宋体" w:cs="宋体"/>
                <w:color w:val="auto"/>
                <w:sz w:val="21"/>
                <w:szCs w:val="21"/>
                <w:lang w:eastAsia="zh-CN"/>
              </w:rPr>
            </w:pPr>
            <w:r>
              <w:rPr>
                <w:rFonts w:hint="eastAsia" w:ascii="宋体" w:hAnsi="宋体" w:cs="宋体"/>
                <w:color w:val="auto"/>
                <w:sz w:val="21"/>
                <w:szCs w:val="21"/>
                <w:lang w:eastAsia="zh-CN" w:bidi="ar"/>
              </w:rPr>
              <w:t>洗眼喷头：采用不助燃PC材质模铸一体成形制作，具有过滤泡棉及防尘功能，上面防尘盖平常可防尘，使用时可随时被水冲开，并降低突然打开时短暂的高水压，避免冲伤眼睛。</w:t>
            </w:r>
          </w:p>
          <w:p w14:paraId="3EB979FE">
            <w:pPr>
              <w:autoSpaceDE w:val="0"/>
              <w:autoSpaceDN w:val="0"/>
              <w:spacing w:line="360" w:lineRule="auto"/>
              <w:textAlignment w:val="center"/>
              <w:rPr>
                <w:rFonts w:ascii="宋体" w:hAnsi="宋体" w:cs="宋体"/>
                <w:b/>
                <w:bCs/>
                <w:color w:val="auto"/>
                <w:sz w:val="21"/>
                <w:szCs w:val="21"/>
                <w:lang w:eastAsia="zh-CN"/>
              </w:rPr>
            </w:pPr>
            <w:r>
              <w:rPr>
                <w:rFonts w:hint="eastAsia" w:ascii="宋体" w:hAnsi="宋体" w:cs="宋体"/>
                <w:b/>
                <w:bCs/>
                <w:color w:val="auto"/>
                <w:sz w:val="21"/>
                <w:szCs w:val="21"/>
                <w:lang w:eastAsia="zh-CN" w:bidi="ar"/>
              </w:rPr>
              <w:t>电器布线</w:t>
            </w:r>
          </w:p>
          <w:p w14:paraId="59AC1C20">
            <w:pPr>
              <w:autoSpaceDE w:val="0"/>
              <w:autoSpaceDN w:val="0"/>
              <w:spacing w:line="360" w:lineRule="auto"/>
              <w:textAlignment w:val="center"/>
              <w:rPr>
                <w:rFonts w:ascii="宋体" w:hAnsi="宋体" w:cs="宋体"/>
                <w:color w:val="auto"/>
                <w:sz w:val="21"/>
                <w:szCs w:val="21"/>
                <w:lang w:eastAsia="zh-CN"/>
              </w:rPr>
            </w:pPr>
            <w:r>
              <w:rPr>
                <w:rFonts w:hint="eastAsia" w:ascii="宋体" w:hAnsi="宋体" w:cs="宋体"/>
                <w:color w:val="auto"/>
                <w:sz w:val="21"/>
                <w:szCs w:val="21"/>
                <w:lang w:eastAsia="zh-CN" w:bidi="ar"/>
              </w:rPr>
              <w:t>电线穿Ф25mmPVC管埋地  铜芯24芯，耐压500V</w:t>
            </w:r>
          </w:p>
          <w:p w14:paraId="157AA1DB">
            <w:pPr>
              <w:autoSpaceDE w:val="0"/>
              <w:autoSpaceDN w:val="0"/>
              <w:spacing w:line="360" w:lineRule="auto"/>
              <w:textAlignment w:val="center"/>
              <w:rPr>
                <w:rFonts w:ascii="宋体" w:hAnsi="宋体" w:cs="宋体"/>
                <w:b/>
                <w:bCs/>
                <w:color w:val="auto"/>
                <w:sz w:val="21"/>
                <w:szCs w:val="21"/>
                <w:lang w:eastAsia="zh-CN"/>
              </w:rPr>
            </w:pPr>
            <w:r>
              <w:rPr>
                <w:rFonts w:hint="eastAsia" w:ascii="宋体" w:hAnsi="宋体" w:cs="宋体"/>
                <w:b/>
                <w:bCs/>
                <w:color w:val="auto"/>
                <w:sz w:val="21"/>
                <w:szCs w:val="21"/>
                <w:lang w:eastAsia="zh-CN" w:bidi="ar"/>
              </w:rPr>
              <w:t>给排水系统</w:t>
            </w:r>
          </w:p>
          <w:p w14:paraId="2009FCED">
            <w:pPr>
              <w:autoSpaceDE w:val="0"/>
              <w:autoSpaceDN w:val="0"/>
              <w:spacing w:line="360" w:lineRule="auto"/>
              <w:rPr>
                <w:rFonts w:ascii="宋体" w:hAnsi="宋体" w:cs="宋体"/>
                <w:color w:val="auto"/>
                <w:sz w:val="21"/>
                <w:szCs w:val="21"/>
                <w:lang w:eastAsia="zh-CN"/>
              </w:rPr>
            </w:pPr>
            <w:r>
              <w:rPr>
                <w:rFonts w:hint="eastAsia" w:ascii="宋体" w:hAnsi="宋体" w:cs="宋体"/>
                <w:color w:val="auto"/>
                <w:sz w:val="21"/>
                <w:szCs w:val="21"/>
                <w:lang w:eastAsia="zh-CN" w:bidi="ar"/>
              </w:rPr>
              <w:t>给水采用￠20PPR管，热熔连接。排水采用￠50PVC管，PVC专用胶水连接。</w:t>
            </w:r>
          </w:p>
        </w:tc>
      </w:tr>
      <w:tr w14:paraId="3C741B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41" w:hRule="atLeast"/>
          <w:jc w:val="center"/>
        </w:trPr>
        <w:tc>
          <w:tcPr>
            <w:tcW w:w="799" w:type="dxa"/>
            <w:shd w:val="clear" w:color="auto" w:fill="auto"/>
            <w:vAlign w:val="center"/>
          </w:tcPr>
          <w:p w14:paraId="0D0BA6A9">
            <w:pPr>
              <w:autoSpaceDE w:val="0"/>
              <w:autoSpaceDN w:val="0"/>
              <w:spacing w:line="360" w:lineRule="auto"/>
              <w:jc w:val="center"/>
              <w:textAlignment w:val="center"/>
              <w:rPr>
                <w:rFonts w:ascii="宋体" w:hAnsi="宋体" w:cs="宋体"/>
                <w:color w:val="auto"/>
                <w:sz w:val="21"/>
                <w:szCs w:val="21"/>
              </w:rPr>
            </w:pPr>
            <w:r>
              <w:rPr>
                <w:rFonts w:hint="eastAsia" w:ascii="宋体" w:hAnsi="宋体" w:cs="宋体"/>
                <w:color w:val="auto"/>
                <w:sz w:val="21"/>
                <w:szCs w:val="21"/>
                <w:lang w:eastAsia="zh-CN" w:bidi="ar"/>
              </w:rPr>
              <w:t>7</w:t>
            </w:r>
          </w:p>
        </w:tc>
        <w:tc>
          <w:tcPr>
            <w:tcW w:w="1511" w:type="dxa"/>
            <w:vAlign w:val="center"/>
          </w:tcPr>
          <w:p w14:paraId="21E2CA17">
            <w:pPr>
              <w:autoSpaceDE w:val="0"/>
              <w:autoSpaceDN w:val="0"/>
              <w:spacing w:line="360" w:lineRule="auto"/>
              <w:jc w:val="center"/>
              <w:rPr>
                <w:rFonts w:ascii="宋体" w:hAnsi="宋体" w:cs="宋体"/>
                <w:color w:val="auto"/>
                <w:sz w:val="21"/>
                <w:szCs w:val="21"/>
                <w:lang w:eastAsia="zh-CN"/>
              </w:rPr>
            </w:pPr>
            <w:r>
              <w:rPr>
                <w:rFonts w:hint="eastAsia" w:ascii="宋体" w:hAnsi="宋体" w:cs="宋体"/>
                <w:color w:val="auto"/>
                <w:spacing w:val="-1"/>
                <w:sz w:val="21"/>
                <w:szCs w:val="21"/>
                <w:lang w:eastAsia="zh-CN"/>
              </w:rPr>
              <w:t>实验准备室实验药</w:t>
            </w:r>
            <w:r>
              <w:rPr>
                <w:rFonts w:hint="eastAsia" w:ascii="宋体" w:hAnsi="宋体" w:cs="宋体"/>
                <w:color w:val="auto"/>
                <w:spacing w:val="-13"/>
                <w:sz w:val="21"/>
                <w:szCs w:val="21"/>
                <w:lang w:eastAsia="zh-CN"/>
              </w:rPr>
              <w:t>品柜</w:t>
            </w:r>
          </w:p>
        </w:tc>
        <w:tc>
          <w:tcPr>
            <w:tcW w:w="12568" w:type="dxa"/>
            <w:tcBorders>
              <w:bottom w:val="nil"/>
            </w:tcBorders>
          </w:tcPr>
          <w:p w14:paraId="30717592">
            <w:pPr>
              <w:autoSpaceDE w:val="0"/>
              <w:autoSpaceDN w:val="0"/>
              <w:spacing w:line="360" w:lineRule="auto"/>
              <w:rPr>
                <w:rFonts w:ascii="宋体" w:hAnsi="宋体" w:cs="宋体"/>
                <w:color w:val="auto"/>
                <w:sz w:val="21"/>
                <w:szCs w:val="21"/>
                <w:lang w:eastAsia="zh-CN"/>
              </w:rPr>
            </w:pPr>
            <w:r>
              <w:rPr>
                <w:rFonts w:hint="eastAsia" w:ascii="宋体" w:hAnsi="宋体" w:cs="宋体"/>
                <w:color w:val="auto"/>
                <w:sz w:val="21"/>
                <w:szCs w:val="21"/>
                <w:lang w:eastAsia="zh-CN"/>
              </w:rPr>
              <w:t>尺寸：1800mm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rPr>
              <w:t>500mm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rPr>
              <w:t>1200mm，基材：采用裸板0.8mm优质冷轧钢板冲压而成，CCC钢化玻璃，采用亚光静电喷塑，高温塑化而成。喷塑表面平整、光滑，无流挂、起料、皱皮、露底脱落、伤痕等影响质量的缺陷。具有足够的承载能力、耐腐蚀能力。表层采用粉末喷涂(热固性粉末涂料采用点焊、碰焊工艺，焊接点少，无疤痕；接触人体或收藏物品的部件无毛刺、刃口和棱角。</w:t>
            </w:r>
          </w:p>
          <w:p w14:paraId="7557009C">
            <w:pPr>
              <w:autoSpaceDE w:val="0"/>
              <w:autoSpaceDN w:val="0"/>
              <w:spacing w:line="360" w:lineRule="auto"/>
              <w:rPr>
                <w:rFonts w:ascii="宋体" w:hAnsi="宋体" w:cs="宋体"/>
                <w:color w:val="auto"/>
                <w:sz w:val="21"/>
                <w:szCs w:val="21"/>
                <w:lang w:eastAsia="zh-CN"/>
              </w:rPr>
            </w:pPr>
            <w:r>
              <w:rPr>
                <w:rFonts w:hint="eastAsia" w:ascii="宋体" w:hAnsi="宋体" w:cs="宋体"/>
                <w:color w:val="auto"/>
                <w:sz w:val="21"/>
                <w:szCs w:val="21"/>
                <w:lang w:eastAsia="zh-CN"/>
              </w:rPr>
              <w:t>冷轧钢板检验检测：金属喷漆（塑）涂层硬度≥3H，附着力≥2级。中性盐雾试验、乙酸盐雾试验≥200h，检验结果≥9级。表面质量：钢板及钢带表面不得有气泡、裂纹、结疤、折叠和夹杂等对使用有害的缺陷。抗拉强度≥400MPa。抗细菌率≥90%。检验标准至少包含：QB/T 3826-1999《轻工产品金属镀层和化学处理层的耐腐蚀试验方法中性盐雾试验(NSS)法》，QB/T 3827-1999《轻工产品金属镀层和化学处理层的耐腐蚀试验方法乙酸盐雾试验(ASS)法》，QB/T 3832-1999《轻工产品金属镀层腐蚀试验结果的评价》，QB/T 11253-2019《碳素结构钢冷轧钢板及钢带》，GB/T 708-2019《冷轧钢板和钢带的尺寸、外形、重量及允许偏差》，GB/T 13298-2015《金属显微组织检验方法》，GB/T 228.1-2021《金属材料拉伸试验第1部分:室温试验方法》，GB/T 4336-2016《碳素钢和中低合金钢多元素含量的测定火花放电原子发射光谱法（常规法）》标准。</w:t>
            </w:r>
          </w:p>
        </w:tc>
      </w:tr>
      <w:tr w14:paraId="0AF3FA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8" w:hRule="atLeast"/>
          <w:jc w:val="center"/>
        </w:trPr>
        <w:tc>
          <w:tcPr>
            <w:tcW w:w="799" w:type="dxa"/>
            <w:shd w:val="clear" w:color="auto" w:fill="auto"/>
            <w:vAlign w:val="center"/>
          </w:tcPr>
          <w:p w14:paraId="6862E73A">
            <w:pPr>
              <w:autoSpaceDE w:val="0"/>
              <w:autoSpaceDN w:val="0"/>
              <w:spacing w:line="360" w:lineRule="auto"/>
              <w:jc w:val="center"/>
              <w:textAlignment w:val="center"/>
              <w:rPr>
                <w:rFonts w:ascii="宋体" w:hAnsi="宋体" w:cs="宋体"/>
                <w:color w:val="auto"/>
                <w:sz w:val="21"/>
                <w:szCs w:val="21"/>
              </w:rPr>
            </w:pPr>
            <w:r>
              <w:rPr>
                <w:rFonts w:hint="eastAsia" w:ascii="宋体" w:hAnsi="宋体" w:cs="宋体"/>
                <w:color w:val="auto"/>
                <w:sz w:val="21"/>
                <w:szCs w:val="21"/>
                <w:lang w:eastAsia="zh-CN" w:bidi="ar"/>
              </w:rPr>
              <w:t>8</w:t>
            </w:r>
          </w:p>
        </w:tc>
        <w:tc>
          <w:tcPr>
            <w:tcW w:w="1511" w:type="dxa"/>
            <w:vAlign w:val="center"/>
          </w:tcPr>
          <w:p w14:paraId="6AE5BB29">
            <w:pPr>
              <w:autoSpaceDE w:val="0"/>
              <w:autoSpaceDN w:val="0"/>
              <w:spacing w:line="360" w:lineRule="auto"/>
              <w:jc w:val="center"/>
              <w:rPr>
                <w:rFonts w:ascii="宋体" w:hAnsi="宋体" w:cs="宋体"/>
                <w:color w:val="auto"/>
                <w:sz w:val="21"/>
                <w:szCs w:val="21"/>
                <w:lang w:eastAsia="zh-CN"/>
              </w:rPr>
            </w:pPr>
            <w:r>
              <w:rPr>
                <w:rFonts w:hint="eastAsia" w:ascii="宋体" w:hAnsi="宋体" w:cs="宋体"/>
                <w:color w:val="auto"/>
                <w:spacing w:val="-1"/>
                <w:sz w:val="21"/>
                <w:szCs w:val="21"/>
                <w:lang w:eastAsia="zh-CN"/>
              </w:rPr>
              <w:t>音乐教室学生椅凳</w:t>
            </w:r>
          </w:p>
        </w:tc>
        <w:tc>
          <w:tcPr>
            <w:tcW w:w="12568" w:type="dxa"/>
          </w:tcPr>
          <w:p w14:paraId="3BE1C4EF">
            <w:pPr>
              <w:autoSpaceDE w:val="0"/>
              <w:autoSpaceDN w:val="0"/>
              <w:spacing w:line="360" w:lineRule="auto"/>
              <w:rPr>
                <w:rFonts w:ascii="宋体" w:hAnsi="宋体" w:cs="宋体"/>
                <w:color w:val="auto"/>
                <w:spacing w:val="-2"/>
                <w:sz w:val="21"/>
                <w:szCs w:val="21"/>
                <w:lang w:eastAsia="zh-CN"/>
              </w:rPr>
            </w:pPr>
            <w:r>
              <w:rPr>
                <w:rFonts w:hint="eastAsia" w:ascii="宋体" w:hAnsi="宋体" w:cs="宋体"/>
                <w:color w:val="auto"/>
                <w:spacing w:val="-2"/>
                <w:sz w:val="21"/>
                <w:szCs w:val="21"/>
                <w:lang w:eastAsia="zh-CN"/>
              </w:rPr>
              <w:t>尺寸：40mm×30mm×25mm</w:t>
            </w:r>
          </w:p>
          <w:p w14:paraId="28A08ED1">
            <w:pPr>
              <w:pStyle w:val="18"/>
              <w:autoSpaceDE w:val="0"/>
              <w:autoSpaceDN w:val="0"/>
              <w:spacing w:line="360" w:lineRule="auto"/>
              <w:rPr>
                <w:rFonts w:ascii="宋体" w:hAnsi="宋体" w:cs="宋体"/>
                <w:color w:val="auto"/>
                <w:sz w:val="21"/>
                <w:szCs w:val="21"/>
                <w:lang w:val="en-US" w:eastAsia="zh-CN"/>
              </w:rPr>
            </w:pPr>
            <w:r>
              <w:rPr>
                <w:rFonts w:hint="eastAsia" w:ascii="宋体" w:hAnsi="宋体" w:cs="宋体"/>
                <w:color w:val="auto"/>
                <w:spacing w:val="-2"/>
                <w:sz w:val="21"/>
                <w:szCs w:val="21"/>
                <w:lang w:val="en-US" w:eastAsia="zh-CN"/>
              </w:rPr>
              <w:t>内部木龙骨支撑承重≥300公斤，18mm特级密度板贴三聚氰胺防火饰面板，六色可选</w:t>
            </w:r>
          </w:p>
        </w:tc>
      </w:tr>
      <w:tr w14:paraId="6D1A5D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68" w:hRule="atLeast"/>
          <w:jc w:val="center"/>
        </w:trPr>
        <w:tc>
          <w:tcPr>
            <w:tcW w:w="799" w:type="dxa"/>
            <w:shd w:val="clear" w:color="auto" w:fill="auto"/>
            <w:vAlign w:val="center"/>
          </w:tcPr>
          <w:p w14:paraId="3F222660">
            <w:pPr>
              <w:autoSpaceDE w:val="0"/>
              <w:autoSpaceDN w:val="0"/>
              <w:spacing w:line="360" w:lineRule="auto"/>
              <w:jc w:val="center"/>
              <w:textAlignment w:val="center"/>
              <w:rPr>
                <w:rFonts w:ascii="宋体" w:hAnsi="宋体" w:cs="宋体"/>
                <w:color w:val="auto"/>
                <w:sz w:val="21"/>
                <w:szCs w:val="21"/>
              </w:rPr>
            </w:pPr>
            <w:r>
              <w:rPr>
                <w:rFonts w:hint="eastAsia" w:ascii="宋体" w:hAnsi="宋体" w:cs="宋体"/>
                <w:color w:val="auto"/>
                <w:sz w:val="21"/>
                <w:szCs w:val="21"/>
                <w:lang w:eastAsia="zh-CN" w:bidi="ar"/>
              </w:rPr>
              <w:t>9</w:t>
            </w:r>
          </w:p>
        </w:tc>
        <w:tc>
          <w:tcPr>
            <w:tcW w:w="1511" w:type="dxa"/>
            <w:vAlign w:val="center"/>
          </w:tcPr>
          <w:p w14:paraId="13C45018">
            <w:pPr>
              <w:autoSpaceDE w:val="0"/>
              <w:autoSpaceDN w:val="0"/>
              <w:spacing w:line="360" w:lineRule="auto"/>
              <w:jc w:val="center"/>
              <w:rPr>
                <w:rFonts w:ascii="宋体" w:hAnsi="宋体" w:cs="宋体"/>
                <w:color w:val="auto"/>
                <w:sz w:val="21"/>
                <w:szCs w:val="21"/>
                <w:lang w:eastAsia="zh-CN"/>
              </w:rPr>
            </w:pPr>
            <w:r>
              <w:rPr>
                <w:rFonts w:hint="eastAsia" w:ascii="宋体" w:hAnsi="宋体" w:cs="宋体"/>
                <w:color w:val="auto"/>
                <w:spacing w:val="-1"/>
                <w:sz w:val="21"/>
                <w:szCs w:val="21"/>
                <w:lang w:eastAsia="zh-CN"/>
              </w:rPr>
              <w:t>音乐教室讲台（数量2套）</w:t>
            </w:r>
          </w:p>
        </w:tc>
        <w:tc>
          <w:tcPr>
            <w:tcW w:w="12568" w:type="dxa"/>
          </w:tcPr>
          <w:p w14:paraId="6EA0EF05">
            <w:pPr>
              <w:autoSpaceDE w:val="0"/>
              <w:autoSpaceDN w:val="0"/>
              <w:spacing w:line="360" w:lineRule="auto"/>
              <w:textAlignment w:val="center"/>
              <w:rPr>
                <w:rFonts w:ascii="宋体" w:hAnsi="宋体" w:cs="宋体"/>
                <w:color w:val="auto"/>
                <w:sz w:val="21"/>
                <w:szCs w:val="21"/>
              </w:rPr>
            </w:pPr>
            <w:r>
              <w:rPr>
                <w:rFonts w:hint="eastAsia" w:ascii="宋体" w:hAnsi="宋体" w:cs="宋体"/>
                <w:color w:val="auto"/>
                <w:sz w:val="21"/>
                <w:szCs w:val="21"/>
              </w:rPr>
              <w:t>尺寸：1200mm×600mm×1050mm</w:t>
            </w:r>
          </w:p>
          <w:p w14:paraId="424813C0">
            <w:pPr>
              <w:autoSpaceDE w:val="0"/>
              <w:autoSpaceDN w:val="0"/>
              <w:spacing w:line="360" w:lineRule="auto"/>
              <w:textAlignment w:val="center"/>
              <w:rPr>
                <w:rFonts w:ascii="宋体" w:hAnsi="宋体" w:cs="宋体"/>
                <w:color w:val="auto"/>
                <w:sz w:val="21"/>
                <w:szCs w:val="21"/>
                <w:lang w:eastAsia="zh-CN"/>
              </w:rPr>
            </w:pPr>
            <w:r>
              <w:rPr>
                <w:rFonts w:hint="eastAsia" w:ascii="宋体" w:hAnsi="宋体" w:cs="宋体"/>
                <w:color w:val="auto"/>
                <w:sz w:val="21"/>
                <w:szCs w:val="21"/>
                <w:lang w:eastAsia="zh-CN"/>
              </w:rPr>
              <w:t>1、桌子面板、侧板采用优质</w:t>
            </w:r>
            <w:r>
              <w:rPr>
                <w:rFonts w:hint="eastAsia" w:ascii="宋体" w:hAnsi="宋体" w:cs="宋体"/>
                <w:color w:val="auto"/>
                <w:sz w:val="21"/>
                <w:szCs w:val="21"/>
                <w:lang w:eastAsia="zh-CN" w:bidi="ar"/>
              </w:rPr>
              <w:t>E1级环保</w:t>
            </w:r>
            <w:r>
              <w:rPr>
                <w:rFonts w:hint="eastAsia" w:ascii="宋体" w:hAnsi="宋体" w:cs="宋体"/>
                <w:color w:val="auto"/>
                <w:sz w:val="21"/>
                <w:szCs w:val="21"/>
                <w:lang w:eastAsia="zh-CN"/>
              </w:rPr>
              <w:t>三聚氰胺板25mm厚制作，其余部分采用优质三聚氰胺板15mm厚制作，桌子后背板到底。桌面上面有三边围边，桌面下面带两个抽屉，桌子板面光洁平整，无气泡、渣粒；面板釆用同色PVC加热熔胶封边，保证受热受冻不会脱胶开裂。</w:t>
            </w:r>
          </w:p>
          <w:p w14:paraId="6DB62686">
            <w:pPr>
              <w:autoSpaceDE w:val="0"/>
              <w:autoSpaceDN w:val="0"/>
              <w:spacing w:line="360" w:lineRule="auto"/>
              <w:textAlignment w:val="center"/>
              <w:rPr>
                <w:rFonts w:ascii="宋体" w:hAnsi="宋体" w:cs="宋体"/>
                <w:color w:val="auto"/>
                <w:sz w:val="21"/>
                <w:szCs w:val="21"/>
                <w:lang w:eastAsia="zh-CN"/>
              </w:rPr>
            </w:pPr>
            <w:r>
              <w:rPr>
                <w:rFonts w:hint="eastAsia" w:ascii="宋体" w:hAnsi="宋体" w:cs="宋体"/>
                <w:color w:val="auto"/>
                <w:sz w:val="21"/>
                <w:szCs w:val="21"/>
                <w:lang w:eastAsia="zh-CN"/>
              </w:rPr>
              <w:t>2、工艺：整桌用优质三合一五金件连接受力。</w:t>
            </w:r>
            <w:r>
              <w:rPr>
                <w:rFonts w:hint="eastAsia" w:ascii="宋体" w:hAnsi="宋体" w:cs="宋体"/>
                <w:color w:val="auto"/>
                <w:sz w:val="21"/>
                <w:szCs w:val="21"/>
                <w:lang w:eastAsia="zh-CN"/>
              </w:rPr>
              <w:br w:type="textWrapping"/>
            </w:r>
            <w:r>
              <w:rPr>
                <w:rFonts w:hint="eastAsia" w:ascii="宋体" w:hAnsi="宋体" w:cs="宋体"/>
                <w:color w:val="auto"/>
                <w:sz w:val="21"/>
                <w:szCs w:val="21"/>
                <w:lang w:eastAsia="zh-CN"/>
              </w:rPr>
              <w:t>3．五金件：</w:t>
            </w:r>
            <w:r>
              <w:rPr>
                <w:rFonts w:hint="eastAsia" w:ascii="宋体" w:hAnsi="宋体" w:cs="宋体"/>
                <w:color w:val="auto"/>
                <w:sz w:val="21"/>
                <w:szCs w:val="21"/>
                <w:lang w:eastAsia="zh-CN" w:bidi="ar"/>
              </w:rPr>
              <w:t>符合国家标准或相关部门最新颁布的标准要求</w:t>
            </w:r>
            <w:r>
              <w:rPr>
                <w:rFonts w:hint="eastAsia" w:ascii="宋体" w:hAnsi="宋体" w:cs="宋体"/>
                <w:color w:val="auto"/>
                <w:sz w:val="21"/>
                <w:szCs w:val="21"/>
                <w:lang w:eastAsia="zh-CN"/>
              </w:rPr>
              <w:t>，牢固耐用。</w:t>
            </w:r>
          </w:p>
        </w:tc>
      </w:tr>
      <w:tr w14:paraId="161246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6" w:hRule="atLeast"/>
          <w:jc w:val="center"/>
        </w:trPr>
        <w:tc>
          <w:tcPr>
            <w:tcW w:w="799" w:type="dxa"/>
            <w:shd w:val="clear" w:color="auto" w:fill="auto"/>
            <w:vAlign w:val="center"/>
          </w:tcPr>
          <w:p w14:paraId="74A8EBB1">
            <w:pPr>
              <w:autoSpaceDE w:val="0"/>
              <w:autoSpaceDN w:val="0"/>
              <w:spacing w:line="360" w:lineRule="auto"/>
              <w:jc w:val="center"/>
              <w:textAlignment w:val="center"/>
              <w:rPr>
                <w:rFonts w:ascii="宋体" w:hAnsi="宋体" w:cs="宋体"/>
                <w:color w:val="auto"/>
                <w:sz w:val="21"/>
                <w:szCs w:val="21"/>
              </w:rPr>
            </w:pPr>
            <w:r>
              <w:rPr>
                <w:rFonts w:hint="eastAsia" w:ascii="宋体" w:hAnsi="宋体" w:cs="宋体"/>
                <w:color w:val="auto"/>
                <w:sz w:val="21"/>
                <w:szCs w:val="21"/>
                <w:lang w:eastAsia="zh-CN" w:bidi="ar"/>
              </w:rPr>
              <w:t>10</w:t>
            </w:r>
          </w:p>
        </w:tc>
        <w:tc>
          <w:tcPr>
            <w:tcW w:w="1511" w:type="dxa"/>
            <w:vAlign w:val="center"/>
          </w:tcPr>
          <w:p w14:paraId="5F1B07CC">
            <w:pPr>
              <w:autoSpaceDE w:val="0"/>
              <w:autoSpaceDN w:val="0"/>
              <w:spacing w:line="360" w:lineRule="auto"/>
              <w:jc w:val="center"/>
              <w:rPr>
                <w:rFonts w:ascii="宋体" w:hAnsi="宋体" w:cs="宋体"/>
                <w:color w:val="auto"/>
                <w:sz w:val="21"/>
                <w:szCs w:val="21"/>
                <w:lang w:eastAsia="zh-CN"/>
              </w:rPr>
            </w:pPr>
            <w:r>
              <w:rPr>
                <w:rFonts w:hint="eastAsia" w:ascii="宋体" w:hAnsi="宋体" w:cs="宋体"/>
                <w:color w:val="auto"/>
                <w:spacing w:val="-1"/>
                <w:sz w:val="21"/>
                <w:szCs w:val="21"/>
                <w:lang w:eastAsia="zh-CN"/>
              </w:rPr>
              <w:t>美术教室讲台</w:t>
            </w:r>
          </w:p>
        </w:tc>
        <w:tc>
          <w:tcPr>
            <w:tcW w:w="12568" w:type="dxa"/>
          </w:tcPr>
          <w:p w14:paraId="1397D365">
            <w:pPr>
              <w:autoSpaceDE w:val="0"/>
              <w:autoSpaceDN w:val="0"/>
              <w:spacing w:line="360" w:lineRule="auto"/>
              <w:textAlignment w:val="center"/>
              <w:rPr>
                <w:rFonts w:ascii="宋体" w:hAnsi="宋体" w:cs="宋体"/>
                <w:color w:val="auto"/>
                <w:sz w:val="21"/>
                <w:szCs w:val="21"/>
              </w:rPr>
            </w:pPr>
            <w:r>
              <w:rPr>
                <w:rFonts w:hint="eastAsia" w:ascii="宋体" w:hAnsi="宋体" w:cs="宋体"/>
                <w:color w:val="auto"/>
                <w:sz w:val="21"/>
                <w:szCs w:val="21"/>
              </w:rPr>
              <w:t>尺寸：1200mm×600mm×1050mm</w:t>
            </w:r>
          </w:p>
          <w:p w14:paraId="6162054E">
            <w:pPr>
              <w:autoSpaceDE w:val="0"/>
              <w:autoSpaceDN w:val="0"/>
              <w:spacing w:line="360" w:lineRule="auto"/>
              <w:textAlignment w:val="center"/>
              <w:rPr>
                <w:rFonts w:ascii="宋体" w:hAnsi="宋体" w:cs="宋体"/>
                <w:color w:val="auto"/>
                <w:sz w:val="21"/>
                <w:szCs w:val="21"/>
                <w:lang w:eastAsia="zh-CN"/>
              </w:rPr>
            </w:pPr>
            <w:r>
              <w:rPr>
                <w:rFonts w:hint="eastAsia" w:ascii="宋体" w:hAnsi="宋体" w:cs="宋体"/>
                <w:color w:val="auto"/>
                <w:sz w:val="21"/>
                <w:szCs w:val="21"/>
                <w:lang w:eastAsia="zh-CN"/>
              </w:rPr>
              <w:t>1、桌子面板、侧板采用优质</w:t>
            </w:r>
            <w:r>
              <w:rPr>
                <w:rFonts w:hint="eastAsia" w:ascii="宋体" w:hAnsi="宋体" w:cs="宋体"/>
                <w:color w:val="auto"/>
                <w:sz w:val="21"/>
                <w:szCs w:val="21"/>
                <w:lang w:eastAsia="zh-CN" w:bidi="ar"/>
              </w:rPr>
              <w:t>E1级环保</w:t>
            </w:r>
            <w:r>
              <w:rPr>
                <w:rFonts w:hint="eastAsia" w:ascii="宋体" w:hAnsi="宋体" w:cs="宋体"/>
                <w:color w:val="auto"/>
                <w:sz w:val="21"/>
                <w:szCs w:val="21"/>
                <w:lang w:eastAsia="zh-CN"/>
              </w:rPr>
              <w:t>三聚氰胺板25mm厚制作，其余部分采用优质三聚氰胺板15mm厚制作，桌子后背板到底。桌面上面有三边围边，桌面下面带两个抽屉，桌子板面光洁平整，无气泡、渣粒；面板釆用同色PVC加热熔胶封边，保证受热受冻不会脱胶开裂。</w:t>
            </w:r>
          </w:p>
          <w:p w14:paraId="005B5829">
            <w:pPr>
              <w:autoSpaceDE w:val="0"/>
              <w:autoSpaceDN w:val="0"/>
              <w:spacing w:line="360" w:lineRule="auto"/>
              <w:textAlignment w:val="center"/>
              <w:rPr>
                <w:rFonts w:ascii="宋体" w:hAnsi="宋体" w:cs="宋体"/>
                <w:color w:val="auto"/>
                <w:sz w:val="21"/>
                <w:szCs w:val="21"/>
                <w:lang w:eastAsia="zh-CN"/>
              </w:rPr>
            </w:pPr>
            <w:r>
              <w:rPr>
                <w:rFonts w:hint="eastAsia" w:ascii="宋体" w:hAnsi="宋体" w:cs="宋体"/>
                <w:color w:val="auto"/>
                <w:sz w:val="21"/>
                <w:szCs w:val="21"/>
                <w:lang w:eastAsia="zh-CN"/>
              </w:rPr>
              <w:t>2、工艺：整桌用优质三合一五金件连接受力。</w:t>
            </w:r>
            <w:r>
              <w:rPr>
                <w:rFonts w:hint="eastAsia" w:ascii="宋体" w:hAnsi="宋体" w:cs="宋体"/>
                <w:color w:val="auto"/>
                <w:sz w:val="21"/>
                <w:szCs w:val="21"/>
                <w:lang w:eastAsia="zh-CN"/>
              </w:rPr>
              <w:br w:type="textWrapping"/>
            </w:r>
            <w:r>
              <w:rPr>
                <w:rFonts w:hint="eastAsia" w:ascii="宋体" w:hAnsi="宋体" w:cs="宋体"/>
                <w:color w:val="auto"/>
                <w:sz w:val="21"/>
                <w:szCs w:val="21"/>
                <w:lang w:eastAsia="zh-CN"/>
              </w:rPr>
              <w:t>3．五金件：</w:t>
            </w:r>
            <w:r>
              <w:rPr>
                <w:rFonts w:hint="eastAsia" w:ascii="宋体" w:hAnsi="宋体" w:cs="宋体"/>
                <w:color w:val="auto"/>
                <w:sz w:val="21"/>
                <w:szCs w:val="21"/>
                <w:lang w:eastAsia="zh-CN" w:bidi="ar"/>
              </w:rPr>
              <w:t>符合国家标准或相关部门最新颁布的标准要求</w:t>
            </w:r>
            <w:r>
              <w:rPr>
                <w:rFonts w:hint="eastAsia" w:ascii="宋体" w:hAnsi="宋体" w:cs="宋体"/>
                <w:color w:val="auto"/>
                <w:sz w:val="21"/>
                <w:szCs w:val="21"/>
                <w:lang w:eastAsia="zh-CN"/>
              </w:rPr>
              <w:t>，牢固耐用。</w:t>
            </w:r>
          </w:p>
        </w:tc>
      </w:tr>
      <w:tr w14:paraId="4673DF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04" w:hRule="atLeast"/>
          <w:jc w:val="center"/>
        </w:trPr>
        <w:tc>
          <w:tcPr>
            <w:tcW w:w="799" w:type="dxa"/>
            <w:shd w:val="clear" w:color="auto" w:fill="auto"/>
            <w:vAlign w:val="center"/>
          </w:tcPr>
          <w:p w14:paraId="04BDDAD9">
            <w:pPr>
              <w:autoSpaceDE w:val="0"/>
              <w:autoSpaceDN w:val="0"/>
              <w:spacing w:line="360" w:lineRule="auto"/>
              <w:jc w:val="center"/>
              <w:textAlignment w:val="center"/>
              <w:rPr>
                <w:rFonts w:ascii="宋体" w:hAnsi="宋体" w:cs="宋体"/>
                <w:color w:val="auto"/>
                <w:sz w:val="21"/>
                <w:szCs w:val="21"/>
              </w:rPr>
            </w:pPr>
            <w:r>
              <w:rPr>
                <w:rFonts w:hint="eastAsia" w:ascii="宋体" w:hAnsi="宋体" w:cs="宋体"/>
                <w:color w:val="auto"/>
                <w:sz w:val="21"/>
                <w:szCs w:val="21"/>
                <w:lang w:eastAsia="zh-CN" w:bidi="ar"/>
              </w:rPr>
              <w:t>11</w:t>
            </w:r>
          </w:p>
        </w:tc>
        <w:tc>
          <w:tcPr>
            <w:tcW w:w="1511" w:type="dxa"/>
            <w:vAlign w:val="center"/>
          </w:tcPr>
          <w:p w14:paraId="62715D40">
            <w:pPr>
              <w:autoSpaceDE w:val="0"/>
              <w:autoSpaceDN w:val="0"/>
              <w:spacing w:line="360" w:lineRule="auto"/>
              <w:jc w:val="center"/>
              <w:rPr>
                <w:rFonts w:ascii="宋体" w:hAnsi="宋体" w:cs="宋体"/>
                <w:color w:val="auto"/>
                <w:sz w:val="21"/>
                <w:szCs w:val="21"/>
                <w:lang w:eastAsia="zh-CN"/>
              </w:rPr>
            </w:pPr>
            <w:r>
              <w:rPr>
                <w:rFonts w:hint="eastAsia" w:ascii="宋体" w:hAnsi="宋体" w:cs="宋体"/>
                <w:color w:val="auto"/>
                <w:spacing w:val="-1"/>
                <w:sz w:val="21"/>
                <w:szCs w:val="21"/>
                <w:lang w:eastAsia="zh-CN"/>
              </w:rPr>
              <w:t>教师办公室柜子</w:t>
            </w:r>
          </w:p>
        </w:tc>
        <w:tc>
          <w:tcPr>
            <w:tcW w:w="12568" w:type="dxa"/>
            <w:tcBorders>
              <w:top w:val="nil"/>
            </w:tcBorders>
          </w:tcPr>
          <w:p w14:paraId="396A2B72">
            <w:pPr>
              <w:autoSpaceDE w:val="0"/>
              <w:autoSpaceDN w:val="0"/>
              <w:spacing w:line="360" w:lineRule="auto"/>
              <w:rPr>
                <w:rFonts w:ascii="宋体" w:hAnsi="宋体" w:cs="宋体"/>
                <w:color w:val="auto"/>
                <w:sz w:val="21"/>
                <w:szCs w:val="21"/>
                <w:lang w:eastAsia="zh-CN"/>
              </w:rPr>
            </w:pPr>
            <w:r>
              <w:rPr>
                <w:rFonts w:hint="eastAsia" w:ascii="宋体" w:hAnsi="宋体" w:cs="宋体"/>
                <w:color w:val="auto"/>
                <w:sz w:val="21"/>
                <w:szCs w:val="21"/>
                <w:lang w:eastAsia="zh-CN"/>
              </w:rPr>
              <w:t>1、规格850mm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rPr>
              <w:t>380mm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rPr>
              <w:t>1850mm，咖白套色；材质基材选用一级宝钢，柜体板件采用0.8mm厚钢板。</w:t>
            </w:r>
          </w:p>
          <w:p w14:paraId="537F391E">
            <w:pPr>
              <w:autoSpaceDE w:val="0"/>
              <w:autoSpaceDN w:val="0"/>
              <w:spacing w:line="360" w:lineRule="auto"/>
              <w:rPr>
                <w:rFonts w:ascii="宋体" w:hAnsi="宋体" w:cs="宋体"/>
                <w:color w:val="auto"/>
                <w:sz w:val="21"/>
                <w:szCs w:val="21"/>
                <w:lang w:eastAsia="zh-CN"/>
              </w:rPr>
            </w:pPr>
            <w:r>
              <w:rPr>
                <w:rFonts w:hint="eastAsia" w:ascii="宋体" w:hAnsi="宋体" w:cs="宋体"/>
                <w:color w:val="auto"/>
                <w:sz w:val="21"/>
                <w:szCs w:val="21"/>
                <w:lang w:eastAsia="zh-CN"/>
              </w:rPr>
              <w:t>2、采用电脑数控冲床、压床成型，底座采用整体焊接，钢性足，不变形，架体结实，坚固 3、表面静电喷塑，表面平整，纹路清晰，手感光滑，无划痕。钢件弯曲处应饱满、圆滑。</w:t>
            </w:r>
          </w:p>
          <w:p w14:paraId="7F7935CD">
            <w:pPr>
              <w:autoSpaceDE w:val="0"/>
              <w:autoSpaceDN w:val="0"/>
              <w:spacing w:line="360" w:lineRule="auto"/>
              <w:rPr>
                <w:rFonts w:ascii="宋体" w:hAnsi="宋体" w:cs="宋体"/>
                <w:color w:val="auto"/>
                <w:sz w:val="21"/>
                <w:szCs w:val="21"/>
                <w:lang w:eastAsia="zh-CN"/>
              </w:rPr>
            </w:pPr>
            <w:r>
              <w:rPr>
                <w:rFonts w:hint="eastAsia" w:ascii="宋体" w:hAnsi="宋体" w:cs="宋体"/>
                <w:color w:val="auto"/>
                <w:sz w:val="21"/>
                <w:szCs w:val="21"/>
                <w:lang w:eastAsia="zh-CN"/>
              </w:rPr>
              <w:t>冷轧钢板检验检测：金属喷漆（塑）涂层硬度≥3H，附着力≥2级。中性盐雾试验、乙酸盐雾试验≥200h，检验结果≥9级。表面质量：钢板及钢带表面不得有气泡、裂纹、结疤、折叠和夹杂等对使用有害的缺陷。抗拉强度≥400MPa。抗细菌率≥90%。检验标准至少包含：QB/T 3826-1999《轻工产品金属镀层和化学处理层的耐腐蚀试验方法中性盐雾试验(NSS)法》，QB/T 3827-1999《轻工产品金属镀层和化学处理层的耐腐蚀试验方法乙酸盐雾试验(ASS)法》，QB/T 3832-1999《轻工产品金属镀层腐蚀试验结果的评价》，QB/T 11253-2019《碳素结构钢冷轧钢板及钢带》，GB/T 708-2019《冷轧钢板和钢带的尺寸、外形、重量及允许偏差》，GB/T 13298-2015《金属显微组织检验方法》，GB/T 228.1-2021《金属材料拉伸试验第1部分:室温试验方法》，GB/T 4336-2016《碳素钢和中低合金钢多元素含量的测定火花放电原子发射光谱法（常规法）》标准。</w:t>
            </w:r>
          </w:p>
        </w:tc>
      </w:tr>
      <w:tr w14:paraId="0E029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60" w:hRule="atLeast"/>
          <w:jc w:val="center"/>
        </w:trPr>
        <w:tc>
          <w:tcPr>
            <w:tcW w:w="799" w:type="dxa"/>
            <w:shd w:val="clear" w:color="auto" w:fill="auto"/>
            <w:vAlign w:val="center"/>
          </w:tcPr>
          <w:p w14:paraId="4EAC60FE">
            <w:pPr>
              <w:autoSpaceDE w:val="0"/>
              <w:autoSpaceDN w:val="0"/>
              <w:spacing w:line="360" w:lineRule="auto"/>
              <w:jc w:val="center"/>
              <w:textAlignment w:val="center"/>
              <w:rPr>
                <w:rFonts w:ascii="宋体" w:hAnsi="宋体" w:cs="宋体"/>
                <w:color w:val="auto"/>
                <w:sz w:val="21"/>
                <w:szCs w:val="21"/>
              </w:rPr>
            </w:pPr>
            <w:r>
              <w:rPr>
                <w:rFonts w:hint="eastAsia" w:ascii="宋体" w:hAnsi="宋体" w:cs="宋体"/>
                <w:color w:val="auto"/>
                <w:sz w:val="21"/>
                <w:szCs w:val="21"/>
                <w:lang w:eastAsia="zh-CN" w:bidi="ar"/>
              </w:rPr>
              <w:t>12</w:t>
            </w:r>
          </w:p>
        </w:tc>
        <w:tc>
          <w:tcPr>
            <w:tcW w:w="1511" w:type="dxa"/>
            <w:vAlign w:val="center"/>
          </w:tcPr>
          <w:p w14:paraId="7F40341D">
            <w:pPr>
              <w:autoSpaceDE w:val="0"/>
              <w:autoSpaceDN w:val="0"/>
              <w:spacing w:line="360" w:lineRule="auto"/>
              <w:jc w:val="center"/>
              <w:rPr>
                <w:rFonts w:ascii="宋体" w:hAnsi="宋体" w:cs="宋体"/>
                <w:color w:val="auto"/>
                <w:sz w:val="21"/>
                <w:szCs w:val="21"/>
                <w:lang w:eastAsia="zh-CN"/>
              </w:rPr>
            </w:pPr>
            <w:r>
              <w:rPr>
                <w:rFonts w:hint="eastAsia" w:ascii="宋体" w:hAnsi="宋体" w:cs="宋体"/>
                <w:color w:val="auto"/>
                <w:spacing w:val="-1"/>
                <w:sz w:val="21"/>
                <w:szCs w:val="21"/>
                <w:lang w:eastAsia="zh-CN"/>
              </w:rPr>
              <w:t>教师办公室桌子</w:t>
            </w:r>
          </w:p>
        </w:tc>
        <w:tc>
          <w:tcPr>
            <w:tcW w:w="12568" w:type="dxa"/>
          </w:tcPr>
          <w:p w14:paraId="47576CC3">
            <w:pPr>
              <w:autoSpaceDE w:val="0"/>
              <w:autoSpaceDN w:val="0"/>
              <w:spacing w:line="360" w:lineRule="auto"/>
              <w:rPr>
                <w:rFonts w:ascii="宋体" w:hAnsi="宋体" w:cs="宋体"/>
                <w:color w:val="auto"/>
                <w:sz w:val="21"/>
                <w:szCs w:val="21"/>
                <w:lang w:eastAsia="zh-CN" w:bidi="ar"/>
              </w:rPr>
            </w:pPr>
            <w:r>
              <w:rPr>
                <w:rFonts w:hint="eastAsia" w:ascii="宋体" w:hAnsi="宋体" w:cs="宋体"/>
                <w:color w:val="auto"/>
                <w:sz w:val="21"/>
                <w:szCs w:val="21"/>
                <w:lang w:eastAsia="zh-CN" w:bidi="ar"/>
              </w:rPr>
              <w:t>1200mm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bidi="ar"/>
              </w:rPr>
              <w:t>600mm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bidi="ar"/>
              </w:rPr>
              <w:t>780mm</w:t>
            </w:r>
          </w:p>
          <w:p w14:paraId="13F19EB1">
            <w:pPr>
              <w:autoSpaceDE w:val="0"/>
              <w:autoSpaceDN w:val="0"/>
              <w:spacing w:line="360" w:lineRule="auto"/>
              <w:rPr>
                <w:rFonts w:ascii="宋体" w:hAnsi="宋体" w:cs="宋体"/>
                <w:color w:val="auto"/>
                <w:sz w:val="21"/>
                <w:szCs w:val="21"/>
                <w:lang w:eastAsia="zh-CN" w:bidi="ar"/>
              </w:rPr>
            </w:pPr>
            <w:r>
              <w:rPr>
                <w:rFonts w:hint="eastAsia" w:ascii="宋体" w:hAnsi="宋体" w:cs="宋体"/>
                <w:color w:val="auto"/>
                <w:sz w:val="21"/>
                <w:szCs w:val="21"/>
                <w:lang w:eastAsia="zh-CN" w:bidi="ar"/>
              </w:rPr>
              <w:t>1、饰面：采用进口胡桃木皮，木皮厚度为0、6mm 厚，桌面厚度为8公分</w:t>
            </w:r>
          </w:p>
          <w:p w14:paraId="018B9F12">
            <w:pPr>
              <w:autoSpaceDE w:val="0"/>
              <w:autoSpaceDN w:val="0"/>
              <w:spacing w:line="360" w:lineRule="auto"/>
              <w:rPr>
                <w:rFonts w:ascii="宋体" w:hAnsi="宋体" w:cs="宋体"/>
                <w:color w:val="auto"/>
                <w:sz w:val="21"/>
                <w:szCs w:val="21"/>
                <w:lang w:eastAsia="zh-CN" w:bidi="ar"/>
              </w:rPr>
            </w:pPr>
            <w:r>
              <w:rPr>
                <w:rFonts w:hint="eastAsia" w:ascii="宋体" w:hAnsi="宋体" w:cs="宋体"/>
                <w:color w:val="auto"/>
                <w:sz w:val="21"/>
                <w:szCs w:val="21"/>
                <w:lang w:eastAsia="zh-CN" w:bidi="ar"/>
              </w:rPr>
              <w:t>2、基材：E1级中密度纤维板，符合GB 18580-2017《室内装饰装修材料 人造板及其制品中甲醛释放限量》标准，工艺要求：1、所用木材经三道烘干处理，经防虫、防腐处理，性能稳定不易变形。</w:t>
            </w:r>
          </w:p>
          <w:p w14:paraId="6E901293">
            <w:pPr>
              <w:autoSpaceDE w:val="0"/>
              <w:autoSpaceDN w:val="0"/>
              <w:spacing w:line="360" w:lineRule="auto"/>
              <w:rPr>
                <w:rFonts w:ascii="宋体" w:hAnsi="宋体" w:cs="宋体"/>
                <w:color w:val="auto"/>
                <w:sz w:val="21"/>
                <w:szCs w:val="21"/>
                <w:lang w:eastAsia="zh-CN" w:bidi="ar"/>
              </w:rPr>
            </w:pPr>
            <w:r>
              <w:rPr>
                <w:rFonts w:hint="eastAsia" w:ascii="宋体" w:hAnsi="宋体" w:cs="宋体"/>
                <w:color w:val="auto"/>
                <w:sz w:val="21"/>
                <w:szCs w:val="21"/>
                <w:lang w:eastAsia="zh-CN" w:bidi="ar"/>
              </w:rPr>
              <w:t>从底漆至面漆需经过“五底三面”八道反复油漆工序，保证油漆表面光亮平整，无颗粒、气泡、渣点，颜色均匀。且木纹纹理自然，颜色线条拼合细密，产品大方无异味。</w:t>
            </w:r>
          </w:p>
          <w:p w14:paraId="0F79CDDB">
            <w:pPr>
              <w:autoSpaceDE w:val="0"/>
              <w:autoSpaceDN w:val="0"/>
              <w:spacing w:line="360" w:lineRule="auto"/>
              <w:rPr>
                <w:rFonts w:ascii="宋体" w:hAnsi="宋体" w:cs="宋体"/>
                <w:color w:val="auto"/>
                <w:sz w:val="21"/>
                <w:szCs w:val="21"/>
                <w:lang w:eastAsia="zh-CN" w:bidi="ar"/>
              </w:rPr>
            </w:pPr>
            <w:r>
              <w:rPr>
                <w:rFonts w:hint="eastAsia" w:ascii="宋体" w:hAnsi="宋体" w:cs="宋体"/>
                <w:color w:val="auto"/>
                <w:sz w:val="21"/>
                <w:szCs w:val="21"/>
                <w:lang w:eastAsia="zh-CN" w:bidi="ar"/>
              </w:rPr>
              <w:t>3.封边用材：采用进口实木封边；</w:t>
            </w:r>
          </w:p>
          <w:p w14:paraId="02707C1C">
            <w:pPr>
              <w:autoSpaceDE w:val="0"/>
              <w:autoSpaceDN w:val="0"/>
              <w:spacing w:line="360" w:lineRule="auto"/>
              <w:rPr>
                <w:rFonts w:ascii="宋体" w:hAnsi="宋体" w:cs="宋体"/>
                <w:color w:val="auto"/>
                <w:sz w:val="21"/>
                <w:szCs w:val="21"/>
                <w:lang w:eastAsia="zh-CN" w:bidi="ar"/>
              </w:rPr>
            </w:pPr>
            <w:r>
              <w:rPr>
                <w:rFonts w:hint="eastAsia" w:ascii="宋体" w:hAnsi="宋体" w:cs="宋体"/>
                <w:color w:val="auto"/>
                <w:sz w:val="21"/>
                <w:szCs w:val="21"/>
                <w:lang w:eastAsia="zh-CN" w:bidi="ar"/>
              </w:rPr>
              <w:t>4.油漆：采用品牌环保油漆，经过8道开放油漆工序，表面细小颗粒每平方米不超过二个点，表面硬度达H级，木纹纹理清晰，无发白，流挂及明显划伤，色泽均匀，达到E1级环保标准；</w:t>
            </w:r>
          </w:p>
          <w:p w14:paraId="4E9D3513">
            <w:pPr>
              <w:autoSpaceDE w:val="0"/>
              <w:autoSpaceDN w:val="0"/>
              <w:spacing w:line="360" w:lineRule="auto"/>
              <w:rPr>
                <w:rFonts w:ascii="宋体" w:hAnsi="宋体" w:cs="宋体"/>
                <w:color w:val="auto"/>
                <w:spacing w:val="-2"/>
                <w:sz w:val="21"/>
                <w:szCs w:val="21"/>
                <w:lang w:eastAsia="zh-CN"/>
              </w:rPr>
            </w:pPr>
            <w:r>
              <w:rPr>
                <w:rFonts w:hint="eastAsia" w:ascii="宋体" w:hAnsi="宋体" w:cs="宋体"/>
                <w:color w:val="auto"/>
                <w:sz w:val="21"/>
                <w:szCs w:val="21"/>
                <w:lang w:eastAsia="zh-CN" w:bidi="ar"/>
              </w:rPr>
              <w:t>门铰、锁、导轨采用广东五金配件，所有五金件作防锈、防腐处理，粘合剂材：环保净味胶水，甲醛含量达标</w:t>
            </w:r>
          </w:p>
        </w:tc>
      </w:tr>
      <w:tr w14:paraId="7AE57C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43" w:hRule="atLeast"/>
          <w:jc w:val="center"/>
        </w:trPr>
        <w:tc>
          <w:tcPr>
            <w:tcW w:w="799" w:type="dxa"/>
            <w:shd w:val="clear" w:color="auto" w:fill="auto"/>
            <w:vAlign w:val="center"/>
          </w:tcPr>
          <w:p w14:paraId="3C10A826">
            <w:pPr>
              <w:autoSpaceDE w:val="0"/>
              <w:autoSpaceDN w:val="0"/>
              <w:spacing w:line="360" w:lineRule="auto"/>
              <w:jc w:val="center"/>
              <w:textAlignment w:val="center"/>
              <w:rPr>
                <w:rFonts w:ascii="宋体" w:hAnsi="宋体" w:cs="宋体"/>
                <w:color w:val="auto"/>
                <w:sz w:val="21"/>
                <w:szCs w:val="21"/>
              </w:rPr>
            </w:pPr>
            <w:r>
              <w:rPr>
                <w:rFonts w:hint="eastAsia" w:ascii="宋体" w:hAnsi="宋体" w:cs="宋体"/>
                <w:color w:val="auto"/>
                <w:sz w:val="21"/>
                <w:szCs w:val="21"/>
                <w:lang w:eastAsia="zh-CN" w:bidi="ar"/>
              </w:rPr>
              <w:t>13</w:t>
            </w:r>
          </w:p>
        </w:tc>
        <w:tc>
          <w:tcPr>
            <w:tcW w:w="1511" w:type="dxa"/>
            <w:vAlign w:val="center"/>
          </w:tcPr>
          <w:p w14:paraId="1C2A2EB2">
            <w:pPr>
              <w:autoSpaceDE w:val="0"/>
              <w:autoSpaceDN w:val="0"/>
              <w:spacing w:line="360" w:lineRule="auto"/>
              <w:jc w:val="center"/>
              <w:rPr>
                <w:rFonts w:ascii="宋体" w:hAnsi="宋体" w:cs="宋体"/>
                <w:color w:val="auto"/>
                <w:sz w:val="21"/>
                <w:szCs w:val="21"/>
                <w:lang w:eastAsia="zh-CN"/>
              </w:rPr>
            </w:pPr>
            <w:r>
              <w:rPr>
                <w:rFonts w:hint="eastAsia" w:ascii="宋体" w:hAnsi="宋体" w:cs="宋体"/>
                <w:color w:val="auto"/>
                <w:spacing w:val="-1"/>
                <w:sz w:val="21"/>
                <w:szCs w:val="21"/>
                <w:lang w:eastAsia="zh-CN"/>
              </w:rPr>
              <w:t>教师办公室椅子</w:t>
            </w:r>
          </w:p>
        </w:tc>
        <w:tc>
          <w:tcPr>
            <w:tcW w:w="12568" w:type="dxa"/>
          </w:tcPr>
          <w:p w14:paraId="0BEE5012">
            <w:pPr>
              <w:autoSpaceDE w:val="0"/>
              <w:autoSpaceDN w:val="0"/>
              <w:spacing w:line="360" w:lineRule="auto"/>
              <w:rPr>
                <w:rFonts w:ascii="宋体" w:hAnsi="宋体" w:cs="宋体"/>
                <w:color w:val="auto"/>
                <w:spacing w:val="-2"/>
                <w:sz w:val="21"/>
                <w:szCs w:val="21"/>
                <w:lang w:eastAsia="zh-CN"/>
              </w:rPr>
            </w:pPr>
            <w:r>
              <w:rPr>
                <w:rFonts w:hint="eastAsia" w:ascii="宋体" w:hAnsi="宋体" w:cs="宋体"/>
                <w:color w:val="auto"/>
                <w:sz w:val="21"/>
                <w:szCs w:val="21"/>
                <w:lang w:eastAsia="zh-CN" w:bidi="ar"/>
              </w:rPr>
              <w:t>弓形椅尺寸：总高90cm,扶手高65cm,座宽48cm，座高43cm,背宽43cm,弓架宽52cm；材质：包括软包、网布、皮、布、合金；功能：可调节高度和角度功能，以适应不同的坐姿和姿势。</w:t>
            </w:r>
          </w:p>
        </w:tc>
      </w:tr>
      <w:tr w14:paraId="12485A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jc w:val="center"/>
        </w:trPr>
        <w:tc>
          <w:tcPr>
            <w:tcW w:w="799" w:type="dxa"/>
            <w:shd w:val="clear" w:color="auto" w:fill="auto"/>
            <w:vAlign w:val="center"/>
          </w:tcPr>
          <w:p w14:paraId="048B1981">
            <w:pPr>
              <w:autoSpaceDE w:val="0"/>
              <w:autoSpaceDN w:val="0"/>
              <w:spacing w:line="360" w:lineRule="auto"/>
              <w:jc w:val="center"/>
              <w:textAlignment w:val="center"/>
              <w:rPr>
                <w:rFonts w:ascii="宋体" w:hAnsi="宋体" w:cs="宋体"/>
                <w:color w:val="auto"/>
                <w:sz w:val="21"/>
                <w:szCs w:val="21"/>
              </w:rPr>
            </w:pPr>
            <w:r>
              <w:rPr>
                <w:rFonts w:hint="eastAsia" w:ascii="宋体" w:hAnsi="宋体" w:cs="宋体"/>
                <w:color w:val="auto"/>
                <w:sz w:val="21"/>
                <w:szCs w:val="21"/>
                <w:lang w:eastAsia="zh-CN" w:bidi="ar"/>
              </w:rPr>
              <w:t>14</w:t>
            </w:r>
          </w:p>
        </w:tc>
        <w:tc>
          <w:tcPr>
            <w:tcW w:w="1511" w:type="dxa"/>
            <w:vAlign w:val="center"/>
          </w:tcPr>
          <w:p w14:paraId="25716DF0">
            <w:pPr>
              <w:autoSpaceDE w:val="0"/>
              <w:autoSpaceDN w:val="0"/>
              <w:spacing w:line="360" w:lineRule="auto"/>
              <w:jc w:val="center"/>
              <w:rPr>
                <w:rFonts w:ascii="宋体" w:hAnsi="宋体" w:cs="宋体"/>
                <w:color w:val="auto"/>
                <w:sz w:val="21"/>
                <w:szCs w:val="21"/>
                <w:lang w:eastAsia="zh-CN"/>
              </w:rPr>
            </w:pPr>
            <w:r>
              <w:rPr>
                <w:rFonts w:hint="eastAsia" w:ascii="宋体" w:hAnsi="宋体" w:cs="宋体"/>
                <w:color w:val="auto"/>
                <w:spacing w:val="-1"/>
                <w:sz w:val="21"/>
                <w:szCs w:val="21"/>
                <w:lang w:eastAsia="zh-CN"/>
              </w:rPr>
              <w:t>八人位图书桌椅</w:t>
            </w:r>
          </w:p>
        </w:tc>
        <w:tc>
          <w:tcPr>
            <w:tcW w:w="12568" w:type="dxa"/>
          </w:tcPr>
          <w:p w14:paraId="4181B251">
            <w:pPr>
              <w:autoSpaceDE w:val="0"/>
              <w:autoSpaceDN w:val="0"/>
              <w:spacing w:line="360" w:lineRule="auto"/>
              <w:rPr>
                <w:rFonts w:ascii="宋体" w:hAnsi="宋体" w:cs="宋体"/>
                <w:color w:val="auto"/>
                <w:spacing w:val="-2"/>
                <w:sz w:val="21"/>
                <w:szCs w:val="21"/>
                <w:lang w:eastAsia="zh-CN"/>
              </w:rPr>
            </w:pPr>
            <w:r>
              <w:rPr>
                <w:rFonts w:hint="eastAsia" w:ascii="宋体" w:hAnsi="宋体" w:cs="宋体"/>
                <w:color w:val="auto"/>
                <w:sz w:val="21"/>
                <w:szCs w:val="21"/>
                <w:lang w:eastAsia="zh-CN"/>
              </w:rPr>
              <w:t>尺寸：</w:t>
            </w:r>
            <w:r>
              <w:rPr>
                <w:rFonts w:hint="eastAsia" w:ascii="宋体" w:hAnsi="宋体" w:cs="宋体"/>
                <w:color w:val="auto"/>
                <w:spacing w:val="-2"/>
                <w:sz w:val="21"/>
                <w:szCs w:val="21"/>
                <w:lang w:eastAsia="zh-CN"/>
              </w:rPr>
              <w:t>1800mm</w:t>
            </w:r>
            <w:r>
              <w:rPr>
                <w:rFonts w:hint="eastAsia" w:ascii="宋体" w:hAnsi="宋体" w:cs="宋体"/>
                <w:color w:val="auto"/>
                <w:kern w:val="2"/>
                <w:sz w:val="21"/>
                <w:szCs w:val="21"/>
                <w:lang w:eastAsia="zh-CN" w:bidi="ar"/>
              </w:rPr>
              <w:t>×</w:t>
            </w:r>
            <w:r>
              <w:rPr>
                <w:rFonts w:hint="eastAsia" w:ascii="宋体" w:hAnsi="宋体" w:cs="宋体"/>
                <w:color w:val="auto"/>
                <w:spacing w:val="-2"/>
                <w:sz w:val="21"/>
                <w:szCs w:val="21"/>
                <w:lang w:eastAsia="zh-CN"/>
              </w:rPr>
              <w:t>1200mm</w:t>
            </w:r>
            <w:r>
              <w:rPr>
                <w:rFonts w:hint="eastAsia" w:ascii="宋体" w:hAnsi="宋体" w:cs="宋体"/>
                <w:color w:val="auto"/>
                <w:kern w:val="2"/>
                <w:sz w:val="21"/>
                <w:szCs w:val="21"/>
                <w:lang w:eastAsia="zh-CN" w:bidi="ar"/>
              </w:rPr>
              <w:t>×</w:t>
            </w:r>
            <w:r>
              <w:rPr>
                <w:rFonts w:hint="eastAsia" w:ascii="宋体" w:hAnsi="宋体" w:cs="宋体"/>
                <w:color w:val="auto"/>
                <w:spacing w:val="-2"/>
                <w:sz w:val="21"/>
                <w:szCs w:val="21"/>
                <w:lang w:eastAsia="zh-CN"/>
              </w:rPr>
              <w:t>740mm</w:t>
            </w:r>
          </w:p>
          <w:p w14:paraId="437E2B29">
            <w:pPr>
              <w:autoSpaceDE w:val="0"/>
              <w:autoSpaceDN w:val="0"/>
              <w:spacing w:line="360" w:lineRule="auto"/>
              <w:rPr>
                <w:rFonts w:ascii="宋体" w:hAnsi="宋体" w:cs="宋体"/>
                <w:color w:val="auto"/>
                <w:sz w:val="21"/>
                <w:szCs w:val="21"/>
                <w:lang w:eastAsia="zh-CN"/>
              </w:rPr>
            </w:pPr>
            <w:r>
              <w:rPr>
                <w:rFonts w:hint="eastAsia" w:ascii="宋体" w:hAnsi="宋体" w:cs="宋体"/>
                <w:color w:val="auto"/>
                <w:sz w:val="21"/>
                <w:szCs w:val="21"/>
                <w:lang w:eastAsia="zh-CN"/>
              </w:rPr>
              <w:t>桌面材料：采用25mm厚优质环保实木颗粒板免漆板制作，桌脚：采用 50mm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rPr>
              <w:t>50mm，1.5mm壁厚优质钢管制作，黑色磨沙静电塑粉饰面；凳子主材采用30mm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rPr>
              <w:t>30mm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rPr>
              <w:t>1.2mm优质方管制作，凳面采用实木颗粒板一次注塑成型（240mm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rPr>
              <w:t>340mm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rPr>
              <w:t>25mm），一桌配八个凳子</w:t>
            </w:r>
          </w:p>
        </w:tc>
      </w:tr>
      <w:tr w14:paraId="72A1E4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5" w:hRule="atLeast"/>
          <w:jc w:val="center"/>
        </w:trPr>
        <w:tc>
          <w:tcPr>
            <w:tcW w:w="799" w:type="dxa"/>
            <w:shd w:val="clear" w:color="auto" w:fill="auto"/>
            <w:vAlign w:val="center"/>
          </w:tcPr>
          <w:p w14:paraId="4EED8B63">
            <w:pPr>
              <w:autoSpaceDE w:val="0"/>
              <w:autoSpaceDN w:val="0"/>
              <w:spacing w:line="360" w:lineRule="auto"/>
              <w:jc w:val="center"/>
              <w:textAlignment w:val="center"/>
              <w:rPr>
                <w:rFonts w:hint="default" w:ascii="宋体" w:hAnsi="宋体" w:cs="宋体"/>
                <w:color w:val="auto"/>
                <w:sz w:val="21"/>
                <w:szCs w:val="21"/>
                <w:lang w:val="en-US"/>
              </w:rPr>
            </w:pPr>
            <w:r>
              <w:rPr>
                <w:rFonts w:hint="eastAsia" w:ascii="宋体" w:hAnsi="宋体" w:cs="宋体"/>
                <w:color w:val="auto"/>
                <w:sz w:val="21"/>
                <w:szCs w:val="21"/>
                <w:lang w:val="en-US" w:eastAsia="zh-CN" w:bidi="ar"/>
              </w:rPr>
              <w:t>15</w:t>
            </w:r>
          </w:p>
        </w:tc>
        <w:tc>
          <w:tcPr>
            <w:tcW w:w="1511" w:type="dxa"/>
            <w:vAlign w:val="center"/>
          </w:tcPr>
          <w:p w14:paraId="69C3C94A">
            <w:pPr>
              <w:autoSpaceDE w:val="0"/>
              <w:autoSpaceDN w:val="0"/>
              <w:spacing w:line="360" w:lineRule="auto"/>
              <w:jc w:val="center"/>
              <w:rPr>
                <w:rFonts w:ascii="宋体" w:hAnsi="宋体" w:cs="宋体"/>
                <w:color w:val="auto"/>
                <w:sz w:val="21"/>
                <w:szCs w:val="21"/>
                <w:lang w:eastAsia="zh-CN"/>
              </w:rPr>
            </w:pPr>
            <w:r>
              <w:rPr>
                <w:rFonts w:hint="eastAsia" w:ascii="宋体" w:hAnsi="宋体" w:cs="宋体"/>
                <w:color w:val="auto"/>
                <w:spacing w:val="-3"/>
                <w:sz w:val="21"/>
                <w:szCs w:val="21"/>
                <w:lang w:eastAsia="zh-CN"/>
              </w:rPr>
              <w:t>书架沙发</w:t>
            </w:r>
          </w:p>
        </w:tc>
        <w:tc>
          <w:tcPr>
            <w:tcW w:w="12568" w:type="dxa"/>
          </w:tcPr>
          <w:p w14:paraId="237987C0">
            <w:pPr>
              <w:autoSpaceDE w:val="0"/>
              <w:autoSpaceDN w:val="0"/>
              <w:spacing w:line="360" w:lineRule="auto"/>
              <w:rPr>
                <w:rFonts w:ascii="宋体" w:hAnsi="宋体" w:cs="宋体"/>
                <w:color w:val="auto"/>
                <w:spacing w:val="-2"/>
                <w:sz w:val="21"/>
                <w:szCs w:val="21"/>
                <w:lang w:eastAsia="zh-CN"/>
              </w:rPr>
            </w:pPr>
            <w:r>
              <w:rPr>
                <w:rFonts w:hint="eastAsia" w:ascii="宋体" w:hAnsi="宋体" w:cs="宋体"/>
                <w:color w:val="auto"/>
                <w:sz w:val="21"/>
                <w:szCs w:val="21"/>
                <w:lang w:eastAsia="zh-CN"/>
              </w:rPr>
              <w:t>尺寸</w:t>
            </w:r>
            <w:r>
              <w:rPr>
                <w:rFonts w:hint="eastAsia" w:ascii="宋体" w:hAnsi="宋体" w:cs="宋体"/>
                <w:color w:val="auto"/>
                <w:spacing w:val="-2"/>
                <w:sz w:val="21"/>
                <w:szCs w:val="21"/>
                <w:lang w:eastAsia="zh-CN"/>
              </w:rPr>
              <w:t>3500</w:t>
            </w:r>
            <w:r>
              <w:rPr>
                <w:rFonts w:hint="eastAsia" w:ascii="宋体" w:hAnsi="宋体" w:cs="宋体"/>
                <w:color w:val="auto"/>
                <w:spacing w:val="-1"/>
                <w:sz w:val="21"/>
                <w:szCs w:val="21"/>
                <w:lang w:eastAsia="zh-CN"/>
              </w:rPr>
              <w:t>mm</w:t>
            </w:r>
            <w:r>
              <w:rPr>
                <w:rFonts w:hint="eastAsia" w:ascii="宋体" w:hAnsi="宋体" w:cs="宋体"/>
                <w:color w:val="auto"/>
                <w:spacing w:val="-2"/>
                <w:sz w:val="21"/>
                <w:szCs w:val="21"/>
                <w:lang w:eastAsia="zh-CN"/>
              </w:rPr>
              <w:t>×2200</w:t>
            </w:r>
            <w:r>
              <w:rPr>
                <w:rFonts w:hint="eastAsia" w:ascii="宋体" w:hAnsi="宋体" w:cs="宋体"/>
                <w:color w:val="auto"/>
                <w:spacing w:val="-1"/>
                <w:sz w:val="21"/>
                <w:szCs w:val="21"/>
                <w:lang w:eastAsia="zh-CN"/>
              </w:rPr>
              <w:t>mm</w:t>
            </w:r>
          </w:p>
          <w:p w14:paraId="2BEF7E2D">
            <w:pPr>
              <w:pStyle w:val="43"/>
              <w:autoSpaceDE w:val="0"/>
              <w:autoSpaceDN w:val="0"/>
              <w:spacing w:line="360" w:lineRule="auto"/>
              <w:ind w:left="0" w:leftChars="0" w:firstLine="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沙发基座：实木框架，质地坚硬，拒绝塌陷；座垫：采用优质环保透气棉麻做为饰面，高密度海绵填充，坐感舒适久坐不变形；</w:t>
            </w:r>
          </w:p>
        </w:tc>
      </w:tr>
      <w:tr w14:paraId="5E15D5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4" w:hRule="atLeast"/>
          <w:jc w:val="center"/>
        </w:trPr>
        <w:tc>
          <w:tcPr>
            <w:tcW w:w="799" w:type="dxa"/>
            <w:shd w:val="clear" w:color="auto" w:fill="auto"/>
            <w:vAlign w:val="center"/>
          </w:tcPr>
          <w:p w14:paraId="05109F24">
            <w:pPr>
              <w:autoSpaceDE w:val="0"/>
              <w:autoSpaceDN w:val="0"/>
              <w:spacing w:line="360" w:lineRule="auto"/>
              <w:jc w:val="center"/>
              <w:textAlignment w:val="center"/>
              <w:rPr>
                <w:rFonts w:hint="default" w:ascii="宋体" w:hAnsi="宋体" w:cs="宋体"/>
                <w:color w:val="auto"/>
                <w:sz w:val="21"/>
                <w:szCs w:val="21"/>
                <w:lang w:val="en-US" w:eastAsia="zh-CN" w:bidi="ar"/>
              </w:rPr>
            </w:pPr>
            <w:r>
              <w:rPr>
                <w:rFonts w:hint="eastAsia" w:ascii="宋体" w:hAnsi="宋体" w:cs="宋体"/>
                <w:color w:val="auto"/>
                <w:sz w:val="21"/>
                <w:szCs w:val="21"/>
                <w:lang w:val="en-US" w:eastAsia="zh-CN" w:bidi="ar"/>
              </w:rPr>
              <w:t>16</w:t>
            </w:r>
          </w:p>
        </w:tc>
        <w:tc>
          <w:tcPr>
            <w:tcW w:w="1511" w:type="dxa"/>
            <w:vAlign w:val="center"/>
          </w:tcPr>
          <w:p w14:paraId="0F05CA76">
            <w:pPr>
              <w:autoSpaceDE w:val="0"/>
              <w:autoSpaceDN w:val="0"/>
              <w:spacing w:line="360" w:lineRule="auto"/>
              <w:jc w:val="center"/>
              <w:rPr>
                <w:rFonts w:ascii="宋体" w:hAnsi="宋体" w:cs="宋体"/>
                <w:color w:val="auto"/>
                <w:spacing w:val="-3"/>
                <w:sz w:val="21"/>
                <w:szCs w:val="21"/>
                <w:lang w:eastAsia="zh-CN"/>
              </w:rPr>
            </w:pPr>
            <w:r>
              <w:rPr>
                <w:rFonts w:hint="eastAsia" w:ascii="宋体" w:hAnsi="宋体" w:cs="宋体"/>
                <w:color w:val="auto"/>
                <w:spacing w:val="-3"/>
                <w:sz w:val="21"/>
                <w:szCs w:val="21"/>
                <w:lang w:eastAsia="zh-CN"/>
              </w:rPr>
              <w:t>组合黑板</w:t>
            </w:r>
          </w:p>
        </w:tc>
        <w:tc>
          <w:tcPr>
            <w:tcW w:w="12568" w:type="dxa"/>
          </w:tcPr>
          <w:p w14:paraId="60C87E46">
            <w:pPr>
              <w:pStyle w:val="43"/>
              <w:autoSpaceDE w:val="0"/>
              <w:autoSpaceDN w:val="0"/>
              <w:spacing w:line="360" w:lineRule="auto"/>
              <w:ind w:left="0" w:leftChars="0" w:firstLine="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推拉板参数表</w:t>
            </w:r>
          </w:p>
          <w:p w14:paraId="25F640C9">
            <w:pPr>
              <w:pStyle w:val="43"/>
              <w:autoSpaceDE w:val="0"/>
              <w:autoSpaceDN w:val="0"/>
              <w:spacing w:line="360" w:lineRule="auto"/>
              <w:ind w:left="0" w:leftChars="0" w:firstLine="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基本尺寸：4000mm×1300mm左右，可根据所配液晶电视适当调整，确保与液晶电视有效配套。</w:t>
            </w:r>
          </w:p>
          <w:p w14:paraId="4A9A7E34">
            <w:pPr>
              <w:pStyle w:val="43"/>
              <w:autoSpaceDE w:val="0"/>
              <w:autoSpaceDN w:val="0"/>
              <w:spacing w:line="360" w:lineRule="auto"/>
              <w:ind w:left="0" w:leftChars="0" w:firstLine="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整体结构： 左右推拉结构，外框和轨道一体化设计，模具一次成型；轨道上置隐藏双吊式滑轮，结构性解决滑轮受粉尘影响的情况，边框经氧化、电泳处理。内外两层结构，内层两侧有两块固定绿板，中间镶嵌液晶电视，液晶电视前端和固定板前端平行。外层两块滑动绿板，保证与液晶电视物理尺寸配套，滑到中间可完全遮挡液晶电视后锁定，以便保护配套液晶电视。</w:t>
            </w:r>
          </w:p>
          <w:p w14:paraId="366B9D54">
            <w:pPr>
              <w:pStyle w:val="43"/>
              <w:autoSpaceDE w:val="0"/>
              <w:autoSpaceDN w:val="0"/>
              <w:spacing w:line="360" w:lineRule="auto"/>
              <w:ind w:left="0" w:leftChars="0" w:firstLine="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板面：优质金属烤漆书写板面，采用专用教学黑板优质板面，墨绿色、亚光，厚度为0.3mm左右，漆膜硬度9H，漆层为0.025；无裂纹、无流痕、无气泡等缺陷，细腻平整、书写流畅、字迹清晰、擦后无残留、耐磨损、耐腐蚀、色调柔和、时尚美观，学生任何角度都能正常观看。表面粗糙度：Ra 1.6-3.2＆micro:m，光泽度：光泽度≤6﹪，符合 GB/T28231-2011《书写板安全卫生要求》，板面可吸附磁针、磁片，书写面规整光洁，色彩协调，亚光，干擦、可视效果佳。</w:t>
            </w:r>
          </w:p>
        </w:tc>
      </w:tr>
    </w:tbl>
    <w:p w14:paraId="41E75E1A">
      <w:pPr>
        <w:widowControl/>
        <w:spacing w:before="312" w:after="100"/>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四、采购标的的数量、采购项目交付或者实施的时间和地点；</w:t>
      </w:r>
    </w:p>
    <w:p w14:paraId="7EB5B895">
      <w:pPr>
        <w:widowControl/>
        <w:spacing w:before="312" w:after="100"/>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标段1：电子类</w:t>
      </w:r>
    </w:p>
    <w:tbl>
      <w:tblPr>
        <w:tblStyle w:val="119"/>
        <w:tblW w:w="1403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38"/>
        <w:gridCol w:w="5970"/>
        <w:gridCol w:w="1710"/>
        <w:gridCol w:w="1845"/>
        <w:gridCol w:w="1950"/>
        <w:gridCol w:w="1426"/>
      </w:tblGrid>
      <w:tr w14:paraId="65BA1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1138" w:type="dxa"/>
            <w:shd w:val="clear" w:color="auto" w:fill="auto"/>
            <w:vAlign w:val="center"/>
          </w:tcPr>
          <w:p w14:paraId="61735FCD">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序号</w:t>
            </w:r>
          </w:p>
        </w:tc>
        <w:tc>
          <w:tcPr>
            <w:tcW w:w="5970" w:type="dxa"/>
            <w:vAlign w:val="center"/>
          </w:tcPr>
          <w:p w14:paraId="58B83020">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产品名称</w:t>
            </w:r>
          </w:p>
        </w:tc>
        <w:tc>
          <w:tcPr>
            <w:tcW w:w="1710" w:type="dxa"/>
            <w:vAlign w:val="center"/>
          </w:tcPr>
          <w:p w14:paraId="7CABBD07">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数量</w:t>
            </w:r>
          </w:p>
        </w:tc>
        <w:tc>
          <w:tcPr>
            <w:tcW w:w="1845" w:type="dxa"/>
            <w:vAlign w:val="center"/>
          </w:tcPr>
          <w:p w14:paraId="6FE2CB8A">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单价（元）</w:t>
            </w:r>
          </w:p>
        </w:tc>
        <w:tc>
          <w:tcPr>
            <w:tcW w:w="1950" w:type="dxa"/>
            <w:vAlign w:val="center"/>
          </w:tcPr>
          <w:p w14:paraId="6451894F">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总价（元）</w:t>
            </w:r>
          </w:p>
        </w:tc>
        <w:tc>
          <w:tcPr>
            <w:tcW w:w="1426" w:type="dxa"/>
            <w:vAlign w:val="center"/>
          </w:tcPr>
          <w:p w14:paraId="199965D4">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是否为核心产品</w:t>
            </w:r>
          </w:p>
        </w:tc>
      </w:tr>
      <w:tr w14:paraId="58C244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9" w:hRule="atLeast"/>
          <w:jc w:val="center"/>
        </w:trPr>
        <w:tc>
          <w:tcPr>
            <w:tcW w:w="1138" w:type="dxa"/>
            <w:vMerge w:val="restart"/>
            <w:shd w:val="clear" w:color="auto" w:fill="auto"/>
            <w:vAlign w:val="center"/>
          </w:tcPr>
          <w:p w14:paraId="4CB25B60">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1</w:t>
            </w:r>
          </w:p>
        </w:tc>
        <w:tc>
          <w:tcPr>
            <w:tcW w:w="5970" w:type="dxa"/>
            <w:vAlign w:val="center"/>
          </w:tcPr>
          <w:p w14:paraId="0D4E6D5A">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教学一体机电脑</w:t>
            </w:r>
          </w:p>
        </w:tc>
        <w:tc>
          <w:tcPr>
            <w:tcW w:w="1710" w:type="dxa"/>
            <w:vMerge w:val="restart"/>
            <w:vAlign w:val="center"/>
          </w:tcPr>
          <w:p w14:paraId="205E3640">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20台</w:t>
            </w:r>
          </w:p>
        </w:tc>
        <w:tc>
          <w:tcPr>
            <w:tcW w:w="1845" w:type="dxa"/>
            <w:vMerge w:val="restart"/>
            <w:vAlign w:val="center"/>
          </w:tcPr>
          <w:p w14:paraId="45AB7A05">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13500.00</w:t>
            </w:r>
          </w:p>
        </w:tc>
        <w:tc>
          <w:tcPr>
            <w:tcW w:w="1950" w:type="dxa"/>
            <w:vMerge w:val="restart"/>
            <w:vAlign w:val="center"/>
          </w:tcPr>
          <w:p w14:paraId="4798ADC6">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270000.00</w:t>
            </w:r>
          </w:p>
        </w:tc>
        <w:tc>
          <w:tcPr>
            <w:tcW w:w="1426" w:type="dxa"/>
            <w:vMerge w:val="restart"/>
            <w:vAlign w:val="center"/>
          </w:tcPr>
          <w:p w14:paraId="348B93BF">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val="en-US" w:eastAsia="zh-CN" w:bidi="ar"/>
              </w:rPr>
              <w:t>否</w:t>
            </w:r>
          </w:p>
        </w:tc>
      </w:tr>
      <w:tr w14:paraId="0EDD6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9" w:hRule="atLeast"/>
          <w:jc w:val="center"/>
        </w:trPr>
        <w:tc>
          <w:tcPr>
            <w:tcW w:w="1138" w:type="dxa"/>
            <w:vMerge w:val="continue"/>
            <w:shd w:val="clear" w:color="auto" w:fill="auto"/>
            <w:vAlign w:val="center"/>
          </w:tcPr>
          <w:p w14:paraId="7D034681">
            <w:pPr>
              <w:widowControl/>
              <w:autoSpaceDE w:val="0"/>
              <w:autoSpaceDN w:val="0"/>
              <w:spacing w:before="312" w:after="100"/>
              <w:jc w:val="center"/>
              <w:rPr>
                <w:rFonts w:ascii="宋体" w:hAnsi="宋体" w:cs="宋体"/>
                <w:color w:val="auto"/>
                <w:sz w:val="21"/>
                <w:szCs w:val="21"/>
                <w:lang w:eastAsia="zh-CN" w:bidi="ar"/>
              </w:rPr>
            </w:pPr>
          </w:p>
        </w:tc>
        <w:tc>
          <w:tcPr>
            <w:tcW w:w="5970" w:type="dxa"/>
            <w:vAlign w:val="center"/>
          </w:tcPr>
          <w:p w14:paraId="386D1ADF">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壁挂展台</w:t>
            </w:r>
          </w:p>
        </w:tc>
        <w:tc>
          <w:tcPr>
            <w:tcW w:w="1710" w:type="dxa"/>
            <w:vMerge w:val="continue"/>
            <w:vAlign w:val="center"/>
          </w:tcPr>
          <w:p w14:paraId="15E544E5">
            <w:pPr>
              <w:widowControl/>
              <w:autoSpaceDE w:val="0"/>
              <w:autoSpaceDN w:val="0"/>
              <w:spacing w:before="312" w:after="100"/>
              <w:jc w:val="center"/>
              <w:rPr>
                <w:rFonts w:ascii="宋体" w:hAnsi="宋体" w:cs="宋体"/>
                <w:color w:val="auto"/>
                <w:sz w:val="21"/>
                <w:szCs w:val="21"/>
                <w:lang w:eastAsia="zh-CN" w:bidi="ar"/>
              </w:rPr>
            </w:pPr>
          </w:p>
        </w:tc>
        <w:tc>
          <w:tcPr>
            <w:tcW w:w="1845" w:type="dxa"/>
            <w:vMerge w:val="continue"/>
            <w:vAlign w:val="center"/>
          </w:tcPr>
          <w:p w14:paraId="6B97954F">
            <w:pPr>
              <w:widowControl/>
              <w:autoSpaceDE w:val="0"/>
              <w:autoSpaceDN w:val="0"/>
              <w:spacing w:before="312" w:after="100"/>
              <w:jc w:val="center"/>
              <w:rPr>
                <w:rFonts w:ascii="宋体" w:hAnsi="宋体" w:cs="宋体"/>
                <w:color w:val="auto"/>
                <w:sz w:val="21"/>
                <w:szCs w:val="21"/>
                <w:lang w:eastAsia="zh-CN" w:bidi="ar"/>
              </w:rPr>
            </w:pPr>
          </w:p>
        </w:tc>
        <w:tc>
          <w:tcPr>
            <w:tcW w:w="1950" w:type="dxa"/>
            <w:vMerge w:val="continue"/>
            <w:vAlign w:val="center"/>
          </w:tcPr>
          <w:p w14:paraId="113512D3">
            <w:pPr>
              <w:widowControl/>
              <w:autoSpaceDE w:val="0"/>
              <w:autoSpaceDN w:val="0"/>
              <w:spacing w:before="312" w:after="100"/>
              <w:jc w:val="center"/>
              <w:rPr>
                <w:rFonts w:ascii="宋体" w:hAnsi="宋体" w:cs="宋体"/>
                <w:color w:val="auto"/>
                <w:sz w:val="21"/>
                <w:szCs w:val="21"/>
                <w:lang w:eastAsia="zh-CN" w:bidi="ar"/>
              </w:rPr>
            </w:pPr>
          </w:p>
        </w:tc>
        <w:tc>
          <w:tcPr>
            <w:tcW w:w="1426" w:type="dxa"/>
            <w:vMerge w:val="continue"/>
            <w:vAlign w:val="center"/>
          </w:tcPr>
          <w:p w14:paraId="50480A13">
            <w:pPr>
              <w:widowControl/>
              <w:autoSpaceDE w:val="0"/>
              <w:autoSpaceDN w:val="0"/>
              <w:spacing w:before="312" w:after="100"/>
              <w:jc w:val="center"/>
              <w:rPr>
                <w:rFonts w:ascii="宋体" w:hAnsi="宋体" w:cs="宋体"/>
                <w:color w:val="auto"/>
                <w:sz w:val="21"/>
                <w:szCs w:val="21"/>
                <w:lang w:eastAsia="zh-CN" w:bidi="ar"/>
              </w:rPr>
            </w:pPr>
          </w:p>
        </w:tc>
      </w:tr>
      <w:tr w14:paraId="0E3630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9" w:hRule="atLeast"/>
          <w:jc w:val="center"/>
        </w:trPr>
        <w:tc>
          <w:tcPr>
            <w:tcW w:w="1138" w:type="dxa"/>
            <w:shd w:val="clear" w:color="auto" w:fill="auto"/>
            <w:vAlign w:val="center"/>
          </w:tcPr>
          <w:p w14:paraId="6A8108F8">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2</w:t>
            </w:r>
          </w:p>
        </w:tc>
        <w:tc>
          <w:tcPr>
            <w:tcW w:w="5970" w:type="dxa"/>
            <w:vAlign w:val="center"/>
          </w:tcPr>
          <w:p w14:paraId="18B5BFFC">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信息技术教室（教师机）</w:t>
            </w:r>
          </w:p>
        </w:tc>
        <w:tc>
          <w:tcPr>
            <w:tcW w:w="1710" w:type="dxa"/>
            <w:vAlign w:val="center"/>
          </w:tcPr>
          <w:p w14:paraId="24473B26">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4台</w:t>
            </w:r>
          </w:p>
        </w:tc>
        <w:tc>
          <w:tcPr>
            <w:tcW w:w="1845" w:type="dxa"/>
            <w:vAlign w:val="center"/>
          </w:tcPr>
          <w:p w14:paraId="0F78AC66">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4500.00</w:t>
            </w:r>
          </w:p>
        </w:tc>
        <w:tc>
          <w:tcPr>
            <w:tcW w:w="1950" w:type="dxa"/>
            <w:vAlign w:val="center"/>
          </w:tcPr>
          <w:p w14:paraId="459587BB">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18000.00</w:t>
            </w:r>
          </w:p>
        </w:tc>
        <w:tc>
          <w:tcPr>
            <w:tcW w:w="1426" w:type="dxa"/>
            <w:vAlign w:val="center"/>
          </w:tcPr>
          <w:p w14:paraId="68EF7B0B">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val="en-US" w:eastAsia="zh-CN" w:bidi="ar"/>
              </w:rPr>
              <w:t>否</w:t>
            </w:r>
          </w:p>
        </w:tc>
      </w:tr>
      <w:tr w14:paraId="64C647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1" w:hRule="atLeast"/>
          <w:jc w:val="center"/>
        </w:trPr>
        <w:tc>
          <w:tcPr>
            <w:tcW w:w="1138" w:type="dxa"/>
            <w:shd w:val="clear" w:color="auto" w:fill="auto"/>
            <w:vAlign w:val="center"/>
          </w:tcPr>
          <w:p w14:paraId="23A2C39B">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3</w:t>
            </w:r>
          </w:p>
        </w:tc>
        <w:tc>
          <w:tcPr>
            <w:tcW w:w="5970" w:type="dxa"/>
            <w:vAlign w:val="center"/>
          </w:tcPr>
          <w:p w14:paraId="69B94986">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信息技术教室（学生机）</w:t>
            </w:r>
          </w:p>
        </w:tc>
        <w:tc>
          <w:tcPr>
            <w:tcW w:w="1710" w:type="dxa"/>
            <w:vAlign w:val="center"/>
          </w:tcPr>
          <w:p w14:paraId="63043A33">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100台</w:t>
            </w:r>
          </w:p>
        </w:tc>
        <w:tc>
          <w:tcPr>
            <w:tcW w:w="1845" w:type="dxa"/>
            <w:vAlign w:val="center"/>
          </w:tcPr>
          <w:p w14:paraId="18F2D798">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4000.00</w:t>
            </w:r>
          </w:p>
        </w:tc>
        <w:tc>
          <w:tcPr>
            <w:tcW w:w="1950" w:type="dxa"/>
            <w:vAlign w:val="center"/>
          </w:tcPr>
          <w:p w14:paraId="0DA0968E">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400000.00</w:t>
            </w:r>
          </w:p>
        </w:tc>
        <w:tc>
          <w:tcPr>
            <w:tcW w:w="1426" w:type="dxa"/>
            <w:vAlign w:val="center"/>
          </w:tcPr>
          <w:p w14:paraId="142203C6">
            <w:pPr>
              <w:widowControl/>
              <w:autoSpaceDE w:val="0"/>
              <w:autoSpaceDN w:val="0"/>
              <w:spacing w:before="312" w:after="100"/>
              <w:jc w:val="center"/>
              <w:rPr>
                <w:rFonts w:ascii="宋体" w:hAnsi="宋体" w:cs="宋体"/>
                <w:color w:val="auto"/>
                <w:sz w:val="21"/>
                <w:szCs w:val="21"/>
                <w:lang w:eastAsia="zh-CN" w:bidi="ar"/>
              </w:rPr>
            </w:pPr>
            <w:r>
              <w:rPr>
                <w:rFonts w:ascii="宋体" w:hAnsi="宋体" w:cs="宋体"/>
                <w:color w:val="auto"/>
                <w:sz w:val="21"/>
                <w:szCs w:val="21"/>
                <w:lang w:eastAsia="zh-CN" w:bidi="ar"/>
              </w:rPr>
              <w:t>是</w:t>
            </w:r>
          </w:p>
        </w:tc>
      </w:tr>
      <w:tr w14:paraId="690B8B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6" w:hRule="atLeast"/>
          <w:jc w:val="center"/>
        </w:trPr>
        <w:tc>
          <w:tcPr>
            <w:tcW w:w="1138" w:type="dxa"/>
            <w:shd w:val="clear" w:color="auto" w:fill="auto"/>
            <w:vAlign w:val="center"/>
          </w:tcPr>
          <w:p w14:paraId="471E46E3">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4</w:t>
            </w:r>
          </w:p>
        </w:tc>
        <w:tc>
          <w:tcPr>
            <w:tcW w:w="5970" w:type="dxa"/>
            <w:vAlign w:val="center"/>
          </w:tcPr>
          <w:p w14:paraId="091F85D5">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触控查询一体机</w:t>
            </w:r>
          </w:p>
        </w:tc>
        <w:tc>
          <w:tcPr>
            <w:tcW w:w="1710" w:type="dxa"/>
            <w:vAlign w:val="center"/>
          </w:tcPr>
          <w:p w14:paraId="3BCB0B51">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1台</w:t>
            </w:r>
          </w:p>
        </w:tc>
        <w:tc>
          <w:tcPr>
            <w:tcW w:w="1845" w:type="dxa"/>
            <w:vAlign w:val="center"/>
          </w:tcPr>
          <w:p w14:paraId="0719340B">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7000.00</w:t>
            </w:r>
          </w:p>
        </w:tc>
        <w:tc>
          <w:tcPr>
            <w:tcW w:w="1950" w:type="dxa"/>
            <w:vAlign w:val="center"/>
          </w:tcPr>
          <w:p w14:paraId="046B516E">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7000.00</w:t>
            </w:r>
          </w:p>
        </w:tc>
        <w:tc>
          <w:tcPr>
            <w:tcW w:w="1426" w:type="dxa"/>
            <w:vAlign w:val="center"/>
          </w:tcPr>
          <w:p w14:paraId="1C082500">
            <w:pPr>
              <w:widowControl/>
              <w:autoSpaceDE w:val="0"/>
              <w:autoSpaceDN w:val="0"/>
              <w:spacing w:before="312" w:after="100"/>
              <w:jc w:val="center"/>
              <w:rPr>
                <w:rFonts w:ascii="宋体" w:hAnsi="宋体" w:cs="宋体"/>
                <w:color w:val="auto"/>
                <w:sz w:val="21"/>
                <w:szCs w:val="21"/>
                <w:lang w:eastAsia="zh-CN" w:bidi="ar"/>
              </w:rPr>
            </w:pPr>
            <w:r>
              <w:rPr>
                <w:rFonts w:ascii="宋体" w:hAnsi="宋体" w:cs="宋体"/>
                <w:color w:val="auto"/>
                <w:sz w:val="21"/>
                <w:szCs w:val="21"/>
                <w:lang w:eastAsia="zh-CN" w:bidi="ar"/>
              </w:rPr>
              <w:t>否</w:t>
            </w:r>
          </w:p>
        </w:tc>
      </w:tr>
    </w:tbl>
    <w:p w14:paraId="09EA2032">
      <w:pPr>
        <w:widowControl/>
        <w:spacing w:before="312" w:after="100"/>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标段2：家具类</w:t>
      </w:r>
    </w:p>
    <w:tbl>
      <w:tblPr>
        <w:tblStyle w:val="119"/>
        <w:tblW w:w="1403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38"/>
        <w:gridCol w:w="5970"/>
        <w:gridCol w:w="1710"/>
        <w:gridCol w:w="1845"/>
        <w:gridCol w:w="1950"/>
        <w:gridCol w:w="1426"/>
      </w:tblGrid>
      <w:tr w14:paraId="12155F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jc w:val="center"/>
        </w:trPr>
        <w:tc>
          <w:tcPr>
            <w:tcW w:w="1138" w:type="dxa"/>
            <w:shd w:val="clear" w:color="auto" w:fill="auto"/>
            <w:vAlign w:val="center"/>
          </w:tcPr>
          <w:p w14:paraId="40EB8A28">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序号</w:t>
            </w:r>
          </w:p>
        </w:tc>
        <w:tc>
          <w:tcPr>
            <w:tcW w:w="5970" w:type="dxa"/>
            <w:vAlign w:val="center"/>
          </w:tcPr>
          <w:p w14:paraId="49753A47">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产品名称</w:t>
            </w:r>
          </w:p>
        </w:tc>
        <w:tc>
          <w:tcPr>
            <w:tcW w:w="1710" w:type="dxa"/>
            <w:vAlign w:val="center"/>
          </w:tcPr>
          <w:p w14:paraId="06131B3B">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数量</w:t>
            </w:r>
          </w:p>
        </w:tc>
        <w:tc>
          <w:tcPr>
            <w:tcW w:w="1845" w:type="dxa"/>
            <w:vAlign w:val="center"/>
          </w:tcPr>
          <w:p w14:paraId="546F2607">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单价（元）</w:t>
            </w:r>
          </w:p>
        </w:tc>
        <w:tc>
          <w:tcPr>
            <w:tcW w:w="1950" w:type="dxa"/>
            <w:vAlign w:val="center"/>
          </w:tcPr>
          <w:p w14:paraId="36670470">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总价（元）</w:t>
            </w:r>
          </w:p>
        </w:tc>
        <w:tc>
          <w:tcPr>
            <w:tcW w:w="1426" w:type="dxa"/>
            <w:vAlign w:val="center"/>
          </w:tcPr>
          <w:p w14:paraId="49C47839">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是否为核心产品</w:t>
            </w:r>
          </w:p>
        </w:tc>
      </w:tr>
      <w:tr w14:paraId="6C6CAB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4" w:hRule="atLeast"/>
          <w:jc w:val="center"/>
        </w:trPr>
        <w:tc>
          <w:tcPr>
            <w:tcW w:w="1138" w:type="dxa"/>
            <w:shd w:val="clear" w:color="auto" w:fill="auto"/>
            <w:vAlign w:val="center"/>
          </w:tcPr>
          <w:p w14:paraId="4EBFBFA9">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w:t>
            </w:r>
          </w:p>
        </w:tc>
        <w:tc>
          <w:tcPr>
            <w:tcW w:w="5970" w:type="dxa"/>
            <w:vAlign w:val="center"/>
          </w:tcPr>
          <w:p w14:paraId="275DE8FE">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课桌椅</w:t>
            </w:r>
          </w:p>
        </w:tc>
        <w:tc>
          <w:tcPr>
            <w:tcW w:w="1710" w:type="dxa"/>
            <w:vAlign w:val="center"/>
          </w:tcPr>
          <w:p w14:paraId="7CDD380D">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600套</w:t>
            </w:r>
          </w:p>
        </w:tc>
        <w:tc>
          <w:tcPr>
            <w:tcW w:w="1845" w:type="dxa"/>
            <w:vAlign w:val="center"/>
          </w:tcPr>
          <w:p w14:paraId="75640501">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300.00</w:t>
            </w:r>
          </w:p>
        </w:tc>
        <w:tc>
          <w:tcPr>
            <w:tcW w:w="1950" w:type="dxa"/>
            <w:vAlign w:val="center"/>
          </w:tcPr>
          <w:p w14:paraId="3D681FDA">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180000.00</w:t>
            </w:r>
          </w:p>
        </w:tc>
        <w:tc>
          <w:tcPr>
            <w:tcW w:w="1426" w:type="dxa"/>
            <w:vAlign w:val="center"/>
          </w:tcPr>
          <w:p w14:paraId="765BA731">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是</w:t>
            </w:r>
          </w:p>
        </w:tc>
      </w:tr>
      <w:tr w14:paraId="343426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9" w:hRule="atLeast"/>
          <w:jc w:val="center"/>
        </w:trPr>
        <w:tc>
          <w:tcPr>
            <w:tcW w:w="1138" w:type="dxa"/>
            <w:shd w:val="clear" w:color="auto" w:fill="auto"/>
            <w:vAlign w:val="center"/>
          </w:tcPr>
          <w:p w14:paraId="3A541F81">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2</w:t>
            </w:r>
          </w:p>
        </w:tc>
        <w:tc>
          <w:tcPr>
            <w:tcW w:w="5970" w:type="dxa"/>
            <w:vAlign w:val="center"/>
          </w:tcPr>
          <w:p w14:paraId="3AA4D8AB">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普通教室讲台</w:t>
            </w:r>
          </w:p>
        </w:tc>
        <w:tc>
          <w:tcPr>
            <w:tcW w:w="1710" w:type="dxa"/>
            <w:vAlign w:val="center"/>
          </w:tcPr>
          <w:p w14:paraId="2938FA8A">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12张</w:t>
            </w:r>
          </w:p>
        </w:tc>
        <w:tc>
          <w:tcPr>
            <w:tcW w:w="1845" w:type="dxa"/>
            <w:vAlign w:val="center"/>
          </w:tcPr>
          <w:p w14:paraId="526E110F">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800.00</w:t>
            </w:r>
          </w:p>
        </w:tc>
        <w:tc>
          <w:tcPr>
            <w:tcW w:w="1950" w:type="dxa"/>
            <w:vAlign w:val="center"/>
          </w:tcPr>
          <w:p w14:paraId="66909C1C">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9600.00</w:t>
            </w:r>
          </w:p>
        </w:tc>
        <w:tc>
          <w:tcPr>
            <w:tcW w:w="1426" w:type="dxa"/>
            <w:vAlign w:val="center"/>
          </w:tcPr>
          <w:p w14:paraId="23BE5617">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否</w:t>
            </w:r>
          </w:p>
        </w:tc>
      </w:tr>
      <w:tr w14:paraId="7E4089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6" w:hRule="atLeast"/>
          <w:jc w:val="center"/>
        </w:trPr>
        <w:tc>
          <w:tcPr>
            <w:tcW w:w="1138" w:type="dxa"/>
            <w:shd w:val="clear" w:color="auto" w:fill="auto"/>
            <w:vAlign w:val="center"/>
          </w:tcPr>
          <w:p w14:paraId="58398E34">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3</w:t>
            </w:r>
          </w:p>
        </w:tc>
        <w:tc>
          <w:tcPr>
            <w:tcW w:w="5970" w:type="dxa"/>
            <w:vAlign w:val="center"/>
          </w:tcPr>
          <w:p w14:paraId="77896D26">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信息技术教室教师电脑桌</w:t>
            </w:r>
          </w:p>
        </w:tc>
        <w:tc>
          <w:tcPr>
            <w:tcW w:w="1710" w:type="dxa"/>
            <w:vAlign w:val="center"/>
          </w:tcPr>
          <w:p w14:paraId="31340C35">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2套</w:t>
            </w:r>
          </w:p>
        </w:tc>
        <w:tc>
          <w:tcPr>
            <w:tcW w:w="1845" w:type="dxa"/>
            <w:vAlign w:val="center"/>
          </w:tcPr>
          <w:p w14:paraId="3382B6B9">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700.00</w:t>
            </w:r>
          </w:p>
        </w:tc>
        <w:tc>
          <w:tcPr>
            <w:tcW w:w="1950" w:type="dxa"/>
            <w:vAlign w:val="center"/>
          </w:tcPr>
          <w:p w14:paraId="41412A67">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1400.00</w:t>
            </w:r>
          </w:p>
        </w:tc>
        <w:tc>
          <w:tcPr>
            <w:tcW w:w="1426" w:type="dxa"/>
            <w:vAlign w:val="center"/>
          </w:tcPr>
          <w:p w14:paraId="7BC692BC">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否</w:t>
            </w:r>
          </w:p>
        </w:tc>
      </w:tr>
      <w:tr w14:paraId="678322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6" w:hRule="atLeast"/>
          <w:jc w:val="center"/>
        </w:trPr>
        <w:tc>
          <w:tcPr>
            <w:tcW w:w="1138" w:type="dxa"/>
            <w:shd w:val="clear" w:color="auto" w:fill="auto"/>
            <w:vAlign w:val="center"/>
          </w:tcPr>
          <w:p w14:paraId="0037A062">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4</w:t>
            </w:r>
          </w:p>
        </w:tc>
        <w:tc>
          <w:tcPr>
            <w:tcW w:w="5970" w:type="dxa"/>
            <w:vAlign w:val="center"/>
          </w:tcPr>
          <w:p w14:paraId="75E6DE25">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信息技术教室学生电脑桌</w:t>
            </w:r>
          </w:p>
        </w:tc>
        <w:tc>
          <w:tcPr>
            <w:tcW w:w="1710" w:type="dxa"/>
            <w:vAlign w:val="center"/>
          </w:tcPr>
          <w:p w14:paraId="1BEAB139">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50套</w:t>
            </w:r>
          </w:p>
        </w:tc>
        <w:tc>
          <w:tcPr>
            <w:tcW w:w="1845" w:type="dxa"/>
            <w:vAlign w:val="center"/>
          </w:tcPr>
          <w:p w14:paraId="7E827E58">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700.00</w:t>
            </w:r>
          </w:p>
        </w:tc>
        <w:tc>
          <w:tcPr>
            <w:tcW w:w="1950" w:type="dxa"/>
            <w:vAlign w:val="center"/>
          </w:tcPr>
          <w:p w14:paraId="426D89EB">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35000.00</w:t>
            </w:r>
          </w:p>
        </w:tc>
        <w:tc>
          <w:tcPr>
            <w:tcW w:w="1426" w:type="dxa"/>
            <w:vAlign w:val="center"/>
          </w:tcPr>
          <w:p w14:paraId="53A1B306">
            <w:pPr>
              <w:autoSpaceDE w:val="0"/>
              <w:autoSpaceDN w:val="0"/>
              <w:jc w:val="center"/>
              <w:rPr>
                <w:rFonts w:ascii="宋体" w:hAnsi="宋体" w:cs="宋体"/>
                <w:color w:val="auto"/>
                <w:spacing w:val="-1"/>
                <w:sz w:val="21"/>
                <w:szCs w:val="21"/>
                <w:lang w:eastAsia="zh-CN"/>
              </w:rPr>
            </w:pPr>
            <w:r>
              <w:rPr>
                <w:rFonts w:hint="eastAsia" w:ascii="宋体" w:hAnsi="宋体" w:cs="宋体"/>
                <w:b/>
                <w:bCs/>
                <w:color w:val="auto"/>
                <w:spacing w:val="-1"/>
                <w:sz w:val="21"/>
                <w:szCs w:val="21"/>
                <w:lang w:eastAsia="zh-CN"/>
              </w:rPr>
              <w:t>否</w:t>
            </w:r>
          </w:p>
        </w:tc>
      </w:tr>
      <w:tr w14:paraId="5C8AB9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1" w:hRule="atLeast"/>
          <w:jc w:val="center"/>
        </w:trPr>
        <w:tc>
          <w:tcPr>
            <w:tcW w:w="1138" w:type="dxa"/>
            <w:shd w:val="clear" w:color="auto" w:fill="auto"/>
            <w:vAlign w:val="center"/>
          </w:tcPr>
          <w:p w14:paraId="3099C248">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5</w:t>
            </w:r>
          </w:p>
        </w:tc>
        <w:tc>
          <w:tcPr>
            <w:tcW w:w="5970" w:type="dxa"/>
            <w:vAlign w:val="center"/>
          </w:tcPr>
          <w:p w14:paraId="0B0057F4">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科学实验室（教师操作台）及凳子</w:t>
            </w:r>
          </w:p>
        </w:tc>
        <w:tc>
          <w:tcPr>
            <w:tcW w:w="1710" w:type="dxa"/>
            <w:vAlign w:val="center"/>
          </w:tcPr>
          <w:p w14:paraId="6471453C">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2套</w:t>
            </w:r>
          </w:p>
        </w:tc>
        <w:tc>
          <w:tcPr>
            <w:tcW w:w="1845" w:type="dxa"/>
            <w:vAlign w:val="center"/>
          </w:tcPr>
          <w:p w14:paraId="30148DFC">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2300.00</w:t>
            </w:r>
          </w:p>
        </w:tc>
        <w:tc>
          <w:tcPr>
            <w:tcW w:w="1950" w:type="dxa"/>
            <w:vAlign w:val="center"/>
          </w:tcPr>
          <w:p w14:paraId="5BDD3407">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4600.00</w:t>
            </w:r>
          </w:p>
        </w:tc>
        <w:tc>
          <w:tcPr>
            <w:tcW w:w="1426" w:type="dxa"/>
            <w:vAlign w:val="center"/>
          </w:tcPr>
          <w:p w14:paraId="2A9F3F43">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否</w:t>
            </w:r>
          </w:p>
        </w:tc>
      </w:tr>
      <w:tr w14:paraId="5B2D33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6" w:hRule="atLeast"/>
          <w:jc w:val="center"/>
        </w:trPr>
        <w:tc>
          <w:tcPr>
            <w:tcW w:w="1138" w:type="dxa"/>
            <w:shd w:val="clear" w:color="auto" w:fill="auto"/>
            <w:vAlign w:val="center"/>
          </w:tcPr>
          <w:p w14:paraId="0E28CFB3">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6</w:t>
            </w:r>
          </w:p>
        </w:tc>
        <w:tc>
          <w:tcPr>
            <w:tcW w:w="5970" w:type="dxa"/>
            <w:vAlign w:val="center"/>
          </w:tcPr>
          <w:p w14:paraId="777497A6">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实验室（学生实验桌）及凳子</w:t>
            </w:r>
          </w:p>
        </w:tc>
        <w:tc>
          <w:tcPr>
            <w:tcW w:w="1710" w:type="dxa"/>
            <w:vAlign w:val="center"/>
          </w:tcPr>
          <w:p w14:paraId="64D3D47A">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50套</w:t>
            </w:r>
          </w:p>
        </w:tc>
        <w:tc>
          <w:tcPr>
            <w:tcW w:w="1845" w:type="dxa"/>
            <w:vAlign w:val="center"/>
          </w:tcPr>
          <w:p w14:paraId="7408EFA1">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2300.00</w:t>
            </w:r>
          </w:p>
        </w:tc>
        <w:tc>
          <w:tcPr>
            <w:tcW w:w="1950" w:type="dxa"/>
            <w:vAlign w:val="center"/>
          </w:tcPr>
          <w:p w14:paraId="5509171C">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115000.00</w:t>
            </w:r>
          </w:p>
        </w:tc>
        <w:tc>
          <w:tcPr>
            <w:tcW w:w="1426" w:type="dxa"/>
            <w:vAlign w:val="center"/>
          </w:tcPr>
          <w:p w14:paraId="0917D8D6">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否</w:t>
            </w:r>
          </w:p>
        </w:tc>
      </w:tr>
      <w:tr w14:paraId="65B5EF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1" w:hRule="atLeast"/>
          <w:jc w:val="center"/>
        </w:trPr>
        <w:tc>
          <w:tcPr>
            <w:tcW w:w="1138" w:type="dxa"/>
            <w:shd w:val="clear" w:color="auto" w:fill="auto"/>
            <w:vAlign w:val="center"/>
          </w:tcPr>
          <w:p w14:paraId="1AF40133">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7</w:t>
            </w:r>
          </w:p>
        </w:tc>
        <w:tc>
          <w:tcPr>
            <w:tcW w:w="5970" w:type="dxa"/>
            <w:vAlign w:val="center"/>
          </w:tcPr>
          <w:p w14:paraId="40E97658">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实验准备室实验药品柜</w:t>
            </w:r>
          </w:p>
        </w:tc>
        <w:tc>
          <w:tcPr>
            <w:tcW w:w="1710" w:type="dxa"/>
            <w:vAlign w:val="center"/>
          </w:tcPr>
          <w:p w14:paraId="6847BAAE">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12个</w:t>
            </w:r>
          </w:p>
        </w:tc>
        <w:tc>
          <w:tcPr>
            <w:tcW w:w="1845" w:type="dxa"/>
            <w:vAlign w:val="center"/>
          </w:tcPr>
          <w:p w14:paraId="2B1CA0EA">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1500.00</w:t>
            </w:r>
          </w:p>
        </w:tc>
        <w:tc>
          <w:tcPr>
            <w:tcW w:w="1950" w:type="dxa"/>
            <w:vAlign w:val="center"/>
          </w:tcPr>
          <w:p w14:paraId="134DF318">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18000.00</w:t>
            </w:r>
          </w:p>
        </w:tc>
        <w:tc>
          <w:tcPr>
            <w:tcW w:w="1426" w:type="dxa"/>
            <w:vAlign w:val="center"/>
          </w:tcPr>
          <w:p w14:paraId="7F08B032">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否</w:t>
            </w:r>
          </w:p>
        </w:tc>
      </w:tr>
      <w:tr w14:paraId="0BDA2A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jc w:val="center"/>
        </w:trPr>
        <w:tc>
          <w:tcPr>
            <w:tcW w:w="1138" w:type="dxa"/>
            <w:shd w:val="clear" w:color="auto" w:fill="auto"/>
            <w:vAlign w:val="center"/>
          </w:tcPr>
          <w:p w14:paraId="5269D4D7">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8</w:t>
            </w:r>
          </w:p>
        </w:tc>
        <w:tc>
          <w:tcPr>
            <w:tcW w:w="5970" w:type="dxa"/>
            <w:vAlign w:val="center"/>
          </w:tcPr>
          <w:p w14:paraId="0D1A5A9D">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音乐教室学生椅凳</w:t>
            </w:r>
          </w:p>
        </w:tc>
        <w:tc>
          <w:tcPr>
            <w:tcW w:w="1710" w:type="dxa"/>
            <w:vAlign w:val="center"/>
          </w:tcPr>
          <w:p w14:paraId="05D8B34C">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100个</w:t>
            </w:r>
          </w:p>
        </w:tc>
        <w:tc>
          <w:tcPr>
            <w:tcW w:w="1845" w:type="dxa"/>
            <w:vAlign w:val="center"/>
          </w:tcPr>
          <w:p w14:paraId="225B5818">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25.00</w:t>
            </w:r>
          </w:p>
        </w:tc>
        <w:tc>
          <w:tcPr>
            <w:tcW w:w="1950" w:type="dxa"/>
            <w:vAlign w:val="center"/>
          </w:tcPr>
          <w:p w14:paraId="3FA0C120">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2500.00</w:t>
            </w:r>
          </w:p>
        </w:tc>
        <w:tc>
          <w:tcPr>
            <w:tcW w:w="1426" w:type="dxa"/>
            <w:vAlign w:val="center"/>
          </w:tcPr>
          <w:p w14:paraId="593457D6">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否</w:t>
            </w:r>
          </w:p>
        </w:tc>
      </w:tr>
      <w:tr w14:paraId="2CFFF2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jc w:val="center"/>
        </w:trPr>
        <w:tc>
          <w:tcPr>
            <w:tcW w:w="1138" w:type="dxa"/>
            <w:shd w:val="clear" w:color="auto" w:fill="auto"/>
            <w:vAlign w:val="center"/>
          </w:tcPr>
          <w:p w14:paraId="75EC3AD9">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9</w:t>
            </w:r>
          </w:p>
        </w:tc>
        <w:tc>
          <w:tcPr>
            <w:tcW w:w="5970" w:type="dxa"/>
            <w:vAlign w:val="center"/>
          </w:tcPr>
          <w:p w14:paraId="7681CA1E">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音乐教室讲台（数量2套）</w:t>
            </w:r>
          </w:p>
        </w:tc>
        <w:tc>
          <w:tcPr>
            <w:tcW w:w="1710" w:type="dxa"/>
            <w:vAlign w:val="center"/>
          </w:tcPr>
          <w:p w14:paraId="5FD0AE66">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2套</w:t>
            </w:r>
          </w:p>
        </w:tc>
        <w:tc>
          <w:tcPr>
            <w:tcW w:w="1845" w:type="dxa"/>
            <w:vAlign w:val="center"/>
          </w:tcPr>
          <w:p w14:paraId="0F5B9AA5">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800.00</w:t>
            </w:r>
          </w:p>
        </w:tc>
        <w:tc>
          <w:tcPr>
            <w:tcW w:w="1950" w:type="dxa"/>
            <w:vAlign w:val="center"/>
          </w:tcPr>
          <w:p w14:paraId="508559D1">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1600.00</w:t>
            </w:r>
          </w:p>
        </w:tc>
        <w:tc>
          <w:tcPr>
            <w:tcW w:w="1426" w:type="dxa"/>
            <w:vAlign w:val="center"/>
          </w:tcPr>
          <w:p w14:paraId="4F7ED8C4">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否</w:t>
            </w:r>
          </w:p>
        </w:tc>
      </w:tr>
      <w:tr w14:paraId="0C2D29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1" w:hRule="atLeast"/>
          <w:jc w:val="center"/>
        </w:trPr>
        <w:tc>
          <w:tcPr>
            <w:tcW w:w="1138" w:type="dxa"/>
            <w:shd w:val="clear" w:color="auto" w:fill="auto"/>
            <w:vAlign w:val="center"/>
          </w:tcPr>
          <w:p w14:paraId="6FF2E43A">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10</w:t>
            </w:r>
          </w:p>
        </w:tc>
        <w:tc>
          <w:tcPr>
            <w:tcW w:w="5970" w:type="dxa"/>
            <w:vAlign w:val="center"/>
          </w:tcPr>
          <w:p w14:paraId="29269EC6">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美术教室讲台</w:t>
            </w:r>
          </w:p>
        </w:tc>
        <w:tc>
          <w:tcPr>
            <w:tcW w:w="1710" w:type="dxa"/>
            <w:vAlign w:val="center"/>
          </w:tcPr>
          <w:p w14:paraId="7B70E9CA">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2套</w:t>
            </w:r>
          </w:p>
        </w:tc>
        <w:tc>
          <w:tcPr>
            <w:tcW w:w="1845" w:type="dxa"/>
            <w:vAlign w:val="center"/>
          </w:tcPr>
          <w:p w14:paraId="703A526E">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800.00</w:t>
            </w:r>
          </w:p>
        </w:tc>
        <w:tc>
          <w:tcPr>
            <w:tcW w:w="1950" w:type="dxa"/>
            <w:vAlign w:val="center"/>
          </w:tcPr>
          <w:p w14:paraId="5A4DB8D0">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1600.00</w:t>
            </w:r>
          </w:p>
        </w:tc>
        <w:tc>
          <w:tcPr>
            <w:tcW w:w="1426" w:type="dxa"/>
            <w:vAlign w:val="center"/>
          </w:tcPr>
          <w:p w14:paraId="22EFB94D">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否</w:t>
            </w:r>
          </w:p>
        </w:tc>
      </w:tr>
      <w:tr w14:paraId="2DD174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6" w:hRule="atLeast"/>
          <w:jc w:val="center"/>
        </w:trPr>
        <w:tc>
          <w:tcPr>
            <w:tcW w:w="1138" w:type="dxa"/>
            <w:shd w:val="clear" w:color="auto" w:fill="auto"/>
            <w:vAlign w:val="center"/>
          </w:tcPr>
          <w:p w14:paraId="024154FA">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11</w:t>
            </w:r>
          </w:p>
        </w:tc>
        <w:tc>
          <w:tcPr>
            <w:tcW w:w="5970" w:type="dxa"/>
            <w:vAlign w:val="center"/>
          </w:tcPr>
          <w:p w14:paraId="11C29BC2">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教师办公室柜子</w:t>
            </w:r>
          </w:p>
        </w:tc>
        <w:tc>
          <w:tcPr>
            <w:tcW w:w="1710" w:type="dxa"/>
            <w:vAlign w:val="center"/>
          </w:tcPr>
          <w:p w14:paraId="063BB58C">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6个</w:t>
            </w:r>
          </w:p>
        </w:tc>
        <w:tc>
          <w:tcPr>
            <w:tcW w:w="1845" w:type="dxa"/>
            <w:vAlign w:val="center"/>
          </w:tcPr>
          <w:p w14:paraId="02DBD28C">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800.00</w:t>
            </w:r>
          </w:p>
        </w:tc>
        <w:tc>
          <w:tcPr>
            <w:tcW w:w="1950" w:type="dxa"/>
            <w:vAlign w:val="center"/>
          </w:tcPr>
          <w:p w14:paraId="0AE065BA">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4800.00</w:t>
            </w:r>
          </w:p>
        </w:tc>
        <w:tc>
          <w:tcPr>
            <w:tcW w:w="1426" w:type="dxa"/>
            <w:vAlign w:val="center"/>
          </w:tcPr>
          <w:p w14:paraId="338E92CD">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否</w:t>
            </w:r>
          </w:p>
        </w:tc>
      </w:tr>
      <w:tr w14:paraId="2E1604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6" w:hRule="atLeast"/>
          <w:jc w:val="center"/>
        </w:trPr>
        <w:tc>
          <w:tcPr>
            <w:tcW w:w="1138" w:type="dxa"/>
            <w:shd w:val="clear" w:color="auto" w:fill="auto"/>
            <w:vAlign w:val="center"/>
          </w:tcPr>
          <w:p w14:paraId="6B828371">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12</w:t>
            </w:r>
          </w:p>
        </w:tc>
        <w:tc>
          <w:tcPr>
            <w:tcW w:w="5970" w:type="dxa"/>
            <w:vAlign w:val="center"/>
          </w:tcPr>
          <w:p w14:paraId="447DC16E">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教师办公室桌子</w:t>
            </w:r>
          </w:p>
        </w:tc>
        <w:tc>
          <w:tcPr>
            <w:tcW w:w="1710" w:type="dxa"/>
            <w:vAlign w:val="center"/>
          </w:tcPr>
          <w:p w14:paraId="5F4B5D1D">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16套</w:t>
            </w:r>
          </w:p>
        </w:tc>
        <w:tc>
          <w:tcPr>
            <w:tcW w:w="1845" w:type="dxa"/>
            <w:vAlign w:val="center"/>
          </w:tcPr>
          <w:p w14:paraId="3914BFD9">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1000.00</w:t>
            </w:r>
          </w:p>
        </w:tc>
        <w:tc>
          <w:tcPr>
            <w:tcW w:w="1950" w:type="dxa"/>
            <w:vAlign w:val="center"/>
          </w:tcPr>
          <w:p w14:paraId="35B3941B">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16000.00</w:t>
            </w:r>
          </w:p>
        </w:tc>
        <w:tc>
          <w:tcPr>
            <w:tcW w:w="1426" w:type="dxa"/>
            <w:vAlign w:val="center"/>
          </w:tcPr>
          <w:p w14:paraId="1C2083D7">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否</w:t>
            </w:r>
          </w:p>
        </w:tc>
      </w:tr>
      <w:tr w14:paraId="5D310C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 w:hRule="atLeast"/>
          <w:jc w:val="center"/>
        </w:trPr>
        <w:tc>
          <w:tcPr>
            <w:tcW w:w="1138" w:type="dxa"/>
            <w:shd w:val="clear" w:color="auto" w:fill="auto"/>
            <w:vAlign w:val="center"/>
          </w:tcPr>
          <w:p w14:paraId="59F21550">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13</w:t>
            </w:r>
          </w:p>
        </w:tc>
        <w:tc>
          <w:tcPr>
            <w:tcW w:w="5970" w:type="dxa"/>
            <w:vAlign w:val="center"/>
          </w:tcPr>
          <w:p w14:paraId="0F52D56A">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教师办公室椅子</w:t>
            </w:r>
          </w:p>
        </w:tc>
        <w:tc>
          <w:tcPr>
            <w:tcW w:w="1710" w:type="dxa"/>
            <w:vAlign w:val="center"/>
          </w:tcPr>
          <w:p w14:paraId="147AC0EB">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16套</w:t>
            </w:r>
          </w:p>
        </w:tc>
        <w:tc>
          <w:tcPr>
            <w:tcW w:w="1845" w:type="dxa"/>
            <w:vAlign w:val="center"/>
          </w:tcPr>
          <w:p w14:paraId="7EEB0AA2">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320.00</w:t>
            </w:r>
          </w:p>
        </w:tc>
        <w:tc>
          <w:tcPr>
            <w:tcW w:w="1950" w:type="dxa"/>
            <w:vAlign w:val="center"/>
          </w:tcPr>
          <w:p w14:paraId="2892CDED">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5120.00</w:t>
            </w:r>
          </w:p>
        </w:tc>
        <w:tc>
          <w:tcPr>
            <w:tcW w:w="1426" w:type="dxa"/>
            <w:vAlign w:val="center"/>
          </w:tcPr>
          <w:p w14:paraId="55BF19AB">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否</w:t>
            </w:r>
          </w:p>
        </w:tc>
      </w:tr>
      <w:tr w14:paraId="2CFEB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6" w:hRule="atLeast"/>
          <w:jc w:val="center"/>
        </w:trPr>
        <w:tc>
          <w:tcPr>
            <w:tcW w:w="1138" w:type="dxa"/>
            <w:shd w:val="clear" w:color="auto" w:fill="auto"/>
            <w:vAlign w:val="center"/>
          </w:tcPr>
          <w:p w14:paraId="669F55AD">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14</w:t>
            </w:r>
          </w:p>
        </w:tc>
        <w:tc>
          <w:tcPr>
            <w:tcW w:w="5970" w:type="dxa"/>
            <w:vAlign w:val="center"/>
          </w:tcPr>
          <w:p w14:paraId="233CC76C">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八人位图书桌椅</w:t>
            </w:r>
          </w:p>
        </w:tc>
        <w:tc>
          <w:tcPr>
            <w:tcW w:w="1710" w:type="dxa"/>
            <w:vAlign w:val="center"/>
          </w:tcPr>
          <w:p w14:paraId="194AD60A">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40套</w:t>
            </w:r>
          </w:p>
        </w:tc>
        <w:tc>
          <w:tcPr>
            <w:tcW w:w="1845" w:type="dxa"/>
            <w:vAlign w:val="center"/>
          </w:tcPr>
          <w:p w14:paraId="6C3A8A2C">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500.00</w:t>
            </w:r>
          </w:p>
        </w:tc>
        <w:tc>
          <w:tcPr>
            <w:tcW w:w="1950" w:type="dxa"/>
            <w:vAlign w:val="center"/>
          </w:tcPr>
          <w:p w14:paraId="507C13FF">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20000.00</w:t>
            </w:r>
          </w:p>
        </w:tc>
        <w:tc>
          <w:tcPr>
            <w:tcW w:w="1426" w:type="dxa"/>
            <w:vAlign w:val="center"/>
          </w:tcPr>
          <w:p w14:paraId="428EB3B0">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否</w:t>
            </w:r>
          </w:p>
        </w:tc>
      </w:tr>
      <w:tr w14:paraId="4A7814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6" w:hRule="atLeast"/>
          <w:jc w:val="center"/>
        </w:trPr>
        <w:tc>
          <w:tcPr>
            <w:tcW w:w="1138" w:type="dxa"/>
            <w:shd w:val="clear" w:color="auto" w:fill="auto"/>
            <w:vAlign w:val="center"/>
          </w:tcPr>
          <w:p w14:paraId="7440B5BC">
            <w:pPr>
              <w:autoSpaceDE w:val="0"/>
              <w:autoSpaceDN w:val="0"/>
              <w:jc w:val="center"/>
              <w:rPr>
                <w:rFonts w:hint="default" w:ascii="宋体" w:hAnsi="宋体" w:cs="宋体"/>
                <w:color w:val="auto"/>
                <w:spacing w:val="-1"/>
                <w:sz w:val="21"/>
                <w:szCs w:val="21"/>
                <w:lang w:val="en-US" w:eastAsia="zh-CN"/>
              </w:rPr>
            </w:pPr>
            <w:r>
              <w:rPr>
                <w:rFonts w:hint="eastAsia" w:ascii="宋体" w:hAnsi="宋体" w:cs="宋体"/>
                <w:color w:val="auto"/>
                <w:spacing w:val="-1"/>
                <w:sz w:val="21"/>
                <w:szCs w:val="21"/>
                <w:lang w:val="en-US" w:eastAsia="zh-CN"/>
              </w:rPr>
              <w:t>15</w:t>
            </w:r>
          </w:p>
        </w:tc>
        <w:tc>
          <w:tcPr>
            <w:tcW w:w="5970" w:type="dxa"/>
            <w:vAlign w:val="center"/>
          </w:tcPr>
          <w:p w14:paraId="37A7794D">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书架沙发</w:t>
            </w:r>
          </w:p>
        </w:tc>
        <w:tc>
          <w:tcPr>
            <w:tcW w:w="1710" w:type="dxa"/>
            <w:vAlign w:val="center"/>
          </w:tcPr>
          <w:p w14:paraId="509F3BCB">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4套</w:t>
            </w:r>
          </w:p>
        </w:tc>
        <w:tc>
          <w:tcPr>
            <w:tcW w:w="1845" w:type="dxa"/>
            <w:vAlign w:val="center"/>
          </w:tcPr>
          <w:p w14:paraId="0622B7F4">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2500.00</w:t>
            </w:r>
          </w:p>
        </w:tc>
        <w:tc>
          <w:tcPr>
            <w:tcW w:w="1950" w:type="dxa"/>
            <w:vAlign w:val="center"/>
          </w:tcPr>
          <w:p w14:paraId="44E9A3B3">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10000.00</w:t>
            </w:r>
          </w:p>
        </w:tc>
        <w:tc>
          <w:tcPr>
            <w:tcW w:w="1426" w:type="dxa"/>
            <w:vAlign w:val="center"/>
          </w:tcPr>
          <w:p w14:paraId="74AE8D7D">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否</w:t>
            </w:r>
          </w:p>
        </w:tc>
      </w:tr>
      <w:tr w14:paraId="7AD6C2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6" w:hRule="atLeast"/>
          <w:jc w:val="center"/>
        </w:trPr>
        <w:tc>
          <w:tcPr>
            <w:tcW w:w="1138" w:type="dxa"/>
            <w:shd w:val="clear" w:color="auto" w:fill="auto"/>
            <w:vAlign w:val="center"/>
          </w:tcPr>
          <w:p w14:paraId="7184CDB4">
            <w:pPr>
              <w:autoSpaceDE w:val="0"/>
              <w:autoSpaceDN w:val="0"/>
              <w:jc w:val="center"/>
              <w:rPr>
                <w:rFonts w:hint="default" w:ascii="宋体" w:hAnsi="宋体" w:cs="宋体"/>
                <w:color w:val="auto"/>
                <w:spacing w:val="-1"/>
                <w:sz w:val="21"/>
                <w:szCs w:val="21"/>
                <w:lang w:val="en-US" w:eastAsia="zh-CN"/>
              </w:rPr>
            </w:pPr>
            <w:r>
              <w:rPr>
                <w:rFonts w:hint="eastAsia" w:ascii="宋体" w:hAnsi="宋体" w:cs="宋体"/>
                <w:color w:val="auto"/>
                <w:spacing w:val="-1"/>
                <w:sz w:val="21"/>
                <w:szCs w:val="21"/>
                <w:lang w:val="en-US" w:eastAsia="zh-CN"/>
              </w:rPr>
              <w:t>16</w:t>
            </w:r>
          </w:p>
        </w:tc>
        <w:tc>
          <w:tcPr>
            <w:tcW w:w="5970" w:type="dxa"/>
            <w:vAlign w:val="center"/>
          </w:tcPr>
          <w:p w14:paraId="36509F6B">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组合黑板</w:t>
            </w:r>
          </w:p>
        </w:tc>
        <w:tc>
          <w:tcPr>
            <w:tcW w:w="1710" w:type="dxa"/>
            <w:vAlign w:val="center"/>
          </w:tcPr>
          <w:p w14:paraId="688C02EE">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20套</w:t>
            </w:r>
          </w:p>
        </w:tc>
        <w:tc>
          <w:tcPr>
            <w:tcW w:w="1845" w:type="dxa"/>
            <w:vAlign w:val="center"/>
          </w:tcPr>
          <w:p w14:paraId="299D79A3">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1200.00</w:t>
            </w:r>
          </w:p>
        </w:tc>
        <w:tc>
          <w:tcPr>
            <w:tcW w:w="1950" w:type="dxa"/>
            <w:vAlign w:val="center"/>
          </w:tcPr>
          <w:p w14:paraId="032C8201">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24000.00</w:t>
            </w:r>
          </w:p>
        </w:tc>
        <w:tc>
          <w:tcPr>
            <w:tcW w:w="1426" w:type="dxa"/>
            <w:vAlign w:val="center"/>
          </w:tcPr>
          <w:p w14:paraId="2F338BC5">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否</w:t>
            </w:r>
          </w:p>
        </w:tc>
      </w:tr>
    </w:tbl>
    <w:p w14:paraId="3136AD9F">
      <w:pPr>
        <w:widowControl/>
        <w:spacing w:before="312" w:after="100"/>
        <w:rPr>
          <w:rFonts w:ascii="宋体" w:hAnsi="宋体" w:cs="宋体"/>
          <w:color w:val="auto"/>
          <w:sz w:val="21"/>
          <w:szCs w:val="21"/>
          <w:lang w:eastAsia="zh-CN"/>
        </w:rPr>
      </w:pPr>
      <w:r>
        <w:rPr>
          <w:rFonts w:hint="eastAsia" w:ascii="宋体" w:hAnsi="宋体" w:cs="宋体"/>
          <w:b/>
          <w:bCs/>
          <w:color w:val="auto"/>
          <w:sz w:val="21"/>
          <w:szCs w:val="21"/>
          <w:lang w:eastAsia="zh-CN" w:bidi="ar"/>
        </w:rPr>
        <w:t>五、采购标的需满足的服务标准、期限、效率等要求；</w:t>
      </w:r>
    </w:p>
    <w:p w14:paraId="3635BEC0">
      <w:pPr>
        <w:spacing w:line="360" w:lineRule="auto"/>
        <w:ind w:firstLine="420" w:firstLineChars="202"/>
        <w:rPr>
          <w:rFonts w:ascii="宋体" w:hAnsi="宋体" w:cs="宋体"/>
          <w:b/>
          <w:bCs/>
          <w:color w:val="auto"/>
          <w:spacing w:val="-1"/>
          <w:sz w:val="21"/>
          <w:szCs w:val="21"/>
          <w:lang w:eastAsia="zh-CN"/>
        </w:rPr>
      </w:pPr>
      <w:r>
        <w:rPr>
          <w:rFonts w:hint="eastAsia" w:ascii="宋体" w:hAnsi="宋体" w:cs="宋体"/>
          <w:b/>
          <w:bCs/>
          <w:color w:val="auto"/>
          <w:spacing w:val="-1"/>
          <w:sz w:val="21"/>
          <w:szCs w:val="21"/>
          <w:lang w:eastAsia="zh-CN"/>
        </w:rPr>
        <w:t>1、合同履行期限及交货地点、方式</w:t>
      </w:r>
    </w:p>
    <w:p w14:paraId="583367FB">
      <w:pPr>
        <w:spacing w:line="360" w:lineRule="auto"/>
        <w:ind w:firstLine="420" w:firstLineChars="202"/>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1.1合同履行期限：合同签订后20日内交付，产品最终验收合格后履行规定的质保要求。</w:t>
      </w:r>
    </w:p>
    <w:p w14:paraId="5B56799F">
      <w:pPr>
        <w:spacing w:line="360" w:lineRule="auto"/>
        <w:ind w:firstLine="420" w:firstLineChars="202"/>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1.2交货地点：昆明市西山区芳草地国际学校。</w:t>
      </w:r>
    </w:p>
    <w:p w14:paraId="53240CF3">
      <w:pPr>
        <w:spacing w:line="360" w:lineRule="auto"/>
        <w:ind w:firstLine="420" w:firstLineChars="202"/>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1.3交货方式：验收完成后送至采购人指定地点。</w:t>
      </w:r>
    </w:p>
    <w:p w14:paraId="6EB77587">
      <w:pPr>
        <w:spacing w:line="360" w:lineRule="auto"/>
        <w:ind w:firstLine="420" w:firstLineChars="202"/>
        <w:rPr>
          <w:rFonts w:ascii="宋体" w:hAnsi="宋体" w:cs="宋体"/>
          <w:b/>
          <w:bCs/>
          <w:color w:val="auto"/>
          <w:spacing w:val="-1"/>
          <w:sz w:val="21"/>
          <w:szCs w:val="21"/>
          <w:lang w:eastAsia="zh-CN"/>
        </w:rPr>
      </w:pPr>
      <w:r>
        <w:rPr>
          <w:rFonts w:hint="eastAsia" w:ascii="宋体" w:hAnsi="宋体" w:cs="宋体"/>
          <w:b/>
          <w:bCs/>
          <w:color w:val="auto"/>
          <w:spacing w:val="-1"/>
          <w:sz w:val="21"/>
          <w:szCs w:val="21"/>
          <w:lang w:eastAsia="zh-CN"/>
        </w:rPr>
        <w:t>2、质保期</w:t>
      </w:r>
    </w:p>
    <w:p w14:paraId="0ED79DD7">
      <w:pPr>
        <w:spacing w:line="360" w:lineRule="auto"/>
        <w:ind w:firstLine="420" w:firstLineChars="202"/>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2.1质保期：自甲方最终验收合格出具书面验收意见显示的时间起进入质保期，货物（产品）质保期不少于</w:t>
      </w:r>
      <w:r>
        <w:rPr>
          <w:rFonts w:hint="eastAsia" w:ascii="宋体" w:hAnsi="宋体" w:cs="宋体"/>
          <w:color w:val="auto"/>
          <w:spacing w:val="-1"/>
          <w:sz w:val="21"/>
          <w:szCs w:val="21"/>
          <w:u w:val="single"/>
          <w:lang w:eastAsia="zh-CN"/>
        </w:rPr>
        <w:t xml:space="preserve"> 3 </w:t>
      </w:r>
      <w:r>
        <w:rPr>
          <w:rFonts w:hint="eastAsia" w:ascii="宋体" w:hAnsi="宋体" w:cs="宋体"/>
          <w:color w:val="auto"/>
          <w:spacing w:val="-1"/>
          <w:sz w:val="21"/>
          <w:szCs w:val="21"/>
          <w:lang w:eastAsia="zh-CN"/>
        </w:rPr>
        <w:t>年。（注：特别说明：技术参数、性能需求里有明确要求的除外）。</w:t>
      </w:r>
    </w:p>
    <w:p w14:paraId="354CC6E4">
      <w:pPr>
        <w:spacing w:line="360" w:lineRule="auto"/>
        <w:ind w:firstLine="424" w:firstLineChars="202"/>
        <w:rPr>
          <w:rFonts w:ascii="宋体" w:hAnsi="宋体" w:cs="宋体"/>
          <w:color w:val="auto"/>
          <w:sz w:val="21"/>
          <w:szCs w:val="21"/>
          <w:lang w:eastAsia="zh-CN"/>
        </w:rPr>
      </w:pPr>
      <w:r>
        <w:rPr>
          <w:rFonts w:hint="eastAsia" w:ascii="宋体" w:hAnsi="宋体" w:cs="宋体"/>
          <w:color w:val="auto"/>
          <w:sz w:val="21"/>
          <w:szCs w:val="21"/>
          <w:lang w:eastAsia="zh-CN"/>
        </w:rPr>
        <w:t>2.2质保期内，投标人对货物(产品)提供全免费上门维护或保修或免费更换；在保修期，同一货物的同一质量问题连续两次维修仍无法正常使用，投标人必须予以更换同品牌、同型号或经采购人同意后提供不低于投标配置的其它新货物(产品)，因此产生的一切费用均由投标人承担。</w:t>
      </w:r>
    </w:p>
    <w:p w14:paraId="66819A56">
      <w:pPr>
        <w:spacing w:line="360" w:lineRule="auto"/>
        <w:ind w:firstLine="424" w:firstLineChars="202"/>
        <w:rPr>
          <w:rFonts w:ascii="宋体" w:hAnsi="宋体" w:cs="宋体"/>
          <w:b/>
          <w:bCs/>
          <w:color w:val="auto"/>
          <w:sz w:val="21"/>
          <w:szCs w:val="21"/>
          <w:lang w:eastAsia="zh-CN"/>
        </w:rPr>
      </w:pPr>
      <w:r>
        <w:rPr>
          <w:rFonts w:hint="eastAsia" w:ascii="宋体" w:hAnsi="宋体" w:cs="宋体"/>
          <w:b/>
          <w:bCs/>
          <w:color w:val="auto"/>
          <w:sz w:val="21"/>
          <w:szCs w:val="21"/>
          <w:lang w:eastAsia="zh-CN"/>
        </w:rPr>
        <w:t>3、包装和运输</w:t>
      </w:r>
    </w:p>
    <w:p w14:paraId="0A08B082">
      <w:pPr>
        <w:spacing w:line="360" w:lineRule="auto"/>
        <w:ind w:firstLine="424" w:firstLineChars="202"/>
        <w:rPr>
          <w:rFonts w:ascii="宋体" w:hAnsi="宋体" w:cs="宋体"/>
          <w:color w:val="auto"/>
          <w:sz w:val="21"/>
          <w:szCs w:val="21"/>
          <w:lang w:eastAsia="zh-CN"/>
        </w:rPr>
      </w:pPr>
      <w:r>
        <w:rPr>
          <w:rFonts w:hint="eastAsia" w:ascii="宋体" w:hAnsi="宋体" w:cs="宋体"/>
          <w:color w:val="auto"/>
          <w:sz w:val="21"/>
          <w:szCs w:val="21"/>
          <w:lang w:eastAsia="zh-CN"/>
        </w:rPr>
        <w:t>运输时须按采购人要求送至指定地点，中标单位自行选取物流企业，确保物流方式快捷、高效、整洁，严禁造成采购人货物的污染、破损等问题，所有运输费运费由中标人承担。</w:t>
      </w:r>
    </w:p>
    <w:p w14:paraId="123764D4">
      <w:pPr>
        <w:spacing w:line="360" w:lineRule="auto"/>
        <w:ind w:firstLine="424" w:firstLineChars="202"/>
        <w:rPr>
          <w:rFonts w:ascii="宋体" w:hAnsi="宋体" w:cs="宋体"/>
          <w:b/>
          <w:bCs/>
          <w:color w:val="auto"/>
          <w:sz w:val="21"/>
          <w:szCs w:val="21"/>
          <w:lang w:eastAsia="zh-CN"/>
        </w:rPr>
      </w:pPr>
      <w:r>
        <w:rPr>
          <w:rFonts w:hint="eastAsia" w:ascii="宋体" w:hAnsi="宋体" w:cs="宋体"/>
          <w:b/>
          <w:bCs/>
          <w:color w:val="auto"/>
          <w:sz w:val="21"/>
          <w:szCs w:val="21"/>
          <w:lang w:eastAsia="zh-CN"/>
        </w:rPr>
        <w:t>4、售后要求</w:t>
      </w:r>
    </w:p>
    <w:p w14:paraId="49F27810">
      <w:pPr>
        <w:spacing w:line="360" w:lineRule="auto"/>
        <w:ind w:firstLine="424" w:firstLineChars="202"/>
        <w:rPr>
          <w:rFonts w:ascii="宋体" w:hAnsi="宋体" w:cs="宋体"/>
          <w:color w:val="auto"/>
          <w:sz w:val="21"/>
          <w:szCs w:val="21"/>
          <w:lang w:eastAsia="zh-CN"/>
        </w:rPr>
      </w:pPr>
      <w:r>
        <w:rPr>
          <w:rFonts w:hint="eastAsia" w:ascii="宋体" w:hAnsi="宋体" w:cs="宋体"/>
          <w:color w:val="auto"/>
          <w:sz w:val="21"/>
          <w:szCs w:val="21"/>
          <w:lang w:eastAsia="zh-CN"/>
        </w:rPr>
        <w:t>乙方在接到甲方电话通知后，应在24小时内提供服务维修，故障响应时间不超过15分钟，不超过2小时达到现场，到达现场2小时内排除故障或提出解决方案，并在2个工作日内修复，否则甲方有权要求免费更换全新产品。</w:t>
      </w:r>
    </w:p>
    <w:p w14:paraId="24B2FBC6">
      <w:pPr>
        <w:widowControl/>
        <w:spacing w:before="312" w:after="100"/>
        <w:rPr>
          <w:rFonts w:ascii="宋体" w:hAnsi="宋体" w:cs="宋体"/>
          <w:color w:val="auto"/>
          <w:sz w:val="21"/>
          <w:szCs w:val="21"/>
          <w:lang w:eastAsia="zh-CN"/>
        </w:rPr>
      </w:pPr>
      <w:r>
        <w:rPr>
          <w:rFonts w:hint="eastAsia" w:ascii="宋体" w:hAnsi="宋体" w:cs="宋体"/>
          <w:b/>
          <w:bCs/>
          <w:color w:val="auto"/>
          <w:sz w:val="21"/>
          <w:szCs w:val="21"/>
          <w:lang w:eastAsia="zh-CN" w:bidi="ar"/>
        </w:rPr>
        <w:t>六、采购标的的验收标准</w:t>
      </w:r>
    </w:p>
    <w:p w14:paraId="5C733715">
      <w:pPr>
        <w:widowControl/>
        <w:spacing w:before="312" w:after="100"/>
        <w:rPr>
          <w:rFonts w:ascii="宋体" w:hAnsi="宋体" w:cs="宋体"/>
          <w:color w:val="auto"/>
          <w:sz w:val="21"/>
          <w:szCs w:val="21"/>
          <w:lang w:eastAsia="zh-CN"/>
        </w:rPr>
      </w:pPr>
      <w:r>
        <w:rPr>
          <w:rFonts w:hint="eastAsia" w:ascii="宋体" w:hAnsi="宋体" w:cs="宋体"/>
          <w:b/>
          <w:bCs/>
          <w:color w:val="auto"/>
          <w:sz w:val="21"/>
          <w:szCs w:val="21"/>
          <w:lang w:eastAsia="zh-CN" w:bidi="ar"/>
        </w:rPr>
        <w:t>1、验收标准：</w:t>
      </w:r>
      <w:r>
        <w:rPr>
          <w:rFonts w:hint="eastAsia" w:ascii="宋体" w:hAnsi="宋体" w:cs="宋体"/>
          <w:color w:val="auto"/>
          <w:sz w:val="21"/>
          <w:szCs w:val="21"/>
          <w:lang w:eastAsia="zh-CN" w:bidi="ar"/>
        </w:rPr>
        <w:t>所有货物均必须按照国家规定标准、制造商产品验收标准、本采购文件及合同文件相关内容进行验收。</w:t>
      </w:r>
    </w:p>
    <w:p w14:paraId="7167A357">
      <w:pPr>
        <w:widowControl/>
        <w:spacing w:before="312" w:after="100"/>
        <w:rPr>
          <w:rFonts w:ascii="宋体" w:hAnsi="宋体" w:cs="宋体"/>
          <w:color w:val="auto"/>
          <w:sz w:val="21"/>
          <w:szCs w:val="21"/>
          <w:lang w:eastAsia="zh-CN"/>
        </w:rPr>
      </w:pPr>
      <w:r>
        <w:rPr>
          <w:rFonts w:hint="eastAsia" w:ascii="宋体" w:hAnsi="宋体" w:cs="宋体"/>
          <w:b/>
          <w:bCs/>
          <w:color w:val="auto"/>
          <w:sz w:val="21"/>
          <w:szCs w:val="21"/>
          <w:lang w:eastAsia="zh-CN" w:bidi="ar"/>
        </w:rPr>
        <w:t>2、验收程序：</w:t>
      </w:r>
      <w:r>
        <w:rPr>
          <w:rFonts w:hint="eastAsia" w:ascii="宋体" w:hAnsi="宋体" w:cs="宋体"/>
          <w:color w:val="auto"/>
          <w:sz w:val="21"/>
          <w:szCs w:val="21"/>
          <w:lang w:eastAsia="zh-CN" w:bidi="ar"/>
        </w:rPr>
        <w:t>货物验收分中标方出厂检验、安装调试检验及最终验收三个阶段。</w:t>
      </w:r>
    </w:p>
    <w:p w14:paraId="2A846489">
      <w:pPr>
        <w:widowControl/>
        <w:spacing w:before="312" w:after="100"/>
        <w:rPr>
          <w:rFonts w:ascii="宋体" w:hAnsi="宋体" w:cs="宋体"/>
          <w:color w:val="auto"/>
          <w:sz w:val="21"/>
          <w:szCs w:val="21"/>
          <w:lang w:eastAsia="zh-CN"/>
        </w:rPr>
      </w:pPr>
      <w:r>
        <w:rPr>
          <w:rFonts w:hint="eastAsia" w:ascii="宋体" w:hAnsi="宋体" w:cs="宋体"/>
          <w:color w:val="auto"/>
          <w:sz w:val="21"/>
          <w:szCs w:val="21"/>
          <w:lang w:eastAsia="zh-CN" w:bidi="ar"/>
        </w:rPr>
        <w:t>（1）出厂检验：中标方在货物出厂前，应按产品技术标准规定的检验项目和试验方法进行全面检验。中标方应随同货物出具原产地证书、出厂检验报告及产品质量合格证等，结果必须符合前款验收标准的要求。</w:t>
      </w:r>
    </w:p>
    <w:p w14:paraId="6B3A87A9">
      <w:pPr>
        <w:widowControl/>
        <w:spacing w:before="312" w:after="100"/>
        <w:rPr>
          <w:rFonts w:ascii="宋体" w:hAnsi="宋体" w:cs="宋体"/>
          <w:color w:val="auto"/>
          <w:sz w:val="21"/>
          <w:szCs w:val="21"/>
          <w:lang w:eastAsia="zh-CN"/>
        </w:rPr>
      </w:pPr>
      <w:r>
        <w:rPr>
          <w:rFonts w:hint="eastAsia" w:ascii="宋体" w:hAnsi="宋体" w:cs="宋体"/>
          <w:color w:val="auto"/>
          <w:sz w:val="21"/>
          <w:szCs w:val="21"/>
          <w:lang w:eastAsia="zh-CN" w:bidi="ar"/>
        </w:rPr>
        <w:t>（2）安装调试检验：</w:t>
      </w:r>
    </w:p>
    <w:p w14:paraId="22D30A75">
      <w:pPr>
        <w:widowControl/>
        <w:spacing w:before="312" w:after="100"/>
        <w:rPr>
          <w:rFonts w:ascii="宋体" w:hAnsi="宋体" w:cs="宋体"/>
          <w:color w:val="auto"/>
          <w:sz w:val="21"/>
          <w:szCs w:val="21"/>
          <w:lang w:eastAsia="zh-CN"/>
        </w:rPr>
      </w:pPr>
      <w:r>
        <w:rPr>
          <w:rFonts w:hint="eastAsia" w:ascii="宋体" w:hAnsi="宋体" w:cs="宋体"/>
          <w:color w:val="auto"/>
          <w:sz w:val="21"/>
          <w:szCs w:val="21"/>
          <w:lang w:eastAsia="zh-CN" w:bidi="ar"/>
        </w:rPr>
        <w:t>①货物到达采购方现场后，由采购方进行基本质量和数量的检验（但不作为最终合格的认定），经检验的货物必须能完全达到合同规定的要求。</w:t>
      </w:r>
    </w:p>
    <w:p w14:paraId="6E40D0D7">
      <w:pPr>
        <w:widowControl/>
        <w:spacing w:before="312" w:after="100"/>
        <w:rPr>
          <w:rFonts w:ascii="宋体" w:hAnsi="宋体" w:cs="宋体"/>
          <w:color w:val="auto"/>
          <w:sz w:val="21"/>
          <w:szCs w:val="21"/>
          <w:lang w:eastAsia="zh-CN"/>
        </w:rPr>
      </w:pPr>
      <w:r>
        <w:rPr>
          <w:rFonts w:hint="eastAsia" w:ascii="宋体" w:hAnsi="宋体" w:cs="宋体"/>
          <w:color w:val="auto"/>
          <w:sz w:val="21"/>
          <w:szCs w:val="21"/>
          <w:lang w:eastAsia="zh-CN" w:bidi="ar"/>
        </w:rPr>
        <w:t>②货物安装调试（包括整机性能测试）过程，中标方应作详细检验的记录。安装调试检验结果应符合制造厂产品标准和采购文件规定的技术要求，检验记录应真实，其原件必须提供给采购方。</w:t>
      </w:r>
    </w:p>
    <w:p w14:paraId="746DF828">
      <w:pPr>
        <w:widowControl/>
        <w:spacing w:before="312" w:after="100"/>
        <w:rPr>
          <w:rFonts w:ascii="宋体" w:hAnsi="宋体" w:cs="宋体"/>
          <w:color w:val="auto"/>
          <w:sz w:val="21"/>
          <w:szCs w:val="21"/>
          <w:lang w:eastAsia="zh-CN"/>
        </w:rPr>
      </w:pPr>
      <w:r>
        <w:rPr>
          <w:rFonts w:hint="eastAsia" w:ascii="宋体" w:hAnsi="宋体" w:cs="宋体"/>
          <w:color w:val="auto"/>
          <w:sz w:val="21"/>
          <w:szCs w:val="21"/>
          <w:lang w:eastAsia="zh-CN" w:bidi="ar"/>
        </w:rPr>
        <w:t>（3）最终验收：货物经安装调试后，由中标方向采购方提出验收申请，由采购方组织最终验收：首先进行现场设备验收，现场设备验收按国家行业标准进行，经验收的所有设备及货物其产品质量应达到设计要求，安装调试各项指标符合技术参数，并由双方确认。现场验收合格并经正常使用15个工作日视为最终验收合格日，双方签署最终验收合格报告。</w:t>
      </w:r>
    </w:p>
    <w:p w14:paraId="14A89208">
      <w:pPr>
        <w:widowControl/>
        <w:spacing w:before="312" w:after="100"/>
        <w:rPr>
          <w:rFonts w:ascii="宋体" w:hAnsi="宋体" w:cs="宋体"/>
          <w:color w:val="auto"/>
          <w:sz w:val="21"/>
          <w:szCs w:val="21"/>
          <w:lang w:eastAsia="zh-CN"/>
        </w:rPr>
      </w:pPr>
      <w:r>
        <w:rPr>
          <w:rFonts w:hint="eastAsia" w:ascii="宋体" w:hAnsi="宋体" w:cs="宋体"/>
          <w:b/>
          <w:bCs/>
          <w:color w:val="auto"/>
          <w:sz w:val="21"/>
          <w:szCs w:val="21"/>
          <w:lang w:eastAsia="zh-CN" w:bidi="ar"/>
        </w:rPr>
        <w:t>3、验收费用：</w:t>
      </w:r>
      <w:r>
        <w:rPr>
          <w:rFonts w:hint="eastAsia" w:ascii="宋体" w:hAnsi="宋体" w:cs="宋体"/>
          <w:color w:val="auto"/>
          <w:sz w:val="21"/>
          <w:szCs w:val="21"/>
          <w:lang w:eastAsia="zh-CN" w:bidi="ar"/>
        </w:rPr>
        <w:t>货物最终检验、验收过程的费用由成交供应商承担。</w:t>
      </w:r>
    </w:p>
    <w:p w14:paraId="165139A8">
      <w:pPr>
        <w:widowControl/>
        <w:spacing w:before="312" w:after="100"/>
        <w:rPr>
          <w:rFonts w:ascii="宋体" w:hAnsi="宋体" w:cs="宋体"/>
          <w:color w:val="auto"/>
          <w:sz w:val="21"/>
          <w:szCs w:val="21"/>
          <w:lang w:eastAsia="zh-CN"/>
        </w:rPr>
      </w:pPr>
      <w:r>
        <w:rPr>
          <w:rFonts w:hint="eastAsia" w:ascii="宋体" w:hAnsi="宋体" w:cs="宋体"/>
          <w:b/>
          <w:bCs/>
          <w:color w:val="auto"/>
          <w:sz w:val="21"/>
          <w:szCs w:val="21"/>
          <w:lang w:eastAsia="zh-CN" w:bidi="ar"/>
        </w:rPr>
        <w:t>4、若验收不能符合要求，买方将按合同商务条款的有关规定执行。</w:t>
      </w:r>
    </w:p>
    <w:p w14:paraId="34E5EC2A">
      <w:pPr>
        <w:rPr>
          <w:color w:val="auto"/>
          <w:lang w:eastAsia="zh-CN"/>
        </w:rPr>
      </w:pPr>
      <w:r>
        <w:rPr>
          <w:rFonts w:hint="eastAsia" w:ascii="宋体" w:hAnsi="宋体" w:cs="宋体"/>
          <w:b/>
          <w:bCs/>
          <w:color w:val="auto"/>
          <w:sz w:val="21"/>
          <w:szCs w:val="21"/>
          <w:lang w:eastAsia="zh-CN" w:bidi="ar"/>
        </w:rPr>
        <w:t>5、在此期间，若发现货物质量有问题卖方应无条件免费更换。</w:t>
      </w:r>
    </w:p>
    <w:p w14:paraId="15568100">
      <w:pPr>
        <w:tabs>
          <w:tab w:val="left" w:pos="4463"/>
        </w:tabs>
        <w:bidi w:val="0"/>
        <w:jc w:val="left"/>
        <w:rPr>
          <w:rFonts w:hint="default"/>
          <w:color w:val="auto"/>
          <w:lang w:val="en-US" w:eastAsia="zh-CN"/>
        </w:rPr>
        <w:sectPr>
          <w:footerReference r:id="rId9" w:type="default"/>
          <w:pgSz w:w="16838" w:h="11906" w:orient="landscape"/>
          <w:pgMar w:top="1418" w:right="1418" w:bottom="1418" w:left="1418" w:header="720" w:footer="737" w:gutter="0"/>
          <w:pgNumType w:fmt="decimal"/>
          <w:cols w:space="720" w:num="1"/>
          <w:titlePg/>
          <w:docGrid w:type="linesAndChars" w:linePitch="331" w:charSpace="0"/>
        </w:sectPr>
      </w:pPr>
    </w:p>
    <w:p w14:paraId="2F16DBC8">
      <w:pPr>
        <w:pStyle w:val="18"/>
        <w:rPr>
          <w:color w:val="auto"/>
        </w:rPr>
      </w:pPr>
    </w:p>
    <w:p w14:paraId="1A2A9A53">
      <w:pPr>
        <w:spacing w:line="720" w:lineRule="auto"/>
        <w:jc w:val="center"/>
        <w:rPr>
          <w:rFonts w:hint="eastAsia" w:ascii="宋体" w:hAnsi="宋体"/>
          <w:color w:val="auto"/>
          <w:sz w:val="24"/>
        </w:rPr>
      </w:pPr>
    </w:p>
    <w:p w14:paraId="6F6F2775">
      <w:pPr>
        <w:spacing w:line="720" w:lineRule="auto"/>
        <w:jc w:val="center"/>
        <w:rPr>
          <w:rFonts w:hint="eastAsia" w:ascii="宋体" w:hAnsi="宋体"/>
          <w:color w:val="auto"/>
          <w:sz w:val="24"/>
        </w:rPr>
      </w:pPr>
    </w:p>
    <w:p w14:paraId="1649B462">
      <w:pPr>
        <w:spacing w:line="720" w:lineRule="auto"/>
        <w:jc w:val="center"/>
        <w:rPr>
          <w:rFonts w:hint="eastAsia" w:ascii="宋体" w:hAnsi="宋体"/>
          <w:color w:val="auto"/>
          <w:sz w:val="24"/>
        </w:rPr>
      </w:pPr>
    </w:p>
    <w:p w14:paraId="2499D744">
      <w:pPr>
        <w:spacing w:line="720" w:lineRule="auto"/>
        <w:jc w:val="center"/>
        <w:rPr>
          <w:color w:val="auto"/>
        </w:rPr>
      </w:pPr>
    </w:p>
    <w:p w14:paraId="3CE40001">
      <w:pPr>
        <w:spacing w:line="480" w:lineRule="auto"/>
        <w:jc w:val="center"/>
        <w:rPr>
          <w:color w:val="auto"/>
        </w:rPr>
      </w:pPr>
    </w:p>
    <w:p w14:paraId="11E0F7F7">
      <w:pPr>
        <w:spacing w:line="480" w:lineRule="auto"/>
        <w:jc w:val="center"/>
        <w:rPr>
          <w:color w:val="auto"/>
        </w:rPr>
      </w:pPr>
    </w:p>
    <w:p w14:paraId="7E956AC9">
      <w:pPr>
        <w:pStyle w:val="40"/>
        <w:rPr>
          <w:color w:val="auto"/>
          <w:sz w:val="40"/>
        </w:rPr>
      </w:pPr>
      <w:bookmarkStart w:id="459" w:name="_Toc1221"/>
      <w:r>
        <w:rPr>
          <w:rFonts w:hint="eastAsia"/>
          <w:color w:val="auto"/>
          <w:sz w:val="40"/>
        </w:rPr>
        <w:t xml:space="preserve">第六章  </w:t>
      </w:r>
      <w:bookmarkEnd w:id="455"/>
      <w:bookmarkEnd w:id="456"/>
      <w:bookmarkEnd w:id="457"/>
      <w:bookmarkEnd w:id="458"/>
      <w:r>
        <w:rPr>
          <w:rFonts w:hint="eastAsia"/>
          <w:color w:val="auto"/>
          <w:sz w:val="40"/>
        </w:rPr>
        <w:t>响应文件格式</w:t>
      </w:r>
      <w:bookmarkEnd w:id="459"/>
    </w:p>
    <w:p w14:paraId="452E99BB">
      <w:pPr>
        <w:jc w:val="left"/>
        <w:rPr>
          <w:rFonts w:hint="eastAsia" w:ascii="黑体" w:hAnsi="黑体" w:eastAsia="黑体"/>
          <w:bCs/>
          <w:color w:val="auto"/>
          <w:sz w:val="48"/>
          <w:szCs w:val="48"/>
        </w:rPr>
      </w:pPr>
      <w:r>
        <w:rPr>
          <w:rFonts w:hint="eastAsia" w:hAnsi="宋体"/>
          <w:b/>
          <w:bCs/>
          <w:color w:val="auto"/>
          <w:sz w:val="28"/>
          <w:szCs w:val="28"/>
          <w:lang w:val="en-US" w:eastAsia="zh-CN"/>
        </w:rPr>
        <w:t>注：</w:t>
      </w:r>
      <w:r>
        <w:rPr>
          <w:rFonts w:hint="eastAsia" w:hAnsi="宋体"/>
          <w:b/>
          <w:bCs/>
          <w:color w:val="auto"/>
          <w:sz w:val="28"/>
          <w:szCs w:val="28"/>
          <w:lang w:eastAsia="zh-CN"/>
        </w:rPr>
        <w:t>投标人在关联标书环节时</w:t>
      </w:r>
      <w:r>
        <w:rPr>
          <w:rFonts w:hint="eastAsia" w:hAnsi="宋体"/>
          <w:b/>
          <w:bCs/>
          <w:color w:val="auto"/>
          <w:sz w:val="28"/>
          <w:szCs w:val="28"/>
          <w:lang w:val="en-US" w:eastAsia="zh-CN"/>
        </w:rPr>
        <w:t>需</w:t>
      </w:r>
      <w:r>
        <w:rPr>
          <w:rFonts w:hint="eastAsia" w:hAnsi="宋体"/>
          <w:b/>
          <w:bCs/>
          <w:color w:val="auto"/>
          <w:sz w:val="28"/>
          <w:szCs w:val="28"/>
          <w:lang w:eastAsia="zh-CN"/>
        </w:rPr>
        <w:t>将整本</w:t>
      </w:r>
      <w:r>
        <w:rPr>
          <w:rFonts w:hint="eastAsia" w:hAnsi="宋体"/>
          <w:b/>
          <w:bCs/>
          <w:color w:val="auto"/>
          <w:sz w:val="28"/>
          <w:szCs w:val="28"/>
          <w:lang w:val="en-US" w:eastAsia="zh-CN"/>
        </w:rPr>
        <w:t>响应</w:t>
      </w:r>
      <w:r>
        <w:rPr>
          <w:rFonts w:hint="eastAsia" w:hAnsi="宋体"/>
          <w:b/>
          <w:bCs/>
          <w:color w:val="auto"/>
          <w:sz w:val="28"/>
          <w:szCs w:val="28"/>
          <w:lang w:eastAsia="zh-CN"/>
        </w:rPr>
        <w:t>文件电子版(含封面)的标书关联至“商务技术部分”，并按</w:t>
      </w:r>
      <w:r>
        <w:rPr>
          <w:rFonts w:hint="eastAsia" w:hAnsi="宋体"/>
          <w:b/>
          <w:bCs/>
          <w:color w:val="auto"/>
          <w:sz w:val="28"/>
          <w:szCs w:val="28"/>
          <w:lang w:val="en-US" w:eastAsia="zh-CN"/>
        </w:rPr>
        <w:t>谈判</w:t>
      </w:r>
      <w:r>
        <w:rPr>
          <w:rFonts w:hint="eastAsia" w:hAnsi="宋体"/>
          <w:b/>
          <w:bCs/>
          <w:color w:val="auto"/>
          <w:sz w:val="28"/>
          <w:szCs w:val="28"/>
          <w:lang w:eastAsia="zh-CN"/>
        </w:rPr>
        <w:t>文件格式要求签字并盖章。</w:t>
      </w:r>
      <w:r>
        <w:rPr>
          <w:color w:val="auto"/>
        </w:rPr>
        <w:br w:type="page"/>
      </w:r>
      <w:bookmarkStart w:id="460" w:name="_Toc450064598"/>
      <w:bookmarkStart w:id="461" w:name="_Toc389644549"/>
      <w:bookmarkStart w:id="462" w:name="_Toc78603130"/>
      <w:r>
        <w:rPr>
          <w:rFonts w:hint="eastAsia"/>
          <w:b/>
          <w:color w:val="auto"/>
          <w:sz w:val="24"/>
        </w:rPr>
        <w:t>响应文件封面格式</w:t>
      </w:r>
      <w:bookmarkEnd w:id="460"/>
      <w:bookmarkEnd w:id="461"/>
    </w:p>
    <w:p w14:paraId="6780BA6E">
      <w:pPr>
        <w:spacing w:before="120" w:after="120" w:line="400" w:lineRule="atLeast"/>
        <w:jc w:val="center"/>
        <w:rPr>
          <w:rFonts w:hint="eastAsia" w:ascii="宋体" w:hAnsi="宋体" w:eastAsia="宋体"/>
          <w:color w:val="auto"/>
          <w:sz w:val="24"/>
          <w:lang w:eastAsia="zh-CN"/>
        </w:rPr>
      </w:pPr>
      <w:r>
        <w:rPr>
          <w:rFonts w:hint="eastAsia" w:ascii="黑体" w:hAnsi="黑体" w:eastAsia="黑体"/>
          <w:bCs/>
          <w:color w:val="auto"/>
          <w:sz w:val="48"/>
          <w:szCs w:val="48"/>
          <w:lang w:eastAsia="zh-CN"/>
        </w:rPr>
        <w:t>西山区芳草地国际学校建设项目设施设备（电脑类、家具类）</w:t>
      </w:r>
    </w:p>
    <w:p w14:paraId="507CFF54">
      <w:pPr>
        <w:spacing w:before="120" w:after="120" w:line="400" w:lineRule="atLeast"/>
        <w:jc w:val="center"/>
        <w:rPr>
          <w:rFonts w:hint="eastAsia" w:ascii="宋体" w:hAnsi="宋体"/>
          <w:color w:val="auto"/>
          <w:sz w:val="24"/>
        </w:rPr>
      </w:pPr>
    </w:p>
    <w:p w14:paraId="665C0C89">
      <w:pPr>
        <w:spacing w:before="120" w:after="120" w:line="400" w:lineRule="atLeast"/>
        <w:jc w:val="center"/>
        <w:rPr>
          <w:rFonts w:hint="eastAsia" w:ascii="宋体" w:hAnsi="宋体" w:eastAsia="宋体" w:cs="Times New Roman"/>
          <w:color w:val="auto"/>
          <w:sz w:val="24"/>
        </w:rPr>
      </w:pPr>
    </w:p>
    <w:p w14:paraId="7459C77F">
      <w:pPr>
        <w:spacing w:before="120" w:after="120" w:line="400" w:lineRule="atLeast"/>
        <w:jc w:val="center"/>
        <w:rPr>
          <w:rFonts w:hint="eastAsia" w:ascii="宋体" w:hAnsi="宋体" w:eastAsia="宋体" w:cs="Times New Roman"/>
          <w:color w:val="auto"/>
          <w:sz w:val="24"/>
        </w:rPr>
      </w:pPr>
    </w:p>
    <w:p w14:paraId="33474A46">
      <w:pPr>
        <w:spacing w:before="120" w:after="120" w:line="400" w:lineRule="atLeast"/>
        <w:jc w:val="center"/>
        <w:rPr>
          <w:rFonts w:hint="eastAsia" w:ascii="宋体" w:hAnsi="宋体" w:eastAsia="宋体" w:cs="Times New Roman"/>
          <w:color w:val="auto"/>
          <w:sz w:val="24"/>
        </w:rPr>
      </w:pPr>
    </w:p>
    <w:p w14:paraId="50F93213">
      <w:pPr>
        <w:spacing w:before="120" w:after="120" w:line="400" w:lineRule="atLeast"/>
        <w:jc w:val="center"/>
        <w:rPr>
          <w:rFonts w:hint="eastAsia" w:ascii="宋体" w:hAnsi="宋体" w:eastAsia="宋体" w:cs="Times New Roman"/>
          <w:color w:val="auto"/>
          <w:sz w:val="24"/>
        </w:rPr>
      </w:pPr>
    </w:p>
    <w:p w14:paraId="23BE4DFC">
      <w:pPr>
        <w:pStyle w:val="18"/>
        <w:jc w:val="center"/>
        <w:rPr>
          <w:rFonts w:hint="eastAsia"/>
          <w:color w:val="auto"/>
        </w:rPr>
      </w:pPr>
    </w:p>
    <w:p w14:paraId="0302EA28">
      <w:pPr>
        <w:spacing w:line="360" w:lineRule="auto"/>
        <w:jc w:val="center"/>
        <w:rPr>
          <w:rFonts w:hint="eastAsia" w:ascii="宋体" w:hAnsi="宋体"/>
          <w:b/>
          <w:color w:val="auto"/>
          <w:sz w:val="56"/>
          <w:szCs w:val="52"/>
        </w:rPr>
      </w:pPr>
      <w:r>
        <w:rPr>
          <w:rFonts w:hint="eastAsia" w:ascii="宋体" w:hAnsi="宋体"/>
          <w:b/>
          <w:color w:val="auto"/>
          <w:sz w:val="56"/>
          <w:szCs w:val="52"/>
        </w:rPr>
        <w:t>竞争性谈判响应文件</w:t>
      </w:r>
    </w:p>
    <w:p w14:paraId="21DDBF8C">
      <w:pPr>
        <w:spacing w:before="120" w:after="120" w:line="400" w:lineRule="atLeast"/>
        <w:jc w:val="center"/>
        <w:rPr>
          <w:rFonts w:hint="eastAsia" w:ascii="宋体" w:hAnsi="宋体" w:eastAsia="宋体"/>
          <w:b/>
          <w:bCs/>
          <w:color w:val="auto"/>
          <w:sz w:val="28"/>
          <w:lang w:eastAsia="zh-CN"/>
        </w:rPr>
      </w:pPr>
      <w:r>
        <w:rPr>
          <w:rFonts w:hint="eastAsia" w:ascii="宋体" w:hAnsi="宋体"/>
          <w:b/>
          <w:bCs/>
          <w:color w:val="auto"/>
          <w:sz w:val="28"/>
        </w:rPr>
        <w:t>项目编号：</w:t>
      </w:r>
      <w:r>
        <w:rPr>
          <w:rFonts w:hint="eastAsia" w:ascii="宋体" w:hAnsi="宋体"/>
          <w:b/>
          <w:bCs/>
          <w:color w:val="auto"/>
          <w:sz w:val="28"/>
          <w:lang w:eastAsia="zh-CN"/>
        </w:rPr>
        <w:t>KMZC2026-J1-01871-XSQZ-0012</w:t>
      </w:r>
    </w:p>
    <w:p w14:paraId="530A2E7C">
      <w:pPr>
        <w:spacing w:before="120" w:after="120" w:line="400" w:lineRule="atLeast"/>
        <w:jc w:val="center"/>
        <w:rPr>
          <w:rFonts w:hint="eastAsia" w:ascii="宋体" w:hAnsi="宋体"/>
          <w:color w:val="auto"/>
          <w:sz w:val="24"/>
        </w:rPr>
      </w:pPr>
    </w:p>
    <w:p w14:paraId="48A6269C">
      <w:pPr>
        <w:spacing w:before="120" w:after="120" w:line="400" w:lineRule="atLeast"/>
        <w:jc w:val="center"/>
        <w:rPr>
          <w:rFonts w:hint="eastAsia" w:ascii="宋体" w:hAnsi="宋体"/>
          <w:color w:val="auto"/>
          <w:sz w:val="24"/>
        </w:rPr>
      </w:pPr>
    </w:p>
    <w:p w14:paraId="66339D96">
      <w:pPr>
        <w:spacing w:before="120" w:after="120" w:line="400" w:lineRule="atLeast"/>
        <w:jc w:val="center"/>
        <w:rPr>
          <w:rFonts w:hint="eastAsia" w:ascii="宋体" w:hAnsi="宋体"/>
          <w:color w:val="auto"/>
          <w:sz w:val="24"/>
        </w:rPr>
      </w:pPr>
    </w:p>
    <w:p w14:paraId="653180B2">
      <w:pPr>
        <w:spacing w:before="120" w:after="120" w:line="400" w:lineRule="atLeast"/>
        <w:jc w:val="center"/>
        <w:rPr>
          <w:rFonts w:hint="eastAsia" w:ascii="宋体" w:hAnsi="宋体"/>
          <w:color w:val="auto"/>
          <w:sz w:val="24"/>
        </w:rPr>
      </w:pPr>
    </w:p>
    <w:p w14:paraId="37231A83">
      <w:pPr>
        <w:spacing w:before="120" w:after="120" w:line="400" w:lineRule="atLeast"/>
        <w:jc w:val="center"/>
        <w:rPr>
          <w:rFonts w:hint="eastAsia" w:ascii="宋体" w:hAnsi="宋体"/>
          <w:color w:val="auto"/>
          <w:sz w:val="24"/>
        </w:rPr>
      </w:pPr>
    </w:p>
    <w:p w14:paraId="58BCD201">
      <w:pPr>
        <w:spacing w:before="120" w:after="120" w:line="400" w:lineRule="atLeast"/>
        <w:jc w:val="center"/>
        <w:rPr>
          <w:rFonts w:hint="eastAsia" w:ascii="宋体" w:hAnsi="宋体"/>
          <w:color w:val="auto"/>
          <w:sz w:val="24"/>
        </w:rPr>
      </w:pPr>
    </w:p>
    <w:p w14:paraId="4CB2C50B">
      <w:pPr>
        <w:spacing w:line="360" w:lineRule="auto"/>
        <w:ind w:left="840" w:leftChars="400"/>
        <w:rPr>
          <w:rFonts w:hint="eastAsia" w:ascii="黑体" w:hAnsi="黑体" w:eastAsia="黑体"/>
          <w:b/>
          <w:bCs w:val="0"/>
          <w:color w:val="auto"/>
          <w:sz w:val="30"/>
          <w:highlight w:val="none"/>
          <w:lang w:eastAsia="zh-CN"/>
        </w:rPr>
      </w:pPr>
      <w:r>
        <w:rPr>
          <w:rFonts w:hint="eastAsia" w:ascii="黑体" w:hAnsi="黑体" w:eastAsia="黑体"/>
          <w:b/>
          <w:bCs w:val="0"/>
          <w:color w:val="auto"/>
          <w:sz w:val="30"/>
          <w:highlight w:val="none"/>
          <w:lang w:eastAsia="zh-CN"/>
        </w:rPr>
        <w:t>投标人(电子签章)：</w:t>
      </w:r>
      <w:r>
        <w:rPr>
          <w:rFonts w:hint="eastAsia" w:ascii="黑体" w:hAnsi="黑体" w:eastAsia="黑体"/>
          <w:b/>
          <w:bCs w:val="0"/>
          <w:color w:val="auto"/>
          <w:sz w:val="30"/>
          <w:highlight w:val="none"/>
          <w:u w:val="single"/>
          <w:lang w:eastAsia="zh-CN"/>
        </w:rPr>
        <w:t xml:space="preserve">                          </w:t>
      </w:r>
      <w:r>
        <w:rPr>
          <w:rFonts w:ascii="黑体" w:hAnsi="黑体" w:eastAsia="黑体"/>
          <w:b/>
          <w:bCs w:val="0"/>
          <w:color w:val="auto"/>
          <w:sz w:val="30"/>
          <w:highlight w:val="none"/>
          <w:u w:val="single"/>
          <w:lang w:eastAsia="zh-CN"/>
        </w:rPr>
        <w:t xml:space="preserve"> </w:t>
      </w:r>
      <w:r>
        <w:rPr>
          <w:rFonts w:hint="eastAsia" w:ascii="黑体" w:hAnsi="黑体" w:eastAsia="黑体"/>
          <w:b/>
          <w:bCs w:val="0"/>
          <w:color w:val="auto"/>
          <w:sz w:val="30"/>
          <w:highlight w:val="none"/>
          <w:u w:val="single"/>
          <w:lang w:eastAsia="zh-CN"/>
        </w:rPr>
        <w:t xml:space="preserve">    </w:t>
      </w:r>
    </w:p>
    <w:p w14:paraId="5B2C1DA3">
      <w:pPr>
        <w:spacing w:line="360" w:lineRule="auto"/>
        <w:ind w:left="840" w:leftChars="400"/>
        <w:rPr>
          <w:rFonts w:hint="eastAsia" w:ascii="黑体" w:hAnsi="黑体" w:eastAsia="黑体"/>
          <w:b/>
          <w:bCs w:val="0"/>
          <w:color w:val="auto"/>
          <w:sz w:val="30"/>
          <w:highlight w:val="none"/>
          <w:lang w:eastAsia="zh-CN"/>
        </w:rPr>
      </w:pPr>
      <w:r>
        <w:rPr>
          <w:rFonts w:hint="eastAsia" w:ascii="黑体" w:hAnsi="黑体" w:eastAsia="黑体"/>
          <w:b/>
          <w:bCs w:val="0"/>
          <w:color w:val="auto"/>
          <w:sz w:val="30"/>
          <w:highlight w:val="none"/>
          <w:lang w:eastAsia="zh-CN"/>
        </w:rPr>
        <w:t>地  址：</w:t>
      </w:r>
      <w:r>
        <w:rPr>
          <w:rFonts w:hint="eastAsia" w:ascii="黑体" w:hAnsi="黑体" w:eastAsia="黑体"/>
          <w:b/>
          <w:bCs w:val="0"/>
          <w:color w:val="auto"/>
          <w:sz w:val="30"/>
          <w:highlight w:val="none"/>
          <w:u w:val="single"/>
          <w:lang w:eastAsia="zh-CN"/>
        </w:rPr>
        <w:t xml:space="preserve">                                         </w:t>
      </w:r>
    </w:p>
    <w:p w14:paraId="2A64E0D2">
      <w:pPr>
        <w:spacing w:line="360" w:lineRule="auto"/>
        <w:ind w:left="840" w:leftChars="400"/>
        <w:rPr>
          <w:rFonts w:hint="eastAsia" w:ascii="黑体" w:hAnsi="黑体" w:eastAsia="黑体"/>
          <w:b/>
          <w:bCs w:val="0"/>
          <w:color w:val="auto"/>
          <w:sz w:val="30"/>
          <w:highlight w:val="none"/>
          <w:lang w:eastAsia="zh-CN"/>
        </w:rPr>
      </w:pPr>
      <w:r>
        <w:rPr>
          <w:rFonts w:hint="eastAsia" w:ascii="黑体" w:hAnsi="黑体" w:eastAsia="黑体"/>
          <w:b/>
          <w:bCs w:val="0"/>
          <w:color w:val="auto"/>
          <w:sz w:val="30"/>
          <w:highlight w:val="none"/>
          <w:lang w:eastAsia="zh-CN"/>
        </w:rPr>
        <w:t>法定代表人或委托代理人（电子签名）：</w:t>
      </w:r>
      <w:r>
        <w:rPr>
          <w:rFonts w:hint="eastAsia" w:ascii="黑体" w:hAnsi="黑体" w:eastAsia="黑体"/>
          <w:b/>
          <w:bCs w:val="0"/>
          <w:color w:val="auto"/>
          <w:sz w:val="30"/>
          <w:highlight w:val="none"/>
          <w:u w:val="single"/>
          <w:lang w:eastAsia="zh-CN"/>
        </w:rPr>
        <w:t xml:space="preserve">              </w:t>
      </w:r>
    </w:p>
    <w:p w14:paraId="0A68925E">
      <w:pPr>
        <w:spacing w:line="360" w:lineRule="auto"/>
        <w:ind w:left="840" w:leftChars="400"/>
        <w:rPr>
          <w:rFonts w:hint="eastAsia" w:ascii="黑体" w:hAnsi="黑体" w:eastAsia="黑体"/>
          <w:b/>
          <w:bCs w:val="0"/>
          <w:color w:val="auto"/>
          <w:sz w:val="30"/>
          <w:highlight w:val="none"/>
          <w:lang w:eastAsia="zh-CN"/>
        </w:rPr>
      </w:pPr>
      <w:r>
        <w:rPr>
          <w:rFonts w:hint="eastAsia" w:ascii="黑体" w:hAnsi="黑体" w:eastAsia="黑体"/>
          <w:b/>
          <w:bCs w:val="0"/>
          <w:color w:val="auto"/>
          <w:sz w:val="30"/>
          <w:highlight w:val="none"/>
          <w:lang w:eastAsia="zh-CN"/>
        </w:rPr>
        <w:t>联系电话：</w:t>
      </w:r>
      <w:r>
        <w:rPr>
          <w:rFonts w:hint="eastAsia" w:ascii="黑体" w:hAnsi="黑体" w:eastAsia="黑体"/>
          <w:b/>
          <w:bCs w:val="0"/>
          <w:color w:val="auto"/>
          <w:sz w:val="30"/>
          <w:highlight w:val="none"/>
          <w:u w:val="single"/>
          <w:lang w:eastAsia="zh-CN"/>
        </w:rPr>
        <w:t xml:space="preserve">                                       </w:t>
      </w:r>
    </w:p>
    <w:p w14:paraId="1DEDBC34">
      <w:pPr>
        <w:spacing w:line="360" w:lineRule="auto"/>
        <w:ind w:left="840" w:leftChars="400"/>
        <w:rPr>
          <w:rFonts w:hint="eastAsia" w:ascii="黑体" w:hAnsi="黑体" w:eastAsia="黑体"/>
          <w:b/>
          <w:bCs w:val="0"/>
          <w:color w:val="auto"/>
          <w:sz w:val="30"/>
          <w:highlight w:val="none"/>
          <w:lang w:eastAsia="zh-CN"/>
        </w:rPr>
      </w:pPr>
      <w:r>
        <w:rPr>
          <w:rFonts w:hint="eastAsia" w:ascii="黑体" w:hAnsi="黑体" w:eastAsia="黑体"/>
          <w:b/>
          <w:bCs w:val="0"/>
          <w:color w:val="auto"/>
          <w:sz w:val="30"/>
          <w:highlight w:val="none"/>
          <w:lang w:eastAsia="zh-CN"/>
        </w:rPr>
        <w:t>日  期：     年    月    日</w:t>
      </w:r>
    </w:p>
    <w:p w14:paraId="0F30E416">
      <w:pPr>
        <w:spacing w:line="360" w:lineRule="auto"/>
        <w:ind w:left="840" w:leftChars="400"/>
        <w:rPr>
          <w:rFonts w:hint="eastAsia" w:ascii="宋体" w:hAnsi="宋体"/>
          <w:b/>
          <w:bCs/>
          <w:color w:val="auto"/>
          <w:sz w:val="30"/>
        </w:rPr>
      </w:pPr>
      <w:r>
        <w:rPr>
          <w:rFonts w:ascii="宋体" w:hAnsi="宋体"/>
          <w:b/>
          <w:bCs/>
          <w:color w:val="auto"/>
          <w:sz w:val="30"/>
        </w:rPr>
        <w:br w:type="page"/>
      </w:r>
    </w:p>
    <w:bookmarkEnd w:id="462"/>
    <w:p w14:paraId="61AADF74">
      <w:pPr>
        <w:jc w:val="center"/>
        <w:rPr>
          <w:rFonts w:hint="eastAsia" w:ascii="宋体" w:hAnsi="宋体"/>
          <w:b/>
          <w:bCs/>
          <w:color w:val="auto"/>
          <w:sz w:val="30"/>
        </w:rPr>
      </w:pPr>
      <w:r>
        <w:rPr>
          <w:rFonts w:hint="eastAsia" w:ascii="宋体" w:hAnsi="宋体"/>
          <w:b/>
          <w:bCs/>
          <w:color w:val="auto"/>
          <w:sz w:val="30"/>
          <w:lang w:val="en-US" w:eastAsia="zh-CN"/>
        </w:rPr>
        <w:t>目  录</w:t>
      </w:r>
      <w:r>
        <w:rPr>
          <w:rFonts w:hint="eastAsia" w:ascii="宋体" w:hAnsi="宋体"/>
          <w:b/>
          <w:bCs/>
          <w:color w:val="auto"/>
          <w:sz w:val="30"/>
        </w:rPr>
        <w:br w:type="page"/>
      </w:r>
    </w:p>
    <w:p w14:paraId="6093CAAE">
      <w:pPr>
        <w:pStyle w:val="40"/>
        <w:rPr>
          <w:rFonts w:hint="eastAsia" w:ascii="黑体" w:hAnsi="黑体" w:eastAsia="黑体"/>
          <w:color w:val="auto"/>
          <w:sz w:val="44"/>
          <w:szCs w:val="44"/>
          <w:lang w:val="en-US" w:eastAsia="zh-CN"/>
        </w:rPr>
      </w:pPr>
    </w:p>
    <w:p w14:paraId="38BB36C2">
      <w:pPr>
        <w:pStyle w:val="40"/>
        <w:rPr>
          <w:rFonts w:hint="eastAsia" w:ascii="黑体" w:hAnsi="黑体" w:eastAsia="黑体"/>
          <w:color w:val="auto"/>
          <w:sz w:val="44"/>
          <w:szCs w:val="44"/>
          <w:lang w:val="en-US" w:eastAsia="zh-CN"/>
        </w:rPr>
      </w:pPr>
    </w:p>
    <w:p w14:paraId="1A16DF29">
      <w:pPr>
        <w:pStyle w:val="40"/>
        <w:rPr>
          <w:rFonts w:hint="eastAsia" w:ascii="黑体" w:hAnsi="黑体" w:eastAsia="黑体"/>
          <w:color w:val="auto"/>
          <w:sz w:val="44"/>
          <w:szCs w:val="44"/>
          <w:lang w:val="en-US" w:eastAsia="zh-CN"/>
        </w:rPr>
      </w:pPr>
    </w:p>
    <w:p w14:paraId="7829E51A">
      <w:pPr>
        <w:pStyle w:val="40"/>
        <w:rPr>
          <w:rFonts w:hint="eastAsia" w:ascii="黑体" w:hAnsi="黑体" w:eastAsia="黑体"/>
          <w:color w:val="auto"/>
          <w:sz w:val="44"/>
          <w:szCs w:val="44"/>
          <w:lang w:val="en-US" w:eastAsia="zh-CN"/>
        </w:rPr>
      </w:pPr>
    </w:p>
    <w:p w14:paraId="10B05581">
      <w:pPr>
        <w:pStyle w:val="40"/>
        <w:rPr>
          <w:rFonts w:hint="eastAsia" w:ascii="黑体" w:hAnsi="黑体" w:eastAsia="黑体"/>
          <w:color w:val="auto"/>
          <w:sz w:val="44"/>
          <w:szCs w:val="44"/>
          <w:lang w:val="en-US" w:eastAsia="zh-CN"/>
        </w:rPr>
      </w:pPr>
    </w:p>
    <w:p w14:paraId="5E1B0EDE">
      <w:pPr>
        <w:pStyle w:val="40"/>
        <w:rPr>
          <w:rFonts w:hint="eastAsia" w:ascii="黑体" w:hAnsi="黑体" w:eastAsia="黑体"/>
          <w:color w:val="auto"/>
          <w:sz w:val="44"/>
          <w:szCs w:val="44"/>
          <w:lang w:val="en-US" w:eastAsia="zh-CN"/>
        </w:rPr>
      </w:pPr>
    </w:p>
    <w:p w14:paraId="1B7C61DC">
      <w:pPr>
        <w:pStyle w:val="40"/>
        <w:rPr>
          <w:rFonts w:hint="eastAsia" w:ascii="黑体" w:hAnsi="黑体" w:eastAsia="黑体"/>
          <w:color w:val="auto"/>
          <w:sz w:val="44"/>
          <w:szCs w:val="44"/>
        </w:rPr>
      </w:pPr>
      <w:bookmarkStart w:id="463" w:name="_Toc24355"/>
      <w:r>
        <w:rPr>
          <w:rFonts w:hint="eastAsia" w:ascii="黑体" w:hAnsi="黑体" w:eastAsia="黑体"/>
          <w:color w:val="auto"/>
          <w:sz w:val="44"/>
          <w:szCs w:val="44"/>
          <w:lang w:val="en-US" w:eastAsia="zh-CN"/>
        </w:rPr>
        <w:t>一、报价</w:t>
      </w:r>
      <w:r>
        <w:rPr>
          <w:rFonts w:hint="eastAsia" w:ascii="黑体" w:hAnsi="黑体" w:eastAsia="黑体"/>
          <w:color w:val="auto"/>
          <w:sz w:val="44"/>
          <w:szCs w:val="44"/>
        </w:rPr>
        <w:t>部分</w:t>
      </w:r>
      <w:bookmarkEnd w:id="463"/>
    </w:p>
    <w:p w14:paraId="375A638D">
      <w:pPr>
        <w:rPr>
          <w:rFonts w:hint="eastAsia" w:ascii="宋体" w:hAnsi="宋体"/>
          <w:color w:val="auto"/>
          <w:highlight w:val="none"/>
          <w:lang w:eastAsia="zh-CN"/>
        </w:rPr>
      </w:pPr>
      <w:r>
        <w:rPr>
          <w:rFonts w:hint="eastAsia" w:ascii="宋体" w:hAnsi="宋体"/>
          <w:color w:val="auto"/>
          <w:highlight w:val="none"/>
          <w:lang w:eastAsia="zh-CN"/>
        </w:rPr>
        <w:br w:type="page"/>
      </w:r>
    </w:p>
    <w:p w14:paraId="6C934DF9">
      <w:pPr>
        <w:pStyle w:val="134"/>
        <w:spacing w:before="240"/>
        <w:jc w:val="center"/>
        <w:rPr>
          <w:rFonts w:ascii="宋体" w:hAnsi="宋体"/>
          <w:color w:val="auto"/>
          <w:highlight w:val="none"/>
        </w:rPr>
      </w:pPr>
      <w:bookmarkStart w:id="464" w:name="_Toc2878"/>
      <w:r>
        <w:rPr>
          <w:rFonts w:hint="eastAsia" w:ascii="宋体" w:hAnsi="宋体"/>
          <w:color w:val="auto"/>
          <w:highlight w:val="none"/>
          <w:lang w:eastAsia="zh-CN"/>
        </w:rPr>
        <w:t>（</w:t>
      </w:r>
      <w:r>
        <w:rPr>
          <w:rFonts w:hint="eastAsia" w:ascii="宋体" w:hAnsi="宋体"/>
          <w:color w:val="auto"/>
          <w:highlight w:val="none"/>
          <w:lang w:val="en-US" w:eastAsia="zh-CN"/>
        </w:rPr>
        <w:t>一</w:t>
      </w:r>
      <w:r>
        <w:rPr>
          <w:rFonts w:hint="eastAsia" w:ascii="宋体" w:hAnsi="宋体"/>
          <w:color w:val="auto"/>
          <w:highlight w:val="none"/>
          <w:lang w:eastAsia="zh-CN"/>
        </w:rPr>
        <w:t>）</w:t>
      </w:r>
      <w:r>
        <w:rPr>
          <w:rFonts w:hint="eastAsia" w:ascii="宋体" w:hAnsi="宋体"/>
          <w:color w:val="auto"/>
          <w:highlight w:val="none"/>
        </w:rPr>
        <w:t>首轮报价一览表</w:t>
      </w:r>
      <w:bookmarkEnd w:id="464"/>
    </w:p>
    <w:p w14:paraId="28774E3B">
      <w:pPr>
        <w:spacing w:line="400" w:lineRule="atLeast"/>
        <w:rPr>
          <w:rFonts w:hint="eastAsia" w:ascii="宋体" w:hAnsi="宋体" w:eastAsia="宋体"/>
          <w:b/>
          <w:color w:val="auto"/>
          <w:szCs w:val="21"/>
          <w:lang w:eastAsia="zh-CN"/>
        </w:rPr>
      </w:pPr>
      <w:r>
        <w:rPr>
          <w:rFonts w:hint="eastAsia" w:ascii="宋体" w:hAnsi="宋体"/>
          <w:b/>
          <w:color w:val="auto"/>
          <w:szCs w:val="21"/>
        </w:rPr>
        <w:t>项目名称：</w:t>
      </w:r>
      <w:r>
        <w:rPr>
          <w:rFonts w:hint="eastAsia" w:ascii="宋体" w:hAnsi="宋体"/>
          <w:b/>
          <w:color w:val="auto"/>
          <w:szCs w:val="21"/>
          <w:lang w:eastAsia="zh-CN"/>
        </w:rPr>
        <w:t>西山区芳草地国际学校建设项目设施设备（电脑类、家具类）</w:t>
      </w:r>
    </w:p>
    <w:p w14:paraId="266FFDA1">
      <w:pPr>
        <w:spacing w:line="400" w:lineRule="atLeast"/>
        <w:rPr>
          <w:rFonts w:hint="eastAsia" w:ascii="宋体" w:hAnsi="宋体" w:eastAsia="宋体"/>
          <w:b/>
          <w:color w:val="auto"/>
          <w:szCs w:val="21"/>
          <w:lang w:eastAsia="zh-CN"/>
        </w:rPr>
      </w:pPr>
      <w:r>
        <w:rPr>
          <w:rFonts w:hint="eastAsia" w:ascii="宋体" w:hAnsi="宋体"/>
          <w:b/>
          <w:color w:val="auto"/>
          <w:szCs w:val="21"/>
        </w:rPr>
        <w:t>项目编号：</w:t>
      </w:r>
      <w:r>
        <w:rPr>
          <w:rFonts w:hint="eastAsia" w:ascii="宋体" w:hAnsi="宋体"/>
          <w:b/>
          <w:color w:val="auto"/>
          <w:szCs w:val="21"/>
          <w:lang w:eastAsia="zh-CN"/>
        </w:rPr>
        <w:t>KMZC2026-J1-01871-XSQZ-0012</w:t>
      </w:r>
    </w:p>
    <w:tbl>
      <w:tblPr>
        <w:tblStyle w:val="44"/>
        <w:tblW w:w="9214" w:type="dxa"/>
        <w:tblInd w:w="2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2580"/>
        <w:gridCol w:w="6634"/>
      </w:tblGrid>
      <w:tr w14:paraId="267799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181" w:hRule="atLeast"/>
        </w:trPr>
        <w:tc>
          <w:tcPr>
            <w:tcW w:w="2580" w:type="dxa"/>
            <w:vAlign w:val="center"/>
          </w:tcPr>
          <w:p w14:paraId="73765712">
            <w:pPr>
              <w:spacing w:line="400" w:lineRule="atLeast"/>
              <w:jc w:val="left"/>
              <w:rPr>
                <w:rFonts w:hint="eastAsia" w:ascii="宋体" w:hAnsi="宋体"/>
                <w:color w:val="auto"/>
                <w:szCs w:val="21"/>
              </w:rPr>
            </w:pPr>
            <w:r>
              <w:rPr>
                <w:rFonts w:hint="eastAsia" w:ascii="宋体" w:hAnsi="宋体"/>
                <w:color w:val="auto"/>
                <w:szCs w:val="21"/>
              </w:rPr>
              <w:t>投标报价（元）</w:t>
            </w:r>
          </w:p>
        </w:tc>
        <w:tc>
          <w:tcPr>
            <w:tcW w:w="6634" w:type="dxa"/>
            <w:vAlign w:val="center"/>
          </w:tcPr>
          <w:p w14:paraId="3C543AF8">
            <w:pPr>
              <w:spacing w:line="400" w:lineRule="atLeast"/>
              <w:jc w:val="left"/>
              <w:rPr>
                <w:rFonts w:hint="eastAsia" w:ascii="宋体" w:hAnsi="宋体"/>
                <w:color w:val="auto"/>
                <w:szCs w:val="21"/>
              </w:rPr>
            </w:pPr>
          </w:p>
        </w:tc>
      </w:tr>
      <w:tr w14:paraId="6BE152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72" w:hRule="atLeast"/>
        </w:trPr>
        <w:tc>
          <w:tcPr>
            <w:tcW w:w="2580" w:type="dxa"/>
            <w:vAlign w:val="center"/>
          </w:tcPr>
          <w:p w14:paraId="46A9182A">
            <w:pPr>
              <w:spacing w:line="400" w:lineRule="atLeast"/>
              <w:jc w:val="left"/>
              <w:rPr>
                <w:rFonts w:hint="default" w:eastAsia="宋体"/>
                <w:color w:val="auto"/>
                <w:lang w:val="en-US" w:eastAsia="zh-CN"/>
              </w:rPr>
            </w:pPr>
            <w:r>
              <w:rPr>
                <w:rFonts w:hint="eastAsia"/>
                <w:color w:val="auto"/>
              </w:rPr>
              <w:t>合同履行期限</w:t>
            </w:r>
            <w:r>
              <w:rPr>
                <w:rFonts w:hint="eastAsia"/>
                <w:color w:val="auto"/>
                <w:lang w:val="en-US" w:eastAsia="zh-CN"/>
              </w:rPr>
              <w:t>(交货期限）</w:t>
            </w:r>
          </w:p>
        </w:tc>
        <w:tc>
          <w:tcPr>
            <w:tcW w:w="6634" w:type="dxa"/>
            <w:vAlign w:val="center"/>
          </w:tcPr>
          <w:p w14:paraId="1AAF7A92">
            <w:pPr>
              <w:spacing w:line="400" w:lineRule="atLeast"/>
              <w:jc w:val="center"/>
              <w:rPr>
                <w:rFonts w:hint="eastAsia" w:ascii="宋体" w:hAnsi="宋体"/>
                <w:color w:val="auto"/>
                <w:szCs w:val="21"/>
              </w:rPr>
            </w:pPr>
          </w:p>
        </w:tc>
      </w:tr>
      <w:tr w14:paraId="3E2B8C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00" w:hRule="atLeast"/>
        </w:trPr>
        <w:tc>
          <w:tcPr>
            <w:tcW w:w="2580" w:type="dxa"/>
            <w:vAlign w:val="center"/>
          </w:tcPr>
          <w:p w14:paraId="64F3B08B">
            <w:pPr>
              <w:spacing w:line="400" w:lineRule="atLeast"/>
              <w:jc w:val="left"/>
              <w:rPr>
                <w:rFonts w:hint="eastAsia" w:eastAsia="宋体"/>
                <w:color w:val="auto"/>
                <w:lang w:eastAsia="zh-CN"/>
              </w:rPr>
            </w:pPr>
            <w:r>
              <w:rPr>
                <w:rFonts w:hint="eastAsia" w:ascii="宋体" w:hAnsi="宋体"/>
                <w:color w:val="auto"/>
                <w:szCs w:val="21"/>
              </w:rPr>
              <w:t>质量</w:t>
            </w:r>
            <w:r>
              <w:rPr>
                <w:rFonts w:hint="eastAsia" w:ascii="宋体" w:hAnsi="宋体"/>
                <w:color w:val="auto"/>
                <w:szCs w:val="21"/>
                <w:lang w:val="en-US" w:eastAsia="zh-CN"/>
              </w:rPr>
              <w:t>承诺</w:t>
            </w:r>
          </w:p>
        </w:tc>
        <w:tc>
          <w:tcPr>
            <w:tcW w:w="6634" w:type="dxa"/>
            <w:vAlign w:val="center"/>
          </w:tcPr>
          <w:p w14:paraId="7BFB7924">
            <w:pPr>
              <w:spacing w:line="400" w:lineRule="atLeast"/>
              <w:jc w:val="center"/>
              <w:rPr>
                <w:rFonts w:hint="eastAsia" w:ascii="宋体" w:hAnsi="宋体"/>
                <w:color w:val="auto"/>
                <w:szCs w:val="21"/>
              </w:rPr>
            </w:pPr>
          </w:p>
        </w:tc>
      </w:tr>
      <w:tr w14:paraId="2A6161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00" w:hRule="atLeast"/>
        </w:trPr>
        <w:tc>
          <w:tcPr>
            <w:tcW w:w="2580" w:type="dxa"/>
            <w:vAlign w:val="center"/>
          </w:tcPr>
          <w:p w14:paraId="15463153">
            <w:pPr>
              <w:spacing w:line="400" w:lineRule="atLeast"/>
              <w:jc w:val="left"/>
              <w:rPr>
                <w:color w:val="auto"/>
              </w:rPr>
            </w:pPr>
            <w:r>
              <w:rPr>
                <w:color w:val="auto"/>
              </w:rPr>
              <w:t>其他声明</w:t>
            </w:r>
          </w:p>
        </w:tc>
        <w:tc>
          <w:tcPr>
            <w:tcW w:w="6634" w:type="dxa"/>
            <w:vAlign w:val="center"/>
          </w:tcPr>
          <w:p w14:paraId="0594A0A8">
            <w:pPr>
              <w:spacing w:line="400" w:lineRule="atLeast"/>
              <w:jc w:val="center"/>
              <w:rPr>
                <w:rFonts w:hint="eastAsia" w:ascii="宋体" w:hAnsi="宋体"/>
                <w:color w:val="auto"/>
                <w:szCs w:val="21"/>
              </w:rPr>
            </w:pPr>
          </w:p>
        </w:tc>
      </w:tr>
    </w:tbl>
    <w:p w14:paraId="20179DF5">
      <w:pPr>
        <w:spacing w:line="360" w:lineRule="auto"/>
        <w:ind w:right="111" w:rightChars="53"/>
        <w:rPr>
          <w:rFonts w:hint="eastAsia" w:ascii="宋体" w:hAnsi="宋体"/>
          <w:color w:val="auto"/>
          <w:sz w:val="18"/>
          <w:szCs w:val="18"/>
        </w:rPr>
      </w:pPr>
      <w:r>
        <w:rPr>
          <w:rFonts w:hint="eastAsia" w:ascii="宋体" w:hAnsi="宋体"/>
          <w:color w:val="auto"/>
          <w:sz w:val="18"/>
          <w:szCs w:val="18"/>
        </w:rPr>
        <w:t>注：1、投标人应依据谈判文件、项目需求、技术和服务要求等有关资料，并综合考虑成本、税金、保险、利润和风险等一切因素，结合市场情况，由投标人自行测算自主报价。</w:t>
      </w:r>
    </w:p>
    <w:p w14:paraId="3D946D28">
      <w:pPr>
        <w:spacing w:line="360" w:lineRule="auto"/>
        <w:ind w:right="111" w:rightChars="53" w:firstLine="360" w:firstLineChars="200"/>
        <w:rPr>
          <w:rFonts w:hint="eastAsia" w:ascii="宋体" w:hAnsi="宋体"/>
          <w:color w:val="auto"/>
          <w:sz w:val="18"/>
          <w:szCs w:val="18"/>
        </w:rPr>
      </w:pPr>
      <w:r>
        <w:rPr>
          <w:rFonts w:hint="eastAsia" w:ascii="宋体" w:hAnsi="宋体"/>
          <w:color w:val="auto"/>
          <w:sz w:val="18"/>
          <w:szCs w:val="18"/>
        </w:rPr>
        <w:t>2、本表中报价应与投标函一致。</w:t>
      </w:r>
    </w:p>
    <w:p w14:paraId="33C48C41">
      <w:pPr>
        <w:spacing w:line="400" w:lineRule="atLeast"/>
        <w:rPr>
          <w:rFonts w:hint="eastAsia" w:ascii="宋体" w:hAnsi="宋体"/>
          <w:color w:val="auto"/>
          <w:sz w:val="24"/>
        </w:rPr>
      </w:pPr>
    </w:p>
    <w:p w14:paraId="0727E24A">
      <w:pPr>
        <w:spacing w:line="400" w:lineRule="atLeast"/>
        <w:rPr>
          <w:rFonts w:hint="eastAsia" w:ascii="宋体" w:hAnsi="宋体"/>
          <w:color w:val="auto"/>
          <w:sz w:val="24"/>
        </w:rPr>
      </w:pPr>
    </w:p>
    <w:p w14:paraId="27A77655">
      <w:pPr>
        <w:spacing w:line="400" w:lineRule="atLeast"/>
        <w:rPr>
          <w:rFonts w:hint="eastAsia" w:ascii="宋体" w:hAnsi="宋体"/>
          <w:color w:val="auto"/>
          <w:sz w:val="24"/>
        </w:rPr>
      </w:pPr>
    </w:p>
    <w:p w14:paraId="6C94364D">
      <w:pPr>
        <w:spacing w:before="60" w:after="60" w:line="480" w:lineRule="auto"/>
        <w:rPr>
          <w:rFonts w:hint="eastAsia" w:ascii="宋体" w:hAnsi="宋体"/>
          <w:color w:val="auto"/>
          <w:szCs w:val="21"/>
        </w:rPr>
      </w:pPr>
      <w:r>
        <w:rPr>
          <w:rFonts w:hint="eastAsia" w:ascii="宋体" w:hAnsi="宋体"/>
          <w:color w:val="auto"/>
          <w:szCs w:val="21"/>
        </w:rPr>
        <w:t>投标人(电子签章)：</w:t>
      </w:r>
      <w:r>
        <w:rPr>
          <w:rFonts w:ascii="宋体" w:hAnsi="宋体"/>
          <w:color w:val="auto"/>
          <w:szCs w:val="21"/>
          <w:u w:val="single"/>
        </w:rPr>
        <w:t xml:space="preserve">                                     </w:t>
      </w:r>
      <w:r>
        <w:rPr>
          <w:rFonts w:hint="eastAsia" w:ascii="宋体" w:hAnsi="宋体"/>
          <w:color w:val="auto"/>
          <w:szCs w:val="21"/>
        </w:rPr>
        <w:t xml:space="preserve"> </w:t>
      </w:r>
    </w:p>
    <w:p w14:paraId="6F108383">
      <w:pPr>
        <w:spacing w:before="60" w:after="60" w:line="480" w:lineRule="auto"/>
        <w:rPr>
          <w:rFonts w:hint="eastAsia" w:ascii="宋体" w:hAnsi="宋体"/>
          <w:color w:val="auto"/>
          <w:szCs w:val="21"/>
        </w:rPr>
      </w:pPr>
      <w:r>
        <w:rPr>
          <w:rFonts w:hint="eastAsia" w:ascii="宋体" w:hAnsi="宋体"/>
          <w:color w:val="auto"/>
          <w:szCs w:val="21"/>
        </w:rPr>
        <w:t>法定代表人或委托代理人（电子签名）：</w:t>
      </w:r>
      <w:r>
        <w:rPr>
          <w:rFonts w:hint="eastAsia" w:ascii="宋体" w:hAnsi="宋体"/>
          <w:color w:val="auto"/>
          <w:szCs w:val="21"/>
          <w:u w:val="single"/>
        </w:rPr>
        <w:t xml:space="preserve">                    </w:t>
      </w:r>
    </w:p>
    <w:p w14:paraId="10B023C8">
      <w:pPr>
        <w:spacing w:before="60" w:after="60" w:line="480" w:lineRule="auto"/>
        <w:rPr>
          <w:rFonts w:hint="eastAsia" w:ascii="宋体" w:hAnsi="宋体"/>
          <w:color w:val="auto"/>
          <w:szCs w:val="21"/>
        </w:rPr>
      </w:pPr>
      <w:r>
        <w:rPr>
          <w:rFonts w:hint="eastAsia" w:ascii="宋体" w:hAnsi="宋体"/>
          <w:color w:val="auto"/>
          <w:szCs w:val="21"/>
        </w:rPr>
        <w:t>日期：</w:t>
      </w:r>
      <w:r>
        <w:rPr>
          <w:rFonts w:ascii="宋体" w:hAnsi="宋体"/>
          <w:color w:val="auto"/>
          <w:szCs w:val="21"/>
        </w:rPr>
        <w:t>______</w:t>
      </w:r>
      <w:r>
        <w:rPr>
          <w:rFonts w:hint="eastAsia" w:ascii="宋体" w:hAnsi="宋体"/>
          <w:color w:val="auto"/>
          <w:szCs w:val="21"/>
        </w:rPr>
        <w:t>年</w:t>
      </w:r>
      <w:r>
        <w:rPr>
          <w:rFonts w:ascii="宋体" w:hAnsi="宋体"/>
          <w:color w:val="auto"/>
          <w:szCs w:val="21"/>
        </w:rPr>
        <w:t>_____</w:t>
      </w:r>
      <w:r>
        <w:rPr>
          <w:rFonts w:hint="eastAsia" w:ascii="宋体" w:hAnsi="宋体"/>
          <w:color w:val="auto"/>
          <w:szCs w:val="21"/>
        </w:rPr>
        <w:t>月</w:t>
      </w:r>
      <w:r>
        <w:rPr>
          <w:rFonts w:ascii="宋体" w:hAnsi="宋体"/>
          <w:color w:val="auto"/>
          <w:szCs w:val="21"/>
        </w:rPr>
        <w:t>_____</w:t>
      </w:r>
      <w:r>
        <w:rPr>
          <w:rFonts w:hint="eastAsia" w:ascii="宋体" w:hAnsi="宋体"/>
          <w:color w:val="auto"/>
          <w:szCs w:val="21"/>
        </w:rPr>
        <w:t>日</w:t>
      </w:r>
    </w:p>
    <w:p w14:paraId="471485B1">
      <w:pPr>
        <w:spacing w:line="420" w:lineRule="exact"/>
        <w:ind w:firstLine="210" w:firstLineChars="100"/>
        <w:rPr>
          <w:rFonts w:hint="eastAsia" w:ascii="宋体" w:hAnsi="宋体"/>
          <w:color w:val="auto"/>
          <w:szCs w:val="21"/>
        </w:rPr>
      </w:pPr>
    </w:p>
    <w:p w14:paraId="2A694CCC">
      <w:pPr>
        <w:ind w:firstLine="180" w:firstLineChars="100"/>
        <w:rPr>
          <w:rFonts w:hint="eastAsia" w:ascii="宋体" w:hAnsi="宋体"/>
          <w:color w:val="auto"/>
          <w:sz w:val="18"/>
          <w:szCs w:val="18"/>
        </w:rPr>
      </w:pPr>
      <w:r>
        <w:rPr>
          <w:rFonts w:ascii="宋体" w:hAnsi="宋体"/>
          <w:color w:val="auto"/>
          <w:sz w:val="18"/>
          <w:szCs w:val="18"/>
        </w:rPr>
        <w:br w:type="page"/>
      </w:r>
    </w:p>
    <w:p w14:paraId="41C25922">
      <w:pPr>
        <w:pStyle w:val="134"/>
        <w:spacing w:before="240"/>
        <w:jc w:val="center"/>
        <w:rPr>
          <w:rFonts w:hint="eastAsia" w:ascii="宋体" w:hAnsi="宋体"/>
          <w:color w:val="auto"/>
        </w:rPr>
      </w:pPr>
      <w:bookmarkStart w:id="465" w:name="_Toc14267"/>
      <w:bookmarkStart w:id="466" w:name="_Toc32216"/>
      <w:r>
        <w:rPr>
          <w:rFonts w:hint="eastAsia" w:ascii="宋体" w:hAnsi="宋体"/>
          <w:color w:val="auto"/>
          <w:lang w:val="en-US" w:eastAsia="zh-CN"/>
        </w:rPr>
        <w:t>（二）响应</w:t>
      </w:r>
      <w:r>
        <w:rPr>
          <w:rFonts w:hint="eastAsia" w:ascii="宋体" w:hAnsi="宋体"/>
          <w:color w:val="auto"/>
        </w:rPr>
        <w:t>函</w:t>
      </w:r>
      <w:bookmarkEnd w:id="465"/>
      <w:bookmarkEnd w:id="466"/>
    </w:p>
    <w:p w14:paraId="1E078955">
      <w:pPr>
        <w:spacing w:line="400" w:lineRule="atLeast"/>
        <w:rPr>
          <w:rFonts w:hint="eastAsia" w:ascii="宋体" w:hAnsi="宋体"/>
          <w:b/>
          <w:color w:val="auto"/>
          <w:szCs w:val="21"/>
        </w:rPr>
      </w:pPr>
      <w:r>
        <w:rPr>
          <w:rFonts w:hint="eastAsia" w:ascii="宋体" w:hAnsi="宋体"/>
          <w:b/>
          <w:color w:val="auto"/>
          <w:szCs w:val="21"/>
        </w:rPr>
        <w:t>致：（采购人）</w:t>
      </w:r>
    </w:p>
    <w:p w14:paraId="016CC3C8">
      <w:pPr>
        <w:spacing w:line="400" w:lineRule="atLeast"/>
        <w:rPr>
          <w:rFonts w:hint="eastAsia" w:ascii="宋体" w:hAnsi="宋体"/>
          <w:color w:val="auto"/>
          <w:szCs w:val="21"/>
        </w:rPr>
      </w:pPr>
      <w:r>
        <w:rPr>
          <w:rFonts w:ascii="宋体" w:hAnsi="宋体"/>
          <w:color w:val="auto"/>
          <w:szCs w:val="21"/>
        </w:rPr>
        <w:t xml:space="preserve">     </w:t>
      </w:r>
    </w:p>
    <w:p w14:paraId="26531B1F">
      <w:pPr>
        <w:spacing w:line="400" w:lineRule="atLeast"/>
        <w:ind w:firstLine="480"/>
        <w:rPr>
          <w:rFonts w:hint="eastAsia" w:ascii="宋体" w:hAnsi="宋体"/>
          <w:color w:val="auto"/>
          <w:szCs w:val="21"/>
        </w:rPr>
      </w:pPr>
      <w:r>
        <w:rPr>
          <w:rFonts w:hint="eastAsia" w:ascii="宋体" w:hAnsi="宋体"/>
          <w:color w:val="auto"/>
          <w:szCs w:val="21"/>
        </w:rPr>
        <w:t>我方仔细研究了</w:t>
      </w:r>
      <w:r>
        <w:rPr>
          <w:rFonts w:hint="eastAsia" w:ascii="宋体" w:hAnsi="宋体"/>
          <w:color w:val="auto"/>
          <w:szCs w:val="21"/>
          <w:u w:val="single"/>
        </w:rPr>
        <w:t xml:space="preserve">                   </w:t>
      </w:r>
      <w:r>
        <w:rPr>
          <w:rFonts w:hint="eastAsia" w:ascii="宋体" w:hAnsi="宋体"/>
          <w:color w:val="auto"/>
          <w:szCs w:val="21"/>
        </w:rPr>
        <w:t>项目（项目编号：      ）的谈判文件全部内容，我方授权</w:t>
      </w:r>
      <w:r>
        <w:rPr>
          <w:rFonts w:hint="eastAsia" w:ascii="宋体" w:hAnsi="宋体"/>
          <w:color w:val="auto"/>
          <w:szCs w:val="21"/>
          <w:u w:val="single"/>
        </w:rPr>
        <w:t xml:space="preserve">　　　  </w:t>
      </w:r>
      <w:r>
        <w:rPr>
          <w:rFonts w:ascii="宋体" w:hAnsi="宋体"/>
          <w:color w:val="auto"/>
          <w:szCs w:val="21"/>
        </w:rPr>
        <w:t>(</w:t>
      </w:r>
      <w:r>
        <w:rPr>
          <w:rFonts w:hint="eastAsia" w:ascii="宋体" w:hAnsi="宋体"/>
          <w:color w:val="auto"/>
          <w:szCs w:val="21"/>
        </w:rPr>
        <w:t>授权委托人姓名</w:t>
      </w:r>
      <w:r>
        <w:rPr>
          <w:rFonts w:ascii="宋体" w:hAnsi="宋体"/>
          <w:color w:val="auto"/>
          <w:szCs w:val="21"/>
        </w:rPr>
        <w:t>)</w:t>
      </w:r>
      <w:r>
        <w:rPr>
          <w:rFonts w:hint="eastAsia" w:ascii="宋体" w:hAnsi="宋体"/>
          <w:color w:val="auto"/>
          <w:szCs w:val="21"/>
          <w:u w:val="single"/>
        </w:rPr>
        <w:t xml:space="preserve">   　　　　　</w:t>
      </w:r>
      <w:r>
        <w:rPr>
          <w:rFonts w:ascii="宋体" w:hAnsi="宋体"/>
          <w:color w:val="auto"/>
          <w:szCs w:val="21"/>
        </w:rPr>
        <w:t>(</w:t>
      </w:r>
      <w:r>
        <w:rPr>
          <w:rFonts w:hint="eastAsia" w:ascii="宋体" w:hAnsi="宋体"/>
          <w:color w:val="auto"/>
          <w:szCs w:val="21"/>
        </w:rPr>
        <w:t>职务、职称</w:t>
      </w:r>
      <w:r>
        <w:rPr>
          <w:rFonts w:ascii="宋体" w:hAnsi="宋体"/>
          <w:color w:val="auto"/>
          <w:szCs w:val="21"/>
        </w:rPr>
        <w:t>)</w:t>
      </w:r>
      <w:r>
        <w:rPr>
          <w:rFonts w:hint="eastAsia" w:ascii="宋体" w:hAnsi="宋体"/>
          <w:color w:val="auto"/>
          <w:szCs w:val="21"/>
        </w:rPr>
        <w:t>为全权代表参与投标，提交投标文件，并对所需货物进行响应。</w:t>
      </w:r>
    </w:p>
    <w:p w14:paraId="77351A9D">
      <w:pPr>
        <w:spacing w:line="400" w:lineRule="atLeast"/>
        <w:ind w:firstLine="480"/>
        <w:rPr>
          <w:rFonts w:hint="eastAsia" w:ascii="宋体" w:hAnsi="宋体"/>
          <w:color w:val="auto"/>
          <w:szCs w:val="21"/>
        </w:rPr>
      </w:pPr>
      <w:r>
        <w:rPr>
          <w:rFonts w:hint="eastAsia" w:ascii="宋体" w:hAnsi="宋体"/>
          <w:color w:val="auto"/>
          <w:szCs w:val="21"/>
        </w:rPr>
        <w:t>据此函，签字人兹宣布同意如下：</w:t>
      </w:r>
    </w:p>
    <w:p w14:paraId="210F2714">
      <w:pPr>
        <w:spacing w:line="400" w:lineRule="atLeast"/>
        <w:ind w:firstLine="480"/>
        <w:rPr>
          <w:rFonts w:hint="eastAsia" w:ascii="宋体" w:hAnsi="宋体"/>
          <w:color w:val="auto"/>
          <w:szCs w:val="21"/>
        </w:rPr>
      </w:pPr>
      <w:r>
        <w:rPr>
          <w:rFonts w:hint="eastAsia" w:ascii="宋体" w:hAnsi="宋体"/>
          <w:color w:val="auto"/>
          <w:szCs w:val="21"/>
        </w:rPr>
        <w:t>1.我方为完成本项目，总报价为：</w:t>
      </w:r>
      <w:r>
        <w:rPr>
          <w:rFonts w:hint="eastAsia" w:ascii="宋体" w:hAnsi="宋体"/>
          <w:color w:val="auto"/>
          <w:szCs w:val="21"/>
          <w:u w:val="single"/>
        </w:rPr>
        <w:t xml:space="preserve">           元（大写：        ）</w:t>
      </w:r>
      <w:r>
        <w:rPr>
          <w:rFonts w:hint="eastAsia" w:ascii="宋体" w:hAnsi="宋体"/>
          <w:color w:val="auto"/>
          <w:szCs w:val="21"/>
        </w:rPr>
        <w:t>。</w:t>
      </w:r>
    </w:p>
    <w:p w14:paraId="553D9848">
      <w:pPr>
        <w:spacing w:line="400" w:lineRule="atLeast"/>
        <w:ind w:firstLine="480"/>
        <w:rPr>
          <w:rFonts w:hint="eastAsia" w:ascii="宋体" w:hAnsi="宋体"/>
          <w:color w:val="auto"/>
          <w:szCs w:val="21"/>
        </w:rPr>
      </w:pPr>
      <w:r>
        <w:rPr>
          <w:rFonts w:hint="eastAsia" w:ascii="宋体" w:hAnsi="宋体"/>
          <w:color w:val="auto"/>
          <w:szCs w:val="21"/>
        </w:rPr>
        <w:t>2.我方已详细审查全部</w:t>
      </w:r>
      <w:r>
        <w:rPr>
          <w:rFonts w:hint="eastAsia" w:ascii="宋体" w:hAnsi="宋体"/>
          <w:color w:val="auto"/>
          <w:szCs w:val="21"/>
          <w:lang w:val="en-US" w:eastAsia="zh-CN"/>
        </w:rPr>
        <w:t>谈判</w:t>
      </w:r>
      <w:r>
        <w:rPr>
          <w:rFonts w:hint="eastAsia" w:ascii="宋体" w:hAnsi="宋体"/>
          <w:color w:val="auto"/>
          <w:szCs w:val="21"/>
        </w:rPr>
        <w:t>文件，包括修改文件以及全部参考资料和所有附件。我方对</w:t>
      </w:r>
      <w:r>
        <w:rPr>
          <w:rFonts w:hint="eastAsia" w:ascii="宋体" w:hAnsi="宋体"/>
          <w:color w:val="auto"/>
          <w:szCs w:val="21"/>
          <w:lang w:val="en-US" w:eastAsia="zh-CN"/>
        </w:rPr>
        <w:t>谈判</w:t>
      </w:r>
      <w:r>
        <w:rPr>
          <w:rFonts w:hint="eastAsia" w:ascii="宋体" w:hAnsi="宋体"/>
          <w:color w:val="auto"/>
          <w:szCs w:val="21"/>
        </w:rPr>
        <w:t>文件各项条款和评审办法无异议，且同意放弃对这方面有不明及误解的权利。</w:t>
      </w:r>
    </w:p>
    <w:p w14:paraId="021D25D8">
      <w:pPr>
        <w:spacing w:line="400" w:lineRule="atLeast"/>
        <w:ind w:firstLine="480"/>
        <w:rPr>
          <w:rFonts w:hint="eastAsia" w:ascii="宋体" w:hAnsi="宋体"/>
          <w:color w:val="auto"/>
          <w:szCs w:val="21"/>
        </w:rPr>
      </w:pPr>
      <w:r>
        <w:rPr>
          <w:rFonts w:hint="eastAsia" w:ascii="宋体" w:hAnsi="宋体"/>
          <w:color w:val="auto"/>
          <w:szCs w:val="21"/>
        </w:rPr>
        <w:t>3.我方承诺已经具备</w:t>
      </w:r>
      <w:r>
        <w:rPr>
          <w:rFonts w:hint="eastAsia" w:ascii="宋体" w:hAnsi="宋体"/>
          <w:color w:val="auto"/>
          <w:szCs w:val="21"/>
          <w:lang w:val="en-US" w:eastAsia="zh-CN"/>
        </w:rPr>
        <w:t>谈判</w:t>
      </w:r>
      <w:r>
        <w:rPr>
          <w:rFonts w:hint="eastAsia" w:ascii="宋体" w:hAnsi="宋体"/>
          <w:color w:val="auto"/>
          <w:szCs w:val="21"/>
        </w:rPr>
        <w:t>文件中规定的参加本次采购活动的投标人应当具备的条件。</w:t>
      </w:r>
    </w:p>
    <w:p w14:paraId="53937CAD">
      <w:pPr>
        <w:spacing w:line="400" w:lineRule="atLeast"/>
        <w:ind w:firstLine="480"/>
        <w:rPr>
          <w:rFonts w:hint="eastAsia" w:ascii="宋体" w:hAnsi="宋体"/>
          <w:color w:val="auto"/>
          <w:szCs w:val="21"/>
        </w:rPr>
      </w:pPr>
      <w:r>
        <w:rPr>
          <w:rFonts w:ascii="宋体" w:hAnsi="宋体"/>
          <w:color w:val="auto"/>
          <w:szCs w:val="21"/>
        </w:rPr>
        <w:t>4</w:t>
      </w:r>
      <w:r>
        <w:rPr>
          <w:rFonts w:hint="eastAsia" w:ascii="宋体" w:hAnsi="宋体"/>
          <w:color w:val="auto"/>
          <w:szCs w:val="21"/>
        </w:rPr>
        <w:t>.我方同意在投标人须知规定的开始时间起遵循本投标文件，并在投标文件有效期满之前均具有约束力。如果我方被接受，则至合同履行完毕、服务周期满为止，本投标函保持有效。</w:t>
      </w:r>
    </w:p>
    <w:p w14:paraId="3BF6FF50">
      <w:pPr>
        <w:spacing w:line="400" w:lineRule="atLeast"/>
        <w:ind w:firstLine="480"/>
        <w:rPr>
          <w:rFonts w:hint="eastAsia" w:ascii="宋体" w:hAnsi="宋体"/>
          <w:color w:val="auto"/>
          <w:szCs w:val="21"/>
        </w:rPr>
      </w:pPr>
      <w:r>
        <w:rPr>
          <w:rFonts w:ascii="宋体" w:hAnsi="宋体"/>
          <w:color w:val="auto"/>
          <w:szCs w:val="21"/>
        </w:rPr>
        <w:t>5</w:t>
      </w:r>
      <w:r>
        <w:rPr>
          <w:rFonts w:hint="eastAsia" w:ascii="宋体" w:hAnsi="宋体"/>
          <w:color w:val="auto"/>
          <w:szCs w:val="21"/>
        </w:rPr>
        <w:t>.我方承诺严格遵守</w:t>
      </w:r>
      <w:r>
        <w:rPr>
          <w:rFonts w:hint="eastAsia" w:ascii="宋体" w:hAnsi="宋体"/>
          <w:color w:val="auto"/>
          <w:szCs w:val="21"/>
          <w:lang w:val="en-US" w:eastAsia="zh-CN"/>
        </w:rPr>
        <w:t>谈判</w:t>
      </w:r>
      <w:r>
        <w:rPr>
          <w:rFonts w:hint="eastAsia" w:ascii="宋体" w:hAnsi="宋体"/>
          <w:color w:val="auto"/>
          <w:szCs w:val="21"/>
        </w:rPr>
        <w:t>文件中的各项要求及合同条款，并在服务期限内承担合同规定的责任义务。</w:t>
      </w:r>
    </w:p>
    <w:p w14:paraId="2DDA1961">
      <w:pPr>
        <w:spacing w:line="400" w:lineRule="atLeast"/>
        <w:ind w:firstLine="480"/>
        <w:rPr>
          <w:rFonts w:hint="eastAsia" w:ascii="宋体" w:hAnsi="宋体"/>
          <w:color w:val="auto"/>
          <w:szCs w:val="21"/>
        </w:rPr>
      </w:pPr>
      <w:r>
        <w:rPr>
          <w:rFonts w:ascii="宋体" w:hAnsi="宋体"/>
          <w:color w:val="auto"/>
          <w:szCs w:val="21"/>
        </w:rPr>
        <w:t>6</w:t>
      </w:r>
      <w:r>
        <w:rPr>
          <w:rFonts w:hint="eastAsia" w:ascii="宋体" w:hAnsi="宋体"/>
          <w:color w:val="auto"/>
          <w:szCs w:val="21"/>
        </w:rPr>
        <w:t>.我方同意投标人须知中关于不予退还保证金的规定。</w:t>
      </w:r>
    </w:p>
    <w:p w14:paraId="61CE9DB7">
      <w:pPr>
        <w:spacing w:line="400" w:lineRule="atLeast"/>
        <w:ind w:firstLine="480"/>
        <w:rPr>
          <w:rFonts w:hint="eastAsia" w:ascii="宋体" w:hAnsi="宋体"/>
          <w:color w:val="auto"/>
          <w:szCs w:val="21"/>
        </w:rPr>
      </w:pPr>
      <w:r>
        <w:rPr>
          <w:rFonts w:ascii="宋体" w:hAnsi="宋体"/>
          <w:color w:val="auto"/>
          <w:szCs w:val="21"/>
        </w:rPr>
        <w:t>7</w:t>
      </w:r>
      <w:r>
        <w:rPr>
          <w:rFonts w:hint="eastAsia" w:ascii="宋体" w:hAnsi="宋体"/>
          <w:color w:val="auto"/>
          <w:szCs w:val="21"/>
        </w:rPr>
        <w:t>.同意应贵方要求提供与本次</w:t>
      </w:r>
      <w:r>
        <w:rPr>
          <w:rFonts w:hint="eastAsia" w:ascii="宋体" w:hAnsi="宋体"/>
          <w:color w:val="auto"/>
          <w:szCs w:val="21"/>
          <w:lang w:val="en-US" w:eastAsia="zh-CN"/>
        </w:rPr>
        <w:t>谈判</w:t>
      </w:r>
      <w:r>
        <w:rPr>
          <w:rFonts w:hint="eastAsia" w:ascii="宋体" w:hAnsi="宋体"/>
          <w:color w:val="auto"/>
          <w:szCs w:val="21"/>
        </w:rPr>
        <w:t>有关的任何数据和资料，并保证数据和资料的完整性和真实性。</w:t>
      </w:r>
    </w:p>
    <w:p w14:paraId="52EBC2E0">
      <w:pPr>
        <w:spacing w:line="400" w:lineRule="atLeast"/>
        <w:ind w:firstLine="480"/>
        <w:rPr>
          <w:rFonts w:hint="eastAsia" w:ascii="宋体" w:hAnsi="宋体"/>
          <w:color w:val="auto"/>
          <w:szCs w:val="21"/>
        </w:rPr>
      </w:pPr>
      <w:r>
        <w:rPr>
          <w:rFonts w:ascii="宋体" w:hAnsi="宋体"/>
          <w:color w:val="auto"/>
          <w:szCs w:val="21"/>
        </w:rPr>
        <w:t>8</w:t>
      </w:r>
      <w:r>
        <w:rPr>
          <w:rFonts w:hint="eastAsia" w:ascii="宋体" w:hAnsi="宋体"/>
          <w:color w:val="auto"/>
          <w:szCs w:val="21"/>
        </w:rPr>
        <w:t>.我方完全理解贵方不一定接受最低报价的投标人为成交投标人的行为。</w:t>
      </w:r>
    </w:p>
    <w:p w14:paraId="1EB80A3C">
      <w:pPr>
        <w:spacing w:line="400" w:lineRule="atLeast"/>
        <w:ind w:firstLine="480"/>
        <w:rPr>
          <w:rFonts w:hint="eastAsia" w:ascii="宋体" w:hAnsi="宋体"/>
          <w:color w:val="auto"/>
          <w:szCs w:val="21"/>
        </w:rPr>
      </w:pPr>
      <w:r>
        <w:rPr>
          <w:rFonts w:ascii="宋体" w:hAnsi="宋体"/>
          <w:color w:val="auto"/>
          <w:szCs w:val="21"/>
        </w:rPr>
        <w:t>9</w:t>
      </w:r>
      <w:r>
        <w:rPr>
          <w:rFonts w:hint="eastAsia" w:ascii="宋体" w:hAnsi="宋体"/>
          <w:color w:val="auto"/>
          <w:szCs w:val="21"/>
        </w:rPr>
        <w:t>.若贵方需要，我方愿意提供我方作出的一切承诺的证明材料。</w:t>
      </w:r>
    </w:p>
    <w:p w14:paraId="796C00BB">
      <w:pPr>
        <w:spacing w:line="400" w:lineRule="atLeast"/>
        <w:ind w:firstLine="480"/>
        <w:rPr>
          <w:rFonts w:hint="eastAsia" w:ascii="宋体" w:hAnsi="宋体"/>
          <w:color w:val="auto"/>
          <w:szCs w:val="21"/>
        </w:rPr>
      </w:pPr>
      <w:r>
        <w:rPr>
          <w:rFonts w:ascii="宋体" w:hAnsi="宋体"/>
          <w:color w:val="auto"/>
          <w:szCs w:val="21"/>
        </w:rPr>
        <w:t>10</w:t>
      </w:r>
      <w:r>
        <w:rPr>
          <w:rFonts w:hint="eastAsia" w:ascii="宋体" w:hAnsi="宋体"/>
          <w:color w:val="auto"/>
          <w:szCs w:val="21"/>
        </w:rPr>
        <w:t>.投标文件有效期为</w:t>
      </w:r>
      <w:r>
        <w:rPr>
          <w:color w:val="auto"/>
          <w:szCs w:val="21"/>
        </w:rPr>
        <w:t>自</w:t>
      </w:r>
      <w:r>
        <w:rPr>
          <w:rFonts w:hint="eastAsia" w:asciiTheme="minorEastAsia" w:hAnsiTheme="minorEastAsia" w:eastAsiaTheme="minorEastAsia"/>
          <w:color w:val="auto"/>
          <w:kern w:val="0"/>
          <w:szCs w:val="21"/>
        </w:rPr>
        <w:t>投标文件递交截止之日</w:t>
      </w:r>
      <w:r>
        <w:rPr>
          <w:color w:val="auto"/>
          <w:szCs w:val="21"/>
        </w:rPr>
        <w:t>起90天</w:t>
      </w:r>
      <w:r>
        <w:rPr>
          <w:rFonts w:hint="eastAsia" w:ascii="宋体" w:hAnsi="宋体"/>
          <w:color w:val="auto"/>
          <w:szCs w:val="21"/>
        </w:rPr>
        <w:t>。</w:t>
      </w:r>
    </w:p>
    <w:p w14:paraId="1FA1D65B">
      <w:pPr>
        <w:spacing w:line="400" w:lineRule="atLeast"/>
        <w:ind w:firstLine="480"/>
        <w:rPr>
          <w:rFonts w:hint="eastAsia" w:ascii="宋体" w:hAnsi="宋体"/>
          <w:color w:val="auto"/>
          <w:szCs w:val="21"/>
        </w:rPr>
      </w:pPr>
      <w:r>
        <w:rPr>
          <w:rFonts w:ascii="宋体" w:hAnsi="宋体"/>
          <w:color w:val="auto"/>
          <w:szCs w:val="21"/>
        </w:rPr>
        <w:t>11</w:t>
      </w:r>
      <w:r>
        <w:rPr>
          <w:rFonts w:hint="eastAsia" w:ascii="宋体" w:hAnsi="宋体"/>
          <w:color w:val="auto"/>
          <w:szCs w:val="21"/>
        </w:rPr>
        <w:t>.与本次</w:t>
      </w:r>
      <w:r>
        <w:rPr>
          <w:rFonts w:hint="eastAsia" w:ascii="宋体" w:hAnsi="宋体"/>
          <w:color w:val="auto"/>
          <w:szCs w:val="21"/>
          <w:lang w:val="en-US" w:eastAsia="zh-CN"/>
        </w:rPr>
        <w:t>谈判</w:t>
      </w:r>
      <w:r>
        <w:rPr>
          <w:rFonts w:hint="eastAsia" w:ascii="宋体" w:hAnsi="宋体"/>
          <w:color w:val="auto"/>
          <w:szCs w:val="21"/>
        </w:rPr>
        <w:t>有关的一切往来通讯地址为：</w:t>
      </w:r>
    </w:p>
    <w:p w14:paraId="2EDC65AA">
      <w:pPr>
        <w:spacing w:line="400" w:lineRule="atLeast"/>
        <w:ind w:firstLine="480"/>
        <w:rPr>
          <w:rFonts w:hint="eastAsia" w:ascii="宋体" w:hAnsi="宋体"/>
          <w:color w:val="auto"/>
          <w:szCs w:val="21"/>
        </w:rPr>
      </w:pPr>
    </w:p>
    <w:p w14:paraId="224C4374">
      <w:pPr>
        <w:spacing w:line="400" w:lineRule="atLeast"/>
        <w:ind w:firstLine="480"/>
        <w:rPr>
          <w:rFonts w:hint="eastAsia" w:ascii="宋体" w:hAnsi="宋体"/>
          <w:color w:val="auto"/>
          <w:szCs w:val="21"/>
        </w:rPr>
      </w:pPr>
    </w:p>
    <w:p w14:paraId="3EB03BFF">
      <w:pPr>
        <w:spacing w:line="480" w:lineRule="auto"/>
        <w:rPr>
          <w:rFonts w:hint="eastAsia" w:ascii="宋体" w:hAnsi="宋体"/>
          <w:color w:val="auto"/>
          <w:szCs w:val="21"/>
        </w:rPr>
      </w:pPr>
      <w:r>
        <w:rPr>
          <w:rFonts w:ascii="宋体" w:hAnsi="宋体"/>
          <w:color w:val="auto"/>
          <w:szCs w:val="21"/>
        </w:rPr>
        <w:t xml:space="preserve">    </w:t>
      </w:r>
      <w:r>
        <w:rPr>
          <w:rFonts w:hint="eastAsia" w:ascii="宋体" w:hAnsi="宋体"/>
          <w:color w:val="auto"/>
          <w:szCs w:val="21"/>
        </w:rPr>
        <w:t>地址：</w:t>
      </w:r>
      <w:r>
        <w:rPr>
          <w:rFonts w:hint="eastAsia" w:ascii="宋体" w:hAnsi="宋体"/>
          <w:color w:val="auto"/>
          <w:szCs w:val="21"/>
          <w:u w:val="single"/>
        </w:rPr>
        <w:t>　　　　　　　　　                             　　　</w:t>
      </w:r>
    </w:p>
    <w:p w14:paraId="72AD726D">
      <w:pPr>
        <w:spacing w:line="480" w:lineRule="auto"/>
        <w:rPr>
          <w:rFonts w:hint="eastAsia" w:ascii="宋体" w:hAnsi="宋体"/>
          <w:color w:val="auto"/>
          <w:szCs w:val="21"/>
        </w:rPr>
      </w:pPr>
      <w:r>
        <w:rPr>
          <w:rFonts w:ascii="宋体" w:hAnsi="宋体"/>
          <w:color w:val="auto"/>
          <w:szCs w:val="21"/>
        </w:rPr>
        <w:t xml:space="preserve">    </w:t>
      </w:r>
      <w:r>
        <w:rPr>
          <w:rFonts w:hint="eastAsia" w:ascii="宋体" w:hAnsi="宋体"/>
          <w:color w:val="auto"/>
          <w:szCs w:val="21"/>
        </w:rPr>
        <w:t>邮编：</w:t>
      </w:r>
      <w:r>
        <w:rPr>
          <w:rFonts w:hint="eastAsia" w:ascii="宋体" w:hAnsi="宋体"/>
          <w:color w:val="auto"/>
          <w:szCs w:val="21"/>
          <w:u w:val="single"/>
        </w:rPr>
        <w:t xml:space="preserve">       　　　</w:t>
      </w:r>
      <w:r>
        <w:rPr>
          <w:rFonts w:hint="eastAsia" w:ascii="宋体" w:hAnsi="宋体"/>
          <w:color w:val="auto"/>
          <w:szCs w:val="21"/>
        </w:rPr>
        <w:t>　电话：</w:t>
      </w:r>
      <w:r>
        <w:rPr>
          <w:rFonts w:hint="eastAsia" w:ascii="宋体" w:hAnsi="宋体"/>
          <w:color w:val="auto"/>
          <w:szCs w:val="21"/>
          <w:u w:val="single"/>
        </w:rPr>
        <w:t xml:space="preserve">       　　　</w:t>
      </w:r>
      <w:r>
        <w:rPr>
          <w:rFonts w:hint="eastAsia" w:ascii="宋体" w:hAnsi="宋体"/>
          <w:color w:val="auto"/>
          <w:szCs w:val="21"/>
        </w:rPr>
        <w:t>　传真：</w:t>
      </w:r>
      <w:r>
        <w:rPr>
          <w:rFonts w:hint="eastAsia" w:ascii="宋体" w:hAnsi="宋体"/>
          <w:color w:val="auto"/>
          <w:szCs w:val="21"/>
          <w:u w:val="single"/>
        </w:rPr>
        <w:t xml:space="preserve">       　　</w:t>
      </w:r>
    </w:p>
    <w:p w14:paraId="32945045">
      <w:pPr>
        <w:spacing w:before="60" w:after="60" w:line="480" w:lineRule="auto"/>
        <w:ind w:firstLine="424" w:firstLineChars="202"/>
        <w:rPr>
          <w:rFonts w:hint="eastAsia" w:ascii="宋体" w:hAnsi="宋体"/>
          <w:color w:val="auto"/>
          <w:szCs w:val="21"/>
        </w:rPr>
      </w:pPr>
      <w:r>
        <w:rPr>
          <w:rFonts w:hint="eastAsia" w:ascii="宋体" w:hAnsi="宋体"/>
          <w:color w:val="auto"/>
          <w:szCs w:val="21"/>
        </w:rPr>
        <w:t>投标人(电子签章)：</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rPr>
        <w:t xml:space="preserve"> </w:t>
      </w:r>
    </w:p>
    <w:p w14:paraId="568AFEE5">
      <w:pPr>
        <w:spacing w:before="60" w:after="60" w:line="480" w:lineRule="auto"/>
        <w:ind w:firstLine="424" w:firstLineChars="202"/>
        <w:rPr>
          <w:rFonts w:hint="eastAsia" w:ascii="宋体" w:hAnsi="宋体"/>
          <w:color w:val="auto"/>
          <w:szCs w:val="21"/>
        </w:rPr>
      </w:pPr>
      <w:r>
        <w:rPr>
          <w:rFonts w:hint="eastAsia" w:ascii="宋体" w:hAnsi="宋体"/>
          <w:color w:val="auto"/>
          <w:szCs w:val="21"/>
        </w:rPr>
        <w:t>法定代表人或委托代理人（电子签名）：</w:t>
      </w:r>
      <w:r>
        <w:rPr>
          <w:rFonts w:hint="eastAsia" w:ascii="宋体" w:hAnsi="宋体"/>
          <w:color w:val="auto"/>
          <w:szCs w:val="21"/>
          <w:u w:val="single"/>
        </w:rPr>
        <w:t xml:space="preserve">                        </w:t>
      </w:r>
    </w:p>
    <w:p w14:paraId="5D6991F9">
      <w:pPr>
        <w:spacing w:before="60" w:after="60" w:line="480" w:lineRule="auto"/>
        <w:ind w:firstLine="424" w:firstLineChars="202"/>
        <w:rPr>
          <w:rFonts w:hint="eastAsia" w:ascii="宋体" w:hAnsi="宋体"/>
          <w:color w:val="auto"/>
          <w:szCs w:val="21"/>
        </w:rPr>
      </w:pPr>
      <w:r>
        <w:rPr>
          <w:rFonts w:hint="eastAsia" w:ascii="宋体" w:hAnsi="宋体"/>
          <w:color w:val="auto"/>
          <w:szCs w:val="21"/>
        </w:rPr>
        <w:t>日期：</w:t>
      </w:r>
      <w:r>
        <w:rPr>
          <w:rFonts w:ascii="宋体" w:hAnsi="宋体"/>
          <w:color w:val="auto"/>
          <w:szCs w:val="21"/>
        </w:rPr>
        <w:t>______</w:t>
      </w:r>
      <w:r>
        <w:rPr>
          <w:rFonts w:hint="eastAsia" w:ascii="宋体" w:hAnsi="宋体"/>
          <w:color w:val="auto"/>
          <w:szCs w:val="21"/>
        </w:rPr>
        <w:t>年</w:t>
      </w:r>
      <w:r>
        <w:rPr>
          <w:rFonts w:ascii="宋体" w:hAnsi="宋体"/>
          <w:color w:val="auto"/>
          <w:szCs w:val="21"/>
        </w:rPr>
        <w:t>_____</w:t>
      </w:r>
      <w:r>
        <w:rPr>
          <w:rFonts w:hint="eastAsia" w:ascii="宋体" w:hAnsi="宋体"/>
          <w:color w:val="auto"/>
          <w:szCs w:val="21"/>
        </w:rPr>
        <w:t>月</w:t>
      </w:r>
      <w:r>
        <w:rPr>
          <w:rFonts w:ascii="宋体" w:hAnsi="宋体"/>
          <w:color w:val="auto"/>
          <w:szCs w:val="21"/>
        </w:rPr>
        <w:t>_____</w:t>
      </w:r>
      <w:r>
        <w:rPr>
          <w:rFonts w:hint="eastAsia" w:ascii="宋体" w:hAnsi="宋体"/>
          <w:color w:val="auto"/>
          <w:szCs w:val="21"/>
        </w:rPr>
        <w:t>日</w:t>
      </w:r>
    </w:p>
    <w:p w14:paraId="18B9143D">
      <w:pPr>
        <w:rPr>
          <w:rFonts w:hint="eastAsia" w:ascii="宋体" w:hAnsi="宋体"/>
          <w:color w:val="auto"/>
          <w:szCs w:val="21"/>
        </w:rPr>
      </w:pPr>
      <w:r>
        <w:rPr>
          <w:color w:val="auto"/>
        </w:rPr>
        <w:br w:type="page"/>
      </w:r>
    </w:p>
    <w:p w14:paraId="3948CE80">
      <w:pPr>
        <w:pStyle w:val="134"/>
        <w:spacing w:before="240"/>
        <w:jc w:val="center"/>
        <w:rPr>
          <w:color w:val="auto"/>
        </w:rPr>
        <w:sectPr>
          <w:pgSz w:w="11906" w:h="16838"/>
          <w:pgMar w:top="1276" w:right="1183" w:bottom="1418" w:left="1276" w:header="737" w:footer="737" w:gutter="0"/>
          <w:pgNumType w:fmt="decimal"/>
          <w:cols w:space="720" w:num="1"/>
          <w:docGrid w:linePitch="299" w:charSpace="0"/>
        </w:sectPr>
      </w:pPr>
    </w:p>
    <w:p w14:paraId="2AE38FF6">
      <w:pPr>
        <w:pStyle w:val="134"/>
        <w:spacing w:before="240" w:after="0"/>
        <w:jc w:val="center"/>
        <w:rPr>
          <w:rFonts w:hint="eastAsia"/>
          <w:color w:val="auto"/>
          <w:lang w:val="en-US" w:eastAsia="zh-CN"/>
        </w:rPr>
      </w:pPr>
      <w:bookmarkStart w:id="467" w:name="_Toc29777"/>
      <w:bookmarkStart w:id="468" w:name="_Toc14473"/>
      <w:bookmarkStart w:id="469" w:name="_Toc24056"/>
      <w:bookmarkStart w:id="470" w:name="_Toc222025324"/>
      <w:r>
        <w:rPr>
          <w:rFonts w:hint="eastAsia"/>
          <w:color w:val="auto"/>
          <w:lang w:val="en-US" w:eastAsia="zh-CN"/>
        </w:rPr>
        <w:t>（三）投标分项报价表</w:t>
      </w:r>
      <w:bookmarkEnd w:id="467"/>
      <w:bookmarkEnd w:id="468"/>
    </w:p>
    <w:p w14:paraId="62A7A188">
      <w:pPr>
        <w:pStyle w:val="94"/>
        <w:autoSpaceDE w:val="0"/>
        <w:autoSpaceDN w:val="0"/>
        <w:adjustRightInd w:val="0"/>
        <w:jc w:val="left"/>
        <w:rPr>
          <w:color w:val="auto"/>
          <w:szCs w:val="21"/>
          <w:highlight w:val="none"/>
        </w:rPr>
      </w:pPr>
      <w:r>
        <w:rPr>
          <w:rFonts w:hint="eastAsia" w:ascii="宋体" w:hAnsi="宋体"/>
          <w:b/>
          <w:color w:val="auto"/>
          <w:kern w:val="0"/>
          <w:szCs w:val="21"/>
          <w:highlight w:val="none"/>
        </w:rPr>
        <w:t>项目名称：</w:t>
      </w:r>
      <w:r>
        <w:rPr>
          <w:rFonts w:hint="eastAsia" w:ascii="宋体" w:hAnsi="宋体"/>
          <w:b/>
          <w:color w:val="auto"/>
          <w:kern w:val="0"/>
          <w:szCs w:val="21"/>
          <w:highlight w:val="none"/>
          <w:u w:val="single"/>
        </w:rPr>
        <w:t xml:space="preserve">                   </w:t>
      </w:r>
      <w:r>
        <w:rPr>
          <w:rFonts w:hint="eastAsia" w:ascii="宋体" w:hAnsi="宋体"/>
          <w:b/>
          <w:color w:val="auto"/>
          <w:kern w:val="0"/>
          <w:szCs w:val="21"/>
          <w:highlight w:val="none"/>
        </w:rPr>
        <w:t xml:space="preserve">                                 </w:t>
      </w:r>
      <w:r>
        <w:rPr>
          <w:rFonts w:ascii="宋体" w:hAnsi="宋体"/>
          <w:b/>
          <w:color w:val="auto"/>
          <w:kern w:val="0"/>
          <w:szCs w:val="21"/>
          <w:highlight w:val="none"/>
        </w:rPr>
        <w:t xml:space="preserve">                                             </w:t>
      </w:r>
      <w:r>
        <w:rPr>
          <w:rFonts w:hint="eastAsia" w:ascii="宋体" w:hAnsi="宋体"/>
          <w:b/>
          <w:color w:val="auto"/>
          <w:kern w:val="0"/>
          <w:szCs w:val="21"/>
          <w:highlight w:val="none"/>
        </w:rPr>
        <w:t>项目编号：</w:t>
      </w:r>
      <w:r>
        <w:rPr>
          <w:rFonts w:hint="eastAsia" w:ascii="宋体" w:hAnsi="宋体"/>
          <w:b/>
          <w:color w:val="auto"/>
          <w:kern w:val="0"/>
          <w:szCs w:val="21"/>
          <w:highlight w:val="none"/>
          <w:u w:val="single"/>
        </w:rPr>
        <w:t xml:space="preserve">              </w:t>
      </w:r>
    </w:p>
    <w:p w14:paraId="4098309C">
      <w:pPr>
        <w:pStyle w:val="94"/>
        <w:autoSpaceDE w:val="0"/>
        <w:autoSpaceDN w:val="0"/>
        <w:adjustRightInd w:val="0"/>
        <w:jc w:val="left"/>
        <w:rPr>
          <w:color w:val="auto"/>
          <w:szCs w:val="21"/>
          <w:highlight w:val="none"/>
        </w:rPr>
      </w:pPr>
    </w:p>
    <w:tbl>
      <w:tblPr>
        <w:tblStyle w:val="44"/>
        <w:tblW w:w="143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95"/>
        <w:gridCol w:w="1701"/>
        <w:gridCol w:w="2268"/>
        <w:gridCol w:w="1843"/>
        <w:gridCol w:w="1134"/>
        <w:gridCol w:w="1701"/>
        <w:gridCol w:w="992"/>
        <w:gridCol w:w="1418"/>
        <w:gridCol w:w="1559"/>
        <w:gridCol w:w="1134"/>
      </w:tblGrid>
      <w:tr w14:paraId="660E9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56" w:hRule="atLeast"/>
        </w:trPr>
        <w:tc>
          <w:tcPr>
            <w:tcW w:w="595" w:type="dxa"/>
            <w:tcBorders>
              <w:top w:val="single" w:color="auto" w:sz="4" w:space="0"/>
              <w:left w:val="single" w:color="auto" w:sz="4" w:space="0"/>
              <w:bottom w:val="single" w:color="auto" w:sz="4" w:space="0"/>
              <w:right w:val="single" w:color="auto" w:sz="4" w:space="0"/>
            </w:tcBorders>
            <w:shd w:val="clear" w:color="auto" w:fill="E7E6E6"/>
            <w:vAlign w:val="center"/>
          </w:tcPr>
          <w:p w14:paraId="6F97B3B9">
            <w:pPr>
              <w:widowControl/>
              <w:spacing w:line="360" w:lineRule="auto"/>
              <w:jc w:val="center"/>
              <w:rPr>
                <w:rFonts w:hint="eastAsia" w:ascii="宋体" w:hAnsi="宋体"/>
                <w:color w:val="auto"/>
                <w:szCs w:val="15"/>
                <w:highlight w:val="none"/>
              </w:rPr>
            </w:pPr>
            <w:r>
              <w:rPr>
                <w:rFonts w:hint="eastAsia" w:ascii="宋体" w:hAnsi="宋体"/>
                <w:color w:val="auto"/>
                <w:szCs w:val="15"/>
                <w:highlight w:val="none"/>
              </w:rPr>
              <w:t>序号</w:t>
            </w:r>
          </w:p>
        </w:tc>
        <w:tc>
          <w:tcPr>
            <w:tcW w:w="1701" w:type="dxa"/>
            <w:tcBorders>
              <w:top w:val="single" w:color="auto" w:sz="4" w:space="0"/>
              <w:left w:val="single" w:color="auto" w:sz="4" w:space="0"/>
              <w:bottom w:val="single" w:color="auto" w:sz="4" w:space="0"/>
              <w:right w:val="single" w:color="auto" w:sz="4" w:space="0"/>
            </w:tcBorders>
            <w:shd w:val="clear" w:color="auto" w:fill="E7E6E6"/>
            <w:vAlign w:val="center"/>
          </w:tcPr>
          <w:p w14:paraId="414A69D0">
            <w:pPr>
              <w:widowControl/>
              <w:spacing w:line="360" w:lineRule="auto"/>
              <w:jc w:val="center"/>
              <w:rPr>
                <w:rFonts w:hint="eastAsia" w:ascii="宋体" w:hAnsi="宋体"/>
                <w:color w:val="auto"/>
                <w:szCs w:val="15"/>
                <w:highlight w:val="none"/>
              </w:rPr>
            </w:pPr>
            <w:r>
              <w:rPr>
                <w:rFonts w:hint="eastAsia" w:ascii="宋体" w:hAnsi="宋体"/>
                <w:color w:val="auto"/>
                <w:szCs w:val="15"/>
                <w:highlight w:val="none"/>
                <w:lang w:val="en-US" w:eastAsia="zh-CN"/>
              </w:rPr>
              <w:t>产品</w:t>
            </w:r>
            <w:r>
              <w:rPr>
                <w:rFonts w:hint="eastAsia" w:ascii="宋体" w:hAnsi="宋体"/>
                <w:color w:val="auto"/>
                <w:szCs w:val="15"/>
                <w:highlight w:val="none"/>
              </w:rPr>
              <w:t>名称</w:t>
            </w:r>
          </w:p>
        </w:tc>
        <w:tc>
          <w:tcPr>
            <w:tcW w:w="2268" w:type="dxa"/>
            <w:tcBorders>
              <w:top w:val="single" w:color="auto" w:sz="4" w:space="0"/>
              <w:left w:val="single" w:color="auto" w:sz="4" w:space="0"/>
              <w:bottom w:val="single" w:color="auto" w:sz="4" w:space="0"/>
              <w:right w:val="single" w:color="auto" w:sz="4" w:space="0"/>
            </w:tcBorders>
            <w:shd w:val="clear" w:color="auto" w:fill="E7E6E6"/>
            <w:vAlign w:val="center"/>
          </w:tcPr>
          <w:p w14:paraId="47F7143A">
            <w:pPr>
              <w:widowControl/>
              <w:spacing w:line="360" w:lineRule="auto"/>
              <w:jc w:val="center"/>
              <w:rPr>
                <w:rFonts w:hint="eastAsia" w:ascii="宋体" w:hAnsi="宋体"/>
                <w:color w:val="auto"/>
                <w:szCs w:val="15"/>
                <w:highlight w:val="none"/>
              </w:rPr>
            </w:pPr>
            <w:r>
              <w:rPr>
                <w:rFonts w:hint="eastAsia" w:ascii="宋体" w:hAnsi="宋体"/>
                <w:color w:val="auto"/>
                <w:szCs w:val="15"/>
                <w:highlight w:val="none"/>
              </w:rPr>
              <w:t>原产地和制造商名称</w:t>
            </w:r>
          </w:p>
        </w:tc>
        <w:tc>
          <w:tcPr>
            <w:tcW w:w="1843" w:type="dxa"/>
            <w:tcBorders>
              <w:top w:val="single" w:color="auto" w:sz="4" w:space="0"/>
              <w:left w:val="single" w:color="auto" w:sz="4" w:space="0"/>
              <w:bottom w:val="single" w:color="auto" w:sz="4" w:space="0"/>
              <w:right w:val="single" w:color="auto" w:sz="4" w:space="0"/>
            </w:tcBorders>
            <w:shd w:val="clear" w:color="auto" w:fill="E7E6E6"/>
            <w:vAlign w:val="center"/>
          </w:tcPr>
          <w:p w14:paraId="4236C277">
            <w:pPr>
              <w:widowControl/>
              <w:spacing w:line="360" w:lineRule="auto"/>
              <w:jc w:val="center"/>
              <w:rPr>
                <w:rFonts w:hint="eastAsia" w:ascii="宋体" w:hAnsi="宋体"/>
                <w:color w:val="auto"/>
                <w:szCs w:val="15"/>
                <w:highlight w:val="none"/>
              </w:rPr>
            </w:pPr>
            <w:r>
              <w:rPr>
                <w:rFonts w:hint="eastAsia" w:ascii="宋体" w:hAnsi="宋体"/>
                <w:color w:val="auto"/>
                <w:szCs w:val="15"/>
                <w:highlight w:val="none"/>
              </w:rPr>
              <w:t>规格</w:t>
            </w:r>
            <w:r>
              <w:rPr>
                <w:rFonts w:hint="eastAsia" w:ascii="宋体" w:hAnsi="宋体"/>
                <w:color w:val="auto"/>
                <w:szCs w:val="15"/>
                <w:highlight w:val="none"/>
                <w:lang w:eastAsia="zh-CN"/>
              </w:rPr>
              <w:t>和型号</w:t>
            </w:r>
          </w:p>
        </w:tc>
        <w:tc>
          <w:tcPr>
            <w:tcW w:w="1134" w:type="dxa"/>
            <w:tcBorders>
              <w:top w:val="single" w:color="auto" w:sz="4" w:space="0"/>
              <w:left w:val="single" w:color="auto" w:sz="4" w:space="0"/>
              <w:bottom w:val="single" w:color="auto" w:sz="4" w:space="0"/>
              <w:right w:val="single" w:color="auto" w:sz="4" w:space="0"/>
            </w:tcBorders>
            <w:shd w:val="clear" w:color="auto" w:fill="E7E6E6"/>
            <w:vAlign w:val="center"/>
          </w:tcPr>
          <w:p w14:paraId="339D216B">
            <w:pPr>
              <w:widowControl/>
              <w:spacing w:line="360" w:lineRule="auto"/>
              <w:jc w:val="center"/>
              <w:rPr>
                <w:rFonts w:hint="eastAsia" w:ascii="宋体" w:hAnsi="宋体"/>
                <w:color w:val="auto"/>
                <w:szCs w:val="15"/>
                <w:highlight w:val="none"/>
              </w:rPr>
            </w:pPr>
            <w:r>
              <w:rPr>
                <w:rFonts w:hint="eastAsia" w:ascii="宋体" w:hAnsi="宋体"/>
                <w:color w:val="auto"/>
                <w:szCs w:val="15"/>
                <w:highlight w:val="none"/>
              </w:rPr>
              <w:t>品牌</w:t>
            </w:r>
          </w:p>
        </w:tc>
        <w:tc>
          <w:tcPr>
            <w:tcW w:w="1701" w:type="dxa"/>
            <w:tcBorders>
              <w:top w:val="single" w:color="auto" w:sz="4" w:space="0"/>
              <w:left w:val="single" w:color="auto" w:sz="4" w:space="0"/>
              <w:bottom w:val="single" w:color="auto" w:sz="4" w:space="0"/>
              <w:right w:val="single" w:color="auto" w:sz="4" w:space="0"/>
            </w:tcBorders>
            <w:shd w:val="clear" w:color="auto" w:fill="E7E6E6"/>
            <w:vAlign w:val="center"/>
          </w:tcPr>
          <w:p w14:paraId="5F0A110F">
            <w:pPr>
              <w:widowControl/>
              <w:spacing w:line="360" w:lineRule="auto"/>
              <w:jc w:val="center"/>
              <w:rPr>
                <w:rFonts w:hint="eastAsia" w:ascii="宋体" w:hAnsi="宋体"/>
                <w:color w:val="auto"/>
                <w:szCs w:val="15"/>
                <w:highlight w:val="none"/>
                <w:lang w:eastAsia="zh-CN"/>
              </w:rPr>
            </w:pPr>
            <w:r>
              <w:rPr>
                <w:rFonts w:hint="eastAsia" w:ascii="宋体" w:hAnsi="宋体"/>
                <w:color w:val="auto"/>
                <w:szCs w:val="15"/>
                <w:highlight w:val="none"/>
                <w:lang w:eastAsia="zh-CN"/>
              </w:rPr>
              <w:t>是否小型或微型企业制造产品</w:t>
            </w:r>
          </w:p>
        </w:tc>
        <w:tc>
          <w:tcPr>
            <w:tcW w:w="992" w:type="dxa"/>
            <w:tcBorders>
              <w:top w:val="single" w:color="auto" w:sz="4" w:space="0"/>
              <w:left w:val="single" w:color="auto" w:sz="4" w:space="0"/>
              <w:bottom w:val="single" w:color="auto" w:sz="4" w:space="0"/>
              <w:right w:val="single" w:color="auto" w:sz="4" w:space="0"/>
            </w:tcBorders>
            <w:shd w:val="clear" w:color="auto" w:fill="E7E6E6"/>
            <w:vAlign w:val="center"/>
          </w:tcPr>
          <w:p w14:paraId="4E7707E4">
            <w:pPr>
              <w:spacing w:line="360" w:lineRule="auto"/>
              <w:jc w:val="center"/>
              <w:rPr>
                <w:rFonts w:hint="eastAsia" w:ascii="宋体" w:hAnsi="宋体"/>
                <w:color w:val="auto"/>
                <w:szCs w:val="15"/>
                <w:highlight w:val="none"/>
              </w:rPr>
            </w:pPr>
            <w:r>
              <w:rPr>
                <w:rFonts w:hint="eastAsia" w:ascii="宋体" w:hAnsi="宋体"/>
                <w:color w:val="auto"/>
                <w:szCs w:val="15"/>
                <w:highlight w:val="none"/>
              </w:rPr>
              <w:t>数量</w:t>
            </w:r>
          </w:p>
        </w:tc>
        <w:tc>
          <w:tcPr>
            <w:tcW w:w="1418" w:type="dxa"/>
            <w:tcBorders>
              <w:top w:val="single" w:color="auto" w:sz="4" w:space="0"/>
              <w:left w:val="single" w:color="auto" w:sz="4" w:space="0"/>
              <w:bottom w:val="single" w:color="auto" w:sz="4" w:space="0"/>
              <w:right w:val="single" w:color="auto" w:sz="4" w:space="0"/>
            </w:tcBorders>
            <w:shd w:val="clear" w:color="auto" w:fill="E7E6E6"/>
            <w:vAlign w:val="center"/>
          </w:tcPr>
          <w:p w14:paraId="56A7AC4F">
            <w:pPr>
              <w:widowControl/>
              <w:spacing w:line="360" w:lineRule="auto"/>
              <w:jc w:val="center"/>
              <w:rPr>
                <w:rFonts w:hint="eastAsia" w:ascii="宋体" w:hAnsi="宋体"/>
                <w:color w:val="auto"/>
                <w:szCs w:val="15"/>
                <w:highlight w:val="none"/>
              </w:rPr>
            </w:pPr>
            <w:r>
              <w:rPr>
                <w:rFonts w:hint="eastAsia" w:ascii="宋体" w:hAnsi="宋体"/>
                <w:color w:val="auto"/>
                <w:szCs w:val="15"/>
                <w:highlight w:val="none"/>
              </w:rPr>
              <w:t>单价（元）</w:t>
            </w:r>
          </w:p>
        </w:tc>
        <w:tc>
          <w:tcPr>
            <w:tcW w:w="1559" w:type="dxa"/>
            <w:tcBorders>
              <w:top w:val="single" w:color="auto" w:sz="4" w:space="0"/>
              <w:left w:val="single" w:color="auto" w:sz="4" w:space="0"/>
              <w:bottom w:val="single" w:color="auto" w:sz="4" w:space="0"/>
              <w:right w:val="single" w:color="auto" w:sz="4" w:space="0"/>
            </w:tcBorders>
            <w:shd w:val="clear" w:color="auto" w:fill="E7E6E6"/>
            <w:vAlign w:val="center"/>
          </w:tcPr>
          <w:p w14:paraId="5A2D549F">
            <w:pPr>
              <w:spacing w:line="360" w:lineRule="auto"/>
              <w:jc w:val="center"/>
              <w:rPr>
                <w:rFonts w:hint="eastAsia" w:ascii="宋体" w:hAnsi="宋体"/>
                <w:color w:val="auto"/>
                <w:szCs w:val="15"/>
                <w:highlight w:val="none"/>
              </w:rPr>
            </w:pPr>
            <w:r>
              <w:rPr>
                <w:rFonts w:hint="eastAsia" w:ascii="宋体" w:hAnsi="宋体"/>
                <w:color w:val="auto"/>
                <w:szCs w:val="15"/>
                <w:highlight w:val="none"/>
                <w:lang w:eastAsia="zh-CN"/>
              </w:rPr>
              <w:t>合价</w:t>
            </w:r>
            <w:r>
              <w:rPr>
                <w:rFonts w:hint="eastAsia" w:ascii="宋体" w:hAnsi="宋体"/>
                <w:color w:val="auto"/>
                <w:szCs w:val="15"/>
                <w:highlight w:val="none"/>
              </w:rPr>
              <w:t>（元）</w:t>
            </w:r>
          </w:p>
        </w:tc>
        <w:tc>
          <w:tcPr>
            <w:tcW w:w="1134" w:type="dxa"/>
            <w:tcBorders>
              <w:top w:val="single" w:color="auto" w:sz="4" w:space="0"/>
              <w:left w:val="single" w:color="auto" w:sz="4" w:space="0"/>
              <w:bottom w:val="single" w:color="auto" w:sz="4" w:space="0"/>
              <w:right w:val="single" w:color="auto" w:sz="4" w:space="0"/>
            </w:tcBorders>
            <w:shd w:val="clear" w:color="auto" w:fill="E7E6E6"/>
            <w:vAlign w:val="center"/>
          </w:tcPr>
          <w:p w14:paraId="591F9C01">
            <w:pPr>
              <w:widowControl/>
              <w:spacing w:line="360" w:lineRule="auto"/>
              <w:jc w:val="center"/>
              <w:rPr>
                <w:rFonts w:hint="eastAsia" w:ascii="宋体" w:hAnsi="宋体"/>
                <w:color w:val="auto"/>
                <w:szCs w:val="15"/>
                <w:highlight w:val="none"/>
              </w:rPr>
            </w:pPr>
            <w:r>
              <w:rPr>
                <w:rFonts w:hint="eastAsia" w:ascii="宋体" w:hAnsi="宋体"/>
                <w:color w:val="auto"/>
                <w:szCs w:val="15"/>
                <w:highlight w:val="none"/>
              </w:rPr>
              <w:t>备注</w:t>
            </w:r>
          </w:p>
        </w:tc>
      </w:tr>
      <w:tr w14:paraId="794D1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595" w:type="dxa"/>
            <w:tcBorders>
              <w:top w:val="single" w:color="auto" w:sz="4" w:space="0"/>
              <w:left w:val="single" w:color="auto" w:sz="4" w:space="0"/>
              <w:bottom w:val="single" w:color="auto" w:sz="4" w:space="0"/>
              <w:right w:val="single" w:color="auto" w:sz="4" w:space="0"/>
            </w:tcBorders>
            <w:vAlign w:val="center"/>
          </w:tcPr>
          <w:p w14:paraId="0F487B93">
            <w:pPr>
              <w:widowControl/>
              <w:spacing w:line="360" w:lineRule="auto"/>
              <w:jc w:val="center"/>
              <w:rPr>
                <w:rFonts w:hint="eastAsia" w:ascii="宋体" w:hAnsi="宋体"/>
                <w:color w:val="auto"/>
                <w:szCs w:val="15"/>
                <w:highlight w:val="none"/>
              </w:rPr>
            </w:pPr>
            <w:r>
              <w:rPr>
                <w:rFonts w:hint="eastAsia" w:ascii="宋体" w:hAnsi="宋体"/>
                <w:color w:val="auto"/>
                <w:szCs w:val="15"/>
                <w:highlight w:val="none"/>
              </w:rPr>
              <w:t>1</w:t>
            </w:r>
          </w:p>
        </w:tc>
        <w:tc>
          <w:tcPr>
            <w:tcW w:w="1701" w:type="dxa"/>
            <w:tcBorders>
              <w:top w:val="single" w:color="auto" w:sz="4" w:space="0"/>
              <w:left w:val="single" w:color="auto" w:sz="4" w:space="0"/>
              <w:bottom w:val="single" w:color="auto" w:sz="4" w:space="0"/>
              <w:right w:val="single" w:color="auto" w:sz="4" w:space="0"/>
            </w:tcBorders>
            <w:vAlign w:val="center"/>
          </w:tcPr>
          <w:p w14:paraId="3882D9D0">
            <w:pPr>
              <w:widowControl/>
              <w:spacing w:line="360" w:lineRule="auto"/>
              <w:jc w:val="center"/>
              <w:rPr>
                <w:rFonts w:hint="eastAsia" w:ascii="宋体" w:hAnsi="宋体"/>
                <w:color w:val="auto"/>
                <w:szCs w:val="15"/>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7F15C898">
            <w:pPr>
              <w:spacing w:line="360" w:lineRule="auto"/>
              <w:jc w:val="center"/>
              <w:rPr>
                <w:rFonts w:hint="eastAsia" w:ascii="宋体" w:hAnsi="宋体"/>
                <w:color w:val="auto"/>
                <w:szCs w:val="15"/>
                <w:highlight w:val="none"/>
              </w:rPr>
            </w:pPr>
          </w:p>
        </w:tc>
        <w:tc>
          <w:tcPr>
            <w:tcW w:w="1843" w:type="dxa"/>
            <w:tcBorders>
              <w:top w:val="single" w:color="auto" w:sz="4" w:space="0"/>
              <w:left w:val="single" w:color="auto" w:sz="4" w:space="0"/>
              <w:bottom w:val="single" w:color="auto" w:sz="4" w:space="0"/>
              <w:right w:val="single" w:color="auto" w:sz="4" w:space="0"/>
            </w:tcBorders>
            <w:vAlign w:val="center"/>
          </w:tcPr>
          <w:p w14:paraId="1911A7C1">
            <w:pPr>
              <w:widowControl/>
              <w:spacing w:line="360" w:lineRule="auto"/>
              <w:jc w:val="center"/>
              <w:rPr>
                <w:rFonts w:hint="eastAsia" w:ascii="宋体" w:hAnsi="宋体"/>
                <w:color w:val="auto"/>
                <w:szCs w:val="15"/>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36F76492">
            <w:pPr>
              <w:widowControl/>
              <w:spacing w:line="360" w:lineRule="auto"/>
              <w:jc w:val="center"/>
              <w:rPr>
                <w:rFonts w:hint="eastAsia" w:ascii="宋体" w:hAnsi="宋体"/>
                <w:color w:val="auto"/>
                <w:szCs w:val="15"/>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7A219997">
            <w:pPr>
              <w:widowControl/>
              <w:spacing w:line="360" w:lineRule="auto"/>
              <w:jc w:val="center"/>
              <w:rPr>
                <w:rFonts w:hint="eastAsia" w:ascii="宋体" w:hAnsi="宋体"/>
                <w:color w:val="auto"/>
                <w:szCs w:val="15"/>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3F1B538B">
            <w:pPr>
              <w:widowControl/>
              <w:spacing w:line="360" w:lineRule="auto"/>
              <w:jc w:val="center"/>
              <w:rPr>
                <w:rFonts w:hint="eastAsia" w:ascii="宋体" w:hAnsi="宋体"/>
                <w:color w:val="auto"/>
                <w:szCs w:val="15"/>
                <w:highlight w:val="none"/>
              </w:rPr>
            </w:pPr>
          </w:p>
        </w:tc>
        <w:tc>
          <w:tcPr>
            <w:tcW w:w="1418" w:type="dxa"/>
            <w:tcBorders>
              <w:top w:val="single" w:color="auto" w:sz="4" w:space="0"/>
              <w:left w:val="single" w:color="auto" w:sz="4" w:space="0"/>
              <w:bottom w:val="single" w:color="auto" w:sz="4" w:space="0"/>
              <w:right w:val="single" w:color="auto" w:sz="4" w:space="0"/>
            </w:tcBorders>
            <w:vAlign w:val="center"/>
          </w:tcPr>
          <w:p w14:paraId="534AB9CB">
            <w:pPr>
              <w:widowControl/>
              <w:spacing w:line="360" w:lineRule="auto"/>
              <w:jc w:val="center"/>
              <w:rPr>
                <w:rFonts w:hint="eastAsia" w:ascii="宋体" w:hAnsi="宋体"/>
                <w:color w:val="auto"/>
                <w:szCs w:val="15"/>
                <w:highlight w:val="none"/>
              </w:rPr>
            </w:pPr>
          </w:p>
        </w:tc>
        <w:tc>
          <w:tcPr>
            <w:tcW w:w="1559" w:type="dxa"/>
            <w:tcBorders>
              <w:top w:val="single" w:color="auto" w:sz="4" w:space="0"/>
              <w:left w:val="single" w:color="auto" w:sz="4" w:space="0"/>
              <w:bottom w:val="single" w:color="auto" w:sz="4" w:space="0"/>
              <w:right w:val="single" w:color="auto" w:sz="4" w:space="0"/>
            </w:tcBorders>
            <w:vAlign w:val="center"/>
          </w:tcPr>
          <w:p w14:paraId="4C3F4527">
            <w:pPr>
              <w:widowControl/>
              <w:spacing w:line="360" w:lineRule="auto"/>
              <w:jc w:val="center"/>
              <w:rPr>
                <w:rFonts w:hint="eastAsia" w:ascii="宋体" w:hAnsi="宋体"/>
                <w:color w:val="auto"/>
                <w:szCs w:val="15"/>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1B713AC1">
            <w:pPr>
              <w:widowControl/>
              <w:spacing w:line="360" w:lineRule="auto"/>
              <w:jc w:val="center"/>
              <w:rPr>
                <w:rFonts w:hint="eastAsia" w:ascii="宋体" w:hAnsi="宋体"/>
                <w:color w:val="auto"/>
                <w:szCs w:val="15"/>
                <w:highlight w:val="none"/>
              </w:rPr>
            </w:pPr>
          </w:p>
        </w:tc>
      </w:tr>
      <w:tr w14:paraId="33FC0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595" w:type="dxa"/>
            <w:tcBorders>
              <w:top w:val="single" w:color="auto" w:sz="4" w:space="0"/>
              <w:left w:val="single" w:color="auto" w:sz="4" w:space="0"/>
              <w:bottom w:val="single" w:color="auto" w:sz="4" w:space="0"/>
              <w:right w:val="single" w:color="auto" w:sz="4" w:space="0"/>
            </w:tcBorders>
            <w:vAlign w:val="center"/>
          </w:tcPr>
          <w:p w14:paraId="4682269F">
            <w:pPr>
              <w:widowControl/>
              <w:spacing w:line="360" w:lineRule="auto"/>
              <w:jc w:val="center"/>
              <w:rPr>
                <w:rFonts w:hint="eastAsia" w:ascii="宋体" w:hAnsi="宋体"/>
                <w:color w:val="auto"/>
                <w:szCs w:val="15"/>
                <w:highlight w:val="none"/>
              </w:rPr>
            </w:pPr>
            <w:r>
              <w:rPr>
                <w:rFonts w:hint="eastAsia" w:ascii="宋体" w:hAnsi="宋体"/>
                <w:color w:val="auto"/>
                <w:szCs w:val="15"/>
                <w:highlight w:val="none"/>
              </w:rPr>
              <w:t>2</w:t>
            </w:r>
          </w:p>
        </w:tc>
        <w:tc>
          <w:tcPr>
            <w:tcW w:w="1701" w:type="dxa"/>
            <w:tcBorders>
              <w:top w:val="single" w:color="auto" w:sz="4" w:space="0"/>
              <w:left w:val="single" w:color="auto" w:sz="4" w:space="0"/>
              <w:bottom w:val="single" w:color="auto" w:sz="4" w:space="0"/>
              <w:right w:val="single" w:color="auto" w:sz="4" w:space="0"/>
            </w:tcBorders>
            <w:vAlign w:val="center"/>
          </w:tcPr>
          <w:p w14:paraId="7E0F76C5">
            <w:pPr>
              <w:widowControl/>
              <w:spacing w:line="360" w:lineRule="auto"/>
              <w:jc w:val="center"/>
              <w:rPr>
                <w:rFonts w:hint="eastAsia" w:ascii="宋体" w:hAnsi="宋体"/>
                <w:color w:val="auto"/>
                <w:szCs w:val="15"/>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5152683A">
            <w:pPr>
              <w:spacing w:line="360" w:lineRule="auto"/>
              <w:jc w:val="center"/>
              <w:rPr>
                <w:rFonts w:hint="eastAsia" w:ascii="宋体" w:hAnsi="宋体"/>
                <w:color w:val="auto"/>
                <w:szCs w:val="15"/>
                <w:highlight w:val="none"/>
              </w:rPr>
            </w:pPr>
          </w:p>
        </w:tc>
        <w:tc>
          <w:tcPr>
            <w:tcW w:w="1843" w:type="dxa"/>
            <w:tcBorders>
              <w:top w:val="single" w:color="auto" w:sz="4" w:space="0"/>
              <w:left w:val="single" w:color="auto" w:sz="4" w:space="0"/>
              <w:bottom w:val="single" w:color="auto" w:sz="4" w:space="0"/>
              <w:right w:val="single" w:color="auto" w:sz="4" w:space="0"/>
            </w:tcBorders>
            <w:vAlign w:val="center"/>
          </w:tcPr>
          <w:p w14:paraId="09F672DC">
            <w:pPr>
              <w:widowControl/>
              <w:spacing w:line="360" w:lineRule="auto"/>
              <w:jc w:val="center"/>
              <w:rPr>
                <w:rFonts w:hint="eastAsia" w:ascii="宋体" w:hAnsi="宋体"/>
                <w:color w:val="auto"/>
                <w:szCs w:val="15"/>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40C8B149">
            <w:pPr>
              <w:widowControl/>
              <w:spacing w:line="360" w:lineRule="auto"/>
              <w:jc w:val="center"/>
              <w:rPr>
                <w:rFonts w:hint="eastAsia" w:ascii="宋体" w:hAnsi="宋体"/>
                <w:color w:val="auto"/>
                <w:szCs w:val="15"/>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0DE99A37">
            <w:pPr>
              <w:widowControl/>
              <w:spacing w:line="360" w:lineRule="auto"/>
              <w:jc w:val="center"/>
              <w:rPr>
                <w:rFonts w:hint="eastAsia" w:ascii="宋体" w:hAnsi="宋体"/>
                <w:color w:val="auto"/>
                <w:szCs w:val="15"/>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5402F2F9">
            <w:pPr>
              <w:widowControl/>
              <w:spacing w:line="360" w:lineRule="auto"/>
              <w:jc w:val="center"/>
              <w:rPr>
                <w:rFonts w:hint="eastAsia" w:ascii="宋体" w:hAnsi="宋体"/>
                <w:color w:val="auto"/>
                <w:szCs w:val="15"/>
                <w:highlight w:val="none"/>
              </w:rPr>
            </w:pPr>
          </w:p>
        </w:tc>
        <w:tc>
          <w:tcPr>
            <w:tcW w:w="1418" w:type="dxa"/>
            <w:tcBorders>
              <w:top w:val="single" w:color="auto" w:sz="4" w:space="0"/>
              <w:left w:val="single" w:color="auto" w:sz="4" w:space="0"/>
              <w:bottom w:val="single" w:color="auto" w:sz="4" w:space="0"/>
              <w:right w:val="single" w:color="auto" w:sz="4" w:space="0"/>
            </w:tcBorders>
            <w:vAlign w:val="center"/>
          </w:tcPr>
          <w:p w14:paraId="1C27F54C">
            <w:pPr>
              <w:widowControl/>
              <w:spacing w:line="360" w:lineRule="auto"/>
              <w:jc w:val="center"/>
              <w:rPr>
                <w:rFonts w:hint="eastAsia" w:ascii="宋体" w:hAnsi="宋体"/>
                <w:color w:val="auto"/>
                <w:szCs w:val="15"/>
                <w:highlight w:val="none"/>
              </w:rPr>
            </w:pPr>
          </w:p>
        </w:tc>
        <w:tc>
          <w:tcPr>
            <w:tcW w:w="1559" w:type="dxa"/>
            <w:tcBorders>
              <w:top w:val="single" w:color="auto" w:sz="4" w:space="0"/>
              <w:left w:val="single" w:color="auto" w:sz="4" w:space="0"/>
              <w:bottom w:val="single" w:color="auto" w:sz="4" w:space="0"/>
              <w:right w:val="single" w:color="auto" w:sz="4" w:space="0"/>
            </w:tcBorders>
            <w:vAlign w:val="center"/>
          </w:tcPr>
          <w:p w14:paraId="0C9A3301">
            <w:pPr>
              <w:widowControl/>
              <w:spacing w:line="360" w:lineRule="auto"/>
              <w:jc w:val="center"/>
              <w:rPr>
                <w:rFonts w:hint="eastAsia" w:ascii="宋体" w:hAnsi="宋体"/>
                <w:color w:val="auto"/>
                <w:szCs w:val="15"/>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20EBF31C">
            <w:pPr>
              <w:widowControl/>
              <w:spacing w:line="360" w:lineRule="auto"/>
              <w:jc w:val="center"/>
              <w:rPr>
                <w:rFonts w:hint="eastAsia" w:ascii="宋体" w:hAnsi="宋体"/>
                <w:color w:val="auto"/>
                <w:szCs w:val="15"/>
                <w:highlight w:val="none"/>
              </w:rPr>
            </w:pPr>
          </w:p>
        </w:tc>
      </w:tr>
      <w:tr w14:paraId="06237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595" w:type="dxa"/>
            <w:tcBorders>
              <w:top w:val="single" w:color="auto" w:sz="4" w:space="0"/>
              <w:left w:val="single" w:color="auto" w:sz="4" w:space="0"/>
              <w:bottom w:val="single" w:color="auto" w:sz="4" w:space="0"/>
              <w:right w:val="single" w:color="auto" w:sz="4" w:space="0"/>
            </w:tcBorders>
            <w:vAlign w:val="center"/>
          </w:tcPr>
          <w:p w14:paraId="3DD67494">
            <w:pPr>
              <w:widowControl/>
              <w:spacing w:line="360" w:lineRule="auto"/>
              <w:jc w:val="center"/>
              <w:rPr>
                <w:rFonts w:hint="eastAsia" w:ascii="宋体" w:hAnsi="宋体"/>
                <w:color w:val="auto"/>
                <w:szCs w:val="15"/>
                <w:highlight w:val="none"/>
              </w:rPr>
            </w:pPr>
            <w:r>
              <w:rPr>
                <w:rFonts w:hint="eastAsia" w:ascii="宋体" w:hAnsi="宋体"/>
                <w:color w:val="auto"/>
                <w:szCs w:val="15"/>
                <w:highlight w:val="none"/>
              </w:rPr>
              <w:t>3</w:t>
            </w:r>
          </w:p>
        </w:tc>
        <w:tc>
          <w:tcPr>
            <w:tcW w:w="1701" w:type="dxa"/>
            <w:tcBorders>
              <w:top w:val="single" w:color="auto" w:sz="4" w:space="0"/>
              <w:left w:val="single" w:color="auto" w:sz="4" w:space="0"/>
              <w:bottom w:val="single" w:color="auto" w:sz="4" w:space="0"/>
              <w:right w:val="single" w:color="auto" w:sz="4" w:space="0"/>
            </w:tcBorders>
            <w:vAlign w:val="center"/>
          </w:tcPr>
          <w:p w14:paraId="70DB50DF">
            <w:pPr>
              <w:widowControl/>
              <w:spacing w:line="360" w:lineRule="auto"/>
              <w:jc w:val="center"/>
              <w:rPr>
                <w:rFonts w:hint="eastAsia" w:ascii="宋体" w:hAnsi="宋体"/>
                <w:color w:val="auto"/>
                <w:szCs w:val="15"/>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18124D4C">
            <w:pPr>
              <w:spacing w:line="360" w:lineRule="auto"/>
              <w:jc w:val="center"/>
              <w:rPr>
                <w:rFonts w:hint="eastAsia" w:ascii="宋体" w:hAnsi="宋体"/>
                <w:color w:val="auto"/>
                <w:szCs w:val="15"/>
                <w:highlight w:val="none"/>
              </w:rPr>
            </w:pPr>
          </w:p>
        </w:tc>
        <w:tc>
          <w:tcPr>
            <w:tcW w:w="1843" w:type="dxa"/>
            <w:tcBorders>
              <w:top w:val="single" w:color="auto" w:sz="4" w:space="0"/>
              <w:left w:val="single" w:color="auto" w:sz="4" w:space="0"/>
              <w:bottom w:val="single" w:color="auto" w:sz="4" w:space="0"/>
              <w:right w:val="single" w:color="auto" w:sz="4" w:space="0"/>
            </w:tcBorders>
            <w:vAlign w:val="center"/>
          </w:tcPr>
          <w:p w14:paraId="303AD95D">
            <w:pPr>
              <w:widowControl/>
              <w:spacing w:line="360" w:lineRule="auto"/>
              <w:jc w:val="center"/>
              <w:rPr>
                <w:rFonts w:hint="eastAsia" w:ascii="宋体" w:hAnsi="宋体"/>
                <w:color w:val="auto"/>
                <w:szCs w:val="15"/>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53240939">
            <w:pPr>
              <w:widowControl/>
              <w:spacing w:line="360" w:lineRule="auto"/>
              <w:jc w:val="center"/>
              <w:rPr>
                <w:rFonts w:hint="eastAsia" w:ascii="宋体" w:hAnsi="宋体"/>
                <w:color w:val="auto"/>
                <w:szCs w:val="15"/>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7BF2F390">
            <w:pPr>
              <w:widowControl/>
              <w:spacing w:line="360" w:lineRule="auto"/>
              <w:jc w:val="center"/>
              <w:rPr>
                <w:rFonts w:hint="eastAsia" w:ascii="宋体" w:hAnsi="宋体"/>
                <w:color w:val="auto"/>
                <w:szCs w:val="15"/>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5B09F741">
            <w:pPr>
              <w:widowControl/>
              <w:spacing w:line="360" w:lineRule="auto"/>
              <w:jc w:val="center"/>
              <w:rPr>
                <w:rFonts w:hint="eastAsia" w:ascii="宋体" w:hAnsi="宋体"/>
                <w:color w:val="auto"/>
                <w:szCs w:val="15"/>
                <w:highlight w:val="none"/>
              </w:rPr>
            </w:pPr>
          </w:p>
        </w:tc>
        <w:tc>
          <w:tcPr>
            <w:tcW w:w="1418" w:type="dxa"/>
            <w:tcBorders>
              <w:top w:val="single" w:color="auto" w:sz="4" w:space="0"/>
              <w:left w:val="single" w:color="auto" w:sz="4" w:space="0"/>
              <w:bottom w:val="single" w:color="auto" w:sz="4" w:space="0"/>
              <w:right w:val="single" w:color="auto" w:sz="4" w:space="0"/>
            </w:tcBorders>
            <w:vAlign w:val="center"/>
          </w:tcPr>
          <w:p w14:paraId="5E39E435">
            <w:pPr>
              <w:widowControl/>
              <w:spacing w:line="360" w:lineRule="auto"/>
              <w:jc w:val="center"/>
              <w:rPr>
                <w:rFonts w:hint="eastAsia" w:ascii="宋体" w:hAnsi="宋体"/>
                <w:color w:val="auto"/>
                <w:szCs w:val="15"/>
                <w:highlight w:val="none"/>
              </w:rPr>
            </w:pPr>
          </w:p>
        </w:tc>
        <w:tc>
          <w:tcPr>
            <w:tcW w:w="1559" w:type="dxa"/>
            <w:tcBorders>
              <w:top w:val="single" w:color="auto" w:sz="4" w:space="0"/>
              <w:left w:val="single" w:color="auto" w:sz="4" w:space="0"/>
              <w:bottom w:val="single" w:color="auto" w:sz="4" w:space="0"/>
              <w:right w:val="single" w:color="auto" w:sz="4" w:space="0"/>
            </w:tcBorders>
            <w:vAlign w:val="center"/>
          </w:tcPr>
          <w:p w14:paraId="32924A7D">
            <w:pPr>
              <w:widowControl/>
              <w:spacing w:line="360" w:lineRule="auto"/>
              <w:jc w:val="center"/>
              <w:rPr>
                <w:rFonts w:hint="eastAsia" w:ascii="宋体" w:hAnsi="宋体"/>
                <w:color w:val="auto"/>
                <w:szCs w:val="15"/>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2F96A9A8">
            <w:pPr>
              <w:widowControl/>
              <w:spacing w:line="360" w:lineRule="auto"/>
              <w:jc w:val="center"/>
              <w:rPr>
                <w:rFonts w:hint="eastAsia" w:ascii="宋体" w:hAnsi="宋体"/>
                <w:color w:val="auto"/>
                <w:szCs w:val="15"/>
                <w:highlight w:val="none"/>
              </w:rPr>
            </w:pPr>
          </w:p>
        </w:tc>
      </w:tr>
      <w:tr w14:paraId="7C4F0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595" w:type="dxa"/>
            <w:tcBorders>
              <w:top w:val="single" w:color="auto" w:sz="4" w:space="0"/>
              <w:left w:val="single" w:color="auto" w:sz="4" w:space="0"/>
              <w:bottom w:val="single" w:color="auto" w:sz="4" w:space="0"/>
              <w:right w:val="single" w:color="auto" w:sz="4" w:space="0"/>
            </w:tcBorders>
            <w:vAlign w:val="center"/>
          </w:tcPr>
          <w:p w14:paraId="5816CAB1">
            <w:pPr>
              <w:widowControl/>
              <w:spacing w:line="360" w:lineRule="auto"/>
              <w:jc w:val="center"/>
              <w:rPr>
                <w:rFonts w:hint="eastAsia" w:ascii="宋体" w:hAnsi="宋体"/>
                <w:color w:val="auto"/>
                <w:szCs w:val="15"/>
                <w:highlight w:val="none"/>
              </w:rPr>
            </w:pPr>
            <w:r>
              <w:rPr>
                <w:rFonts w:hint="eastAsia" w:ascii="宋体" w:hAnsi="宋体"/>
                <w:color w:val="auto"/>
                <w:szCs w:val="15"/>
                <w:highlight w:val="none"/>
              </w:rPr>
              <w:t>4</w:t>
            </w:r>
          </w:p>
        </w:tc>
        <w:tc>
          <w:tcPr>
            <w:tcW w:w="1701" w:type="dxa"/>
            <w:tcBorders>
              <w:top w:val="single" w:color="auto" w:sz="4" w:space="0"/>
              <w:left w:val="single" w:color="auto" w:sz="4" w:space="0"/>
              <w:bottom w:val="single" w:color="auto" w:sz="4" w:space="0"/>
              <w:right w:val="single" w:color="auto" w:sz="4" w:space="0"/>
            </w:tcBorders>
            <w:vAlign w:val="center"/>
          </w:tcPr>
          <w:p w14:paraId="196C45F9">
            <w:pPr>
              <w:widowControl/>
              <w:spacing w:line="360" w:lineRule="auto"/>
              <w:jc w:val="center"/>
              <w:rPr>
                <w:rFonts w:hint="eastAsia" w:ascii="宋体" w:hAnsi="宋体"/>
                <w:color w:val="auto"/>
                <w:szCs w:val="15"/>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34767708">
            <w:pPr>
              <w:spacing w:line="360" w:lineRule="auto"/>
              <w:jc w:val="center"/>
              <w:rPr>
                <w:rFonts w:hint="eastAsia" w:ascii="宋体" w:hAnsi="宋体"/>
                <w:color w:val="auto"/>
                <w:szCs w:val="15"/>
                <w:highlight w:val="none"/>
              </w:rPr>
            </w:pPr>
          </w:p>
        </w:tc>
        <w:tc>
          <w:tcPr>
            <w:tcW w:w="1843" w:type="dxa"/>
            <w:tcBorders>
              <w:top w:val="single" w:color="auto" w:sz="4" w:space="0"/>
              <w:left w:val="single" w:color="auto" w:sz="4" w:space="0"/>
              <w:bottom w:val="single" w:color="auto" w:sz="4" w:space="0"/>
              <w:right w:val="single" w:color="auto" w:sz="4" w:space="0"/>
            </w:tcBorders>
            <w:vAlign w:val="center"/>
          </w:tcPr>
          <w:p w14:paraId="2FDFEDF2">
            <w:pPr>
              <w:widowControl/>
              <w:spacing w:line="360" w:lineRule="auto"/>
              <w:jc w:val="center"/>
              <w:rPr>
                <w:rFonts w:hint="eastAsia" w:ascii="宋体" w:hAnsi="宋体"/>
                <w:color w:val="auto"/>
                <w:szCs w:val="15"/>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20ACE524">
            <w:pPr>
              <w:widowControl/>
              <w:spacing w:line="360" w:lineRule="auto"/>
              <w:jc w:val="center"/>
              <w:rPr>
                <w:rFonts w:hint="eastAsia" w:ascii="宋体" w:hAnsi="宋体"/>
                <w:color w:val="auto"/>
                <w:szCs w:val="15"/>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42B04437">
            <w:pPr>
              <w:widowControl/>
              <w:spacing w:line="360" w:lineRule="auto"/>
              <w:jc w:val="center"/>
              <w:rPr>
                <w:rFonts w:hint="eastAsia" w:ascii="宋体" w:hAnsi="宋体"/>
                <w:color w:val="auto"/>
                <w:szCs w:val="15"/>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1CEC6064">
            <w:pPr>
              <w:widowControl/>
              <w:spacing w:line="360" w:lineRule="auto"/>
              <w:jc w:val="center"/>
              <w:rPr>
                <w:rFonts w:hint="eastAsia" w:ascii="宋体" w:hAnsi="宋体"/>
                <w:color w:val="auto"/>
                <w:szCs w:val="15"/>
                <w:highlight w:val="none"/>
              </w:rPr>
            </w:pPr>
          </w:p>
        </w:tc>
        <w:tc>
          <w:tcPr>
            <w:tcW w:w="1418" w:type="dxa"/>
            <w:tcBorders>
              <w:top w:val="single" w:color="auto" w:sz="4" w:space="0"/>
              <w:left w:val="single" w:color="auto" w:sz="4" w:space="0"/>
              <w:bottom w:val="single" w:color="auto" w:sz="4" w:space="0"/>
              <w:right w:val="single" w:color="auto" w:sz="4" w:space="0"/>
            </w:tcBorders>
            <w:vAlign w:val="center"/>
          </w:tcPr>
          <w:p w14:paraId="7DFDFC32">
            <w:pPr>
              <w:widowControl/>
              <w:spacing w:line="360" w:lineRule="auto"/>
              <w:jc w:val="center"/>
              <w:rPr>
                <w:rFonts w:hint="eastAsia" w:ascii="宋体" w:hAnsi="宋体"/>
                <w:color w:val="auto"/>
                <w:szCs w:val="15"/>
                <w:highlight w:val="none"/>
              </w:rPr>
            </w:pPr>
          </w:p>
        </w:tc>
        <w:tc>
          <w:tcPr>
            <w:tcW w:w="1559" w:type="dxa"/>
            <w:tcBorders>
              <w:top w:val="single" w:color="auto" w:sz="4" w:space="0"/>
              <w:left w:val="single" w:color="auto" w:sz="4" w:space="0"/>
              <w:bottom w:val="single" w:color="auto" w:sz="4" w:space="0"/>
              <w:right w:val="single" w:color="auto" w:sz="4" w:space="0"/>
            </w:tcBorders>
            <w:vAlign w:val="center"/>
          </w:tcPr>
          <w:p w14:paraId="1D74C0F7">
            <w:pPr>
              <w:widowControl/>
              <w:spacing w:line="360" w:lineRule="auto"/>
              <w:jc w:val="center"/>
              <w:rPr>
                <w:rFonts w:hint="eastAsia" w:ascii="宋体" w:hAnsi="宋体"/>
                <w:color w:val="auto"/>
                <w:szCs w:val="15"/>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3135807F">
            <w:pPr>
              <w:widowControl/>
              <w:spacing w:line="360" w:lineRule="auto"/>
              <w:jc w:val="center"/>
              <w:rPr>
                <w:rFonts w:hint="eastAsia" w:ascii="宋体" w:hAnsi="宋体"/>
                <w:color w:val="auto"/>
                <w:szCs w:val="15"/>
                <w:highlight w:val="none"/>
              </w:rPr>
            </w:pPr>
          </w:p>
        </w:tc>
      </w:tr>
      <w:tr w14:paraId="7713B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595" w:type="dxa"/>
            <w:tcBorders>
              <w:top w:val="single" w:color="auto" w:sz="4" w:space="0"/>
              <w:left w:val="single" w:color="auto" w:sz="4" w:space="0"/>
              <w:bottom w:val="single" w:color="auto" w:sz="4" w:space="0"/>
              <w:right w:val="single" w:color="auto" w:sz="4" w:space="0"/>
            </w:tcBorders>
            <w:vAlign w:val="center"/>
          </w:tcPr>
          <w:p w14:paraId="64BEEE63">
            <w:pPr>
              <w:widowControl/>
              <w:spacing w:line="360" w:lineRule="auto"/>
              <w:jc w:val="center"/>
              <w:rPr>
                <w:rFonts w:hint="eastAsia" w:ascii="宋体" w:hAnsi="宋体"/>
                <w:color w:val="auto"/>
                <w:szCs w:val="15"/>
                <w:highlight w:val="none"/>
              </w:rPr>
            </w:pPr>
            <w:r>
              <w:rPr>
                <w:rFonts w:hint="eastAsia" w:ascii="宋体" w:hAnsi="宋体"/>
                <w:color w:val="auto"/>
                <w:szCs w:val="15"/>
                <w:highlight w:val="none"/>
              </w:rPr>
              <w:t>…</w:t>
            </w:r>
          </w:p>
        </w:tc>
        <w:tc>
          <w:tcPr>
            <w:tcW w:w="1701" w:type="dxa"/>
            <w:tcBorders>
              <w:top w:val="single" w:color="auto" w:sz="4" w:space="0"/>
              <w:left w:val="single" w:color="auto" w:sz="4" w:space="0"/>
              <w:bottom w:val="single" w:color="auto" w:sz="4" w:space="0"/>
              <w:right w:val="single" w:color="auto" w:sz="4" w:space="0"/>
            </w:tcBorders>
            <w:vAlign w:val="center"/>
          </w:tcPr>
          <w:p w14:paraId="1D35A57C">
            <w:pPr>
              <w:widowControl/>
              <w:spacing w:line="360" w:lineRule="auto"/>
              <w:jc w:val="center"/>
              <w:rPr>
                <w:rFonts w:hint="eastAsia" w:ascii="宋体" w:hAnsi="宋体"/>
                <w:color w:val="auto"/>
                <w:szCs w:val="15"/>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45E8D863">
            <w:pPr>
              <w:spacing w:line="360" w:lineRule="auto"/>
              <w:jc w:val="center"/>
              <w:rPr>
                <w:rFonts w:hint="eastAsia" w:ascii="宋体" w:hAnsi="宋体"/>
                <w:color w:val="auto"/>
                <w:szCs w:val="15"/>
                <w:highlight w:val="none"/>
              </w:rPr>
            </w:pPr>
          </w:p>
        </w:tc>
        <w:tc>
          <w:tcPr>
            <w:tcW w:w="1843" w:type="dxa"/>
            <w:tcBorders>
              <w:top w:val="single" w:color="auto" w:sz="4" w:space="0"/>
              <w:left w:val="single" w:color="auto" w:sz="4" w:space="0"/>
              <w:bottom w:val="single" w:color="auto" w:sz="4" w:space="0"/>
              <w:right w:val="single" w:color="auto" w:sz="4" w:space="0"/>
            </w:tcBorders>
            <w:vAlign w:val="center"/>
          </w:tcPr>
          <w:p w14:paraId="4E44700C">
            <w:pPr>
              <w:widowControl/>
              <w:spacing w:line="360" w:lineRule="auto"/>
              <w:jc w:val="center"/>
              <w:rPr>
                <w:rFonts w:hint="eastAsia" w:ascii="宋体" w:hAnsi="宋体"/>
                <w:color w:val="auto"/>
                <w:szCs w:val="15"/>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336B3A18">
            <w:pPr>
              <w:widowControl/>
              <w:spacing w:line="360" w:lineRule="auto"/>
              <w:jc w:val="center"/>
              <w:rPr>
                <w:rFonts w:hint="eastAsia" w:ascii="宋体" w:hAnsi="宋体"/>
                <w:color w:val="auto"/>
                <w:szCs w:val="15"/>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69957100">
            <w:pPr>
              <w:widowControl/>
              <w:spacing w:line="360" w:lineRule="auto"/>
              <w:jc w:val="center"/>
              <w:rPr>
                <w:rFonts w:hint="eastAsia" w:ascii="宋体" w:hAnsi="宋体"/>
                <w:color w:val="auto"/>
                <w:szCs w:val="15"/>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7882C7D3">
            <w:pPr>
              <w:widowControl/>
              <w:spacing w:line="360" w:lineRule="auto"/>
              <w:jc w:val="center"/>
              <w:rPr>
                <w:rFonts w:hint="eastAsia" w:ascii="宋体" w:hAnsi="宋体"/>
                <w:color w:val="auto"/>
                <w:szCs w:val="15"/>
                <w:highlight w:val="none"/>
              </w:rPr>
            </w:pPr>
          </w:p>
        </w:tc>
        <w:tc>
          <w:tcPr>
            <w:tcW w:w="1418" w:type="dxa"/>
            <w:tcBorders>
              <w:top w:val="single" w:color="auto" w:sz="4" w:space="0"/>
              <w:left w:val="single" w:color="auto" w:sz="4" w:space="0"/>
              <w:bottom w:val="single" w:color="auto" w:sz="4" w:space="0"/>
              <w:right w:val="single" w:color="auto" w:sz="4" w:space="0"/>
            </w:tcBorders>
            <w:vAlign w:val="center"/>
          </w:tcPr>
          <w:p w14:paraId="40714299">
            <w:pPr>
              <w:widowControl/>
              <w:spacing w:line="360" w:lineRule="auto"/>
              <w:jc w:val="center"/>
              <w:rPr>
                <w:rFonts w:hint="eastAsia" w:ascii="宋体" w:hAnsi="宋体"/>
                <w:color w:val="auto"/>
                <w:szCs w:val="15"/>
                <w:highlight w:val="none"/>
              </w:rPr>
            </w:pPr>
          </w:p>
        </w:tc>
        <w:tc>
          <w:tcPr>
            <w:tcW w:w="1559" w:type="dxa"/>
            <w:tcBorders>
              <w:top w:val="single" w:color="auto" w:sz="4" w:space="0"/>
              <w:left w:val="single" w:color="auto" w:sz="4" w:space="0"/>
              <w:bottom w:val="single" w:color="auto" w:sz="4" w:space="0"/>
              <w:right w:val="single" w:color="auto" w:sz="4" w:space="0"/>
            </w:tcBorders>
            <w:vAlign w:val="center"/>
          </w:tcPr>
          <w:p w14:paraId="3C24B98A">
            <w:pPr>
              <w:widowControl/>
              <w:spacing w:line="360" w:lineRule="auto"/>
              <w:jc w:val="center"/>
              <w:rPr>
                <w:rFonts w:hint="eastAsia" w:ascii="宋体" w:hAnsi="宋体"/>
                <w:color w:val="auto"/>
                <w:szCs w:val="15"/>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7D889294">
            <w:pPr>
              <w:widowControl/>
              <w:spacing w:line="360" w:lineRule="auto"/>
              <w:jc w:val="center"/>
              <w:rPr>
                <w:rFonts w:hint="eastAsia" w:ascii="宋体" w:hAnsi="宋体"/>
                <w:color w:val="auto"/>
                <w:szCs w:val="15"/>
                <w:highlight w:val="none"/>
              </w:rPr>
            </w:pPr>
          </w:p>
        </w:tc>
      </w:tr>
      <w:tr w14:paraId="2C9EF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4345" w:type="dxa"/>
            <w:gridSpan w:val="10"/>
            <w:tcBorders>
              <w:top w:val="single" w:color="auto" w:sz="4" w:space="0"/>
              <w:left w:val="single" w:color="auto" w:sz="4" w:space="0"/>
              <w:bottom w:val="single" w:color="auto" w:sz="4" w:space="0"/>
              <w:right w:val="single" w:color="auto" w:sz="4" w:space="0"/>
            </w:tcBorders>
            <w:vAlign w:val="center"/>
          </w:tcPr>
          <w:p w14:paraId="4A9FAEF5">
            <w:pPr>
              <w:widowControl/>
              <w:spacing w:line="360" w:lineRule="auto"/>
              <w:rPr>
                <w:rFonts w:hint="eastAsia" w:ascii="宋体" w:hAnsi="宋体"/>
                <w:color w:val="auto"/>
                <w:szCs w:val="15"/>
                <w:highlight w:val="none"/>
              </w:rPr>
            </w:pPr>
            <w:r>
              <w:rPr>
                <w:rFonts w:hint="eastAsia" w:ascii="宋体" w:hAnsi="宋体"/>
                <w:color w:val="auto"/>
                <w:szCs w:val="15"/>
                <w:highlight w:val="none"/>
              </w:rPr>
              <w:t>总</w:t>
            </w:r>
            <w:r>
              <w:rPr>
                <w:rFonts w:hint="eastAsia" w:ascii="宋体" w:hAnsi="宋体"/>
                <w:color w:val="auto"/>
                <w:szCs w:val="15"/>
                <w:highlight w:val="none"/>
                <w:lang w:eastAsia="zh-CN"/>
              </w:rPr>
              <w:t>价</w:t>
            </w:r>
            <w:r>
              <w:rPr>
                <w:rFonts w:hint="eastAsia" w:ascii="宋体" w:hAnsi="宋体"/>
                <w:color w:val="auto"/>
                <w:szCs w:val="15"/>
                <w:highlight w:val="none"/>
              </w:rPr>
              <w:t>（元）：</w:t>
            </w:r>
          </w:p>
        </w:tc>
      </w:tr>
    </w:tbl>
    <w:p w14:paraId="786CD922">
      <w:pPr>
        <w:pStyle w:val="94"/>
        <w:spacing w:line="360" w:lineRule="auto"/>
        <w:ind w:firstLine="2" w:firstLineChars="1"/>
        <w:rPr>
          <w:rFonts w:hint="eastAsia" w:ascii="宋体" w:hAnsi="宋体"/>
          <w:b/>
          <w:color w:val="auto"/>
          <w:sz w:val="20"/>
          <w:szCs w:val="20"/>
          <w:highlight w:val="none"/>
        </w:rPr>
      </w:pPr>
      <w:r>
        <w:rPr>
          <w:rFonts w:hint="eastAsia"/>
          <w:b/>
          <w:color w:val="auto"/>
          <w:sz w:val="20"/>
          <w:szCs w:val="20"/>
          <w:highlight w:val="none"/>
        </w:rPr>
        <w:t>注：</w:t>
      </w:r>
      <w:r>
        <w:rPr>
          <w:rFonts w:ascii="宋体" w:hAnsi="宋体"/>
          <w:b/>
          <w:color w:val="auto"/>
          <w:sz w:val="20"/>
          <w:szCs w:val="20"/>
          <w:highlight w:val="none"/>
        </w:rPr>
        <w:t>1</w:t>
      </w:r>
      <w:r>
        <w:rPr>
          <w:rFonts w:hint="eastAsia" w:ascii="宋体" w:hAnsi="宋体"/>
          <w:b/>
          <w:color w:val="auto"/>
          <w:sz w:val="20"/>
          <w:szCs w:val="20"/>
          <w:highlight w:val="none"/>
        </w:rPr>
        <w:t>、此表中“总价”金额应与“投标总价”金额一致，各分项报价不得超过</w:t>
      </w:r>
      <w:r>
        <w:rPr>
          <w:rFonts w:hint="eastAsia" w:ascii="宋体" w:hAnsi="宋体"/>
          <w:b/>
          <w:color w:val="auto"/>
          <w:sz w:val="20"/>
          <w:szCs w:val="20"/>
          <w:highlight w:val="none"/>
          <w:lang w:val="en-US" w:eastAsia="zh-CN"/>
        </w:rPr>
        <w:t>谈判</w:t>
      </w:r>
      <w:r>
        <w:rPr>
          <w:rFonts w:hint="eastAsia" w:ascii="宋体" w:hAnsi="宋体"/>
          <w:b/>
          <w:color w:val="auto"/>
          <w:sz w:val="20"/>
          <w:szCs w:val="20"/>
          <w:highlight w:val="none"/>
        </w:rPr>
        <w:t>文件公布的分项最高限价。</w:t>
      </w:r>
    </w:p>
    <w:p w14:paraId="79B65BE1">
      <w:pPr>
        <w:pStyle w:val="94"/>
        <w:spacing w:line="360" w:lineRule="auto"/>
        <w:jc w:val="left"/>
        <w:rPr>
          <w:rFonts w:hint="eastAsia" w:ascii="宋体" w:hAnsi="宋体"/>
          <w:b/>
          <w:color w:val="auto"/>
          <w:sz w:val="20"/>
          <w:szCs w:val="20"/>
          <w:highlight w:val="none"/>
        </w:rPr>
      </w:pPr>
      <w:r>
        <w:rPr>
          <w:rFonts w:ascii="宋体" w:hAnsi="宋体"/>
          <w:b/>
          <w:color w:val="auto"/>
          <w:sz w:val="20"/>
          <w:szCs w:val="20"/>
          <w:highlight w:val="none"/>
        </w:rPr>
        <w:t>2</w:t>
      </w:r>
      <w:r>
        <w:rPr>
          <w:rFonts w:hint="eastAsia" w:ascii="宋体" w:hAnsi="宋体"/>
          <w:b/>
          <w:color w:val="auto"/>
          <w:sz w:val="20"/>
          <w:szCs w:val="20"/>
          <w:highlight w:val="none"/>
        </w:rPr>
        <w:t>、谈判范围中所投</w:t>
      </w:r>
      <w:r>
        <w:rPr>
          <w:rFonts w:hint="eastAsia" w:ascii="宋体" w:hAnsi="宋体"/>
          <w:b/>
          <w:color w:val="auto"/>
          <w:sz w:val="20"/>
          <w:szCs w:val="20"/>
          <w:highlight w:val="none"/>
          <w:lang w:val="en-US" w:eastAsia="zh-CN"/>
        </w:rPr>
        <w:t>产品</w:t>
      </w:r>
      <w:r>
        <w:rPr>
          <w:rFonts w:hint="eastAsia" w:ascii="宋体" w:hAnsi="宋体"/>
          <w:b/>
          <w:color w:val="auto"/>
          <w:sz w:val="20"/>
          <w:szCs w:val="20"/>
          <w:highlight w:val="none"/>
        </w:rPr>
        <w:t>的出厂价、技术设计费、检测费用、售后服务费用、税费、技术资料费、专利或专有技术使用费用包含货物单价中。</w:t>
      </w:r>
    </w:p>
    <w:p w14:paraId="44EA6AA9">
      <w:pPr>
        <w:pStyle w:val="94"/>
        <w:spacing w:line="360" w:lineRule="auto"/>
        <w:jc w:val="left"/>
        <w:rPr>
          <w:rFonts w:hint="eastAsia" w:ascii="宋体" w:hAnsi="宋体"/>
          <w:color w:val="auto"/>
          <w:szCs w:val="21"/>
          <w:highlight w:val="none"/>
        </w:rPr>
      </w:pPr>
      <w:r>
        <w:rPr>
          <w:rFonts w:ascii="宋体" w:hAnsi="宋体"/>
          <w:b/>
          <w:color w:val="auto"/>
          <w:sz w:val="20"/>
          <w:szCs w:val="20"/>
          <w:highlight w:val="none"/>
        </w:rPr>
        <w:t>3</w:t>
      </w:r>
      <w:r>
        <w:rPr>
          <w:rFonts w:hint="eastAsia" w:ascii="宋体" w:hAnsi="宋体"/>
          <w:b/>
          <w:color w:val="auto"/>
          <w:sz w:val="20"/>
          <w:szCs w:val="20"/>
          <w:highlight w:val="none"/>
        </w:rPr>
        <w:t>、制造商规模根据实际情况填写“大型”、“中型”、“小型”、“微型”。</w:t>
      </w:r>
    </w:p>
    <w:p w14:paraId="3B9740C1">
      <w:pPr>
        <w:spacing w:before="60" w:after="60" w:line="480" w:lineRule="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投标人(盖电子公章)：</w:t>
      </w:r>
      <w:r>
        <w:rPr>
          <w:rFonts w:hint="eastAsia" w:ascii="宋体" w:hAnsi="宋体"/>
          <w:color w:val="auto"/>
          <w:sz w:val="21"/>
          <w:szCs w:val="21"/>
          <w:highlight w:val="none"/>
          <w:u w:val="single"/>
          <w:lang w:eastAsia="zh-CN"/>
        </w:rPr>
        <w:t xml:space="preserve">                                     </w:t>
      </w:r>
    </w:p>
    <w:p w14:paraId="07C1DD04">
      <w:pPr>
        <w:spacing w:before="60" w:after="60" w:line="480" w:lineRule="auto"/>
        <w:rPr>
          <w:rFonts w:hint="eastAsia" w:ascii="宋体" w:hAnsi="宋体"/>
          <w:color w:val="auto"/>
          <w:sz w:val="21"/>
          <w:szCs w:val="21"/>
          <w:highlight w:val="none"/>
          <w:u w:val="single"/>
          <w:lang w:eastAsia="zh-CN"/>
        </w:rPr>
      </w:pPr>
      <w:r>
        <w:rPr>
          <w:rFonts w:hint="eastAsia" w:ascii="宋体" w:hAnsi="宋体"/>
          <w:color w:val="auto"/>
          <w:sz w:val="21"/>
          <w:szCs w:val="21"/>
          <w:highlight w:val="none"/>
          <w:lang w:eastAsia="zh-CN"/>
        </w:rPr>
        <w:t>法定代表人或委托代理人（电子签名）：</w:t>
      </w:r>
      <w:r>
        <w:rPr>
          <w:rFonts w:hint="eastAsia" w:ascii="宋体" w:hAnsi="宋体"/>
          <w:color w:val="auto"/>
          <w:sz w:val="21"/>
          <w:szCs w:val="21"/>
          <w:highlight w:val="none"/>
          <w:u w:val="single"/>
          <w:lang w:eastAsia="zh-CN"/>
        </w:rPr>
        <w:t xml:space="preserve">                      </w:t>
      </w:r>
    </w:p>
    <w:p w14:paraId="631BA17E">
      <w:pPr>
        <w:spacing w:before="60" w:after="60" w:line="480" w:lineRule="auto"/>
        <w:rPr>
          <w:rFonts w:hint="eastAsia" w:ascii="宋体" w:hAnsi="宋体"/>
          <w:color w:val="auto"/>
          <w:sz w:val="21"/>
          <w:szCs w:val="21"/>
          <w:highlight w:val="none"/>
          <w:lang w:eastAsia="zh-CN"/>
        </w:rPr>
        <w:sectPr>
          <w:headerReference r:id="rId10" w:type="default"/>
          <w:pgSz w:w="16838" w:h="11906" w:orient="landscape"/>
          <w:pgMar w:top="1276" w:right="1276" w:bottom="1183" w:left="1418" w:header="709" w:footer="596" w:gutter="0"/>
          <w:pgNumType w:fmt="decimal"/>
          <w:cols w:space="720" w:num="1"/>
          <w:docGrid w:linePitch="299" w:charSpace="0"/>
        </w:sectPr>
      </w:pPr>
      <w:r>
        <w:rPr>
          <w:rFonts w:hint="eastAsia" w:ascii="宋体" w:hAnsi="宋体"/>
          <w:color w:val="auto"/>
          <w:sz w:val="21"/>
          <w:szCs w:val="21"/>
          <w:highlight w:val="none"/>
          <w:lang w:eastAsia="zh-CN"/>
        </w:rPr>
        <w:t xml:space="preserve">日期： </w:t>
      </w:r>
      <w:r>
        <w:rPr>
          <w:rFonts w:hint="eastAsia" w:ascii="宋体" w:hAnsi="宋体"/>
          <w:color w:val="auto"/>
          <w:sz w:val="21"/>
          <w:szCs w:val="21"/>
          <w:highlight w:val="none"/>
          <w:u w:val="single"/>
          <w:lang w:eastAsia="zh-CN"/>
        </w:rPr>
        <w:t xml:space="preserve">      </w:t>
      </w:r>
      <w:r>
        <w:rPr>
          <w:rFonts w:hint="eastAsia" w:ascii="宋体" w:hAnsi="宋体"/>
          <w:color w:val="auto"/>
          <w:sz w:val="21"/>
          <w:szCs w:val="21"/>
          <w:highlight w:val="none"/>
          <w:lang w:eastAsia="zh-CN"/>
        </w:rPr>
        <w:t>年</w:t>
      </w:r>
      <w:r>
        <w:rPr>
          <w:rFonts w:hint="eastAsia" w:ascii="宋体" w:hAnsi="宋体"/>
          <w:color w:val="auto"/>
          <w:sz w:val="21"/>
          <w:szCs w:val="21"/>
          <w:highlight w:val="none"/>
          <w:u w:val="single"/>
          <w:lang w:eastAsia="zh-CN"/>
        </w:rPr>
        <w:t xml:space="preserve">      </w:t>
      </w:r>
      <w:r>
        <w:rPr>
          <w:rFonts w:hint="eastAsia" w:ascii="宋体" w:hAnsi="宋体"/>
          <w:color w:val="auto"/>
          <w:sz w:val="21"/>
          <w:szCs w:val="21"/>
          <w:highlight w:val="none"/>
          <w:lang w:eastAsia="zh-CN"/>
        </w:rPr>
        <w:t>月</w:t>
      </w:r>
      <w:r>
        <w:rPr>
          <w:rFonts w:hint="eastAsia" w:ascii="宋体" w:hAnsi="宋体"/>
          <w:color w:val="auto"/>
          <w:sz w:val="21"/>
          <w:szCs w:val="21"/>
          <w:highlight w:val="none"/>
          <w:u w:val="single"/>
          <w:lang w:eastAsia="zh-CN"/>
        </w:rPr>
        <w:t xml:space="preserve">      </w:t>
      </w:r>
      <w:r>
        <w:rPr>
          <w:rFonts w:hint="eastAsia" w:ascii="宋体" w:hAnsi="宋体"/>
          <w:color w:val="auto"/>
          <w:sz w:val="21"/>
          <w:szCs w:val="21"/>
          <w:highlight w:val="none"/>
          <w:lang w:eastAsia="zh-CN"/>
        </w:rPr>
        <w:t>日</w:t>
      </w:r>
    </w:p>
    <w:bookmarkEnd w:id="469"/>
    <w:bookmarkEnd w:id="470"/>
    <w:p w14:paraId="1038C3EC">
      <w:pPr>
        <w:spacing w:line="360" w:lineRule="auto"/>
        <w:jc w:val="center"/>
        <w:rPr>
          <w:rFonts w:hint="eastAsia" w:ascii="宋体" w:hAnsi="宋体"/>
          <w:b/>
          <w:bCs/>
          <w:color w:val="auto"/>
          <w:sz w:val="30"/>
        </w:rPr>
      </w:pPr>
    </w:p>
    <w:p w14:paraId="734B5F92">
      <w:pPr>
        <w:spacing w:line="360" w:lineRule="auto"/>
        <w:jc w:val="center"/>
        <w:rPr>
          <w:rFonts w:hint="eastAsia" w:ascii="宋体" w:hAnsi="宋体"/>
          <w:b/>
          <w:bCs/>
          <w:color w:val="auto"/>
          <w:sz w:val="30"/>
        </w:rPr>
      </w:pPr>
    </w:p>
    <w:p w14:paraId="2D9E5C9A">
      <w:pPr>
        <w:spacing w:line="360" w:lineRule="auto"/>
        <w:jc w:val="center"/>
        <w:rPr>
          <w:rFonts w:hint="eastAsia" w:ascii="宋体" w:hAnsi="宋体"/>
          <w:b/>
          <w:bCs/>
          <w:color w:val="auto"/>
          <w:sz w:val="30"/>
        </w:rPr>
      </w:pPr>
    </w:p>
    <w:p w14:paraId="2F533D76">
      <w:pPr>
        <w:spacing w:line="360" w:lineRule="auto"/>
        <w:jc w:val="center"/>
        <w:rPr>
          <w:rFonts w:hint="eastAsia" w:ascii="宋体" w:hAnsi="宋体"/>
          <w:b/>
          <w:bCs/>
          <w:color w:val="auto"/>
          <w:sz w:val="30"/>
        </w:rPr>
      </w:pPr>
    </w:p>
    <w:p w14:paraId="2769B694">
      <w:pPr>
        <w:spacing w:line="360" w:lineRule="auto"/>
        <w:jc w:val="center"/>
        <w:rPr>
          <w:rFonts w:hint="eastAsia" w:ascii="宋体" w:hAnsi="宋体"/>
          <w:b/>
          <w:bCs/>
          <w:color w:val="auto"/>
          <w:sz w:val="30"/>
        </w:rPr>
      </w:pPr>
    </w:p>
    <w:p w14:paraId="1D8E1606">
      <w:pPr>
        <w:spacing w:line="360" w:lineRule="auto"/>
        <w:jc w:val="center"/>
        <w:rPr>
          <w:rFonts w:hint="eastAsia" w:ascii="宋体" w:hAnsi="宋体"/>
          <w:b/>
          <w:bCs/>
          <w:color w:val="auto"/>
          <w:sz w:val="30"/>
        </w:rPr>
      </w:pPr>
    </w:p>
    <w:p w14:paraId="6EEF97E1">
      <w:pPr>
        <w:pStyle w:val="40"/>
        <w:rPr>
          <w:rFonts w:hint="eastAsia" w:ascii="黑体" w:hAnsi="黑体" w:eastAsia="黑体"/>
          <w:color w:val="auto"/>
          <w:sz w:val="44"/>
          <w:szCs w:val="44"/>
        </w:rPr>
      </w:pPr>
      <w:bookmarkStart w:id="471" w:name="_Toc6465"/>
      <w:r>
        <w:rPr>
          <w:rFonts w:hint="eastAsia" w:ascii="黑体" w:hAnsi="黑体" w:eastAsia="黑体"/>
          <w:color w:val="auto"/>
          <w:sz w:val="44"/>
          <w:szCs w:val="44"/>
          <w:lang w:val="en-US" w:eastAsia="zh-CN"/>
        </w:rPr>
        <w:t>二、</w:t>
      </w:r>
      <w:r>
        <w:rPr>
          <w:rFonts w:hint="eastAsia" w:ascii="黑体" w:hAnsi="黑体" w:eastAsia="黑体"/>
          <w:color w:val="auto"/>
          <w:sz w:val="44"/>
          <w:szCs w:val="44"/>
        </w:rPr>
        <w:t>资格审查部分</w:t>
      </w:r>
      <w:bookmarkEnd w:id="471"/>
    </w:p>
    <w:p w14:paraId="78A27950">
      <w:pPr>
        <w:spacing w:line="360" w:lineRule="auto"/>
        <w:rPr>
          <w:color w:val="auto"/>
          <w:sz w:val="40"/>
          <w:szCs w:val="40"/>
        </w:rPr>
      </w:pPr>
      <w:r>
        <w:rPr>
          <w:color w:val="auto"/>
          <w:sz w:val="40"/>
          <w:szCs w:val="40"/>
        </w:rPr>
        <w:br w:type="page"/>
      </w:r>
    </w:p>
    <w:p w14:paraId="5EE3B121">
      <w:pPr>
        <w:pStyle w:val="134"/>
        <w:spacing w:before="240" w:after="0"/>
        <w:jc w:val="left"/>
        <w:rPr>
          <w:rFonts w:hint="eastAsia" w:ascii="宋体" w:hAnsi="宋体"/>
          <w:color w:val="auto"/>
          <w:sz w:val="24"/>
          <w:szCs w:val="24"/>
        </w:rPr>
      </w:pPr>
      <w:bookmarkStart w:id="472" w:name="_Toc113985031"/>
      <w:bookmarkEnd w:id="472"/>
      <w:bookmarkStart w:id="473" w:name="_Toc11235"/>
      <w:bookmarkStart w:id="474" w:name="_Toc30294"/>
      <w:bookmarkStart w:id="475" w:name="_Toc9370"/>
      <w:bookmarkStart w:id="476" w:name="_Toc28781"/>
      <w:r>
        <w:rPr>
          <w:rFonts w:hint="eastAsia" w:ascii="宋体" w:hAnsi="宋体"/>
          <w:color w:val="auto"/>
          <w:sz w:val="24"/>
          <w:szCs w:val="24"/>
          <w:lang w:eastAsia="zh-CN"/>
        </w:rPr>
        <w:t>（</w:t>
      </w:r>
      <w:r>
        <w:rPr>
          <w:rFonts w:hint="eastAsia" w:ascii="宋体" w:hAnsi="宋体"/>
          <w:color w:val="auto"/>
          <w:sz w:val="24"/>
          <w:szCs w:val="24"/>
          <w:lang w:val="en-US" w:eastAsia="zh-CN"/>
        </w:rPr>
        <w:t>一</w:t>
      </w:r>
      <w:r>
        <w:rPr>
          <w:rFonts w:hint="eastAsia" w:ascii="宋体" w:hAnsi="宋体"/>
          <w:color w:val="auto"/>
          <w:sz w:val="24"/>
          <w:szCs w:val="24"/>
          <w:lang w:eastAsia="zh-CN"/>
        </w:rPr>
        <w:t>）</w:t>
      </w:r>
      <w:r>
        <w:rPr>
          <w:rFonts w:hint="eastAsia" w:ascii="宋体" w:hAnsi="宋体"/>
          <w:color w:val="auto"/>
          <w:sz w:val="24"/>
          <w:szCs w:val="24"/>
        </w:rPr>
        <w:t>具有独立承担民事责任的能力</w:t>
      </w:r>
      <w:bookmarkEnd w:id="473"/>
      <w:bookmarkEnd w:id="474"/>
    </w:p>
    <w:p w14:paraId="17770AC4">
      <w:pPr>
        <w:spacing w:line="360" w:lineRule="auto"/>
        <w:ind w:firstLine="424" w:firstLineChars="202"/>
        <w:rPr>
          <w:b/>
          <w:color w:val="auto"/>
          <w:sz w:val="21"/>
          <w:szCs w:val="21"/>
          <w:lang w:eastAsia="zh-CN"/>
        </w:rPr>
      </w:pPr>
      <w:bookmarkStart w:id="477" w:name="_Toc113985044"/>
      <w:bookmarkEnd w:id="477"/>
      <w:bookmarkStart w:id="478" w:name="_Toc13632"/>
      <w:r>
        <w:rPr>
          <w:rFonts w:hint="eastAsia"/>
          <w:color w:val="auto"/>
          <w:sz w:val="21"/>
          <w:szCs w:val="21"/>
          <w:lang w:eastAsia="zh-CN"/>
        </w:rPr>
        <w:t>提供有效的营业执照或事业单位法人证书或其他类似的法定证明文件</w:t>
      </w:r>
      <w:r>
        <w:rPr>
          <w:rFonts w:hint="eastAsia"/>
          <w:b/>
          <w:color w:val="auto"/>
          <w:sz w:val="21"/>
          <w:szCs w:val="21"/>
          <w:lang w:eastAsia="zh-CN"/>
        </w:rPr>
        <w:t>（扫描件加盖</w:t>
      </w:r>
      <w:r>
        <w:rPr>
          <w:rFonts w:hint="eastAsia"/>
          <w:b/>
          <w:color w:val="auto"/>
          <w:sz w:val="21"/>
          <w:szCs w:val="21"/>
          <w:lang w:val="en-US" w:eastAsia="zh-CN"/>
        </w:rPr>
        <w:t>电子</w:t>
      </w:r>
      <w:r>
        <w:rPr>
          <w:rFonts w:hint="eastAsia"/>
          <w:b/>
          <w:color w:val="auto"/>
          <w:sz w:val="21"/>
          <w:szCs w:val="21"/>
          <w:lang w:eastAsia="zh-CN"/>
        </w:rPr>
        <w:t>公章）</w:t>
      </w:r>
      <w:r>
        <w:rPr>
          <w:b/>
          <w:color w:val="auto"/>
          <w:sz w:val="21"/>
          <w:szCs w:val="21"/>
          <w:lang w:eastAsia="zh-CN"/>
        </w:rPr>
        <w:t>。</w:t>
      </w:r>
    </w:p>
    <w:p w14:paraId="7EA1E804">
      <w:pPr>
        <w:pStyle w:val="134"/>
        <w:spacing w:before="240" w:after="0"/>
        <w:jc w:val="left"/>
        <w:rPr>
          <w:rFonts w:hint="eastAsia" w:ascii="宋体" w:hAnsi="宋体"/>
          <w:color w:val="auto"/>
          <w:sz w:val="24"/>
          <w:szCs w:val="24"/>
        </w:rPr>
      </w:pPr>
      <w:bookmarkStart w:id="479" w:name="_Toc31500"/>
      <w:r>
        <w:rPr>
          <w:rFonts w:hint="eastAsia" w:ascii="宋体" w:hAnsi="宋体"/>
          <w:color w:val="auto"/>
          <w:sz w:val="24"/>
          <w:szCs w:val="24"/>
          <w:lang w:eastAsia="zh-CN"/>
        </w:rPr>
        <w:t>（</w:t>
      </w:r>
      <w:r>
        <w:rPr>
          <w:rFonts w:hint="eastAsia" w:ascii="宋体" w:hAnsi="宋体"/>
          <w:color w:val="auto"/>
          <w:sz w:val="24"/>
          <w:szCs w:val="24"/>
          <w:lang w:val="en-US" w:eastAsia="zh-CN"/>
        </w:rPr>
        <w:t>二</w:t>
      </w:r>
      <w:r>
        <w:rPr>
          <w:rFonts w:hint="eastAsia" w:ascii="宋体" w:hAnsi="宋体"/>
          <w:color w:val="auto"/>
          <w:sz w:val="24"/>
          <w:szCs w:val="24"/>
          <w:lang w:eastAsia="zh-CN"/>
        </w:rPr>
        <w:t>）</w:t>
      </w:r>
      <w:r>
        <w:rPr>
          <w:rFonts w:hint="eastAsia" w:ascii="宋体" w:hAnsi="宋体"/>
          <w:color w:val="auto"/>
          <w:sz w:val="24"/>
          <w:szCs w:val="24"/>
        </w:rPr>
        <w:t>具有良好的商业信誉和健全的财务会计制度</w:t>
      </w:r>
      <w:bookmarkEnd w:id="478"/>
      <w:bookmarkEnd w:id="479"/>
    </w:p>
    <w:p w14:paraId="27B226BE">
      <w:pPr>
        <w:spacing w:line="360" w:lineRule="auto"/>
        <w:ind w:firstLine="424" w:firstLineChars="202"/>
        <w:rPr>
          <w:rFonts w:hint="eastAsia" w:ascii="宋体" w:hAnsi="宋体"/>
          <w:bCs/>
          <w:color w:val="auto"/>
          <w:sz w:val="21"/>
          <w:szCs w:val="21"/>
          <w:lang w:eastAsia="zh-CN"/>
        </w:rPr>
      </w:pPr>
      <w:bookmarkStart w:id="480" w:name="_Toc113985045"/>
      <w:bookmarkEnd w:id="480"/>
      <w:bookmarkStart w:id="481" w:name="_Toc17275"/>
      <w:r>
        <w:rPr>
          <w:rFonts w:hint="eastAsia" w:ascii="宋体" w:hAnsi="宋体"/>
          <w:bCs/>
          <w:color w:val="auto"/>
          <w:sz w:val="21"/>
          <w:szCs w:val="21"/>
          <w:lang w:eastAsia="zh-CN"/>
        </w:rPr>
        <w:t>投标人满足下列任一条件：</w:t>
      </w:r>
    </w:p>
    <w:p w14:paraId="2EAA8AAE">
      <w:pPr>
        <w:spacing w:line="360" w:lineRule="auto"/>
        <w:ind w:firstLine="424" w:firstLineChars="202"/>
        <w:rPr>
          <w:rFonts w:hint="eastAsia" w:ascii="宋体" w:hAnsi="宋体"/>
          <w:bCs/>
          <w:color w:val="auto"/>
          <w:sz w:val="21"/>
          <w:szCs w:val="21"/>
          <w:lang w:eastAsia="zh-CN"/>
        </w:rPr>
      </w:pPr>
      <w:r>
        <w:rPr>
          <w:rFonts w:hint="eastAsia" w:ascii="宋体" w:hAnsi="宋体"/>
          <w:bCs/>
          <w:color w:val="auto"/>
          <w:sz w:val="21"/>
          <w:szCs w:val="21"/>
          <w:lang w:eastAsia="zh-CN"/>
        </w:rPr>
        <w:t>①提供2024年或2025年任意一年度经审计的财务报表及审计报告（成立时间不足1年的，可提供成立至今财务报表；财务报表须包括资产负债表、利润表、现金流量表）；</w:t>
      </w:r>
    </w:p>
    <w:p w14:paraId="7A8270D2">
      <w:pPr>
        <w:spacing w:line="360" w:lineRule="auto"/>
        <w:ind w:firstLine="424" w:firstLineChars="202"/>
        <w:rPr>
          <w:rFonts w:hint="eastAsia" w:ascii="宋体" w:hAnsi="宋体"/>
          <w:bCs/>
          <w:color w:val="auto"/>
          <w:sz w:val="21"/>
          <w:szCs w:val="21"/>
          <w:lang w:eastAsia="zh-CN"/>
        </w:rPr>
      </w:pPr>
      <w:r>
        <w:rPr>
          <w:rFonts w:hint="eastAsia" w:ascii="宋体" w:hAnsi="宋体"/>
          <w:bCs/>
          <w:color w:val="auto"/>
          <w:sz w:val="21"/>
          <w:szCs w:val="21"/>
          <w:lang w:eastAsia="zh-CN"/>
        </w:rPr>
        <w:t>②自投标文件提交截止时间前三个月内基本开户银行出具的资信证明文件；</w:t>
      </w:r>
    </w:p>
    <w:p w14:paraId="37AE2963">
      <w:pPr>
        <w:spacing w:line="360" w:lineRule="auto"/>
        <w:ind w:firstLine="424" w:firstLineChars="202"/>
        <w:rPr>
          <w:rFonts w:hint="eastAsia" w:ascii="宋体" w:hAnsi="宋体"/>
          <w:bCs/>
          <w:color w:val="auto"/>
          <w:sz w:val="21"/>
          <w:szCs w:val="21"/>
          <w:lang w:eastAsia="zh-CN"/>
        </w:rPr>
      </w:pPr>
      <w:r>
        <w:rPr>
          <w:rFonts w:hint="eastAsia" w:ascii="宋体" w:hAnsi="宋体"/>
          <w:bCs/>
          <w:color w:val="auto"/>
          <w:sz w:val="21"/>
          <w:szCs w:val="21"/>
          <w:lang w:eastAsia="zh-CN"/>
        </w:rPr>
        <w:t>③非营利性单位或者社会团体或者其他事业单位以符合财务会计制度为准或者提供承诺函；</w:t>
      </w:r>
    </w:p>
    <w:p w14:paraId="507873AF">
      <w:pPr>
        <w:spacing w:line="360" w:lineRule="auto"/>
        <w:ind w:firstLine="424" w:firstLineChars="202"/>
        <w:rPr>
          <w:b/>
          <w:color w:val="auto"/>
          <w:sz w:val="21"/>
          <w:szCs w:val="21"/>
          <w:lang w:eastAsia="zh-CN"/>
        </w:rPr>
      </w:pPr>
      <w:r>
        <w:rPr>
          <w:rFonts w:hint="eastAsia" w:ascii="宋体" w:hAnsi="宋体"/>
          <w:bCs/>
          <w:color w:val="auto"/>
          <w:sz w:val="21"/>
          <w:szCs w:val="21"/>
          <w:lang w:eastAsia="zh-CN"/>
        </w:rPr>
        <w:t>④财政部门认可的政府采购专业担保机构出具的投标担保函（需同时提供专业担保机构经财政部门认可的证明文件）；</w:t>
      </w:r>
      <w:r>
        <w:rPr>
          <w:rFonts w:hint="eastAsia" w:ascii="宋体" w:hAnsi="宋体"/>
          <w:b/>
          <w:color w:val="auto"/>
          <w:sz w:val="21"/>
          <w:szCs w:val="21"/>
          <w:lang w:eastAsia="zh-CN"/>
        </w:rPr>
        <w:t>（扫描件加盖</w:t>
      </w:r>
      <w:r>
        <w:rPr>
          <w:rFonts w:hint="eastAsia"/>
          <w:b/>
          <w:color w:val="auto"/>
          <w:sz w:val="21"/>
          <w:szCs w:val="21"/>
          <w:lang w:val="en-US" w:eastAsia="zh-CN"/>
        </w:rPr>
        <w:t>电子</w:t>
      </w:r>
      <w:r>
        <w:rPr>
          <w:rFonts w:hint="eastAsia" w:ascii="宋体" w:hAnsi="宋体"/>
          <w:b/>
          <w:color w:val="auto"/>
          <w:sz w:val="21"/>
          <w:szCs w:val="21"/>
          <w:lang w:eastAsia="zh-CN"/>
        </w:rPr>
        <w:t>公章）</w:t>
      </w:r>
      <w:r>
        <w:rPr>
          <w:rFonts w:hint="eastAsia" w:ascii="宋体" w:hAnsi="宋体"/>
          <w:color w:val="auto"/>
          <w:sz w:val="21"/>
          <w:szCs w:val="21"/>
          <w:lang w:eastAsia="zh-CN"/>
        </w:rPr>
        <w:t>。</w:t>
      </w:r>
    </w:p>
    <w:p w14:paraId="27D9F996">
      <w:pPr>
        <w:pStyle w:val="134"/>
        <w:spacing w:before="240" w:after="0"/>
        <w:jc w:val="left"/>
        <w:rPr>
          <w:rFonts w:hint="eastAsia" w:ascii="宋体" w:hAnsi="宋体"/>
          <w:color w:val="auto"/>
          <w:sz w:val="24"/>
          <w:szCs w:val="24"/>
        </w:rPr>
      </w:pPr>
      <w:bookmarkStart w:id="482" w:name="_Toc18448"/>
      <w:r>
        <w:rPr>
          <w:rFonts w:hint="eastAsia" w:ascii="宋体" w:hAnsi="宋体"/>
          <w:color w:val="auto"/>
          <w:sz w:val="24"/>
          <w:szCs w:val="24"/>
          <w:lang w:eastAsia="zh-CN"/>
        </w:rPr>
        <w:t>（</w:t>
      </w:r>
      <w:r>
        <w:rPr>
          <w:rFonts w:hint="eastAsia" w:ascii="宋体" w:hAnsi="宋体"/>
          <w:color w:val="auto"/>
          <w:sz w:val="24"/>
          <w:szCs w:val="24"/>
          <w:lang w:val="en-US" w:eastAsia="zh-CN"/>
        </w:rPr>
        <w:t>三</w:t>
      </w:r>
      <w:r>
        <w:rPr>
          <w:rFonts w:hint="eastAsia" w:ascii="宋体" w:hAnsi="宋体"/>
          <w:color w:val="auto"/>
          <w:sz w:val="24"/>
          <w:szCs w:val="24"/>
          <w:lang w:eastAsia="zh-CN"/>
        </w:rPr>
        <w:t>）</w:t>
      </w:r>
      <w:r>
        <w:rPr>
          <w:rFonts w:hint="eastAsia" w:ascii="宋体" w:hAnsi="宋体"/>
          <w:color w:val="auto"/>
          <w:sz w:val="24"/>
          <w:szCs w:val="24"/>
        </w:rPr>
        <w:t>具有履行合同所必需的设备和专业技术能力</w:t>
      </w:r>
      <w:bookmarkEnd w:id="481"/>
      <w:bookmarkEnd w:id="482"/>
    </w:p>
    <w:p w14:paraId="0FAF8665">
      <w:pPr>
        <w:spacing w:line="360" w:lineRule="auto"/>
        <w:ind w:firstLine="567" w:firstLineChars="270"/>
        <w:jc w:val="left"/>
        <w:rPr>
          <w:color w:val="auto"/>
        </w:rPr>
      </w:pPr>
      <w:r>
        <w:rPr>
          <w:rFonts w:hint="eastAsia"/>
          <w:color w:val="auto"/>
        </w:rPr>
        <w:t>提供相关声明函或证明材料（</w:t>
      </w:r>
      <w:r>
        <w:rPr>
          <w:rFonts w:hint="eastAsia"/>
          <w:b/>
          <w:color w:val="auto"/>
        </w:rPr>
        <w:t>格式自拟，加盖电子公章</w:t>
      </w:r>
      <w:r>
        <w:rPr>
          <w:rFonts w:hint="eastAsia"/>
          <w:color w:val="auto"/>
        </w:rPr>
        <w:t>）；</w:t>
      </w:r>
    </w:p>
    <w:p w14:paraId="58206B58">
      <w:pPr>
        <w:pStyle w:val="134"/>
        <w:spacing w:before="240" w:after="0"/>
        <w:jc w:val="left"/>
        <w:rPr>
          <w:rFonts w:hint="eastAsia" w:ascii="宋体" w:hAnsi="宋体"/>
          <w:color w:val="auto"/>
          <w:sz w:val="24"/>
          <w:szCs w:val="24"/>
        </w:rPr>
      </w:pPr>
      <w:bookmarkStart w:id="483" w:name="_Toc113985046"/>
      <w:bookmarkEnd w:id="483"/>
      <w:bookmarkStart w:id="484" w:name="_Toc631"/>
      <w:bookmarkStart w:id="485" w:name="_Toc28181"/>
      <w:r>
        <w:rPr>
          <w:rFonts w:hint="eastAsia" w:ascii="宋体" w:hAnsi="宋体"/>
          <w:color w:val="auto"/>
          <w:sz w:val="24"/>
          <w:szCs w:val="24"/>
          <w:lang w:eastAsia="zh-CN"/>
        </w:rPr>
        <w:t>（</w:t>
      </w:r>
      <w:r>
        <w:rPr>
          <w:rFonts w:hint="eastAsia" w:ascii="宋体" w:hAnsi="宋体"/>
          <w:color w:val="auto"/>
          <w:sz w:val="24"/>
          <w:szCs w:val="24"/>
          <w:lang w:val="en-US" w:eastAsia="zh-CN"/>
        </w:rPr>
        <w:t>四</w:t>
      </w:r>
      <w:r>
        <w:rPr>
          <w:rFonts w:hint="eastAsia" w:ascii="宋体" w:hAnsi="宋体"/>
          <w:color w:val="auto"/>
          <w:sz w:val="24"/>
          <w:szCs w:val="24"/>
          <w:lang w:eastAsia="zh-CN"/>
        </w:rPr>
        <w:t>）</w:t>
      </w:r>
      <w:r>
        <w:rPr>
          <w:rFonts w:hint="eastAsia" w:ascii="宋体" w:hAnsi="宋体"/>
          <w:color w:val="auto"/>
          <w:sz w:val="24"/>
          <w:szCs w:val="24"/>
        </w:rPr>
        <w:t>有依法缴纳税收和社会保障资金的良好记录</w:t>
      </w:r>
      <w:bookmarkEnd w:id="484"/>
      <w:bookmarkEnd w:id="485"/>
    </w:p>
    <w:p w14:paraId="1CF736C2">
      <w:pPr>
        <w:spacing w:line="360" w:lineRule="auto"/>
        <w:ind w:firstLine="424" w:firstLineChars="202"/>
        <w:rPr>
          <w:color w:val="auto"/>
          <w:sz w:val="21"/>
          <w:szCs w:val="21"/>
          <w:lang w:eastAsia="zh-CN"/>
        </w:rPr>
      </w:pPr>
      <w:r>
        <w:rPr>
          <w:rFonts w:hint="eastAsia" w:ascii="宋体" w:hAnsi="宋体"/>
          <w:b w:val="0"/>
          <w:bCs/>
          <w:color w:val="auto"/>
          <w:sz w:val="21"/>
          <w:szCs w:val="21"/>
          <w:lang w:eastAsia="zh-CN"/>
        </w:rPr>
        <w:t>提供202</w:t>
      </w:r>
      <w:r>
        <w:rPr>
          <w:rFonts w:hint="eastAsia" w:ascii="宋体" w:hAnsi="宋体"/>
          <w:b w:val="0"/>
          <w:bCs/>
          <w:color w:val="auto"/>
          <w:sz w:val="21"/>
          <w:szCs w:val="21"/>
          <w:lang w:val="en-US" w:eastAsia="zh-CN"/>
        </w:rPr>
        <w:t>6</w:t>
      </w:r>
      <w:r>
        <w:rPr>
          <w:rFonts w:hint="eastAsia" w:ascii="宋体" w:hAnsi="宋体"/>
          <w:b w:val="0"/>
          <w:bCs/>
          <w:color w:val="auto"/>
          <w:sz w:val="21"/>
          <w:szCs w:val="21"/>
          <w:lang w:eastAsia="zh-CN"/>
        </w:rPr>
        <w:t>年1月至今投标人任意</w:t>
      </w:r>
      <w:r>
        <w:rPr>
          <w:rFonts w:hint="eastAsia" w:ascii="宋体" w:hAnsi="宋体"/>
          <w:b w:val="0"/>
          <w:bCs/>
          <w:color w:val="auto"/>
          <w:sz w:val="21"/>
          <w:szCs w:val="21"/>
          <w:lang w:val="en-US" w:eastAsia="zh-CN"/>
        </w:rPr>
        <w:t>1</w:t>
      </w:r>
      <w:r>
        <w:rPr>
          <w:rFonts w:hint="eastAsia" w:ascii="宋体" w:hAnsi="宋体"/>
          <w:b w:val="0"/>
          <w:bCs/>
          <w:color w:val="auto"/>
          <w:sz w:val="21"/>
          <w:szCs w:val="21"/>
          <w:lang w:eastAsia="zh-CN"/>
        </w:rPr>
        <w:t>个月的税收缴纳凭证或其他证明材料；提供202</w:t>
      </w:r>
      <w:r>
        <w:rPr>
          <w:rFonts w:hint="eastAsia" w:ascii="宋体" w:hAnsi="宋体"/>
          <w:b w:val="0"/>
          <w:bCs/>
          <w:color w:val="auto"/>
          <w:sz w:val="21"/>
          <w:szCs w:val="21"/>
          <w:lang w:val="en-US" w:eastAsia="zh-CN"/>
        </w:rPr>
        <w:t>6</w:t>
      </w:r>
      <w:r>
        <w:rPr>
          <w:rFonts w:hint="eastAsia" w:ascii="宋体" w:hAnsi="宋体"/>
          <w:b w:val="0"/>
          <w:bCs/>
          <w:color w:val="auto"/>
          <w:sz w:val="21"/>
          <w:szCs w:val="21"/>
          <w:lang w:eastAsia="zh-CN"/>
        </w:rPr>
        <w:t>年1月至今投标人任意</w:t>
      </w:r>
      <w:r>
        <w:rPr>
          <w:rFonts w:hint="eastAsia" w:ascii="宋体" w:hAnsi="宋体"/>
          <w:b w:val="0"/>
          <w:bCs/>
          <w:color w:val="auto"/>
          <w:sz w:val="21"/>
          <w:szCs w:val="21"/>
          <w:lang w:val="en-US" w:eastAsia="zh-CN"/>
        </w:rPr>
        <w:t>1</w:t>
      </w:r>
      <w:r>
        <w:rPr>
          <w:rFonts w:hint="eastAsia" w:ascii="宋体" w:hAnsi="宋体"/>
          <w:b w:val="0"/>
          <w:bCs/>
          <w:color w:val="auto"/>
          <w:sz w:val="21"/>
          <w:szCs w:val="21"/>
          <w:lang w:eastAsia="zh-CN"/>
        </w:rPr>
        <w:t>个月的社会保险缴纳凭证或其他证明材料；若成立时间不足</w:t>
      </w:r>
      <w:r>
        <w:rPr>
          <w:rFonts w:hint="eastAsia" w:ascii="宋体" w:hAnsi="宋体"/>
          <w:b w:val="0"/>
          <w:bCs/>
          <w:color w:val="auto"/>
          <w:sz w:val="21"/>
          <w:szCs w:val="21"/>
          <w:lang w:val="en-US" w:eastAsia="zh-CN"/>
        </w:rPr>
        <w:t>1</w:t>
      </w:r>
      <w:r>
        <w:rPr>
          <w:rFonts w:hint="eastAsia" w:ascii="宋体" w:hAnsi="宋体"/>
          <w:b w:val="0"/>
          <w:bCs/>
          <w:color w:val="auto"/>
          <w:sz w:val="21"/>
          <w:szCs w:val="21"/>
          <w:lang w:eastAsia="zh-CN"/>
        </w:rPr>
        <w:t>个月的，提供成立以来的税收和社保资金缴纳凭证或其他证明材料；依法免税或不需要缴纳社会保障资金的投标人，提供相应证明文件。</w:t>
      </w:r>
      <w:r>
        <w:rPr>
          <w:rFonts w:hint="eastAsia" w:ascii="宋体" w:hAnsi="宋体"/>
          <w:b/>
          <w:color w:val="auto"/>
          <w:sz w:val="21"/>
          <w:szCs w:val="21"/>
          <w:lang w:eastAsia="zh-CN"/>
        </w:rPr>
        <w:t>（扫描件</w:t>
      </w:r>
      <w:r>
        <w:rPr>
          <w:rFonts w:hint="eastAsia"/>
          <w:b/>
          <w:color w:val="auto"/>
          <w:sz w:val="21"/>
          <w:szCs w:val="21"/>
          <w:lang w:eastAsia="zh-CN"/>
        </w:rPr>
        <w:t>加盖</w:t>
      </w:r>
      <w:r>
        <w:rPr>
          <w:rFonts w:hint="eastAsia"/>
          <w:b/>
          <w:color w:val="auto"/>
          <w:sz w:val="21"/>
          <w:szCs w:val="21"/>
          <w:lang w:val="en-US" w:eastAsia="zh-CN"/>
        </w:rPr>
        <w:t>电子</w:t>
      </w:r>
      <w:r>
        <w:rPr>
          <w:rFonts w:hint="eastAsia"/>
          <w:b/>
          <w:color w:val="auto"/>
          <w:sz w:val="21"/>
          <w:szCs w:val="21"/>
          <w:lang w:eastAsia="zh-CN"/>
        </w:rPr>
        <w:t>公章</w:t>
      </w:r>
      <w:r>
        <w:rPr>
          <w:rFonts w:hint="eastAsia" w:ascii="宋体" w:hAnsi="宋体"/>
          <w:b/>
          <w:color w:val="auto"/>
          <w:sz w:val="21"/>
          <w:szCs w:val="21"/>
          <w:lang w:eastAsia="zh-CN"/>
        </w:rPr>
        <w:t>）</w:t>
      </w:r>
      <w:r>
        <w:rPr>
          <w:rFonts w:hint="eastAsia" w:ascii="宋体" w:hAnsi="宋体"/>
          <w:color w:val="auto"/>
          <w:sz w:val="21"/>
          <w:szCs w:val="21"/>
          <w:lang w:eastAsia="zh-CN"/>
        </w:rPr>
        <w:t>。</w:t>
      </w:r>
    </w:p>
    <w:p w14:paraId="0394CDEB">
      <w:pPr>
        <w:pStyle w:val="134"/>
        <w:spacing w:before="240" w:after="0"/>
        <w:jc w:val="left"/>
        <w:rPr>
          <w:rFonts w:hint="eastAsia" w:ascii="宋体" w:hAnsi="宋体"/>
          <w:color w:val="auto"/>
          <w:sz w:val="24"/>
          <w:szCs w:val="24"/>
        </w:rPr>
      </w:pPr>
      <w:bookmarkStart w:id="486" w:name="_Toc113985047"/>
      <w:bookmarkEnd w:id="486"/>
      <w:bookmarkStart w:id="487" w:name="_Toc3036"/>
      <w:bookmarkStart w:id="488" w:name="_Toc15391"/>
      <w:r>
        <w:rPr>
          <w:rFonts w:hint="eastAsia" w:ascii="宋体" w:hAnsi="宋体"/>
          <w:color w:val="auto"/>
          <w:sz w:val="24"/>
          <w:szCs w:val="24"/>
          <w:lang w:eastAsia="zh-CN"/>
        </w:rPr>
        <w:t>（</w:t>
      </w:r>
      <w:r>
        <w:rPr>
          <w:rFonts w:hint="eastAsia" w:ascii="宋体" w:hAnsi="宋体"/>
          <w:color w:val="auto"/>
          <w:sz w:val="24"/>
          <w:szCs w:val="24"/>
          <w:lang w:val="en-US" w:eastAsia="zh-CN"/>
        </w:rPr>
        <w:t>五</w:t>
      </w:r>
      <w:r>
        <w:rPr>
          <w:rFonts w:hint="eastAsia" w:ascii="宋体" w:hAnsi="宋体"/>
          <w:color w:val="auto"/>
          <w:sz w:val="24"/>
          <w:szCs w:val="24"/>
          <w:lang w:eastAsia="zh-CN"/>
        </w:rPr>
        <w:t>）</w:t>
      </w:r>
      <w:r>
        <w:rPr>
          <w:rFonts w:hint="eastAsia" w:ascii="宋体" w:hAnsi="宋体"/>
          <w:color w:val="auto"/>
          <w:sz w:val="24"/>
          <w:szCs w:val="24"/>
        </w:rPr>
        <w:t>参加本次采购活动前三年内，在经营活动中没有重大违法记录</w:t>
      </w:r>
      <w:bookmarkEnd w:id="487"/>
      <w:bookmarkEnd w:id="488"/>
    </w:p>
    <w:p w14:paraId="0F5A15DE">
      <w:pPr>
        <w:spacing w:line="360" w:lineRule="auto"/>
        <w:ind w:firstLine="424" w:firstLineChars="202"/>
        <w:rPr>
          <w:color w:val="auto"/>
          <w:sz w:val="21"/>
          <w:szCs w:val="21"/>
          <w:lang w:eastAsia="zh-CN"/>
        </w:rPr>
      </w:pPr>
      <w:bookmarkStart w:id="489" w:name="_Toc16755"/>
      <w:r>
        <w:rPr>
          <w:rFonts w:hint="eastAsia" w:ascii="宋体" w:hAnsi="宋体"/>
          <w:bCs/>
          <w:color w:val="auto"/>
          <w:sz w:val="21"/>
          <w:szCs w:val="21"/>
          <w:lang w:eastAsia="zh-CN"/>
        </w:rPr>
        <w:t>提供书面声明（重大违法记录是指供应商因违法经营受到刑事处罚或者责令停产停业、吊销许可证或者执照、较大数额罚款等行政处罚）</w:t>
      </w:r>
      <w:r>
        <w:rPr>
          <w:rFonts w:hint="eastAsia" w:ascii="宋体" w:hAnsi="宋体"/>
          <w:b/>
          <w:color w:val="auto"/>
          <w:sz w:val="21"/>
          <w:szCs w:val="21"/>
          <w:lang w:eastAsia="zh-CN"/>
        </w:rPr>
        <w:t>（</w:t>
      </w:r>
      <w:r>
        <w:rPr>
          <w:rFonts w:hint="eastAsia"/>
          <w:b/>
          <w:color w:val="auto"/>
          <w:sz w:val="21"/>
          <w:szCs w:val="21"/>
          <w:lang w:eastAsia="zh-CN"/>
        </w:rPr>
        <w:t>加盖</w:t>
      </w:r>
      <w:r>
        <w:rPr>
          <w:rFonts w:hint="eastAsia"/>
          <w:b/>
          <w:color w:val="auto"/>
          <w:sz w:val="21"/>
          <w:szCs w:val="21"/>
          <w:lang w:val="en-US" w:eastAsia="zh-CN"/>
        </w:rPr>
        <w:t>电子</w:t>
      </w:r>
      <w:r>
        <w:rPr>
          <w:rFonts w:hint="eastAsia"/>
          <w:b/>
          <w:color w:val="auto"/>
          <w:sz w:val="21"/>
          <w:szCs w:val="21"/>
          <w:lang w:eastAsia="zh-CN"/>
        </w:rPr>
        <w:t>公章</w:t>
      </w:r>
      <w:r>
        <w:rPr>
          <w:rFonts w:hint="eastAsia" w:ascii="宋体" w:hAnsi="宋体"/>
          <w:b/>
          <w:color w:val="auto"/>
          <w:sz w:val="21"/>
          <w:szCs w:val="21"/>
          <w:lang w:eastAsia="zh-CN"/>
        </w:rPr>
        <w:t>）</w:t>
      </w:r>
      <w:r>
        <w:rPr>
          <w:rFonts w:hint="eastAsia" w:ascii="宋体" w:hAnsi="宋体"/>
          <w:bCs/>
          <w:color w:val="auto"/>
          <w:sz w:val="21"/>
          <w:szCs w:val="21"/>
          <w:lang w:eastAsia="zh-CN"/>
        </w:rPr>
        <w:t>。</w:t>
      </w:r>
    </w:p>
    <w:p w14:paraId="263FEF4B">
      <w:pPr>
        <w:pStyle w:val="134"/>
        <w:spacing w:before="240" w:after="0"/>
        <w:jc w:val="left"/>
        <w:rPr>
          <w:rFonts w:hint="eastAsia" w:ascii="宋体" w:hAnsi="宋体"/>
          <w:color w:val="auto"/>
          <w:sz w:val="24"/>
          <w:szCs w:val="24"/>
        </w:rPr>
      </w:pPr>
      <w:bookmarkStart w:id="490" w:name="_Toc11524"/>
      <w:r>
        <w:rPr>
          <w:rFonts w:hint="eastAsia" w:ascii="宋体" w:hAnsi="宋体"/>
          <w:color w:val="auto"/>
          <w:sz w:val="24"/>
          <w:szCs w:val="24"/>
          <w:lang w:eastAsia="zh-CN"/>
        </w:rPr>
        <w:t>（</w:t>
      </w:r>
      <w:r>
        <w:rPr>
          <w:rFonts w:hint="eastAsia" w:ascii="宋体" w:hAnsi="宋体"/>
          <w:color w:val="auto"/>
          <w:sz w:val="24"/>
          <w:szCs w:val="24"/>
          <w:lang w:val="en-US" w:eastAsia="zh-CN"/>
        </w:rPr>
        <w:t>六</w:t>
      </w:r>
      <w:r>
        <w:rPr>
          <w:rFonts w:hint="eastAsia" w:ascii="宋体" w:hAnsi="宋体"/>
          <w:color w:val="auto"/>
          <w:sz w:val="24"/>
          <w:szCs w:val="24"/>
          <w:lang w:eastAsia="zh-CN"/>
        </w:rPr>
        <w:t>）</w:t>
      </w:r>
      <w:r>
        <w:rPr>
          <w:rFonts w:hint="eastAsia" w:ascii="宋体" w:hAnsi="宋体"/>
          <w:color w:val="auto"/>
          <w:sz w:val="24"/>
          <w:szCs w:val="24"/>
        </w:rPr>
        <w:t>特定资格要求</w:t>
      </w:r>
      <w:bookmarkEnd w:id="489"/>
      <w:bookmarkEnd w:id="490"/>
    </w:p>
    <w:p w14:paraId="016FCC09">
      <w:pPr>
        <w:spacing w:line="360" w:lineRule="auto"/>
        <w:ind w:firstLine="567" w:firstLineChars="270"/>
        <w:rPr>
          <w:color w:val="auto"/>
        </w:rPr>
      </w:pPr>
      <w:r>
        <w:rPr>
          <w:rFonts w:hint="eastAsia"/>
          <w:color w:val="auto"/>
        </w:rPr>
        <w:t>（1）未被列入“信用中国”网站（www.creditchina.gov.cn）失信被执行人、</w:t>
      </w:r>
      <w:r>
        <w:rPr>
          <w:rFonts w:hint="eastAsia"/>
          <w:color w:val="auto"/>
          <w:lang w:eastAsia="zh-CN"/>
        </w:rPr>
        <w:t>重大税收违法案件当事人名单</w:t>
      </w:r>
      <w:r>
        <w:rPr>
          <w:rFonts w:hint="eastAsia"/>
          <w:color w:val="auto"/>
        </w:rPr>
        <w:t>、政府采购严重违法失信行为记录名单及中国政府采购网（www.ccgp.gov.cn）“政府采购严重违法失信行为信息记录”。以开标当天工作人员对上述信用信息进行查询核对的结果为准。投标人存在不良信用记录的，不得参与政府采购活动。</w:t>
      </w:r>
    </w:p>
    <w:p w14:paraId="256D167C">
      <w:pPr>
        <w:spacing w:line="360" w:lineRule="auto"/>
        <w:ind w:firstLine="567" w:firstLineChars="270"/>
        <w:rPr>
          <w:color w:val="auto"/>
        </w:rPr>
      </w:pPr>
      <w:r>
        <w:rPr>
          <w:rFonts w:hint="eastAsia"/>
          <w:color w:val="auto"/>
        </w:rPr>
        <w:t>（2）单位负责人为同一人或者存在直接控股、管理关系的不同供应商，不得参加同一合同项下的政府采购活动。为采购项目提供整体设计、规范编制或者项目管理、监理、检测等服务的供应商，不得再参加该采购项目的其他采购活动。提供承诺书，格式自拟</w:t>
      </w:r>
      <w:r>
        <w:rPr>
          <w:rFonts w:hint="eastAsia"/>
          <w:b/>
          <w:bCs/>
          <w:color w:val="auto"/>
        </w:rPr>
        <w:t>（加盖电子公章）。</w:t>
      </w:r>
    </w:p>
    <w:p w14:paraId="3F5AFE27">
      <w:pPr>
        <w:bidi w:val="0"/>
        <w:rPr>
          <w:rFonts w:hint="eastAsia"/>
          <w:color w:val="auto"/>
          <w:lang w:val="en-US" w:eastAsia="zh-CN"/>
        </w:rPr>
      </w:pPr>
      <w:bookmarkStart w:id="491" w:name="_Toc113985049"/>
      <w:bookmarkEnd w:id="491"/>
      <w:bookmarkStart w:id="492" w:name="_Toc286"/>
      <w:bookmarkStart w:id="493" w:name="_Toc31958"/>
      <w:r>
        <w:rPr>
          <w:rFonts w:hint="eastAsia"/>
          <w:color w:val="auto"/>
          <w:lang w:val="en-US" w:eastAsia="zh-CN"/>
        </w:rPr>
        <w:t>（3）其他要求</w:t>
      </w:r>
      <w:bookmarkEnd w:id="492"/>
      <w:bookmarkEnd w:id="493"/>
      <w:r>
        <w:rPr>
          <w:rFonts w:hint="eastAsia"/>
          <w:color w:val="auto"/>
          <w:lang w:val="en-US" w:eastAsia="zh-CN"/>
        </w:rPr>
        <w:t>：谈判文件要求或投标人认为需要提供的其他材料（格式自拟）</w:t>
      </w:r>
      <w:r>
        <w:rPr>
          <w:rFonts w:hint="eastAsia" w:ascii="Times New Roman" w:hAnsi="Times New Roman" w:eastAsia="宋体" w:cs="Times New Roman"/>
          <w:color w:val="auto"/>
          <w:kern w:val="2"/>
          <w:sz w:val="21"/>
          <w:szCs w:val="24"/>
          <w:lang w:val="en-US" w:eastAsia="zh-CN" w:bidi="ar-SA"/>
        </w:rPr>
        <w:t>。</w:t>
      </w:r>
    </w:p>
    <w:p w14:paraId="128550F0">
      <w:pPr>
        <w:rPr>
          <w:rFonts w:hint="eastAsia" w:ascii="宋体" w:hAnsi="宋体"/>
          <w:color w:val="auto"/>
          <w:highlight w:val="none"/>
        </w:rPr>
      </w:pPr>
    </w:p>
    <w:p w14:paraId="3B7F5533">
      <w:pPr>
        <w:rPr>
          <w:rFonts w:hint="eastAsia" w:ascii="宋体" w:hAnsi="宋体"/>
          <w:color w:val="auto"/>
          <w:highlight w:val="none"/>
        </w:rPr>
      </w:pPr>
      <w:r>
        <w:rPr>
          <w:rFonts w:hint="eastAsia" w:ascii="宋体" w:hAnsi="宋体"/>
          <w:color w:val="auto"/>
          <w:highlight w:val="none"/>
        </w:rPr>
        <w:br w:type="page"/>
      </w:r>
    </w:p>
    <w:bookmarkEnd w:id="475"/>
    <w:bookmarkEnd w:id="476"/>
    <w:p w14:paraId="6695C313">
      <w:pPr>
        <w:widowControl/>
        <w:jc w:val="center"/>
        <w:rPr>
          <w:color w:val="auto"/>
          <w:kern w:val="0"/>
        </w:rPr>
      </w:pPr>
    </w:p>
    <w:p w14:paraId="1A698DF1">
      <w:pPr>
        <w:widowControl/>
        <w:jc w:val="center"/>
        <w:rPr>
          <w:color w:val="auto"/>
          <w:kern w:val="0"/>
        </w:rPr>
      </w:pPr>
    </w:p>
    <w:p w14:paraId="5E770874">
      <w:pPr>
        <w:widowControl/>
        <w:jc w:val="center"/>
        <w:rPr>
          <w:color w:val="auto"/>
          <w:kern w:val="0"/>
        </w:rPr>
      </w:pPr>
    </w:p>
    <w:p w14:paraId="178C22EF">
      <w:pPr>
        <w:widowControl/>
        <w:jc w:val="center"/>
        <w:rPr>
          <w:color w:val="auto"/>
          <w:kern w:val="0"/>
        </w:rPr>
      </w:pPr>
    </w:p>
    <w:p w14:paraId="7624E7AA">
      <w:pPr>
        <w:widowControl/>
        <w:jc w:val="center"/>
        <w:rPr>
          <w:color w:val="auto"/>
          <w:kern w:val="0"/>
        </w:rPr>
      </w:pPr>
    </w:p>
    <w:p w14:paraId="00D8517C">
      <w:pPr>
        <w:widowControl/>
        <w:jc w:val="center"/>
        <w:rPr>
          <w:color w:val="auto"/>
          <w:kern w:val="0"/>
        </w:rPr>
      </w:pPr>
    </w:p>
    <w:p w14:paraId="05BAA4BE">
      <w:pPr>
        <w:widowControl/>
        <w:jc w:val="center"/>
        <w:rPr>
          <w:color w:val="auto"/>
          <w:kern w:val="0"/>
        </w:rPr>
      </w:pPr>
    </w:p>
    <w:p w14:paraId="644EC452">
      <w:pPr>
        <w:widowControl/>
        <w:jc w:val="center"/>
        <w:rPr>
          <w:color w:val="auto"/>
          <w:kern w:val="0"/>
        </w:rPr>
      </w:pPr>
    </w:p>
    <w:p w14:paraId="3CCE6513">
      <w:pPr>
        <w:widowControl/>
        <w:jc w:val="center"/>
        <w:rPr>
          <w:color w:val="auto"/>
          <w:kern w:val="0"/>
        </w:rPr>
      </w:pPr>
    </w:p>
    <w:p w14:paraId="550857FA">
      <w:pPr>
        <w:widowControl/>
        <w:jc w:val="center"/>
        <w:rPr>
          <w:color w:val="auto"/>
          <w:kern w:val="0"/>
        </w:rPr>
      </w:pPr>
    </w:p>
    <w:p w14:paraId="3C23F600">
      <w:pPr>
        <w:widowControl/>
        <w:jc w:val="center"/>
        <w:rPr>
          <w:color w:val="auto"/>
          <w:kern w:val="0"/>
        </w:rPr>
      </w:pPr>
    </w:p>
    <w:p w14:paraId="4AA13238">
      <w:pPr>
        <w:widowControl/>
        <w:jc w:val="center"/>
        <w:rPr>
          <w:color w:val="auto"/>
          <w:kern w:val="0"/>
        </w:rPr>
      </w:pPr>
    </w:p>
    <w:p w14:paraId="25106E7B">
      <w:pPr>
        <w:widowControl/>
        <w:jc w:val="center"/>
        <w:rPr>
          <w:color w:val="auto"/>
          <w:kern w:val="0"/>
        </w:rPr>
      </w:pPr>
    </w:p>
    <w:p w14:paraId="026B19E3">
      <w:pPr>
        <w:widowControl/>
        <w:jc w:val="center"/>
        <w:rPr>
          <w:color w:val="auto"/>
          <w:kern w:val="0"/>
        </w:rPr>
      </w:pPr>
    </w:p>
    <w:p w14:paraId="61CCCB97">
      <w:pPr>
        <w:widowControl/>
        <w:jc w:val="center"/>
        <w:rPr>
          <w:color w:val="auto"/>
          <w:kern w:val="0"/>
        </w:rPr>
      </w:pPr>
    </w:p>
    <w:p w14:paraId="08AB4D8E">
      <w:pPr>
        <w:widowControl/>
        <w:jc w:val="left"/>
        <w:rPr>
          <w:color w:val="auto"/>
        </w:rPr>
      </w:pPr>
    </w:p>
    <w:p w14:paraId="2ECB0812">
      <w:pPr>
        <w:pStyle w:val="40"/>
        <w:rPr>
          <w:rFonts w:hint="eastAsia" w:ascii="黑体" w:hAnsi="黑体" w:eastAsia="黑体"/>
          <w:color w:val="auto"/>
          <w:sz w:val="44"/>
          <w:szCs w:val="44"/>
        </w:rPr>
      </w:pPr>
      <w:bookmarkStart w:id="494" w:name="_Toc23399"/>
      <w:bookmarkStart w:id="495" w:name="_Toc14186"/>
      <w:r>
        <w:rPr>
          <w:rFonts w:hint="eastAsia" w:ascii="黑体" w:hAnsi="黑体" w:eastAsia="黑体"/>
          <w:color w:val="auto"/>
          <w:sz w:val="44"/>
          <w:szCs w:val="44"/>
          <w:lang w:val="en-US" w:eastAsia="zh-CN"/>
        </w:rPr>
        <w:t>三、</w:t>
      </w:r>
      <w:r>
        <w:rPr>
          <w:rFonts w:hint="eastAsia" w:ascii="黑体" w:hAnsi="黑体" w:eastAsia="黑体"/>
          <w:color w:val="auto"/>
          <w:sz w:val="44"/>
          <w:szCs w:val="44"/>
        </w:rPr>
        <w:t>商务</w:t>
      </w:r>
      <w:r>
        <w:rPr>
          <w:rFonts w:ascii="黑体" w:hAnsi="黑体" w:eastAsia="黑体"/>
          <w:color w:val="auto"/>
          <w:sz w:val="44"/>
          <w:szCs w:val="44"/>
        </w:rPr>
        <w:t>部分</w:t>
      </w:r>
      <w:bookmarkEnd w:id="494"/>
      <w:bookmarkEnd w:id="495"/>
    </w:p>
    <w:p w14:paraId="2CF163E0">
      <w:pPr>
        <w:rPr>
          <w:rFonts w:hint="eastAsia" w:ascii="宋体" w:hAnsi="宋体"/>
          <w:color w:val="auto"/>
          <w:highlight w:val="none"/>
        </w:rPr>
      </w:pPr>
      <w:bookmarkStart w:id="496" w:name="_Toc389644558"/>
      <w:bookmarkStart w:id="497" w:name="_Toc113985051"/>
      <w:bookmarkStart w:id="498" w:name="_Toc450064607"/>
      <w:r>
        <w:rPr>
          <w:rFonts w:hint="eastAsia" w:ascii="宋体" w:hAnsi="宋体"/>
          <w:color w:val="auto"/>
          <w:highlight w:val="none"/>
        </w:rPr>
        <w:br w:type="page"/>
      </w:r>
    </w:p>
    <w:p w14:paraId="56C1F0BF">
      <w:pPr>
        <w:pStyle w:val="134"/>
        <w:spacing w:before="240"/>
        <w:jc w:val="center"/>
        <w:rPr>
          <w:rFonts w:hint="eastAsia" w:ascii="宋体" w:hAnsi="宋体"/>
          <w:color w:val="auto"/>
        </w:rPr>
      </w:pPr>
      <w:bookmarkStart w:id="499" w:name="_Toc389644551"/>
      <w:bookmarkEnd w:id="499"/>
      <w:bookmarkStart w:id="500" w:name="_Toc450064600"/>
      <w:bookmarkEnd w:id="500"/>
      <w:bookmarkStart w:id="501" w:name="_Toc113985032"/>
      <w:bookmarkEnd w:id="501"/>
      <w:bookmarkStart w:id="502" w:name="_Toc24157"/>
      <w:bookmarkStart w:id="503" w:name="_Toc7398"/>
      <w:r>
        <w:rPr>
          <w:rFonts w:hint="eastAsia" w:ascii="宋体" w:hAnsi="宋体"/>
          <w:color w:val="auto"/>
          <w:lang w:val="en-US" w:eastAsia="zh-CN"/>
        </w:rPr>
        <w:t>（一）</w:t>
      </w:r>
      <w:r>
        <w:rPr>
          <w:rFonts w:hint="eastAsia" w:ascii="宋体" w:hAnsi="宋体"/>
          <w:color w:val="auto"/>
        </w:rPr>
        <w:t>法定代表人身份证明书</w:t>
      </w:r>
      <w:bookmarkEnd w:id="502"/>
      <w:bookmarkEnd w:id="503"/>
    </w:p>
    <w:p w14:paraId="0094D67B">
      <w:pPr>
        <w:jc w:val="center"/>
        <w:rPr>
          <w:rFonts w:hint="eastAsia" w:ascii="宋体" w:hAnsi="宋体"/>
          <w:b/>
          <w:color w:val="auto"/>
          <w:sz w:val="36"/>
        </w:rPr>
      </w:pPr>
    </w:p>
    <w:p w14:paraId="340975A6">
      <w:pPr>
        <w:rPr>
          <w:rFonts w:hint="eastAsia" w:ascii="宋体" w:hAnsi="宋体"/>
          <w:b/>
          <w:color w:val="auto"/>
        </w:rPr>
      </w:pPr>
    </w:p>
    <w:p w14:paraId="444E082B">
      <w:pPr>
        <w:spacing w:line="360" w:lineRule="auto"/>
        <w:ind w:firstLine="612"/>
        <w:rPr>
          <w:rFonts w:hint="eastAsia" w:ascii="宋体" w:hAnsi="宋体"/>
          <w:color w:val="auto"/>
          <w:szCs w:val="21"/>
        </w:rPr>
      </w:pPr>
      <w:r>
        <w:rPr>
          <w:rFonts w:hint="eastAsia" w:ascii="宋体" w:hAnsi="宋体"/>
          <w:color w:val="auto"/>
          <w:szCs w:val="21"/>
        </w:rPr>
        <w:t>单位名称：</w:t>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 xml:space="preserve">    </w:t>
      </w:r>
      <w:r>
        <w:rPr>
          <w:rFonts w:hint="eastAsia" w:ascii="宋体" w:hAnsi="宋体"/>
          <w:color w:val="auto"/>
          <w:szCs w:val="21"/>
          <w:u w:val="single"/>
        </w:rPr>
        <w:tab/>
      </w:r>
      <w:r>
        <w:rPr>
          <w:rFonts w:hint="eastAsia" w:ascii="宋体" w:hAnsi="宋体"/>
          <w:color w:val="auto"/>
          <w:szCs w:val="21"/>
          <w:u w:val="single"/>
        </w:rPr>
        <w:tab/>
      </w:r>
    </w:p>
    <w:p w14:paraId="75FD8855">
      <w:pPr>
        <w:spacing w:line="360" w:lineRule="auto"/>
        <w:ind w:firstLine="610"/>
        <w:rPr>
          <w:rFonts w:hint="eastAsia" w:ascii="宋体" w:hAnsi="宋体"/>
          <w:color w:val="auto"/>
          <w:szCs w:val="21"/>
        </w:rPr>
      </w:pPr>
      <w:r>
        <w:rPr>
          <w:rFonts w:hint="eastAsia" w:ascii="宋体" w:hAnsi="宋体"/>
          <w:color w:val="auto"/>
          <w:szCs w:val="21"/>
        </w:rPr>
        <w:t>单位性质：</w:t>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 xml:space="preserve">     </w:t>
      </w:r>
      <w:r>
        <w:rPr>
          <w:rFonts w:hint="eastAsia" w:ascii="宋体" w:hAnsi="宋体"/>
          <w:color w:val="auto"/>
          <w:szCs w:val="21"/>
          <w:u w:val="single"/>
        </w:rPr>
        <w:tab/>
      </w:r>
    </w:p>
    <w:p w14:paraId="77919430">
      <w:pPr>
        <w:spacing w:line="360" w:lineRule="auto"/>
        <w:ind w:firstLine="610"/>
        <w:rPr>
          <w:rFonts w:hint="eastAsia" w:ascii="宋体" w:hAnsi="宋体"/>
          <w:color w:val="auto"/>
          <w:szCs w:val="21"/>
        </w:rPr>
      </w:pPr>
      <w:r>
        <w:rPr>
          <w:rFonts w:hint="eastAsia" w:ascii="宋体" w:hAnsi="宋体"/>
          <w:color w:val="auto"/>
          <w:szCs w:val="21"/>
        </w:rPr>
        <w:t>地</w:t>
      </w:r>
      <w:r>
        <w:rPr>
          <w:rFonts w:ascii="宋体" w:hAnsi="宋体"/>
          <w:color w:val="auto"/>
          <w:szCs w:val="21"/>
        </w:rPr>
        <w:t xml:space="preserve">    址：</w:t>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 xml:space="preserve">  </w:t>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 xml:space="preserve">       </w:t>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 xml:space="preserve">    </w:t>
      </w:r>
      <w:r>
        <w:rPr>
          <w:rFonts w:hint="eastAsia" w:ascii="宋体" w:hAnsi="宋体"/>
          <w:color w:val="auto"/>
          <w:szCs w:val="21"/>
          <w:u w:val="single"/>
        </w:rPr>
        <w:tab/>
      </w:r>
    </w:p>
    <w:p w14:paraId="6C54BC1D">
      <w:pPr>
        <w:spacing w:line="360" w:lineRule="auto"/>
        <w:ind w:firstLine="610"/>
        <w:rPr>
          <w:rFonts w:hint="eastAsia" w:ascii="宋体" w:hAnsi="宋体"/>
          <w:color w:val="auto"/>
          <w:szCs w:val="21"/>
        </w:rPr>
      </w:pPr>
      <w:r>
        <w:rPr>
          <w:rFonts w:hint="eastAsia" w:ascii="宋体" w:hAnsi="宋体"/>
          <w:color w:val="auto"/>
          <w:szCs w:val="21"/>
        </w:rPr>
        <w:t>成立时间：</w:t>
      </w:r>
      <w:r>
        <w:rPr>
          <w:rFonts w:ascii="宋体" w:hAnsi="宋体"/>
          <w:color w:val="auto"/>
          <w:szCs w:val="21"/>
          <w:u w:val="single"/>
        </w:rPr>
        <w:t xml:space="preserve">       </w:t>
      </w:r>
      <w:r>
        <w:rPr>
          <w:rFonts w:hint="eastAsia" w:ascii="宋体" w:hAnsi="宋体"/>
          <w:color w:val="auto"/>
          <w:szCs w:val="21"/>
        </w:rPr>
        <w:t>年</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rPr>
        <w:t>月</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rPr>
        <w:t>日</w:t>
      </w:r>
    </w:p>
    <w:p w14:paraId="57EB5E9D">
      <w:pPr>
        <w:spacing w:line="360" w:lineRule="auto"/>
        <w:ind w:firstLine="610"/>
        <w:rPr>
          <w:rFonts w:hint="eastAsia" w:ascii="宋体" w:hAnsi="宋体"/>
          <w:color w:val="auto"/>
          <w:szCs w:val="21"/>
        </w:rPr>
      </w:pPr>
      <w:r>
        <w:rPr>
          <w:rFonts w:hint="eastAsia" w:ascii="宋体" w:hAnsi="宋体"/>
          <w:color w:val="auto"/>
          <w:szCs w:val="21"/>
        </w:rPr>
        <w:t>经营期限：</w:t>
      </w:r>
      <w:r>
        <w:rPr>
          <w:rFonts w:hint="eastAsia" w:ascii="宋体" w:hAnsi="宋体"/>
          <w:color w:val="auto"/>
          <w:szCs w:val="21"/>
          <w:u w:val="single"/>
        </w:rPr>
        <w:tab/>
      </w:r>
      <w:r>
        <w:rPr>
          <w:rFonts w:hint="eastAsia" w:ascii="宋体" w:hAnsi="宋体"/>
          <w:color w:val="auto"/>
          <w:szCs w:val="21"/>
          <w:u w:val="single"/>
        </w:rPr>
        <w:t xml:space="preserve">                                        </w:t>
      </w:r>
    </w:p>
    <w:p w14:paraId="3BE82FD2">
      <w:pPr>
        <w:spacing w:line="360" w:lineRule="auto"/>
        <w:ind w:firstLine="610"/>
        <w:rPr>
          <w:rFonts w:hint="eastAsia" w:ascii="宋体" w:hAnsi="宋体"/>
          <w:color w:val="auto"/>
          <w:szCs w:val="21"/>
        </w:rPr>
      </w:pPr>
      <w:r>
        <w:rPr>
          <w:rFonts w:hint="eastAsia" w:ascii="宋体" w:hAnsi="宋体"/>
          <w:color w:val="auto"/>
          <w:szCs w:val="21"/>
        </w:rPr>
        <w:t>姓</w:t>
      </w:r>
      <w:r>
        <w:rPr>
          <w:rFonts w:ascii="宋体" w:hAnsi="宋体"/>
          <w:color w:val="auto"/>
          <w:szCs w:val="21"/>
        </w:rPr>
        <w:t xml:space="preserve">    名：</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ascii="宋体" w:hAnsi="宋体"/>
          <w:color w:val="auto"/>
          <w:szCs w:val="21"/>
        </w:rPr>
        <w:t xml:space="preserve"> 性别：</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ascii="宋体" w:hAnsi="宋体"/>
          <w:color w:val="auto"/>
          <w:szCs w:val="21"/>
        </w:rPr>
        <w:t>年龄：</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ascii="宋体" w:hAnsi="宋体"/>
          <w:color w:val="auto"/>
          <w:szCs w:val="21"/>
        </w:rPr>
        <w:t xml:space="preserve"> 职务：</w:t>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 xml:space="preserve">   </w:t>
      </w:r>
    </w:p>
    <w:p w14:paraId="7196D6DB">
      <w:pPr>
        <w:spacing w:line="360" w:lineRule="auto"/>
        <w:ind w:firstLine="610"/>
        <w:rPr>
          <w:rFonts w:hint="eastAsia" w:ascii="宋体" w:hAnsi="宋体"/>
          <w:color w:val="auto"/>
          <w:szCs w:val="21"/>
        </w:rPr>
      </w:pPr>
      <w:r>
        <w:rPr>
          <w:rFonts w:hint="eastAsia" w:ascii="宋体" w:hAnsi="宋体"/>
          <w:color w:val="auto"/>
          <w:szCs w:val="21"/>
        </w:rPr>
        <w:t>系</w:t>
      </w:r>
      <w:r>
        <w:rPr>
          <w:rFonts w:ascii="宋体" w:hAnsi="宋体"/>
          <w:color w:val="auto"/>
          <w:szCs w:val="21"/>
          <w:u w:val="single"/>
        </w:rPr>
        <w:t xml:space="preserve">     (投标人</w:t>
      </w:r>
      <w:r>
        <w:rPr>
          <w:rFonts w:hint="eastAsia" w:ascii="宋体" w:hAnsi="宋体"/>
          <w:color w:val="auto"/>
          <w:szCs w:val="21"/>
          <w:u w:val="single"/>
        </w:rPr>
        <w:t>全</w:t>
      </w:r>
      <w:r>
        <w:rPr>
          <w:rFonts w:ascii="宋体" w:hAnsi="宋体"/>
          <w:color w:val="auto"/>
          <w:szCs w:val="21"/>
          <w:u w:val="single"/>
        </w:rPr>
        <w:t xml:space="preserve">称)    </w:t>
      </w:r>
      <w:r>
        <w:rPr>
          <w:rFonts w:hint="eastAsia" w:ascii="宋体" w:hAnsi="宋体"/>
          <w:color w:val="auto"/>
          <w:szCs w:val="21"/>
        </w:rPr>
        <w:t>的法定代表人。</w:t>
      </w:r>
    </w:p>
    <w:p w14:paraId="631F38BA">
      <w:pPr>
        <w:spacing w:line="360" w:lineRule="auto"/>
        <w:ind w:firstLine="610"/>
        <w:rPr>
          <w:rFonts w:hint="eastAsia" w:ascii="宋体" w:hAnsi="宋体"/>
          <w:color w:val="auto"/>
          <w:szCs w:val="21"/>
        </w:rPr>
      </w:pPr>
    </w:p>
    <w:p w14:paraId="4F77CE96">
      <w:pPr>
        <w:spacing w:line="360" w:lineRule="auto"/>
        <w:ind w:firstLine="610"/>
        <w:rPr>
          <w:rFonts w:hint="eastAsia" w:ascii="宋体" w:hAnsi="宋体"/>
          <w:color w:val="auto"/>
          <w:szCs w:val="21"/>
        </w:rPr>
      </w:pPr>
      <w:r>
        <w:rPr>
          <w:rFonts w:hint="eastAsia" w:ascii="宋体" w:hAnsi="宋体"/>
          <w:color w:val="auto"/>
          <w:szCs w:val="21"/>
        </w:rPr>
        <w:t>特此证明。</w:t>
      </w:r>
    </w:p>
    <w:tbl>
      <w:tblPr>
        <w:tblStyle w:val="44"/>
        <w:tblW w:w="0" w:type="auto"/>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108" w:type="dxa"/>
          <w:bottom w:w="0" w:type="dxa"/>
          <w:right w:w="108" w:type="dxa"/>
        </w:tblCellMar>
      </w:tblPr>
      <w:tblGrid>
        <w:gridCol w:w="4846"/>
        <w:gridCol w:w="257"/>
        <w:gridCol w:w="4674"/>
      </w:tblGrid>
      <w:tr w14:paraId="50C2A25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3010" w:hRule="atLeast"/>
          <w:jc w:val="center"/>
        </w:trPr>
        <w:tc>
          <w:tcPr>
            <w:tcW w:w="4846" w:type="dxa"/>
            <w:vAlign w:val="center"/>
          </w:tcPr>
          <w:p w14:paraId="51D3B8D6">
            <w:pPr>
              <w:spacing w:line="460" w:lineRule="exact"/>
              <w:jc w:val="center"/>
              <w:rPr>
                <w:rFonts w:hint="eastAsia" w:ascii="宋体" w:hAnsi="宋体"/>
                <w:color w:val="auto"/>
                <w:szCs w:val="21"/>
              </w:rPr>
            </w:pPr>
            <w:r>
              <w:rPr>
                <w:rFonts w:hint="eastAsia" w:ascii="宋体" w:hAnsi="宋体"/>
                <w:color w:val="auto"/>
                <w:szCs w:val="21"/>
              </w:rPr>
              <w:t>法定代表人身份证复印件</w:t>
            </w:r>
          </w:p>
          <w:p w14:paraId="512BBD35">
            <w:pPr>
              <w:spacing w:line="460" w:lineRule="exact"/>
              <w:jc w:val="center"/>
              <w:rPr>
                <w:rFonts w:hint="eastAsia" w:ascii="宋体" w:hAnsi="宋体"/>
                <w:color w:val="auto"/>
                <w:szCs w:val="21"/>
              </w:rPr>
            </w:pPr>
            <w:r>
              <w:rPr>
                <w:rFonts w:hint="eastAsia" w:ascii="宋体" w:hAnsi="宋体"/>
                <w:color w:val="auto"/>
                <w:szCs w:val="21"/>
              </w:rPr>
              <w:t>或扫描件正面</w:t>
            </w:r>
          </w:p>
        </w:tc>
        <w:tc>
          <w:tcPr>
            <w:tcW w:w="257" w:type="dxa"/>
            <w:tcBorders>
              <w:top w:val="nil"/>
              <w:bottom w:val="nil"/>
            </w:tcBorders>
            <w:vAlign w:val="center"/>
          </w:tcPr>
          <w:p w14:paraId="6229D396">
            <w:pPr>
              <w:widowControl/>
              <w:spacing w:line="460" w:lineRule="exact"/>
              <w:jc w:val="center"/>
              <w:rPr>
                <w:rFonts w:hint="eastAsia" w:ascii="宋体" w:hAnsi="宋体"/>
                <w:color w:val="auto"/>
                <w:szCs w:val="21"/>
              </w:rPr>
            </w:pPr>
          </w:p>
          <w:p w14:paraId="669912CE">
            <w:pPr>
              <w:spacing w:line="460" w:lineRule="exact"/>
              <w:jc w:val="center"/>
              <w:rPr>
                <w:rFonts w:hint="eastAsia" w:ascii="宋体" w:hAnsi="宋体"/>
                <w:color w:val="auto"/>
                <w:szCs w:val="21"/>
              </w:rPr>
            </w:pPr>
          </w:p>
        </w:tc>
        <w:tc>
          <w:tcPr>
            <w:tcW w:w="4674" w:type="dxa"/>
            <w:vAlign w:val="center"/>
          </w:tcPr>
          <w:p w14:paraId="11F4B4EE">
            <w:pPr>
              <w:spacing w:line="460" w:lineRule="exact"/>
              <w:jc w:val="center"/>
              <w:rPr>
                <w:rFonts w:hint="eastAsia" w:ascii="宋体" w:hAnsi="宋体"/>
                <w:color w:val="auto"/>
                <w:szCs w:val="21"/>
              </w:rPr>
            </w:pPr>
            <w:r>
              <w:rPr>
                <w:rFonts w:hint="eastAsia" w:ascii="宋体" w:hAnsi="宋体"/>
                <w:color w:val="auto"/>
                <w:szCs w:val="21"/>
              </w:rPr>
              <w:t>法定代表人身份证复印件</w:t>
            </w:r>
          </w:p>
          <w:p w14:paraId="404522C0">
            <w:pPr>
              <w:spacing w:line="460" w:lineRule="exact"/>
              <w:jc w:val="center"/>
              <w:rPr>
                <w:rFonts w:hint="eastAsia" w:ascii="宋体" w:hAnsi="宋体"/>
                <w:color w:val="auto"/>
                <w:szCs w:val="21"/>
              </w:rPr>
            </w:pPr>
            <w:r>
              <w:rPr>
                <w:rFonts w:hint="eastAsia" w:ascii="宋体" w:hAnsi="宋体"/>
                <w:color w:val="auto"/>
                <w:szCs w:val="21"/>
              </w:rPr>
              <w:t>或扫描件背面</w:t>
            </w:r>
          </w:p>
        </w:tc>
      </w:tr>
    </w:tbl>
    <w:p w14:paraId="64B9A55D">
      <w:pPr>
        <w:tabs>
          <w:tab w:val="left" w:pos="720"/>
          <w:tab w:val="left" w:pos="900"/>
        </w:tabs>
        <w:spacing w:line="360" w:lineRule="auto"/>
        <w:jc w:val="center"/>
        <w:rPr>
          <w:rFonts w:hint="eastAsia" w:ascii="宋体" w:hAnsi="宋体"/>
          <w:color w:val="auto"/>
          <w:szCs w:val="21"/>
        </w:rPr>
      </w:pPr>
    </w:p>
    <w:p w14:paraId="6DCE2C11">
      <w:pPr>
        <w:tabs>
          <w:tab w:val="left" w:pos="720"/>
          <w:tab w:val="left" w:pos="900"/>
        </w:tabs>
        <w:spacing w:line="360" w:lineRule="auto"/>
        <w:jc w:val="center"/>
        <w:rPr>
          <w:rFonts w:hint="eastAsia" w:ascii="宋体" w:hAnsi="宋体"/>
          <w:color w:val="auto"/>
          <w:szCs w:val="21"/>
        </w:rPr>
      </w:pPr>
    </w:p>
    <w:p w14:paraId="41CAAC14">
      <w:pPr>
        <w:tabs>
          <w:tab w:val="left" w:pos="720"/>
          <w:tab w:val="left" w:pos="900"/>
        </w:tabs>
        <w:spacing w:line="360" w:lineRule="auto"/>
        <w:jc w:val="center"/>
        <w:rPr>
          <w:rFonts w:hint="eastAsia" w:ascii="宋体" w:hAnsi="宋体"/>
          <w:color w:val="auto"/>
          <w:szCs w:val="21"/>
        </w:rPr>
      </w:pPr>
    </w:p>
    <w:p w14:paraId="4BD02D10">
      <w:pPr>
        <w:tabs>
          <w:tab w:val="left" w:pos="720"/>
          <w:tab w:val="left" w:pos="900"/>
        </w:tabs>
        <w:spacing w:line="360" w:lineRule="auto"/>
        <w:jc w:val="center"/>
        <w:rPr>
          <w:rFonts w:hint="eastAsia" w:ascii="宋体" w:hAnsi="宋体"/>
          <w:color w:val="auto"/>
          <w:szCs w:val="21"/>
        </w:rPr>
      </w:pPr>
    </w:p>
    <w:p w14:paraId="0C0BDAFC">
      <w:pPr>
        <w:tabs>
          <w:tab w:val="left" w:pos="720"/>
          <w:tab w:val="left" w:pos="900"/>
        </w:tabs>
        <w:spacing w:line="360" w:lineRule="auto"/>
        <w:jc w:val="center"/>
        <w:rPr>
          <w:rFonts w:hint="eastAsia" w:ascii="宋体" w:hAnsi="宋体"/>
          <w:color w:val="auto"/>
          <w:szCs w:val="21"/>
        </w:rPr>
      </w:pPr>
    </w:p>
    <w:p w14:paraId="19677E26">
      <w:pPr>
        <w:spacing w:before="60" w:after="60" w:line="480" w:lineRule="auto"/>
        <w:ind w:firstLine="3261"/>
        <w:rPr>
          <w:rFonts w:hint="eastAsia" w:ascii="宋体" w:hAnsi="宋体"/>
          <w:color w:val="auto"/>
          <w:szCs w:val="21"/>
        </w:rPr>
      </w:pPr>
      <w:r>
        <w:rPr>
          <w:rFonts w:hint="eastAsia" w:ascii="宋体" w:hAnsi="宋体"/>
          <w:color w:val="auto"/>
          <w:szCs w:val="21"/>
        </w:rPr>
        <w:t>投标人(电子签章)：</w:t>
      </w:r>
      <w:r>
        <w:rPr>
          <w:rFonts w:ascii="宋体" w:hAnsi="宋体"/>
          <w:color w:val="auto"/>
          <w:szCs w:val="21"/>
          <w:u w:val="single"/>
        </w:rPr>
        <w:t xml:space="preserve">                             </w:t>
      </w:r>
      <w:r>
        <w:rPr>
          <w:rFonts w:hint="eastAsia" w:ascii="宋体" w:hAnsi="宋体"/>
          <w:color w:val="auto"/>
          <w:szCs w:val="21"/>
        </w:rPr>
        <w:t xml:space="preserve">       </w:t>
      </w:r>
    </w:p>
    <w:p w14:paraId="37D6DD8D">
      <w:pPr>
        <w:tabs>
          <w:tab w:val="left" w:pos="720"/>
          <w:tab w:val="left" w:pos="900"/>
        </w:tabs>
        <w:spacing w:line="360" w:lineRule="auto"/>
        <w:ind w:firstLine="3259" w:firstLineChars="1552"/>
        <w:rPr>
          <w:rFonts w:hint="eastAsia" w:ascii="宋体" w:hAnsi="宋体"/>
          <w:color w:val="auto"/>
          <w:szCs w:val="21"/>
        </w:rPr>
      </w:pPr>
      <w:r>
        <w:rPr>
          <w:rFonts w:hint="eastAsia" w:ascii="宋体" w:hAnsi="宋体"/>
          <w:color w:val="auto"/>
          <w:szCs w:val="21"/>
        </w:rPr>
        <w:t>日</w:t>
      </w:r>
      <w:r>
        <w:rPr>
          <w:rFonts w:ascii="宋体" w:hAnsi="宋体"/>
          <w:color w:val="auto"/>
          <w:szCs w:val="21"/>
        </w:rPr>
        <w:t xml:space="preserve">    期：</w:t>
      </w:r>
      <w:r>
        <w:rPr>
          <w:rFonts w:hint="eastAsia" w:ascii="宋体" w:hAnsi="宋体"/>
          <w:color w:val="auto"/>
          <w:szCs w:val="21"/>
        </w:rPr>
        <w:t xml:space="preserve">      </w:t>
      </w:r>
      <w:r>
        <w:rPr>
          <w:rFonts w:ascii="宋体" w:hAnsi="宋体"/>
          <w:color w:val="auto"/>
          <w:szCs w:val="21"/>
        </w:rPr>
        <w:t>年</w:t>
      </w:r>
      <w:r>
        <w:rPr>
          <w:rFonts w:hint="eastAsia" w:ascii="宋体" w:hAnsi="宋体"/>
          <w:color w:val="auto"/>
          <w:szCs w:val="21"/>
        </w:rPr>
        <w:t xml:space="preserve">    </w:t>
      </w:r>
      <w:r>
        <w:rPr>
          <w:rFonts w:ascii="宋体" w:hAnsi="宋体"/>
          <w:color w:val="auto"/>
          <w:szCs w:val="21"/>
        </w:rPr>
        <w:t>月</w:t>
      </w:r>
      <w:r>
        <w:rPr>
          <w:rFonts w:hint="eastAsia" w:ascii="宋体" w:hAnsi="宋体"/>
          <w:color w:val="auto"/>
          <w:szCs w:val="21"/>
        </w:rPr>
        <w:t xml:space="preserve">    </w:t>
      </w:r>
      <w:r>
        <w:rPr>
          <w:rFonts w:ascii="宋体" w:hAnsi="宋体"/>
          <w:color w:val="auto"/>
          <w:szCs w:val="21"/>
        </w:rPr>
        <w:t>日</w:t>
      </w:r>
    </w:p>
    <w:p w14:paraId="44E7D6F4">
      <w:pPr>
        <w:rPr>
          <w:color w:val="auto"/>
        </w:rPr>
      </w:pPr>
      <w:bookmarkStart w:id="504" w:name="_Toc450064604"/>
      <w:bookmarkStart w:id="505" w:name="_Toc389644555"/>
      <w:bookmarkStart w:id="506" w:name="_Toc78603137"/>
      <w:bookmarkStart w:id="507" w:name="_Toc38173200"/>
      <w:r>
        <w:rPr>
          <w:color w:val="auto"/>
        </w:rPr>
        <w:br w:type="page"/>
      </w:r>
    </w:p>
    <w:bookmarkEnd w:id="504"/>
    <w:bookmarkEnd w:id="505"/>
    <w:bookmarkEnd w:id="506"/>
    <w:bookmarkEnd w:id="507"/>
    <w:p w14:paraId="13C65085">
      <w:pPr>
        <w:pStyle w:val="134"/>
        <w:spacing w:before="240"/>
        <w:jc w:val="center"/>
        <w:rPr>
          <w:rFonts w:hint="eastAsia" w:ascii="宋体" w:hAnsi="宋体"/>
          <w:color w:val="auto"/>
        </w:rPr>
      </w:pPr>
      <w:bookmarkStart w:id="508" w:name="_Toc113985034"/>
      <w:bookmarkEnd w:id="508"/>
      <w:bookmarkStart w:id="509" w:name="_Toc16343"/>
      <w:bookmarkStart w:id="510" w:name="_Toc19098"/>
      <w:r>
        <w:rPr>
          <w:rFonts w:hint="eastAsia" w:ascii="宋体" w:hAnsi="宋体"/>
          <w:color w:val="auto"/>
          <w:lang w:val="en-US" w:eastAsia="zh-CN"/>
        </w:rPr>
        <w:t>（二）</w:t>
      </w:r>
      <w:r>
        <w:rPr>
          <w:rFonts w:hint="eastAsia" w:ascii="宋体" w:hAnsi="宋体"/>
          <w:color w:val="auto"/>
        </w:rPr>
        <w:t>法定代表人授权委托书</w:t>
      </w:r>
      <w:bookmarkEnd w:id="509"/>
      <w:bookmarkEnd w:id="510"/>
    </w:p>
    <w:p w14:paraId="64F207B5">
      <w:pPr>
        <w:spacing w:line="500" w:lineRule="exact"/>
        <w:ind w:firstLine="420"/>
        <w:rPr>
          <w:rFonts w:hint="eastAsia" w:ascii="宋体" w:hAnsi="宋体"/>
          <w:color w:val="auto"/>
          <w:szCs w:val="21"/>
        </w:rPr>
      </w:pPr>
      <w:r>
        <w:rPr>
          <w:rFonts w:hint="eastAsia" w:ascii="宋体" w:hAnsi="宋体"/>
          <w:color w:val="auto"/>
          <w:szCs w:val="21"/>
        </w:rPr>
        <w:t>本授权委托书声明：我</w:t>
      </w:r>
      <w:r>
        <w:rPr>
          <w:rFonts w:hint="eastAsia" w:ascii="宋体" w:hAnsi="宋体"/>
          <w:color w:val="auto"/>
          <w:szCs w:val="21"/>
          <w:u w:val="single"/>
        </w:rPr>
        <w:t xml:space="preserve">        </w:t>
      </w:r>
      <w:r>
        <w:rPr>
          <w:rFonts w:hint="eastAsia" w:ascii="宋体" w:hAnsi="宋体"/>
          <w:color w:val="auto"/>
          <w:szCs w:val="21"/>
        </w:rPr>
        <w:t>(姓名</w:t>
      </w:r>
      <w:r>
        <w:rPr>
          <w:rFonts w:ascii="宋体" w:hAnsi="宋体"/>
          <w:color w:val="auto"/>
          <w:szCs w:val="21"/>
        </w:rPr>
        <w:t>)</w:t>
      </w:r>
      <w:r>
        <w:rPr>
          <w:rFonts w:hint="eastAsia" w:ascii="宋体" w:hAnsi="宋体"/>
          <w:color w:val="auto"/>
          <w:szCs w:val="21"/>
        </w:rPr>
        <w:t>系</w:t>
      </w:r>
      <w:r>
        <w:rPr>
          <w:rFonts w:hint="eastAsia" w:ascii="宋体" w:hAnsi="宋体"/>
          <w:color w:val="auto"/>
          <w:szCs w:val="21"/>
          <w:u w:val="single"/>
        </w:rPr>
        <w:t xml:space="preserve">                       </w:t>
      </w:r>
      <w:r>
        <w:rPr>
          <w:rFonts w:ascii="宋体" w:hAnsi="宋体"/>
          <w:color w:val="auto"/>
          <w:szCs w:val="21"/>
        </w:rPr>
        <w:t>(</w:t>
      </w:r>
      <w:r>
        <w:rPr>
          <w:rFonts w:hint="eastAsia" w:ascii="宋体" w:hAnsi="宋体"/>
          <w:color w:val="auto"/>
          <w:szCs w:val="21"/>
        </w:rPr>
        <w:t>投标人名称</w:t>
      </w:r>
      <w:r>
        <w:rPr>
          <w:rFonts w:ascii="宋体" w:hAnsi="宋体"/>
          <w:color w:val="auto"/>
          <w:szCs w:val="21"/>
        </w:rPr>
        <w:t>)</w:t>
      </w:r>
      <w:r>
        <w:rPr>
          <w:rFonts w:hint="eastAsia" w:ascii="宋体" w:hAnsi="宋体"/>
          <w:color w:val="auto"/>
          <w:szCs w:val="21"/>
        </w:rPr>
        <w:t xml:space="preserve">的法定代表人，现授权委托我单位的 </w:t>
      </w:r>
      <w:r>
        <w:rPr>
          <w:rFonts w:hint="eastAsia" w:ascii="宋体" w:hAnsi="宋体"/>
          <w:color w:val="auto"/>
          <w:szCs w:val="21"/>
          <w:u w:val="single"/>
        </w:rPr>
        <w:t xml:space="preserve">         </w:t>
      </w:r>
      <w:r>
        <w:rPr>
          <w:rFonts w:hint="eastAsia" w:ascii="宋体" w:hAnsi="宋体"/>
          <w:color w:val="auto"/>
          <w:szCs w:val="21"/>
        </w:rPr>
        <w:t>(姓名</w:t>
      </w:r>
      <w:r>
        <w:rPr>
          <w:rFonts w:ascii="宋体" w:hAnsi="宋体"/>
          <w:color w:val="auto"/>
          <w:szCs w:val="21"/>
        </w:rPr>
        <w:t>)</w:t>
      </w:r>
      <w:r>
        <w:rPr>
          <w:rFonts w:hint="eastAsia" w:ascii="宋体" w:hAnsi="宋体"/>
          <w:color w:val="auto"/>
          <w:szCs w:val="21"/>
        </w:rPr>
        <w:t>为我公司代理人，以公司名义参加</w:t>
      </w:r>
      <w:r>
        <w:rPr>
          <w:rFonts w:hint="eastAsia" w:ascii="宋体" w:hAnsi="宋体"/>
          <w:color w:val="auto"/>
          <w:szCs w:val="21"/>
          <w:u w:val="single"/>
        </w:rPr>
        <w:t xml:space="preserve">       </w:t>
      </w:r>
      <w:r>
        <w:rPr>
          <w:rFonts w:hint="eastAsia" w:ascii="宋体" w:hAnsi="宋体"/>
          <w:color w:val="auto"/>
          <w:szCs w:val="21"/>
        </w:rPr>
        <w:t>(项目名称)（招标编号：</w:t>
      </w:r>
      <w:r>
        <w:rPr>
          <w:rFonts w:hint="eastAsia" w:ascii="宋体" w:hAnsi="宋体"/>
          <w:color w:val="auto"/>
          <w:szCs w:val="21"/>
          <w:u w:val="single"/>
        </w:rPr>
        <w:t xml:space="preserve">          </w:t>
      </w:r>
      <w:r>
        <w:rPr>
          <w:rFonts w:hint="eastAsia" w:ascii="宋体" w:hAnsi="宋体"/>
          <w:color w:val="auto"/>
          <w:szCs w:val="21"/>
        </w:rPr>
        <w:t>)的</w:t>
      </w:r>
      <w:r>
        <w:rPr>
          <w:rFonts w:hint="eastAsia" w:ascii="宋体" w:hAnsi="宋体" w:cs="宋体"/>
          <w:color w:val="auto"/>
          <w:szCs w:val="21"/>
        </w:rPr>
        <w:t>竞争性谈判采购</w:t>
      </w:r>
      <w:r>
        <w:rPr>
          <w:rFonts w:hint="eastAsia" w:ascii="宋体" w:hAnsi="宋体"/>
          <w:color w:val="auto"/>
          <w:szCs w:val="21"/>
        </w:rPr>
        <w:t>活动。代理人在开标、评标、合同过程中所签署的一切文件和处理与之有关的一切事务，我均予以承认。</w:t>
      </w:r>
    </w:p>
    <w:p w14:paraId="0ED3D90D">
      <w:pPr>
        <w:spacing w:line="500" w:lineRule="exact"/>
        <w:ind w:firstLine="420"/>
        <w:rPr>
          <w:rFonts w:hint="eastAsia" w:ascii="宋体" w:hAnsi="宋体"/>
          <w:color w:val="auto"/>
          <w:szCs w:val="21"/>
        </w:rPr>
      </w:pPr>
    </w:p>
    <w:p w14:paraId="77C5912A">
      <w:pPr>
        <w:spacing w:before="120" w:line="500" w:lineRule="exact"/>
        <w:rPr>
          <w:rFonts w:hint="eastAsia" w:ascii="宋体" w:hAnsi="宋体"/>
          <w:color w:val="auto"/>
          <w:szCs w:val="21"/>
        </w:rPr>
      </w:pPr>
      <w:r>
        <w:rPr>
          <w:rFonts w:hint="eastAsia" w:ascii="宋体" w:hAnsi="宋体"/>
          <w:color w:val="auto"/>
          <w:szCs w:val="21"/>
        </w:rPr>
        <w:t>代理人(电子签名或签字)：</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ascii="宋体" w:hAnsi="宋体"/>
          <w:color w:val="auto"/>
          <w:szCs w:val="21"/>
        </w:rPr>
        <w:t xml:space="preserve"> </w:t>
      </w:r>
    </w:p>
    <w:p w14:paraId="25AF23A9">
      <w:pPr>
        <w:spacing w:before="120" w:line="500" w:lineRule="exact"/>
        <w:rPr>
          <w:rFonts w:hint="eastAsia" w:ascii="宋体" w:hAnsi="宋体"/>
          <w:color w:val="auto"/>
          <w:szCs w:val="21"/>
        </w:rPr>
      </w:pPr>
      <w:r>
        <w:rPr>
          <w:rFonts w:hint="eastAsia" w:ascii="宋体" w:hAnsi="宋体"/>
          <w:color w:val="auto"/>
          <w:szCs w:val="21"/>
        </w:rPr>
        <w:t>代理人无转委托权，特此委托。</w:t>
      </w:r>
    </w:p>
    <w:p w14:paraId="28466D05">
      <w:pPr>
        <w:spacing w:before="120" w:line="500" w:lineRule="exact"/>
        <w:rPr>
          <w:rFonts w:hint="eastAsia" w:ascii="宋体" w:hAnsi="宋体"/>
          <w:color w:val="auto"/>
          <w:szCs w:val="21"/>
          <w:u w:val="single"/>
        </w:rPr>
      </w:pPr>
      <w:r>
        <w:rPr>
          <w:rFonts w:hint="eastAsia" w:ascii="宋体" w:hAnsi="宋体"/>
          <w:color w:val="auto"/>
          <w:szCs w:val="21"/>
        </w:rPr>
        <w:t>投标人(电子签章)：</w:t>
      </w:r>
      <w:r>
        <w:rPr>
          <w:rFonts w:ascii="宋体" w:hAnsi="宋体"/>
          <w:color w:val="auto"/>
          <w:szCs w:val="21"/>
        </w:rPr>
        <w:t xml:space="preserve"> </w:t>
      </w:r>
      <w:r>
        <w:rPr>
          <w:rFonts w:ascii="宋体" w:hAnsi="宋体"/>
          <w:color w:val="auto"/>
          <w:szCs w:val="21"/>
          <w:u w:val="single"/>
        </w:rPr>
        <w:t xml:space="preserve">                         </w:t>
      </w:r>
    </w:p>
    <w:p w14:paraId="7B7889DA">
      <w:pPr>
        <w:pStyle w:val="139"/>
        <w:spacing w:line="500" w:lineRule="exact"/>
        <w:rPr>
          <w:rFonts w:hint="eastAsia" w:ascii="宋体" w:hAnsi="宋体"/>
          <w:color w:val="auto"/>
          <w:sz w:val="21"/>
          <w:szCs w:val="21"/>
        </w:rPr>
      </w:pPr>
      <w:r>
        <w:rPr>
          <w:rFonts w:hint="eastAsia" w:ascii="宋体" w:hAnsi="宋体"/>
          <w:color w:val="auto"/>
          <w:sz w:val="21"/>
          <w:szCs w:val="21"/>
        </w:rPr>
        <w:t>法定代表人(电子签名或签字)：</w:t>
      </w:r>
      <w:r>
        <w:rPr>
          <w:rFonts w:hint="eastAsia" w:ascii="宋体" w:hAnsi="宋体"/>
          <w:color w:val="auto"/>
          <w:sz w:val="21"/>
          <w:szCs w:val="21"/>
          <w:u w:val="single"/>
        </w:rPr>
        <w:t xml:space="preserve"> </w:t>
      </w:r>
      <w:r>
        <w:rPr>
          <w:rFonts w:ascii="宋体" w:hAnsi="宋体"/>
          <w:color w:val="auto"/>
          <w:sz w:val="21"/>
          <w:szCs w:val="21"/>
          <w:u w:val="single"/>
        </w:rPr>
        <w:t xml:space="preserve">               </w:t>
      </w:r>
      <w:r>
        <w:rPr>
          <w:rFonts w:hint="eastAsia" w:ascii="宋体" w:hAnsi="宋体"/>
          <w:color w:val="auto"/>
          <w:sz w:val="21"/>
          <w:szCs w:val="21"/>
        </w:rPr>
        <w:t xml:space="preserve"> </w:t>
      </w:r>
    </w:p>
    <w:p w14:paraId="67E304FF">
      <w:pPr>
        <w:spacing w:before="120" w:line="500" w:lineRule="exact"/>
        <w:rPr>
          <w:rFonts w:hint="eastAsia"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0DB1AB10">
      <w:pPr>
        <w:spacing w:before="120" w:line="500" w:lineRule="exact"/>
        <w:rPr>
          <w:rFonts w:hint="eastAsia" w:ascii="宋体" w:hAnsi="宋体"/>
          <w:color w:val="auto"/>
          <w:sz w:val="24"/>
        </w:rPr>
      </w:pPr>
    </w:p>
    <w:tbl>
      <w:tblPr>
        <w:tblStyle w:val="44"/>
        <w:tblW w:w="0" w:type="auto"/>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108" w:type="dxa"/>
          <w:bottom w:w="0" w:type="dxa"/>
          <w:right w:w="108" w:type="dxa"/>
        </w:tblCellMar>
      </w:tblPr>
      <w:tblGrid>
        <w:gridCol w:w="4846"/>
        <w:gridCol w:w="257"/>
        <w:gridCol w:w="4674"/>
      </w:tblGrid>
      <w:tr w14:paraId="467DA05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3010" w:hRule="atLeast"/>
          <w:jc w:val="center"/>
        </w:trPr>
        <w:tc>
          <w:tcPr>
            <w:tcW w:w="4846" w:type="dxa"/>
            <w:vAlign w:val="center"/>
          </w:tcPr>
          <w:p w14:paraId="5D458C97">
            <w:pPr>
              <w:spacing w:line="460" w:lineRule="exact"/>
              <w:jc w:val="center"/>
              <w:rPr>
                <w:rFonts w:hint="eastAsia" w:ascii="宋体" w:hAnsi="宋体"/>
                <w:color w:val="auto"/>
                <w:szCs w:val="21"/>
              </w:rPr>
            </w:pPr>
            <w:r>
              <w:rPr>
                <w:rFonts w:hint="eastAsia" w:ascii="宋体" w:hAnsi="宋体"/>
                <w:color w:val="auto"/>
                <w:szCs w:val="21"/>
              </w:rPr>
              <w:t>代理人身份证复印件或扫描件正面</w:t>
            </w:r>
          </w:p>
        </w:tc>
        <w:tc>
          <w:tcPr>
            <w:tcW w:w="257" w:type="dxa"/>
            <w:tcBorders>
              <w:top w:val="nil"/>
              <w:bottom w:val="nil"/>
            </w:tcBorders>
            <w:vAlign w:val="center"/>
          </w:tcPr>
          <w:p w14:paraId="11D6FEFA">
            <w:pPr>
              <w:widowControl/>
              <w:spacing w:line="460" w:lineRule="exact"/>
              <w:jc w:val="center"/>
              <w:rPr>
                <w:rFonts w:hint="eastAsia" w:ascii="宋体" w:hAnsi="宋体"/>
                <w:color w:val="auto"/>
                <w:szCs w:val="21"/>
              </w:rPr>
            </w:pPr>
          </w:p>
          <w:p w14:paraId="2D8E5E58">
            <w:pPr>
              <w:spacing w:line="460" w:lineRule="exact"/>
              <w:jc w:val="center"/>
              <w:rPr>
                <w:rFonts w:hint="eastAsia" w:ascii="宋体" w:hAnsi="宋体"/>
                <w:color w:val="auto"/>
                <w:szCs w:val="21"/>
              </w:rPr>
            </w:pPr>
          </w:p>
        </w:tc>
        <w:tc>
          <w:tcPr>
            <w:tcW w:w="4674" w:type="dxa"/>
            <w:vAlign w:val="center"/>
          </w:tcPr>
          <w:p w14:paraId="273CB8CF">
            <w:pPr>
              <w:spacing w:line="460" w:lineRule="exact"/>
              <w:jc w:val="center"/>
              <w:rPr>
                <w:rFonts w:hint="eastAsia" w:ascii="宋体" w:hAnsi="宋体"/>
                <w:color w:val="auto"/>
                <w:szCs w:val="21"/>
              </w:rPr>
            </w:pPr>
            <w:r>
              <w:rPr>
                <w:rFonts w:hint="eastAsia" w:ascii="宋体" w:hAnsi="宋体"/>
                <w:color w:val="auto"/>
                <w:szCs w:val="21"/>
              </w:rPr>
              <w:t>代理人身份证复印件或扫描件背面</w:t>
            </w:r>
          </w:p>
        </w:tc>
      </w:tr>
    </w:tbl>
    <w:p w14:paraId="58E7A978">
      <w:pPr>
        <w:rPr>
          <w:color w:val="auto"/>
        </w:rPr>
      </w:pPr>
    </w:p>
    <w:p w14:paraId="1496C4E6">
      <w:pPr>
        <w:widowControl/>
        <w:jc w:val="left"/>
        <w:rPr>
          <w:color w:val="auto"/>
        </w:rPr>
      </w:pPr>
      <w:r>
        <w:rPr>
          <w:color w:val="auto"/>
        </w:rPr>
        <w:br w:type="page"/>
      </w:r>
    </w:p>
    <w:p w14:paraId="7B895200">
      <w:pPr>
        <w:pStyle w:val="134"/>
        <w:spacing w:before="240" w:after="0"/>
        <w:jc w:val="center"/>
        <w:rPr>
          <w:color w:val="auto"/>
        </w:rPr>
      </w:pPr>
      <w:bookmarkStart w:id="511" w:name="_Toc113985035"/>
      <w:bookmarkEnd w:id="511"/>
      <w:bookmarkStart w:id="512" w:name="_Toc11947"/>
      <w:bookmarkStart w:id="513" w:name="_Toc8820"/>
      <w:r>
        <w:rPr>
          <w:rFonts w:hint="eastAsia"/>
          <w:color w:val="auto"/>
          <w:lang w:val="en-US" w:eastAsia="zh-CN"/>
        </w:rPr>
        <w:t>（三）</w:t>
      </w:r>
      <w:r>
        <w:rPr>
          <w:rFonts w:hint="eastAsia" w:ascii="宋体" w:hAnsi="宋体"/>
          <w:color w:val="auto"/>
        </w:rPr>
        <w:t>投标人基本情况表</w:t>
      </w:r>
      <w:bookmarkEnd w:id="512"/>
      <w:bookmarkEnd w:id="513"/>
    </w:p>
    <w:tbl>
      <w:tblPr>
        <w:tblStyle w:val="44"/>
        <w:tblW w:w="907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10"/>
        <w:gridCol w:w="1418"/>
        <w:gridCol w:w="1842"/>
        <w:gridCol w:w="1701"/>
        <w:gridCol w:w="1701"/>
      </w:tblGrid>
      <w:tr w14:paraId="065DBE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2410" w:type="dxa"/>
            <w:vAlign w:val="center"/>
          </w:tcPr>
          <w:p w14:paraId="18460DDB">
            <w:pPr>
              <w:pStyle w:val="117"/>
              <w:spacing w:line="360" w:lineRule="auto"/>
              <w:ind w:left="139" w:right="20"/>
              <w:jc w:val="center"/>
              <w:rPr>
                <w:rFonts w:hint="eastAsia"/>
                <w:color w:val="auto"/>
                <w:sz w:val="21"/>
                <w:szCs w:val="21"/>
              </w:rPr>
            </w:pPr>
            <w:r>
              <w:rPr>
                <w:color w:val="auto"/>
                <w:sz w:val="21"/>
                <w:szCs w:val="21"/>
              </w:rPr>
              <w:t xml:space="preserve">投标人名称 </w:t>
            </w:r>
          </w:p>
        </w:tc>
        <w:tc>
          <w:tcPr>
            <w:tcW w:w="6662" w:type="dxa"/>
            <w:gridSpan w:val="4"/>
            <w:vAlign w:val="center"/>
          </w:tcPr>
          <w:p w14:paraId="07F40DC7">
            <w:pPr>
              <w:pStyle w:val="117"/>
              <w:spacing w:line="360" w:lineRule="auto"/>
              <w:ind w:left="125"/>
              <w:jc w:val="center"/>
              <w:rPr>
                <w:rFonts w:hint="eastAsia"/>
                <w:color w:val="auto"/>
                <w:sz w:val="21"/>
                <w:szCs w:val="21"/>
              </w:rPr>
            </w:pPr>
            <w:r>
              <w:rPr>
                <w:color w:val="auto"/>
                <w:sz w:val="21"/>
                <w:szCs w:val="21"/>
              </w:rPr>
              <w:t xml:space="preserve"> </w:t>
            </w:r>
          </w:p>
        </w:tc>
      </w:tr>
      <w:tr w14:paraId="2B826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410" w:type="dxa"/>
            <w:vAlign w:val="center"/>
          </w:tcPr>
          <w:p w14:paraId="3752C7A8">
            <w:pPr>
              <w:pStyle w:val="117"/>
              <w:spacing w:line="360" w:lineRule="auto"/>
              <w:ind w:left="139" w:right="20"/>
              <w:jc w:val="center"/>
              <w:rPr>
                <w:rFonts w:hint="eastAsia"/>
                <w:color w:val="auto"/>
                <w:sz w:val="21"/>
                <w:szCs w:val="21"/>
              </w:rPr>
            </w:pPr>
            <w:r>
              <w:rPr>
                <w:color w:val="auto"/>
                <w:sz w:val="21"/>
                <w:szCs w:val="21"/>
              </w:rPr>
              <w:t xml:space="preserve">注册资金 </w:t>
            </w:r>
          </w:p>
        </w:tc>
        <w:tc>
          <w:tcPr>
            <w:tcW w:w="3260" w:type="dxa"/>
            <w:gridSpan w:val="2"/>
            <w:vAlign w:val="center"/>
          </w:tcPr>
          <w:p w14:paraId="2AEB56C5">
            <w:pPr>
              <w:pStyle w:val="117"/>
              <w:spacing w:line="360" w:lineRule="auto"/>
              <w:ind w:left="121"/>
              <w:jc w:val="center"/>
              <w:rPr>
                <w:rFonts w:hint="eastAsia"/>
                <w:color w:val="auto"/>
                <w:sz w:val="21"/>
                <w:szCs w:val="21"/>
              </w:rPr>
            </w:pPr>
            <w:r>
              <w:rPr>
                <w:color w:val="auto"/>
                <w:sz w:val="21"/>
                <w:szCs w:val="21"/>
              </w:rPr>
              <w:t xml:space="preserve"> </w:t>
            </w:r>
          </w:p>
        </w:tc>
        <w:tc>
          <w:tcPr>
            <w:tcW w:w="1701" w:type="dxa"/>
            <w:vAlign w:val="center"/>
          </w:tcPr>
          <w:p w14:paraId="7221D124">
            <w:pPr>
              <w:pStyle w:val="117"/>
              <w:spacing w:line="360" w:lineRule="auto"/>
              <w:ind w:left="256" w:right="137"/>
              <w:jc w:val="center"/>
              <w:rPr>
                <w:rFonts w:hint="eastAsia"/>
                <w:color w:val="auto"/>
                <w:sz w:val="21"/>
                <w:szCs w:val="21"/>
              </w:rPr>
            </w:pPr>
            <w:r>
              <w:rPr>
                <w:color w:val="auto"/>
                <w:sz w:val="21"/>
                <w:szCs w:val="21"/>
              </w:rPr>
              <w:t xml:space="preserve">成立时间 </w:t>
            </w:r>
          </w:p>
        </w:tc>
        <w:tc>
          <w:tcPr>
            <w:tcW w:w="1701" w:type="dxa"/>
            <w:vAlign w:val="center"/>
          </w:tcPr>
          <w:p w14:paraId="14C1F7BA">
            <w:pPr>
              <w:pStyle w:val="117"/>
              <w:spacing w:line="360" w:lineRule="auto"/>
              <w:ind w:right="856"/>
              <w:jc w:val="right"/>
              <w:rPr>
                <w:rFonts w:hint="eastAsia"/>
                <w:color w:val="auto"/>
                <w:sz w:val="21"/>
                <w:szCs w:val="21"/>
              </w:rPr>
            </w:pPr>
            <w:r>
              <w:rPr>
                <w:color w:val="auto"/>
                <w:sz w:val="21"/>
                <w:szCs w:val="21"/>
              </w:rPr>
              <w:t xml:space="preserve"> </w:t>
            </w:r>
          </w:p>
        </w:tc>
      </w:tr>
      <w:tr w14:paraId="14C61E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2410" w:type="dxa"/>
            <w:vAlign w:val="center"/>
          </w:tcPr>
          <w:p w14:paraId="422A1C99">
            <w:pPr>
              <w:pStyle w:val="117"/>
              <w:spacing w:line="360" w:lineRule="auto"/>
              <w:ind w:left="139" w:right="20"/>
              <w:jc w:val="center"/>
              <w:rPr>
                <w:rFonts w:hint="eastAsia"/>
                <w:color w:val="auto"/>
                <w:sz w:val="21"/>
                <w:szCs w:val="21"/>
              </w:rPr>
            </w:pPr>
            <w:r>
              <w:rPr>
                <w:color w:val="auto"/>
                <w:sz w:val="21"/>
                <w:szCs w:val="21"/>
              </w:rPr>
              <w:t xml:space="preserve">注册地址 </w:t>
            </w:r>
          </w:p>
        </w:tc>
        <w:tc>
          <w:tcPr>
            <w:tcW w:w="6662" w:type="dxa"/>
            <w:gridSpan w:val="4"/>
            <w:vAlign w:val="center"/>
          </w:tcPr>
          <w:p w14:paraId="18AA6D16">
            <w:pPr>
              <w:pStyle w:val="117"/>
              <w:spacing w:line="360" w:lineRule="auto"/>
              <w:ind w:left="125"/>
              <w:jc w:val="center"/>
              <w:rPr>
                <w:rFonts w:hint="eastAsia"/>
                <w:color w:val="auto"/>
                <w:sz w:val="21"/>
                <w:szCs w:val="21"/>
              </w:rPr>
            </w:pPr>
            <w:r>
              <w:rPr>
                <w:color w:val="auto"/>
                <w:sz w:val="21"/>
                <w:szCs w:val="21"/>
              </w:rPr>
              <w:t xml:space="preserve"> </w:t>
            </w:r>
          </w:p>
        </w:tc>
      </w:tr>
      <w:tr w14:paraId="11001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2410" w:type="dxa"/>
            <w:vAlign w:val="center"/>
          </w:tcPr>
          <w:p w14:paraId="38138C81">
            <w:pPr>
              <w:pStyle w:val="117"/>
              <w:spacing w:line="360" w:lineRule="auto"/>
              <w:ind w:left="139" w:right="20"/>
              <w:jc w:val="center"/>
              <w:rPr>
                <w:rFonts w:hint="eastAsia"/>
                <w:color w:val="auto"/>
                <w:sz w:val="21"/>
                <w:szCs w:val="21"/>
              </w:rPr>
            </w:pPr>
            <w:r>
              <w:rPr>
                <w:color w:val="auto"/>
                <w:sz w:val="21"/>
                <w:szCs w:val="21"/>
              </w:rPr>
              <w:t xml:space="preserve">邮政编码 </w:t>
            </w:r>
          </w:p>
        </w:tc>
        <w:tc>
          <w:tcPr>
            <w:tcW w:w="3260" w:type="dxa"/>
            <w:gridSpan w:val="2"/>
            <w:vAlign w:val="center"/>
          </w:tcPr>
          <w:p w14:paraId="33C638FF">
            <w:pPr>
              <w:pStyle w:val="117"/>
              <w:spacing w:line="360" w:lineRule="auto"/>
              <w:ind w:left="121"/>
              <w:jc w:val="center"/>
              <w:rPr>
                <w:rFonts w:hint="eastAsia"/>
                <w:color w:val="auto"/>
                <w:sz w:val="21"/>
                <w:szCs w:val="21"/>
              </w:rPr>
            </w:pPr>
            <w:r>
              <w:rPr>
                <w:color w:val="auto"/>
                <w:sz w:val="21"/>
                <w:szCs w:val="21"/>
              </w:rPr>
              <w:t xml:space="preserve"> </w:t>
            </w:r>
          </w:p>
        </w:tc>
        <w:tc>
          <w:tcPr>
            <w:tcW w:w="1701" w:type="dxa"/>
            <w:vAlign w:val="center"/>
          </w:tcPr>
          <w:p w14:paraId="6D55797D">
            <w:pPr>
              <w:pStyle w:val="117"/>
              <w:spacing w:line="360" w:lineRule="auto"/>
              <w:ind w:left="256" w:right="137"/>
              <w:jc w:val="center"/>
              <w:rPr>
                <w:rFonts w:hint="eastAsia"/>
                <w:color w:val="auto"/>
                <w:sz w:val="21"/>
                <w:szCs w:val="21"/>
              </w:rPr>
            </w:pPr>
            <w:r>
              <w:rPr>
                <w:color w:val="auto"/>
                <w:sz w:val="21"/>
                <w:szCs w:val="21"/>
              </w:rPr>
              <w:t xml:space="preserve">员工总数 </w:t>
            </w:r>
          </w:p>
        </w:tc>
        <w:tc>
          <w:tcPr>
            <w:tcW w:w="1701" w:type="dxa"/>
            <w:vAlign w:val="center"/>
          </w:tcPr>
          <w:p w14:paraId="6D113B01">
            <w:pPr>
              <w:pStyle w:val="117"/>
              <w:spacing w:line="360" w:lineRule="auto"/>
              <w:ind w:right="856"/>
              <w:jc w:val="right"/>
              <w:rPr>
                <w:rFonts w:hint="eastAsia"/>
                <w:color w:val="auto"/>
                <w:sz w:val="21"/>
                <w:szCs w:val="21"/>
              </w:rPr>
            </w:pPr>
            <w:r>
              <w:rPr>
                <w:color w:val="auto"/>
                <w:sz w:val="21"/>
                <w:szCs w:val="21"/>
              </w:rPr>
              <w:t xml:space="preserve"> </w:t>
            </w:r>
          </w:p>
        </w:tc>
      </w:tr>
      <w:tr w14:paraId="25F7D8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6" w:hRule="atLeast"/>
        </w:trPr>
        <w:tc>
          <w:tcPr>
            <w:tcW w:w="2410" w:type="dxa"/>
            <w:vMerge w:val="restart"/>
            <w:vAlign w:val="center"/>
          </w:tcPr>
          <w:p w14:paraId="3F712683">
            <w:pPr>
              <w:pStyle w:val="117"/>
              <w:spacing w:line="360" w:lineRule="auto"/>
              <w:ind w:left="-2" w:leftChars="-1"/>
              <w:jc w:val="center"/>
              <w:rPr>
                <w:rFonts w:hint="eastAsia"/>
                <w:color w:val="auto"/>
                <w:sz w:val="21"/>
                <w:szCs w:val="21"/>
              </w:rPr>
            </w:pPr>
            <w:r>
              <w:rPr>
                <w:color w:val="auto"/>
                <w:sz w:val="21"/>
                <w:szCs w:val="21"/>
              </w:rPr>
              <w:t>联系方式</w:t>
            </w:r>
          </w:p>
        </w:tc>
        <w:tc>
          <w:tcPr>
            <w:tcW w:w="1418" w:type="dxa"/>
            <w:vAlign w:val="center"/>
          </w:tcPr>
          <w:p w14:paraId="0E23331E">
            <w:pPr>
              <w:pStyle w:val="117"/>
              <w:spacing w:line="360" w:lineRule="auto"/>
              <w:ind w:left="352" w:right="227"/>
              <w:jc w:val="center"/>
              <w:rPr>
                <w:rFonts w:hint="eastAsia"/>
                <w:color w:val="auto"/>
                <w:sz w:val="21"/>
                <w:szCs w:val="21"/>
              </w:rPr>
            </w:pPr>
            <w:r>
              <w:rPr>
                <w:color w:val="auto"/>
                <w:sz w:val="21"/>
                <w:szCs w:val="21"/>
              </w:rPr>
              <w:t xml:space="preserve">联系人 </w:t>
            </w:r>
          </w:p>
        </w:tc>
        <w:tc>
          <w:tcPr>
            <w:tcW w:w="1842" w:type="dxa"/>
            <w:vAlign w:val="center"/>
          </w:tcPr>
          <w:p w14:paraId="743FBA73">
            <w:pPr>
              <w:pStyle w:val="117"/>
              <w:spacing w:line="360" w:lineRule="auto"/>
              <w:ind w:right="1231"/>
              <w:jc w:val="right"/>
              <w:rPr>
                <w:rFonts w:hint="eastAsia"/>
                <w:color w:val="auto"/>
                <w:sz w:val="21"/>
                <w:szCs w:val="21"/>
              </w:rPr>
            </w:pPr>
            <w:r>
              <w:rPr>
                <w:color w:val="auto"/>
                <w:sz w:val="21"/>
                <w:szCs w:val="21"/>
              </w:rPr>
              <w:t xml:space="preserve"> </w:t>
            </w:r>
          </w:p>
        </w:tc>
        <w:tc>
          <w:tcPr>
            <w:tcW w:w="1701" w:type="dxa"/>
            <w:vAlign w:val="center"/>
          </w:tcPr>
          <w:p w14:paraId="29100B10">
            <w:pPr>
              <w:pStyle w:val="117"/>
              <w:spacing w:line="360" w:lineRule="auto"/>
              <w:ind w:left="256" w:right="137"/>
              <w:jc w:val="center"/>
              <w:rPr>
                <w:rFonts w:hint="eastAsia"/>
                <w:color w:val="auto"/>
                <w:sz w:val="21"/>
                <w:szCs w:val="21"/>
              </w:rPr>
            </w:pPr>
            <w:r>
              <w:rPr>
                <w:color w:val="auto"/>
                <w:sz w:val="21"/>
                <w:szCs w:val="21"/>
              </w:rPr>
              <w:t xml:space="preserve">电话 </w:t>
            </w:r>
          </w:p>
        </w:tc>
        <w:tc>
          <w:tcPr>
            <w:tcW w:w="1701" w:type="dxa"/>
            <w:vAlign w:val="center"/>
          </w:tcPr>
          <w:p w14:paraId="50A7B9A0">
            <w:pPr>
              <w:pStyle w:val="117"/>
              <w:spacing w:line="360" w:lineRule="auto"/>
              <w:ind w:right="856"/>
              <w:jc w:val="right"/>
              <w:rPr>
                <w:rFonts w:hint="eastAsia"/>
                <w:color w:val="auto"/>
                <w:sz w:val="21"/>
                <w:szCs w:val="21"/>
              </w:rPr>
            </w:pPr>
            <w:r>
              <w:rPr>
                <w:color w:val="auto"/>
                <w:sz w:val="21"/>
                <w:szCs w:val="21"/>
              </w:rPr>
              <w:t xml:space="preserve"> </w:t>
            </w:r>
          </w:p>
        </w:tc>
      </w:tr>
      <w:tr w14:paraId="0CE058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3" w:hRule="atLeast"/>
        </w:trPr>
        <w:tc>
          <w:tcPr>
            <w:tcW w:w="2410" w:type="dxa"/>
            <w:vMerge w:val="continue"/>
            <w:vAlign w:val="center"/>
          </w:tcPr>
          <w:p w14:paraId="4E968835">
            <w:pPr>
              <w:autoSpaceDE w:val="0"/>
              <w:autoSpaceDN w:val="0"/>
              <w:spacing w:line="360" w:lineRule="auto"/>
              <w:rPr>
                <w:rFonts w:hint="eastAsia" w:ascii="宋体" w:hAnsi="宋体"/>
                <w:color w:val="auto"/>
                <w:szCs w:val="21"/>
              </w:rPr>
            </w:pPr>
          </w:p>
        </w:tc>
        <w:tc>
          <w:tcPr>
            <w:tcW w:w="1418" w:type="dxa"/>
            <w:vAlign w:val="center"/>
          </w:tcPr>
          <w:p w14:paraId="2B014F7C">
            <w:pPr>
              <w:pStyle w:val="117"/>
              <w:spacing w:line="360" w:lineRule="auto"/>
              <w:ind w:left="352" w:right="227"/>
              <w:jc w:val="center"/>
              <w:rPr>
                <w:rFonts w:hint="eastAsia"/>
                <w:color w:val="auto"/>
                <w:sz w:val="21"/>
                <w:szCs w:val="21"/>
              </w:rPr>
            </w:pPr>
            <w:r>
              <w:rPr>
                <w:color w:val="auto"/>
                <w:sz w:val="21"/>
                <w:szCs w:val="21"/>
              </w:rPr>
              <w:t xml:space="preserve">网址 </w:t>
            </w:r>
          </w:p>
        </w:tc>
        <w:tc>
          <w:tcPr>
            <w:tcW w:w="1842" w:type="dxa"/>
            <w:vAlign w:val="center"/>
          </w:tcPr>
          <w:p w14:paraId="77A2120C">
            <w:pPr>
              <w:pStyle w:val="117"/>
              <w:spacing w:line="360" w:lineRule="auto"/>
              <w:ind w:right="1231"/>
              <w:jc w:val="right"/>
              <w:rPr>
                <w:rFonts w:hint="eastAsia"/>
                <w:color w:val="auto"/>
                <w:sz w:val="21"/>
                <w:szCs w:val="21"/>
              </w:rPr>
            </w:pPr>
            <w:r>
              <w:rPr>
                <w:color w:val="auto"/>
                <w:sz w:val="21"/>
                <w:szCs w:val="21"/>
              </w:rPr>
              <w:t xml:space="preserve"> </w:t>
            </w:r>
          </w:p>
        </w:tc>
        <w:tc>
          <w:tcPr>
            <w:tcW w:w="1701" w:type="dxa"/>
            <w:vAlign w:val="center"/>
          </w:tcPr>
          <w:p w14:paraId="11A6B479">
            <w:pPr>
              <w:pStyle w:val="117"/>
              <w:spacing w:line="360" w:lineRule="auto"/>
              <w:ind w:left="256" w:right="137"/>
              <w:jc w:val="center"/>
              <w:rPr>
                <w:rFonts w:hint="eastAsia"/>
                <w:color w:val="auto"/>
                <w:sz w:val="21"/>
                <w:szCs w:val="21"/>
              </w:rPr>
            </w:pPr>
            <w:r>
              <w:rPr>
                <w:color w:val="auto"/>
                <w:sz w:val="21"/>
                <w:szCs w:val="21"/>
              </w:rPr>
              <w:t xml:space="preserve">传真 </w:t>
            </w:r>
          </w:p>
        </w:tc>
        <w:tc>
          <w:tcPr>
            <w:tcW w:w="1701" w:type="dxa"/>
            <w:vAlign w:val="center"/>
          </w:tcPr>
          <w:p w14:paraId="00C20C7C">
            <w:pPr>
              <w:pStyle w:val="117"/>
              <w:spacing w:line="360" w:lineRule="auto"/>
              <w:ind w:right="856"/>
              <w:jc w:val="right"/>
              <w:rPr>
                <w:rFonts w:hint="eastAsia"/>
                <w:color w:val="auto"/>
                <w:sz w:val="21"/>
                <w:szCs w:val="21"/>
              </w:rPr>
            </w:pPr>
            <w:r>
              <w:rPr>
                <w:color w:val="auto"/>
                <w:sz w:val="21"/>
                <w:szCs w:val="21"/>
              </w:rPr>
              <w:t xml:space="preserve"> </w:t>
            </w:r>
          </w:p>
        </w:tc>
      </w:tr>
      <w:tr w14:paraId="17FC63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2410" w:type="dxa"/>
            <w:vAlign w:val="center"/>
          </w:tcPr>
          <w:p w14:paraId="6833D2C5">
            <w:pPr>
              <w:pStyle w:val="117"/>
              <w:spacing w:line="276" w:lineRule="auto"/>
              <w:ind w:left="139" w:right="20"/>
              <w:jc w:val="center"/>
              <w:rPr>
                <w:rFonts w:hint="eastAsia"/>
                <w:color w:val="auto"/>
                <w:sz w:val="21"/>
                <w:szCs w:val="21"/>
              </w:rPr>
            </w:pPr>
            <w:r>
              <w:rPr>
                <w:color w:val="auto"/>
                <w:sz w:val="21"/>
                <w:szCs w:val="21"/>
              </w:rPr>
              <w:t xml:space="preserve">法定代表人 </w:t>
            </w:r>
          </w:p>
          <w:p w14:paraId="0D82615F">
            <w:pPr>
              <w:pStyle w:val="117"/>
              <w:spacing w:line="276" w:lineRule="auto"/>
              <w:ind w:left="139" w:right="20"/>
              <w:jc w:val="center"/>
              <w:rPr>
                <w:rFonts w:hint="eastAsia"/>
                <w:color w:val="auto"/>
                <w:sz w:val="21"/>
                <w:szCs w:val="21"/>
              </w:rPr>
            </w:pPr>
            <w:r>
              <w:rPr>
                <w:color w:val="auto"/>
                <w:sz w:val="21"/>
                <w:szCs w:val="21"/>
              </w:rPr>
              <w:t xml:space="preserve">(单位负责人) </w:t>
            </w:r>
          </w:p>
        </w:tc>
        <w:tc>
          <w:tcPr>
            <w:tcW w:w="1418" w:type="dxa"/>
            <w:vAlign w:val="center"/>
          </w:tcPr>
          <w:p w14:paraId="27CAD086">
            <w:pPr>
              <w:pStyle w:val="117"/>
              <w:spacing w:line="276" w:lineRule="auto"/>
              <w:ind w:left="352" w:right="227"/>
              <w:jc w:val="center"/>
              <w:rPr>
                <w:rFonts w:hint="eastAsia"/>
                <w:color w:val="auto"/>
                <w:sz w:val="21"/>
                <w:szCs w:val="21"/>
              </w:rPr>
            </w:pPr>
            <w:r>
              <w:rPr>
                <w:color w:val="auto"/>
                <w:sz w:val="21"/>
                <w:szCs w:val="21"/>
              </w:rPr>
              <w:t xml:space="preserve">姓名 </w:t>
            </w:r>
          </w:p>
        </w:tc>
        <w:tc>
          <w:tcPr>
            <w:tcW w:w="1842" w:type="dxa"/>
            <w:vAlign w:val="center"/>
          </w:tcPr>
          <w:p w14:paraId="081C93B1">
            <w:pPr>
              <w:pStyle w:val="117"/>
              <w:spacing w:line="276" w:lineRule="auto"/>
              <w:rPr>
                <w:rFonts w:hint="eastAsia"/>
                <w:b/>
                <w:color w:val="auto"/>
                <w:sz w:val="21"/>
                <w:szCs w:val="21"/>
              </w:rPr>
            </w:pPr>
          </w:p>
          <w:p w14:paraId="6C5E1CD2">
            <w:pPr>
              <w:pStyle w:val="117"/>
              <w:spacing w:line="276" w:lineRule="auto"/>
              <w:ind w:right="1231"/>
              <w:jc w:val="right"/>
              <w:rPr>
                <w:rFonts w:hint="eastAsia"/>
                <w:color w:val="auto"/>
                <w:sz w:val="21"/>
                <w:szCs w:val="21"/>
              </w:rPr>
            </w:pPr>
            <w:r>
              <w:rPr>
                <w:color w:val="auto"/>
                <w:sz w:val="21"/>
                <w:szCs w:val="21"/>
              </w:rPr>
              <w:t xml:space="preserve"> </w:t>
            </w:r>
          </w:p>
        </w:tc>
        <w:tc>
          <w:tcPr>
            <w:tcW w:w="1701" w:type="dxa"/>
            <w:vAlign w:val="center"/>
          </w:tcPr>
          <w:p w14:paraId="76E189FC">
            <w:pPr>
              <w:pStyle w:val="117"/>
              <w:spacing w:line="276" w:lineRule="auto"/>
              <w:ind w:left="256" w:right="137"/>
              <w:jc w:val="center"/>
              <w:rPr>
                <w:rFonts w:hint="eastAsia"/>
                <w:color w:val="auto"/>
                <w:sz w:val="21"/>
                <w:szCs w:val="21"/>
              </w:rPr>
            </w:pPr>
            <w:r>
              <w:rPr>
                <w:color w:val="auto"/>
                <w:sz w:val="21"/>
                <w:szCs w:val="21"/>
              </w:rPr>
              <w:t xml:space="preserve">电话 </w:t>
            </w:r>
          </w:p>
        </w:tc>
        <w:tc>
          <w:tcPr>
            <w:tcW w:w="1701" w:type="dxa"/>
            <w:vAlign w:val="center"/>
          </w:tcPr>
          <w:p w14:paraId="2B84D9B7">
            <w:pPr>
              <w:pStyle w:val="117"/>
              <w:spacing w:line="276" w:lineRule="auto"/>
              <w:rPr>
                <w:rFonts w:hint="eastAsia"/>
                <w:b/>
                <w:color w:val="auto"/>
                <w:sz w:val="21"/>
                <w:szCs w:val="21"/>
              </w:rPr>
            </w:pPr>
          </w:p>
          <w:p w14:paraId="06E71DDD">
            <w:pPr>
              <w:pStyle w:val="117"/>
              <w:spacing w:line="276" w:lineRule="auto"/>
              <w:ind w:right="856"/>
              <w:jc w:val="right"/>
              <w:rPr>
                <w:rFonts w:hint="eastAsia"/>
                <w:color w:val="auto"/>
                <w:sz w:val="21"/>
                <w:szCs w:val="21"/>
              </w:rPr>
            </w:pPr>
            <w:r>
              <w:rPr>
                <w:color w:val="auto"/>
                <w:sz w:val="21"/>
                <w:szCs w:val="21"/>
              </w:rPr>
              <w:t xml:space="preserve"> </w:t>
            </w:r>
          </w:p>
        </w:tc>
      </w:tr>
      <w:tr w14:paraId="59DC7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2410" w:type="dxa"/>
            <w:vAlign w:val="center"/>
          </w:tcPr>
          <w:p w14:paraId="78F3C530">
            <w:pPr>
              <w:pStyle w:val="117"/>
              <w:spacing w:line="360" w:lineRule="auto"/>
              <w:ind w:left="139" w:right="139"/>
              <w:jc w:val="center"/>
              <w:rPr>
                <w:rFonts w:hint="eastAsia"/>
                <w:color w:val="auto"/>
                <w:sz w:val="21"/>
                <w:szCs w:val="21"/>
              </w:rPr>
            </w:pPr>
            <w:r>
              <w:rPr>
                <w:color w:val="auto"/>
                <w:sz w:val="21"/>
                <w:szCs w:val="21"/>
              </w:rPr>
              <w:t>投标人须知要求投标人需具有的各类资质</w:t>
            </w:r>
          </w:p>
          <w:p w14:paraId="6932F542">
            <w:pPr>
              <w:pStyle w:val="117"/>
              <w:spacing w:line="360" w:lineRule="auto"/>
              <w:ind w:left="139" w:right="20"/>
              <w:jc w:val="center"/>
              <w:rPr>
                <w:rFonts w:hint="eastAsia"/>
                <w:color w:val="auto"/>
                <w:sz w:val="21"/>
                <w:szCs w:val="21"/>
              </w:rPr>
            </w:pPr>
            <w:r>
              <w:rPr>
                <w:color w:val="auto"/>
                <w:sz w:val="21"/>
                <w:szCs w:val="21"/>
              </w:rPr>
              <w:t xml:space="preserve">证书(若有) </w:t>
            </w:r>
          </w:p>
        </w:tc>
        <w:tc>
          <w:tcPr>
            <w:tcW w:w="6662" w:type="dxa"/>
            <w:gridSpan w:val="4"/>
            <w:vAlign w:val="center"/>
          </w:tcPr>
          <w:p w14:paraId="14DCFB8E">
            <w:pPr>
              <w:pStyle w:val="117"/>
              <w:spacing w:line="360" w:lineRule="auto"/>
              <w:ind w:left="105"/>
              <w:rPr>
                <w:rFonts w:hint="eastAsia"/>
                <w:color w:val="auto"/>
                <w:sz w:val="21"/>
                <w:szCs w:val="21"/>
              </w:rPr>
            </w:pPr>
            <w:r>
              <w:rPr>
                <w:color w:val="auto"/>
                <w:sz w:val="21"/>
                <w:szCs w:val="21"/>
              </w:rPr>
              <w:t xml:space="preserve">类 型： </w:t>
            </w:r>
          </w:p>
          <w:p w14:paraId="4BF23656">
            <w:pPr>
              <w:pStyle w:val="117"/>
              <w:spacing w:line="360" w:lineRule="auto"/>
              <w:ind w:left="105"/>
              <w:rPr>
                <w:rFonts w:hint="eastAsia"/>
                <w:color w:val="auto"/>
                <w:sz w:val="21"/>
                <w:szCs w:val="21"/>
              </w:rPr>
            </w:pPr>
            <w:r>
              <w:rPr>
                <w:color w:val="auto"/>
                <w:sz w:val="21"/>
                <w:szCs w:val="21"/>
              </w:rPr>
              <w:t xml:space="preserve">等 级： </w:t>
            </w:r>
          </w:p>
          <w:p w14:paraId="313B3E07">
            <w:pPr>
              <w:pStyle w:val="117"/>
              <w:spacing w:line="360" w:lineRule="auto"/>
              <w:ind w:left="105"/>
              <w:rPr>
                <w:rFonts w:hint="eastAsia"/>
                <w:color w:val="auto"/>
                <w:sz w:val="21"/>
                <w:szCs w:val="21"/>
              </w:rPr>
            </w:pPr>
            <w:r>
              <w:rPr>
                <w:color w:val="auto"/>
                <w:sz w:val="21"/>
                <w:szCs w:val="21"/>
              </w:rPr>
              <w:t xml:space="preserve">证书号： </w:t>
            </w:r>
          </w:p>
        </w:tc>
      </w:tr>
      <w:tr w14:paraId="14C31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2410" w:type="dxa"/>
            <w:vAlign w:val="center"/>
          </w:tcPr>
          <w:p w14:paraId="7B2B26EB">
            <w:pPr>
              <w:pStyle w:val="117"/>
              <w:spacing w:line="360" w:lineRule="auto"/>
              <w:ind w:left="139" w:right="20"/>
              <w:jc w:val="center"/>
              <w:rPr>
                <w:rFonts w:hint="eastAsia"/>
                <w:color w:val="auto"/>
                <w:sz w:val="21"/>
                <w:szCs w:val="21"/>
              </w:rPr>
            </w:pPr>
            <w:r>
              <w:rPr>
                <w:color w:val="auto"/>
                <w:sz w:val="21"/>
                <w:szCs w:val="21"/>
              </w:rPr>
              <w:t xml:space="preserve">基本账户开户银行 </w:t>
            </w:r>
          </w:p>
        </w:tc>
        <w:tc>
          <w:tcPr>
            <w:tcW w:w="6662" w:type="dxa"/>
            <w:gridSpan w:val="4"/>
            <w:vAlign w:val="center"/>
          </w:tcPr>
          <w:p w14:paraId="2D49BED1">
            <w:pPr>
              <w:pStyle w:val="117"/>
              <w:spacing w:line="360" w:lineRule="auto"/>
              <w:ind w:left="125"/>
              <w:jc w:val="center"/>
              <w:rPr>
                <w:rFonts w:hint="eastAsia"/>
                <w:color w:val="auto"/>
                <w:sz w:val="21"/>
                <w:szCs w:val="21"/>
              </w:rPr>
            </w:pPr>
            <w:r>
              <w:rPr>
                <w:color w:val="auto"/>
                <w:sz w:val="21"/>
                <w:szCs w:val="21"/>
              </w:rPr>
              <w:t xml:space="preserve"> </w:t>
            </w:r>
          </w:p>
        </w:tc>
      </w:tr>
      <w:tr w14:paraId="7C427F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2410" w:type="dxa"/>
            <w:vAlign w:val="center"/>
          </w:tcPr>
          <w:p w14:paraId="7A6AFF73">
            <w:pPr>
              <w:pStyle w:val="117"/>
              <w:spacing w:line="360" w:lineRule="auto"/>
              <w:ind w:left="139" w:right="20"/>
              <w:jc w:val="center"/>
              <w:rPr>
                <w:rFonts w:hint="eastAsia"/>
                <w:color w:val="auto"/>
                <w:sz w:val="21"/>
                <w:szCs w:val="21"/>
              </w:rPr>
            </w:pPr>
            <w:r>
              <w:rPr>
                <w:color w:val="auto"/>
                <w:sz w:val="21"/>
                <w:szCs w:val="21"/>
              </w:rPr>
              <w:t xml:space="preserve">基本账户银行账号 </w:t>
            </w:r>
          </w:p>
        </w:tc>
        <w:tc>
          <w:tcPr>
            <w:tcW w:w="6662" w:type="dxa"/>
            <w:gridSpan w:val="4"/>
            <w:vAlign w:val="center"/>
          </w:tcPr>
          <w:p w14:paraId="65B6B0D5">
            <w:pPr>
              <w:pStyle w:val="117"/>
              <w:spacing w:line="360" w:lineRule="auto"/>
              <w:rPr>
                <w:rFonts w:hint="eastAsia"/>
                <w:b/>
                <w:color w:val="auto"/>
                <w:sz w:val="21"/>
                <w:szCs w:val="21"/>
              </w:rPr>
            </w:pPr>
          </w:p>
          <w:p w14:paraId="6A6F27B1">
            <w:pPr>
              <w:pStyle w:val="117"/>
              <w:spacing w:line="360" w:lineRule="auto"/>
              <w:ind w:left="125"/>
              <w:jc w:val="center"/>
              <w:rPr>
                <w:rFonts w:hint="eastAsia"/>
                <w:color w:val="auto"/>
                <w:sz w:val="21"/>
                <w:szCs w:val="21"/>
              </w:rPr>
            </w:pPr>
            <w:r>
              <w:rPr>
                <w:color w:val="auto"/>
                <w:sz w:val="21"/>
                <w:szCs w:val="21"/>
              </w:rPr>
              <w:t xml:space="preserve"> </w:t>
            </w:r>
          </w:p>
        </w:tc>
      </w:tr>
      <w:tr w14:paraId="5D92A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8" w:hRule="atLeast"/>
        </w:trPr>
        <w:tc>
          <w:tcPr>
            <w:tcW w:w="2410" w:type="dxa"/>
            <w:vAlign w:val="center"/>
          </w:tcPr>
          <w:p w14:paraId="4CDBDEEB">
            <w:pPr>
              <w:pStyle w:val="117"/>
              <w:spacing w:line="360" w:lineRule="auto"/>
              <w:ind w:left="138"/>
              <w:jc w:val="center"/>
              <w:rPr>
                <w:rFonts w:hint="eastAsia"/>
                <w:color w:val="auto"/>
                <w:sz w:val="21"/>
                <w:szCs w:val="21"/>
              </w:rPr>
            </w:pPr>
            <w:r>
              <w:rPr>
                <w:color w:val="auto"/>
                <w:sz w:val="21"/>
                <w:szCs w:val="21"/>
              </w:rPr>
              <w:t>投标人关联企业情况</w:t>
            </w:r>
          </w:p>
          <w:p w14:paraId="02883B09">
            <w:pPr>
              <w:pStyle w:val="117"/>
              <w:spacing w:line="360" w:lineRule="auto"/>
              <w:ind w:left="138" w:right="139" w:firstLine="62"/>
              <w:jc w:val="center"/>
              <w:rPr>
                <w:rFonts w:hint="eastAsia"/>
                <w:color w:val="auto"/>
                <w:sz w:val="21"/>
                <w:szCs w:val="21"/>
              </w:rPr>
            </w:pPr>
            <w:r>
              <w:rPr>
                <w:color w:val="auto"/>
                <w:sz w:val="21"/>
                <w:szCs w:val="21"/>
              </w:rPr>
              <w:t>(包括但不限于与投标人法定代表人(单位负责人)为同一人</w:t>
            </w:r>
            <w:r>
              <w:rPr>
                <w:color w:val="auto"/>
                <w:spacing w:val="-2"/>
                <w:sz w:val="21"/>
                <w:szCs w:val="21"/>
              </w:rPr>
              <w:t>或者存在控股、管理</w:t>
            </w:r>
            <w:r>
              <w:rPr>
                <w:color w:val="auto"/>
                <w:sz w:val="21"/>
                <w:szCs w:val="21"/>
              </w:rPr>
              <w:t>关系的不同单位)</w:t>
            </w:r>
          </w:p>
        </w:tc>
        <w:tc>
          <w:tcPr>
            <w:tcW w:w="6662" w:type="dxa"/>
            <w:gridSpan w:val="4"/>
            <w:vAlign w:val="center"/>
          </w:tcPr>
          <w:p w14:paraId="6CD4108D">
            <w:pPr>
              <w:pStyle w:val="117"/>
              <w:spacing w:line="360" w:lineRule="auto"/>
              <w:rPr>
                <w:rFonts w:hint="eastAsia"/>
                <w:b/>
                <w:color w:val="auto"/>
                <w:sz w:val="21"/>
                <w:szCs w:val="21"/>
              </w:rPr>
            </w:pPr>
          </w:p>
          <w:p w14:paraId="331EA398">
            <w:pPr>
              <w:pStyle w:val="117"/>
              <w:spacing w:line="360" w:lineRule="auto"/>
              <w:rPr>
                <w:rFonts w:hint="eastAsia"/>
                <w:b/>
                <w:color w:val="auto"/>
                <w:sz w:val="21"/>
                <w:szCs w:val="21"/>
              </w:rPr>
            </w:pPr>
          </w:p>
          <w:p w14:paraId="062CD9A3">
            <w:pPr>
              <w:pStyle w:val="117"/>
              <w:spacing w:line="360" w:lineRule="auto"/>
              <w:rPr>
                <w:rFonts w:hint="eastAsia"/>
                <w:b/>
                <w:color w:val="auto"/>
                <w:sz w:val="21"/>
                <w:szCs w:val="21"/>
              </w:rPr>
            </w:pPr>
          </w:p>
          <w:p w14:paraId="52840713">
            <w:pPr>
              <w:pStyle w:val="117"/>
              <w:spacing w:line="360" w:lineRule="auto"/>
              <w:ind w:left="125"/>
              <w:jc w:val="center"/>
              <w:rPr>
                <w:rFonts w:hint="eastAsia"/>
                <w:color w:val="auto"/>
                <w:sz w:val="21"/>
                <w:szCs w:val="21"/>
              </w:rPr>
            </w:pPr>
            <w:r>
              <w:rPr>
                <w:color w:val="auto"/>
                <w:sz w:val="21"/>
                <w:szCs w:val="21"/>
              </w:rPr>
              <w:t xml:space="preserve"> </w:t>
            </w:r>
          </w:p>
        </w:tc>
      </w:tr>
      <w:tr w14:paraId="74B832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2410" w:type="dxa"/>
            <w:vAlign w:val="center"/>
          </w:tcPr>
          <w:p w14:paraId="1CD10AEC">
            <w:pPr>
              <w:pStyle w:val="117"/>
              <w:spacing w:line="360" w:lineRule="auto"/>
              <w:ind w:left="139" w:right="19"/>
              <w:jc w:val="center"/>
              <w:rPr>
                <w:rFonts w:hint="eastAsia"/>
                <w:color w:val="auto"/>
                <w:sz w:val="21"/>
                <w:szCs w:val="21"/>
              </w:rPr>
            </w:pPr>
            <w:r>
              <w:rPr>
                <w:color w:val="auto"/>
                <w:sz w:val="21"/>
                <w:szCs w:val="21"/>
              </w:rPr>
              <w:t xml:space="preserve">备注 </w:t>
            </w:r>
          </w:p>
        </w:tc>
        <w:tc>
          <w:tcPr>
            <w:tcW w:w="6662" w:type="dxa"/>
            <w:gridSpan w:val="4"/>
            <w:vAlign w:val="center"/>
          </w:tcPr>
          <w:p w14:paraId="6562A570">
            <w:pPr>
              <w:pStyle w:val="117"/>
              <w:spacing w:line="360" w:lineRule="auto"/>
              <w:ind w:left="125"/>
              <w:jc w:val="center"/>
              <w:rPr>
                <w:rFonts w:hint="eastAsia"/>
                <w:color w:val="auto"/>
                <w:sz w:val="21"/>
                <w:szCs w:val="21"/>
              </w:rPr>
            </w:pPr>
            <w:r>
              <w:rPr>
                <w:color w:val="auto"/>
                <w:sz w:val="21"/>
                <w:szCs w:val="21"/>
              </w:rPr>
              <w:t xml:space="preserve"> </w:t>
            </w:r>
          </w:p>
        </w:tc>
      </w:tr>
    </w:tbl>
    <w:p w14:paraId="29E4FB54">
      <w:pPr>
        <w:spacing w:before="60" w:after="60" w:line="480" w:lineRule="auto"/>
        <w:rPr>
          <w:rFonts w:hint="eastAsia" w:ascii="宋体" w:hAnsi="宋体"/>
          <w:color w:val="auto"/>
          <w:szCs w:val="21"/>
        </w:rPr>
      </w:pPr>
    </w:p>
    <w:p w14:paraId="54BE6E3E">
      <w:pPr>
        <w:pStyle w:val="134"/>
        <w:spacing w:before="240"/>
        <w:jc w:val="center"/>
        <w:rPr>
          <w:color w:val="auto"/>
        </w:rPr>
      </w:pPr>
      <w:bookmarkStart w:id="514" w:name="_Toc17840"/>
      <w:r>
        <w:rPr>
          <w:rFonts w:hint="eastAsia"/>
          <w:color w:val="auto"/>
          <w:lang w:eastAsia="zh-CN"/>
        </w:rPr>
        <w:t>（</w:t>
      </w:r>
      <w:r>
        <w:rPr>
          <w:rFonts w:hint="eastAsia"/>
          <w:color w:val="auto"/>
          <w:lang w:val="en-US" w:eastAsia="zh-CN"/>
        </w:rPr>
        <w:t>四</w:t>
      </w:r>
      <w:r>
        <w:rPr>
          <w:rFonts w:hint="eastAsia"/>
          <w:color w:val="auto"/>
          <w:lang w:eastAsia="zh-CN"/>
        </w:rPr>
        <w:t>）</w:t>
      </w:r>
      <w:r>
        <w:rPr>
          <w:rFonts w:hint="eastAsia" w:ascii="宋体" w:hAnsi="宋体"/>
          <w:color w:val="auto"/>
        </w:rPr>
        <w:t>商务条款偏离表</w:t>
      </w:r>
      <w:bookmarkEnd w:id="514"/>
    </w:p>
    <w:bookmarkEnd w:id="496"/>
    <w:bookmarkEnd w:id="497"/>
    <w:bookmarkEnd w:id="498"/>
    <w:tbl>
      <w:tblPr>
        <w:tblStyle w:val="44"/>
        <w:tblW w:w="9356" w:type="dxa"/>
        <w:tblInd w:w="2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748"/>
        <w:gridCol w:w="1520"/>
        <w:gridCol w:w="2410"/>
        <w:gridCol w:w="2835"/>
        <w:gridCol w:w="1843"/>
      </w:tblGrid>
      <w:tr w14:paraId="3C0356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00" w:hRule="atLeast"/>
        </w:trPr>
        <w:tc>
          <w:tcPr>
            <w:tcW w:w="748" w:type="dxa"/>
            <w:shd w:val="clear" w:color="auto" w:fill="F2F2F2"/>
            <w:vAlign w:val="center"/>
          </w:tcPr>
          <w:p w14:paraId="61A642E8">
            <w:pPr>
              <w:spacing w:line="400" w:lineRule="atLeast"/>
              <w:jc w:val="center"/>
              <w:rPr>
                <w:rFonts w:ascii="宋体" w:hAnsi="宋体"/>
                <w:color w:val="auto"/>
                <w:szCs w:val="21"/>
                <w:highlight w:val="none"/>
              </w:rPr>
            </w:pPr>
            <w:r>
              <w:rPr>
                <w:rFonts w:hint="eastAsia" w:ascii="宋体" w:hAnsi="宋体"/>
                <w:color w:val="auto"/>
                <w:szCs w:val="21"/>
                <w:highlight w:val="none"/>
              </w:rPr>
              <w:t>序号</w:t>
            </w:r>
          </w:p>
        </w:tc>
        <w:tc>
          <w:tcPr>
            <w:tcW w:w="1520" w:type="dxa"/>
            <w:shd w:val="clear" w:color="auto" w:fill="F2F2F2"/>
            <w:vAlign w:val="center"/>
          </w:tcPr>
          <w:p w14:paraId="2FC74C99">
            <w:pPr>
              <w:spacing w:line="400" w:lineRule="atLeast"/>
              <w:jc w:val="center"/>
              <w:rPr>
                <w:rFonts w:ascii="宋体" w:hAnsi="宋体"/>
                <w:color w:val="auto"/>
                <w:szCs w:val="21"/>
                <w:highlight w:val="none"/>
              </w:rPr>
            </w:pPr>
            <w:r>
              <w:rPr>
                <w:rFonts w:hint="eastAsia" w:ascii="宋体" w:hAnsi="宋体"/>
                <w:color w:val="auto"/>
                <w:szCs w:val="21"/>
                <w:highlight w:val="none"/>
              </w:rPr>
              <w:t>商务条款</w:t>
            </w:r>
          </w:p>
        </w:tc>
        <w:tc>
          <w:tcPr>
            <w:tcW w:w="2410" w:type="dxa"/>
            <w:shd w:val="clear" w:color="auto" w:fill="F2F2F2"/>
            <w:vAlign w:val="center"/>
          </w:tcPr>
          <w:p w14:paraId="1F2689E8">
            <w:pPr>
              <w:spacing w:line="400" w:lineRule="atLeast"/>
              <w:jc w:val="center"/>
              <w:rPr>
                <w:rFonts w:ascii="宋体" w:hAnsi="宋体"/>
                <w:color w:val="auto"/>
                <w:szCs w:val="21"/>
                <w:highlight w:val="none"/>
              </w:rPr>
            </w:pPr>
            <w:r>
              <w:rPr>
                <w:rFonts w:hint="eastAsia" w:ascii="宋体" w:hAnsi="宋体"/>
                <w:color w:val="auto"/>
                <w:sz w:val="20"/>
                <w:szCs w:val="20"/>
                <w:lang w:val="en-US" w:eastAsia="zh-CN"/>
              </w:rPr>
              <w:t>谈判</w:t>
            </w:r>
            <w:r>
              <w:rPr>
                <w:rFonts w:hint="eastAsia" w:ascii="宋体" w:hAnsi="宋体"/>
                <w:color w:val="auto"/>
                <w:szCs w:val="21"/>
                <w:highlight w:val="none"/>
              </w:rPr>
              <w:t>文件的条款要求</w:t>
            </w:r>
          </w:p>
        </w:tc>
        <w:tc>
          <w:tcPr>
            <w:tcW w:w="2835" w:type="dxa"/>
            <w:shd w:val="clear" w:color="auto" w:fill="F2F2F2"/>
            <w:vAlign w:val="center"/>
          </w:tcPr>
          <w:p w14:paraId="257D6094">
            <w:pPr>
              <w:spacing w:line="400" w:lineRule="atLeast"/>
              <w:jc w:val="center"/>
              <w:rPr>
                <w:rFonts w:ascii="宋体" w:hAnsi="宋体"/>
                <w:color w:val="auto"/>
                <w:szCs w:val="21"/>
                <w:highlight w:val="none"/>
              </w:rPr>
            </w:pPr>
            <w:r>
              <w:rPr>
                <w:rFonts w:hint="eastAsia" w:ascii="宋体" w:hAnsi="宋体"/>
                <w:color w:val="auto"/>
                <w:szCs w:val="21"/>
                <w:highlight w:val="none"/>
              </w:rPr>
              <w:t>响应文件商务条款响应情况</w:t>
            </w:r>
          </w:p>
        </w:tc>
        <w:tc>
          <w:tcPr>
            <w:tcW w:w="1843" w:type="dxa"/>
            <w:shd w:val="clear" w:color="auto" w:fill="F2F2F2"/>
            <w:vAlign w:val="center"/>
          </w:tcPr>
          <w:p w14:paraId="265563A2">
            <w:pPr>
              <w:spacing w:line="400" w:lineRule="atLeast"/>
              <w:jc w:val="center"/>
              <w:rPr>
                <w:rFonts w:ascii="宋体" w:hAnsi="宋体"/>
                <w:color w:val="auto"/>
                <w:szCs w:val="21"/>
                <w:highlight w:val="none"/>
              </w:rPr>
            </w:pPr>
            <w:r>
              <w:rPr>
                <w:rFonts w:hint="eastAsia" w:ascii="宋体" w:hAnsi="宋体"/>
                <w:color w:val="auto"/>
                <w:szCs w:val="21"/>
                <w:highlight w:val="none"/>
              </w:rPr>
              <w:t>响应/正偏离</w:t>
            </w:r>
          </w:p>
          <w:p w14:paraId="52711C4F">
            <w:pPr>
              <w:spacing w:line="400" w:lineRule="atLeast"/>
              <w:jc w:val="center"/>
              <w:rPr>
                <w:rFonts w:ascii="宋体" w:hAnsi="宋体"/>
                <w:color w:val="auto"/>
                <w:szCs w:val="21"/>
                <w:highlight w:val="none"/>
              </w:rPr>
            </w:pPr>
            <w:r>
              <w:rPr>
                <w:rFonts w:hint="eastAsia" w:ascii="宋体" w:hAnsi="宋体"/>
                <w:color w:val="auto"/>
                <w:szCs w:val="21"/>
                <w:highlight w:val="none"/>
              </w:rPr>
              <w:t>/负偏离</w:t>
            </w:r>
          </w:p>
        </w:tc>
      </w:tr>
      <w:tr w14:paraId="3EF356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00" w:hRule="atLeast"/>
        </w:trPr>
        <w:tc>
          <w:tcPr>
            <w:tcW w:w="748" w:type="dxa"/>
            <w:vAlign w:val="center"/>
          </w:tcPr>
          <w:p w14:paraId="36ED7395">
            <w:pPr>
              <w:spacing w:line="400" w:lineRule="atLeast"/>
              <w:jc w:val="center"/>
              <w:rPr>
                <w:rFonts w:ascii="宋体" w:hAnsi="宋体"/>
                <w:color w:val="auto"/>
                <w:szCs w:val="21"/>
                <w:highlight w:val="none"/>
              </w:rPr>
            </w:pPr>
            <w:r>
              <w:rPr>
                <w:rFonts w:hint="eastAsia" w:ascii="宋体" w:hAnsi="宋体"/>
                <w:color w:val="auto"/>
                <w:szCs w:val="21"/>
                <w:highlight w:val="none"/>
              </w:rPr>
              <w:t>1</w:t>
            </w:r>
          </w:p>
        </w:tc>
        <w:tc>
          <w:tcPr>
            <w:tcW w:w="1520" w:type="dxa"/>
            <w:vAlign w:val="center"/>
          </w:tcPr>
          <w:p w14:paraId="411881D2">
            <w:pPr>
              <w:spacing w:line="400" w:lineRule="atLeast"/>
              <w:jc w:val="center"/>
              <w:rPr>
                <w:color w:val="auto"/>
                <w:highlight w:val="none"/>
              </w:rPr>
            </w:pPr>
          </w:p>
        </w:tc>
        <w:tc>
          <w:tcPr>
            <w:tcW w:w="2410" w:type="dxa"/>
          </w:tcPr>
          <w:p w14:paraId="17249E7F">
            <w:pPr>
              <w:spacing w:line="400" w:lineRule="atLeast"/>
              <w:rPr>
                <w:rFonts w:ascii="宋体" w:hAnsi="宋体"/>
                <w:color w:val="auto"/>
                <w:szCs w:val="21"/>
                <w:highlight w:val="none"/>
              </w:rPr>
            </w:pPr>
          </w:p>
        </w:tc>
        <w:tc>
          <w:tcPr>
            <w:tcW w:w="2835" w:type="dxa"/>
          </w:tcPr>
          <w:p w14:paraId="3A25461E">
            <w:pPr>
              <w:spacing w:line="400" w:lineRule="atLeast"/>
              <w:rPr>
                <w:rFonts w:ascii="宋体" w:hAnsi="宋体"/>
                <w:color w:val="auto"/>
                <w:szCs w:val="21"/>
                <w:highlight w:val="none"/>
              </w:rPr>
            </w:pPr>
          </w:p>
        </w:tc>
        <w:tc>
          <w:tcPr>
            <w:tcW w:w="1843" w:type="dxa"/>
          </w:tcPr>
          <w:p w14:paraId="34225B65">
            <w:pPr>
              <w:spacing w:line="400" w:lineRule="atLeast"/>
              <w:rPr>
                <w:rFonts w:ascii="宋体" w:hAnsi="宋体"/>
                <w:color w:val="auto"/>
                <w:szCs w:val="21"/>
                <w:highlight w:val="none"/>
              </w:rPr>
            </w:pPr>
          </w:p>
        </w:tc>
      </w:tr>
      <w:tr w14:paraId="621C41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00" w:hRule="atLeast"/>
        </w:trPr>
        <w:tc>
          <w:tcPr>
            <w:tcW w:w="748" w:type="dxa"/>
            <w:vAlign w:val="center"/>
          </w:tcPr>
          <w:p w14:paraId="206AB8D0">
            <w:pPr>
              <w:spacing w:line="400" w:lineRule="atLeast"/>
              <w:jc w:val="center"/>
              <w:rPr>
                <w:rFonts w:ascii="宋体" w:hAnsi="宋体"/>
                <w:color w:val="auto"/>
                <w:szCs w:val="21"/>
                <w:highlight w:val="none"/>
              </w:rPr>
            </w:pPr>
            <w:r>
              <w:rPr>
                <w:rFonts w:hint="eastAsia" w:ascii="宋体" w:hAnsi="宋体"/>
                <w:color w:val="auto"/>
                <w:szCs w:val="21"/>
                <w:highlight w:val="none"/>
              </w:rPr>
              <w:t>2</w:t>
            </w:r>
          </w:p>
        </w:tc>
        <w:tc>
          <w:tcPr>
            <w:tcW w:w="1520" w:type="dxa"/>
            <w:vAlign w:val="center"/>
          </w:tcPr>
          <w:p w14:paraId="795698AE">
            <w:pPr>
              <w:spacing w:line="400" w:lineRule="atLeast"/>
              <w:jc w:val="center"/>
              <w:rPr>
                <w:color w:val="auto"/>
                <w:szCs w:val="21"/>
                <w:highlight w:val="none"/>
              </w:rPr>
            </w:pPr>
          </w:p>
        </w:tc>
        <w:tc>
          <w:tcPr>
            <w:tcW w:w="2410" w:type="dxa"/>
          </w:tcPr>
          <w:p w14:paraId="7856E39B">
            <w:pPr>
              <w:spacing w:line="400" w:lineRule="atLeast"/>
              <w:rPr>
                <w:rFonts w:ascii="宋体" w:hAnsi="宋体"/>
                <w:color w:val="auto"/>
                <w:szCs w:val="21"/>
                <w:highlight w:val="none"/>
              </w:rPr>
            </w:pPr>
          </w:p>
        </w:tc>
        <w:tc>
          <w:tcPr>
            <w:tcW w:w="2835" w:type="dxa"/>
          </w:tcPr>
          <w:p w14:paraId="43942BB6">
            <w:pPr>
              <w:spacing w:line="400" w:lineRule="atLeast"/>
              <w:rPr>
                <w:rFonts w:ascii="宋体" w:hAnsi="宋体"/>
                <w:color w:val="auto"/>
                <w:szCs w:val="21"/>
                <w:highlight w:val="none"/>
              </w:rPr>
            </w:pPr>
          </w:p>
        </w:tc>
        <w:tc>
          <w:tcPr>
            <w:tcW w:w="1843" w:type="dxa"/>
          </w:tcPr>
          <w:p w14:paraId="469DC265">
            <w:pPr>
              <w:spacing w:line="400" w:lineRule="atLeast"/>
              <w:rPr>
                <w:rFonts w:ascii="宋体" w:hAnsi="宋体"/>
                <w:color w:val="auto"/>
                <w:szCs w:val="21"/>
                <w:highlight w:val="none"/>
              </w:rPr>
            </w:pPr>
          </w:p>
        </w:tc>
      </w:tr>
      <w:tr w14:paraId="31C1CD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00" w:hRule="atLeast"/>
        </w:trPr>
        <w:tc>
          <w:tcPr>
            <w:tcW w:w="748" w:type="dxa"/>
            <w:vAlign w:val="center"/>
          </w:tcPr>
          <w:p w14:paraId="1E8ED892">
            <w:pPr>
              <w:spacing w:line="400" w:lineRule="atLeast"/>
              <w:jc w:val="center"/>
              <w:rPr>
                <w:rFonts w:ascii="宋体" w:hAnsi="宋体"/>
                <w:color w:val="auto"/>
                <w:szCs w:val="21"/>
                <w:highlight w:val="none"/>
              </w:rPr>
            </w:pPr>
            <w:r>
              <w:rPr>
                <w:rFonts w:hint="eastAsia" w:ascii="宋体" w:hAnsi="宋体"/>
                <w:color w:val="auto"/>
                <w:szCs w:val="21"/>
                <w:highlight w:val="none"/>
              </w:rPr>
              <w:t>3</w:t>
            </w:r>
          </w:p>
        </w:tc>
        <w:tc>
          <w:tcPr>
            <w:tcW w:w="1520" w:type="dxa"/>
            <w:vAlign w:val="center"/>
          </w:tcPr>
          <w:p w14:paraId="0BBD2DCB">
            <w:pPr>
              <w:spacing w:line="400" w:lineRule="atLeast"/>
              <w:jc w:val="center"/>
              <w:rPr>
                <w:rFonts w:ascii="宋体" w:hAnsi="宋体"/>
                <w:color w:val="auto"/>
                <w:szCs w:val="21"/>
                <w:highlight w:val="none"/>
              </w:rPr>
            </w:pPr>
            <w:r>
              <w:rPr>
                <w:rFonts w:hint="eastAsia" w:ascii="宋体" w:hAnsi="宋体"/>
                <w:color w:val="auto"/>
                <w:szCs w:val="21"/>
                <w:highlight w:val="none"/>
              </w:rPr>
              <w:t>……</w:t>
            </w:r>
          </w:p>
        </w:tc>
        <w:tc>
          <w:tcPr>
            <w:tcW w:w="2410" w:type="dxa"/>
          </w:tcPr>
          <w:p w14:paraId="36A32903">
            <w:pPr>
              <w:spacing w:line="400" w:lineRule="atLeast"/>
              <w:rPr>
                <w:rFonts w:ascii="宋体" w:hAnsi="宋体"/>
                <w:color w:val="auto"/>
                <w:szCs w:val="21"/>
                <w:highlight w:val="none"/>
              </w:rPr>
            </w:pPr>
          </w:p>
        </w:tc>
        <w:tc>
          <w:tcPr>
            <w:tcW w:w="2835" w:type="dxa"/>
          </w:tcPr>
          <w:p w14:paraId="314D3496">
            <w:pPr>
              <w:spacing w:line="400" w:lineRule="atLeast"/>
              <w:rPr>
                <w:rFonts w:ascii="宋体" w:hAnsi="宋体"/>
                <w:color w:val="auto"/>
                <w:szCs w:val="21"/>
                <w:highlight w:val="none"/>
              </w:rPr>
            </w:pPr>
          </w:p>
        </w:tc>
        <w:tc>
          <w:tcPr>
            <w:tcW w:w="1843" w:type="dxa"/>
          </w:tcPr>
          <w:p w14:paraId="44A09CCF">
            <w:pPr>
              <w:spacing w:line="400" w:lineRule="atLeast"/>
              <w:rPr>
                <w:rFonts w:ascii="宋体" w:hAnsi="宋体"/>
                <w:color w:val="auto"/>
                <w:szCs w:val="21"/>
                <w:highlight w:val="none"/>
              </w:rPr>
            </w:pPr>
          </w:p>
        </w:tc>
      </w:tr>
      <w:tr w14:paraId="14D65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00" w:hRule="atLeast"/>
        </w:trPr>
        <w:tc>
          <w:tcPr>
            <w:tcW w:w="748" w:type="dxa"/>
          </w:tcPr>
          <w:p w14:paraId="574F3CCB">
            <w:pPr>
              <w:spacing w:line="400" w:lineRule="atLeast"/>
              <w:rPr>
                <w:rFonts w:ascii="宋体" w:hAnsi="宋体"/>
                <w:color w:val="auto"/>
                <w:szCs w:val="21"/>
                <w:highlight w:val="none"/>
              </w:rPr>
            </w:pPr>
          </w:p>
        </w:tc>
        <w:tc>
          <w:tcPr>
            <w:tcW w:w="1520" w:type="dxa"/>
          </w:tcPr>
          <w:p w14:paraId="55F50D6C">
            <w:pPr>
              <w:spacing w:line="400" w:lineRule="atLeast"/>
              <w:rPr>
                <w:rFonts w:ascii="宋体" w:hAnsi="宋体"/>
                <w:color w:val="auto"/>
                <w:szCs w:val="21"/>
                <w:highlight w:val="none"/>
              </w:rPr>
            </w:pPr>
          </w:p>
        </w:tc>
        <w:tc>
          <w:tcPr>
            <w:tcW w:w="2410" w:type="dxa"/>
          </w:tcPr>
          <w:p w14:paraId="4B8F30B0">
            <w:pPr>
              <w:spacing w:line="400" w:lineRule="atLeast"/>
              <w:rPr>
                <w:rFonts w:ascii="宋体" w:hAnsi="宋体"/>
                <w:color w:val="auto"/>
                <w:szCs w:val="21"/>
                <w:highlight w:val="none"/>
              </w:rPr>
            </w:pPr>
          </w:p>
        </w:tc>
        <w:tc>
          <w:tcPr>
            <w:tcW w:w="2835" w:type="dxa"/>
          </w:tcPr>
          <w:p w14:paraId="4B49AC10">
            <w:pPr>
              <w:spacing w:line="400" w:lineRule="atLeast"/>
              <w:rPr>
                <w:rFonts w:ascii="宋体" w:hAnsi="宋体"/>
                <w:color w:val="auto"/>
                <w:szCs w:val="21"/>
                <w:highlight w:val="none"/>
              </w:rPr>
            </w:pPr>
          </w:p>
        </w:tc>
        <w:tc>
          <w:tcPr>
            <w:tcW w:w="1843" w:type="dxa"/>
          </w:tcPr>
          <w:p w14:paraId="33D8733B">
            <w:pPr>
              <w:spacing w:line="400" w:lineRule="atLeast"/>
              <w:rPr>
                <w:rFonts w:ascii="宋体" w:hAnsi="宋体"/>
                <w:color w:val="auto"/>
                <w:szCs w:val="21"/>
                <w:highlight w:val="none"/>
              </w:rPr>
            </w:pPr>
          </w:p>
        </w:tc>
      </w:tr>
    </w:tbl>
    <w:p w14:paraId="6E1D11B6">
      <w:pPr>
        <w:pStyle w:val="14"/>
        <w:ind w:firstLine="0" w:firstLineChars="0"/>
        <w:jc w:val="left"/>
        <w:rPr>
          <w:rFonts w:hint="eastAsia" w:ascii="宋体" w:hAnsi="宋体"/>
          <w:color w:val="auto"/>
          <w:sz w:val="20"/>
          <w:szCs w:val="20"/>
          <w:lang w:eastAsia="zh-CN"/>
        </w:rPr>
      </w:pPr>
      <w:r>
        <w:rPr>
          <w:rFonts w:hint="eastAsia" w:ascii="宋体" w:hAnsi="宋体"/>
          <w:color w:val="auto"/>
          <w:sz w:val="20"/>
          <w:szCs w:val="20"/>
          <w:lang w:eastAsia="zh-CN"/>
        </w:rPr>
        <w:t>注：1.投标人应对照</w:t>
      </w:r>
      <w:r>
        <w:rPr>
          <w:rFonts w:hint="eastAsia" w:ascii="宋体" w:hAnsi="宋体"/>
          <w:color w:val="auto"/>
          <w:sz w:val="20"/>
          <w:szCs w:val="20"/>
          <w:lang w:val="en-US" w:eastAsia="zh-CN"/>
        </w:rPr>
        <w:t>谈判</w:t>
      </w:r>
      <w:r>
        <w:rPr>
          <w:rFonts w:hint="eastAsia" w:ascii="宋体" w:hAnsi="宋体"/>
          <w:color w:val="auto"/>
          <w:sz w:val="20"/>
          <w:szCs w:val="20"/>
          <w:lang w:eastAsia="zh-CN"/>
        </w:rPr>
        <w:t>文件相应商务条款要求</w:t>
      </w:r>
      <w:r>
        <w:rPr>
          <w:rFonts w:hint="eastAsia" w:ascii="宋体" w:hAnsi="宋体"/>
          <w:color w:val="auto"/>
          <w:sz w:val="20"/>
          <w:szCs w:val="20"/>
          <w:lang w:val="en-US" w:eastAsia="zh-CN"/>
        </w:rPr>
        <w:t>谈判</w:t>
      </w:r>
      <w:r>
        <w:rPr>
          <w:rFonts w:hint="eastAsia" w:ascii="宋体" w:hAnsi="宋体" w:eastAsia="宋体" w:cs="Times New Roman"/>
          <w:color w:val="auto"/>
          <w:sz w:val="20"/>
          <w:szCs w:val="20"/>
          <w:lang w:eastAsia="zh-CN"/>
        </w:rPr>
        <w:t>文件第五章</w:t>
      </w:r>
      <w:r>
        <w:rPr>
          <w:rFonts w:hint="eastAsia" w:ascii="宋体" w:hAnsi="宋体" w:cs="宋体"/>
          <w:b/>
          <w:color w:val="auto"/>
          <w:sz w:val="21"/>
          <w:szCs w:val="21"/>
          <w:lang w:eastAsia="zh-CN"/>
        </w:rPr>
        <w:t>“采购需求及技术要求”</w:t>
      </w:r>
      <w:r>
        <w:rPr>
          <w:rFonts w:hint="eastAsia" w:ascii="宋体" w:hAnsi="宋体"/>
          <w:color w:val="auto"/>
          <w:sz w:val="20"/>
          <w:szCs w:val="20"/>
          <w:lang w:eastAsia="zh-CN"/>
        </w:rPr>
        <w:t>中相应商务条款要求，逐条如实说明所提供服务和服务已对</w:t>
      </w:r>
      <w:r>
        <w:rPr>
          <w:rFonts w:hint="eastAsia" w:ascii="宋体" w:hAnsi="宋体"/>
          <w:color w:val="auto"/>
          <w:sz w:val="20"/>
          <w:szCs w:val="20"/>
          <w:lang w:val="en-US" w:eastAsia="zh-CN"/>
        </w:rPr>
        <w:t>谈判</w:t>
      </w:r>
      <w:r>
        <w:rPr>
          <w:rFonts w:hint="eastAsia" w:ascii="宋体" w:hAnsi="宋体"/>
          <w:color w:val="auto"/>
          <w:sz w:val="20"/>
          <w:szCs w:val="20"/>
          <w:lang w:eastAsia="zh-CN"/>
        </w:rPr>
        <w:t>文件的商务条款做出了响应，并申明与本采购文件所要求商务条款的偏差和例外。</w:t>
      </w:r>
    </w:p>
    <w:p w14:paraId="7A8CEEE9">
      <w:pPr>
        <w:pStyle w:val="14"/>
        <w:ind w:firstLine="0" w:firstLineChars="0"/>
        <w:jc w:val="left"/>
        <w:rPr>
          <w:rFonts w:hint="eastAsia" w:ascii="宋体" w:hAnsi="宋体"/>
          <w:color w:val="auto"/>
          <w:sz w:val="20"/>
          <w:szCs w:val="20"/>
          <w:lang w:eastAsia="zh-CN"/>
        </w:rPr>
      </w:pPr>
      <w:r>
        <w:rPr>
          <w:rFonts w:hint="eastAsia" w:ascii="宋体" w:hAnsi="宋体"/>
          <w:color w:val="auto"/>
          <w:sz w:val="20"/>
          <w:szCs w:val="20"/>
          <w:lang w:eastAsia="zh-CN"/>
        </w:rPr>
        <w:t>2.如无偏差，投标人不需要填表，但应按下列内容进行承诺。</w:t>
      </w:r>
    </w:p>
    <w:p w14:paraId="0D849EBB">
      <w:pPr>
        <w:pStyle w:val="14"/>
        <w:spacing w:line="360" w:lineRule="auto"/>
        <w:ind w:firstLine="0" w:firstLineChars="0"/>
        <w:jc w:val="center"/>
        <w:rPr>
          <w:rFonts w:hint="eastAsia" w:ascii="宋体" w:hAnsi="宋体"/>
          <w:b/>
          <w:bCs/>
          <w:color w:val="auto"/>
          <w:sz w:val="32"/>
          <w:szCs w:val="32"/>
          <w:lang w:eastAsia="zh-CN"/>
        </w:rPr>
      </w:pPr>
      <w:r>
        <w:rPr>
          <w:rFonts w:hint="eastAsia" w:ascii="宋体" w:hAnsi="宋体"/>
          <w:b/>
          <w:bCs/>
          <w:color w:val="auto"/>
          <w:sz w:val="32"/>
          <w:szCs w:val="32"/>
          <w:lang w:eastAsia="zh-CN"/>
        </w:rPr>
        <w:t>承诺函</w:t>
      </w:r>
    </w:p>
    <w:p w14:paraId="4B37885E">
      <w:pPr>
        <w:pStyle w:val="14"/>
        <w:spacing w:line="360" w:lineRule="auto"/>
        <w:rPr>
          <w:rFonts w:hint="eastAsia" w:ascii="宋体" w:hAnsi="宋体"/>
          <w:color w:val="auto"/>
          <w:szCs w:val="21"/>
          <w:lang w:eastAsia="zh-CN"/>
        </w:rPr>
      </w:pPr>
      <w:r>
        <w:rPr>
          <w:rFonts w:hint="eastAsia" w:ascii="宋体" w:hAnsi="宋体"/>
          <w:color w:val="auto"/>
          <w:szCs w:val="21"/>
          <w:lang w:eastAsia="zh-CN"/>
        </w:rPr>
        <w:t>我公司承诺，我公司参与本项目的投标，除商务条款偏离表出的偏离外，我公司完全响应</w:t>
      </w:r>
      <w:r>
        <w:rPr>
          <w:rFonts w:hint="eastAsia" w:ascii="宋体" w:hAnsi="宋体"/>
          <w:color w:val="auto"/>
          <w:sz w:val="20"/>
          <w:szCs w:val="20"/>
          <w:lang w:val="en-US" w:eastAsia="zh-CN"/>
        </w:rPr>
        <w:t>谈判</w:t>
      </w:r>
      <w:r>
        <w:rPr>
          <w:rFonts w:hint="eastAsia" w:ascii="宋体" w:hAnsi="宋体"/>
          <w:color w:val="auto"/>
          <w:szCs w:val="21"/>
          <w:lang w:eastAsia="zh-CN"/>
        </w:rPr>
        <w:t>文件的全部商务条款，若</w:t>
      </w:r>
      <w:r>
        <w:rPr>
          <w:rFonts w:hint="eastAsia" w:ascii="宋体" w:hAnsi="宋体"/>
          <w:color w:val="auto"/>
          <w:szCs w:val="21"/>
          <w:lang w:val="en-US" w:eastAsia="zh-CN"/>
        </w:rPr>
        <w:t>响应</w:t>
      </w:r>
      <w:r>
        <w:rPr>
          <w:rFonts w:hint="eastAsia" w:ascii="宋体" w:hAnsi="宋体"/>
          <w:color w:val="auto"/>
          <w:szCs w:val="21"/>
          <w:lang w:eastAsia="zh-CN"/>
        </w:rPr>
        <w:t>文件中响应情况与</w:t>
      </w:r>
      <w:r>
        <w:rPr>
          <w:rFonts w:hint="eastAsia" w:ascii="宋体" w:hAnsi="宋体"/>
          <w:color w:val="auto"/>
          <w:szCs w:val="21"/>
          <w:lang w:val="en-US" w:eastAsia="zh-CN"/>
        </w:rPr>
        <w:t>谈判</w:t>
      </w:r>
      <w:r>
        <w:rPr>
          <w:rFonts w:hint="eastAsia" w:ascii="宋体" w:hAnsi="宋体"/>
          <w:color w:val="auto"/>
          <w:szCs w:val="21"/>
          <w:lang w:eastAsia="zh-CN"/>
        </w:rPr>
        <w:t>文件商务条款不符或无有效证明，而我公司又未在响应文件中作出说明和解释的，</w:t>
      </w:r>
      <w:r>
        <w:rPr>
          <w:rFonts w:hint="eastAsia" w:ascii="宋体" w:hAnsi="宋体"/>
          <w:color w:val="auto"/>
          <w:szCs w:val="21"/>
          <w:lang w:val="en-US" w:eastAsia="zh-CN"/>
        </w:rPr>
        <w:t>谈判小组</w:t>
      </w:r>
      <w:r>
        <w:rPr>
          <w:rFonts w:hint="eastAsia" w:ascii="宋体" w:hAnsi="宋体"/>
          <w:color w:val="auto"/>
          <w:szCs w:val="21"/>
          <w:lang w:eastAsia="zh-CN"/>
        </w:rPr>
        <w:t>在评审时可以视为不响应该条商务条款的规定。</w:t>
      </w:r>
    </w:p>
    <w:p w14:paraId="50EA1A10">
      <w:pPr>
        <w:pStyle w:val="138"/>
        <w:ind w:firstLine="284"/>
        <w:rPr>
          <w:rFonts w:hint="eastAsia" w:ascii="宋体" w:hAnsi="宋体"/>
          <w:color w:val="auto"/>
          <w:sz w:val="18"/>
          <w:szCs w:val="18"/>
        </w:rPr>
      </w:pPr>
    </w:p>
    <w:p w14:paraId="70B07419">
      <w:pPr>
        <w:spacing w:line="400" w:lineRule="atLeast"/>
        <w:ind w:firstLine="315" w:firstLineChars="150"/>
        <w:rPr>
          <w:rFonts w:hint="eastAsia" w:ascii="宋体" w:hAnsi="宋体"/>
          <w:color w:val="auto"/>
        </w:rPr>
      </w:pPr>
    </w:p>
    <w:p w14:paraId="3C62C8E9">
      <w:pPr>
        <w:spacing w:line="400" w:lineRule="atLeast"/>
        <w:ind w:firstLine="315" w:firstLineChars="150"/>
        <w:rPr>
          <w:rFonts w:hint="eastAsia" w:ascii="宋体" w:hAnsi="宋体"/>
          <w:color w:val="auto"/>
        </w:rPr>
      </w:pPr>
    </w:p>
    <w:p w14:paraId="34C266CA">
      <w:pPr>
        <w:spacing w:before="60" w:after="60" w:line="480" w:lineRule="auto"/>
        <w:rPr>
          <w:rFonts w:hint="eastAsia" w:ascii="宋体" w:hAnsi="宋体"/>
          <w:color w:val="auto"/>
          <w:szCs w:val="21"/>
        </w:rPr>
      </w:pPr>
      <w:r>
        <w:rPr>
          <w:rFonts w:hint="eastAsia" w:ascii="宋体" w:hAnsi="宋体"/>
          <w:color w:val="auto"/>
          <w:szCs w:val="21"/>
        </w:rPr>
        <w:t>投标人(电子签章)：</w:t>
      </w:r>
      <w:r>
        <w:rPr>
          <w:rFonts w:ascii="宋体" w:hAnsi="宋体"/>
          <w:color w:val="auto"/>
          <w:szCs w:val="21"/>
          <w:u w:val="single"/>
        </w:rPr>
        <w:t xml:space="preserve">                                     </w:t>
      </w:r>
      <w:r>
        <w:rPr>
          <w:rFonts w:hint="eastAsia" w:ascii="宋体" w:hAnsi="宋体"/>
          <w:color w:val="auto"/>
          <w:szCs w:val="21"/>
        </w:rPr>
        <w:t xml:space="preserve">                         </w:t>
      </w:r>
    </w:p>
    <w:p w14:paraId="20EE2C8D">
      <w:pPr>
        <w:spacing w:before="60" w:after="60" w:line="480" w:lineRule="auto"/>
        <w:rPr>
          <w:rFonts w:hint="eastAsia" w:ascii="宋体" w:hAnsi="宋体"/>
          <w:color w:val="auto"/>
          <w:szCs w:val="21"/>
        </w:rPr>
      </w:pPr>
      <w:r>
        <w:rPr>
          <w:rFonts w:hint="eastAsia" w:ascii="宋体" w:hAnsi="宋体"/>
          <w:color w:val="auto"/>
          <w:szCs w:val="21"/>
        </w:rPr>
        <w:t>法定代表人或委托代理人（电子签名）：</w:t>
      </w:r>
      <w:r>
        <w:rPr>
          <w:rFonts w:hint="eastAsia" w:ascii="宋体" w:hAnsi="宋体"/>
          <w:color w:val="auto"/>
          <w:szCs w:val="21"/>
          <w:u w:val="single"/>
        </w:rPr>
        <w:t xml:space="preserve">                    </w:t>
      </w:r>
    </w:p>
    <w:p w14:paraId="6C2FD68A">
      <w:pPr>
        <w:spacing w:before="60" w:after="60" w:line="480" w:lineRule="auto"/>
        <w:rPr>
          <w:rFonts w:hint="eastAsia" w:ascii="宋体" w:hAnsi="宋体"/>
          <w:color w:val="auto"/>
          <w:szCs w:val="21"/>
        </w:rPr>
      </w:pPr>
      <w:r>
        <w:rPr>
          <w:rFonts w:hint="eastAsia" w:ascii="宋体" w:hAnsi="宋体"/>
          <w:color w:val="auto"/>
          <w:szCs w:val="21"/>
        </w:rPr>
        <w:t>日期：</w:t>
      </w:r>
      <w:r>
        <w:rPr>
          <w:rFonts w:ascii="宋体" w:hAnsi="宋体"/>
          <w:color w:val="auto"/>
          <w:szCs w:val="21"/>
        </w:rPr>
        <w:t>______</w:t>
      </w:r>
      <w:r>
        <w:rPr>
          <w:rFonts w:hint="eastAsia" w:ascii="宋体" w:hAnsi="宋体"/>
          <w:color w:val="auto"/>
          <w:szCs w:val="21"/>
        </w:rPr>
        <w:t>年</w:t>
      </w:r>
      <w:r>
        <w:rPr>
          <w:rFonts w:ascii="宋体" w:hAnsi="宋体"/>
          <w:color w:val="auto"/>
          <w:szCs w:val="21"/>
        </w:rPr>
        <w:t>_____</w:t>
      </w:r>
      <w:r>
        <w:rPr>
          <w:rFonts w:hint="eastAsia" w:ascii="宋体" w:hAnsi="宋体"/>
          <w:color w:val="auto"/>
          <w:szCs w:val="21"/>
        </w:rPr>
        <w:t>月</w:t>
      </w:r>
      <w:r>
        <w:rPr>
          <w:rFonts w:ascii="宋体" w:hAnsi="宋体"/>
          <w:color w:val="auto"/>
          <w:szCs w:val="21"/>
        </w:rPr>
        <w:t>_____</w:t>
      </w:r>
      <w:r>
        <w:rPr>
          <w:rFonts w:hint="eastAsia" w:ascii="宋体" w:hAnsi="宋体"/>
          <w:color w:val="auto"/>
          <w:szCs w:val="21"/>
        </w:rPr>
        <w:t>日</w:t>
      </w:r>
    </w:p>
    <w:p w14:paraId="02466A9E">
      <w:pPr>
        <w:widowControl/>
        <w:jc w:val="left"/>
        <w:rPr>
          <w:rFonts w:hint="eastAsia" w:ascii="宋体" w:hAnsi="宋体"/>
          <w:color w:val="auto"/>
          <w:szCs w:val="21"/>
        </w:rPr>
      </w:pPr>
      <w:r>
        <w:rPr>
          <w:rFonts w:ascii="宋体" w:hAnsi="宋体"/>
          <w:color w:val="auto"/>
          <w:szCs w:val="21"/>
        </w:rPr>
        <w:br w:type="page"/>
      </w:r>
    </w:p>
    <w:p w14:paraId="760C183C">
      <w:pPr>
        <w:pStyle w:val="134"/>
        <w:spacing w:before="240" w:after="0"/>
        <w:jc w:val="center"/>
        <w:rPr>
          <w:rFonts w:hint="eastAsia" w:ascii="宋体" w:hAnsi="宋体"/>
          <w:color w:val="auto"/>
        </w:rPr>
      </w:pPr>
      <w:bookmarkStart w:id="515" w:name="_Toc450064603"/>
      <w:bookmarkEnd w:id="515"/>
      <w:bookmarkStart w:id="516" w:name="_Toc113985033"/>
      <w:bookmarkEnd w:id="516"/>
      <w:bookmarkStart w:id="517" w:name="_Toc389644554"/>
      <w:bookmarkEnd w:id="517"/>
      <w:bookmarkStart w:id="518" w:name="_Toc12946"/>
      <w:bookmarkStart w:id="519" w:name="_Toc111047018"/>
      <w:bookmarkStart w:id="520" w:name="_Toc11852"/>
      <w:r>
        <w:rPr>
          <w:rFonts w:hint="eastAsia" w:ascii="宋体" w:hAnsi="宋体"/>
          <w:color w:val="auto"/>
          <w:lang w:val="en-US" w:eastAsia="zh-CN"/>
        </w:rPr>
        <w:t>（五）</w:t>
      </w:r>
      <w:r>
        <w:rPr>
          <w:rFonts w:hint="eastAsia" w:ascii="宋体" w:hAnsi="宋体"/>
          <w:color w:val="auto"/>
        </w:rPr>
        <w:t>中小企业声明函</w:t>
      </w:r>
      <w:bookmarkEnd w:id="518"/>
      <w:bookmarkEnd w:id="519"/>
      <w:bookmarkEnd w:id="520"/>
    </w:p>
    <w:p w14:paraId="490AAD75">
      <w:pPr>
        <w:jc w:val="center"/>
        <w:rPr>
          <w:b/>
          <w:bCs/>
          <w:color w:val="auto"/>
          <w:sz w:val="28"/>
          <w:szCs w:val="36"/>
        </w:rPr>
      </w:pPr>
      <w:r>
        <w:rPr>
          <w:rFonts w:hint="eastAsia" w:ascii="宋体" w:hAnsi="宋体"/>
          <w:b/>
          <w:bCs/>
          <w:color w:val="auto"/>
          <w:sz w:val="28"/>
          <w:szCs w:val="36"/>
        </w:rPr>
        <w:t>中小企业声明函</w:t>
      </w:r>
      <w:r>
        <w:rPr>
          <w:rFonts w:hint="eastAsia" w:ascii="宋体" w:hAnsi="宋体"/>
          <w:b/>
          <w:bCs/>
          <w:color w:val="auto"/>
          <w:sz w:val="28"/>
          <w:szCs w:val="36"/>
          <w:highlight w:val="none"/>
          <w:lang w:eastAsia="zh-CN"/>
        </w:rPr>
        <w:t>（货物）</w:t>
      </w:r>
    </w:p>
    <w:p w14:paraId="39AD3E7E">
      <w:pPr>
        <w:pStyle w:val="103"/>
        <w:spacing w:line="360" w:lineRule="auto"/>
        <w:ind w:firstLine="480" w:firstLineChars="200"/>
        <w:rPr>
          <w:color w:val="auto"/>
        </w:rPr>
      </w:pPr>
    </w:p>
    <w:p w14:paraId="46432B35">
      <w:pPr>
        <w:pStyle w:val="103"/>
        <w:spacing w:line="360" w:lineRule="auto"/>
        <w:ind w:firstLine="420" w:firstLineChars="200"/>
        <w:rPr>
          <w:color w:val="auto"/>
          <w:sz w:val="21"/>
          <w:szCs w:val="21"/>
        </w:rPr>
      </w:pPr>
      <w:r>
        <w:rPr>
          <w:rFonts w:hint="eastAsia"/>
          <w:color w:val="auto"/>
          <w:sz w:val="21"/>
          <w:szCs w:val="21"/>
        </w:rPr>
        <w:t>本公司（联合体）郑重声明，根据《政府采购促进中小企业发展管理办法》（财库</w:t>
      </w:r>
      <w:r>
        <w:rPr>
          <w:color w:val="auto"/>
          <w:sz w:val="21"/>
          <w:szCs w:val="21"/>
        </w:rPr>
        <w:t>[2020]46</w:t>
      </w:r>
      <w:r>
        <w:rPr>
          <w:rFonts w:hint="eastAsia"/>
          <w:color w:val="auto"/>
          <w:sz w:val="21"/>
          <w:szCs w:val="21"/>
        </w:rPr>
        <w:t>号）的规定，本公司（联合体）参加</w:t>
      </w:r>
      <w:r>
        <w:rPr>
          <w:rFonts w:hint="eastAsia"/>
          <w:color w:val="auto"/>
          <w:sz w:val="21"/>
          <w:szCs w:val="21"/>
          <w:u w:val="single"/>
        </w:rPr>
        <w:t xml:space="preserve"> </w:t>
      </w:r>
      <w:r>
        <w:rPr>
          <w:color w:val="auto"/>
          <w:sz w:val="21"/>
          <w:szCs w:val="21"/>
          <w:u w:val="single"/>
        </w:rPr>
        <w:t xml:space="preserve">                   </w:t>
      </w:r>
      <w:r>
        <w:rPr>
          <w:rFonts w:hint="eastAsia"/>
          <w:color w:val="auto"/>
          <w:sz w:val="21"/>
          <w:szCs w:val="21"/>
          <w:u w:val="single"/>
        </w:rPr>
        <w:t>（单位名称）</w:t>
      </w:r>
      <w:r>
        <w:rPr>
          <w:rFonts w:hint="eastAsia"/>
          <w:color w:val="auto"/>
          <w:sz w:val="21"/>
          <w:szCs w:val="21"/>
        </w:rPr>
        <w:t>的</w:t>
      </w:r>
      <w:r>
        <w:rPr>
          <w:rFonts w:hint="eastAsia"/>
          <w:color w:val="auto"/>
          <w:sz w:val="21"/>
          <w:szCs w:val="21"/>
          <w:u w:val="single"/>
        </w:rPr>
        <w:t xml:space="preserve"> </w:t>
      </w:r>
      <w:r>
        <w:rPr>
          <w:color w:val="auto"/>
          <w:sz w:val="21"/>
          <w:szCs w:val="21"/>
          <w:u w:val="single"/>
        </w:rPr>
        <w:t xml:space="preserve">               </w:t>
      </w:r>
      <w:r>
        <w:rPr>
          <w:rFonts w:hint="eastAsia"/>
          <w:color w:val="auto"/>
          <w:sz w:val="21"/>
          <w:szCs w:val="21"/>
          <w:u w:val="single"/>
        </w:rPr>
        <w:t>（项目名称）</w:t>
      </w:r>
      <w:r>
        <w:rPr>
          <w:rFonts w:hint="eastAsia"/>
          <w:color w:val="auto"/>
          <w:sz w:val="21"/>
          <w:szCs w:val="21"/>
        </w:rPr>
        <w:t>采购活动，服务全部由符合政策要求的中小企业承接。相关企业（含联合体中的中小企业、签订分包意向协议的中小企业）的具体情况如下：</w:t>
      </w:r>
    </w:p>
    <w:p w14:paraId="19DD7C61">
      <w:pPr>
        <w:pStyle w:val="103"/>
        <w:spacing w:line="360" w:lineRule="auto"/>
        <w:ind w:firstLine="420" w:firstLineChars="200"/>
        <w:rPr>
          <w:color w:val="auto"/>
          <w:sz w:val="21"/>
          <w:szCs w:val="21"/>
          <w:u w:val="single"/>
        </w:rPr>
      </w:pPr>
      <w:r>
        <w:rPr>
          <w:color w:val="auto"/>
          <w:sz w:val="21"/>
          <w:szCs w:val="21"/>
        </w:rPr>
        <w:t>1.</w:t>
      </w:r>
      <w:r>
        <w:rPr>
          <w:rFonts w:hint="eastAsia"/>
          <w:color w:val="auto"/>
          <w:sz w:val="21"/>
          <w:szCs w:val="21"/>
          <w:u w:val="single"/>
        </w:rPr>
        <w:t>（标的名称），</w:t>
      </w:r>
      <w:r>
        <w:rPr>
          <w:rFonts w:hint="eastAsia"/>
          <w:color w:val="auto"/>
          <w:sz w:val="21"/>
          <w:szCs w:val="21"/>
        </w:rPr>
        <w:t>属于</w:t>
      </w:r>
      <w:r>
        <w:rPr>
          <w:rFonts w:hint="eastAsia"/>
          <w:color w:val="auto"/>
          <w:sz w:val="21"/>
          <w:szCs w:val="21"/>
          <w:u w:val="single"/>
        </w:rPr>
        <w:t xml:space="preserve"> </w:t>
      </w:r>
      <w:r>
        <w:rPr>
          <w:color w:val="auto"/>
          <w:sz w:val="21"/>
          <w:szCs w:val="21"/>
          <w:u w:val="single"/>
        </w:rPr>
        <w:t xml:space="preserve">              </w:t>
      </w:r>
      <w:r>
        <w:rPr>
          <w:rFonts w:hint="eastAsia"/>
          <w:color w:val="auto"/>
          <w:sz w:val="21"/>
          <w:szCs w:val="21"/>
          <w:u w:val="single"/>
        </w:rPr>
        <w:t>（采购文件中明确的所属行业）</w:t>
      </w:r>
      <w:r>
        <w:rPr>
          <w:rFonts w:hint="eastAsia"/>
          <w:color w:val="auto"/>
          <w:sz w:val="21"/>
          <w:szCs w:val="21"/>
        </w:rPr>
        <w:t>；承建（承接）企业为</w:t>
      </w:r>
      <w:r>
        <w:rPr>
          <w:color w:val="auto"/>
          <w:sz w:val="21"/>
          <w:szCs w:val="21"/>
          <w:u w:val="single"/>
        </w:rPr>
        <w:t xml:space="preserve">     </w:t>
      </w:r>
      <w:r>
        <w:rPr>
          <w:rFonts w:hint="eastAsia"/>
          <w:color w:val="auto"/>
          <w:sz w:val="21"/>
          <w:szCs w:val="21"/>
        </w:rPr>
        <w:t>（企业名称），从业人员</w:t>
      </w:r>
      <w:r>
        <w:rPr>
          <w:rFonts w:hint="eastAsia"/>
          <w:color w:val="auto"/>
          <w:sz w:val="21"/>
          <w:szCs w:val="21"/>
          <w:u w:val="single"/>
        </w:rPr>
        <w:t xml:space="preserve">  </w:t>
      </w:r>
      <w:r>
        <w:rPr>
          <w:color w:val="auto"/>
          <w:sz w:val="21"/>
          <w:szCs w:val="21"/>
          <w:u w:val="single"/>
        </w:rPr>
        <w:t xml:space="preserve">  </w:t>
      </w:r>
      <w:r>
        <w:rPr>
          <w:rFonts w:hint="eastAsia"/>
          <w:color w:val="auto"/>
          <w:sz w:val="21"/>
          <w:szCs w:val="21"/>
        </w:rPr>
        <w:t>人，营业收入为</w:t>
      </w:r>
      <w:r>
        <w:rPr>
          <w:rFonts w:hint="eastAsia"/>
          <w:color w:val="auto"/>
          <w:sz w:val="21"/>
          <w:szCs w:val="21"/>
          <w:u w:val="single"/>
        </w:rPr>
        <w:t xml:space="preserve"> </w:t>
      </w:r>
      <w:r>
        <w:rPr>
          <w:color w:val="auto"/>
          <w:sz w:val="21"/>
          <w:szCs w:val="21"/>
          <w:u w:val="single"/>
        </w:rPr>
        <w:t xml:space="preserve">      </w:t>
      </w:r>
      <w:r>
        <w:rPr>
          <w:rFonts w:hint="eastAsia"/>
          <w:color w:val="auto"/>
          <w:sz w:val="21"/>
          <w:szCs w:val="21"/>
        </w:rPr>
        <w:t>万元，资产总额为</w:t>
      </w:r>
      <w:r>
        <w:rPr>
          <w:rFonts w:hint="eastAsia"/>
          <w:color w:val="auto"/>
          <w:sz w:val="21"/>
          <w:szCs w:val="21"/>
          <w:u w:val="single"/>
        </w:rPr>
        <w:t xml:space="preserve"> </w:t>
      </w:r>
      <w:r>
        <w:rPr>
          <w:color w:val="auto"/>
          <w:sz w:val="21"/>
          <w:szCs w:val="21"/>
          <w:u w:val="single"/>
        </w:rPr>
        <w:t xml:space="preserve">     </w:t>
      </w:r>
      <w:r>
        <w:rPr>
          <w:rFonts w:hint="eastAsia"/>
          <w:color w:val="auto"/>
          <w:sz w:val="21"/>
          <w:szCs w:val="21"/>
        </w:rPr>
        <w:t>万元</w:t>
      </w:r>
      <w:r>
        <w:rPr>
          <w:rFonts w:hint="eastAsia"/>
          <w:color w:val="auto"/>
          <w:sz w:val="21"/>
          <w:szCs w:val="21"/>
          <w:vertAlign w:val="superscript"/>
        </w:rPr>
        <w:t>1</w:t>
      </w:r>
      <w:r>
        <w:rPr>
          <w:rFonts w:hint="eastAsia"/>
          <w:color w:val="auto"/>
          <w:sz w:val="21"/>
          <w:szCs w:val="21"/>
        </w:rPr>
        <w:t>，属于</w:t>
      </w:r>
      <w:r>
        <w:rPr>
          <w:rFonts w:hint="eastAsia"/>
          <w:color w:val="auto"/>
          <w:sz w:val="21"/>
          <w:szCs w:val="21"/>
          <w:u w:val="single"/>
        </w:rPr>
        <w:t xml:space="preserve"> </w:t>
      </w:r>
      <w:r>
        <w:rPr>
          <w:color w:val="auto"/>
          <w:sz w:val="21"/>
          <w:szCs w:val="21"/>
          <w:u w:val="single"/>
        </w:rPr>
        <w:t xml:space="preserve">     </w:t>
      </w:r>
      <w:r>
        <w:rPr>
          <w:rFonts w:hint="eastAsia"/>
          <w:color w:val="auto"/>
          <w:sz w:val="21"/>
          <w:szCs w:val="21"/>
          <w:u w:val="single"/>
        </w:rPr>
        <w:t>（中型企业、小型企业、微型企业）；</w:t>
      </w:r>
    </w:p>
    <w:p w14:paraId="60F94CD5">
      <w:pPr>
        <w:pStyle w:val="103"/>
        <w:spacing w:line="360" w:lineRule="auto"/>
        <w:ind w:firstLine="420" w:firstLineChars="200"/>
        <w:rPr>
          <w:color w:val="auto"/>
          <w:sz w:val="21"/>
          <w:szCs w:val="21"/>
          <w:u w:val="single"/>
        </w:rPr>
      </w:pPr>
      <w:r>
        <w:rPr>
          <w:color w:val="auto"/>
          <w:sz w:val="21"/>
          <w:szCs w:val="21"/>
        </w:rPr>
        <w:t>2.</w:t>
      </w:r>
      <w:r>
        <w:rPr>
          <w:rFonts w:hint="eastAsia"/>
          <w:color w:val="auto"/>
          <w:sz w:val="21"/>
          <w:szCs w:val="21"/>
          <w:u w:val="single"/>
        </w:rPr>
        <w:t>（标的名称），</w:t>
      </w:r>
      <w:r>
        <w:rPr>
          <w:rFonts w:hint="eastAsia"/>
          <w:color w:val="auto"/>
          <w:sz w:val="21"/>
          <w:szCs w:val="21"/>
        </w:rPr>
        <w:t>属于</w:t>
      </w:r>
      <w:r>
        <w:rPr>
          <w:rFonts w:hint="eastAsia"/>
          <w:color w:val="auto"/>
          <w:sz w:val="21"/>
          <w:szCs w:val="21"/>
          <w:u w:val="single"/>
        </w:rPr>
        <w:t xml:space="preserve"> </w:t>
      </w:r>
      <w:r>
        <w:rPr>
          <w:color w:val="auto"/>
          <w:sz w:val="21"/>
          <w:szCs w:val="21"/>
          <w:u w:val="single"/>
        </w:rPr>
        <w:t xml:space="preserve">              </w:t>
      </w:r>
      <w:r>
        <w:rPr>
          <w:rFonts w:hint="eastAsia"/>
          <w:color w:val="auto"/>
          <w:sz w:val="21"/>
          <w:szCs w:val="21"/>
          <w:u w:val="single"/>
        </w:rPr>
        <w:t>（采购文件中明确的所属行业）</w:t>
      </w:r>
      <w:r>
        <w:rPr>
          <w:rFonts w:hint="eastAsia"/>
          <w:color w:val="auto"/>
          <w:sz w:val="21"/>
          <w:szCs w:val="21"/>
        </w:rPr>
        <w:t>；承建（承接）企业为</w:t>
      </w:r>
      <w:r>
        <w:rPr>
          <w:color w:val="auto"/>
          <w:sz w:val="21"/>
          <w:szCs w:val="21"/>
          <w:u w:val="single"/>
        </w:rPr>
        <w:t xml:space="preserve">     </w:t>
      </w:r>
      <w:r>
        <w:rPr>
          <w:rFonts w:hint="eastAsia"/>
          <w:color w:val="auto"/>
          <w:sz w:val="21"/>
          <w:szCs w:val="21"/>
        </w:rPr>
        <w:t>（企业名称），从业人员</w:t>
      </w:r>
      <w:r>
        <w:rPr>
          <w:rFonts w:hint="eastAsia"/>
          <w:color w:val="auto"/>
          <w:sz w:val="21"/>
          <w:szCs w:val="21"/>
          <w:u w:val="single"/>
        </w:rPr>
        <w:t xml:space="preserve">  </w:t>
      </w:r>
      <w:r>
        <w:rPr>
          <w:color w:val="auto"/>
          <w:sz w:val="21"/>
          <w:szCs w:val="21"/>
          <w:u w:val="single"/>
        </w:rPr>
        <w:t xml:space="preserve">  </w:t>
      </w:r>
      <w:r>
        <w:rPr>
          <w:rFonts w:hint="eastAsia"/>
          <w:color w:val="auto"/>
          <w:sz w:val="21"/>
          <w:szCs w:val="21"/>
        </w:rPr>
        <w:t>人，营业收入为</w:t>
      </w:r>
      <w:r>
        <w:rPr>
          <w:rFonts w:hint="eastAsia"/>
          <w:color w:val="auto"/>
          <w:sz w:val="21"/>
          <w:szCs w:val="21"/>
          <w:u w:val="single"/>
        </w:rPr>
        <w:t xml:space="preserve"> </w:t>
      </w:r>
      <w:r>
        <w:rPr>
          <w:color w:val="auto"/>
          <w:sz w:val="21"/>
          <w:szCs w:val="21"/>
          <w:u w:val="single"/>
        </w:rPr>
        <w:t xml:space="preserve">      </w:t>
      </w:r>
      <w:r>
        <w:rPr>
          <w:rFonts w:hint="eastAsia"/>
          <w:color w:val="auto"/>
          <w:sz w:val="21"/>
          <w:szCs w:val="21"/>
        </w:rPr>
        <w:t>万元，资产总额为</w:t>
      </w:r>
      <w:r>
        <w:rPr>
          <w:rFonts w:hint="eastAsia"/>
          <w:color w:val="auto"/>
          <w:sz w:val="21"/>
          <w:szCs w:val="21"/>
          <w:u w:val="single"/>
        </w:rPr>
        <w:t xml:space="preserve"> </w:t>
      </w:r>
      <w:r>
        <w:rPr>
          <w:color w:val="auto"/>
          <w:sz w:val="21"/>
          <w:szCs w:val="21"/>
          <w:u w:val="single"/>
        </w:rPr>
        <w:t xml:space="preserve">     </w:t>
      </w:r>
      <w:r>
        <w:rPr>
          <w:rFonts w:hint="eastAsia"/>
          <w:color w:val="auto"/>
          <w:sz w:val="21"/>
          <w:szCs w:val="21"/>
        </w:rPr>
        <w:t>万元</w:t>
      </w:r>
      <w:r>
        <w:rPr>
          <w:rFonts w:hint="eastAsia"/>
          <w:color w:val="auto"/>
          <w:sz w:val="21"/>
          <w:szCs w:val="21"/>
          <w:vertAlign w:val="superscript"/>
        </w:rPr>
        <w:t>1</w:t>
      </w:r>
      <w:r>
        <w:rPr>
          <w:rFonts w:hint="eastAsia"/>
          <w:color w:val="auto"/>
          <w:sz w:val="21"/>
          <w:szCs w:val="21"/>
        </w:rPr>
        <w:t>，属于</w:t>
      </w:r>
      <w:r>
        <w:rPr>
          <w:rFonts w:hint="eastAsia"/>
          <w:color w:val="auto"/>
          <w:sz w:val="21"/>
          <w:szCs w:val="21"/>
          <w:u w:val="single"/>
        </w:rPr>
        <w:t xml:space="preserve"> </w:t>
      </w:r>
      <w:r>
        <w:rPr>
          <w:color w:val="auto"/>
          <w:sz w:val="21"/>
          <w:szCs w:val="21"/>
          <w:u w:val="single"/>
        </w:rPr>
        <w:t xml:space="preserve">     </w:t>
      </w:r>
      <w:r>
        <w:rPr>
          <w:rFonts w:hint="eastAsia"/>
          <w:color w:val="auto"/>
          <w:sz w:val="21"/>
          <w:szCs w:val="21"/>
          <w:u w:val="single"/>
        </w:rPr>
        <w:t>（中型企业、小型企业、微型企业）；</w:t>
      </w:r>
    </w:p>
    <w:p w14:paraId="57057F0A">
      <w:pPr>
        <w:pStyle w:val="103"/>
        <w:spacing w:line="360" w:lineRule="auto"/>
        <w:ind w:firstLine="420" w:firstLineChars="200"/>
        <w:rPr>
          <w:color w:val="auto"/>
          <w:sz w:val="21"/>
          <w:szCs w:val="21"/>
          <w:u w:val="single"/>
        </w:rPr>
      </w:pPr>
    </w:p>
    <w:p w14:paraId="08E77F8C">
      <w:pPr>
        <w:pStyle w:val="103"/>
        <w:spacing w:line="360" w:lineRule="auto"/>
        <w:ind w:firstLine="420" w:firstLineChars="200"/>
        <w:rPr>
          <w:color w:val="auto"/>
          <w:sz w:val="21"/>
          <w:szCs w:val="21"/>
        </w:rPr>
      </w:pPr>
      <w:r>
        <w:rPr>
          <w:rFonts w:hint="eastAsia"/>
          <w:color w:val="auto"/>
          <w:sz w:val="21"/>
          <w:szCs w:val="21"/>
        </w:rPr>
        <w:t>……</w:t>
      </w:r>
    </w:p>
    <w:p w14:paraId="3414DA54">
      <w:pPr>
        <w:spacing w:line="360" w:lineRule="auto"/>
        <w:ind w:firstLine="420" w:firstLineChars="200"/>
        <w:rPr>
          <w:rFonts w:ascii="宋体" w:cs="宋体"/>
          <w:color w:val="auto"/>
          <w:kern w:val="0"/>
          <w:szCs w:val="21"/>
        </w:rPr>
      </w:pPr>
      <w:r>
        <w:rPr>
          <w:rFonts w:hint="eastAsia" w:ascii="宋体" w:cs="宋体"/>
          <w:color w:val="auto"/>
          <w:kern w:val="0"/>
          <w:szCs w:val="21"/>
        </w:rPr>
        <w:t>以上企业，不属于大企业的分支机构，不存在控股股东为大企业的情形，也不存在与大企业的负责人为同一人的情形。</w:t>
      </w:r>
    </w:p>
    <w:p w14:paraId="1F089266">
      <w:pPr>
        <w:spacing w:line="360" w:lineRule="auto"/>
        <w:ind w:firstLine="420" w:firstLineChars="200"/>
        <w:rPr>
          <w:rFonts w:ascii="宋体" w:cs="宋体"/>
          <w:color w:val="auto"/>
          <w:kern w:val="0"/>
          <w:szCs w:val="21"/>
        </w:rPr>
      </w:pPr>
      <w:r>
        <w:rPr>
          <w:rFonts w:hint="eastAsia" w:ascii="宋体" w:cs="宋体"/>
          <w:color w:val="auto"/>
          <w:kern w:val="0"/>
          <w:szCs w:val="21"/>
        </w:rPr>
        <w:t>本企业对上述声明内容的真实性负责。如有虚假，将依法承担相应责任。</w:t>
      </w:r>
    </w:p>
    <w:p w14:paraId="26E50A47">
      <w:pPr>
        <w:spacing w:line="360" w:lineRule="auto"/>
        <w:ind w:firstLine="2520" w:firstLineChars="1200"/>
        <w:rPr>
          <w:rFonts w:ascii="宋体" w:cs="宋体"/>
          <w:color w:val="auto"/>
          <w:kern w:val="0"/>
          <w:szCs w:val="21"/>
        </w:rPr>
      </w:pPr>
    </w:p>
    <w:p w14:paraId="3BC81A9D">
      <w:pPr>
        <w:spacing w:line="360" w:lineRule="auto"/>
        <w:ind w:firstLine="5040" w:firstLineChars="2400"/>
        <w:rPr>
          <w:rFonts w:ascii="宋体" w:cs="宋体"/>
          <w:color w:val="auto"/>
          <w:kern w:val="0"/>
          <w:szCs w:val="21"/>
        </w:rPr>
      </w:pPr>
      <w:r>
        <w:rPr>
          <w:rFonts w:hint="eastAsia" w:ascii="宋体" w:cs="宋体"/>
          <w:color w:val="auto"/>
          <w:kern w:val="0"/>
          <w:szCs w:val="21"/>
        </w:rPr>
        <w:t>企业名称（盖章）：</w:t>
      </w:r>
    </w:p>
    <w:p w14:paraId="06B1C431">
      <w:pPr>
        <w:spacing w:line="360" w:lineRule="auto"/>
        <w:ind w:firstLine="5040" w:firstLineChars="2400"/>
        <w:rPr>
          <w:rFonts w:ascii="宋体" w:cs="宋体"/>
          <w:color w:val="auto"/>
          <w:kern w:val="0"/>
          <w:szCs w:val="21"/>
        </w:rPr>
      </w:pPr>
    </w:p>
    <w:p w14:paraId="6CC04664">
      <w:pPr>
        <w:spacing w:line="360" w:lineRule="auto"/>
        <w:ind w:firstLine="6163" w:firstLineChars="2935"/>
        <w:rPr>
          <w:rFonts w:ascii="宋体" w:cs="宋体"/>
          <w:color w:val="auto"/>
          <w:kern w:val="0"/>
          <w:szCs w:val="21"/>
        </w:rPr>
      </w:pPr>
      <w:r>
        <w:rPr>
          <w:rFonts w:hint="eastAsia" w:ascii="宋体" w:cs="宋体"/>
          <w:color w:val="auto"/>
          <w:kern w:val="0"/>
          <w:szCs w:val="21"/>
        </w:rPr>
        <w:t>日 期：</w:t>
      </w:r>
    </w:p>
    <w:p w14:paraId="27596C2E">
      <w:pPr>
        <w:spacing w:line="360" w:lineRule="auto"/>
        <w:ind w:firstLine="420" w:firstLineChars="200"/>
        <w:rPr>
          <w:rFonts w:ascii="宋体" w:cs="宋体"/>
          <w:color w:val="auto"/>
          <w:kern w:val="0"/>
          <w:szCs w:val="21"/>
          <w:u w:val="single"/>
        </w:rPr>
      </w:pPr>
      <w:r>
        <w:rPr>
          <w:rFonts w:hint="eastAsia" w:ascii="宋体" w:cs="宋体"/>
          <w:color w:val="auto"/>
          <w:kern w:val="0"/>
          <w:szCs w:val="21"/>
          <w:u w:val="single"/>
        </w:rPr>
        <w:t xml:space="preserve"> </w:t>
      </w:r>
      <w:r>
        <w:rPr>
          <w:rFonts w:ascii="宋体" w:cs="宋体"/>
          <w:color w:val="auto"/>
          <w:kern w:val="0"/>
          <w:szCs w:val="21"/>
          <w:u w:val="single"/>
        </w:rPr>
        <w:t xml:space="preserve">                                                                                 </w:t>
      </w:r>
    </w:p>
    <w:p w14:paraId="2C97F24F">
      <w:pPr>
        <w:spacing w:line="360" w:lineRule="auto"/>
        <w:ind w:firstLine="420" w:firstLineChars="200"/>
        <w:rPr>
          <w:color w:val="auto"/>
          <w:sz w:val="18"/>
          <w:szCs w:val="18"/>
        </w:rPr>
      </w:pPr>
      <w:r>
        <w:rPr>
          <w:rFonts w:hint="eastAsia" w:ascii="宋体" w:cs="宋体"/>
          <w:color w:val="auto"/>
          <w:kern w:val="0"/>
          <w:szCs w:val="21"/>
          <w:vertAlign w:val="superscript"/>
        </w:rPr>
        <w:t xml:space="preserve">1 </w:t>
      </w:r>
      <w:r>
        <w:rPr>
          <w:rFonts w:hint="eastAsia" w:ascii="宋体" w:cs="宋体"/>
          <w:color w:val="auto"/>
          <w:kern w:val="0"/>
          <w:szCs w:val="21"/>
        </w:rPr>
        <w:t>从业人员、营业收入、资产总额填报上一年度数据，无上一年度数据的新成立企业可不填报。</w:t>
      </w:r>
    </w:p>
    <w:p w14:paraId="5C37931E">
      <w:pPr>
        <w:pStyle w:val="18"/>
        <w:rPr>
          <w:rFonts w:hint="eastAsia" w:ascii="宋体" w:hAnsi="宋体"/>
          <w:b/>
          <w:color w:val="auto"/>
        </w:rPr>
      </w:pPr>
      <w:r>
        <w:rPr>
          <w:rFonts w:hint="eastAsia" w:ascii="宋体" w:hAnsi="宋体"/>
          <w:b/>
          <w:color w:val="auto"/>
        </w:rPr>
        <w:t>注：</w:t>
      </w:r>
    </w:p>
    <w:p w14:paraId="5B13DE9B">
      <w:pPr>
        <w:pStyle w:val="18"/>
        <w:rPr>
          <w:rFonts w:hint="eastAsia" w:ascii="宋体" w:hAnsi="宋体"/>
          <w:b/>
          <w:color w:val="auto"/>
        </w:rPr>
      </w:pPr>
      <w:r>
        <w:rPr>
          <w:rFonts w:hint="eastAsia" w:ascii="宋体" w:hAnsi="宋体"/>
          <w:b/>
          <w:color w:val="auto"/>
        </w:rPr>
        <w:t>1.投</w:t>
      </w:r>
      <w:r>
        <w:rPr>
          <w:rFonts w:hint="eastAsia" w:ascii="宋体" w:hAnsi="宋体" w:cs="微软雅黑"/>
          <w:b/>
          <w:color w:val="auto"/>
        </w:rPr>
        <w:t>标</w:t>
      </w:r>
      <w:r>
        <w:rPr>
          <w:rFonts w:hint="eastAsia" w:ascii="宋体" w:hAnsi="宋体" w:cs="Malgun Gothic"/>
          <w:b/>
          <w:color w:val="auto"/>
        </w:rPr>
        <w:t>人</w:t>
      </w:r>
      <w:r>
        <w:rPr>
          <w:rFonts w:hint="eastAsia" w:ascii="宋体" w:hAnsi="宋体" w:cs="微软雅黑"/>
          <w:b/>
          <w:color w:val="auto"/>
        </w:rPr>
        <w:t>须</w:t>
      </w:r>
      <w:r>
        <w:rPr>
          <w:rFonts w:hint="eastAsia" w:ascii="宋体" w:hAnsi="宋体" w:cs="Malgun Gothic"/>
          <w:b/>
          <w:color w:val="auto"/>
        </w:rPr>
        <w:t>根据制造商情</w:t>
      </w:r>
      <w:r>
        <w:rPr>
          <w:rFonts w:hint="eastAsia" w:ascii="宋体" w:hAnsi="宋体" w:cs="微软雅黑"/>
          <w:b/>
          <w:color w:val="auto"/>
        </w:rPr>
        <w:t>况</w:t>
      </w:r>
      <w:r>
        <w:rPr>
          <w:rFonts w:hint="eastAsia" w:ascii="宋体" w:hAnsi="宋体" w:cs="Malgun Gothic"/>
          <w:b/>
          <w:color w:val="auto"/>
        </w:rPr>
        <w:t>如</w:t>
      </w:r>
      <w:r>
        <w:rPr>
          <w:rFonts w:hint="eastAsia" w:ascii="宋体" w:hAnsi="宋体" w:cs="微软雅黑"/>
          <w:b/>
          <w:color w:val="auto"/>
        </w:rPr>
        <w:t>实</w:t>
      </w:r>
      <w:r>
        <w:rPr>
          <w:rFonts w:hint="eastAsia" w:ascii="宋体" w:hAnsi="宋体" w:cs="Malgun Gothic"/>
          <w:b/>
          <w:color w:val="auto"/>
        </w:rPr>
        <w:t>出具</w:t>
      </w:r>
      <w:r>
        <w:rPr>
          <w:rFonts w:hint="eastAsia" w:ascii="宋体" w:hAnsi="宋体" w:cs="微软雅黑"/>
          <w:b/>
          <w:color w:val="auto"/>
        </w:rPr>
        <w:t>声</w:t>
      </w:r>
      <w:r>
        <w:rPr>
          <w:rFonts w:hint="eastAsia" w:ascii="宋体" w:hAnsi="宋体" w:cs="Malgun Gothic"/>
          <w:b/>
          <w:color w:val="auto"/>
        </w:rPr>
        <w:t>明函。享受本谈判文件</w:t>
      </w:r>
      <w:r>
        <w:rPr>
          <w:rFonts w:hint="eastAsia" w:ascii="宋体" w:hAnsi="宋体" w:cs="微软雅黑"/>
          <w:b/>
          <w:color w:val="auto"/>
        </w:rPr>
        <w:t>规</w:t>
      </w:r>
      <w:r>
        <w:rPr>
          <w:rFonts w:hint="eastAsia" w:ascii="宋体" w:hAnsi="宋体" w:cs="Malgun Gothic"/>
          <w:b/>
          <w:color w:val="auto"/>
        </w:rPr>
        <w:t>定的中小企</w:t>
      </w:r>
      <w:r>
        <w:rPr>
          <w:rFonts w:hint="eastAsia" w:ascii="宋体" w:hAnsi="宋体" w:cs="微软雅黑"/>
          <w:b/>
          <w:color w:val="auto"/>
        </w:rPr>
        <w:t>业</w:t>
      </w:r>
      <w:r>
        <w:rPr>
          <w:rFonts w:hint="eastAsia" w:ascii="宋体" w:hAnsi="宋体" w:cs="Malgun Gothic"/>
          <w:b/>
          <w:color w:val="auto"/>
        </w:rPr>
        <w:t>扶持政策的，</w:t>
      </w:r>
      <w:r>
        <w:rPr>
          <w:rFonts w:hint="eastAsia" w:ascii="宋体" w:hAnsi="宋体" w:cs="微软雅黑"/>
          <w:b/>
          <w:color w:val="auto"/>
        </w:rPr>
        <w:t>将随</w:t>
      </w:r>
      <w:r>
        <w:rPr>
          <w:rFonts w:hint="eastAsia" w:ascii="宋体" w:hAnsi="宋体" w:cs="Malgun Gothic"/>
          <w:b/>
          <w:color w:val="auto"/>
        </w:rPr>
        <w:t>中</w:t>
      </w:r>
      <w:r>
        <w:rPr>
          <w:rFonts w:hint="eastAsia" w:ascii="宋体" w:hAnsi="宋体" w:cs="微软雅黑"/>
          <w:b/>
          <w:color w:val="auto"/>
        </w:rPr>
        <w:t>标结</w:t>
      </w:r>
      <w:r>
        <w:rPr>
          <w:rFonts w:hint="eastAsia" w:ascii="宋体" w:hAnsi="宋体" w:cs="Malgun Gothic"/>
          <w:b/>
          <w:color w:val="auto"/>
        </w:rPr>
        <w:t>果公</w:t>
      </w:r>
      <w:r>
        <w:rPr>
          <w:rFonts w:hint="eastAsia" w:ascii="宋体" w:hAnsi="宋体" w:cs="微软雅黑"/>
          <w:b/>
          <w:color w:val="auto"/>
        </w:rPr>
        <w:t>开</w:t>
      </w:r>
      <w:r>
        <w:rPr>
          <w:rFonts w:hint="eastAsia" w:ascii="宋体" w:hAnsi="宋体" w:cs="Malgun Gothic"/>
          <w:b/>
          <w:color w:val="auto"/>
        </w:rPr>
        <w:t>中</w:t>
      </w:r>
      <w:r>
        <w:rPr>
          <w:rFonts w:hint="eastAsia" w:ascii="宋体" w:hAnsi="宋体" w:cs="微软雅黑"/>
          <w:b/>
          <w:color w:val="auto"/>
        </w:rPr>
        <w:t>标</w:t>
      </w:r>
      <w:r>
        <w:rPr>
          <w:rFonts w:hint="eastAsia" w:ascii="宋体" w:hAnsi="宋体" w:cs="Malgun Gothic"/>
          <w:b/>
          <w:color w:val="auto"/>
        </w:rPr>
        <w:t>人的《中小企</w:t>
      </w:r>
      <w:r>
        <w:rPr>
          <w:rFonts w:hint="eastAsia" w:ascii="宋体" w:hAnsi="宋体" w:cs="微软雅黑"/>
          <w:b/>
          <w:color w:val="auto"/>
        </w:rPr>
        <w:t>业声</w:t>
      </w:r>
      <w:r>
        <w:rPr>
          <w:rFonts w:hint="eastAsia" w:ascii="宋体" w:hAnsi="宋体" w:cs="Malgun Gothic"/>
          <w:b/>
          <w:color w:val="auto"/>
        </w:rPr>
        <w:t>明函》。</w:t>
      </w:r>
    </w:p>
    <w:p w14:paraId="244FD20D">
      <w:pPr>
        <w:pStyle w:val="18"/>
        <w:rPr>
          <w:rFonts w:hint="eastAsia" w:ascii="宋体" w:hAnsi="宋体"/>
          <w:b/>
          <w:color w:val="auto"/>
        </w:rPr>
      </w:pPr>
      <w:r>
        <w:rPr>
          <w:rFonts w:hint="eastAsia" w:ascii="宋体" w:hAnsi="宋体"/>
          <w:b/>
          <w:color w:val="auto"/>
        </w:rPr>
        <w:t>2.所</w:t>
      </w:r>
      <w:r>
        <w:rPr>
          <w:rFonts w:hint="eastAsia" w:ascii="宋体" w:hAnsi="宋体" w:cs="微软雅黑"/>
          <w:b/>
          <w:color w:val="auto"/>
        </w:rPr>
        <w:t>声</w:t>
      </w:r>
      <w:r>
        <w:rPr>
          <w:rFonts w:hint="eastAsia" w:ascii="宋体" w:hAnsi="宋体" w:cs="Malgun Gothic"/>
          <w:b/>
          <w:color w:val="auto"/>
        </w:rPr>
        <w:t>明的</w:t>
      </w:r>
      <w:r>
        <w:rPr>
          <w:rFonts w:hint="eastAsia" w:ascii="宋体" w:hAnsi="宋体" w:cs="微软雅黑"/>
          <w:b/>
          <w:color w:val="auto"/>
        </w:rPr>
        <w:t>从业</w:t>
      </w:r>
      <w:r>
        <w:rPr>
          <w:rFonts w:hint="eastAsia" w:ascii="宋体" w:hAnsi="宋体" w:cs="Malgun Gothic"/>
          <w:b/>
          <w:color w:val="auto"/>
        </w:rPr>
        <w:t>人</w:t>
      </w:r>
      <w:r>
        <w:rPr>
          <w:rFonts w:hint="eastAsia" w:ascii="宋体" w:hAnsi="宋体" w:cs="微软雅黑"/>
          <w:b/>
          <w:color w:val="auto"/>
        </w:rPr>
        <w:t>员</w:t>
      </w:r>
      <w:r>
        <w:rPr>
          <w:rFonts w:hint="eastAsia" w:ascii="宋体" w:hAnsi="宋体" w:cs="Malgun Gothic"/>
          <w:b/>
          <w:color w:val="auto"/>
        </w:rPr>
        <w:t>人</w:t>
      </w:r>
      <w:r>
        <w:rPr>
          <w:rFonts w:hint="eastAsia" w:ascii="宋体" w:hAnsi="宋体" w:cs="微软雅黑"/>
          <w:b/>
          <w:color w:val="auto"/>
        </w:rPr>
        <w:t>数</w:t>
      </w:r>
      <w:r>
        <w:rPr>
          <w:rFonts w:hint="eastAsia" w:ascii="宋体" w:hAnsi="宋体" w:cs="Malgun Gothic"/>
          <w:b/>
          <w:color w:val="auto"/>
        </w:rPr>
        <w:t>、</w:t>
      </w:r>
      <w:r>
        <w:rPr>
          <w:rFonts w:hint="eastAsia" w:ascii="宋体" w:hAnsi="宋体" w:cs="微软雅黑"/>
          <w:b/>
          <w:color w:val="auto"/>
        </w:rPr>
        <w:t>营业</w:t>
      </w:r>
      <w:r>
        <w:rPr>
          <w:rFonts w:hint="eastAsia" w:ascii="宋体" w:hAnsi="宋体" w:cs="Malgun Gothic"/>
          <w:b/>
          <w:color w:val="auto"/>
        </w:rPr>
        <w:t>收入金</w:t>
      </w:r>
      <w:r>
        <w:rPr>
          <w:rFonts w:hint="eastAsia" w:ascii="宋体" w:hAnsi="宋体" w:cs="微软雅黑"/>
          <w:b/>
          <w:color w:val="auto"/>
        </w:rPr>
        <w:t>额</w:t>
      </w:r>
      <w:r>
        <w:rPr>
          <w:rFonts w:hint="eastAsia" w:ascii="宋体" w:hAnsi="宋体" w:cs="Malgun Gothic"/>
          <w:b/>
          <w:color w:val="auto"/>
        </w:rPr>
        <w:t>或</w:t>
      </w:r>
      <w:r>
        <w:rPr>
          <w:rFonts w:hint="eastAsia" w:ascii="宋体" w:hAnsi="宋体" w:cs="微软雅黑"/>
          <w:b/>
          <w:color w:val="auto"/>
        </w:rPr>
        <w:t>资产总额</w:t>
      </w:r>
      <w:r>
        <w:rPr>
          <w:rFonts w:hint="eastAsia" w:ascii="宋体" w:hAnsi="宋体" w:cs="Malgun Gothic"/>
          <w:b/>
          <w:color w:val="auto"/>
        </w:rPr>
        <w:t>不</w:t>
      </w:r>
      <w:r>
        <w:rPr>
          <w:rFonts w:hint="eastAsia" w:ascii="宋体" w:hAnsi="宋体" w:cs="微软雅黑"/>
          <w:b/>
          <w:color w:val="auto"/>
        </w:rPr>
        <w:t>实</w:t>
      </w:r>
      <w:r>
        <w:rPr>
          <w:rFonts w:hint="eastAsia" w:ascii="宋体" w:hAnsi="宋体" w:cs="Malgun Gothic"/>
          <w:b/>
          <w:color w:val="auto"/>
        </w:rPr>
        <w:t>的，依照《中</w:t>
      </w:r>
      <w:r>
        <w:rPr>
          <w:rFonts w:hint="eastAsia" w:ascii="宋体" w:hAnsi="宋体" w:cs="微软雅黑"/>
          <w:b/>
          <w:color w:val="auto"/>
        </w:rPr>
        <w:t>华</w:t>
      </w:r>
      <w:r>
        <w:rPr>
          <w:rFonts w:hint="eastAsia" w:ascii="宋体" w:hAnsi="宋体" w:cs="Malgun Gothic"/>
          <w:b/>
          <w:color w:val="auto"/>
        </w:rPr>
        <w:t>人民共和</w:t>
      </w:r>
      <w:r>
        <w:rPr>
          <w:rFonts w:hint="eastAsia" w:ascii="宋体" w:hAnsi="宋体" w:cs="微软雅黑"/>
          <w:b/>
          <w:color w:val="auto"/>
        </w:rPr>
        <w:t>国</w:t>
      </w:r>
      <w:r>
        <w:rPr>
          <w:rFonts w:hint="eastAsia" w:ascii="宋体" w:hAnsi="宋体" w:cs="Malgun Gothic"/>
          <w:b/>
          <w:color w:val="auto"/>
        </w:rPr>
        <w:t>政府采</w:t>
      </w:r>
      <w:r>
        <w:rPr>
          <w:rFonts w:hint="eastAsia" w:ascii="宋体" w:hAnsi="宋体" w:cs="微软雅黑"/>
          <w:b/>
          <w:color w:val="auto"/>
        </w:rPr>
        <w:t>购</w:t>
      </w:r>
      <w:r>
        <w:rPr>
          <w:rFonts w:hint="eastAsia" w:ascii="宋体" w:hAnsi="宋体" w:cs="Malgun Gothic"/>
          <w:b/>
          <w:color w:val="auto"/>
        </w:rPr>
        <w:t>法》等</w:t>
      </w:r>
      <w:r>
        <w:rPr>
          <w:rFonts w:hint="eastAsia" w:ascii="宋体" w:hAnsi="宋体" w:cs="微软雅黑"/>
          <w:b/>
          <w:color w:val="auto"/>
        </w:rPr>
        <w:t>国</w:t>
      </w:r>
      <w:r>
        <w:rPr>
          <w:rFonts w:hint="eastAsia" w:ascii="宋体" w:hAnsi="宋体" w:cs="Malgun Gothic"/>
          <w:b/>
          <w:color w:val="auto"/>
        </w:rPr>
        <w:t>家有</w:t>
      </w:r>
      <w:r>
        <w:rPr>
          <w:rFonts w:hint="eastAsia" w:ascii="宋体" w:hAnsi="宋体" w:cs="微软雅黑"/>
          <w:b/>
          <w:color w:val="auto"/>
        </w:rPr>
        <w:t>关规</w:t>
      </w:r>
      <w:r>
        <w:rPr>
          <w:rFonts w:hint="eastAsia" w:ascii="宋体" w:hAnsi="宋体" w:cs="Malgun Gothic"/>
          <w:b/>
          <w:color w:val="auto"/>
        </w:rPr>
        <w:t>定追究相</w:t>
      </w:r>
      <w:r>
        <w:rPr>
          <w:rFonts w:hint="eastAsia" w:ascii="宋体" w:hAnsi="宋体" w:cs="微软雅黑"/>
          <w:b/>
          <w:color w:val="auto"/>
        </w:rPr>
        <w:t>应责</w:t>
      </w:r>
      <w:r>
        <w:rPr>
          <w:rFonts w:hint="eastAsia" w:ascii="宋体" w:hAnsi="宋体" w:cs="Malgun Gothic"/>
          <w:b/>
          <w:color w:val="auto"/>
        </w:rPr>
        <w:t>任。</w:t>
      </w:r>
    </w:p>
    <w:p w14:paraId="253A0C39">
      <w:pPr>
        <w:pStyle w:val="18"/>
        <w:rPr>
          <w:rFonts w:hint="eastAsia" w:ascii="宋体" w:hAnsi="宋体" w:cs="Malgun Gothic"/>
          <w:b/>
          <w:color w:val="auto"/>
        </w:rPr>
      </w:pPr>
      <w:r>
        <w:rPr>
          <w:rFonts w:hint="eastAsia" w:ascii="宋体" w:hAnsi="宋体"/>
          <w:b/>
          <w:color w:val="auto"/>
        </w:rPr>
        <w:t>3.投</w:t>
      </w:r>
      <w:r>
        <w:rPr>
          <w:rFonts w:hint="eastAsia" w:ascii="宋体" w:hAnsi="宋体" w:cs="微软雅黑"/>
          <w:b/>
          <w:color w:val="auto"/>
        </w:rPr>
        <w:t>标</w:t>
      </w:r>
      <w:r>
        <w:rPr>
          <w:rFonts w:hint="eastAsia" w:ascii="宋体" w:hAnsi="宋体" w:cs="Malgun Gothic"/>
          <w:b/>
          <w:color w:val="auto"/>
        </w:rPr>
        <w:t>人</w:t>
      </w:r>
      <w:r>
        <w:rPr>
          <w:rFonts w:hint="eastAsia" w:ascii="宋体" w:hAnsi="宋体" w:cs="微软雅黑"/>
          <w:b/>
          <w:color w:val="auto"/>
        </w:rPr>
        <w:t>须按谈判文件规定的所属行业，</w:t>
      </w:r>
      <w:r>
        <w:rPr>
          <w:rFonts w:hint="eastAsia" w:ascii="宋体" w:hAnsi="宋体" w:cs="Malgun Gothic"/>
          <w:b/>
          <w:color w:val="auto"/>
        </w:rPr>
        <w:t>核</w:t>
      </w:r>
      <w:r>
        <w:rPr>
          <w:rFonts w:hint="eastAsia" w:ascii="宋体" w:hAnsi="宋体" w:cs="微软雅黑"/>
          <w:b/>
          <w:color w:val="auto"/>
        </w:rPr>
        <w:t>对</w:t>
      </w:r>
      <w:r>
        <w:rPr>
          <w:rFonts w:hint="eastAsia" w:ascii="宋体" w:hAnsi="宋体" w:cs="Malgun Gothic"/>
          <w:b/>
          <w:color w:val="auto"/>
        </w:rPr>
        <w:t>《</w:t>
      </w:r>
      <w:r>
        <w:rPr>
          <w:rFonts w:hint="eastAsia" w:ascii="宋体" w:hAnsi="宋体" w:cs="微软雅黑"/>
          <w:b/>
          <w:color w:val="auto"/>
        </w:rPr>
        <w:t>关</w:t>
      </w:r>
      <w:r>
        <w:rPr>
          <w:rFonts w:hint="eastAsia" w:ascii="宋体" w:hAnsi="宋体" w:cs="Malgun Gothic"/>
          <w:b/>
          <w:color w:val="auto"/>
        </w:rPr>
        <w:t>于印</w:t>
      </w:r>
      <w:r>
        <w:rPr>
          <w:rFonts w:hint="eastAsia" w:ascii="宋体" w:hAnsi="宋体" w:cs="微软雅黑"/>
          <w:b/>
          <w:color w:val="auto"/>
        </w:rPr>
        <w:t>发</w:t>
      </w:r>
      <w:r>
        <w:rPr>
          <w:rFonts w:hint="eastAsia" w:ascii="宋体" w:hAnsi="宋体" w:cs="Malgun Gothic"/>
          <w:b/>
          <w:color w:val="auto"/>
        </w:rPr>
        <w:t>中小企</w:t>
      </w:r>
      <w:r>
        <w:rPr>
          <w:rFonts w:hint="eastAsia" w:ascii="宋体" w:hAnsi="宋体" w:cs="微软雅黑"/>
          <w:b/>
          <w:color w:val="auto"/>
        </w:rPr>
        <w:t>业划</w:t>
      </w:r>
      <w:r>
        <w:rPr>
          <w:rFonts w:hint="eastAsia" w:ascii="宋体" w:hAnsi="宋体" w:cs="Malgun Gothic"/>
          <w:b/>
          <w:color w:val="auto"/>
        </w:rPr>
        <w:t>型</w:t>
      </w:r>
      <w:r>
        <w:rPr>
          <w:rFonts w:hint="eastAsia" w:ascii="宋体" w:hAnsi="宋体" w:cs="微软雅黑"/>
          <w:b/>
          <w:color w:val="auto"/>
        </w:rPr>
        <w:t>标</w:t>
      </w:r>
      <w:r>
        <w:rPr>
          <w:rFonts w:hint="eastAsia" w:ascii="宋体" w:hAnsi="宋体" w:cs="Malgun Gothic"/>
          <w:b/>
          <w:color w:val="auto"/>
        </w:rPr>
        <w:t>准</w:t>
      </w:r>
      <w:r>
        <w:rPr>
          <w:rFonts w:hint="eastAsia" w:ascii="宋体" w:hAnsi="宋体" w:cs="微软雅黑"/>
          <w:b/>
          <w:color w:val="auto"/>
        </w:rPr>
        <w:t>规</w:t>
      </w:r>
      <w:r>
        <w:rPr>
          <w:rFonts w:hint="eastAsia" w:ascii="宋体" w:hAnsi="宋体" w:cs="Malgun Gothic"/>
          <w:b/>
          <w:color w:val="auto"/>
        </w:rPr>
        <w:t>定的通知》（工信部</w:t>
      </w:r>
      <w:r>
        <w:rPr>
          <w:rFonts w:hint="eastAsia" w:ascii="宋体" w:hAnsi="宋体" w:cs="微软雅黑"/>
          <w:b/>
          <w:color w:val="auto"/>
        </w:rPr>
        <w:t>联</w:t>
      </w:r>
      <w:r>
        <w:rPr>
          <w:rFonts w:hint="eastAsia" w:ascii="宋体" w:hAnsi="宋体" w:cs="Malgun Gothic"/>
          <w:b/>
          <w:color w:val="auto"/>
        </w:rPr>
        <w:t>企</w:t>
      </w:r>
      <w:r>
        <w:rPr>
          <w:rFonts w:hint="eastAsia" w:ascii="宋体" w:hAnsi="宋体" w:cs="微软雅黑"/>
          <w:b/>
          <w:color w:val="auto"/>
        </w:rPr>
        <w:t>业</w:t>
      </w:r>
      <w:r>
        <w:rPr>
          <w:rFonts w:hint="eastAsia" w:ascii="宋体" w:hAnsi="宋体" w:cs="Malgun Gothic"/>
          <w:b/>
          <w:color w:val="auto"/>
        </w:rPr>
        <w:t>〔</w:t>
      </w:r>
      <w:r>
        <w:rPr>
          <w:rFonts w:hint="eastAsia" w:ascii="宋体" w:hAnsi="宋体"/>
          <w:b/>
          <w:color w:val="auto"/>
        </w:rPr>
        <w:t>2011〕300</w:t>
      </w:r>
      <w:r>
        <w:rPr>
          <w:rFonts w:hint="eastAsia" w:ascii="宋体" w:hAnsi="宋体" w:cs="微软雅黑"/>
          <w:b/>
          <w:color w:val="auto"/>
        </w:rPr>
        <w:t>号</w:t>
      </w:r>
      <w:r>
        <w:rPr>
          <w:rFonts w:hint="eastAsia" w:ascii="宋体" w:hAnsi="宋体" w:cs="Malgun Gothic"/>
          <w:b/>
          <w:color w:val="auto"/>
        </w:rPr>
        <w:t>）</w:t>
      </w:r>
      <w:r>
        <w:rPr>
          <w:rFonts w:hint="eastAsia" w:ascii="宋体" w:hAnsi="宋体" w:cs="微软雅黑"/>
          <w:b/>
          <w:color w:val="auto"/>
        </w:rPr>
        <w:t>规</w:t>
      </w:r>
      <w:r>
        <w:rPr>
          <w:rFonts w:hint="eastAsia" w:ascii="宋体" w:hAnsi="宋体" w:cs="Malgun Gothic"/>
          <w:b/>
          <w:color w:val="auto"/>
        </w:rPr>
        <w:t>定的中小企</w:t>
      </w:r>
      <w:r>
        <w:rPr>
          <w:rFonts w:hint="eastAsia" w:ascii="宋体" w:hAnsi="宋体" w:cs="微软雅黑"/>
          <w:b/>
          <w:color w:val="auto"/>
        </w:rPr>
        <w:t>业划</w:t>
      </w:r>
      <w:r>
        <w:rPr>
          <w:rFonts w:hint="eastAsia" w:ascii="宋体" w:hAnsi="宋体" w:cs="Malgun Gothic"/>
          <w:b/>
          <w:color w:val="auto"/>
        </w:rPr>
        <w:t>型</w:t>
      </w:r>
      <w:r>
        <w:rPr>
          <w:rFonts w:hint="eastAsia" w:ascii="宋体" w:hAnsi="宋体" w:cs="微软雅黑"/>
          <w:b/>
          <w:color w:val="auto"/>
        </w:rPr>
        <w:t>标</w:t>
      </w:r>
      <w:r>
        <w:rPr>
          <w:rFonts w:hint="eastAsia" w:ascii="宋体" w:hAnsi="宋体" w:cs="Malgun Gothic"/>
          <w:b/>
          <w:color w:val="auto"/>
        </w:rPr>
        <w:t>准，如实出具声明函。中小企</w:t>
      </w:r>
      <w:r>
        <w:rPr>
          <w:rFonts w:hint="eastAsia" w:ascii="宋体" w:hAnsi="宋体" w:cs="微软雅黑"/>
          <w:b/>
          <w:color w:val="auto"/>
        </w:rPr>
        <w:t>业划</w:t>
      </w:r>
      <w:r>
        <w:rPr>
          <w:rFonts w:hint="eastAsia" w:ascii="宋体" w:hAnsi="宋体" w:cs="Malgun Gothic"/>
          <w:b/>
          <w:color w:val="auto"/>
        </w:rPr>
        <w:t>型</w:t>
      </w:r>
      <w:r>
        <w:rPr>
          <w:rFonts w:hint="eastAsia" w:ascii="宋体" w:hAnsi="宋体" w:cs="微软雅黑"/>
          <w:b/>
          <w:color w:val="auto"/>
        </w:rPr>
        <w:t>填写错误</w:t>
      </w:r>
      <w:r>
        <w:rPr>
          <w:rFonts w:hint="eastAsia" w:ascii="宋体" w:hAnsi="宋体" w:cs="Malgun Gothic"/>
          <w:b/>
          <w:color w:val="auto"/>
        </w:rPr>
        <w:t>或所</w:t>
      </w:r>
      <w:r>
        <w:rPr>
          <w:rFonts w:hint="eastAsia" w:ascii="宋体" w:hAnsi="宋体" w:cs="微软雅黑"/>
          <w:b/>
          <w:color w:val="auto"/>
        </w:rPr>
        <w:t>属</w:t>
      </w:r>
      <w:r>
        <w:rPr>
          <w:rFonts w:hint="eastAsia" w:ascii="宋体" w:hAnsi="宋体" w:cs="Malgun Gothic"/>
          <w:b/>
          <w:color w:val="auto"/>
        </w:rPr>
        <w:t>行</w:t>
      </w:r>
      <w:r>
        <w:rPr>
          <w:rFonts w:hint="eastAsia" w:ascii="宋体" w:hAnsi="宋体" w:cs="微软雅黑"/>
          <w:b/>
          <w:color w:val="auto"/>
        </w:rPr>
        <w:t>业填写错误</w:t>
      </w:r>
      <w:r>
        <w:rPr>
          <w:rFonts w:hint="eastAsia" w:ascii="宋体" w:hAnsi="宋体" w:cs="Malgun Gothic"/>
          <w:b/>
          <w:color w:val="auto"/>
        </w:rPr>
        <w:t>的，</w:t>
      </w:r>
      <w:r>
        <w:rPr>
          <w:rFonts w:hint="eastAsia" w:ascii="宋体" w:hAnsi="宋体" w:cs="微软雅黑"/>
          <w:b/>
          <w:color w:val="auto"/>
        </w:rPr>
        <w:t>评标</w:t>
      </w:r>
      <w:r>
        <w:rPr>
          <w:rFonts w:hint="eastAsia" w:ascii="宋体" w:hAnsi="宋体" w:cs="Malgun Gothic"/>
          <w:b/>
          <w:color w:val="auto"/>
        </w:rPr>
        <w:t>委</w:t>
      </w:r>
      <w:r>
        <w:rPr>
          <w:rFonts w:hint="eastAsia" w:ascii="宋体" w:hAnsi="宋体" w:cs="微软雅黑"/>
          <w:b/>
          <w:color w:val="auto"/>
        </w:rPr>
        <w:t>员会将</w:t>
      </w:r>
      <w:r>
        <w:rPr>
          <w:rFonts w:hint="eastAsia" w:ascii="宋体" w:hAnsi="宋体" w:cs="Malgun Gothic"/>
          <w:b/>
          <w:color w:val="auto"/>
        </w:rPr>
        <w:t>不予</w:t>
      </w:r>
      <w:r>
        <w:rPr>
          <w:rFonts w:hint="eastAsia" w:ascii="宋体" w:hAnsi="宋体" w:cs="微软雅黑"/>
          <w:b/>
          <w:color w:val="auto"/>
        </w:rPr>
        <w:t>进</w:t>
      </w:r>
      <w:r>
        <w:rPr>
          <w:rFonts w:hint="eastAsia" w:ascii="宋体" w:hAnsi="宋体" w:cs="Malgun Gothic"/>
          <w:b/>
          <w:color w:val="auto"/>
        </w:rPr>
        <w:t>行价格扣除。</w:t>
      </w:r>
    </w:p>
    <w:p w14:paraId="3EF3B5D5">
      <w:pPr>
        <w:widowControl/>
        <w:spacing w:line="360" w:lineRule="auto"/>
        <w:jc w:val="left"/>
        <w:rPr>
          <w:rFonts w:hint="eastAsia" w:ascii="仿宋" w:hAnsi="仿宋" w:eastAsia="仿宋" w:cs="仿宋"/>
          <w:color w:val="auto"/>
          <w:kern w:val="0"/>
          <w:sz w:val="32"/>
          <w:szCs w:val="32"/>
        </w:rPr>
      </w:pPr>
      <w:r>
        <w:rPr>
          <w:rFonts w:hint="eastAsia" w:ascii="宋体" w:hAnsi="宋体" w:cs="Malgun Gothic"/>
          <w:b/>
          <w:color w:val="auto"/>
        </w:rPr>
        <w:t>4</w:t>
      </w:r>
      <w:r>
        <w:rPr>
          <w:rFonts w:ascii="宋体" w:hAnsi="宋体" w:cs="Malgun Gothic"/>
          <w:b/>
          <w:color w:val="auto"/>
        </w:rPr>
        <w:t>.</w:t>
      </w:r>
      <w:r>
        <w:rPr>
          <w:rFonts w:hint="eastAsia" w:ascii="宋体" w:hAnsi="宋体" w:cs="Malgun Gothic"/>
          <w:b/>
          <w:color w:val="auto"/>
          <w:lang w:eastAsia="zh-CN"/>
        </w:rPr>
        <w:t>若</w:t>
      </w:r>
      <w:r>
        <w:rPr>
          <w:rFonts w:hint="eastAsia" w:ascii="宋体" w:hAnsi="宋体" w:cs="Malgun Gothic"/>
          <w:b/>
          <w:color w:val="auto"/>
        </w:rPr>
        <w:t>货物采购项目包含多个标的物的，须逐项将货物制造商的相关信息全部列入《中小企业声明函》，并由投标人出具并加盖投标人公章。</w:t>
      </w:r>
      <w:r>
        <w:rPr>
          <w:color w:val="auto"/>
        </w:rPr>
        <w:br w:type="page"/>
      </w:r>
      <w:bookmarkStart w:id="521" w:name="_Toc21685908"/>
      <w:r>
        <w:rPr>
          <w:rFonts w:hint="eastAsia" w:ascii="仿宋" w:hAnsi="仿宋" w:eastAsia="仿宋" w:cs="仿宋"/>
          <w:color w:val="auto"/>
          <w:kern w:val="0"/>
          <w:sz w:val="32"/>
          <w:szCs w:val="32"/>
        </w:rPr>
        <w:t>附表</w:t>
      </w:r>
    </w:p>
    <w:p w14:paraId="26937F07">
      <w:pPr>
        <w:widowControl/>
        <w:spacing w:line="360" w:lineRule="auto"/>
        <w:jc w:val="center"/>
        <w:rPr>
          <w:rFonts w:hint="eastAsia" w:ascii="仿宋" w:hAnsi="仿宋" w:eastAsia="仿宋" w:cs="仿宋"/>
          <w:color w:val="auto"/>
          <w:kern w:val="0"/>
          <w:sz w:val="36"/>
          <w:szCs w:val="32"/>
        </w:rPr>
      </w:pPr>
      <w:r>
        <w:rPr>
          <w:rFonts w:hint="eastAsia" w:ascii="仿宋" w:hAnsi="仿宋" w:eastAsia="仿宋" w:cs="仿宋"/>
          <w:color w:val="auto"/>
          <w:kern w:val="0"/>
          <w:sz w:val="36"/>
          <w:szCs w:val="32"/>
        </w:rPr>
        <w:t>统计上大中小微型企业划分标准</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0FD37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exact"/>
          <w:jc w:val="center"/>
        </w:trPr>
        <w:tc>
          <w:tcPr>
            <w:tcW w:w="2113" w:type="dxa"/>
            <w:shd w:val="clear" w:color="auto" w:fill="auto"/>
            <w:vAlign w:val="center"/>
          </w:tcPr>
          <w:p w14:paraId="037CF06F">
            <w:pPr>
              <w:widowControl/>
              <w:spacing w:line="360" w:lineRule="auto"/>
              <w:jc w:val="center"/>
              <w:rPr>
                <w:rFonts w:hint="eastAsia" w:ascii="仿宋" w:hAnsi="仿宋" w:eastAsia="仿宋" w:cs="仿宋"/>
                <w:b/>
                <w:bCs/>
                <w:color w:val="auto"/>
                <w:kern w:val="0"/>
                <w:sz w:val="18"/>
                <w:szCs w:val="21"/>
              </w:rPr>
            </w:pPr>
            <w:r>
              <w:rPr>
                <w:rFonts w:hint="eastAsia" w:ascii="仿宋" w:hAnsi="仿宋" w:eastAsia="仿宋" w:cs="仿宋"/>
                <w:b/>
                <w:bCs/>
                <w:color w:val="auto"/>
                <w:kern w:val="0"/>
                <w:sz w:val="18"/>
                <w:szCs w:val="21"/>
              </w:rPr>
              <w:t>行业名称</w:t>
            </w:r>
          </w:p>
        </w:tc>
        <w:tc>
          <w:tcPr>
            <w:tcW w:w="1369" w:type="dxa"/>
            <w:shd w:val="clear" w:color="auto" w:fill="auto"/>
            <w:vAlign w:val="center"/>
          </w:tcPr>
          <w:p w14:paraId="6B209156">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指标名称</w:t>
            </w:r>
          </w:p>
        </w:tc>
        <w:tc>
          <w:tcPr>
            <w:tcW w:w="709" w:type="dxa"/>
            <w:shd w:val="clear" w:color="auto" w:fill="auto"/>
            <w:vAlign w:val="center"/>
          </w:tcPr>
          <w:p w14:paraId="5B74873A">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计量</w:t>
            </w:r>
          </w:p>
          <w:p w14:paraId="2074A6FF">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单位</w:t>
            </w:r>
          </w:p>
        </w:tc>
        <w:tc>
          <w:tcPr>
            <w:tcW w:w="1125" w:type="dxa"/>
            <w:shd w:val="clear" w:color="auto" w:fill="auto"/>
            <w:vAlign w:val="center"/>
          </w:tcPr>
          <w:p w14:paraId="36373FD5">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大型</w:t>
            </w:r>
          </w:p>
        </w:tc>
        <w:tc>
          <w:tcPr>
            <w:tcW w:w="1701" w:type="dxa"/>
            <w:shd w:val="clear" w:color="auto" w:fill="auto"/>
            <w:vAlign w:val="center"/>
          </w:tcPr>
          <w:p w14:paraId="009894E4">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中型</w:t>
            </w:r>
          </w:p>
        </w:tc>
        <w:tc>
          <w:tcPr>
            <w:tcW w:w="1426" w:type="dxa"/>
            <w:shd w:val="clear" w:color="auto" w:fill="auto"/>
            <w:vAlign w:val="center"/>
          </w:tcPr>
          <w:p w14:paraId="78949F61">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小型</w:t>
            </w:r>
          </w:p>
        </w:tc>
        <w:tc>
          <w:tcPr>
            <w:tcW w:w="992" w:type="dxa"/>
            <w:shd w:val="clear" w:color="auto" w:fill="auto"/>
            <w:vAlign w:val="center"/>
          </w:tcPr>
          <w:p w14:paraId="78B3410D">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微型</w:t>
            </w:r>
          </w:p>
        </w:tc>
      </w:tr>
      <w:tr w14:paraId="08BC9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shd w:val="clear" w:color="auto" w:fill="auto"/>
            <w:vAlign w:val="center"/>
          </w:tcPr>
          <w:p w14:paraId="3F48AB3F">
            <w:pPr>
              <w:widowControl/>
              <w:spacing w:line="360" w:lineRule="auto"/>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农、林、牧、渔业</w:t>
            </w:r>
          </w:p>
        </w:tc>
        <w:tc>
          <w:tcPr>
            <w:tcW w:w="1369" w:type="dxa"/>
            <w:shd w:val="clear" w:color="auto" w:fill="auto"/>
            <w:vAlign w:val="center"/>
          </w:tcPr>
          <w:p w14:paraId="61DE5FE9">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709" w:type="dxa"/>
            <w:shd w:val="clear" w:color="auto" w:fill="auto"/>
            <w:vAlign w:val="center"/>
          </w:tcPr>
          <w:p w14:paraId="2B12472F">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7741B23C">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Y≥20000</w:t>
            </w:r>
          </w:p>
        </w:tc>
        <w:tc>
          <w:tcPr>
            <w:tcW w:w="1701" w:type="dxa"/>
            <w:shd w:val="clear" w:color="auto" w:fill="auto"/>
            <w:vAlign w:val="center"/>
          </w:tcPr>
          <w:p w14:paraId="2E5F91AC">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500≤Y＜20000</w:t>
            </w:r>
          </w:p>
        </w:tc>
        <w:tc>
          <w:tcPr>
            <w:tcW w:w="1426" w:type="dxa"/>
            <w:shd w:val="clear" w:color="auto" w:fill="auto"/>
            <w:vAlign w:val="center"/>
          </w:tcPr>
          <w:p w14:paraId="2364404A">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50≤Y＜500</w:t>
            </w:r>
          </w:p>
        </w:tc>
        <w:tc>
          <w:tcPr>
            <w:tcW w:w="992" w:type="dxa"/>
            <w:shd w:val="clear" w:color="auto" w:fill="auto"/>
            <w:vAlign w:val="center"/>
          </w:tcPr>
          <w:p w14:paraId="58031153">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Y＜50</w:t>
            </w:r>
          </w:p>
        </w:tc>
      </w:tr>
      <w:tr w14:paraId="2F8E4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shd w:val="clear" w:color="auto" w:fill="auto"/>
            <w:vAlign w:val="center"/>
          </w:tcPr>
          <w:p w14:paraId="451612F1">
            <w:pPr>
              <w:widowControl/>
              <w:spacing w:line="360" w:lineRule="auto"/>
              <w:jc w:val="left"/>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工业 *</w:t>
            </w:r>
          </w:p>
        </w:tc>
        <w:tc>
          <w:tcPr>
            <w:tcW w:w="1369" w:type="dxa"/>
            <w:shd w:val="clear" w:color="auto" w:fill="auto"/>
            <w:vAlign w:val="center"/>
          </w:tcPr>
          <w:p w14:paraId="7AE17240">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从业人员(X)</w:t>
            </w:r>
          </w:p>
        </w:tc>
        <w:tc>
          <w:tcPr>
            <w:tcW w:w="709" w:type="dxa"/>
            <w:shd w:val="clear" w:color="auto" w:fill="auto"/>
            <w:vAlign w:val="center"/>
          </w:tcPr>
          <w:p w14:paraId="35E90520">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人</w:t>
            </w:r>
          </w:p>
        </w:tc>
        <w:tc>
          <w:tcPr>
            <w:tcW w:w="1125" w:type="dxa"/>
            <w:shd w:val="clear" w:color="auto" w:fill="auto"/>
            <w:vAlign w:val="center"/>
          </w:tcPr>
          <w:p w14:paraId="47766A7A">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X≥1000</w:t>
            </w:r>
          </w:p>
        </w:tc>
        <w:tc>
          <w:tcPr>
            <w:tcW w:w="1701" w:type="dxa"/>
            <w:shd w:val="clear" w:color="auto" w:fill="auto"/>
            <w:vAlign w:val="center"/>
          </w:tcPr>
          <w:p w14:paraId="24DF9999">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300≤X＜1000</w:t>
            </w:r>
          </w:p>
        </w:tc>
        <w:tc>
          <w:tcPr>
            <w:tcW w:w="1426" w:type="dxa"/>
            <w:shd w:val="clear" w:color="auto" w:fill="auto"/>
            <w:vAlign w:val="center"/>
          </w:tcPr>
          <w:p w14:paraId="31143CCD">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 xml:space="preserve"> 20≤X＜300</w:t>
            </w:r>
          </w:p>
        </w:tc>
        <w:tc>
          <w:tcPr>
            <w:tcW w:w="992" w:type="dxa"/>
            <w:shd w:val="clear" w:color="auto" w:fill="auto"/>
            <w:vAlign w:val="center"/>
          </w:tcPr>
          <w:p w14:paraId="706D637B">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X＜20</w:t>
            </w:r>
          </w:p>
        </w:tc>
      </w:tr>
      <w:tr w14:paraId="08664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00FF3439">
            <w:pPr>
              <w:widowControl/>
              <w:spacing w:line="360" w:lineRule="auto"/>
              <w:jc w:val="left"/>
              <w:rPr>
                <w:rFonts w:hint="eastAsia" w:ascii="仿宋" w:hAnsi="仿宋" w:eastAsia="仿宋" w:cs="仿宋"/>
                <w:b/>
                <w:bCs/>
                <w:color w:val="auto"/>
                <w:kern w:val="0"/>
                <w:sz w:val="18"/>
                <w:szCs w:val="18"/>
              </w:rPr>
            </w:pPr>
          </w:p>
        </w:tc>
        <w:tc>
          <w:tcPr>
            <w:tcW w:w="1369" w:type="dxa"/>
            <w:shd w:val="clear" w:color="auto" w:fill="auto"/>
            <w:vAlign w:val="center"/>
          </w:tcPr>
          <w:p w14:paraId="59831106">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营业收入(Y)</w:t>
            </w:r>
          </w:p>
        </w:tc>
        <w:tc>
          <w:tcPr>
            <w:tcW w:w="709" w:type="dxa"/>
            <w:shd w:val="clear" w:color="auto" w:fill="auto"/>
            <w:vAlign w:val="center"/>
          </w:tcPr>
          <w:p w14:paraId="1430F45E">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万元</w:t>
            </w:r>
          </w:p>
        </w:tc>
        <w:tc>
          <w:tcPr>
            <w:tcW w:w="1125" w:type="dxa"/>
            <w:shd w:val="clear" w:color="auto" w:fill="auto"/>
            <w:vAlign w:val="center"/>
          </w:tcPr>
          <w:p w14:paraId="351B6948">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Y≥40000</w:t>
            </w:r>
          </w:p>
        </w:tc>
        <w:tc>
          <w:tcPr>
            <w:tcW w:w="1701" w:type="dxa"/>
            <w:shd w:val="clear" w:color="auto" w:fill="auto"/>
            <w:vAlign w:val="center"/>
          </w:tcPr>
          <w:p w14:paraId="77A2AC4B">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2000≤Y＜40000</w:t>
            </w:r>
          </w:p>
        </w:tc>
        <w:tc>
          <w:tcPr>
            <w:tcW w:w="1426" w:type="dxa"/>
            <w:shd w:val="clear" w:color="auto" w:fill="auto"/>
            <w:vAlign w:val="center"/>
          </w:tcPr>
          <w:p w14:paraId="36B8C1D7">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 xml:space="preserve"> 300≤Y＜2000</w:t>
            </w:r>
          </w:p>
        </w:tc>
        <w:tc>
          <w:tcPr>
            <w:tcW w:w="992" w:type="dxa"/>
            <w:shd w:val="clear" w:color="auto" w:fill="auto"/>
            <w:vAlign w:val="center"/>
          </w:tcPr>
          <w:p w14:paraId="68F1340A">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Y＜300</w:t>
            </w:r>
          </w:p>
        </w:tc>
      </w:tr>
      <w:tr w14:paraId="420A4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shd w:val="clear" w:color="auto" w:fill="auto"/>
            <w:vAlign w:val="center"/>
          </w:tcPr>
          <w:p w14:paraId="561D3372">
            <w:pPr>
              <w:widowControl/>
              <w:spacing w:line="360" w:lineRule="auto"/>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建筑业</w:t>
            </w:r>
          </w:p>
        </w:tc>
        <w:tc>
          <w:tcPr>
            <w:tcW w:w="1369" w:type="dxa"/>
            <w:shd w:val="clear" w:color="auto" w:fill="auto"/>
            <w:vAlign w:val="center"/>
          </w:tcPr>
          <w:p w14:paraId="394B841E">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709" w:type="dxa"/>
            <w:shd w:val="clear" w:color="auto" w:fill="auto"/>
            <w:vAlign w:val="center"/>
          </w:tcPr>
          <w:p w14:paraId="2118355D">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38C3E8AF">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Y≥80000</w:t>
            </w:r>
          </w:p>
        </w:tc>
        <w:tc>
          <w:tcPr>
            <w:tcW w:w="1701" w:type="dxa"/>
            <w:shd w:val="clear" w:color="auto" w:fill="auto"/>
            <w:vAlign w:val="center"/>
          </w:tcPr>
          <w:p w14:paraId="4EC24862">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6000≤Y＜80000</w:t>
            </w:r>
          </w:p>
        </w:tc>
        <w:tc>
          <w:tcPr>
            <w:tcW w:w="1426" w:type="dxa"/>
            <w:shd w:val="clear" w:color="auto" w:fill="auto"/>
            <w:vAlign w:val="center"/>
          </w:tcPr>
          <w:p w14:paraId="0E5FA408">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300≤Y＜6000</w:t>
            </w:r>
          </w:p>
        </w:tc>
        <w:tc>
          <w:tcPr>
            <w:tcW w:w="992" w:type="dxa"/>
            <w:shd w:val="clear" w:color="auto" w:fill="auto"/>
            <w:vAlign w:val="center"/>
          </w:tcPr>
          <w:p w14:paraId="062484E0">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Y＜300</w:t>
            </w:r>
          </w:p>
        </w:tc>
      </w:tr>
      <w:tr w14:paraId="3EC88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1E72E684">
            <w:pPr>
              <w:widowControl/>
              <w:spacing w:line="360" w:lineRule="auto"/>
              <w:jc w:val="left"/>
              <w:rPr>
                <w:rFonts w:hint="eastAsia" w:ascii="仿宋" w:hAnsi="仿宋" w:eastAsia="仿宋" w:cs="仿宋"/>
                <w:color w:val="auto"/>
                <w:kern w:val="0"/>
                <w:sz w:val="18"/>
                <w:szCs w:val="18"/>
              </w:rPr>
            </w:pPr>
          </w:p>
        </w:tc>
        <w:tc>
          <w:tcPr>
            <w:tcW w:w="1369" w:type="dxa"/>
            <w:shd w:val="clear" w:color="auto" w:fill="auto"/>
            <w:vAlign w:val="center"/>
          </w:tcPr>
          <w:p w14:paraId="39020BE7">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资产总额(Z)</w:t>
            </w:r>
          </w:p>
        </w:tc>
        <w:tc>
          <w:tcPr>
            <w:tcW w:w="709" w:type="dxa"/>
            <w:shd w:val="clear" w:color="auto" w:fill="auto"/>
            <w:vAlign w:val="center"/>
          </w:tcPr>
          <w:p w14:paraId="1E8F6E5E">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7F89D0A1">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Z≥80000</w:t>
            </w:r>
          </w:p>
        </w:tc>
        <w:tc>
          <w:tcPr>
            <w:tcW w:w="1701" w:type="dxa"/>
            <w:shd w:val="clear" w:color="auto" w:fill="auto"/>
            <w:vAlign w:val="center"/>
          </w:tcPr>
          <w:p w14:paraId="6515B170">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5000≤Z＜80000</w:t>
            </w:r>
          </w:p>
        </w:tc>
        <w:tc>
          <w:tcPr>
            <w:tcW w:w="1426" w:type="dxa"/>
            <w:shd w:val="clear" w:color="auto" w:fill="auto"/>
            <w:vAlign w:val="center"/>
          </w:tcPr>
          <w:p w14:paraId="0C4506C2">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300≤Z＜5000</w:t>
            </w:r>
          </w:p>
        </w:tc>
        <w:tc>
          <w:tcPr>
            <w:tcW w:w="992" w:type="dxa"/>
            <w:shd w:val="clear" w:color="auto" w:fill="auto"/>
            <w:vAlign w:val="center"/>
          </w:tcPr>
          <w:p w14:paraId="4F20F7A0">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Z＜300</w:t>
            </w:r>
          </w:p>
        </w:tc>
      </w:tr>
      <w:tr w14:paraId="62294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shd w:val="clear" w:color="auto" w:fill="auto"/>
            <w:vAlign w:val="center"/>
          </w:tcPr>
          <w:p w14:paraId="2D558019">
            <w:pPr>
              <w:widowControl/>
              <w:spacing w:line="360" w:lineRule="auto"/>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批发业</w:t>
            </w:r>
          </w:p>
        </w:tc>
        <w:tc>
          <w:tcPr>
            <w:tcW w:w="1369" w:type="dxa"/>
            <w:shd w:val="clear" w:color="auto" w:fill="auto"/>
            <w:vAlign w:val="center"/>
          </w:tcPr>
          <w:p w14:paraId="441FF94D">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709" w:type="dxa"/>
            <w:shd w:val="clear" w:color="auto" w:fill="auto"/>
            <w:vAlign w:val="center"/>
          </w:tcPr>
          <w:p w14:paraId="19ABDDFC">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125" w:type="dxa"/>
            <w:shd w:val="clear" w:color="auto" w:fill="auto"/>
            <w:vAlign w:val="center"/>
          </w:tcPr>
          <w:p w14:paraId="716FCC4F">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X≥200</w:t>
            </w:r>
          </w:p>
        </w:tc>
        <w:tc>
          <w:tcPr>
            <w:tcW w:w="1701" w:type="dxa"/>
            <w:shd w:val="clear" w:color="auto" w:fill="auto"/>
            <w:vAlign w:val="center"/>
          </w:tcPr>
          <w:p w14:paraId="68FDE2A4">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20≤X＜200</w:t>
            </w:r>
          </w:p>
        </w:tc>
        <w:tc>
          <w:tcPr>
            <w:tcW w:w="1426" w:type="dxa"/>
            <w:shd w:val="clear" w:color="auto" w:fill="auto"/>
            <w:vAlign w:val="center"/>
          </w:tcPr>
          <w:p w14:paraId="6EEC95CD">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5≤X＜20</w:t>
            </w:r>
          </w:p>
        </w:tc>
        <w:tc>
          <w:tcPr>
            <w:tcW w:w="992" w:type="dxa"/>
            <w:shd w:val="clear" w:color="auto" w:fill="auto"/>
            <w:vAlign w:val="center"/>
          </w:tcPr>
          <w:p w14:paraId="053BCCB7">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X＜5</w:t>
            </w:r>
          </w:p>
        </w:tc>
      </w:tr>
      <w:tr w14:paraId="5BF5F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650A5F5C">
            <w:pPr>
              <w:widowControl/>
              <w:spacing w:line="360" w:lineRule="auto"/>
              <w:jc w:val="left"/>
              <w:rPr>
                <w:rFonts w:hint="eastAsia" w:ascii="仿宋" w:hAnsi="仿宋" w:eastAsia="仿宋" w:cs="仿宋"/>
                <w:color w:val="auto"/>
                <w:kern w:val="0"/>
                <w:sz w:val="18"/>
                <w:szCs w:val="18"/>
              </w:rPr>
            </w:pPr>
          </w:p>
        </w:tc>
        <w:tc>
          <w:tcPr>
            <w:tcW w:w="1369" w:type="dxa"/>
            <w:shd w:val="clear" w:color="auto" w:fill="auto"/>
            <w:vAlign w:val="center"/>
          </w:tcPr>
          <w:p w14:paraId="59F944AE">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709" w:type="dxa"/>
            <w:shd w:val="clear" w:color="auto" w:fill="auto"/>
            <w:vAlign w:val="center"/>
          </w:tcPr>
          <w:p w14:paraId="4ACCB581">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2A5BFE17">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Y≥40000</w:t>
            </w:r>
          </w:p>
        </w:tc>
        <w:tc>
          <w:tcPr>
            <w:tcW w:w="1701" w:type="dxa"/>
            <w:shd w:val="clear" w:color="auto" w:fill="auto"/>
            <w:vAlign w:val="center"/>
          </w:tcPr>
          <w:p w14:paraId="262F853C">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5000≤Y＜40000</w:t>
            </w:r>
          </w:p>
        </w:tc>
        <w:tc>
          <w:tcPr>
            <w:tcW w:w="1426" w:type="dxa"/>
            <w:shd w:val="clear" w:color="auto" w:fill="auto"/>
            <w:vAlign w:val="center"/>
          </w:tcPr>
          <w:p w14:paraId="08171037">
            <w:pPr>
              <w:widowControl/>
              <w:spacing w:line="360" w:lineRule="auto"/>
              <w:ind w:left="-1" w:leftChars="-1" w:hanging="1"/>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1000≤Y＜5000</w:t>
            </w:r>
          </w:p>
        </w:tc>
        <w:tc>
          <w:tcPr>
            <w:tcW w:w="992" w:type="dxa"/>
            <w:shd w:val="clear" w:color="auto" w:fill="auto"/>
            <w:vAlign w:val="center"/>
          </w:tcPr>
          <w:p w14:paraId="77D5B10B">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Y＜1000</w:t>
            </w:r>
          </w:p>
        </w:tc>
      </w:tr>
      <w:tr w14:paraId="2F2A0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shd w:val="clear" w:color="auto" w:fill="auto"/>
            <w:vAlign w:val="center"/>
          </w:tcPr>
          <w:p w14:paraId="058B3CC3">
            <w:pPr>
              <w:widowControl/>
              <w:spacing w:line="360" w:lineRule="auto"/>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零售业</w:t>
            </w:r>
          </w:p>
        </w:tc>
        <w:tc>
          <w:tcPr>
            <w:tcW w:w="1369" w:type="dxa"/>
            <w:shd w:val="clear" w:color="auto" w:fill="auto"/>
            <w:vAlign w:val="center"/>
          </w:tcPr>
          <w:p w14:paraId="49A6AE5A">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709" w:type="dxa"/>
            <w:shd w:val="clear" w:color="auto" w:fill="auto"/>
            <w:vAlign w:val="center"/>
          </w:tcPr>
          <w:p w14:paraId="1A7B7E4D">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125" w:type="dxa"/>
            <w:shd w:val="clear" w:color="auto" w:fill="auto"/>
            <w:vAlign w:val="center"/>
          </w:tcPr>
          <w:p w14:paraId="0EA90E04">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X≥300</w:t>
            </w:r>
          </w:p>
        </w:tc>
        <w:tc>
          <w:tcPr>
            <w:tcW w:w="1701" w:type="dxa"/>
            <w:shd w:val="clear" w:color="auto" w:fill="auto"/>
            <w:vAlign w:val="center"/>
          </w:tcPr>
          <w:p w14:paraId="068B7238">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50≤X＜300</w:t>
            </w:r>
          </w:p>
        </w:tc>
        <w:tc>
          <w:tcPr>
            <w:tcW w:w="1426" w:type="dxa"/>
            <w:shd w:val="clear" w:color="auto" w:fill="auto"/>
            <w:vAlign w:val="center"/>
          </w:tcPr>
          <w:p w14:paraId="2EA97BC0">
            <w:pPr>
              <w:widowControl/>
              <w:spacing w:line="360" w:lineRule="auto"/>
              <w:ind w:left="-1" w:leftChars="-1" w:hanging="1"/>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10≤X＜50 </w:t>
            </w:r>
          </w:p>
        </w:tc>
        <w:tc>
          <w:tcPr>
            <w:tcW w:w="992" w:type="dxa"/>
            <w:shd w:val="clear" w:color="auto" w:fill="auto"/>
            <w:vAlign w:val="center"/>
          </w:tcPr>
          <w:p w14:paraId="36FD5170">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X＜10</w:t>
            </w:r>
          </w:p>
        </w:tc>
      </w:tr>
      <w:tr w14:paraId="42A13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79D97446">
            <w:pPr>
              <w:widowControl/>
              <w:spacing w:line="360" w:lineRule="auto"/>
              <w:jc w:val="left"/>
              <w:rPr>
                <w:rFonts w:hint="eastAsia" w:ascii="仿宋" w:hAnsi="仿宋" w:eastAsia="仿宋" w:cs="仿宋"/>
                <w:color w:val="auto"/>
                <w:kern w:val="0"/>
                <w:sz w:val="18"/>
                <w:szCs w:val="18"/>
              </w:rPr>
            </w:pPr>
          </w:p>
        </w:tc>
        <w:tc>
          <w:tcPr>
            <w:tcW w:w="1369" w:type="dxa"/>
            <w:shd w:val="clear" w:color="auto" w:fill="auto"/>
            <w:vAlign w:val="center"/>
          </w:tcPr>
          <w:p w14:paraId="264EA442">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709" w:type="dxa"/>
            <w:shd w:val="clear" w:color="auto" w:fill="auto"/>
            <w:vAlign w:val="center"/>
          </w:tcPr>
          <w:p w14:paraId="32003126">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4C6A48FC">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Y≥20000</w:t>
            </w:r>
          </w:p>
        </w:tc>
        <w:tc>
          <w:tcPr>
            <w:tcW w:w="1701" w:type="dxa"/>
            <w:shd w:val="clear" w:color="auto" w:fill="auto"/>
            <w:vAlign w:val="center"/>
          </w:tcPr>
          <w:p w14:paraId="247EBEA5">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500≤Y＜20000</w:t>
            </w:r>
          </w:p>
        </w:tc>
        <w:tc>
          <w:tcPr>
            <w:tcW w:w="1426" w:type="dxa"/>
            <w:shd w:val="clear" w:color="auto" w:fill="auto"/>
            <w:vAlign w:val="center"/>
          </w:tcPr>
          <w:p w14:paraId="2D648447">
            <w:pPr>
              <w:widowControl/>
              <w:spacing w:line="360" w:lineRule="auto"/>
              <w:ind w:left="-1" w:leftChars="-1" w:hanging="1"/>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100≤Y＜500 </w:t>
            </w:r>
          </w:p>
        </w:tc>
        <w:tc>
          <w:tcPr>
            <w:tcW w:w="992" w:type="dxa"/>
            <w:shd w:val="clear" w:color="auto" w:fill="auto"/>
            <w:vAlign w:val="center"/>
          </w:tcPr>
          <w:p w14:paraId="04336473">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Y＜100</w:t>
            </w:r>
          </w:p>
        </w:tc>
      </w:tr>
      <w:tr w14:paraId="4D0E6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shd w:val="clear" w:color="auto" w:fill="auto"/>
            <w:vAlign w:val="center"/>
          </w:tcPr>
          <w:p w14:paraId="3E929250">
            <w:pPr>
              <w:widowControl/>
              <w:spacing w:line="360" w:lineRule="auto"/>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交通运输业 *</w:t>
            </w:r>
          </w:p>
        </w:tc>
        <w:tc>
          <w:tcPr>
            <w:tcW w:w="1369" w:type="dxa"/>
            <w:shd w:val="clear" w:color="auto" w:fill="auto"/>
            <w:vAlign w:val="center"/>
          </w:tcPr>
          <w:p w14:paraId="1803E014">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709" w:type="dxa"/>
            <w:shd w:val="clear" w:color="auto" w:fill="auto"/>
            <w:vAlign w:val="center"/>
          </w:tcPr>
          <w:p w14:paraId="67B83103">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125" w:type="dxa"/>
            <w:shd w:val="clear" w:color="auto" w:fill="auto"/>
            <w:vAlign w:val="center"/>
          </w:tcPr>
          <w:p w14:paraId="203D2073">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X≥1000</w:t>
            </w:r>
          </w:p>
        </w:tc>
        <w:tc>
          <w:tcPr>
            <w:tcW w:w="1701" w:type="dxa"/>
            <w:shd w:val="clear" w:color="auto" w:fill="auto"/>
            <w:vAlign w:val="center"/>
          </w:tcPr>
          <w:p w14:paraId="6412A5E1">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300≤X＜1000</w:t>
            </w:r>
          </w:p>
        </w:tc>
        <w:tc>
          <w:tcPr>
            <w:tcW w:w="1426" w:type="dxa"/>
            <w:shd w:val="clear" w:color="auto" w:fill="auto"/>
            <w:vAlign w:val="center"/>
          </w:tcPr>
          <w:p w14:paraId="3A729B3B">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20≤X＜300</w:t>
            </w:r>
          </w:p>
        </w:tc>
        <w:tc>
          <w:tcPr>
            <w:tcW w:w="992" w:type="dxa"/>
            <w:shd w:val="clear" w:color="auto" w:fill="auto"/>
            <w:vAlign w:val="center"/>
          </w:tcPr>
          <w:p w14:paraId="59B9EEE3">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X＜20</w:t>
            </w:r>
          </w:p>
        </w:tc>
      </w:tr>
      <w:tr w14:paraId="465D9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3D7C7B34">
            <w:pPr>
              <w:widowControl/>
              <w:spacing w:line="360" w:lineRule="auto"/>
              <w:jc w:val="left"/>
              <w:rPr>
                <w:rFonts w:hint="eastAsia" w:ascii="仿宋" w:hAnsi="仿宋" w:eastAsia="仿宋" w:cs="仿宋"/>
                <w:color w:val="auto"/>
                <w:kern w:val="0"/>
                <w:sz w:val="18"/>
                <w:szCs w:val="18"/>
              </w:rPr>
            </w:pPr>
          </w:p>
        </w:tc>
        <w:tc>
          <w:tcPr>
            <w:tcW w:w="1369" w:type="dxa"/>
            <w:shd w:val="clear" w:color="auto" w:fill="auto"/>
            <w:vAlign w:val="center"/>
          </w:tcPr>
          <w:p w14:paraId="6B8F3DEC">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709" w:type="dxa"/>
            <w:shd w:val="clear" w:color="auto" w:fill="auto"/>
            <w:vAlign w:val="center"/>
          </w:tcPr>
          <w:p w14:paraId="7147843D">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5FA8FB97">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Y≥30000</w:t>
            </w:r>
          </w:p>
        </w:tc>
        <w:tc>
          <w:tcPr>
            <w:tcW w:w="1701" w:type="dxa"/>
            <w:shd w:val="clear" w:color="auto" w:fill="auto"/>
            <w:vAlign w:val="center"/>
          </w:tcPr>
          <w:p w14:paraId="70C8AB31">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3000≤Y＜30000</w:t>
            </w:r>
          </w:p>
        </w:tc>
        <w:tc>
          <w:tcPr>
            <w:tcW w:w="1426" w:type="dxa"/>
            <w:shd w:val="clear" w:color="auto" w:fill="auto"/>
            <w:vAlign w:val="center"/>
          </w:tcPr>
          <w:p w14:paraId="5D5C60BF">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200≤Y＜3000</w:t>
            </w:r>
          </w:p>
        </w:tc>
        <w:tc>
          <w:tcPr>
            <w:tcW w:w="992" w:type="dxa"/>
            <w:shd w:val="clear" w:color="auto" w:fill="auto"/>
            <w:vAlign w:val="center"/>
          </w:tcPr>
          <w:p w14:paraId="3BF87998">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Y＜200</w:t>
            </w:r>
          </w:p>
        </w:tc>
      </w:tr>
      <w:tr w14:paraId="19436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shd w:val="clear" w:color="auto" w:fill="auto"/>
            <w:vAlign w:val="center"/>
          </w:tcPr>
          <w:p w14:paraId="10CB1E2F">
            <w:pPr>
              <w:widowControl/>
              <w:spacing w:line="360" w:lineRule="auto"/>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仓储业*</w:t>
            </w:r>
          </w:p>
        </w:tc>
        <w:tc>
          <w:tcPr>
            <w:tcW w:w="1369" w:type="dxa"/>
            <w:shd w:val="clear" w:color="auto" w:fill="auto"/>
            <w:vAlign w:val="center"/>
          </w:tcPr>
          <w:p w14:paraId="5B51A154">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709" w:type="dxa"/>
            <w:shd w:val="clear" w:color="auto" w:fill="auto"/>
            <w:vAlign w:val="center"/>
          </w:tcPr>
          <w:p w14:paraId="65A6EC74">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125" w:type="dxa"/>
            <w:shd w:val="clear" w:color="auto" w:fill="auto"/>
            <w:vAlign w:val="center"/>
          </w:tcPr>
          <w:p w14:paraId="4FCA0F48">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X≥200</w:t>
            </w:r>
          </w:p>
        </w:tc>
        <w:tc>
          <w:tcPr>
            <w:tcW w:w="1701" w:type="dxa"/>
            <w:shd w:val="clear" w:color="auto" w:fill="auto"/>
            <w:vAlign w:val="center"/>
          </w:tcPr>
          <w:p w14:paraId="15B921A3">
            <w:pPr>
              <w:widowControl/>
              <w:spacing w:line="360" w:lineRule="auto"/>
              <w:ind w:left="1" w:leftChars="-51" w:hanging="108" w:hangingChars="6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100≤X＜200</w:t>
            </w:r>
          </w:p>
        </w:tc>
        <w:tc>
          <w:tcPr>
            <w:tcW w:w="1426" w:type="dxa"/>
            <w:shd w:val="clear" w:color="auto" w:fill="auto"/>
            <w:vAlign w:val="center"/>
          </w:tcPr>
          <w:p w14:paraId="7A4C33F1">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20≤X＜100</w:t>
            </w:r>
          </w:p>
        </w:tc>
        <w:tc>
          <w:tcPr>
            <w:tcW w:w="992" w:type="dxa"/>
            <w:shd w:val="clear" w:color="auto" w:fill="auto"/>
            <w:vAlign w:val="center"/>
          </w:tcPr>
          <w:p w14:paraId="58719A90">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X＜20</w:t>
            </w:r>
          </w:p>
        </w:tc>
      </w:tr>
      <w:tr w14:paraId="01148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494B0426">
            <w:pPr>
              <w:widowControl/>
              <w:spacing w:line="360" w:lineRule="auto"/>
              <w:jc w:val="left"/>
              <w:rPr>
                <w:rFonts w:hint="eastAsia" w:ascii="仿宋" w:hAnsi="仿宋" w:eastAsia="仿宋" w:cs="仿宋"/>
                <w:color w:val="auto"/>
                <w:kern w:val="0"/>
                <w:sz w:val="18"/>
                <w:szCs w:val="18"/>
              </w:rPr>
            </w:pPr>
          </w:p>
        </w:tc>
        <w:tc>
          <w:tcPr>
            <w:tcW w:w="1369" w:type="dxa"/>
            <w:shd w:val="clear" w:color="auto" w:fill="auto"/>
            <w:vAlign w:val="center"/>
          </w:tcPr>
          <w:p w14:paraId="5DEB09AF">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709" w:type="dxa"/>
            <w:shd w:val="clear" w:color="auto" w:fill="auto"/>
            <w:vAlign w:val="center"/>
          </w:tcPr>
          <w:p w14:paraId="1CDF5D49">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400A83C6">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Y≥30000</w:t>
            </w:r>
          </w:p>
        </w:tc>
        <w:tc>
          <w:tcPr>
            <w:tcW w:w="1701" w:type="dxa"/>
            <w:shd w:val="clear" w:color="auto" w:fill="auto"/>
            <w:vAlign w:val="center"/>
          </w:tcPr>
          <w:p w14:paraId="6E6E1CFE">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1000≤Y＜30000</w:t>
            </w:r>
          </w:p>
        </w:tc>
        <w:tc>
          <w:tcPr>
            <w:tcW w:w="1426" w:type="dxa"/>
            <w:shd w:val="clear" w:color="auto" w:fill="auto"/>
            <w:vAlign w:val="center"/>
          </w:tcPr>
          <w:p w14:paraId="115B22DA">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100≤Y＜1000</w:t>
            </w:r>
          </w:p>
        </w:tc>
        <w:tc>
          <w:tcPr>
            <w:tcW w:w="992" w:type="dxa"/>
            <w:shd w:val="clear" w:color="auto" w:fill="auto"/>
            <w:vAlign w:val="center"/>
          </w:tcPr>
          <w:p w14:paraId="7054D24B">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Y＜100</w:t>
            </w:r>
          </w:p>
        </w:tc>
      </w:tr>
      <w:tr w14:paraId="5411B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shd w:val="clear" w:color="auto" w:fill="auto"/>
            <w:vAlign w:val="center"/>
          </w:tcPr>
          <w:p w14:paraId="0B15FE88">
            <w:pPr>
              <w:widowControl/>
              <w:spacing w:line="360" w:lineRule="auto"/>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邮政业</w:t>
            </w:r>
          </w:p>
        </w:tc>
        <w:tc>
          <w:tcPr>
            <w:tcW w:w="1369" w:type="dxa"/>
            <w:shd w:val="clear" w:color="auto" w:fill="auto"/>
            <w:vAlign w:val="center"/>
          </w:tcPr>
          <w:p w14:paraId="65D25C4E">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709" w:type="dxa"/>
            <w:shd w:val="clear" w:color="auto" w:fill="auto"/>
            <w:vAlign w:val="center"/>
          </w:tcPr>
          <w:p w14:paraId="522C0AD1">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125" w:type="dxa"/>
            <w:shd w:val="clear" w:color="auto" w:fill="auto"/>
            <w:vAlign w:val="center"/>
          </w:tcPr>
          <w:p w14:paraId="7EA7DA6D">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X≥1000</w:t>
            </w:r>
          </w:p>
        </w:tc>
        <w:tc>
          <w:tcPr>
            <w:tcW w:w="1701" w:type="dxa"/>
            <w:shd w:val="clear" w:color="auto" w:fill="auto"/>
            <w:vAlign w:val="center"/>
          </w:tcPr>
          <w:p w14:paraId="08737406">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300≤X＜1000</w:t>
            </w:r>
          </w:p>
        </w:tc>
        <w:tc>
          <w:tcPr>
            <w:tcW w:w="1426" w:type="dxa"/>
            <w:shd w:val="clear" w:color="auto" w:fill="auto"/>
            <w:vAlign w:val="center"/>
          </w:tcPr>
          <w:p w14:paraId="5036B75C">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20≤X＜300</w:t>
            </w:r>
          </w:p>
        </w:tc>
        <w:tc>
          <w:tcPr>
            <w:tcW w:w="992" w:type="dxa"/>
            <w:shd w:val="clear" w:color="auto" w:fill="auto"/>
            <w:vAlign w:val="center"/>
          </w:tcPr>
          <w:p w14:paraId="5E253291">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X＜20</w:t>
            </w:r>
          </w:p>
        </w:tc>
      </w:tr>
      <w:tr w14:paraId="11C1E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47D7DED9">
            <w:pPr>
              <w:widowControl/>
              <w:spacing w:line="360" w:lineRule="auto"/>
              <w:jc w:val="left"/>
              <w:rPr>
                <w:rFonts w:hint="eastAsia" w:ascii="仿宋" w:hAnsi="仿宋" w:eastAsia="仿宋" w:cs="仿宋"/>
                <w:color w:val="auto"/>
                <w:kern w:val="0"/>
                <w:sz w:val="18"/>
                <w:szCs w:val="18"/>
              </w:rPr>
            </w:pPr>
          </w:p>
        </w:tc>
        <w:tc>
          <w:tcPr>
            <w:tcW w:w="1369" w:type="dxa"/>
            <w:shd w:val="clear" w:color="auto" w:fill="auto"/>
            <w:vAlign w:val="center"/>
          </w:tcPr>
          <w:p w14:paraId="3F8D11DC">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709" w:type="dxa"/>
            <w:shd w:val="clear" w:color="auto" w:fill="auto"/>
            <w:vAlign w:val="center"/>
          </w:tcPr>
          <w:p w14:paraId="21F2F566">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00BD00AE">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Y≥30000</w:t>
            </w:r>
          </w:p>
        </w:tc>
        <w:tc>
          <w:tcPr>
            <w:tcW w:w="1701" w:type="dxa"/>
            <w:shd w:val="clear" w:color="auto" w:fill="auto"/>
            <w:vAlign w:val="center"/>
          </w:tcPr>
          <w:p w14:paraId="6DCFD6A5">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2000≤Y＜30000</w:t>
            </w:r>
          </w:p>
        </w:tc>
        <w:tc>
          <w:tcPr>
            <w:tcW w:w="1426" w:type="dxa"/>
            <w:shd w:val="clear" w:color="auto" w:fill="auto"/>
            <w:vAlign w:val="center"/>
          </w:tcPr>
          <w:p w14:paraId="596A6410">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100≤Y＜2000</w:t>
            </w:r>
          </w:p>
        </w:tc>
        <w:tc>
          <w:tcPr>
            <w:tcW w:w="992" w:type="dxa"/>
            <w:shd w:val="clear" w:color="auto" w:fill="auto"/>
            <w:vAlign w:val="center"/>
          </w:tcPr>
          <w:p w14:paraId="618DA362">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Y＜100</w:t>
            </w:r>
          </w:p>
        </w:tc>
      </w:tr>
      <w:tr w14:paraId="0EAB1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shd w:val="clear" w:color="auto" w:fill="auto"/>
            <w:vAlign w:val="center"/>
          </w:tcPr>
          <w:p w14:paraId="565BA308">
            <w:pPr>
              <w:widowControl/>
              <w:spacing w:line="360" w:lineRule="auto"/>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住宿业</w:t>
            </w:r>
          </w:p>
        </w:tc>
        <w:tc>
          <w:tcPr>
            <w:tcW w:w="1369" w:type="dxa"/>
            <w:shd w:val="clear" w:color="auto" w:fill="auto"/>
            <w:vAlign w:val="center"/>
          </w:tcPr>
          <w:p w14:paraId="148A6072">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709" w:type="dxa"/>
            <w:shd w:val="clear" w:color="auto" w:fill="auto"/>
            <w:vAlign w:val="center"/>
          </w:tcPr>
          <w:p w14:paraId="1BA2B687">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125" w:type="dxa"/>
            <w:shd w:val="clear" w:color="auto" w:fill="auto"/>
            <w:vAlign w:val="center"/>
          </w:tcPr>
          <w:p w14:paraId="4C412CF6">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X≥300</w:t>
            </w:r>
          </w:p>
        </w:tc>
        <w:tc>
          <w:tcPr>
            <w:tcW w:w="1701" w:type="dxa"/>
            <w:shd w:val="clear" w:color="auto" w:fill="auto"/>
            <w:vAlign w:val="center"/>
          </w:tcPr>
          <w:p w14:paraId="7B66C3FD">
            <w:pPr>
              <w:widowControl/>
              <w:spacing w:line="360" w:lineRule="auto"/>
              <w:ind w:left="1" w:leftChars="-51" w:hanging="108" w:hangingChars="6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100≤X＜300 </w:t>
            </w:r>
          </w:p>
        </w:tc>
        <w:tc>
          <w:tcPr>
            <w:tcW w:w="1426" w:type="dxa"/>
            <w:shd w:val="clear" w:color="auto" w:fill="auto"/>
            <w:vAlign w:val="center"/>
          </w:tcPr>
          <w:p w14:paraId="3079ACF5">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10≤X＜100</w:t>
            </w:r>
          </w:p>
        </w:tc>
        <w:tc>
          <w:tcPr>
            <w:tcW w:w="992" w:type="dxa"/>
            <w:shd w:val="clear" w:color="auto" w:fill="auto"/>
            <w:vAlign w:val="center"/>
          </w:tcPr>
          <w:p w14:paraId="46ED0A25">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X＜10</w:t>
            </w:r>
          </w:p>
        </w:tc>
      </w:tr>
      <w:tr w14:paraId="4D965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53B03667">
            <w:pPr>
              <w:widowControl/>
              <w:spacing w:line="360" w:lineRule="auto"/>
              <w:jc w:val="left"/>
              <w:rPr>
                <w:rFonts w:hint="eastAsia" w:ascii="仿宋" w:hAnsi="仿宋" w:eastAsia="仿宋" w:cs="仿宋"/>
                <w:color w:val="auto"/>
                <w:kern w:val="0"/>
                <w:sz w:val="18"/>
                <w:szCs w:val="18"/>
              </w:rPr>
            </w:pPr>
          </w:p>
        </w:tc>
        <w:tc>
          <w:tcPr>
            <w:tcW w:w="1369" w:type="dxa"/>
            <w:shd w:val="clear" w:color="auto" w:fill="auto"/>
            <w:vAlign w:val="center"/>
          </w:tcPr>
          <w:p w14:paraId="2A23F485">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709" w:type="dxa"/>
            <w:shd w:val="clear" w:color="auto" w:fill="auto"/>
            <w:vAlign w:val="center"/>
          </w:tcPr>
          <w:p w14:paraId="406869C2">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00AE1059">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Y≥10000</w:t>
            </w:r>
          </w:p>
        </w:tc>
        <w:tc>
          <w:tcPr>
            <w:tcW w:w="1701" w:type="dxa"/>
            <w:shd w:val="clear" w:color="auto" w:fill="auto"/>
            <w:vAlign w:val="center"/>
          </w:tcPr>
          <w:p w14:paraId="30B5C3C8">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2000≤Y＜10000</w:t>
            </w:r>
          </w:p>
        </w:tc>
        <w:tc>
          <w:tcPr>
            <w:tcW w:w="1426" w:type="dxa"/>
            <w:shd w:val="clear" w:color="auto" w:fill="auto"/>
            <w:vAlign w:val="center"/>
          </w:tcPr>
          <w:p w14:paraId="482491E5">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100≤Y＜2000</w:t>
            </w:r>
          </w:p>
        </w:tc>
        <w:tc>
          <w:tcPr>
            <w:tcW w:w="992" w:type="dxa"/>
            <w:shd w:val="clear" w:color="auto" w:fill="auto"/>
            <w:vAlign w:val="center"/>
          </w:tcPr>
          <w:p w14:paraId="3DFDD30C">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Y＜100</w:t>
            </w:r>
          </w:p>
        </w:tc>
      </w:tr>
      <w:tr w14:paraId="3D436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shd w:val="clear" w:color="auto" w:fill="auto"/>
            <w:vAlign w:val="center"/>
          </w:tcPr>
          <w:p w14:paraId="1B50015D">
            <w:pPr>
              <w:widowControl/>
              <w:spacing w:line="360" w:lineRule="auto"/>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餐饮业</w:t>
            </w:r>
          </w:p>
        </w:tc>
        <w:tc>
          <w:tcPr>
            <w:tcW w:w="1369" w:type="dxa"/>
            <w:shd w:val="clear" w:color="auto" w:fill="auto"/>
            <w:vAlign w:val="center"/>
          </w:tcPr>
          <w:p w14:paraId="67511337">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709" w:type="dxa"/>
            <w:shd w:val="clear" w:color="auto" w:fill="auto"/>
            <w:vAlign w:val="center"/>
          </w:tcPr>
          <w:p w14:paraId="2C5B1B4B">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125" w:type="dxa"/>
            <w:shd w:val="clear" w:color="auto" w:fill="auto"/>
            <w:vAlign w:val="center"/>
          </w:tcPr>
          <w:p w14:paraId="3E32DED1">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X≥300</w:t>
            </w:r>
          </w:p>
        </w:tc>
        <w:tc>
          <w:tcPr>
            <w:tcW w:w="1701" w:type="dxa"/>
            <w:shd w:val="clear" w:color="auto" w:fill="auto"/>
            <w:vAlign w:val="center"/>
          </w:tcPr>
          <w:p w14:paraId="409AD835">
            <w:pPr>
              <w:widowControl/>
              <w:spacing w:line="360" w:lineRule="auto"/>
              <w:ind w:left="1" w:leftChars="-51" w:hanging="108" w:hangingChars="6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100≤X＜300 </w:t>
            </w:r>
          </w:p>
        </w:tc>
        <w:tc>
          <w:tcPr>
            <w:tcW w:w="1426" w:type="dxa"/>
            <w:shd w:val="clear" w:color="auto" w:fill="auto"/>
            <w:vAlign w:val="center"/>
          </w:tcPr>
          <w:p w14:paraId="0F6552C2">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10≤X＜100</w:t>
            </w:r>
          </w:p>
        </w:tc>
        <w:tc>
          <w:tcPr>
            <w:tcW w:w="992" w:type="dxa"/>
            <w:shd w:val="clear" w:color="auto" w:fill="auto"/>
            <w:vAlign w:val="center"/>
          </w:tcPr>
          <w:p w14:paraId="3D24865D">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X＜10</w:t>
            </w:r>
          </w:p>
        </w:tc>
      </w:tr>
      <w:tr w14:paraId="4B074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5DA7C572">
            <w:pPr>
              <w:widowControl/>
              <w:spacing w:line="360" w:lineRule="auto"/>
              <w:jc w:val="left"/>
              <w:rPr>
                <w:rFonts w:hint="eastAsia" w:ascii="仿宋" w:hAnsi="仿宋" w:eastAsia="仿宋" w:cs="仿宋"/>
                <w:color w:val="auto"/>
                <w:kern w:val="0"/>
                <w:sz w:val="18"/>
                <w:szCs w:val="18"/>
              </w:rPr>
            </w:pPr>
          </w:p>
        </w:tc>
        <w:tc>
          <w:tcPr>
            <w:tcW w:w="1369" w:type="dxa"/>
            <w:shd w:val="clear" w:color="auto" w:fill="auto"/>
            <w:vAlign w:val="center"/>
          </w:tcPr>
          <w:p w14:paraId="084E916A">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709" w:type="dxa"/>
            <w:shd w:val="clear" w:color="auto" w:fill="auto"/>
            <w:vAlign w:val="center"/>
          </w:tcPr>
          <w:p w14:paraId="492D51AB">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6AA2F5DE">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Y≥10000</w:t>
            </w:r>
          </w:p>
        </w:tc>
        <w:tc>
          <w:tcPr>
            <w:tcW w:w="1701" w:type="dxa"/>
            <w:shd w:val="clear" w:color="auto" w:fill="auto"/>
            <w:vAlign w:val="center"/>
          </w:tcPr>
          <w:p w14:paraId="08BF434F">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2000≤Y＜10000</w:t>
            </w:r>
          </w:p>
        </w:tc>
        <w:tc>
          <w:tcPr>
            <w:tcW w:w="1426" w:type="dxa"/>
            <w:shd w:val="clear" w:color="auto" w:fill="auto"/>
            <w:vAlign w:val="center"/>
          </w:tcPr>
          <w:p w14:paraId="2C85D244">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100≤Y＜2000</w:t>
            </w:r>
          </w:p>
        </w:tc>
        <w:tc>
          <w:tcPr>
            <w:tcW w:w="992" w:type="dxa"/>
            <w:shd w:val="clear" w:color="auto" w:fill="auto"/>
            <w:vAlign w:val="center"/>
          </w:tcPr>
          <w:p w14:paraId="24E046C2">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Y＜100</w:t>
            </w:r>
          </w:p>
        </w:tc>
      </w:tr>
      <w:tr w14:paraId="075E9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shd w:val="clear" w:color="auto" w:fill="auto"/>
            <w:vAlign w:val="center"/>
          </w:tcPr>
          <w:p w14:paraId="707A7120">
            <w:pPr>
              <w:widowControl/>
              <w:spacing w:line="360" w:lineRule="auto"/>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信息传输业 *</w:t>
            </w:r>
          </w:p>
        </w:tc>
        <w:tc>
          <w:tcPr>
            <w:tcW w:w="1369" w:type="dxa"/>
            <w:shd w:val="clear" w:color="auto" w:fill="auto"/>
            <w:vAlign w:val="center"/>
          </w:tcPr>
          <w:p w14:paraId="2452D502">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709" w:type="dxa"/>
            <w:shd w:val="clear" w:color="auto" w:fill="auto"/>
            <w:vAlign w:val="center"/>
          </w:tcPr>
          <w:p w14:paraId="18C27549">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125" w:type="dxa"/>
            <w:shd w:val="clear" w:color="auto" w:fill="auto"/>
            <w:vAlign w:val="center"/>
          </w:tcPr>
          <w:p w14:paraId="771A36E6">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X≥2000</w:t>
            </w:r>
          </w:p>
        </w:tc>
        <w:tc>
          <w:tcPr>
            <w:tcW w:w="1701" w:type="dxa"/>
            <w:shd w:val="clear" w:color="auto" w:fill="auto"/>
            <w:vAlign w:val="center"/>
          </w:tcPr>
          <w:p w14:paraId="43B91D66">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100≤X＜2000</w:t>
            </w:r>
          </w:p>
        </w:tc>
        <w:tc>
          <w:tcPr>
            <w:tcW w:w="1426" w:type="dxa"/>
            <w:shd w:val="clear" w:color="auto" w:fill="auto"/>
            <w:vAlign w:val="center"/>
          </w:tcPr>
          <w:p w14:paraId="2FA9B809">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10≤X＜100</w:t>
            </w:r>
          </w:p>
        </w:tc>
        <w:tc>
          <w:tcPr>
            <w:tcW w:w="992" w:type="dxa"/>
            <w:shd w:val="clear" w:color="auto" w:fill="auto"/>
            <w:vAlign w:val="center"/>
          </w:tcPr>
          <w:p w14:paraId="1D05ECEA">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X＜10</w:t>
            </w:r>
          </w:p>
        </w:tc>
      </w:tr>
      <w:tr w14:paraId="08DB7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52D23FEC">
            <w:pPr>
              <w:widowControl/>
              <w:spacing w:line="360" w:lineRule="auto"/>
              <w:jc w:val="left"/>
              <w:rPr>
                <w:rFonts w:hint="eastAsia" w:ascii="仿宋" w:hAnsi="仿宋" w:eastAsia="仿宋" w:cs="仿宋"/>
                <w:color w:val="auto"/>
                <w:kern w:val="0"/>
                <w:sz w:val="18"/>
                <w:szCs w:val="18"/>
              </w:rPr>
            </w:pPr>
          </w:p>
        </w:tc>
        <w:tc>
          <w:tcPr>
            <w:tcW w:w="1369" w:type="dxa"/>
            <w:shd w:val="clear" w:color="auto" w:fill="auto"/>
            <w:vAlign w:val="center"/>
          </w:tcPr>
          <w:p w14:paraId="66EB116E">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709" w:type="dxa"/>
            <w:shd w:val="clear" w:color="auto" w:fill="auto"/>
            <w:vAlign w:val="center"/>
          </w:tcPr>
          <w:p w14:paraId="63089ADA">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5C297AA1">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Y≥100000</w:t>
            </w:r>
          </w:p>
        </w:tc>
        <w:tc>
          <w:tcPr>
            <w:tcW w:w="1701" w:type="dxa"/>
            <w:shd w:val="clear" w:color="auto" w:fill="auto"/>
            <w:vAlign w:val="center"/>
          </w:tcPr>
          <w:p w14:paraId="3E525FBC">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1000≤Y＜100000</w:t>
            </w:r>
          </w:p>
        </w:tc>
        <w:tc>
          <w:tcPr>
            <w:tcW w:w="1426" w:type="dxa"/>
            <w:shd w:val="clear" w:color="auto" w:fill="auto"/>
            <w:vAlign w:val="center"/>
          </w:tcPr>
          <w:p w14:paraId="792F82B0">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100≤Y＜1000</w:t>
            </w:r>
          </w:p>
        </w:tc>
        <w:tc>
          <w:tcPr>
            <w:tcW w:w="992" w:type="dxa"/>
            <w:shd w:val="clear" w:color="auto" w:fill="auto"/>
            <w:vAlign w:val="center"/>
          </w:tcPr>
          <w:p w14:paraId="2EB5A083">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Y＜100</w:t>
            </w:r>
          </w:p>
        </w:tc>
      </w:tr>
      <w:tr w14:paraId="53669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shd w:val="clear" w:color="auto" w:fill="auto"/>
            <w:vAlign w:val="center"/>
          </w:tcPr>
          <w:p w14:paraId="67744FD8">
            <w:pPr>
              <w:widowControl/>
              <w:spacing w:line="360" w:lineRule="auto"/>
              <w:jc w:val="left"/>
              <w:rPr>
                <w:rFonts w:hint="eastAsia" w:ascii="仿宋" w:hAnsi="仿宋" w:eastAsia="仿宋" w:cs="仿宋"/>
                <w:color w:val="auto"/>
                <w:spacing w:val="-12"/>
                <w:kern w:val="0"/>
                <w:sz w:val="18"/>
                <w:szCs w:val="18"/>
              </w:rPr>
            </w:pPr>
            <w:r>
              <w:rPr>
                <w:rFonts w:hint="eastAsia" w:ascii="仿宋" w:hAnsi="仿宋" w:eastAsia="仿宋" w:cs="仿宋"/>
                <w:color w:val="auto"/>
                <w:spacing w:val="-12"/>
                <w:kern w:val="0"/>
                <w:sz w:val="18"/>
                <w:szCs w:val="18"/>
              </w:rPr>
              <w:t>软件和信息技术服</w:t>
            </w:r>
            <w:r>
              <w:rPr>
                <w:rFonts w:hint="eastAsia" w:ascii="仿宋" w:hAnsi="仿宋" w:eastAsia="仿宋" w:cs="仿宋"/>
                <w:color w:val="auto"/>
                <w:kern w:val="0"/>
                <w:sz w:val="18"/>
                <w:szCs w:val="18"/>
              </w:rPr>
              <w:t>务业</w:t>
            </w:r>
          </w:p>
        </w:tc>
        <w:tc>
          <w:tcPr>
            <w:tcW w:w="1369" w:type="dxa"/>
            <w:shd w:val="clear" w:color="auto" w:fill="auto"/>
            <w:vAlign w:val="center"/>
          </w:tcPr>
          <w:p w14:paraId="7427FF89">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709" w:type="dxa"/>
            <w:shd w:val="clear" w:color="auto" w:fill="auto"/>
            <w:vAlign w:val="center"/>
          </w:tcPr>
          <w:p w14:paraId="3D832474">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125" w:type="dxa"/>
            <w:shd w:val="clear" w:color="auto" w:fill="auto"/>
            <w:vAlign w:val="center"/>
          </w:tcPr>
          <w:p w14:paraId="6B1A4F61">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X≥300</w:t>
            </w:r>
          </w:p>
        </w:tc>
        <w:tc>
          <w:tcPr>
            <w:tcW w:w="1701" w:type="dxa"/>
            <w:shd w:val="clear" w:color="auto" w:fill="auto"/>
            <w:vAlign w:val="center"/>
          </w:tcPr>
          <w:p w14:paraId="6B6422E3">
            <w:pPr>
              <w:widowControl/>
              <w:spacing w:line="360" w:lineRule="auto"/>
              <w:ind w:left="1" w:leftChars="-51" w:hanging="108" w:hangingChars="6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100≤X＜300 </w:t>
            </w:r>
          </w:p>
        </w:tc>
        <w:tc>
          <w:tcPr>
            <w:tcW w:w="1426" w:type="dxa"/>
            <w:shd w:val="clear" w:color="auto" w:fill="auto"/>
            <w:vAlign w:val="center"/>
          </w:tcPr>
          <w:p w14:paraId="7B9B58F8">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10≤X＜100</w:t>
            </w:r>
          </w:p>
        </w:tc>
        <w:tc>
          <w:tcPr>
            <w:tcW w:w="992" w:type="dxa"/>
            <w:shd w:val="clear" w:color="auto" w:fill="auto"/>
            <w:vAlign w:val="center"/>
          </w:tcPr>
          <w:p w14:paraId="11B121B3">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X＜10</w:t>
            </w:r>
          </w:p>
        </w:tc>
      </w:tr>
      <w:tr w14:paraId="15BBB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20BE274B">
            <w:pPr>
              <w:widowControl/>
              <w:spacing w:line="360" w:lineRule="auto"/>
              <w:jc w:val="left"/>
              <w:rPr>
                <w:rFonts w:hint="eastAsia" w:ascii="仿宋" w:hAnsi="仿宋" w:eastAsia="仿宋" w:cs="仿宋"/>
                <w:color w:val="auto"/>
                <w:spacing w:val="-12"/>
                <w:kern w:val="0"/>
                <w:sz w:val="18"/>
                <w:szCs w:val="18"/>
              </w:rPr>
            </w:pPr>
          </w:p>
        </w:tc>
        <w:tc>
          <w:tcPr>
            <w:tcW w:w="1369" w:type="dxa"/>
            <w:shd w:val="clear" w:color="auto" w:fill="auto"/>
            <w:vAlign w:val="center"/>
          </w:tcPr>
          <w:p w14:paraId="39F62F5B">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709" w:type="dxa"/>
            <w:shd w:val="clear" w:color="auto" w:fill="auto"/>
            <w:vAlign w:val="center"/>
          </w:tcPr>
          <w:p w14:paraId="348377FF">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329F457C">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Y≥10000</w:t>
            </w:r>
          </w:p>
        </w:tc>
        <w:tc>
          <w:tcPr>
            <w:tcW w:w="1701" w:type="dxa"/>
            <w:shd w:val="clear" w:color="auto" w:fill="auto"/>
            <w:vAlign w:val="center"/>
          </w:tcPr>
          <w:p w14:paraId="23396357">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1000≤Y＜10000</w:t>
            </w:r>
          </w:p>
        </w:tc>
        <w:tc>
          <w:tcPr>
            <w:tcW w:w="1426" w:type="dxa"/>
            <w:shd w:val="clear" w:color="auto" w:fill="auto"/>
            <w:vAlign w:val="center"/>
          </w:tcPr>
          <w:p w14:paraId="6BA4CA68">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50≤Y＜1000</w:t>
            </w:r>
          </w:p>
        </w:tc>
        <w:tc>
          <w:tcPr>
            <w:tcW w:w="992" w:type="dxa"/>
            <w:shd w:val="clear" w:color="auto" w:fill="auto"/>
            <w:vAlign w:val="center"/>
          </w:tcPr>
          <w:p w14:paraId="2BF5F4C3">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Y＜50</w:t>
            </w:r>
          </w:p>
        </w:tc>
      </w:tr>
      <w:tr w14:paraId="5FE2E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shd w:val="clear" w:color="auto" w:fill="auto"/>
            <w:vAlign w:val="center"/>
          </w:tcPr>
          <w:p w14:paraId="5D39846F">
            <w:pPr>
              <w:widowControl/>
              <w:spacing w:line="360" w:lineRule="auto"/>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房地产开发经营</w:t>
            </w:r>
          </w:p>
        </w:tc>
        <w:tc>
          <w:tcPr>
            <w:tcW w:w="1369" w:type="dxa"/>
            <w:shd w:val="clear" w:color="auto" w:fill="auto"/>
            <w:vAlign w:val="center"/>
          </w:tcPr>
          <w:p w14:paraId="029A7ACF">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709" w:type="dxa"/>
            <w:shd w:val="clear" w:color="auto" w:fill="auto"/>
            <w:vAlign w:val="center"/>
          </w:tcPr>
          <w:p w14:paraId="7B65FA90">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124A5C54">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Y≥200000</w:t>
            </w:r>
          </w:p>
        </w:tc>
        <w:tc>
          <w:tcPr>
            <w:tcW w:w="1701" w:type="dxa"/>
            <w:shd w:val="clear" w:color="auto" w:fill="auto"/>
            <w:vAlign w:val="center"/>
          </w:tcPr>
          <w:p w14:paraId="49C4D037">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1000≤Y＜200000</w:t>
            </w:r>
          </w:p>
        </w:tc>
        <w:tc>
          <w:tcPr>
            <w:tcW w:w="1426" w:type="dxa"/>
            <w:shd w:val="clear" w:color="auto" w:fill="auto"/>
            <w:vAlign w:val="center"/>
          </w:tcPr>
          <w:p w14:paraId="1E74B5AF">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100≤Y＜1000</w:t>
            </w:r>
          </w:p>
        </w:tc>
        <w:tc>
          <w:tcPr>
            <w:tcW w:w="992" w:type="dxa"/>
            <w:shd w:val="clear" w:color="auto" w:fill="auto"/>
            <w:vAlign w:val="center"/>
          </w:tcPr>
          <w:p w14:paraId="7E6ABD08">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Y＜100</w:t>
            </w:r>
          </w:p>
        </w:tc>
      </w:tr>
      <w:tr w14:paraId="30F98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1DCC885E">
            <w:pPr>
              <w:widowControl/>
              <w:spacing w:line="360" w:lineRule="auto"/>
              <w:jc w:val="left"/>
              <w:rPr>
                <w:rFonts w:hint="eastAsia" w:ascii="仿宋" w:hAnsi="仿宋" w:eastAsia="仿宋" w:cs="仿宋"/>
                <w:color w:val="auto"/>
                <w:kern w:val="0"/>
                <w:sz w:val="18"/>
                <w:szCs w:val="18"/>
              </w:rPr>
            </w:pPr>
          </w:p>
        </w:tc>
        <w:tc>
          <w:tcPr>
            <w:tcW w:w="1369" w:type="dxa"/>
            <w:shd w:val="clear" w:color="auto" w:fill="auto"/>
            <w:vAlign w:val="center"/>
          </w:tcPr>
          <w:p w14:paraId="4A983226">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资产总额(Z)</w:t>
            </w:r>
          </w:p>
        </w:tc>
        <w:tc>
          <w:tcPr>
            <w:tcW w:w="709" w:type="dxa"/>
            <w:shd w:val="clear" w:color="auto" w:fill="auto"/>
            <w:vAlign w:val="center"/>
          </w:tcPr>
          <w:p w14:paraId="4BC8B7E4">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6E4388BB">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Z≥10000</w:t>
            </w:r>
          </w:p>
        </w:tc>
        <w:tc>
          <w:tcPr>
            <w:tcW w:w="1701" w:type="dxa"/>
            <w:shd w:val="clear" w:color="auto" w:fill="auto"/>
            <w:vAlign w:val="center"/>
          </w:tcPr>
          <w:p w14:paraId="2FE16525">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5000≤Z＜10000</w:t>
            </w:r>
          </w:p>
        </w:tc>
        <w:tc>
          <w:tcPr>
            <w:tcW w:w="1426" w:type="dxa"/>
            <w:shd w:val="clear" w:color="auto" w:fill="auto"/>
            <w:vAlign w:val="center"/>
          </w:tcPr>
          <w:p w14:paraId="74F215FA">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2000≤Z＜5000   </w:t>
            </w:r>
          </w:p>
        </w:tc>
        <w:tc>
          <w:tcPr>
            <w:tcW w:w="992" w:type="dxa"/>
            <w:shd w:val="clear" w:color="auto" w:fill="auto"/>
            <w:vAlign w:val="center"/>
          </w:tcPr>
          <w:p w14:paraId="06421A59">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Z＜2000</w:t>
            </w:r>
          </w:p>
        </w:tc>
      </w:tr>
      <w:tr w14:paraId="34C84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shd w:val="clear" w:color="auto" w:fill="auto"/>
            <w:vAlign w:val="center"/>
          </w:tcPr>
          <w:p w14:paraId="707C69EF">
            <w:pPr>
              <w:widowControl/>
              <w:spacing w:line="360" w:lineRule="auto"/>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物业管理</w:t>
            </w:r>
          </w:p>
        </w:tc>
        <w:tc>
          <w:tcPr>
            <w:tcW w:w="1369" w:type="dxa"/>
            <w:shd w:val="clear" w:color="auto" w:fill="auto"/>
            <w:vAlign w:val="center"/>
          </w:tcPr>
          <w:p w14:paraId="6FF8EDC8">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709" w:type="dxa"/>
            <w:shd w:val="clear" w:color="auto" w:fill="auto"/>
            <w:vAlign w:val="center"/>
          </w:tcPr>
          <w:p w14:paraId="3BC70A84">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125" w:type="dxa"/>
            <w:shd w:val="clear" w:color="auto" w:fill="auto"/>
            <w:vAlign w:val="center"/>
          </w:tcPr>
          <w:p w14:paraId="5DEB4357">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X≥1000</w:t>
            </w:r>
          </w:p>
        </w:tc>
        <w:tc>
          <w:tcPr>
            <w:tcW w:w="1701" w:type="dxa"/>
            <w:shd w:val="clear" w:color="auto" w:fill="auto"/>
            <w:vAlign w:val="center"/>
          </w:tcPr>
          <w:p w14:paraId="25835532">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300≤X＜1000</w:t>
            </w:r>
          </w:p>
        </w:tc>
        <w:tc>
          <w:tcPr>
            <w:tcW w:w="1426" w:type="dxa"/>
            <w:shd w:val="clear" w:color="auto" w:fill="auto"/>
            <w:vAlign w:val="center"/>
          </w:tcPr>
          <w:p w14:paraId="3A682AEB">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100≤X＜300 </w:t>
            </w:r>
          </w:p>
        </w:tc>
        <w:tc>
          <w:tcPr>
            <w:tcW w:w="992" w:type="dxa"/>
            <w:shd w:val="clear" w:color="auto" w:fill="auto"/>
            <w:vAlign w:val="center"/>
          </w:tcPr>
          <w:p w14:paraId="49434559">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X＜100</w:t>
            </w:r>
          </w:p>
        </w:tc>
      </w:tr>
      <w:tr w14:paraId="78438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02873A81">
            <w:pPr>
              <w:widowControl/>
              <w:spacing w:line="360" w:lineRule="auto"/>
              <w:jc w:val="left"/>
              <w:rPr>
                <w:rFonts w:hint="eastAsia" w:ascii="仿宋" w:hAnsi="仿宋" w:eastAsia="仿宋" w:cs="仿宋"/>
                <w:color w:val="auto"/>
                <w:kern w:val="0"/>
                <w:sz w:val="18"/>
                <w:szCs w:val="18"/>
              </w:rPr>
            </w:pPr>
          </w:p>
        </w:tc>
        <w:tc>
          <w:tcPr>
            <w:tcW w:w="1369" w:type="dxa"/>
            <w:shd w:val="clear" w:color="auto" w:fill="auto"/>
            <w:vAlign w:val="center"/>
          </w:tcPr>
          <w:p w14:paraId="18DC1625">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709" w:type="dxa"/>
            <w:shd w:val="clear" w:color="auto" w:fill="auto"/>
            <w:vAlign w:val="center"/>
          </w:tcPr>
          <w:p w14:paraId="4E4A5485">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14996350">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Y≥5000</w:t>
            </w:r>
          </w:p>
        </w:tc>
        <w:tc>
          <w:tcPr>
            <w:tcW w:w="1701" w:type="dxa"/>
            <w:shd w:val="clear" w:color="auto" w:fill="auto"/>
            <w:vAlign w:val="center"/>
          </w:tcPr>
          <w:p w14:paraId="5B83A43D">
            <w:pPr>
              <w:widowControl/>
              <w:spacing w:line="360" w:lineRule="auto"/>
              <w:ind w:left="1" w:leftChars="-51" w:hanging="108" w:hangingChars="6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1000≤Y＜5000 </w:t>
            </w:r>
          </w:p>
        </w:tc>
        <w:tc>
          <w:tcPr>
            <w:tcW w:w="1426" w:type="dxa"/>
            <w:shd w:val="clear" w:color="auto" w:fill="auto"/>
            <w:vAlign w:val="center"/>
          </w:tcPr>
          <w:p w14:paraId="6440B07E">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500≤Y＜1000</w:t>
            </w:r>
          </w:p>
        </w:tc>
        <w:tc>
          <w:tcPr>
            <w:tcW w:w="992" w:type="dxa"/>
            <w:shd w:val="clear" w:color="auto" w:fill="auto"/>
            <w:vAlign w:val="center"/>
          </w:tcPr>
          <w:p w14:paraId="20BFC70A">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Y＜500</w:t>
            </w:r>
          </w:p>
        </w:tc>
      </w:tr>
      <w:tr w14:paraId="46B8B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shd w:val="clear" w:color="auto" w:fill="auto"/>
            <w:vAlign w:val="center"/>
          </w:tcPr>
          <w:p w14:paraId="51D39820">
            <w:pPr>
              <w:widowControl/>
              <w:spacing w:line="360" w:lineRule="auto"/>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租赁和商务服务业</w:t>
            </w:r>
          </w:p>
        </w:tc>
        <w:tc>
          <w:tcPr>
            <w:tcW w:w="1369" w:type="dxa"/>
            <w:shd w:val="clear" w:color="auto" w:fill="auto"/>
            <w:vAlign w:val="center"/>
          </w:tcPr>
          <w:p w14:paraId="3D7FE7F4">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709" w:type="dxa"/>
            <w:shd w:val="clear" w:color="auto" w:fill="auto"/>
            <w:vAlign w:val="center"/>
          </w:tcPr>
          <w:p w14:paraId="6EF25DCB">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125" w:type="dxa"/>
            <w:shd w:val="clear" w:color="auto" w:fill="auto"/>
            <w:vAlign w:val="center"/>
          </w:tcPr>
          <w:p w14:paraId="63053300">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X≥300</w:t>
            </w:r>
          </w:p>
        </w:tc>
        <w:tc>
          <w:tcPr>
            <w:tcW w:w="1701" w:type="dxa"/>
            <w:shd w:val="clear" w:color="auto" w:fill="auto"/>
            <w:vAlign w:val="center"/>
          </w:tcPr>
          <w:p w14:paraId="59826363">
            <w:pPr>
              <w:widowControl/>
              <w:spacing w:line="360" w:lineRule="auto"/>
              <w:ind w:left="1" w:leftChars="-51" w:hanging="108" w:hangingChars="6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100≤X＜300 </w:t>
            </w:r>
          </w:p>
        </w:tc>
        <w:tc>
          <w:tcPr>
            <w:tcW w:w="1426" w:type="dxa"/>
            <w:shd w:val="clear" w:color="auto" w:fill="auto"/>
            <w:vAlign w:val="center"/>
          </w:tcPr>
          <w:p w14:paraId="7A2BA561">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10≤X＜100</w:t>
            </w:r>
          </w:p>
        </w:tc>
        <w:tc>
          <w:tcPr>
            <w:tcW w:w="992" w:type="dxa"/>
            <w:shd w:val="clear" w:color="auto" w:fill="auto"/>
            <w:vAlign w:val="center"/>
          </w:tcPr>
          <w:p w14:paraId="777460F6">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X＜10</w:t>
            </w:r>
          </w:p>
        </w:tc>
      </w:tr>
      <w:tr w14:paraId="3570E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387B59B8">
            <w:pPr>
              <w:widowControl/>
              <w:spacing w:line="360" w:lineRule="auto"/>
              <w:jc w:val="left"/>
              <w:rPr>
                <w:rFonts w:hint="eastAsia" w:ascii="仿宋" w:hAnsi="仿宋" w:eastAsia="仿宋" w:cs="仿宋"/>
                <w:color w:val="auto"/>
                <w:kern w:val="0"/>
                <w:sz w:val="18"/>
                <w:szCs w:val="18"/>
              </w:rPr>
            </w:pPr>
          </w:p>
        </w:tc>
        <w:tc>
          <w:tcPr>
            <w:tcW w:w="1369" w:type="dxa"/>
            <w:shd w:val="clear" w:color="auto" w:fill="auto"/>
            <w:vAlign w:val="center"/>
          </w:tcPr>
          <w:p w14:paraId="6F2DACA0">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资产总额(Z)</w:t>
            </w:r>
          </w:p>
        </w:tc>
        <w:tc>
          <w:tcPr>
            <w:tcW w:w="709" w:type="dxa"/>
            <w:shd w:val="clear" w:color="auto" w:fill="auto"/>
            <w:vAlign w:val="center"/>
          </w:tcPr>
          <w:p w14:paraId="46446C96">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4A069713">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Z≥120000</w:t>
            </w:r>
          </w:p>
        </w:tc>
        <w:tc>
          <w:tcPr>
            <w:tcW w:w="1701" w:type="dxa"/>
            <w:shd w:val="clear" w:color="auto" w:fill="auto"/>
            <w:vAlign w:val="center"/>
          </w:tcPr>
          <w:p w14:paraId="79DE92E9">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8000≤Z＜120000</w:t>
            </w:r>
          </w:p>
        </w:tc>
        <w:tc>
          <w:tcPr>
            <w:tcW w:w="1426" w:type="dxa"/>
            <w:shd w:val="clear" w:color="auto" w:fill="auto"/>
            <w:vAlign w:val="center"/>
          </w:tcPr>
          <w:p w14:paraId="6AB6DAC5">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100≤Z＜8000</w:t>
            </w:r>
          </w:p>
        </w:tc>
        <w:tc>
          <w:tcPr>
            <w:tcW w:w="992" w:type="dxa"/>
            <w:shd w:val="clear" w:color="auto" w:fill="auto"/>
            <w:vAlign w:val="center"/>
          </w:tcPr>
          <w:p w14:paraId="03F3A797">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Z＜100</w:t>
            </w:r>
          </w:p>
        </w:tc>
      </w:tr>
      <w:tr w14:paraId="25FE8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shd w:val="clear" w:color="auto" w:fill="auto"/>
            <w:vAlign w:val="center"/>
          </w:tcPr>
          <w:p w14:paraId="486DEF2B">
            <w:pPr>
              <w:widowControl/>
              <w:spacing w:line="360" w:lineRule="auto"/>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其他未列明行业 *</w:t>
            </w:r>
          </w:p>
        </w:tc>
        <w:tc>
          <w:tcPr>
            <w:tcW w:w="1369" w:type="dxa"/>
            <w:shd w:val="clear" w:color="auto" w:fill="auto"/>
            <w:vAlign w:val="center"/>
          </w:tcPr>
          <w:p w14:paraId="3C7D0EA7">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709" w:type="dxa"/>
            <w:shd w:val="clear" w:color="auto" w:fill="auto"/>
            <w:vAlign w:val="center"/>
          </w:tcPr>
          <w:p w14:paraId="24A7E1D4">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125" w:type="dxa"/>
            <w:shd w:val="clear" w:color="auto" w:fill="auto"/>
            <w:vAlign w:val="center"/>
          </w:tcPr>
          <w:p w14:paraId="578F4E97">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X≥300</w:t>
            </w:r>
          </w:p>
        </w:tc>
        <w:tc>
          <w:tcPr>
            <w:tcW w:w="1701" w:type="dxa"/>
            <w:shd w:val="clear" w:color="auto" w:fill="auto"/>
            <w:vAlign w:val="center"/>
          </w:tcPr>
          <w:p w14:paraId="2FC6E91F">
            <w:pPr>
              <w:widowControl/>
              <w:spacing w:line="360" w:lineRule="auto"/>
              <w:ind w:left="1" w:leftChars="-51" w:hanging="108" w:hangingChars="6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100≤X＜300 </w:t>
            </w:r>
          </w:p>
        </w:tc>
        <w:tc>
          <w:tcPr>
            <w:tcW w:w="1426" w:type="dxa"/>
            <w:shd w:val="clear" w:color="auto" w:fill="auto"/>
            <w:vAlign w:val="center"/>
          </w:tcPr>
          <w:p w14:paraId="7CEA242C">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10≤X＜100</w:t>
            </w:r>
          </w:p>
        </w:tc>
        <w:tc>
          <w:tcPr>
            <w:tcW w:w="992" w:type="dxa"/>
            <w:shd w:val="clear" w:color="auto" w:fill="auto"/>
            <w:vAlign w:val="center"/>
          </w:tcPr>
          <w:p w14:paraId="3D7AAAFD">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X＜10</w:t>
            </w:r>
          </w:p>
        </w:tc>
      </w:tr>
    </w:tbl>
    <w:p w14:paraId="2FB1702F">
      <w:pPr>
        <w:widowControl/>
        <w:spacing w:line="360" w:lineRule="auto"/>
        <w:rPr>
          <w:rFonts w:hint="eastAsia" w:ascii="仿宋" w:hAnsi="仿宋" w:eastAsia="仿宋" w:cs="仿宋"/>
          <w:color w:val="auto"/>
          <w:spacing w:val="8"/>
          <w:kern w:val="0"/>
          <w:szCs w:val="21"/>
        </w:rPr>
      </w:pPr>
    </w:p>
    <w:p w14:paraId="45297F2F">
      <w:pPr>
        <w:widowControl/>
        <w:spacing w:line="360" w:lineRule="auto"/>
        <w:jc w:val="left"/>
        <w:rPr>
          <w:rFonts w:hint="eastAsia" w:ascii="仿宋" w:hAnsi="仿宋" w:eastAsia="仿宋" w:cs="仿宋"/>
          <w:color w:val="auto"/>
          <w:spacing w:val="8"/>
          <w:kern w:val="0"/>
          <w:szCs w:val="21"/>
        </w:rPr>
      </w:pPr>
      <w:r>
        <w:rPr>
          <w:rFonts w:hint="eastAsia" w:ascii="仿宋" w:hAnsi="仿宋" w:eastAsia="仿宋" w:cs="仿宋"/>
          <w:color w:val="auto"/>
          <w:spacing w:val="8"/>
          <w:kern w:val="0"/>
          <w:sz w:val="32"/>
          <w:szCs w:val="32"/>
        </w:rPr>
        <w:br w:type="page"/>
      </w:r>
    </w:p>
    <w:p w14:paraId="64010C2F">
      <w:pPr>
        <w:widowControl/>
        <w:spacing w:line="360" w:lineRule="auto"/>
        <w:rPr>
          <w:rFonts w:hint="eastAsia" w:ascii="仿宋" w:hAnsi="仿宋" w:eastAsia="仿宋" w:cs="仿宋"/>
          <w:b/>
          <w:bCs/>
          <w:color w:val="auto"/>
          <w:spacing w:val="8"/>
          <w:kern w:val="0"/>
          <w:sz w:val="22"/>
          <w:szCs w:val="22"/>
        </w:rPr>
      </w:pPr>
      <w:r>
        <w:rPr>
          <w:rFonts w:hint="eastAsia" w:ascii="仿宋" w:hAnsi="仿宋" w:eastAsia="仿宋" w:cs="仿宋"/>
          <w:b/>
          <w:bCs/>
          <w:color w:val="auto"/>
          <w:spacing w:val="8"/>
          <w:kern w:val="0"/>
          <w:sz w:val="22"/>
          <w:szCs w:val="22"/>
        </w:rPr>
        <w:t>说明：</w:t>
      </w:r>
    </w:p>
    <w:p w14:paraId="173D4650">
      <w:pPr>
        <w:spacing w:line="360" w:lineRule="auto"/>
        <w:rPr>
          <w:rFonts w:hint="eastAsia" w:ascii="仿宋" w:hAnsi="仿宋" w:eastAsia="仿宋" w:cs="仿宋"/>
          <w:color w:val="auto"/>
          <w:spacing w:val="8"/>
          <w:kern w:val="0"/>
          <w:sz w:val="22"/>
          <w:szCs w:val="22"/>
        </w:rPr>
      </w:pPr>
      <w:r>
        <w:rPr>
          <w:rFonts w:hint="eastAsia" w:ascii="仿宋" w:hAnsi="仿宋" w:eastAsia="仿宋" w:cs="仿宋"/>
          <w:color w:val="auto"/>
          <w:spacing w:val="8"/>
          <w:kern w:val="0"/>
          <w:sz w:val="22"/>
          <w:szCs w:val="22"/>
        </w:rPr>
        <w:t>1.大型、中型和小型企业须同时满足所列指标的下限，否则下划一档；微型企业只须满足所列指标中的一项即可。</w:t>
      </w:r>
    </w:p>
    <w:p w14:paraId="24BF195F">
      <w:pPr>
        <w:spacing w:line="360" w:lineRule="auto"/>
        <w:rPr>
          <w:rFonts w:hint="eastAsia" w:ascii="仿宋" w:hAnsi="仿宋" w:eastAsia="仿宋" w:cs="仿宋"/>
          <w:color w:val="auto"/>
          <w:spacing w:val="8"/>
          <w:kern w:val="0"/>
          <w:sz w:val="22"/>
          <w:szCs w:val="22"/>
        </w:rPr>
      </w:pPr>
      <w:r>
        <w:rPr>
          <w:rFonts w:hint="eastAsia" w:ascii="仿宋" w:hAnsi="仿宋" w:eastAsia="仿宋" w:cs="仿宋"/>
          <w:color w:val="auto"/>
          <w:spacing w:val="8"/>
          <w:kern w:val="0"/>
          <w:sz w:val="22"/>
          <w:szCs w:val="22"/>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523D0EBA">
      <w:pPr>
        <w:spacing w:line="360" w:lineRule="auto"/>
        <w:rPr>
          <w:rFonts w:hint="eastAsia" w:ascii="仿宋" w:hAnsi="仿宋" w:eastAsia="仿宋" w:cs="仿宋"/>
          <w:color w:val="auto"/>
          <w:szCs w:val="21"/>
        </w:rPr>
      </w:pPr>
      <w:r>
        <w:rPr>
          <w:rFonts w:hint="eastAsia" w:ascii="仿宋" w:hAnsi="仿宋" w:eastAsia="仿宋" w:cs="仿宋"/>
          <w:color w:val="auto"/>
          <w:spacing w:val="8"/>
          <w:kern w:val="0"/>
          <w:sz w:val="22"/>
          <w:szCs w:val="22"/>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0B6ADEC6">
      <w:pPr>
        <w:rPr>
          <w:color w:val="auto"/>
        </w:rPr>
      </w:pPr>
      <w:r>
        <w:rPr>
          <w:color w:val="auto"/>
        </w:rPr>
        <w:br w:type="page"/>
      </w:r>
    </w:p>
    <w:p w14:paraId="1DF1064F">
      <w:pPr>
        <w:pStyle w:val="134"/>
        <w:spacing w:before="240" w:after="0"/>
        <w:jc w:val="center"/>
        <w:rPr>
          <w:rFonts w:hint="eastAsia" w:ascii="宋体" w:hAnsi="宋体"/>
          <w:color w:val="auto"/>
        </w:rPr>
      </w:pPr>
      <w:bookmarkStart w:id="522" w:name="_Toc111047019"/>
      <w:bookmarkStart w:id="523" w:name="_Toc88479396"/>
      <w:bookmarkStart w:id="524" w:name="_Toc9053"/>
      <w:bookmarkStart w:id="525" w:name="_Toc16718"/>
      <w:r>
        <w:rPr>
          <w:rFonts w:hint="eastAsia" w:ascii="宋体" w:hAnsi="宋体"/>
          <w:color w:val="auto"/>
          <w:lang w:val="en-US" w:eastAsia="zh-CN"/>
        </w:rPr>
        <w:t>（六）</w:t>
      </w:r>
      <w:r>
        <w:rPr>
          <w:rFonts w:hint="eastAsia" w:ascii="宋体" w:hAnsi="宋体"/>
          <w:color w:val="auto"/>
        </w:rPr>
        <w:t>残疾人福利性单位声明函</w:t>
      </w:r>
      <w:bookmarkEnd w:id="521"/>
      <w:bookmarkEnd w:id="522"/>
      <w:bookmarkEnd w:id="523"/>
      <w:bookmarkEnd w:id="524"/>
      <w:bookmarkEnd w:id="525"/>
    </w:p>
    <w:p w14:paraId="428BB6E7">
      <w:pPr>
        <w:rPr>
          <w:color w:val="auto"/>
        </w:rPr>
      </w:pPr>
    </w:p>
    <w:p w14:paraId="04F48A39">
      <w:pPr>
        <w:spacing w:line="480" w:lineRule="auto"/>
        <w:ind w:firstLine="444" w:firstLineChars="200"/>
        <w:rPr>
          <w:rFonts w:hint="eastAsia" w:ascii="宋体" w:hAnsi="宋体"/>
          <w:color w:val="auto"/>
          <w:spacing w:val="6"/>
          <w:szCs w:val="21"/>
        </w:rPr>
      </w:pPr>
      <w:r>
        <w:rPr>
          <w:rFonts w:hint="eastAsia" w:ascii="宋体" w:hAnsi="宋体"/>
          <w:color w:val="auto"/>
          <w:spacing w:val="6"/>
          <w:szCs w:val="21"/>
        </w:rPr>
        <w:t>本单位郑重声明，根据《财政部 民政部 中国残疾人联合会关于促进残疾人就业政府采购政策的通知》（财库</w:t>
      </w:r>
      <w:r>
        <w:rPr>
          <w:rFonts w:hint="eastAsia" w:ascii="宋体" w:hAnsi="宋体"/>
          <w:color w:val="auto"/>
          <w:szCs w:val="21"/>
        </w:rPr>
        <w:t>〔2017〕 141</w:t>
      </w:r>
      <w:r>
        <w:rPr>
          <w:rFonts w:hint="eastAsia" w:ascii="宋体" w:hAnsi="宋体"/>
          <w:color w:val="auto"/>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4675911">
      <w:pPr>
        <w:spacing w:line="480" w:lineRule="auto"/>
        <w:ind w:firstLine="444" w:firstLineChars="200"/>
        <w:rPr>
          <w:rFonts w:hint="eastAsia" w:ascii="宋体" w:hAnsi="宋体"/>
          <w:color w:val="auto"/>
          <w:spacing w:val="6"/>
          <w:szCs w:val="21"/>
        </w:rPr>
      </w:pPr>
      <w:r>
        <w:rPr>
          <w:rFonts w:hint="eastAsia" w:ascii="宋体" w:hAnsi="宋体"/>
          <w:color w:val="auto"/>
          <w:spacing w:val="6"/>
          <w:szCs w:val="21"/>
        </w:rPr>
        <w:t>本单位对上述声明的真实性负责。如有虚假，将依法承担相应责任。</w:t>
      </w:r>
    </w:p>
    <w:p w14:paraId="7BD0A907">
      <w:pPr>
        <w:pStyle w:val="103"/>
        <w:spacing w:line="360" w:lineRule="auto"/>
        <w:ind w:firstLine="5775" w:firstLineChars="2750"/>
        <w:rPr>
          <w:rFonts w:ascii="Times New Roman"/>
          <w:color w:val="auto"/>
          <w:kern w:val="2"/>
          <w:sz w:val="21"/>
          <w:szCs w:val="21"/>
        </w:rPr>
      </w:pPr>
    </w:p>
    <w:p w14:paraId="0EF1792B">
      <w:pPr>
        <w:pStyle w:val="103"/>
        <w:spacing w:line="360" w:lineRule="auto"/>
        <w:ind w:firstLine="5775" w:firstLineChars="2750"/>
        <w:rPr>
          <w:rFonts w:ascii="Times New Roman"/>
          <w:color w:val="auto"/>
          <w:kern w:val="2"/>
          <w:sz w:val="21"/>
          <w:szCs w:val="21"/>
        </w:rPr>
      </w:pPr>
    </w:p>
    <w:p w14:paraId="60C21167">
      <w:pPr>
        <w:pStyle w:val="103"/>
        <w:spacing w:line="360" w:lineRule="auto"/>
        <w:ind w:firstLine="5775" w:firstLineChars="2750"/>
        <w:rPr>
          <w:rFonts w:ascii="Times New Roman"/>
          <w:color w:val="auto"/>
          <w:kern w:val="2"/>
          <w:sz w:val="21"/>
          <w:szCs w:val="21"/>
        </w:rPr>
      </w:pPr>
    </w:p>
    <w:p w14:paraId="102291C2">
      <w:pPr>
        <w:pStyle w:val="103"/>
        <w:spacing w:line="360" w:lineRule="auto"/>
        <w:ind w:firstLine="5775" w:firstLineChars="2750"/>
        <w:rPr>
          <w:rFonts w:ascii="Times New Roman"/>
          <w:color w:val="auto"/>
          <w:kern w:val="2"/>
          <w:sz w:val="21"/>
          <w:szCs w:val="21"/>
        </w:rPr>
      </w:pPr>
    </w:p>
    <w:p w14:paraId="193E8430">
      <w:pPr>
        <w:pStyle w:val="103"/>
        <w:spacing w:line="360" w:lineRule="auto"/>
        <w:ind w:firstLine="3360" w:firstLineChars="1600"/>
        <w:rPr>
          <w:color w:val="auto"/>
          <w:sz w:val="21"/>
          <w:szCs w:val="21"/>
        </w:rPr>
      </w:pPr>
      <w:r>
        <w:rPr>
          <w:rFonts w:hint="eastAsia"/>
          <w:color w:val="auto"/>
          <w:sz w:val="21"/>
          <w:szCs w:val="21"/>
        </w:rPr>
        <w:t>企业名称（盖章）：</w:t>
      </w:r>
    </w:p>
    <w:p w14:paraId="0E61EE92">
      <w:pPr>
        <w:spacing w:line="360" w:lineRule="auto"/>
        <w:ind w:right="960" w:firstLine="420" w:firstLineChars="200"/>
        <w:jc w:val="center"/>
        <w:rPr>
          <w:rFonts w:ascii="宋体" w:hAnsi="Calibri" w:cs="宋体"/>
          <w:color w:val="auto"/>
          <w:kern w:val="0"/>
          <w:szCs w:val="21"/>
        </w:rPr>
      </w:pPr>
      <w:r>
        <w:rPr>
          <w:rFonts w:hint="eastAsia" w:ascii="宋体" w:hAnsi="Calibri" w:cs="宋体"/>
          <w:color w:val="auto"/>
          <w:kern w:val="0"/>
          <w:szCs w:val="21"/>
        </w:rPr>
        <w:t xml:space="preserve"> </w:t>
      </w:r>
      <w:r>
        <w:rPr>
          <w:rFonts w:ascii="宋体" w:hAnsi="Calibri" w:cs="宋体"/>
          <w:color w:val="auto"/>
          <w:kern w:val="0"/>
          <w:szCs w:val="21"/>
        </w:rPr>
        <w:t xml:space="preserve">  </w:t>
      </w:r>
    </w:p>
    <w:p w14:paraId="5E0A154E">
      <w:pPr>
        <w:spacing w:line="360" w:lineRule="auto"/>
        <w:ind w:right="960" w:firstLine="420" w:firstLineChars="200"/>
        <w:jc w:val="center"/>
        <w:rPr>
          <w:rFonts w:ascii="宋体" w:hAnsi="Calibri" w:cs="宋体"/>
          <w:color w:val="auto"/>
          <w:kern w:val="0"/>
          <w:szCs w:val="21"/>
        </w:rPr>
      </w:pPr>
      <w:r>
        <w:rPr>
          <w:rFonts w:hint="eastAsia" w:ascii="宋体" w:hAnsi="Calibri" w:cs="宋体"/>
          <w:color w:val="auto"/>
          <w:kern w:val="0"/>
          <w:szCs w:val="21"/>
        </w:rPr>
        <w:t xml:space="preserve"> </w:t>
      </w:r>
      <w:r>
        <w:rPr>
          <w:rFonts w:ascii="宋体" w:hAnsi="Calibri" w:cs="宋体"/>
          <w:color w:val="auto"/>
          <w:kern w:val="0"/>
          <w:szCs w:val="21"/>
        </w:rPr>
        <w:t xml:space="preserve">           </w:t>
      </w:r>
      <w:r>
        <w:rPr>
          <w:rFonts w:hint="eastAsia" w:ascii="宋体" w:hAnsi="Calibri" w:cs="宋体"/>
          <w:color w:val="auto"/>
          <w:kern w:val="0"/>
          <w:szCs w:val="21"/>
        </w:rPr>
        <w:t>日 期</w:t>
      </w:r>
      <w:r>
        <w:rPr>
          <w:rFonts w:ascii="宋体" w:hAnsi="Calibri" w:cs="宋体"/>
          <w:color w:val="auto"/>
          <w:kern w:val="0"/>
          <w:szCs w:val="21"/>
        </w:rPr>
        <w:t>：</w:t>
      </w:r>
    </w:p>
    <w:p w14:paraId="43E02901">
      <w:pPr>
        <w:spacing w:line="588" w:lineRule="exact"/>
        <w:ind w:firstLine="444" w:firstLineChars="200"/>
        <w:rPr>
          <w:rFonts w:hint="eastAsia" w:ascii="宋体" w:hAnsi="宋体"/>
          <w:color w:val="auto"/>
          <w:spacing w:val="6"/>
        </w:rPr>
      </w:pPr>
    </w:p>
    <w:p w14:paraId="0991D2C6">
      <w:pPr>
        <w:rPr>
          <w:color w:val="auto"/>
        </w:rPr>
      </w:pPr>
      <w:r>
        <w:rPr>
          <w:color w:val="auto"/>
        </w:rPr>
        <w:br w:type="page"/>
      </w:r>
    </w:p>
    <w:p w14:paraId="3A4FAD61">
      <w:pPr>
        <w:pStyle w:val="134"/>
        <w:spacing w:before="240" w:after="0"/>
        <w:jc w:val="center"/>
        <w:rPr>
          <w:rFonts w:hint="eastAsia" w:ascii="宋体" w:hAnsi="宋体"/>
          <w:color w:val="auto"/>
        </w:rPr>
      </w:pPr>
      <w:bookmarkStart w:id="526" w:name="_Toc3208"/>
      <w:bookmarkStart w:id="527" w:name="_Toc14618"/>
      <w:bookmarkStart w:id="528" w:name="_Toc88479397"/>
      <w:bookmarkStart w:id="529" w:name="_Toc111047020"/>
      <w:r>
        <w:rPr>
          <w:rFonts w:hint="eastAsia" w:ascii="宋体" w:hAnsi="宋体"/>
          <w:color w:val="auto"/>
          <w:lang w:val="en-US" w:eastAsia="zh-CN"/>
        </w:rPr>
        <w:t>（七）</w:t>
      </w:r>
      <w:r>
        <w:rPr>
          <w:rFonts w:hint="eastAsia" w:ascii="宋体" w:hAnsi="宋体"/>
          <w:color w:val="auto"/>
        </w:rPr>
        <w:t>监狱企业证明</w:t>
      </w:r>
      <w:bookmarkEnd w:id="526"/>
      <w:bookmarkEnd w:id="527"/>
      <w:bookmarkEnd w:id="528"/>
      <w:bookmarkEnd w:id="529"/>
    </w:p>
    <w:p w14:paraId="1DBB259A">
      <w:pPr>
        <w:rPr>
          <w:color w:val="auto"/>
        </w:rPr>
      </w:pPr>
    </w:p>
    <w:p w14:paraId="2F9E43BD">
      <w:pPr>
        <w:pStyle w:val="14"/>
        <w:spacing w:line="360" w:lineRule="auto"/>
        <w:ind w:firstLine="424" w:firstLineChars="202"/>
        <w:jc w:val="left"/>
        <w:rPr>
          <w:color w:val="auto"/>
          <w:szCs w:val="21"/>
        </w:rPr>
      </w:pPr>
      <w:r>
        <w:rPr>
          <w:rFonts w:hint="eastAsia"/>
          <w:color w:val="auto"/>
          <w:szCs w:val="21"/>
        </w:rPr>
        <w:t>监狱企业参加政府采购活动时，应当提供由省级以上监狱管理局、戒毒管理局（含新疆生产建设兵团）出具的属于监狱企业的证明文件（复印件</w:t>
      </w:r>
      <w:r>
        <w:rPr>
          <w:rFonts w:hint="eastAsia" w:ascii="宋体" w:hAnsi="宋体"/>
          <w:color w:val="auto"/>
          <w:szCs w:val="21"/>
        </w:rPr>
        <w:t>或扫描件</w:t>
      </w:r>
      <w:r>
        <w:rPr>
          <w:rFonts w:hint="eastAsia"/>
          <w:color w:val="auto"/>
          <w:szCs w:val="21"/>
        </w:rPr>
        <w:t>加盖公章）。</w:t>
      </w:r>
    </w:p>
    <w:p w14:paraId="65996560">
      <w:pPr>
        <w:widowControl/>
        <w:jc w:val="left"/>
        <w:rPr>
          <w:color w:val="auto"/>
          <w:szCs w:val="21"/>
        </w:rPr>
      </w:pPr>
      <w:r>
        <w:rPr>
          <w:color w:val="auto"/>
          <w:szCs w:val="21"/>
        </w:rPr>
        <w:br w:type="page"/>
      </w:r>
    </w:p>
    <w:p w14:paraId="48D30B29">
      <w:pPr>
        <w:pStyle w:val="134"/>
        <w:spacing w:before="240" w:after="0"/>
        <w:jc w:val="center"/>
        <w:rPr>
          <w:rFonts w:hint="eastAsia" w:ascii="宋体" w:hAnsi="宋体" w:eastAsia="黑体"/>
          <w:color w:val="auto"/>
          <w:lang w:eastAsia="zh-CN"/>
        </w:rPr>
      </w:pPr>
      <w:bookmarkStart w:id="530" w:name="_Toc12365"/>
      <w:bookmarkStart w:id="531" w:name="_Toc21218"/>
      <w:bookmarkStart w:id="532" w:name="_Toc21562"/>
      <w:r>
        <w:rPr>
          <w:rFonts w:hint="eastAsia" w:ascii="宋体" w:hAnsi="宋体"/>
          <w:color w:val="auto"/>
          <w:lang w:val="en-US" w:eastAsia="zh-CN"/>
        </w:rPr>
        <w:t>（八）</w:t>
      </w:r>
      <w:r>
        <w:rPr>
          <w:rFonts w:hint="eastAsia" w:ascii="宋体" w:hAnsi="宋体"/>
          <w:color w:val="auto"/>
        </w:rPr>
        <w:t>节能产品/环境标志产品</w:t>
      </w:r>
      <w:bookmarkEnd w:id="530"/>
      <w:bookmarkEnd w:id="531"/>
      <w:bookmarkEnd w:id="532"/>
    </w:p>
    <w:p w14:paraId="63600453">
      <w:pPr>
        <w:spacing w:line="360" w:lineRule="auto"/>
        <w:ind w:firstLine="560" w:firstLineChars="200"/>
        <w:rPr>
          <w:rFonts w:hint="eastAsia" w:ascii="宋体" w:hAnsi="宋体" w:cs="宋体"/>
          <w:b/>
          <w:color w:val="auto"/>
          <w:sz w:val="28"/>
          <w:szCs w:val="28"/>
        </w:rPr>
      </w:pPr>
    </w:p>
    <w:tbl>
      <w:tblPr>
        <w:tblStyle w:val="44"/>
        <w:tblW w:w="91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2694"/>
        <w:gridCol w:w="1657"/>
        <w:gridCol w:w="2069"/>
        <w:gridCol w:w="1929"/>
      </w:tblGrid>
      <w:tr w14:paraId="115BE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93" w:type="dxa"/>
            <w:vAlign w:val="center"/>
          </w:tcPr>
          <w:p w14:paraId="7592DB96">
            <w:pPr>
              <w:spacing w:line="600" w:lineRule="exact"/>
              <w:jc w:val="center"/>
              <w:rPr>
                <w:rFonts w:hint="eastAsia" w:ascii="宋体" w:hAnsi="宋体" w:cs="宋体"/>
                <w:b/>
                <w:color w:val="auto"/>
                <w:szCs w:val="21"/>
              </w:rPr>
            </w:pPr>
            <w:r>
              <w:rPr>
                <w:rFonts w:hint="eastAsia" w:ascii="宋体" w:hAnsi="宋体" w:cs="宋体"/>
                <w:b/>
                <w:color w:val="auto"/>
                <w:szCs w:val="21"/>
              </w:rPr>
              <w:t>序号</w:t>
            </w:r>
          </w:p>
        </w:tc>
        <w:tc>
          <w:tcPr>
            <w:tcW w:w="2694" w:type="dxa"/>
            <w:vAlign w:val="center"/>
          </w:tcPr>
          <w:p w14:paraId="1DFEF7DD">
            <w:pPr>
              <w:spacing w:line="600" w:lineRule="exact"/>
              <w:jc w:val="center"/>
              <w:rPr>
                <w:rFonts w:hint="eastAsia" w:ascii="宋体" w:hAnsi="宋体" w:cs="宋体"/>
                <w:b/>
                <w:color w:val="auto"/>
                <w:szCs w:val="21"/>
              </w:rPr>
            </w:pPr>
            <w:r>
              <w:rPr>
                <w:rFonts w:hint="eastAsia" w:ascii="宋体" w:hAnsi="宋体" w:cs="宋体"/>
                <w:b/>
                <w:color w:val="auto"/>
                <w:szCs w:val="21"/>
              </w:rPr>
              <w:t>产品（项目）名称</w:t>
            </w:r>
          </w:p>
        </w:tc>
        <w:tc>
          <w:tcPr>
            <w:tcW w:w="1657" w:type="dxa"/>
            <w:vAlign w:val="center"/>
          </w:tcPr>
          <w:p w14:paraId="5977A230">
            <w:pPr>
              <w:spacing w:line="600" w:lineRule="exact"/>
              <w:jc w:val="center"/>
              <w:rPr>
                <w:rFonts w:hint="eastAsia" w:ascii="宋体" w:hAnsi="宋体" w:cs="宋体"/>
                <w:b/>
                <w:color w:val="auto"/>
                <w:szCs w:val="21"/>
              </w:rPr>
            </w:pPr>
            <w:r>
              <w:rPr>
                <w:rFonts w:hint="eastAsia" w:ascii="宋体" w:hAnsi="宋体" w:cs="宋体"/>
                <w:b/>
                <w:color w:val="auto"/>
                <w:szCs w:val="21"/>
              </w:rPr>
              <w:t>是否属于</w:t>
            </w:r>
          </w:p>
          <w:p w14:paraId="5D960186">
            <w:pPr>
              <w:spacing w:line="600" w:lineRule="exact"/>
              <w:jc w:val="center"/>
              <w:rPr>
                <w:rFonts w:hint="eastAsia" w:ascii="宋体" w:hAnsi="宋体" w:cs="宋体"/>
                <w:b/>
                <w:color w:val="auto"/>
                <w:szCs w:val="21"/>
              </w:rPr>
            </w:pPr>
            <w:r>
              <w:rPr>
                <w:rFonts w:hint="eastAsia" w:ascii="宋体" w:hAnsi="宋体" w:cs="宋体"/>
                <w:b/>
                <w:color w:val="auto"/>
                <w:szCs w:val="21"/>
              </w:rPr>
              <w:t>强制节能产品</w:t>
            </w:r>
          </w:p>
        </w:tc>
        <w:tc>
          <w:tcPr>
            <w:tcW w:w="2069" w:type="dxa"/>
            <w:vAlign w:val="center"/>
          </w:tcPr>
          <w:p w14:paraId="5EC555B5">
            <w:pPr>
              <w:spacing w:line="600" w:lineRule="exact"/>
              <w:jc w:val="center"/>
              <w:rPr>
                <w:rFonts w:hint="eastAsia" w:ascii="宋体" w:hAnsi="宋体" w:cs="宋体"/>
                <w:b/>
                <w:color w:val="auto"/>
                <w:szCs w:val="21"/>
              </w:rPr>
            </w:pPr>
            <w:r>
              <w:rPr>
                <w:rFonts w:hint="eastAsia" w:ascii="宋体" w:hAnsi="宋体" w:cs="宋体"/>
                <w:b/>
                <w:color w:val="auto"/>
                <w:szCs w:val="21"/>
              </w:rPr>
              <w:t>是否属于</w:t>
            </w:r>
          </w:p>
          <w:p w14:paraId="5375ED66">
            <w:pPr>
              <w:spacing w:line="600" w:lineRule="exact"/>
              <w:jc w:val="center"/>
              <w:rPr>
                <w:rFonts w:hint="eastAsia" w:ascii="宋体" w:hAnsi="宋体" w:cs="宋体"/>
                <w:b/>
                <w:color w:val="auto"/>
                <w:szCs w:val="21"/>
              </w:rPr>
            </w:pPr>
            <w:r>
              <w:rPr>
                <w:rFonts w:hint="eastAsia" w:ascii="宋体" w:hAnsi="宋体" w:cs="宋体"/>
                <w:b/>
                <w:color w:val="auto"/>
                <w:szCs w:val="21"/>
              </w:rPr>
              <w:t>节能产品</w:t>
            </w:r>
          </w:p>
        </w:tc>
        <w:tc>
          <w:tcPr>
            <w:tcW w:w="1929" w:type="dxa"/>
            <w:vAlign w:val="center"/>
          </w:tcPr>
          <w:p w14:paraId="6E214A6D">
            <w:pPr>
              <w:spacing w:line="600" w:lineRule="exact"/>
              <w:jc w:val="center"/>
              <w:rPr>
                <w:rFonts w:hint="eastAsia" w:ascii="宋体" w:hAnsi="宋体" w:cs="宋体"/>
                <w:b/>
                <w:color w:val="auto"/>
                <w:szCs w:val="21"/>
              </w:rPr>
            </w:pPr>
            <w:r>
              <w:rPr>
                <w:rFonts w:hint="eastAsia" w:ascii="宋体" w:hAnsi="宋体" w:cs="宋体"/>
                <w:b/>
                <w:color w:val="auto"/>
                <w:szCs w:val="21"/>
              </w:rPr>
              <w:t>是否属于</w:t>
            </w:r>
          </w:p>
          <w:p w14:paraId="0E3138C7">
            <w:pPr>
              <w:spacing w:line="600" w:lineRule="exact"/>
              <w:jc w:val="center"/>
              <w:rPr>
                <w:rFonts w:hint="eastAsia" w:ascii="宋体" w:hAnsi="宋体" w:cs="宋体"/>
                <w:b/>
                <w:color w:val="auto"/>
                <w:szCs w:val="21"/>
              </w:rPr>
            </w:pPr>
            <w:r>
              <w:rPr>
                <w:rFonts w:hint="eastAsia" w:ascii="宋体" w:hAnsi="宋体" w:cs="宋体"/>
                <w:b/>
                <w:color w:val="auto"/>
                <w:szCs w:val="21"/>
              </w:rPr>
              <w:t>环境标志产品</w:t>
            </w:r>
          </w:p>
        </w:tc>
      </w:tr>
      <w:tr w14:paraId="3F80A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793" w:type="dxa"/>
          </w:tcPr>
          <w:p w14:paraId="0D32166A">
            <w:pPr>
              <w:spacing w:line="600" w:lineRule="exact"/>
              <w:rPr>
                <w:rFonts w:hint="eastAsia" w:ascii="宋体" w:hAnsi="宋体" w:cs="宋体"/>
                <w:bCs/>
                <w:color w:val="auto"/>
                <w:szCs w:val="21"/>
              </w:rPr>
            </w:pPr>
          </w:p>
        </w:tc>
        <w:tc>
          <w:tcPr>
            <w:tcW w:w="2694" w:type="dxa"/>
          </w:tcPr>
          <w:p w14:paraId="55928D3D">
            <w:pPr>
              <w:spacing w:line="600" w:lineRule="exact"/>
              <w:rPr>
                <w:rFonts w:hint="eastAsia" w:ascii="宋体" w:hAnsi="宋体" w:cs="宋体"/>
                <w:bCs/>
                <w:color w:val="auto"/>
                <w:szCs w:val="21"/>
              </w:rPr>
            </w:pPr>
          </w:p>
        </w:tc>
        <w:tc>
          <w:tcPr>
            <w:tcW w:w="1657" w:type="dxa"/>
          </w:tcPr>
          <w:p w14:paraId="724147DB">
            <w:pPr>
              <w:spacing w:line="600" w:lineRule="exact"/>
              <w:rPr>
                <w:rFonts w:hint="eastAsia" w:ascii="宋体" w:hAnsi="宋体" w:cs="宋体"/>
                <w:bCs/>
                <w:color w:val="auto"/>
                <w:szCs w:val="21"/>
              </w:rPr>
            </w:pPr>
          </w:p>
        </w:tc>
        <w:tc>
          <w:tcPr>
            <w:tcW w:w="2069" w:type="dxa"/>
          </w:tcPr>
          <w:p w14:paraId="4D6E8F93">
            <w:pPr>
              <w:spacing w:line="600" w:lineRule="exact"/>
              <w:rPr>
                <w:rFonts w:hint="eastAsia" w:ascii="宋体" w:hAnsi="宋体" w:cs="宋体"/>
                <w:bCs/>
                <w:color w:val="auto"/>
                <w:szCs w:val="21"/>
              </w:rPr>
            </w:pPr>
          </w:p>
        </w:tc>
        <w:tc>
          <w:tcPr>
            <w:tcW w:w="1929" w:type="dxa"/>
          </w:tcPr>
          <w:p w14:paraId="2586CD5A">
            <w:pPr>
              <w:spacing w:line="600" w:lineRule="exact"/>
              <w:rPr>
                <w:rFonts w:hint="eastAsia" w:ascii="宋体" w:hAnsi="宋体" w:cs="宋体"/>
                <w:bCs/>
                <w:color w:val="auto"/>
                <w:szCs w:val="21"/>
              </w:rPr>
            </w:pPr>
          </w:p>
        </w:tc>
      </w:tr>
      <w:tr w14:paraId="1CDC9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793" w:type="dxa"/>
          </w:tcPr>
          <w:p w14:paraId="4656E99D">
            <w:pPr>
              <w:spacing w:line="600" w:lineRule="exact"/>
              <w:rPr>
                <w:rFonts w:hint="eastAsia" w:ascii="宋体" w:hAnsi="宋体" w:cs="宋体"/>
                <w:bCs/>
                <w:color w:val="auto"/>
                <w:szCs w:val="21"/>
              </w:rPr>
            </w:pPr>
          </w:p>
        </w:tc>
        <w:tc>
          <w:tcPr>
            <w:tcW w:w="2694" w:type="dxa"/>
          </w:tcPr>
          <w:p w14:paraId="0F4CFE29">
            <w:pPr>
              <w:spacing w:line="600" w:lineRule="exact"/>
              <w:rPr>
                <w:rFonts w:hint="eastAsia" w:ascii="宋体" w:hAnsi="宋体" w:cs="宋体"/>
                <w:bCs/>
                <w:color w:val="auto"/>
                <w:szCs w:val="21"/>
              </w:rPr>
            </w:pPr>
          </w:p>
        </w:tc>
        <w:tc>
          <w:tcPr>
            <w:tcW w:w="1657" w:type="dxa"/>
          </w:tcPr>
          <w:p w14:paraId="17BF215F">
            <w:pPr>
              <w:spacing w:line="600" w:lineRule="exact"/>
              <w:rPr>
                <w:rFonts w:hint="eastAsia" w:ascii="宋体" w:hAnsi="宋体" w:cs="宋体"/>
                <w:bCs/>
                <w:color w:val="auto"/>
                <w:szCs w:val="21"/>
              </w:rPr>
            </w:pPr>
          </w:p>
        </w:tc>
        <w:tc>
          <w:tcPr>
            <w:tcW w:w="2069" w:type="dxa"/>
          </w:tcPr>
          <w:p w14:paraId="1A6FEF03">
            <w:pPr>
              <w:spacing w:line="600" w:lineRule="exact"/>
              <w:rPr>
                <w:rFonts w:hint="eastAsia" w:ascii="宋体" w:hAnsi="宋体" w:cs="宋体"/>
                <w:bCs/>
                <w:color w:val="auto"/>
                <w:szCs w:val="21"/>
              </w:rPr>
            </w:pPr>
          </w:p>
        </w:tc>
        <w:tc>
          <w:tcPr>
            <w:tcW w:w="1929" w:type="dxa"/>
          </w:tcPr>
          <w:p w14:paraId="53311417">
            <w:pPr>
              <w:spacing w:line="600" w:lineRule="exact"/>
              <w:rPr>
                <w:rFonts w:hint="eastAsia" w:ascii="宋体" w:hAnsi="宋体" w:cs="宋体"/>
                <w:bCs/>
                <w:color w:val="auto"/>
                <w:szCs w:val="21"/>
              </w:rPr>
            </w:pPr>
          </w:p>
        </w:tc>
      </w:tr>
      <w:tr w14:paraId="17258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793" w:type="dxa"/>
          </w:tcPr>
          <w:p w14:paraId="5515FA04">
            <w:pPr>
              <w:spacing w:line="600" w:lineRule="exact"/>
              <w:rPr>
                <w:rFonts w:hint="eastAsia" w:ascii="宋体" w:hAnsi="宋体" w:cs="宋体"/>
                <w:bCs/>
                <w:color w:val="auto"/>
                <w:szCs w:val="21"/>
              </w:rPr>
            </w:pPr>
          </w:p>
        </w:tc>
        <w:tc>
          <w:tcPr>
            <w:tcW w:w="2694" w:type="dxa"/>
          </w:tcPr>
          <w:p w14:paraId="47254B36">
            <w:pPr>
              <w:spacing w:line="600" w:lineRule="exact"/>
              <w:rPr>
                <w:rFonts w:hint="eastAsia" w:ascii="宋体" w:hAnsi="宋体" w:cs="宋体"/>
                <w:bCs/>
                <w:color w:val="auto"/>
                <w:szCs w:val="21"/>
              </w:rPr>
            </w:pPr>
          </w:p>
        </w:tc>
        <w:tc>
          <w:tcPr>
            <w:tcW w:w="1657" w:type="dxa"/>
          </w:tcPr>
          <w:p w14:paraId="7CC335B3">
            <w:pPr>
              <w:spacing w:line="600" w:lineRule="exact"/>
              <w:rPr>
                <w:rFonts w:hint="eastAsia" w:ascii="宋体" w:hAnsi="宋体" w:cs="宋体"/>
                <w:bCs/>
                <w:color w:val="auto"/>
                <w:szCs w:val="21"/>
              </w:rPr>
            </w:pPr>
          </w:p>
        </w:tc>
        <w:tc>
          <w:tcPr>
            <w:tcW w:w="2069" w:type="dxa"/>
          </w:tcPr>
          <w:p w14:paraId="67F0011F">
            <w:pPr>
              <w:spacing w:line="600" w:lineRule="exact"/>
              <w:rPr>
                <w:rFonts w:hint="eastAsia" w:ascii="宋体" w:hAnsi="宋体" w:cs="宋体"/>
                <w:bCs/>
                <w:color w:val="auto"/>
                <w:szCs w:val="21"/>
              </w:rPr>
            </w:pPr>
          </w:p>
        </w:tc>
        <w:tc>
          <w:tcPr>
            <w:tcW w:w="1929" w:type="dxa"/>
          </w:tcPr>
          <w:p w14:paraId="7D67EE15">
            <w:pPr>
              <w:spacing w:line="600" w:lineRule="exact"/>
              <w:rPr>
                <w:rFonts w:hint="eastAsia" w:ascii="宋体" w:hAnsi="宋体" w:cs="宋体"/>
                <w:bCs/>
                <w:color w:val="auto"/>
                <w:szCs w:val="21"/>
              </w:rPr>
            </w:pPr>
          </w:p>
        </w:tc>
      </w:tr>
    </w:tbl>
    <w:p w14:paraId="1548D533">
      <w:pPr>
        <w:pStyle w:val="14"/>
        <w:spacing w:line="360" w:lineRule="auto"/>
        <w:ind w:firstLine="424" w:firstLineChars="202"/>
        <w:jc w:val="left"/>
        <w:rPr>
          <w:color w:val="auto"/>
          <w:szCs w:val="21"/>
        </w:rPr>
      </w:pPr>
      <w:r>
        <w:rPr>
          <w:rFonts w:hint="eastAsia"/>
          <w:color w:val="auto"/>
          <w:szCs w:val="21"/>
        </w:rPr>
        <w:t>注：</w:t>
      </w:r>
    </w:p>
    <w:p w14:paraId="2627C884">
      <w:pPr>
        <w:pStyle w:val="14"/>
        <w:spacing w:line="360" w:lineRule="auto"/>
        <w:ind w:firstLine="424" w:firstLineChars="202"/>
        <w:jc w:val="left"/>
        <w:rPr>
          <w:color w:val="auto"/>
          <w:szCs w:val="21"/>
        </w:rPr>
      </w:pPr>
      <w:r>
        <w:rPr>
          <w:rFonts w:hint="eastAsia"/>
          <w:color w:val="auto"/>
          <w:szCs w:val="21"/>
        </w:rPr>
        <w:t>1.产品属于《节能产品政府采购品目清单》中以“★”标注的政府强制采购产品，供应商须在响应文件中提供产品经国家确定的参与实施政府采购节能产品认证机构出具的、处于有效期之内的节能产品认证证书，若供应商在响应文件中未提供或未按要求提供产品经国家确定的参与实施政府采购节能产品认证机构出具的、处于有效期之内的节能产品认证证书，其响应文件按无效处理。</w:t>
      </w:r>
    </w:p>
    <w:p w14:paraId="5F443243">
      <w:pPr>
        <w:pStyle w:val="14"/>
        <w:spacing w:line="360" w:lineRule="auto"/>
        <w:ind w:firstLine="424" w:firstLineChars="202"/>
        <w:jc w:val="left"/>
        <w:rPr>
          <w:color w:val="auto"/>
          <w:szCs w:val="21"/>
        </w:rPr>
      </w:pPr>
      <w:r>
        <w:rPr>
          <w:rFonts w:hint="eastAsia"/>
          <w:color w:val="auto"/>
          <w:szCs w:val="21"/>
        </w:rPr>
        <w:t>2.产品属于《节能产品政府采购品目清单》中非政府强制采购产品，供应商需在响应文件中提供产品经国家确定的参与实施政府采购节能产品认证机构出具的、处于有效期之内的节能产品认证证书。</w:t>
      </w:r>
    </w:p>
    <w:p w14:paraId="56492B06">
      <w:pPr>
        <w:pStyle w:val="14"/>
        <w:spacing w:line="360" w:lineRule="auto"/>
        <w:ind w:firstLine="424" w:firstLineChars="202"/>
        <w:jc w:val="left"/>
        <w:rPr>
          <w:color w:val="auto"/>
          <w:szCs w:val="21"/>
        </w:rPr>
      </w:pPr>
      <w:r>
        <w:rPr>
          <w:rFonts w:hint="eastAsia"/>
          <w:color w:val="auto"/>
          <w:szCs w:val="21"/>
        </w:rPr>
        <w:t>3.产品属于《环境标志产品政府采购品目清单》中环境标志产品，供应商需在响应文件中提供产品经国家确定的参与实施政府采购环境标志产品认证机构出具的、处于有效期之内的环境标志产品认证证书。</w:t>
      </w:r>
    </w:p>
    <w:p w14:paraId="50047A97">
      <w:pPr>
        <w:pStyle w:val="14"/>
        <w:spacing w:line="360" w:lineRule="auto"/>
        <w:ind w:firstLine="424" w:firstLineChars="202"/>
        <w:jc w:val="left"/>
        <w:rPr>
          <w:color w:val="auto"/>
          <w:szCs w:val="21"/>
        </w:rPr>
      </w:pPr>
      <w:r>
        <w:rPr>
          <w:rFonts w:hint="eastAsia"/>
          <w:color w:val="auto"/>
          <w:szCs w:val="21"/>
        </w:rPr>
        <w:t>4.供应商可根据实际情况拓展本表。</w:t>
      </w:r>
    </w:p>
    <w:p w14:paraId="56DFE4E5">
      <w:pPr>
        <w:tabs>
          <w:tab w:val="left" w:pos="4860"/>
        </w:tabs>
        <w:spacing w:line="588" w:lineRule="exact"/>
        <w:ind w:right="1560" w:firstLine="420" w:firstLineChars="200"/>
        <w:jc w:val="center"/>
        <w:rPr>
          <w:rFonts w:hint="eastAsia" w:ascii="宋体" w:hAnsi="宋体" w:cs="宋体"/>
          <w:color w:val="auto"/>
          <w:szCs w:val="21"/>
        </w:rPr>
      </w:pPr>
    </w:p>
    <w:p w14:paraId="665D1090">
      <w:pPr>
        <w:tabs>
          <w:tab w:val="left" w:pos="4860"/>
        </w:tabs>
        <w:spacing w:line="588" w:lineRule="exact"/>
        <w:ind w:right="1560" w:firstLine="420" w:firstLineChars="200"/>
        <w:jc w:val="center"/>
        <w:rPr>
          <w:rFonts w:hint="eastAsia" w:ascii="宋体" w:hAnsi="宋体" w:cs="宋体"/>
          <w:color w:val="auto"/>
          <w:spacing w:val="6"/>
          <w:szCs w:val="21"/>
        </w:rPr>
      </w:pPr>
      <w:r>
        <w:rPr>
          <w:rFonts w:hint="eastAsia" w:ascii="宋体" w:hAnsi="宋体" w:cs="宋体"/>
          <w:color w:val="auto"/>
          <w:szCs w:val="21"/>
        </w:rPr>
        <w:t xml:space="preserve">       </w:t>
      </w:r>
      <w:r>
        <w:rPr>
          <w:rFonts w:hint="eastAsia" w:ascii="宋体" w:hAnsi="宋体" w:cs="宋体"/>
          <w:color w:val="auto"/>
          <w:spacing w:val="6"/>
          <w:szCs w:val="21"/>
        </w:rPr>
        <w:t xml:space="preserve">  </w:t>
      </w:r>
      <w:r>
        <w:rPr>
          <w:rFonts w:hint="eastAsia" w:ascii="宋体" w:hAnsi="宋体" w:cs="宋体"/>
          <w:color w:val="auto"/>
          <w:szCs w:val="21"/>
        </w:rPr>
        <w:t>投标人（加盖电子公章）：</w:t>
      </w:r>
      <w:r>
        <w:rPr>
          <w:rFonts w:hint="eastAsia" w:ascii="宋体" w:hAnsi="宋体" w:cs="宋体"/>
          <w:color w:val="auto"/>
          <w:szCs w:val="21"/>
          <w:u w:val="single"/>
        </w:rPr>
        <w:t xml:space="preserve">                       </w:t>
      </w:r>
    </w:p>
    <w:p w14:paraId="1B514952">
      <w:pPr>
        <w:tabs>
          <w:tab w:val="left" w:pos="4860"/>
        </w:tabs>
        <w:spacing w:line="588" w:lineRule="exact"/>
        <w:ind w:right="1560" w:firstLine="444" w:firstLineChars="200"/>
        <w:jc w:val="center"/>
        <w:rPr>
          <w:rFonts w:hint="eastAsia" w:ascii="宋体" w:hAnsi="宋体" w:cs="宋体"/>
          <w:color w:val="auto"/>
          <w:spacing w:val="6"/>
          <w:szCs w:val="21"/>
        </w:rPr>
      </w:pPr>
      <w:r>
        <w:rPr>
          <w:rFonts w:hint="eastAsia" w:ascii="宋体" w:hAnsi="宋体" w:cs="宋体"/>
          <w:color w:val="auto"/>
          <w:spacing w:val="6"/>
          <w:szCs w:val="21"/>
        </w:rPr>
        <w:t xml:space="preserve">       日  期：</w:t>
      </w:r>
    </w:p>
    <w:p w14:paraId="1DA004F9">
      <w:pPr>
        <w:tabs>
          <w:tab w:val="left" w:pos="4860"/>
        </w:tabs>
        <w:spacing w:line="588" w:lineRule="exact"/>
        <w:ind w:right="1560"/>
        <w:rPr>
          <w:rFonts w:hint="eastAsia" w:ascii="宋体" w:hAnsi="宋体" w:cs="宋体"/>
          <w:color w:val="auto"/>
          <w:spacing w:val="6"/>
          <w:szCs w:val="21"/>
        </w:rPr>
        <w:sectPr>
          <w:headerReference r:id="rId11" w:type="default"/>
          <w:pgSz w:w="11906" w:h="16838"/>
          <w:pgMar w:top="1418" w:right="1418" w:bottom="1418" w:left="1418" w:header="720" w:footer="737" w:gutter="0"/>
          <w:pgNumType w:fmt="decimal"/>
          <w:cols w:space="720" w:num="1"/>
          <w:titlePg/>
          <w:docGrid w:type="linesAndChars" w:linePitch="331" w:charSpace="0"/>
        </w:sectPr>
      </w:pPr>
    </w:p>
    <w:p w14:paraId="6985AE49">
      <w:pPr>
        <w:pStyle w:val="134"/>
        <w:spacing w:before="240"/>
        <w:jc w:val="center"/>
        <w:rPr>
          <w:rFonts w:hint="eastAsia" w:ascii="宋体" w:hAnsi="宋体"/>
          <w:color w:val="auto"/>
        </w:rPr>
      </w:pPr>
      <w:bookmarkStart w:id="533" w:name="_Toc28611"/>
      <w:bookmarkStart w:id="534" w:name="_Toc16674"/>
      <w:r>
        <w:rPr>
          <w:rFonts w:hint="eastAsia" w:ascii="宋体" w:hAnsi="宋体"/>
          <w:color w:val="auto"/>
        </w:rPr>
        <w:t>（</w:t>
      </w:r>
      <w:r>
        <w:rPr>
          <w:rFonts w:hint="eastAsia" w:ascii="宋体" w:hAnsi="宋体"/>
          <w:color w:val="auto"/>
          <w:lang w:val="en-US" w:eastAsia="zh-CN"/>
        </w:rPr>
        <w:t>九</w:t>
      </w:r>
      <w:r>
        <w:rPr>
          <w:rFonts w:hint="eastAsia" w:ascii="宋体" w:hAnsi="宋体"/>
          <w:color w:val="auto"/>
        </w:rPr>
        <w:t>）关于符合本国产品标准的声明函或财政部规定的其他</w:t>
      </w:r>
      <w:bookmarkStart w:id="535" w:name="_Toc14371"/>
      <w:r>
        <w:rPr>
          <w:rFonts w:hint="eastAsia" w:ascii="宋体" w:hAnsi="宋体"/>
          <w:color w:val="auto"/>
        </w:rPr>
        <w:t>证明文件</w:t>
      </w:r>
      <w:bookmarkEnd w:id="533"/>
      <w:bookmarkEnd w:id="534"/>
      <w:bookmarkEnd w:id="535"/>
    </w:p>
    <w:p w14:paraId="487C0DC5">
      <w:pPr>
        <w:spacing w:line="360" w:lineRule="auto"/>
        <w:jc w:val="left"/>
        <w:rPr>
          <w:rFonts w:hint="eastAsia" w:ascii="宋体" w:hAnsi="宋体" w:cs="宋体"/>
          <w:color w:val="auto"/>
          <w:spacing w:val="6"/>
          <w:szCs w:val="21"/>
        </w:rPr>
      </w:pPr>
      <w:r>
        <w:rPr>
          <w:rFonts w:hint="eastAsia" w:ascii="宋体" w:hAnsi="宋体" w:cs="宋体"/>
          <w:color w:val="auto"/>
          <w:spacing w:val="6"/>
          <w:szCs w:val="21"/>
        </w:rPr>
        <w:t>附件1</w:t>
      </w:r>
    </w:p>
    <w:p w14:paraId="5A2923F1">
      <w:pPr>
        <w:widowControl/>
        <w:spacing w:line="360" w:lineRule="auto"/>
        <w:ind w:firstLine="482" w:firstLineChars="200"/>
        <w:jc w:val="center"/>
        <w:rPr>
          <w:rFonts w:hint="eastAsia" w:ascii="宋体" w:hAnsi="宋体" w:cs="宋体"/>
          <w:color w:val="auto"/>
          <w:kern w:val="0"/>
          <w:sz w:val="24"/>
          <w:lang w:bidi="ar"/>
        </w:rPr>
      </w:pPr>
      <w:r>
        <w:rPr>
          <w:rFonts w:hint="eastAsia" w:ascii="宋体" w:hAnsi="宋体" w:cs="宋体"/>
          <w:b/>
          <w:bCs/>
          <w:color w:val="auto"/>
          <w:kern w:val="0"/>
          <w:sz w:val="24"/>
          <w:lang w:bidi="ar"/>
        </w:rPr>
        <w:t>（一）关于符合本国产品标准的声明函</w:t>
      </w:r>
    </w:p>
    <w:p w14:paraId="7754CB89">
      <w:pPr>
        <w:widowControl/>
        <w:spacing w:line="360" w:lineRule="auto"/>
        <w:ind w:firstLine="420" w:firstLineChars="200"/>
        <w:rPr>
          <w:rFonts w:hint="eastAsia" w:ascii="宋体" w:hAnsi="宋体" w:cs="宋体"/>
          <w:color w:val="auto"/>
          <w:kern w:val="0"/>
          <w:szCs w:val="21"/>
          <w:lang w:bidi="ar"/>
        </w:rPr>
      </w:pPr>
      <w:r>
        <w:rPr>
          <w:rFonts w:hint="eastAsia" w:ascii="宋体" w:hAnsi="宋体" w:cs="宋体"/>
          <w:color w:val="auto"/>
          <w:kern w:val="0"/>
          <w:szCs w:val="21"/>
          <w:lang w:bidi="ar"/>
        </w:rPr>
        <w:t>本公司（单位）郑重声明，根据《国务院办公厅关于在政府采购中实施本国产品标准及相关政策的通知》（国办发〔2025〕34号）的规定，本公司（单位）提供的以下产品属于本国产品。具体情况如下：</w:t>
      </w:r>
    </w:p>
    <w:p w14:paraId="0B1131B2">
      <w:pPr>
        <w:widowControl/>
        <w:spacing w:line="360" w:lineRule="auto"/>
        <w:ind w:firstLine="420" w:firstLineChars="200"/>
        <w:rPr>
          <w:rFonts w:hint="eastAsia" w:ascii="宋体" w:hAnsi="宋体" w:cs="宋体"/>
          <w:color w:val="auto"/>
          <w:kern w:val="0"/>
          <w:szCs w:val="21"/>
          <w:lang w:bidi="ar"/>
        </w:rPr>
      </w:pPr>
      <w:r>
        <w:rPr>
          <w:rFonts w:hint="eastAsia" w:ascii="宋体" w:hAnsi="宋体" w:cs="宋体"/>
          <w:color w:val="auto"/>
          <w:kern w:val="0"/>
          <w:szCs w:val="21"/>
          <w:lang w:bidi="ar"/>
        </w:rPr>
        <w:t>1.</w:t>
      </w:r>
      <w:r>
        <w:rPr>
          <w:rFonts w:hint="eastAsia" w:ascii="宋体" w:hAnsi="宋体" w:cs="宋体"/>
          <w:color w:val="auto"/>
          <w:kern w:val="0"/>
          <w:szCs w:val="21"/>
          <w:u w:val="single"/>
          <w:lang w:bidi="ar"/>
        </w:rPr>
        <w:t>（产品名称1）</w:t>
      </w:r>
      <w:r>
        <w:rPr>
          <w:rFonts w:hint="eastAsia" w:ascii="宋体" w:hAnsi="宋体" w:cs="宋体"/>
          <w:color w:val="auto"/>
          <w:kern w:val="0"/>
          <w:szCs w:val="21"/>
          <w:lang w:bidi="ar"/>
        </w:rPr>
        <w:t>1，生产厂为</w:t>
      </w:r>
      <w:r>
        <w:rPr>
          <w:rFonts w:hint="eastAsia" w:ascii="宋体" w:hAnsi="宋体" w:cs="宋体"/>
          <w:color w:val="auto"/>
          <w:kern w:val="0"/>
          <w:szCs w:val="21"/>
          <w:u w:val="single"/>
          <w:lang w:bidi="ar"/>
        </w:rPr>
        <w:t>（厂名）</w:t>
      </w:r>
      <w:r>
        <w:rPr>
          <w:rFonts w:hint="eastAsia" w:ascii="宋体" w:hAnsi="宋体" w:cs="宋体"/>
          <w:color w:val="auto"/>
          <w:kern w:val="0"/>
          <w:szCs w:val="21"/>
          <w:lang w:bidi="ar"/>
        </w:rPr>
        <w:t>2，厂址为</w:t>
      </w:r>
      <w:r>
        <w:rPr>
          <w:rFonts w:hint="eastAsia" w:ascii="宋体" w:hAnsi="宋体" w:cs="宋体"/>
          <w:color w:val="auto"/>
          <w:kern w:val="0"/>
          <w:szCs w:val="21"/>
          <w:u w:val="single"/>
          <w:lang w:bidi="ar"/>
        </w:rPr>
        <w:t>（生产厂址）</w:t>
      </w:r>
      <w:r>
        <w:rPr>
          <w:rFonts w:hint="eastAsia" w:ascii="宋体" w:hAnsi="宋体" w:cs="宋体"/>
          <w:color w:val="auto"/>
          <w:kern w:val="0"/>
          <w:szCs w:val="21"/>
          <w:lang w:bidi="ar"/>
        </w:rPr>
        <w:t>。</w:t>
      </w:r>
      <w:r>
        <w:rPr>
          <w:rFonts w:hint="eastAsia" w:ascii="宋体" w:hAnsi="宋体" w:cs="宋体"/>
          <w:color w:val="auto"/>
          <w:kern w:val="0"/>
          <w:szCs w:val="21"/>
          <w:u w:val="single"/>
          <w:lang w:bidi="ar"/>
        </w:rPr>
        <w:t>（产品名称1）</w:t>
      </w:r>
      <w:r>
        <w:rPr>
          <w:rFonts w:hint="eastAsia" w:ascii="宋体" w:hAnsi="宋体" w:cs="宋体"/>
          <w:color w:val="auto"/>
          <w:kern w:val="0"/>
          <w:szCs w:val="21"/>
          <w:lang w:bidi="ar"/>
        </w:rPr>
        <w:t>的中国境内生产的组件成本占比≥</w:t>
      </w:r>
      <w:r>
        <w:rPr>
          <w:rFonts w:hint="eastAsia" w:ascii="宋体" w:hAnsi="宋体" w:cs="宋体"/>
          <w:color w:val="auto"/>
          <w:kern w:val="0"/>
          <w:szCs w:val="21"/>
          <w:u w:val="single"/>
          <w:lang w:bidi="ar"/>
        </w:rPr>
        <w:t>（规定比例）</w:t>
      </w:r>
      <w:r>
        <w:rPr>
          <w:rFonts w:hint="eastAsia" w:ascii="宋体" w:hAnsi="宋体" w:cs="宋体"/>
          <w:color w:val="auto"/>
          <w:kern w:val="0"/>
          <w:szCs w:val="21"/>
          <w:lang w:bidi="ar"/>
        </w:rPr>
        <w:t>3。</w:t>
      </w:r>
      <w:r>
        <w:rPr>
          <w:rFonts w:hint="eastAsia" w:ascii="宋体" w:hAnsi="宋体" w:cs="宋体"/>
          <w:color w:val="auto"/>
          <w:kern w:val="0"/>
          <w:szCs w:val="21"/>
          <w:u w:val="single"/>
          <w:lang w:bidi="ar"/>
        </w:rPr>
        <w:t>（产品名称1）</w:t>
      </w:r>
      <w:r>
        <w:rPr>
          <w:rFonts w:hint="eastAsia" w:ascii="宋体" w:hAnsi="宋体" w:cs="宋体"/>
          <w:color w:val="auto"/>
          <w:kern w:val="0"/>
          <w:szCs w:val="21"/>
          <w:lang w:bidi="ar"/>
        </w:rPr>
        <w:t>的</w:t>
      </w:r>
      <w:r>
        <w:rPr>
          <w:rFonts w:hint="eastAsia" w:ascii="宋体" w:hAnsi="宋体" w:cs="宋体"/>
          <w:color w:val="auto"/>
          <w:kern w:val="0"/>
          <w:szCs w:val="21"/>
          <w:u w:val="single"/>
          <w:lang w:bidi="ar"/>
        </w:rPr>
        <w:t>（关键组件）</w:t>
      </w:r>
      <w:r>
        <w:rPr>
          <w:rFonts w:hint="eastAsia" w:ascii="宋体" w:hAnsi="宋体" w:cs="宋体"/>
          <w:color w:val="auto"/>
          <w:kern w:val="0"/>
          <w:szCs w:val="21"/>
          <w:lang w:bidi="ar"/>
        </w:rPr>
        <w:t>4在中国境内生产。</w:t>
      </w:r>
      <w:r>
        <w:rPr>
          <w:rFonts w:hint="eastAsia" w:ascii="宋体" w:hAnsi="宋体" w:cs="宋体"/>
          <w:color w:val="auto"/>
          <w:kern w:val="0"/>
          <w:szCs w:val="21"/>
          <w:u w:val="single"/>
          <w:lang w:bidi="ar"/>
        </w:rPr>
        <w:t>（产品名称1）</w:t>
      </w:r>
      <w:r>
        <w:rPr>
          <w:rFonts w:hint="eastAsia" w:ascii="宋体" w:hAnsi="宋体" w:cs="宋体"/>
          <w:color w:val="auto"/>
          <w:kern w:val="0"/>
          <w:szCs w:val="21"/>
          <w:lang w:bidi="ar"/>
        </w:rPr>
        <w:t>的</w:t>
      </w:r>
      <w:r>
        <w:rPr>
          <w:rFonts w:hint="eastAsia" w:ascii="宋体" w:hAnsi="宋体" w:cs="宋体"/>
          <w:color w:val="auto"/>
          <w:kern w:val="0"/>
          <w:szCs w:val="21"/>
          <w:u w:val="single"/>
          <w:lang w:bidi="ar"/>
        </w:rPr>
        <w:t>（关键工序）</w:t>
      </w:r>
      <w:r>
        <w:rPr>
          <w:rFonts w:hint="eastAsia" w:ascii="宋体" w:hAnsi="宋体" w:cs="宋体"/>
          <w:color w:val="auto"/>
          <w:kern w:val="0"/>
          <w:szCs w:val="21"/>
          <w:lang w:bidi="ar"/>
        </w:rPr>
        <w:t>5在中国境内完成。</w:t>
      </w:r>
    </w:p>
    <w:p w14:paraId="2DAC34EF">
      <w:pPr>
        <w:widowControl/>
        <w:spacing w:line="360" w:lineRule="auto"/>
        <w:ind w:firstLine="420" w:firstLineChars="200"/>
        <w:rPr>
          <w:rFonts w:hint="eastAsia" w:ascii="宋体" w:hAnsi="宋体" w:cs="宋体"/>
          <w:color w:val="auto"/>
          <w:kern w:val="0"/>
          <w:szCs w:val="21"/>
          <w:lang w:bidi="ar"/>
        </w:rPr>
      </w:pPr>
      <w:r>
        <w:rPr>
          <w:rFonts w:hint="eastAsia" w:ascii="宋体" w:hAnsi="宋体" w:cs="宋体"/>
          <w:color w:val="auto"/>
          <w:kern w:val="0"/>
          <w:szCs w:val="21"/>
          <w:lang w:bidi="ar"/>
        </w:rPr>
        <w:t>2.</w:t>
      </w:r>
      <w:r>
        <w:rPr>
          <w:rFonts w:hint="eastAsia" w:ascii="宋体" w:hAnsi="宋体" w:cs="宋体"/>
          <w:color w:val="auto"/>
          <w:kern w:val="0"/>
          <w:szCs w:val="21"/>
          <w:u w:val="single"/>
          <w:lang w:bidi="ar"/>
        </w:rPr>
        <w:t>（产品名称2）</w:t>
      </w:r>
      <w:r>
        <w:rPr>
          <w:rFonts w:hint="eastAsia" w:ascii="宋体" w:hAnsi="宋体" w:cs="宋体"/>
          <w:color w:val="auto"/>
          <w:kern w:val="0"/>
          <w:szCs w:val="21"/>
          <w:lang w:bidi="ar"/>
        </w:rPr>
        <w:t>，生产厂为</w:t>
      </w:r>
      <w:r>
        <w:rPr>
          <w:rFonts w:hint="eastAsia" w:ascii="宋体" w:hAnsi="宋体" w:cs="宋体"/>
          <w:color w:val="auto"/>
          <w:kern w:val="0"/>
          <w:szCs w:val="21"/>
          <w:u w:val="single"/>
          <w:lang w:bidi="ar"/>
        </w:rPr>
        <w:t>（厂名）</w:t>
      </w:r>
      <w:r>
        <w:rPr>
          <w:rFonts w:hint="eastAsia" w:ascii="宋体" w:hAnsi="宋体" w:cs="宋体"/>
          <w:color w:val="auto"/>
          <w:kern w:val="0"/>
          <w:szCs w:val="21"/>
          <w:lang w:bidi="ar"/>
        </w:rPr>
        <w:t>，厂址为</w:t>
      </w:r>
      <w:r>
        <w:rPr>
          <w:rFonts w:hint="eastAsia" w:ascii="宋体" w:hAnsi="宋体" w:cs="宋体"/>
          <w:color w:val="auto"/>
          <w:kern w:val="0"/>
          <w:szCs w:val="21"/>
          <w:u w:val="single"/>
          <w:lang w:bidi="ar"/>
        </w:rPr>
        <w:t>（生产厂址）</w:t>
      </w:r>
      <w:r>
        <w:rPr>
          <w:rFonts w:hint="eastAsia" w:ascii="宋体" w:hAnsi="宋体" w:cs="宋体"/>
          <w:color w:val="auto"/>
          <w:kern w:val="0"/>
          <w:szCs w:val="21"/>
          <w:lang w:bidi="ar"/>
        </w:rPr>
        <w:t>。</w:t>
      </w:r>
      <w:r>
        <w:rPr>
          <w:rFonts w:hint="eastAsia" w:ascii="宋体" w:hAnsi="宋体" w:cs="宋体"/>
          <w:color w:val="auto"/>
          <w:kern w:val="0"/>
          <w:szCs w:val="21"/>
          <w:u w:val="single"/>
          <w:lang w:bidi="ar"/>
        </w:rPr>
        <w:t>（产品名称2）</w:t>
      </w:r>
      <w:r>
        <w:rPr>
          <w:rFonts w:hint="eastAsia" w:ascii="宋体" w:hAnsi="宋体" w:cs="宋体"/>
          <w:color w:val="auto"/>
          <w:kern w:val="0"/>
          <w:szCs w:val="21"/>
          <w:lang w:bidi="ar"/>
        </w:rPr>
        <w:t>的中国境内生产的组件成本占比≥</w:t>
      </w:r>
      <w:r>
        <w:rPr>
          <w:rFonts w:hint="eastAsia" w:ascii="宋体" w:hAnsi="宋体" w:cs="宋体"/>
          <w:color w:val="auto"/>
          <w:kern w:val="0"/>
          <w:szCs w:val="21"/>
          <w:u w:val="single"/>
          <w:lang w:bidi="ar"/>
        </w:rPr>
        <w:t>（规定比例）</w:t>
      </w:r>
      <w:r>
        <w:rPr>
          <w:rFonts w:hint="eastAsia" w:ascii="宋体" w:hAnsi="宋体" w:cs="宋体"/>
          <w:color w:val="auto"/>
          <w:kern w:val="0"/>
          <w:szCs w:val="21"/>
          <w:lang w:bidi="ar"/>
        </w:rPr>
        <w:t>。</w:t>
      </w:r>
      <w:r>
        <w:rPr>
          <w:rFonts w:hint="eastAsia" w:ascii="宋体" w:hAnsi="宋体" w:cs="宋体"/>
          <w:color w:val="auto"/>
          <w:kern w:val="0"/>
          <w:szCs w:val="21"/>
          <w:u w:val="single"/>
          <w:lang w:bidi="ar"/>
        </w:rPr>
        <w:t>（产品名称2）</w:t>
      </w:r>
      <w:r>
        <w:rPr>
          <w:rFonts w:hint="eastAsia" w:ascii="宋体" w:hAnsi="宋体" w:cs="宋体"/>
          <w:color w:val="auto"/>
          <w:kern w:val="0"/>
          <w:szCs w:val="21"/>
          <w:lang w:bidi="ar"/>
        </w:rPr>
        <w:t>的</w:t>
      </w:r>
      <w:r>
        <w:rPr>
          <w:rFonts w:hint="eastAsia" w:ascii="宋体" w:hAnsi="宋体" w:cs="宋体"/>
          <w:color w:val="auto"/>
          <w:kern w:val="0"/>
          <w:szCs w:val="21"/>
          <w:u w:val="single"/>
          <w:lang w:bidi="ar"/>
        </w:rPr>
        <w:t>（关键组件）</w:t>
      </w:r>
      <w:r>
        <w:rPr>
          <w:rFonts w:hint="eastAsia" w:ascii="宋体" w:hAnsi="宋体" w:cs="宋体"/>
          <w:color w:val="auto"/>
          <w:kern w:val="0"/>
          <w:szCs w:val="21"/>
          <w:lang w:bidi="ar"/>
        </w:rPr>
        <w:t>在中国境内生产。</w:t>
      </w:r>
      <w:r>
        <w:rPr>
          <w:rFonts w:hint="eastAsia" w:ascii="宋体" w:hAnsi="宋体" w:cs="宋体"/>
          <w:color w:val="auto"/>
          <w:kern w:val="0"/>
          <w:szCs w:val="21"/>
          <w:u w:val="single"/>
          <w:lang w:bidi="ar"/>
        </w:rPr>
        <w:t>（产品名称2）</w:t>
      </w:r>
      <w:r>
        <w:rPr>
          <w:rFonts w:hint="eastAsia" w:ascii="宋体" w:hAnsi="宋体" w:cs="宋体"/>
          <w:color w:val="auto"/>
          <w:kern w:val="0"/>
          <w:szCs w:val="21"/>
          <w:lang w:bidi="ar"/>
        </w:rPr>
        <w:t>的（关键工序）在中国境内完成。</w:t>
      </w:r>
    </w:p>
    <w:p w14:paraId="4277824D">
      <w:pPr>
        <w:widowControl/>
        <w:spacing w:line="360" w:lineRule="auto"/>
        <w:ind w:firstLine="420" w:firstLineChars="200"/>
        <w:rPr>
          <w:rFonts w:hint="eastAsia" w:ascii="宋体" w:hAnsi="宋体" w:cs="宋体"/>
          <w:color w:val="auto"/>
          <w:kern w:val="0"/>
          <w:szCs w:val="21"/>
          <w:lang w:bidi="ar"/>
        </w:rPr>
      </w:pPr>
      <w:r>
        <w:rPr>
          <w:rFonts w:hint="eastAsia" w:ascii="宋体" w:hAnsi="宋体" w:cs="宋体"/>
          <w:color w:val="auto"/>
          <w:kern w:val="0"/>
          <w:szCs w:val="21"/>
          <w:lang w:bidi="ar"/>
        </w:rPr>
        <w:t>……</w:t>
      </w:r>
    </w:p>
    <w:p w14:paraId="7DCE96C4">
      <w:pPr>
        <w:widowControl/>
        <w:spacing w:line="360" w:lineRule="auto"/>
        <w:ind w:firstLine="420" w:firstLineChars="200"/>
        <w:rPr>
          <w:rFonts w:hint="eastAsia" w:ascii="宋体" w:hAnsi="宋体" w:cs="宋体"/>
          <w:color w:val="auto"/>
          <w:kern w:val="0"/>
          <w:szCs w:val="21"/>
          <w:lang w:bidi="ar"/>
        </w:rPr>
      </w:pPr>
      <w:r>
        <w:rPr>
          <w:rFonts w:hint="eastAsia" w:ascii="宋体" w:hAnsi="宋体" w:cs="宋体"/>
          <w:color w:val="auto"/>
          <w:kern w:val="0"/>
          <w:szCs w:val="21"/>
          <w:lang w:bidi="ar"/>
        </w:rPr>
        <w:t>本公司（单位）对上述声明内容的真实性负责。如有虚假，愿承担相应法律责任。</w:t>
      </w:r>
    </w:p>
    <w:p w14:paraId="24CEFFCE">
      <w:pPr>
        <w:shd w:val="clear" w:color="auto" w:fill="FFFFFF"/>
        <w:spacing w:before="30" w:after="30" w:line="360" w:lineRule="auto"/>
        <w:ind w:firstLine="388" w:firstLineChars="200"/>
        <w:jc w:val="right"/>
        <w:rPr>
          <w:rFonts w:hint="eastAsia" w:ascii="宋体" w:hAnsi="宋体" w:cs="宋体"/>
          <w:bCs/>
          <w:color w:val="auto"/>
          <w:spacing w:val="-8"/>
          <w:szCs w:val="21"/>
        </w:rPr>
      </w:pPr>
      <w:r>
        <w:rPr>
          <w:rFonts w:hint="eastAsia" w:ascii="宋体" w:hAnsi="宋体" w:cs="宋体"/>
          <w:bCs/>
          <w:color w:val="auto"/>
          <w:spacing w:val="-8"/>
          <w:szCs w:val="21"/>
          <w:shd w:val="clear" w:color="auto" w:fill="FFFFFF"/>
        </w:rPr>
        <w:t>公司（单位）名称（</w:t>
      </w:r>
      <w:r>
        <w:rPr>
          <w:rFonts w:hint="eastAsia" w:ascii="宋体" w:hAnsi="宋体" w:cs="宋体"/>
          <w:bCs/>
          <w:color w:val="auto"/>
          <w:spacing w:val="-8"/>
          <w:szCs w:val="21"/>
        </w:rPr>
        <w:t>电子签章</w:t>
      </w:r>
      <w:r>
        <w:rPr>
          <w:rFonts w:hint="eastAsia" w:ascii="宋体" w:hAnsi="宋体" w:cs="宋体"/>
          <w:bCs/>
          <w:color w:val="auto"/>
          <w:spacing w:val="-8"/>
          <w:szCs w:val="21"/>
          <w:shd w:val="clear" w:color="auto" w:fill="FFFFFF"/>
        </w:rPr>
        <w:t>）：</w:t>
      </w:r>
      <w:r>
        <w:rPr>
          <w:rFonts w:hint="eastAsia" w:ascii="宋体" w:hAnsi="宋体" w:cs="宋体"/>
          <w:bCs/>
          <w:color w:val="auto"/>
          <w:spacing w:val="-8"/>
          <w:szCs w:val="21"/>
        </w:rPr>
        <w:t xml:space="preserve">          </w:t>
      </w:r>
    </w:p>
    <w:p w14:paraId="3AAA189A">
      <w:pPr>
        <w:shd w:val="clear" w:color="auto" w:fill="FFFFFF"/>
        <w:spacing w:before="30" w:after="30" w:line="360" w:lineRule="auto"/>
        <w:ind w:firstLine="388" w:firstLineChars="200"/>
        <w:jc w:val="right"/>
        <w:rPr>
          <w:rFonts w:hint="eastAsia" w:ascii="宋体" w:hAnsi="宋体" w:cs="宋体"/>
          <w:bCs/>
          <w:color w:val="auto"/>
          <w:spacing w:val="-8"/>
          <w:szCs w:val="21"/>
        </w:rPr>
      </w:pPr>
      <w:r>
        <w:rPr>
          <w:rFonts w:hint="eastAsia" w:ascii="宋体" w:hAnsi="宋体" w:cs="宋体"/>
          <w:bCs/>
          <w:color w:val="auto"/>
          <w:spacing w:val="-8"/>
          <w:szCs w:val="21"/>
          <w:shd w:val="clear" w:color="auto" w:fill="FFFFFF"/>
        </w:rPr>
        <w:t>日期：</w:t>
      </w:r>
      <w:r>
        <w:rPr>
          <w:rFonts w:hint="eastAsia" w:ascii="宋体" w:hAnsi="宋体" w:cs="宋体"/>
          <w:bCs/>
          <w:color w:val="auto"/>
          <w:spacing w:val="-8"/>
          <w:szCs w:val="21"/>
        </w:rPr>
        <w:t xml:space="preserve">    </w:t>
      </w:r>
      <w:r>
        <w:rPr>
          <w:rFonts w:hint="eastAsia" w:ascii="宋体" w:hAnsi="宋体" w:cs="宋体"/>
          <w:bCs/>
          <w:color w:val="auto"/>
          <w:spacing w:val="-8"/>
          <w:szCs w:val="21"/>
          <w:shd w:val="clear" w:color="auto" w:fill="FFFFFF"/>
        </w:rPr>
        <w:t>年</w:t>
      </w:r>
      <w:r>
        <w:rPr>
          <w:rFonts w:hint="eastAsia" w:ascii="宋体" w:hAnsi="宋体" w:cs="宋体"/>
          <w:bCs/>
          <w:color w:val="auto"/>
          <w:spacing w:val="-8"/>
          <w:szCs w:val="21"/>
        </w:rPr>
        <w:t xml:space="preserve">  </w:t>
      </w:r>
      <w:r>
        <w:rPr>
          <w:rFonts w:hint="eastAsia" w:ascii="宋体" w:hAnsi="宋体" w:cs="宋体"/>
          <w:bCs/>
          <w:color w:val="auto"/>
          <w:spacing w:val="-8"/>
          <w:szCs w:val="21"/>
          <w:shd w:val="clear" w:color="auto" w:fill="FFFFFF"/>
        </w:rPr>
        <w:t>月</w:t>
      </w:r>
      <w:r>
        <w:rPr>
          <w:rFonts w:hint="eastAsia" w:ascii="宋体" w:hAnsi="宋体" w:cs="宋体"/>
          <w:bCs/>
          <w:color w:val="auto"/>
          <w:spacing w:val="-8"/>
          <w:szCs w:val="21"/>
        </w:rPr>
        <w:t xml:space="preserve">  </w:t>
      </w:r>
      <w:r>
        <w:rPr>
          <w:rFonts w:hint="eastAsia" w:ascii="宋体" w:hAnsi="宋体" w:cs="宋体"/>
          <w:bCs/>
          <w:color w:val="auto"/>
          <w:spacing w:val="-8"/>
          <w:szCs w:val="21"/>
          <w:shd w:val="clear" w:color="auto" w:fill="FFFFFF"/>
        </w:rPr>
        <w:t>日</w:t>
      </w:r>
    </w:p>
    <w:p w14:paraId="2A4D055D">
      <w:pPr>
        <w:shd w:val="clear" w:color="auto" w:fill="FFFFFF"/>
        <w:spacing w:before="30" w:after="30" w:line="360" w:lineRule="auto"/>
        <w:ind w:firstLine="422" w:firstLineChars="200"/>
        <w:rPr>
          <w:rFonts w:hint="eastAsia" w:ascii="宋体" w:hAnsi="宋体" w:cs="宋体"/>
          <w:bCs/>
          <w:color w:val="auto"/>
          <w:spacing w:val="-8"/>
          <w:szCs w:val="21"/>
        </w:rPr>
      </w:pPr>
      <w:r>
        <w:rPr>
          <w:rFonts w:hint="eastAsia" w:ascii="宋体" w:hAnsi="宋体" w:cs="宋体"/>
          <w:b/>
          <w:bCs/>
          <w:color w:val="auto"/>
          <w:kern w:val="0"/>
          <w:szCs w:val="21"/>
          <w:lang w:bidi="ar"/>
        </w:rPr>
        <w:t>注：</w:t>
      </w:r>
      <w:r>
        <w:rPr>
          <w:rFonts w:hint="eastAsia" w:ascii="宋体" w:hAnsi="宋体" w:cs="宋体"/>
          <w:bCs/>
          <w:color w:val="auto"/>
          <w:spacing w:val="-8"/>
          <w:szCs w:val="21"/>
          <w:shd w:val="clear" w:color="auto" w:fill="FFFFFF"/>
        </w:rPr>
        <w:t>1.产品如有型号，请在“产品名称”栏一并填写。</w:t>
      </w:r>
    </w:p>
    <w:p w14:paraId="13D727C6">
      <w:pPr>
        <w:shd w:val="clear" w:color="auto" w:fill="FFFFFF"/>
        <w:spacing w:before="30" w:after="30" w:line="360" w:lineRule="auto"/>
        <w:ind w:firstLine="388" w:firstLineChars="200"/>
        <w:rPr>
          <w:rFonts w:hint="eastAsia" w:ascii="宋体" w:hAnsi="宋体" w:cs="宋体"/>
          <w:bCs/>
          <w:color w:val="auto"/>
          <w:spacing w:val="-8"/>
          <w:szCs w:val="21"/>
        </w:rPr>
      </w:pPr>
      <w:r>
        <w:rPr>
          <w:rFonts w:hint="eastAsia" w:ascii="宋体" w:hAnsi="宋体" w:cs="宋体"/>
          <w:bCs/>
          <w:color w:val="auto"/>
          <w:spacing w:val="-8"/>
          <w:szCs w:val="21"/>
          <w:shd w:val="clear" w:color="auto" w:fill="FFFFFF"/>
        </w:rPr>
        <w:t>2.生产厂名与厂址应与生产厂营业执照载明的相关信息保持一致。</w:t>
      </w:r>
    </w:p>
    <w:p w14:paraId="313117DF">
      <w:pPr>
        <w:shd w:val="clear" w:color="auto" w:fill="FFFFFF"/>
        <w:spacing w:before="30" w:after="30" w:line="360" w:lineRule="auto"/>
        <w:ind w:firstLine="388" w:firstLineChars="200"/>
        <w:rPr>
          <w:rFonts w:hint="eastAsia" w:ascii="宋体" w:hAnsi="宋体" w:cs="宋体"/>
          <w:bCs/>
          <w:color w:val="auto"/>
          <w:spacing w:val="-8"/>
          <w:szCs w:val="21"/>
        </w:rPr>
      </w:pPr>
      <w:r>
        <w:rPr>
          <w:rFonts w:hint="eastAsia" w:ascii="宋体" w:hAnsi="宋体" w:cs="宋体"/>
          <w:bCs/>
          <w:color w:val="auto"/>
          <w:spacing w:val="-8"/>
          <w:szCs w:val="21"/>
          <w:shd w:val="clear" w:color="auto" w:fill="FFFFFF"/>
        </w:rPr>
        <w:t>3.该产品的中国境内生产的组件成本占比相关要求实施前，“规定比例”栏可不填，下同。</w:t>
      </w:r>
    </w:p>
    <w:p w14:paraId="43425BBE">
      <w:pPr>
        <w:shd w:val="clear" w:color="auto" w:fill="FFFFFF"/>
        <w:spacing w:before="30" w:after="30" w:line="360" w:lineRule="auto"/>
        <w:ind w:firstLine="388" w:firstLineChars="200"/>
        <w:rPr>
          <w:rFonts w:hint="eastAsia" w:ascii="宋体" w:hAnsi="宋体" w:cs="宋体"/>
          <w:bCs/>
          <w:color w:val="auto"/>
          <w:spacing w:val="-8"/>
          <w:szCs w:val="21"/>
        </w:rPr>
      </w:pPr>
      <w:r>
        <w:rPr>
          <w:rFonts w:hint="eastAsia" w:ascii="宋体" w:hAnsi="宋体" w:cs="宋体"/>
          <w:bCs/>
          <w:color w:val="auto"/>
          <w:spacing w:val="-8"/>
          <w:szCs w:val="21"/>
          <w:shd w:val="clear" w:color="auto" w:fill="FFFFFF"/>
        </w:rPr>
        <w:t>4.该产品的关键组件要求实施前，“关键组件”栏可不填，下同。</w:t>
      </w:r>
    </w:p>
    <w:p w14:paraId="7AF584A8">
      <w:pPr>
        <w:shd w:val="clear" w:color="auto" w:fill="FFFFFF"/>
        <w:spacing w:before="30" w:after="30" w:line="360" w:lineRule="auto"/>
        <w:ind w:firstLine="388" w:firstLineChars="200"/>
        <w:rPr>
          <w:rFonts w:hint="eastAsia" w:ascii="宋体" w:hAnsi="宋体" w:cs="宋体"/>
          <w:bCs/>
          <w:color w:val="auto"/>
          <w:spacing w:val="-8"/>
          <w:szCs w:val="21"/>
        </w:rPr>
      </w:pPr>
      <w:r>
        <w:rPr>
          <w:rFonts w:hint="eastAsia" w:ascii="宋体" w:hAnsi="宋体" w:cs="宋体"/>
          <w:bCs/>
          <w:color w:val="auto"/>
          <w:spacing w:val="-8"/>
          <w:szCs w:val="21"/>
          <w:shd w:val="clear" w:color="auto" w:fill="FFFFFF"/>
        </w:rPr>
        <w:t>5.该产品的关键工序要求实施前，“关键工序”栏可不填，下同。</w:t>
      </w:r>
    </w:p>
    <w:p w14:paraId="20F3DD3C">
      <w:pPr>
        <w:widowControl/>
        <w:spacing w:line="360" w:lineRule="auto"/>
        <w:ind w:firstLine="420" w:firstLineChars="200"/>
        <w:jc w:val="left"/>
        <w:rPr>
          <w:rFonts w:hint="eastAsia" w:ascii="宋体" w:hAnsi="宋体" w:cs="宋体"/>
          <w:color w:val="auto"/>
          <w:kern w:val="0"/>
          <w:szCs w:val="21"/>
          <w:lang w:bidi="ar"/>
        </w:rPr>
      </w:pPr>
    </w:p>
    <w:p w14:paraId="5E4483DA">
      <w:pPr>
        <w:spacing w:line="360" w:lineRule="auto"/>
        <w:jc w:val="left"/>
        <w:rPr>
          <w:rFonts w:hint="eastAsia" w:ascii="宋体" w:hAnsi="宋体" w:cs="宋体"/>
          <w:color w:val="auto"/>
          <w:kern w:val="0"/>
          <w:szCs w:val="21"/>
          <w:lang w:bidi="ar"/>
        </w:rPr>
      </w:pPr>
      <w:r>
        <w:rPr>
          <w:rFonts w:hint="eastAsia" w:ascii="宋体" w:hAnsi="宋体" w:cs="宋体"/>
          <w:color w:val="auto"/>
          <w:kern w:val="0"/>
          <w:szCs w:val="21"/>
          <w:lang w:bidi="ar"/>
        </w:rPr>
        <w:br w:type="page"/>
      </w:r>
    </w:p>
    <w:p w14:paraId="058320AF">
      <w:pPr>
        <w:spacing w:line="360" w:lineRule="auto"/>
        <w:jc w:val="left"/>
        <w:rPr>
          <w:rFonts w:hint="eastAsia" w:ascii="宋体" w:hAnsi="宋体" w:cs="宋体"/>
          <w:color w:val="auto"/>
          <w:spacing w:val="6"/>
          <w:szCs w:val="21"/>
        </w:rPr>
      </w:pPr>
      <w:r>
        <w:rPr>
          <w:rFonts w:hint="eastAsia" w:ascii="宋体" w:hAnsi="宋体" w:cs="宋体"/>
          <w:color w:val="auto"/>
          <w:spacing w:val="6"/>
          <w:szCs w:val="21"/>
        </w:rPr>
        <w:t>附件2</w:t>
      </w:r>
    </w:p>
    <w:p w14:paraId="12898EED">
      <w:pPr>
        <w:spacing w:line="360" w:lineRule="auto"/>
        <w:jc w:val="center"/>
        <w:rPr>
          <w:rFonts w:hint="eastAsia" w:ascii="宋体" w:hAnsi="宋体" w:cs="宋体"/>
          <w:b/>
          <w:bCs/>
          <w:color w:val="auto"/>
          <w:kern w:val="0"/>
          <w:sz w:val="24"/>
          <w:lang w:bidi="ar"/>
        </w:rPr>
      </w:pPr>
      <w:r>
        <w:rPr>
          <w:rFonts w:hint="eastAsia" w:ascii="宋体" w:hAnsi="宋体" w:cs="宋体"/>
          <w:b/>
          <w:bCs/>
          <w:color w:val="auto"/>
          <w:kern w:val="0"/>
          <w:sz w:val="24"/>
          <w:lang w:bidi="ar"/>
        </w:rPr>
        <w:t>（二）本国产品成本占比承诺函</w:t>
      </w:r>
    </w:p>
    <w:p w14:paraId="338A3C59">
      <w:pPr>
        <w:widowControl/>
        <w:spacing w:line="360" w:lineRule="auto"/>
        <w:ind w:firstLine="420" w:firstLineChars="200"/>
        <w:rPr>
          <w:rFonts w:hint="eastAsia" w:ascii="宋体" w:hAnsi="宋体" w:cs="宋体"/>
          <w:color w:val="auto"/>
          <w:kern w:val="0"/>
          <w:szCs w:val="21"/>
          <w:lang w:bidi="ar"/>
        </w:rPr>
      </w:pPr>
      <w:r>
        <w:rPr>
          <w:rFonts w:hint="eastAsia" w:ascii="宋体" w:hAnsi="宋体" w:cs="宋体"/>
          <w:color w:val="auto"/>
          <w:kern w:val="0"/>
          <w:szCs w:val="21"/>
          <w:lang w:bidi="ar"/>
        </w:rPr>
        <w:t>致:[采购人/采购代理机构名称]</w:t>
      </w:r>
    </w:p>
    <w:p w14:paraId="5939F9EC">
      <w:pPr>
        <w:widowControl/>
        <w:spacing w:line="360" w:lineRule="auto"/>
        <w:ind w:firstLine="420" w:firstLineChars="200"/>
        <w:rPr>
          <w:rFonts w:hint="eastAsia" w:ascii="宋体" w:hAnsi="宋体" w:cs="宋体"/>
          <w:color w:val="auto"/>
          <w:kern w:val="0"/>
          <w:szCs w:val="21"/>
          <w:lang w:bidi="ar"/>
        </w:rPr>
      </w:pPr>
      <w:r>
        <w:rPr>
          <w:rFonts w:hint="eastAsia" w:ascii="宋体" w:hAnsi="宋体" w:cs="宋体"/>
          <w:color w:val="auto"/>
          <w:kern w:val="0"/>
          <w:szCs w:val="21"/>
          <w:lang w:bidi="ar"/>
        </w:rPr>
        <w:t>本单位就参与[项目名称      、编号      ]政府采购项目，郑重承诺如下:</w:t>
      </w:r>
    </w:p>
    <w:p w14:paraId="2035B98A">
      <w:pPr>
        <w:widowControl/>
        <w:spacing w:line="360" w:lineRule="auto"/>
        <w:ind w:firstLine="420" w:firstLineChars="200"/>
        <w:rPr>
          <w:rFonts w:hint="eastAsia" w:ascii="宋体" w:hAnsi="宋体" w:cs="宋体"/>
          <w:color w:val="auto"/>
          <w:kern w:val="0"/>
          <w:szCs w:val="21"/>
          <w:lang w:bidi="ar"/>
        </w:rPr>
      </w:pPr>
      <w:r>
        <w:rPr>
          <w:rFonts w:hint="eastAsia" w:ascii="宋体" w:hAnsi="宋体" w:cs="宋体"/>
          <w:color w:val="auto"/>
          <w:kern w:val="0"/>
          <w:szCs w:val="21"/>
          <w:lang w:bidi="ar"/>
        </w:rPr>
        <w:t>本单位为该项目(或采购包)提供的符合本国产品标准的产品成本之和，占所提供全部产品成本之和的比例为</w:t>
      </w:r>
      <w:r>
        <w:rPr>
          <w:rFonts w:hint="eastAsia" w:ascii="宋体" w:hAnsi="宋体" w:cs="宋体"/>
          <w:color w:val="auto"/>
          <w:kern w:val="0"/>
          <w:szCs w:val="21"/>
          <w:u w:val="single"/>
          <w:lang w:bidi="ar"/>
        </w:rPr>
        <w:t xml:space="preserve">     </w:t>
      </w:r>
      <w:r>
        <w:rPr>
          <w:rFonts w:hint="eastAsia" w:ascii="宋体" w:hAnsi="宋体" w:cs="宋体"/>
          <w:color w:val="auto"/>
          <w:kern w:val="0"/>
          <w:szCs w:val="21"/>
          <w:lang w:bidi="ar"/>
        </w:rPr>
        <w:t>%。本承诺内容真实有效，若存在虚假承诺，愿意承担相应法律责任，放弃中标(成交)资格，并接受政府采购监管部门处罚。</w:t>
      </w:r>
    </w:p>
    <w:p w14:paraId="481B9EB3">
      <w:pPr>
        <w:widowControl/>
        <w:spacing w:line="360" w:lineRule="auto"/>
        <w:ind w:firstLine="420" w:firstLineChars="200"/>
        <w:rPr>
          <w:rFonts w:hint="eastAsia" w:ascii="宋体" w:hAnsi="宋体" w:cs="宋体"/>
          <w:color w:val="auto"/>
          <w:kern w:val="0"/>
          <w:szCs w:val="21"/>
          <w:lang w:bidi="ar"/>
        </w:rPr>
      </w:pPr>
    </w:p>
    <w:p w14:paraId="66A42260">
      <w:pPr>
        <w:widowControl/>
        <w:spacing w:line="360" w:lineRule="auto"/>
        <w:ind w:firstLine="420" w:firstLineChars="200"/>
        <w:rPr>
          <w:rFonts w:hint="eastAsia" w:ascii="宋体" w:hAnsi="宋体" w:cs="宋体"/>
          <w:color w:val="auto"/>
          <w:kern w:val="0"/>
          <w:szCs w:val="21"/>
          <w:lang w:bidi="ar"/>
        </w:rPr>
      </w:pPr>
      <w:r>
        <w:rPr>
          <w:rFonts w:hint="eastAsia" w:ascii="宋体" w:hAnsi="宋体" w:cs="宋体"/>
          <w:color w:val="auto"/>
          <w:kern w:val="0"/>
          <w:szCs w:val="21"/>
          <w:lang w:bidi="ar"/>
        </w:rPr>
        <w:t>承诺人(供应商公章):</w:t>
      </w:r>
    </w:p>
    <w:p w14:paraId="41C7A58D">
      <w:pPr>
        <w:widowControl/>
        <w:spacing w:line="360" w:lineRule="auto"/>
        <w:ind w:firstLine="420" w:firstLineChars="200"/>
        <w:rPr>
          <w:rFonts w:hint="eastAsia" w:ascii="宋体" w:hAnsi="宋体" w:cs="宋体"/>
          <w:color w:val="auto"/>
          <w:kern w:val="0"/>
          <w:szCs w:val="21"/>
          <w:lang w:bidi="ar"/>
        </w:rPr>
      </w:pPr>
      <w:r>
        <w:rPr>
          <w:rFonts w:hint="eastAsia" w:ascii="宋体" w:hAnsi="宋体" w:cs="宋体"/>
          <w:color w:val="auto"/>
          <w:kern w:val="0"/>
          <w:szCs w:val="21"/>
          <w:lang w:bidi="ar"/>
        </w:rPr>
        <w:t>法定代表人或授权代表签字:</w:t>
      </w:r>
    </w:p>
    <w:p w14:paraId="2326E28C">
      <w:pPr>
        <w:widowControl/>
        <w:spacing w:line="360" w:lineRule="auto"/>
        <w:ind w:firstLine="420" w:firstLineChars="200"/>
        <w:rPr>
          <w:rFonts w:hint="eastAsia" w:ascii="宋体" w:hAnsi="宋体" w:cs="宋体"/>
          <w:color w:val="auto"/>
          <w:kern w:val="0"/>
          <w:szCs w:val="21"/>
          <w:lang w:bidi="ar"/>
        </w:rPr>
      </w:pPr>
      <w:r>
        <w:rPr>
          <w:rFonts w:hint="eastAsia" w:ascii="宋体" w:hAnsi="宋体" w:cs="宋体"/>
          <w:color w:val="auto"/>
          <w:kern w:val="0"/>
          <w:szCs w:val="21"/>
          <w:lang w:bidi="ar"/>
        </w:rPr>
        <w:t>日期:  年  月  日</w:t>
      </w:r>
    </w:p>
    <w:p w14:paraId="25CDE3E9">
      <w:pPr>
        <w:widowControl/>
        <w:spacing w:line="360" w:lineRule="auto"/>
        <w:ind w:firstLine="420" w:firstLineChars="200"/>
        <w:rPr>
          <w:rFonts w:hint="eastAsia" w:ascii="宋体" w:hAnsi="宋体" w:cs="宋体"/>
          <w:color w:val="auto"/>
          <w:kern w:val="0"/>
          <w:szCs w:val="21"/>
          <w:lang w:bidi="ar"/>
        </w:rPr>
      </w:pPr>
    </w:p>
    <w:p w14:paraId="66AD2D52">
      <w:pPr>
        <w:widowControl/>
        <w:spacing w:line="360" w:lineRule="auto"/>
        <w:ind w:firstLine="420" w:firstLineChars="200"/>
        <w:rPr>
          <w:rFonts w:hint="eastAsia" w:ascii="宋体" w:hAnsi="宋体" w:cs="宋体"/>
          <w:color w:val="auto"/>
          <w:kern w:val="0"/>
          <w:szCs w:val="21"/>
          <w:lang w:bidi="ar"/>
        </w:rPr>
      </w:pPr>
    </w:p>
    <w:p w14:paraId="1CB08E2A">
      <w:pPr>
        <w:widowControl/>
        <w:spacing w:line="360" w:lineRule="auto"/>
        <w:ind w:firstLine="420" w:firstLineChars="200"/>
        <w:rPr>
          <w:rFonts w:hint="eastAsia" w:ascii="宋体" w:hAnsi="宋体" w:cs="宋体"/>
          <w:color w:val="auto"/>
          <w:kern w:val="0"/>
          <w:szCs w:val="21"/>
          <w:lang w:bidi="ar"/>
        </w:rPr>
      </w:pPr>
    </w:p>
    <w:p w14:paraId="3C4A9FE6">
      <w:pPr>
        <w:widowControl/>
        <w:spacing w:line="360" w:lineRule="auto"/>
        <w:ind w:firstLine="420" w:firstLineChars="200"/>
        <w:rPr>
          <w:rFonts w:hint="eastAsia" w:ascii="宋体" w:hAnsi="宋体" w:cs="宋体"/>
          <w:color w:val="auto"/>
          <w:kern w:val="0"/>
          <w:szCs w:val="21"/>
          <w:lang w:bidi="ar"/>
        </w:rPr>
      </w:pPr>
    </w:p>
    <w:p w14:paraId="15E50EB4">
      <w:pPr>
        <w:widowControl/>
        <w:spacing w:line="360" w:lineRule="auto"/>
        <w:ind w:firstLine="420" w:firstLineChars="200"/>
        <w:rPr>
          <w:rFonts w:hint="eastAsia" w:ascii="宋体" w:hAnsi="宋体" w:cs="宋体"/>
          <w:color w:val="auto"/>
          <w:kern w:val="0"/>
          <w:szCs w:val="21"/>
          <w:lang w:bidi="ar"/>
        </w:rPr>
      </w:pPr>
    </w:p>
    <w:p w14:paraId="0F71C232">
      <w:pPr>
        <w:widowControl/>
        <w:spacing w:line="360" w:lineRule="auto"/>
        <w:ind w:firstLine="420" w:firstLineChars="200"/>
        <w:rPr>
          <w:rFonts w:hint="eastAsia" w:ascii="宋体" w:hAnsi="宋体" w:cs="宋体"/>
          <w:color w:val="auto"/>
          <w:kern w:val="0"/>
          <w:szCs w:val="21"/>
          <w:lang w:bidi="ar"/>
        </w:rPr>
      </w:pPr>
    </w:p>
    <w:p w14:paraId="1A33B17D">
      <w:pPr>
        <w:widowControl/>
        <w:spacing w:line="360" w:lineRule="auto"/>
        <w:ind w:firstLine="420" w:firstLineChars="200"/>
        <w:rPr>
          <w:rFonts w:hint="eastAsia" w:ascii="宋体" w:hAnsi="宋体" w:cs="宋体"/>
          <w:color w:val="auto"/>
          <w:kern w:val="0"/>
          <w:szCs w:val="21"/>
          <w:lang w:bidi="ar"/>
        </w:rPr>
      </w:pPr>
    </w:p>
    <w:p w14:paraId="4C2CBA2A">
      <w:pPr>
        <w:widowControl/>
        <w:spacing w:line="360" w:lineRule="auto"/>
        <w:ind w:firstLine="420" w:firstLineChars="200"/>
        <w:rPr>
          <w:rFonts w:hint="eastAsia" w:ascii="宋体" w:hAnsi="宋体" w:cs="宋体"/>
          <w:color w:val="auto"/>
          <w:kern w:val="0"/>
          <w:szCs w:val="21"/>
          <w:lang w:bidi="ar"/>
        </w:rPr>
      </w:pPr>
    </w:p>
    <w:p w14:paraId="6AEEA81C">
      <w:pPr>
        <w:widowControl/>
        <w:spacing w:line="360" w:lineRule="auto"/>
        <w:ind w:firstLine="420" w:firstLineChars="200"/>
        <w:rPr>
          <w:rFonts w:hint="eastAsia" w:ascii="宋体" w:hAnsi="宋体" w:cs="宋体"/>
          <w:color w:val="auto"/>
          <w:kern w:val="0"/>
          <w:szCs w:val="21"/>
          <w:lang w:bidi="ar"/>
        </w:rPr>
      </w:pPr>
    </w:p>
    <w:p w14:paraId="60B4259E">
      <w:pPr>
        <w:widowControl/>
        <w:spacing w:line="360" w:lineRule="auto"/>
        <w:ind w:firstLine="420" w:firstLineChars="200"/>
        <w:rPr>
          <w:rFonts w:hint="eastAsia" w:ascii="宋体" w:hAnsi="宋体" w:cs="宋体"/>
          <w:color w:val="auto"/>
          <w:kern w:val="0"/>
          <w:szCs w:val="21"/>
          <w:lang w:bidi="ar"/>
        </w:rPr>
      </w:pPr>
    </w:p>
    <w:p w14:paraId="448837B5">
      <w:pPr>
        <w:widowControl/>
        <w:spacing w:line="360" w:lineRule="auto"/>
        <w:rPr>
          <w:rFonts w:hint="eastAsia" w:ascii="宋体" w:hAnsi="宋体" w:cs="宋体"/>
          <w:color w:val="auto"/>
          <w:kern w:val="0"/>
          <w:szCs w:val="21"/>
          <w:lang w:bidi="ar"/>
        </w:rPr>
        <w:sectPr>
          <w:footerReference r:id="rId12" w:type="default"/>
          <w:pgSz w:w="11906" w:h="16838"/>
          <w:pgMar w:top="1157" w:right="1293" w:bottom="1553" w:left="1576" w:header="851" w:footer="992" w:gutter="0"/>
          <w:cols w:space="0" w:num="1"/>
          <w:docGrid w:type="lines" w:linePitch="332" w:charSpace="0"/>
        </w:sectPr>
      </w:pPr>
      <w:r>
        <w:rPr>
          <w:rFonts w:hint="eastAsia" w:ascii="宋体" w:hAnsi="宋体" w:cs="宋体"/>
          <w:b/>
          <w:bCs/>
          <w:color w:val="auto"/>
          <w:kern w:val="0"/>
          <w:szCs w:val="21"/>
          <w:lang w:bidi="ar"/>
        </w:rPr>
        <w:t>注：</w:t>
      </w:r>
      <w:r>
        <w:rPr>
          <w:rFonts w:hint="eastAsia" w:ascii="宋体" w:hAnsi="宋体" w:cs="宋体"/>
          <w:color w:val="auto"/>
          <w:kern w:val="0"/>
          <w:szCs w:val="21"/>
          <w:lang w:bidi="ar"/>
        </w:rPr>
        <w:t>若供应商所投产品均符合本国产品标准，且已提供《声明函》，可不填写《承诺函》。</w:t>
      </w:r>
    </w:p>
    <w:p w14:paraId="02760FF6">
      <w:pPr>
        <w:rPr>
          <w:rFonts w:hint="eastAsia" w:ascii="Calibri" w:hAnsi="Calibri" w:eastAsia="宋体" w:cs="Times New Roman"/>
          <w:color w:val="auto"/>
          <w:lang w:val="en-US" w:eastAsia="zh-CN"/>
        </w:rPr>
      </w:pPr>
      <w:r>
        <w:rPr>
          <w:rFonts w:hint="eastAsia" w:ascii="Calibri" w:hAnsi="Calibri" w:eastAsia="宋体" w:cs="Times New Roman"/>
          <w:b/>
          <w:color w:val="auto"/>
          <w:sz w:val="28"/>
          <w:lang w:val="en-US" w:eastAsia="zh-Hans"/>
        </w:rPr>
        <w:t>附件</w:t>
      </w:r>
      <w:r>
        <w:rPr>
          <w:rFonts w:hint="eastAsia" w:cs="Times New Roman"/>
          <w:b/>
          <w:color w:val="auto"/>
          <w:sz w:val="28"/>
          <w:lang w:val="en-US" w:eastAsia="zh-CN"/>
        </w:rPr>
        <w:t>3</w:t>
      </w:r>
    </w:p>
    <w:p w14:paraId="6C0B35EE">
      <w:pPr>
        <w:spacing w:before="120" w:after="240"/>
        <w:jc w:val="center"/>
        <w:outlineLvl w:val="3"/>
        <w:rPr>
          <w:rFonts w:hint="eastAsia" w:ascii="Calibri" w:hAnsi="Calibri" w:eastAsia="宋体" w:cs="Times New Roman"/>
          <w:color w:val="auto"/>
          <w:lang w:val="en-US" w:eastAsia="zh-Hans"/>
        </w:rPr>
      </w:pPr>
      <w:bookmarkStart w:id="536" w:name="_Toc26264"/>
      <w:bookmarkStart w:id="537" w:name="_Toc4252"/>
      <w:r>
        <w:rPr>
          <w:rFonts w:hint="eastAsia" w:ascii="Calibri" w:hAnsi="Calibri" w:eastAsia="宋体" w:cs="Times New Roman"/>
          <w:b/>
          <w:color w:val="auto"/>
          <w:sz w:val="24"/>
          <w:lang w:val="en-US" w:eastAsia="zh-Hans"/>
        </w:rPr>
        <w:t>中国境内生产的组件成本核算基本规则</w:t>
      </w:r>
      <w:bookmarkEnd w:id="536"/>
      <w:bookmarkEnd w:id="537"/>
    </w:p>
    <w:p w14:paraId="650A809F">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Calibri" w:hAnsi="Calibri" w:eastAsia="宋体" w:cs="Times New Roman"/>
          <w:color w:val="auto"/>
          <w:lang w:val="en-US" w:eastAsia="zh-Hans"/>
        </w:rPr>
      </w:pPr>
      <w:r>
        <w:rPr>
          <w:rFonts w:hint="eastAsia" w:ascii="Calibri" w:hAnsi="Calibri" w:eastAsia="宋体" w:cs="Times New Roman"/>
          <w:color w:val="auto"/>
          <w:lang w:val="en-US" w:eastAsia="zh-Hans"/>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09C02A7E">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Calibri" w:hAnsi="Calibri" w:eastAsia="宋体" w:cs="Times New Roman"/>
          <w:color w:val="auto"/>
          <w:lang w:val="en-US" w:eastAsia="zh-Hans"/>
        </w:rPr>
      </w:pPr>
      <w:r>
        <w:rPr>
          <w:rFonts w:hint="eastAsia" w:ascii="Calibri" w:hAnsi="Calibri" w:eastAsia="宋体" w:cs="Times New Roman"/>
          <w:color w:val="auto"/>
          <w:lang w:val="en-US" w:eastAsia="zh-Hans"/>
        </w:rPr>
        <w:t>1. 产品的一级组件是指直接组成产品的组件。产品的二级组件是指直接组成产品一级组件的组件。一级组件不可分解的，视同二级组件。</w:t>
      </w:r>
    </w:p>
    <w:p w14:paraId="578AEEC6">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Calibri" w:hAnsi="Calibri" w:eastAsia="宋体" w:cs="Times New Roman"/>
          <w:color w:val="auto"/>
          <w:lang w:val="en-US" w:eastAsia="zh-Hans"/>
        </w:rPr>
      </w:pPr>
      <w:r>
        <w:rPr>
          <w:rFonts w:hint="eastAsia" w:ascii="Calibri" w:hAnsi="Calibri" w:eastAsia="宋体" w:cs="Times New Roman"/>
          <w:color w:val="auto"/>
          <w:lang w:val="en-US" w:eastAsia="zh-Hans"/>
        </w:rPr>
        <w:t>2. 二级组件在中国境内生产的，其全部成本计入中国境内生产的组件成本；二级组件不在中国境内生产的，其成本不计入中国境内生产的组件成本。</w:t>
      </w:r>
    </w:p>
    <w:p w14:paraId="151C6D3F">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Calibri" w:hAnsi="Calibri" w:eastAsia="宋体" w:cs="Times New Roman"/>
          <w:color w:val="auto"/>
          <w:lang w:val="en-US" w:eastAsia="zh-Hans"/>
        </w:rPr>
      </w:pPr>
      <w:r>
        <w:rPr>
          <w:rFonts w:hint="eastAsia" w:ascii="Calibri" w:hAnsi="Calibri" w:eastAsia="宋体" w:cs="Times New Roman"/>
          <w:color w:val="auto"/>
          <w:lang w:val="en-US" w:eastAsia="zh-Hans"/>
        </w:rPr>
        <w:t>3. 产品总成本和组件成本以相关会计核算数据、采购合同、进货记录等为基础进行计算。</w:t>
      </w:r>
    </w:p>
    <w:p w14:paraId="5624EC9C">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Calibri" w:hAnsi="Calibri" w:eastAsia="宋体" w:cs="Times New Roman"/>
          <w:color w:val="auto"/>
          <w:lang w:val="en-US" w:eastAsia="zh-Hans"/>
        </w:rPr>
      </w:pPr>
      <w:r>
        <w:rPr>
          <w:rFonts w:hint="eastAsia" w:ascii="Calibri" w:hAnsi="Calibri" w:eastAsia="宋体" w:cs="Times New Roman"/>
          <w:color w:val="auto"/>
          <w:lang w:val="en-US" w:eastAsia="zh-Hans"/>
        </w:rPr>
        <w:t>4. 需要对成本核算规则予以进一步明确的其他有关事项，由财政部会同有关部门另行规定。</w:t>
      </w:r>
    </w:p>
    <w:p w14:paraId="089D8A73">
      <w:pPr>
        <w:rPr>
          <w:rFonts w:hint="eastAsia" w:ascii="Calibri" w:hAnsi="Calibri" w:eastAsia="宋体" w:cs="Times New Roman"/>
          <w:b/>
          <w:color w:val="auto"/>
          <w:sz w:val="28"/>
          <w:lang w:val="en-US" w:eastAsia="zh-Hans"/>
        </w:rPr>
      </w:pPr>
    </w:p>
    <w:p w14:paraId="0041C4DC">
      <w:pPr>
        <w:rPr>
          <w:rFonts w:hint="eastAsia" w:ascii="Calibri" w:hAnsi="Calibri" w:eastAsia="宋体" w:cs="Times New Roman"/>
          <w:b/>
          <w:color w:val="auto"/>
          <w:sz w:val="28"/>
          <w:lang w:val="en-US" w:eastAsia="zh-Hans"/>
        </w:rPr>
      </w:pPr>
    </w:p>
    <w:p w14:paraId="5148A78E">
      <w:pPr>
        <w:rPr>
          <w:rFonts w:hint="eastAsia" w:ascii="Calibri" w:hAnsi="Calibri" w:eastAsia="宋体" w:cs="Times New Roman"/>
          <w:color w:val="auto"/>
          <w:lang w:val="en-US" w:eastAsia="zh-CN"/>
        </w:rPr>
      </w:pPr>
      <w:r>
        <w:rPr>
          <w:rFonts w:hint="eastAsia" w:ascii="Calibri" w:hAnsi="Calibri" w:eastAsia="宋体" w:cs="Times New Roman"/>
          <w:b/>
          <w:color w:val="auto"/>
          <w:sz w:val="28"/>
          <w:lang w:val="en-US" w:eastAsia="zh-Hans"/>
        </w:rPr>
        <w:t>附件</w:t>
      </w:r>
      <w:r>
        <w:rPr>
          <w:rFonts w:hint="eastAsia" w:cs="Times New Roman"/>
          <w:b/>
          <w:color w:val="auto"/>
          <w:sz w:val="28"/>
          <w:lang w:val="en-US" w:eastAsia="zh-CN"/>
        </w:rPr>
        <w:t>4</w:t>
      </w:r>
    </w:p>
    <w:p w14:paraId="006CC700">
      <w:pPr>
        <w:spacing w:before="120" w:after="240"/>
        <w:jc w:val="center"/>
        <w:outlineLvl w:val="3"/>
        <w:rPr>
          <w:rFonts w:hint="eastAsia" w:ascii="Calibri" w:hAnsi="Calibri" w:eastAsia="宋体" w:cs="Times New Roman"/>
          <w:color w:val="auto"/>
          <w:lang w:val="en-US" w:eastAsia="zh-Hans"/>
        </w:rPr>
      </w:pPr>
      <w:bookmarkStart w:id="538" w:name="_Toc27856"/>
      <w:bookmarkStart w:id="539" w:name="_Toc25890"/>
      <w:r>
        <w:rPr>
          <w:rFonts w:hint="eastAsia" w:ascii="Calibri" w:hAnsi="Calibri" w:eastAsia="宋体" w:cs="Times New Roman"/>
          <w:b/>
          <w:color w:val="auto"/>
          <w:sz w:val="24"/>
          <w:lang w:val="en-US" w:eastAsia="zh-Hans"/>
        </w:rPr>
        <w:t>本国产品标准有关证明材料（如适用）</w:t>
      </w:r>
      <w:bookmarkEnd w:id="538"/>
      <w:bookmarkEnd w:id="539"/>
    </w:p>
    <w:p w14:paraId="29B31627">
      <w:pPr>
        <w:spacing w:before="120" w:after="120"/>
        <w:ind w:firstLine="960"/>
        <w:rPr>
          <w:rFonts w:hint="eastAsia" w:ascii="Calibri" w:hAnsi="Calibri" w:eastAsia="宋体" w:cs="Times New Roman"/>
          <w:color w:val="auto"/>
          <w:lang w:val="en-US" w:eastAsia="zh-Hans"/>
        </w:rPr>
      </w:pPr>
      <w:r>
        <w:rPr>
          <w:rFonts w:hint="eastAsia" w:cs="Times New Roman"/>
          <w:color w:val="auto"/>
          <w:lang w:val="en-US" w:eastAsia="zh-CN"/>
        </w:rPr>
        <w:t>1</w:t>
      </w:r>
      <w:r>
        <w:rPr>
          <w:rFonts w:hint="eastAsia" w:ascii="Calibri" w:hAnsi="Calibri" w:cs="Times New Roman"/>
          <w:color w:val="auto"/>
          <w:lang w:val="en-US" w:eastAsia="zh-CN"/>
        </w:rPr>
        <w:t xml:space="preserve">. </w:t>
      </w:r>
      <w:r>
        <w:rPr>
          <w:rFonts w:hint="eastAsia" w:ascii="Calibri" w:hAnsi="Calibri" w:eastAsia="宋体" w:cs="Times New Roman"/>
          <w:color w:val="auto"/>
          <w:lang w:val="en-US" w:eastAsia="zh-Hans"/>
        </w:rPr>
        <w:t>供应商认为需提供的其他资料。</w:t>
      </w:r>
    </w:p>
    <w:p w14:paraId="0651226A">
      <w:pPr>
        <w:spacing w:before="120" w:after="120"/>
        <w:ind w:firstLine="960"/>
        <w:rPr>
          <w:rFonts w:hint="eastAsia" w:ascii="Calibri" w:hAnsi="Calibri" w:eastAsia="宋体" w:cs="Times New Roman"/>
          <w:color w:val="auto"/>
          <w:lang w:val="en-US" w:eastAsia="zh-Hans"/>
        </w:rPr>
      </w:pPr>
      <w:r>
        <w:rPr>
          <w:rFonts w:hint="eastAsia" w:cs="Times New Roman"/>
          <w:color w:val="auto"/>
          <w:lang w:val="en-US" w:eastAsia="zh-CN"/>
        </w:rPr>
        <w:t>2</w:t>
      </w:r>
      <w:r>
        <w:rPr>
          <w:rFonts w:hint="eastAsia" w:ascii="Calibri" w:hAnsi="Calibri" w:eastAsia="宋体" w:cs="Times New Roman"/>
          <w:color w:val="auto"/>
          <w:lang w:val="en-US" w:eastAsia="zh-Hans"/>
        </w:rPr>
        <w:t>. 财政部会同有关部门规定的有关证明文件。</w:t>
      </w:r>
    </w:p>
    <w:p w14:paraId="737FE0A8">
      <w:pPr>
        <w:rPr>
          <w:color w:val="auto"/>
        </w:rPr>
      </w:pPr>
      <w:r>
        <w:rPr>
          <w:color w:val="auto"/>
        </w:rPr>
        <w:br w:type="page"/>
      </w:r>
    </w:p>
    <w:p w14:paraId="36977AA5">
      <w:pPr>
        <w:spacing w:before="60" w:after="60" w:line="480" w:lineRule="auto"/>
        <w:rPr>
          <w:rFonts w:hint="eastAsia" w:ascii="宋体" w:hAnsi="宋体"/>
          <w:color w:val="auto"/>
          <w:szCs w:val="21"/>
        </w:rPr>
      </w:pPr>
    </w:p>
    <w:p w14:paraId="50E19893">
      <w:pPr>
        <w:spacing w:line="360" w:lineRule="auto"/>
        <w:jc w:val="center"/>
        <w:rPr>
          <w:rFonts w:hint="eastAsia" w:ascii="宋体" w:hAnsi="宋体"/>
          <w:b/>
          <w:bCs/>
          <w:color w:val="auto"/>
          <w:sz w:val="30"/>
        </w:rPr>
      </w:pPr>
    </w:p>
    <w:p w14:paraId="79A71784">
      <w:pPr>
        <w:spacing w:line="360" w:lineRule="auto"/>
        <w:jc w:val="center"/>
        <w:rPr>
          <w:rFonts w:hint="eastAsia" w:ascii="宋体" w:hAnsi="宋体"/>
          <w:b/>
          <w:bCs/>
          <w:color w:val="auto"/>
          <w:sz w:val="30"/>
        </w:rPr>
      </w:pPr>
    </w:p>
    <w:p w14:paraId="1A3E142C">
      <w:pPr>
        <w:spacing w:line="360" w:lineRule="auto"/>
        <w:jc w:val="center"/>
        <w:rPr>
          <w:rFonts w:hint="eastAsia" w:ascii="宋体" w:hAnsi="宋体"/>
          <w:b/>
          <w:bCs/>
          <w:color w:val="auto"/>
          <w:sz w:val="30"/>
        </w:rPr>
      </w:pPr>
    </w:p>
    <w:p w14:paraId="5A98A124">
      <w:pPr>
        <w:spacing w:line="360" w:lineRule="auto"/>
        <w:jc w:val="center"/>
        <w:rPr>
          <w:rFonts w:hint="eastAsia" w:ascii="宋体" w:hAnsi="宋体"/>
          <w:b/>
          <w:bCs/>
          <w:color w:val="auto"/>
          <w:sz w:val="30"/>
        </w:rPr>
      </w:pPr>
    </w:p>
    <w:p w14:paraId="2C6AD505">
      <w:pPr>
        <w:spacing w:line="360" w:lineRule="auto"/>
        <w:jc w:val="center"/>
        <w:rPr>
          <w:rFonts w:hint="eastAsia" w:ascii="宋体" w:hAnsi="宋体"/>
          <w:b/>
          <w:bCs/>
          <w:color w:val="auto"/>
          <w:sz w:val="30"/>
        </w:rPr>
      </w:pPr>
    </w:p>
    <w:p w14:paraId="197AECB9">
      <w:pPr>
        <w:spacing w:line="360" w:lineRule="auto"/>
        <w:jc w:val="center"/>
        <w:rPr>
          <w:rFonts w:hint="eastAsia" w:ascii="宋体" w:hAnsi="宋体"/>
          <w:b/>
          <w:bCs/>
          <w:color w:val="auto"/>
          <w:sz w:val="30"/>
        </w:rPr>
      </w:pPr>
    </w:p>
    <w:p w14:paraId="1BD828C3">
      <w:pPr>
        <w:spacing w:line="360" w:lineRule="auto"/>
        <w:jc w:val="center"/>
        <w:rPr>
          <w:rFonts w:hint="eastAsia" w:ascii="宋体" w:hAnsi="宋体"/>
          <w:b/>
          <w:bCs/>
          <w:color w:val="auto"/>
          <w:sz w:val="30"/>
        </w:rPr>
      </w:pPr>
    </w:p>
    <w:p w14:paraId="4EA0731E">
      <w:pPr>
        <w:spacing w:line="360" w:lineRule="auto"/>
        <w:jc w:val="center"/>
        <w:rPr>
          <w:rFonts w:hint="eastAsia" w:ascii="宋体" w:hAnsi="宋体"/>
          <w:b/>
          <w:bCs/>
          <w:color w:val="auto"/>
          <w:sz w:val="30"/>
        </w:rPr>
      </w:pPr>
    </w:p>
    <w:p w14:paraId="30D8B749">
      <w:pPr>
        <w:pStyle w:val="40"/>
        <w:rPr>
          <w:rFonts w:hint="eastAsia" w:ascii="黑体" w:hAnsi="黑体" w:eastAsia="黑体"/>
          <w:color w:val="auto"/>
          <w:sz w:val="44"/>
          <w:szCs w:val="44"/>
        </w:rPr>
        <w:sectPr>
          <w:pgSz w:w="11906" w:h="16838"/>
          <w:pgMar w:top="1418" w:right="1274" w:bottom="1560" w:left="1560" w:header="907" w:footer="901" w:gutter="0"/>
          <w:pgNumType w:fmt="decimal"/>
          <w:cols w:space="720" w:num="1"/>
          <w:docGrid w:linePitch="312" w:charSpace="0"/>
        </w:sectPr>
      </w:pPr>
      <w:bookmarkStart w:id="540" w:name="_Toc15891"/>
      <w:bookmarkStart w:id="541" w:name="_Toc31916"/>
      <w:r>
        <w:rPr>
          <w:rFonts w:hint="eastAsia" w:ascii="黑体" w:hAnsi="黑体" w:eastAsia="黑体"/>
          <w:color w:val="auto"/>
          <w:sz w:val="44"/>
          <w:szCs w:val="44"/>
          <w:lang w:val="en-US" w:eastAsia="zh-CN"/>
        </w:rPr>
        <w:t>四、</w:t>
      </w:r>
      <w:r>
        <w:rPr>
          <w:rFonts w:ascii="黑体" w:hAnsi="黑体" w:eastAsia="黑体"/>
          <w:color w:val="auto"/>
          <w:sz w:val="44"/>
          <w:szCs w:val="44"/>
        </w:rPr>
        <w:t>技术部分</w:t>
      </w:r>
      <w:bookmarkEnd w:id="540"/>
      <w:bookmarkEnd w:id="541"/>
    </w:p>
    <w:p w14:paraId="64F1A3E4">
      <w:pPr>
        <w:pStyle w:val="3"/>
        <w:tabs>
          <w:tab w:val="left" w:pos="596"/>
        </w:tabs>
        <w:jc w:val="center"/>
        <w:rPr>
          <w:rFonts w:hint="eastAsia" w:ascii="宋体" w:hAnsi="宋体" w:cs="Times New Roman"/>
          <w:color w:val="auto"/>
          <w:lang w:val="en-US" w:eastAsia="zh-CN"/>
        </w:rPr>
      </w:pPr>
      <w:bookmarkStart w:id="542" w:name="_Toc1298"/>
      <w:bookmarkStart w:id="543" w:name="_Toc309"/>
      <w:bookmarkStart w:id="544" w:name="_Toc7634"/>
      <w:bookmarkStart w:id="545" w:name="_Toc28741"/>
      <w:bookmarkStart w:id="546" w:name="_Toc509593411"/>
      <w:bookmarkStart w:id="547" w:name="_Toc457090335"/>
      <w:bookmarkStart w:id="548" w:name="_Toc9806"/>
      <w:bookmarkStart w:id="549" w:name="_Toc33098692"/>
      <w:bookmarkStart w:id="550" w:name="_Toc12543"/>
      <w:bookmarkStart w:id="551" w:name="_Toc10117051"/>
      <w:bookmarkStart w:id="552" w:name="_Toc3839"/>
      <w:bookmarkStart w:id="553" w:name="_Toc450064599"/>
      <w:bookmarkStart w:id="554" w:name="_Toc389644550"/>
      <w:r>
        <w:rPr>
          <w:rFonts w:hint="eastAsia" w:ascii="宋体" w:hAnsi="宋体" w:cs="Times New Roman"/>
          <w:color w:val="auto"/>
          <w:lang w:val="en-US" w:eastAsia="zh-CN"/>
        </w:rPr>
        <w:t>（一）技术条款偏离表</w:t>
      </w:r>
      <w:bookmarkEnd w:id="542"/>
      <w:bookmarkEnd w:id="543"/>
      <w:bookmarkEnd w:id="544"/>
      <w:bookmarkEnd w:id="545"/>
      <w:bookmarkEnd w:id="546"/>
      <w:bookmarkEnd w:id="547"/>
      <w:bookmarkEnd w:id="548"/>
      <w:bookmarkEnd w:id="549"/>
      <w:bookmarkEnd w:id="550"/>
      <w:bookmarkEnd w:id="551"/>
    </w:p>
    <w:tbl>
      <w:tblPr>
        <w:tblStyle w:val="44"/>
        <w:tblW w:w="14601" w:type="dxa"/>
        <w:tblInd w:w="2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3261"/>
        <w:gridCol w:w="3904"/>
        <w:gridCol w:w="3750"/>
        <w:gridCol w:w="1701"/>
        <w:gridCol w:w="1985"/>
      </w:tblGrid>
      <w:tr w14:paraId="41915C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 w:hRule="atLeast"/>
        </w:trPr>
        <w:tc>
          <w:tcPr>
            <w:tcW w:w="3261" w:type="dxa"/>
            <w:shd w:val="clear" w:color="auto" w:fill="E7E6E6"/>
            <w:vAlign w:val="center"/>
          </w:tcPr>
          <w:p w14:paraId="28F6BD4A">
            <w:pPr>
              <w:spacing w:line="400" w:lineRule="atLeast"/>
              <w:jc w:val="center"/>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产品</w:t>
            </w:r>
            <w:r>
              <w:rPr>
                <w:rFonts w:hint="eastAsia" w:ascii="宋体" w:hAnsi="宋体"/>
                <w:color w:val="auto"/>
                <w:sz w:val="21"/>
                <w:szCs w:val="21"/>
                <w:highlight w:val="none"/>
                <w:lang w:eastAsia="zh-CN"/>
              </w:rPr>
              <w:t>名称、规格型号、品牌</w:t>
            </w:r>
          </w:p>
        </w:tc>
        <w:tc>
          <w:tcPr>
            <w:tcW w:w="3904" w:type="dxa"/>
            <w:shd w:val="clear" w:color="auto" w:fill="E7E6E6"/>
            <w:vAlign w:val="center"/>
          </w:tcPr>
          <w:p w14:paraId="1F5896D0">
            <w:pPr>
              <w:spacing w:line="400" w:lineRule="atLeast"/>
              <w:jc w:val="center"/>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谈判</w:t>
            </w:r>
            <w:r>
              <w:rPr>
                <w:rFonts w:hint="eastAsia" w:ascii="宋体" w:hAnsi="宋体"/>
                <w:color w:val="auto"/>
                <w:sz w:val="21"/>
                <w:szCs w:val="21"/>
                <w:highlight w:val="none"/>
                <w:lang w:eastAsia="zh-CN"/>
              </w:rPr>
              <w:t>文件技术规范、要求</w:t>
            </w:r>
          </w:p>
        </w:tc>
        <w:tc>
          <w:tcPr>
            <w:tcW w:w="3750" w:type="dxa"/>
            <w:shd w:val="clear" w:color="auto" w:fill="E7E6E6"/>
            <w:vAlign w:val="center"/>
          </w:tcPr>
          <w:p w14:paraId="597948E1">
            <w:pPr>
              <w:spacing w:line="400" w:lineRule="atLeast"/>
              <w:jc w:val="center"/>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投标技术规范要求</w:t>
            </w:r>
          </w:p>
        </w:tc>
        <w:tc>
          <w:tcPr>
            <w:tcW w:w="1701" w:type="dxa"/>
            <w:shd w:val="clear" w:color="auto" w:fill="E7E6E6"/>
            <w:vAlign w:val="center"/>
          </w:tcPr>
          <w:p w14:paraId="1B06E7CA">
            <w:pPr>
              <w:spacing w:line="400" w:lineRule="atLeast"/>
              <w:jc w:val="center"/>
              <w:rPr>
                <w:rFonts w:hint="eastAsia" w:ascii="宋体" w:hAnsi="宋体"/>
                <w:color w:val="auto"/>
                <w:sz w:val="21"/>
                <w:szCs w:val="21"/>
                <w:highlight w:val="none"/>
              </w:rPr>
            </w:pPr>
            <w:r>
              <w:rPr>
                <w:rFonts w:hint="eastAsia" w:ascii="宋体" w:hAnsi="宋体"/>
                <w:color w:val="auto"/>
                <w:sz w:val="21"/>
                <w:szCs w:val="21"/>
                <w:highlight w:val="none"/>
                <w:lang w:eastAsia="zh-CN"/>
              </w:rPr>
              <w:t>偏离</w:t>
            </w:r>
          </w:p>
        </w:tc>
        <w:tc>
          <w:tcPr>
            <w:tcW w:w="1985" w:type="dxa"/>
            <w:shd w:val="clear" w:color="auto" w:fill="E7E6E6"/>
            <w:vAlign w:val="center"/>
          </w:tcPr>
          <w:p w14:paraId="21E716D1">
            <w:pPr>
              <w:spacing w:line="400" w:lineRule="atLeast"/>
              <w:jc w:val="center"/>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技术支持资料索引</w:t>
            </w:r>
          </w:p>
          <w:p w14:paraId="7D6CEC0C">
            <w:pPr>
              <w:spacing w:line="400" w:lineRule="atLeast"/>
              <w:jc w:val="center"/>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页码/条款号</w:t>
            </w:r>
          </w:p>
        </w:tc>
      </w:tr>
      <w:tr w14:paraId="7CCF14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81" w:hRule="atLeast"/>
        </w:trPr>
        <w:tc>
          <w:tcPr>
            <w:tcW w:w="3261" w:type="dxa"/>
            <w:vAlign w:val="center"/>
          </w:tcPr>
          <w:p w14:paraId="149B9C60">
            <w:pPr>
              <w:spacing w:line="400" w:lineRule="atLeast"/>
              <w:rPr>
                <w:rFonts w:hint="eastAsia" w:ascii="宋体" w:hAnsi="宋体"/>
                <w:color w:val="auto"/>
                <w:sz w:val="21"/>
                <w:szCs w:val="21"/>
                <w:highlight w:val="none"/>
                <w:lang w:eastAsia="zh-CN"/>
              </w:rPr>
            </w:pPr>
          </w:p>
        </w:tc>
        <w:tc>
          <w:tcPr>
            <w:tcW w:w="3904" w:type="dxa"/>
          </w:tcPr>
          <w:p w14:paraId="38611227">
            <w:pPr>
              <w:spacing w:line="400" w:lineRule="atLeast"/>
              <w:rPr>
                <w:rFonts w:hint="eastAsia" w:ascii="宋体" w:hAnsi="宋体"/>
                <w:color w:val="auto"/>
                <w:sz w:val="21"/>
                <w:szCs w:val="21"/>
                <w:highlight w:val="none"/>
                <w:lang w:eastAsia="zh-CN"/>
              </w:rPr>
            </w:pPr>
          </w:p>
        </w:tc>
        <w:tc>
          <w:tcPr>
            <w:tcW w:w="3750" w:type="dxa"/>
            <w:vAlign w:val="center"/>
          </w:tcPr>
          <w:p w14:paraId="37AB08C4">
            <w:pPr>
              <w:spacing w:line="400" w:lineRule="atLeast"/>
              <w:rPr>
                <w:rFonts w:hint="eastAsia" w:ascii="宋体" w:hAnsi="宋体"/>
                <w:color w:val="auto"/>
                <w:sz w:val="21"/>
                <w:szCs w:val="21"/>
                <w:highlight w:val="none"/>
                <w:lang w:eastAsia="zh-CN"/>
              </w:rPr>
            </w:pPr>
          </w:p>
        </w:tc>
        <w:tc>
          <w:tcPr>
            <w:tcW w:w="1701" w:type="dxa"/>
            <w:vAlign w:val="center"/>
          </w:tcPr>
          <w:p w14:paraId="5E67E3C5">
            <w:pPr>
              <w:spacing w:line="400" w:lineRule="atLeast"/>
              <w:rPr>
                <w:rFonts w:hint="eastAsia" w:ascii="宋体" w:hAnsi="宋体"/>
                <w:color w:val="auto"/>
                <w:sz w:val="21"/>
                <w:szCs w:val="21"/>
                <w:highlight w:val="none"/>
                <w:lang w:eastAsia="zh-CN"/>
              </w:rPr>
            </w:pPr>
          </w:p>
        </w:tc>
        <w:tc>
          <w:tcPr>
            <w:tcW w:w="1985" w:type="dxa"/>
            <w:vAlign w:val="center"/>
          </w:tcPr>
          <w:p w14:paraId="7802C483">
            <w:pPr>
              <w:spacing w:line="400" w:lineRule="atLeast"/>
              <w:rPr>
                <w:rFonts w:hint="eastAsia" w:ascii="宋体" w:hAnsi="宋体"/>
                <w:color w:val="auto"/>
                <w:sz w:val="21"/>
                <w:szCs w:val="21"/>
                <w:highlight w:val="none"/>
                <w:lang w:eastAsia="zh-CN"/>
              </w:rPr>
            </w:pPr>
          </w:p>
        </w:tc>
      </w:tr>
      <w:tr w14:paraId="4D0DF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48" w:hRule="atLeast"/>
        </w:trPr>
        <w:tc>
          <w:tcPr>
            <w:tcW w:w="3261" w:type="dxa"/>
            <w:vAlign w:val="center"/>
          </w:tcPr>
          <w:p w14:paraId="67493850">
            <w:pPr>
              <w:spacing w:line="400" w:lineRule="atLeast"/>
              <w:rPr>
                <w:rFonts w:hint="eastAsia" w:ascii="宋体" w:hAnsi="宋体"/>
                <w:color w:val="auto"/>
                <w:sz w:val="21"/>
                <w:szCs w:val="21"/>
                <w:highlight w:val="none"/>
                <w:lang w:eastAsia="zh-CN"/>
              </w:rPr>
            </w:pPr>
          </w:p>
        </w:tc>
        <w:tc>
          <w:tcPr>
            <w:tcW w:w="3904" w:type="dxa"/>
          </w:tcPr>
          <w:p w14:paraId="4AD03A24">
            <w:pPr>
              <w:spacing w:line="400" w:lineRule="atLeast"/>
              <w:rPr>
                <w:rFonts w:hint="eastAsia" w:ascii="宋体" w:hAnsi="宋体"/>
                <w:color w:val="auto"/>
                <w:sz w:val="21"/>
                <w:szCs w:val="21"/>
                <w:highlight w:val="none"/>
                <w:lang w:eastAsia="zh-CN"/>
              </w:rPr>
            </w:pPr>
          </w:p>
        </w:tc>
        <w:tc>
          <w:tcPr>
            <w:tcW w:w="3750" w:type="dxa"/>
            <w:vAlign w:val="center"/>
          </w:tcPr>
          <w:p w14:paraId="0E25CD3D">
            <w:pPr>
              <w:spacing w:line="400" w:lineRule="atLeast"/>
              <w:rPr>
                <w:rFonts w:hint="eastAsia" w:ascii="宋体" w:hAnsi="宋体"/>
                <w:color w:val="auto"/>
                <w:sz w:val="21"/>
                <w:szCs w:val="21"/>
                <w:highlight w:val="none"/>
                <w:lang w:eastAsia="zh-CN"/>
              </w:rPr>
            </w:pPr>
          </w:p>
        </w:tc>
        <w:tc>
          <w:tcPr>
            <w:tcW w:w="1701" w:type="dxa"/>
            <w:vAlign w:val="center"/>
          </w:tcPr>
          <w:p w14:paraId="564BDD70">
            <w:pPr>
              <w:spacing w:line="400" w:lineRule="atLeast"/>
              <w:rPr>
                <w:rFonts w:hint="eastAsia" w:ascii="宋体" w:hAnsi="宋体"/>
                <w:color w:val="auto"/>
                <w:sz w:val="21"/>
                <w:szCs w:val="21"/>
                <w:highlight w:val="none"/>
                <w:lang w:eastAsia="zh-CN"/>
              </w:rPr>
            </w:pPr>
          </w:p>
        </w:tc>
        <w:tc>
          <w:tcPr>
            <w:tcW w:w="1985" w:type="dxa"/>
            <w:vAlign w:val="center"/>
          </w:tcPr>
          <w:p w14:paraId="50BFDA08">
            <w:pPr>
              <w:spacing w:line="400" w:lineRule="atLeast"/>
              <w:rPr>
                <w:rFonts w:hint="eastAsia" w:ascii="宋体" w:hAnsi="宋体"/>
                <w:color w:val="auto"/>
                <w:sz w:val="21"/>
                <w:szCs w:val="21"/>
                <w:highlight w:val="none"/>
                <w:lang w:eastAsia="zh-CN"/>
              </w:rPr>
            </w:pPr>
          </w:p>
        </w:tc>
      </w:tr>
      <w:tr w14:paraId="7AE387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42" w:hRule="atLeast"/>
        </w:trPr>
        <w:tc>
          <w:tcPr>
            <w:tcW w:w="3261" w:type="dxa"/>
            <w:vAlign w:val="center"/>
          </w:tcPr>
          <w:p w14:paraId="571B2714">
            <w:pPr>
              <w:spacing w:line="400" w:lineRule="atLeast"/>
              <w:rPr>
                <w:rFonts w:hint="eastAsia" w:ascii="宋体" w:hAnsi="宋体"/>
                <w:color w:val="auto"/>
                <w:sz w:val="21"/>
                <w:szCs w:val="21"/>
                <w:highlight w:val="none"/>
                <w:lang w:eastAsia="zh-CN"/>
              </w:rPr>
            </w:pPr>
          </w:p>
        </w:tc>
        <w:tc>
          <w:tcPr>
            <w:tcW w:w="3904" w:type="dxa"/>
          </w:tcPr>
          <w:p w14:paraId="69B474D5">
            <w:pPr>
              <w:spacing w:line="400" w:lineRule="atLeast"/>
              <w:rPr>
                <w:rFonts w:hint="eastAsia" w:ascii="宋体" w:hAnsi="宋体"/>
                <w:color w:val="auto"/>
                <w:sz w:val="21"/>
                <w:szCs w:val="21"/>
                <w:highlight w:val="none"/>
                <w:lang w:eastAsia="zh-CN"/>
              </w:rPr>
            </w:pPr>
          </w:p>
        </w:tc>
        <w:tc>
          <w:tcPr>
            <w:tcW w:w="3750" w:type="dxa"/>
            <w:vAlign w:val="center"/>
          </w:tcPr>
          <w:p w14:paraId="15F7AABF">
            <w:pPr>
              <w:spacing w:line="400" w:lineRule="atLeast"/>
              <w:rPr>
                <w:rFonts w:hint="eastAsia" w:ascii="宋体" w:hAnsi="宋体"/>
                <w:color w:val="auto"/>
                <w:sz w:val="21"/>
                <w:szCs w:val="21"/>
                <w:highlight w:val="none"/>
                <w:lang w:eastAsia="zh-CN"/>
              </w:rPr>
            </w:pPr>
          </w:p>
        </w:tc>
        <w:tc>
          <w:tcPr>
            <w:tcW w:w="1701" w:type="dxa"/>
            <w:vAlign w:val="center"/>
          </w:tcPr>
          <w:p w14:paraId="0251D9E3">
            <w:pPr>
              <w:spacing w:line="400" w:lineRule="atLeast"/>
              <w:rPr>
                <w:rFonts w:hint="eastAsia" w:ascii="宋体" w:hAnsi="宋体"/>
                <w:color w:val="auto"/>
                <w:sz w:val="21"/>
                <w:szCs w:val="21"/>
                <w:highlight w:val="none"/>
                <w:lang w:eastAsia="zh-CN"/>
              </w:rPr>
            </w:pPr>
          </w:p>
        </w:tc>
        <w:tc>
          <w:tcPr>
            <w:tcW w:w="1985" w:type="dxa"/>
            <w:vAlign w:val="center"/>
          </w:tcPr>
          <w:p w14:paraId="3FF9F62A">
            <w:pPr>
              <w:spacing w:line="400" w:lineRule="atLeast"/>
              <w:rPr>
                <w:rFonts w:hint="eastAsia" w:ascii="宋体" w:hAnsi="宋体"/>
                <w:color w:val="auto"/>
                <w:sz w:val="21"/>
                <w:szCs w:val="21"/>
                <w:highlight w:val="none"/>
                <w:lang w:eastAsia="zh-CN"/>
              </w:rPr>
            </w:pPr>
          </w:p>
        </w:tc>
      </w:tr>
      <w:tr w14:paraId="2A026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49" w:hRule="atLeast"/>
        </w:trPr>
        <w:tc>
          <w:tcPr>
            <w:tcW w:w="3261" w:type="dxa"/>
            <w:vAlign w:val="center"/>
          </w:tcPr>
          <w:p w14:paraId="582A5D76">
            <w:pPr>
              <w:spacing w:line="400" w:lineRule="atLeast"/>
              <w:rPr>
                <w:rFonts w:hint="eastAsia" w:ascii="宋体" w:hAnsi="宋体"/>
                <w:color w:val="auto"/>
                <w:sz w:val="21"/>
                <w:szCs w:val="21"/>
                <w:highlight w:val="none"/>
                <w:lang w:eastAsia="zh-CN"/>
              </w:rPr>
            </w:pPr>
          </w:p>
        </w:tc>
        <w:tc>
          <w:tcPr>
            <w:tcW w:w="3904" w:type="dxa"/>
          </w:tcPr>
          <w:p w14:paraId="1680DD3E">
            <w:pPr>
              <w:spacing w:line="400" w:lineRule="atLeast"/>
              <w:rPr>
                <w:rFonts w:hint="eastAsia" w:ascii="宋体" w:hAnsi="宋体"/>
                <w:color w:val="auto"/>
                <w:sz w:val="21"/>
                <w:szCs w:val="21"/>
                <w:highlight w:val="none"/>
                <w:lang w:eastAsia="zh-CN"/>
              </w:rPr>
            </w:pPr>
          </w:p>
        </w:tc>
        <w:tc>
          <w:tcPr>
            <w:tcW w:w="3750" w:type="dxa"/>
            <w:vAlign w:val="center"/>
          </w:tcPr>
          <w:p w14:paraId="7E40EDD9">
            <w:pPr>
              <w:spacing w:line="400" w:lineRule="atLeast"/>
              <w:rPr>
                <w:rFonts w:hint="eastAsia" w:ascii="宋体" w:hAnsi="宋体"/>
                <w:color w:val="auto"/>
                <w:sz w:val="21"/>
                <w:szCs w:val="21"/>
                <w:highlight w:val="none"/>
                <w:lang w:eastAsia="zh-CN"/>
              </w:rPr>
            </w:pPr>
          </w:p>
        </w:tc>
        <w:tc>
          <w:tcPr>
            <w:tcW w:w="1701" w:type="dxa"/>
            <w:vAlign w:val="center"/>
          </w:tcPr>
          <w:p w14:paraId="74AC3826">
            <w:pPr>
              <w:spacing w:line="400" w:lineRule="atLeast"/>
              <w:rPr>
                <w:rFonts w:hint="eastAsia" w:ascii="宋体" w:hAnsi="宋体"/>
                <w:color w:val="auto"/>
                <w:sz w:val="21"/>
                <w:szCs w:val="21"/>
                <w:highlight w:val="none"/>
                <w:lang w:eastAsia="zh-CN"/>
              </w:rPr>
            </w:pPr>
          </w:p>
        </w:tc>
        <w:tc>
          <w:tcPr>
            <w:tcW w:w="1985" w:type="dxa"/>
            <w:vAlign w:val="center"/>
          </w:tcPr>
          <w:p w14:paraId="1D3AB1BB">
            <w:pPr>
              <w:spacing w:line="400" w:lineRule="atLeast"/>
              <w:rPr>
                <w:rFonts w:hint="eastAsia" w:ascii="宋体" w:hAnsi="宋体"/>
                <w:color w:val="auto"/>
                <w:sz w:val="21"/>
                <w:szCs w:val="21"/>
                <w:highlight w:val="none"/>
                <w:lang w:eastAsia="zh-CN"/>
              </w:rPr>
            </w:pPr>
          </w:p>
        </w:tc>
      </w:tr>
      <w:bookmarkEnd w:id="552"/>
    </w:tbl>
    <w:p w14:paraId="3338C5B0">
      <w:pPr>
        <w:spacing w:line="280" w:lineRule="exact"/>
        <w:rPr>
          <w:rFonts w:hint="eastAsia" w:ascii="宋体" w:hAnsi="宋体"/>
          <w:color w:val="auto"/>
          <w:sz w:val="20"/>
          <w:szCs w:val="20"/>
          <w:highlight w:val="none"/>
          <w:lang w:eastAsia="zh-CN"/>
        </w:rPr>
      </w:pPr>
      <w:r>
        <w:rPr>
          <w:rFonts w:hint="eastAsia" w:ascii="宋体" w:hAnsi="宋体"/>
          <w:color w:val="auto"/>
          <w:sz w:val="20"/>
          <w:szCs w:val="20"/>
          <w:highlight w:val="none"/>
          <w:lang w:eastAsia="zh-CN"/>
        </w:rPr>
        <w:t>注：1.上表中“偏离”一列，投标人须如实填写“正偏离”、“负偏离”或“无偏离”。</w:t>
      </w:r>
    </w:p>
    <w:p w14:paraId="3CF0B5CE">
      <w:pPr>
        <w:numPr>
          <w:ilvl w:val="0"/>
          <w:numId w:val="0"/>
        </w:numPr>
        <w:spacing w:line="280" w:lineRule="exact"/>
        <w:ind w:firstLine="426" w:firstLineChars="213"/>
        <w:rPr>
          <w:rFonts w:hint="eastAsia" w:ascii="宋体" w:hAnsi="宋体"/>
          <w:color w:val="auto"/>
          <w:sz w:val="20"/>
          <w:szCs w:val="20"/>
          <w:highlight w:val="none"/>
          <w:lang w:eastAsia="zh-CN"/>
        </w:rPr>
      </w:pPr>
      <w:r>
        <w:rPr>
          <w:rFonts w:hint="eastAsia" w:ascii="宋体" w:hAnsi="宋体" w:eastAsia="宋体" w:cs="Times New Roman"/>
          <w:color w:val="auto"/>
          <w:sz w:val="20"/>
          <w:szCs w:val="20"/>
          <w:highlight w:val="none"/>
          <w:lang w:val="en-US" w:eastAsia="zh-CN" w:bidi="ar-SA"/>
        </w:rPr>
        <w:t>2.</w:t>
      </w:r>
      <w:r>
        <w:rPr>
          <w:rFonts w:hint="eastAsia" w:ascii="宋体" w:hAnsi="宋体"/>
          <w:color w:val="auto"/>
          <w:sz w:val="20"/>
          <w:szCs w:val="20"/>
          <w:highlight w:val="none"/>
          <w:lang w:eastAsia="zh-CN"/>
        </w:rPr>
        <w:t>投标人须对</w:t>
      </w:r>
      <w:r>
        <w:rPr>
          <w:rFonts w:hint="eastAsia" w:ascii="宋体" w:hAnsi="宋体"/>
          <w:color w:val="auto"/>
          <w:sz w:val="20"/>
          <w:szCs w:val="20"/>
          <w:highlight w:val="none"/>
          <w:lang w:val="en-US" w:eastAsia="zh-CN"/>
        </w:rPr>
        <w:t>谈判</w:t>
      </w:r>
      <w:r>
        <w:rPr>
          <w:rFonts w:hint="eastAsia" w:ascii="宋体" w:hAnsi="宋体"/>
          <w:color w:val="auto"/>
          <w:sz w:val="20"/>
          <w:szCs w:val="20"/>
          <w:highlight w:val="none"/>
          <w:lang w:eastAsia="zh-CN"/>
        </w:rPr>
        <w:t>文件第五章《采购需求及技术要求》逐条作出全面、真实的反映，除如实填写技术条款偏离表，如不提供技术条款偏离表将视为没有实质性响应</w:t>
      </w:r>
      <w:r>
        <w:rPr>
          <w:rFonts w:hint="eastAsia" w:ascii="宋体" w:hAnsi="宋体"/>
          <w:color w:val="auto"/>
          <w:sz w:val="20"/>
          <w:szCs w:val="20"/>
          <w:highlight w:val="none"/>
          <w:lang w:val="en-US" w:eastAsia="zh-CN"/>
        </w:rPr>
        <w:t>谈判</w:t>
      </w:r>
      <w:r>
        <w:rPr>
          <w:rFonts w:hint="eastAsia" w:ascii="宋体" w:hAnsi="宋体"/>
          <w:color w:val="auto"/>
          <w:sz w:val="20"/>
          <w:szCs w:val="20"/>
          <w:highlight w:val="none"/>
          <w:lang w:eastAsia="zh-CN"/>
        </w:rPr>
        <w:t>文件。</w:t>
      </w:r>
    </w:p>
    <w:p w14:paraId="5724B87C">
      <w:pPr>
        <w:numPr>
          <w:ilvl w:val="0"/>
          <w:numId w:val="0"/>
        </w:numPr>
        <w:spacing w:line="280" w:lineRule="exact"/>
        <w:ind w:firstLine="426" w:firstLineChars="213"/>
        <w:rPr>
          <w:rFonts w:hint="eastAsia" w:ascii="宋体" w:hAnsi="宋体"/>
          <w:color w:val="auto"/>
          <w:sz w:val="20"/>
          <w:szCs w:val="20"/>
          <w:highlight w:val="none"/>
          <w:lang w:eastAsia="zh-CN"/>
        </w:rPr>
      </w:pPr>
      <w:r>
        <w:rPr>
          <w:rFonts w:hint="eastAsia" w:ascii="宋体" w:hAnsi="宋体" w:eastAsia="宋体" w:cs="Times New Roman"/>
          <w:color w:val="auto"/>
          <w:sz w:val="20"/>
          <w:szCs w:val="20"/>
          <w:highlight w:val="none"/>
          <w:lang w:val="en-US" w:eastAsia="zh-CN" w:bidi="ar-SA"/>
        </w:rPr>
        <w:t>3.</w:t>
      </w:r>
      <w:r>
        <w:rPr>
          <w:rFonts w:hint="eastAsia" w:ascii="宋体" w:hAnsi="宋体"/>
          <w:color w:val="auto"/>
          <w:sz w:val="20"/>
          <w:szCs w:val="20"/>
          <w:highlight w:val="none"/>
          <w:lang w:val="en-US" w:eastAsia="zh-CN"/>
        </w:rPr>
        <w:t>谈判</w:t>
      </w:r>
      <w:r>
        <w:rPr>
          <w:rFonts w:hint="eastAsia" w:ascii="宋体" w:hAnsi="宋体"/>
          <w:color w:val="auto"/>
          <w:sz w:val="20"/>
          <w:szCs w:val="20"/>
          <w:highlight w:val="none"/>
          <w:lang w:eastAsia="zh-CN"/>
        </w:rPr>
        <w:t>文件第五章“《采购需求及技术要求》”中，技术参数以技术条款偏离表响应为准，若技术参数中单独要求其提供第三方检测报告或其他技术支持资料的，则以该要求为准。</w:t>
      </w:r>
    </w:p>
    <w:p w14:paraId="11B6B1C6">
      <w:pPr>
        <w:spacing w:line="280" w:lineRule="exact"/>
        <w:ind w:firstLine="426" w:firstLineChars="213"/>
        <w:rPr>
          <w:rFonts w:hint="eastAsia" w:ascii="宋体" w:hAnsi="宋体"/>
          <w:bCs/>
          <w:color w:val="auto"/>
          <w:sz w:val="21"/>
          <w:szCs w:val="21"/>
          <w:highlight w:val="none"/>
          <w:lang w:eastAsia="zh-CN"/>
        </w:rPr>
      </w:pPr>
      <w:r>
        <w:rPr>
          <w:rFonts w:hint="eastAsia" w:ascii="宋体" w:hAnsi="宋体"/>
          <w:bCs/>
          <w:color w:val="auto"/>
          <w:sz w:val="20"/>
          <w:szCs w:val="20"/>
          <w:highlight w:val="none"/>
          <w:lang w:val="en-US" w:eastAsia="zh-CN"/>
        </w:rPr>
        <w:t>4</w:t>
      </w:r>
      <w:r>
        <w:rPr>
          <w:rFonts w:hint="eastAsia" w:ascii="宋体" w:hAnsi="宋体"/>
          <w:bCs/>
          <w:color w:val="auto"/>
          <w:sz w:val="20"/>
          <w:szCs w:val="20"/>
          <w:highlight w:val="none"/>
          <w:lang w:eastAsia="zh-CN"/>
        </w:rPr>
        <w:t>.投标文件中技术支持资料与技术条款偏离表应答不符或无相关技术支持资料应答，而投标人又未在投标文件中作出说明和解释的，</w:t>
      </w:r>
      <w:r>
        <w:rPr>
          <w:rFonts w:hint="eastAsia" w:ascii="宋体" w:hAnsi="宋体"/>
          <w:bCs/>
          <w:color w:val="auto"/>
          <w:sz w:val="20"/>
          <w:szCs w:val="20"/>
          <w:highlight w:val="none"/>
          <w:lang w:val="en-US" w:eastAsia="zh-CN"/>
        </w:rPr>
        <w:t>谈判小组</w:t>
      </w:r>
      <w:r>
        <w:rPr>
          <w:rFonts w:hint="eastAsia" w:ascii="宋体" w:hAnsi="宋体"/>
          <w:bCs/>
          <w:color w:val="auto"/>
          <w:sz w:val="20"/>
          <w:szCs w:val="20"/>
          <w:highlight w:val="none"/>
          <w:lang w:eastAsia="zh-CN"/>
        </w:rPr>
        <w:t>在评审时可以视为不响应该条技术条款的规定。</w:t>
      </w:r>
    </w:p>
    <w:p w14:paraId="73B8896B">
      <w:pPr>
        <w:spacing w:line="280" w:lineRule="exact"/>
        <w:ind w:firstLine="426" w:firstLineChars="213"/>
        <w:rPr>
          <w:rFonts w:hint="eastAsia" w:ascii="宋体" w:hAnsi="宋体"/>
          <w:bCs/>
          <w:color w:val="auto"/>
          <w:sz w:val="20"/>
          <w:szCs w:val="20"/>
          <w:highlight w:val="none"/>
          <w:lang w:eastAsia="zh-CN"/>
        </w:rPr>
      </w:pPr>
      <w:r>
        <w:rPr>
          <w:rFonts w:hint="eastAsia" w:ascii="宋体" w:hAnsi="宋体"/>
          <w:bCs/>
          <w:color w:val="auto"/>
          <w:sz w:val="20"/>
          <w:szCs w:val="20"/>
          <w:highlight w:val="none"/>
          <w:lang w:val="en-US" w:eastAsia="zh-CN"/>
        </w:rPr>
        <w:t>5</w:t>
      </w:r>
      <w:r>
        <w:rPr>
          <w:rFonts w:hint="eastAsia" w:ascii="宋体" w:hAnsi="宋体"/>
          <w:bCs/>
          <w:color w:val="auto"/>
          <w:sz w:val="20"/>
          <w:szCs w:val="20"/>
          <w:highlight w:val="none"/>
          <w:lang w:eastAsia="zh-CN"/>
        </w:rPr>
        <w:t>.供应商应将投标文件中支持该项技术要求响应的技术支持资料（页码及条目号等）标注在“技术支持资料索引”一栏中。</w:t>
      </w:r>
    </w:p>
    <w:p w14:paraId="66135DB3">
      <w:pPr>
        <w:spacing w:line="280" w:lineRule="exact"/>
        <w:ind w:firstLine="428" w:firstLineChars="213"/>
        <w:rPr>
          <w:rFonts w:hint="eastAsia" w:ascii="宋体" w:hAnsi="宋体"/>
          <w:b/>
          <w:bCs w:val="0"/>
          <w:color w:val="auto"/>
          <w:sz w:val="20"/>
          <w:szCs w:val="20"/>
          <w:highlight w:val="none"/>
          <w:lang w:val="en-US" w:eastAsia="zh-CN"/>
        </w:rPr>
      </w:pPr>
      <w:r>
        <w:rPr>
          <w:rFonts w:hint="eastAsia" w:ascii="宋体" w:hAnsi="宋体"/>
          <w:b/>
          <w:bCs w:val="0"/>
          <w:color w:val="auto"/>
          <w:sz w:val="20"/>
          <w:szCs w:val="20"/>
          <w:highlight w:val="none"/>
          <w:lang w:val="en-US" w:eastAsia="zh-CN"/>
        </w:rPr>
        <w:t>6.投标人技术参数应完全响应</w:t>
      </w:r>
      <w:r>
        <w:rPr>
          <w:rFonts w:hint="eastAsia" w:ascii="宋体" w:hAnsi="宋体"/>
          <w:b/>
          <w:bCs w:val="0"/>
          <w:color w:val="auto"/>
          <w:sz w:val="20"/>
          <w:szCs w:val="20"/>
          <w:highlight w:val="none"/>
          <w:lang w:eastAsia="zh-CN"/>
        </w:rPr>
        <w:t>第五章《采购需求及技术要求》，</w:t>
      </w:r>
      <w:r>
        <w:rPr>
          <w:rFonts w:hint="eastAsia" w:ascii="宋体" w:hAnsi="宋体"/>
          <w:b/>
          <w:bCs w:val="0"/>
          <w:color w:val="auto"/>
          <w:sz w:val="20"/>
          <w:szCs w:val="20"/>
          <w:highlight w:val="none"/>
          <w:lang w:val="en-US" w:eastAsia="zh-CN"/>
        </w:rPr>
        <w:t>如出现负偏离视为实质性要求不满足谈判文件。</w:t>
      </w:r>
    </w:p>
    <w:p w14:paraId="41DFFB19">
      <w:pPr>
        <w:spacing w:before="60" w:after="60" w:line="480" w:lineRule="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投标人(盖电子公章)：</w:t>
      </w:r>
      <w:r>
        <w:rPr>
          <w:rFonts w:hint="eastAsia" w:ascii="宋体" w:hAnsi="宋体"/>
          <w:color w:val="auto"/>
          <w:sz w:val="21"/>
          <w:szCs w:val="21"/>
          <w:highlight w:val="none"/>
          <w:u w:val="single"/>
          <w:lang w:eastAsia="zh-CN"/>
        </w:rPr>
        <w:t xml:space="preserve">                                      </w:t>
      </w:r>
    </w:p>
    <w:p w14:paraId="5A373991">
      <w:pPr>
        <w:spacing w:before="60" w:after="60" w:line="480" w:lineRule="auto"/>
        <w:rPr>
          <w:rFonts w:hint="eastAsia" w:ascii="宋体" w:hAnsi="宋体"/>
          <w:color w:val="auto"/>
          <w:sz w:val="21"/>
          <w:szCs w:val="21"/>
          <w:highlight w:val="none"/>
          <w:u w:val="single"/>
          <w:lang w:eastAsia="zh-CN"/>
        </w:rPr>
      </w:pPr>
      <w:r>
        <w:rPr>
          <w:rFonts w:hint="eastAsia" w:ascii="宋体" w:hAnsi="宋体"/>
          <w:color w:val="auto"/>
          <w:sz w:val="21"/>
          <w:szCs w:val="21"/>
          <w:highlight w:val="none"/>
          <w:lang w:eastAsia="zh-CN"/>
        </w:rPr>
        <w:t>法定代表人或委托代理人（电子签名）：</w:t>
      </w:r>
      <w:r>
        <w:rPr>
          <w:rFonts w:hint="eastAsia" w:ascii="宋体" w:hAnsi="宋体"/>
          <w:color w:val="auto"/>
          <w:sz w:val="21"/>
          <w:szCs w:val="21"/>
          <w:highlight w:val="none"/>
          <w:u w:val="single"/>
          <w:lang w:eastAsia="zh-CN"/>
        </w:rPr>
        <w:t xml:space="preserve">                      </w:t>
      </w:r>
    </w:p>
    <w:p w14:paraId="21ADCA91">
      <w:pPr>
        <w:rPr>
          <w:rFonts w:hint="eastAsia" w:ascii="宋体" w:hAnsi="宋体" w:cs="Times New Roman"/>
          <w:color w:val="auto"/>
          <w:lang w:val="en-US" w:eastAsia="zh-CN"/>
        </w:rPr>
        <w:sectPr>
          <w:pgSz w:w="16838" w:h="11906" w:orient="landscape"/>
          <w:pgMar w:top="1418" w:right="1243" w:bottom="1274" w:left="1134" w:header="737" w:footer="737" w:gutter="0"/>
          <w:pgNumType w:fmt="decimal"/>
          <w:cols w:space="720" w:num="1"/>
          <w:docGrid w:linePitch="312" w:charSpace="0"/>
        </w:sectPr>
      </w:pPr>
      <w:r>
        <w:rPr>
          <w:rFonts w:hint="eastAsia" w:ascii="宋体" w:hAnsi="宋体"/>
          <w:color w:val="auto"/>
          <w:sz w:val="21"/>
          <w:szCs w:val="21"/>
          <w:highlight w:val="none"/>
          <w:lang w:eastAsia="zh-CN"/>
        </w:rPr>
        <w:t xml:space="preserve">日期： </w:t>
      </w:r>
      <w:r>
        <w:rPr>
          <w:rFonts w:hint="eastAsia" w:ascii="宋体" w:hAnsi="宋体"/>
          <w:color w:val="auto"/>
          <w:sz w:val="21"/>
          <w:szCs w:val="21"/>
          <w:highlight w:val="none"/>
          <w:u w:val="single"/>
          <w:lang w:eastAsia="zh-CN"/>
        </w:rPr>
        <w:t xml:space="preserve">      </w:t>
      </w:r>
      <w:r>
        <w:rPr>
          <w:rFonts w:hint="eastAsia" w:ascii="宋体" w:hAnsi="宋体"/>
          <w:color w:val="auto"/>
          <w:sz w:val="21"/>
          <w:szCs w:val="21"/>
          <w:highlight w:val="none"/>
          <w:lang w:eastAsia="zh-CN"/>
        </w:rPr>
        <w:t>年</w:t>
      </w:r>
      <w:r>
        <w:rPr>
          <w:rFonts w:hint="eastAsia" w:ascii="宋体" w:hAnsi="宋体"/>
          <w:color w:val="auto"/>
          <w:sz w:val="21"/>
          <w:szCs w:val="21"/>
          <w:highlight w:val="none"/>
          <w:u w:val="single"/>
          <w:lang w:eastAsia="zh-CN"/>
        </w:rPr>
        <w:t xml:space="preserve">      </w:t>
      </w:r>
      <w:r>
        <w:rPr>
          <w:rFonts w:hint="eastAsia" w:ascii="宋体" w:hAnsi="宋体"/>
          <w:color w:val="auto"/>
          <w:sz w:val="21"/>
          <w:szCs w:val="21"/>
          <w:highlight w:val="none"/>
          <w:lang w:eastAsia="zh-CN"/>
        </w:rPr>
        <w:t>月</w:t>
      </w:r>
      <w:r>
        <w:rPr>
          <w:rFonts w:hint="eastAsia" w:ascii="宋体" w:hAnsi="宋体"/>
          <w:color w:val="auto"/>
          <w:sz w:val="21"/>
          <w:szCs w:val="21"/>
          <w:highlight w:val="none"/>
          <w:u w:val="single"/>
          <w:lang w:eastAsia="zh-CN"/>
        </w:rPr>
        <w:t xml:space="preserve">      </w:t>
      </w:r>
      <w:r>
        <w:rPr>
          <w:rFonts w:hint="eastAsia" w:ascii="宋体" w:hAnsi="宋体"/>
          <w:color w:val="auto"/>
          <w:sz w:val="21"/>
          <w:szCs w:val="21"/>
          <w:highlight w:val="none"/>
          <w:lang w:eastAsia="zh-CN"/>
        </w:rPr>
        <w:t>日</w:t>
      </w:r>
    </w:p>
    <w:p w14:paraId="50824D0C">
      <w:pPr>
        <w:pStyle w:val="3"/>
        <w:tabs>
          <w:tab w:val="left" w:pos="596"/>
        </w:tabs>
        <w:jc w:val="center"/>
        <w:rPr>
          <w:rFonts w:hint="eastAsia" w:ascii="宋体" w:hAnsi="宋体" w:cs="Times New Roman"/>
          <w:color w:val="auto"/>
        </w:rPr>
      </w:pPr>
      <w:bookmarkStart w:id="555" w:name="_Toc14316"/>
      <w:r>
        <w:rPr>
          <w:rFonts w:hint="eastAsia" w:ascii="宋体" w:hAnsi="宋体" w:cs="Times New Roman"/>
          <w:color w:val="auto"/>
          <w:lang w:val="en-US" w:eastAsia="zh-CN"/>
        </w:rPr>
        <w:t>（二）</w:t>
      </w:r>
      <w:r>
        <w:rPr>
          <w:rFonts w:hint="eastAsia" w:ascii="宋体" w:hAnsi="宋体" w:cs="Times New Roman"/>
          <w:color w:val="auto"/>
        </w:rPr>
        <w:t>项目服务方案</w:t>
      </w:r>
      <w:bookmarkEnd w:id="555"/>
    </w:p>
    <w:p w14:paraId="31D2AF62">
      <w:pPr>
        <w:spacing w:before="60" w:after="60" w:line="480" w:lineRule="auto"/>
        <w:jc w:val="center"/>
        <w:rPr>
          <w:rFonts w:hint="eastAsia" w:ascii="宋体" w:hAnsi="宋体"/>
          <w:color w:val="auto"/>
          <w:szCs w:val="21"/>
        </w:rPr>
      </w:pPr>
      <w:r>
        <w:rPr>
          <w:rFonts w:hint="eastAsia" w:ascii="宋体" w:hAnsi="宋体"/>
          <w:color w:val="auto"/>
          <w:szCs w:val="21"/>
        </w:rPr>
        <w:t>（由供应商按第五章“采购需求”中相应要求自行编写）</w:t>
      </w:r>
    </w:p>
    <w:p w14:paraId="029D501F">
      <w:pPr>
        <w:pStyle w:val="3"/>
        <w:tabs>
          <w:tab w:val="left" w:pos="596"/>
        </w:tabs>
        <w:ind w:left="425"/>
        <w:jc w:val="center"/>
        <w:rPr>
          <w:rFonts w:hint="eastAsia" w:ascii="宋体" w:hAnsi="宋体" w:cs="Times New Roman"/>
          <w:color w:val="auto"/>
        </w:rPr>
      </w:pPr>
      <w:bookmarkStart w:id="556" w:name="_Toc9127"/>
      <w:r>
        <w:rPr>
          <w:rFonts w:hint="eastAsia" w:ascii="宋体" w:hAnsi="宋体" w:cs="Times New Roman"/>
          <w:color w:val="auto"/>
          <w:lang w:val="en-US" w:eastAsia="zh-CN"/>
        </w:rPr>
        <w:t>（三）售后</w:t>
      </w:r>
      <w:r>
        <w:rPr>
          <w:rFonts w:hint="eastAsia" w:ascii="宋体" w:hAnsi="宋体" w:cs="Times New Roman"/>
          <w:color w:val="auto"/>
        </w:rPr>
        <w:t>服务承诺及保证措施</w:t>
      </w:r>
      <w:bookmarkEnd w:id="556"/>
    </w:p>
    <w:p w14:paraId="681777A5">
      <w:pPr>
        <w:spacing w:before="60" w:after="60" w:line="480" w:lineRule="auto"/>
        <w:jc w:val="center"/>
        <w:rPr>
          <w:rFonts w:hint="eastAsia" w:ascii="宋体" w:hAnsi="宋体"/>
          <w:color w:val="auto"/>
          <w:szCs w:val="21"/>
        </w:rPr>
      </w:pPr>
      <w:bookmarkStart w:id="557" w:name="_Toc10156"/>
      <w:r>
        <w:rPr>
          <w:rFonts w:hint="eastAsia" w:ascii="宋体" w:hAnsi="宋体"/>
          <w:color w:val="auto"/>
          <w:szCs w:val="21"/>
        </w:rPr>
        <w:t>（由供应商按第五章“采购需求”中相应要求自行编写）</w:t>
      </w:r>
    </w:p>
    <w:bookmarkEnd w:id="557"/>
    <w:p w14:paraId="31F6E61A">
      <w:pPr>
        <w:pStyle w:val="3"/>
        <w:tabs>
          <w:tab w:val="left" w:pos="596"/>
        </w:tabs>
        <w:ind w:left="425"/>
        <w:jc w:val="center"/>
        <w:rPr>
          <w:rFonts w:hint="eastAsia" w:ascii="宋体" w:hAnsi="宋体" w:eastAsia="黑体" w:cs="Times New Roman"/>
          <w:color w:val="auto"/>
          <w:lang w:val="en-US" w:eastAsia="zh-CN"/>
        </w:rPr>
      </w:pPr>
      <w:bookmarkStart w:id="558" w:name="_Toc23115"/>
      <w:r>
        <w:rPr>
          <w:rFonts w:hint="eastAsia" w:ascii="宋体" w:hAnsi="宋体" w:cs="Times New Roman"/>
          <w:color w:val="auto"/>
          <w:lang w:val="en-US" w:eastAsia="zh-CN"/>
        </w:rPr>
        <w:t>（四）</w:t>
      </w:r>
      <w:r>
        <w:rPr>
          <w:rFonts w:hint="eastAsia" w:ascii="宋体" w:hAnsi="宋体" w:cs="Times New Roman"/>
          <w:color w:val="auto"/>
        </w:rPr>
        <w:t>团队人员</w:t>
      </w:r>
      <w:r>
        <w:rPr>
          <w:rFonts w:hint="eastAsia" w:ascii="宋体" w:hAnsi="宋体" w:cs="Times New Roman"/>
          <w:color w:val="auto"/>
          <w:lang w:val="en-US" w:eastAsia="zh-CN"/>
        </w:rPr>
        <w:t>配备</w:t>
      </w:r>
      <w:bookmarkEnd w:id="558"/>
    </w:p>
    <w:p w14:paraId="445B3CFF">
      <w:pPr>
        <w:spacing w:before="60" w:after="60" w:line="480" w:lineRule="auto"/>
        <w:jc w:val="center"/>
        <w:rPr>
          <w:rFonts w:hint="eastAsia" w:ascii="宋体" w:hAnsi="宋体"/>
          <w:color w:val="auto"/>
          <w:szCs w:val="21"/>
        </w:rPr>
      </w:pPr>
      <w:r>
        <w:rPr>
          <w:rFonts w:hint="eastAsia" w:ascii="宋体" w:hAnsi="宋体"/>
          <w:color w:val="auto"/>
          <w:szCs w:val="21"/>
        </w:rPr>
        <w:t>（由供应商按第五章“采购需求”中相应要求自行编写）</w:t>
      </w:r>
    </w:p>
    <w:p w14:paraId="6BB29AB0">
      <w:pPr>
        <w:pStyle w:val="3"/>
        <w:tabs>
          <w:tab w:val="left" w:pos="596"/>
        </w:tabs>
        <w:ind w:left="425"/>
        <w:jc w:val="center"/>
        <w:rPr>
          <w:rFonts w:hint="eastAsia" w:ascii="宋体" w:hAnsi="宋体" w:cs="Times New Roman"/>
          <w:color w:val="auto"/>
        </w:rPr>
      </w:pPr>
      <w:bookmarkStart w:id="559" w:name="_Toc4701"/>
      <w:bookmarkStart w:id="560" w:name="_Toc4372"/>
      <w:r>
        <w:rPr>
          <w:rFonts w:hint="eastAsia" w:ascii="宋体" w:hAnsi="宋体" w:cs="Times New Roman"/>
          <w:color w:val="auto"/>
          <w:lang w:val="en-US" w:eastAsia="zh-CN"/>
        </w:rPr>
        <w:t>（五）</w:t>
      </w:r>
      <w:r>
        <w:rPr>
          <w:rFonts w:hint="eastAsia" w:ascii="宋体" w:hAnsi="宋体" w:cs="Times New Roman"/>
          <w:color w:val="auto"/>
        </w:rPr>
        <w:t>业绩</w:t>
      </w:r>
      <w:bookmarkEnd w:id="559"/>
      <w:r>
        <w:rPr>
          <w:rFonts w:hint="eastAsia" w:ascii="宋体" w:hAnsi="宋体" w:cs="Times New Roman"/>
          <w:color w:val="auto"/>
        </w:rPr>
        <w:t>（如有）</w:t>
      </w:r>
      <w:bookmarkEnd w:id="560"/>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2194"/>
        <w:gridCol w:w="1279"/>
        <w:gridCol w:w="1145"/>
        <w:gridCol w:w="851"/>
        <w:gridCol w:w="1214"/>
        <w:gridCol w:w="817"/>
      </w:tblGrid>
      <w:tr w14:paraId="621D9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0" w:type="dxa"/>
            <w:vAlign w:val="center"/>
          </w:tcPr>
          <w:p w14:paraId="3DE53FB5">
            <w:pPr>
              <w:spacing w:line="360" w:lineRule="auto"/>
              <w:jc w:val="center"/>
              <w:rPr>
                <w:rFonts w:hint="eastAsia" w:ascii="宋体" w:hAnsi="宋体" w:cs="宋体"/>
                <w:color w:val="auto"/>
                <w:szCs w:val="21"/>
              </w:rPr>
            </w:pPr>
            <w:r>
              <w:rPr>
                <w:rFonts w:hint="eastAsia" w:ascii="宋体" w:hAnsi="宋体" w:cs="宋体"/>
                <w:color w:val="auto"/>
                <w:szCs w:val="21"/>
              </w:rPr>
              <w:t>序号</w:t>
            </w:r>
          </w:p>
        </w:tc>
        <w:tc>
          <w:tcPr>
            <w:tcW w:w="2194" w:type="dxa"/>
            <w:vAlign w:val="center"/>
          </w:tcPr>
          <w:p w14:paraId="1EC9E0A4">
            <w:pPr>
              <w:spacing w:line="360" w:lineRule="auto"/>
              <w:jc w:val="center"/>
              <w:rPr>
                <w:rFonts w:hint="eastAsia" w:ascii="宋体" w:hAnsi="宋体" w:cs="宋体"/>
                <w:color w:val="auto"/>
                <w:szCs w:val="21"/>
              </w:rPr>
            </w:pPr>
            <w:r>
              <w:rPr>
                <w:rFonts w:hint="eastAsia" w:ascii="宋体" w:hAnsi="宋体" w:cs="宋体"/>
                <w:color w:val="auto"/>
                <w:szCs w:val="21"/>
              </w:rPr>
              <w:t>类似项目业绩名称</w:t>
            </w:r>
          </w:p>
        </w:tc>
        <w:tc>
          <w:tcPr>
            <w:tcW w:w="1279" w:type="dxa"/>
            <w:vAlign w:val="center"/>
          </w:tcPr>
          <w:p w14:paraId="41BBBDE8">
            <w:pPr>
              <w:spacing w:line="360" w:lineRule="auto"/>
              <w:jc w:val="center"/>
              <w:rPr>
                <w:rFonts w:hint="eastAsia" w:ascii="宋体" w:hAnsi="宋体" w:cs="宋体"/>
                <w:color w:val="auto"/>
                <w:szCs w:val="21"/>
              </w:rPr>
            </w:pPr>
            <w:r>
              <w:rPr>
                <w:rFonts w:hint="eastAsia" w:ascii="宋体" w:hAnsi="宋体" w:cs="宋体"/>
                <w:color w:val="auto"/>
                <w:szCs w:val="21"/>
              </w:rPr>
              <w:t>用户单位</w:t>
            </w:r>
          </w:p>
        </w:tc>
        <w:tc>
          <w:tcPr>
            <w:tcW w:w="1145" w:type="dxa"/>
            <w:vAlign w:val="center"/>
          </w:tcPr>
          <w:p w14:paraId="5A714E50">
            <w:pPr>
              <w:spacing w:line="360" w:lineRule="auto"/>
              <w:jc w:val="center"/>
              <w:rPr>
                <w:rFonts w:hint="eastAsia" w:ascii="宋体" w:hAnsi="宋体" w:cs="宋体"/>
                <w:color w:val="auto"/>
                <w:szCs w:val="21"/>
              </w:rPr>
            </w:pPr>
            <w:r>
              <w:rPr>
                <w:rFonts w:hint="eastAsia" w:ascii="宋体" w:hAnsi="宋体" w:cs="宋体"/>
                <w:color w:val="auto"/>
                <w:szCs w:val="21"/>
              </w:rPr>
              <w:t>联系人</w:t>
            </w:r>
          </w:p>
        </w:tc>
        <w:tc>
          <w:tcPr>
            <w:tcW w:w="851" w:type="dxa"/>
            <w:vAlign w:val="center"/>
          </w:tcPr>
          <w:p w14:paraId="47D63585">
            <w:pPr>
              <w:spacing w:line="360" w:lineRule="auto"/>
              <w:jc w:val="center"/>
              <w:rPr>
                <w:rFonts w:hint="eastAsia" w:ascii="宋体" w:hAnsi="宋体" w:cs="宋体"/>
                <w:color w:val="auto"/>
                <w:szCs w:val="21"/>
              </w:rPr>
            </w:pPr>
            <w:r>
              <w:rPr>
                <w:rFonts w:hint="eastAsia" w:ascii="宋体" w:hAnsi="宋体" w:cs="宋体"/>
                <w:color w:val="auto"/>
                <w:szCs w:val="21"/>
              </w:rPr>
              <w:t>电话</w:t>
            </w:r>
          </w:p>
        </w:tc>
        <w:tc>
          <w:tcPr>
            <w:tcW w:w="1214" w:type="dxa"/>
            <w:vAlign w:val="center"/>
          </w:tcPr>
          <w:p w14:paraId="7FCFFCB7">
            <w:pPr>
              <w:spacing w:line="360" w:lineRule="auto"/>
              <w:jc w:val="center"/>
              <w:rPr>
                <w:rFonts w:hint="eastAsia" w:ascii="宋体" w:hAnsi="宋体" w:cs="宋体"/>
                <w:color w:val="auto"/>
                <w:szCs w:val="21"/>
              </w:rPr>
            </w:pPr>
            <w:r>
              <w:rPr>
                <w:rFonts w:hint="eastAsia" w:ascii="宋体" w:hAnsi="宋体" w:cs="宋体"/>
                <w:color w:val="auto"/>
                <w:szCs w:val="32"/>
              </w:rPr>
              <w:t>合同金额（万元）</w:t>
            </w:r>
          </w:p>
        </w:tc>
        <w:tc>
          <w:tcPr>
            <w:tcW w:w="817" w:type="dxa"/>
            <w:vAlign w:val="center"/>
          </w:tcPr>
          <w:p w14:paraId="691EEAAB">
            <w:pPr>
              <w:spacing w:line="360" w:lineRule="auto"/>
              <w:jc w:val="center"/>
              <w:rPr>
                <w:rFonts w:hint="eastAsia" w:ascii="宋体" w:hAnsi="宋体" w:cs="宋体"/>
                <w:color w:val="auto"/>
                <w:szCs w:val="21"/>
              </w:rPr>
            </w:pPr>
            <w:r>
              <w:rPr>
                <w:rFonts w:hint="eastAsia" w:ascii="宋体" w:hAnsi="宋体" w:cs="宋体"/>
                <w:color w:val="auto"/>
                <w:szCs w:val="21"/>
              </w:rPr>
              <w:t>备注</w:t>
            </w:r>
          </w:p>
        </w:tc>
      </w:tr>
      <w:tr w14:paraId="5FD41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0" w:type="dxa"/>
          </w:tcPr>
          <w:p w14:paraId="24E0A7B9">
            <w:pPr>
              <w:spacing w:line="360" w:lineRule="auto"/>
              <w:rPr>
                <w:rFonts w:hint="eastAsia" w:ascii="宋体" w:hAnsi="宋体" w:cs="宋体"/>
                <w:color w:val="auto"/>
                <w:szCs w:val="21"/>
              </w:rPr>
            </w:pPr>
          </w:p>
        </w:tc>
        <w:tc>
          <w:tcPr>
            <w:tcW w:w="2194" w:type="dxa"/>
          </w:tcPr>
          <w:p w14:paraId="598F3919">
            <w:pPr>
              <w:spacing w:line="360" w:lineRule="auto"/>
              <w:rPr>
                <w:rFonts w:hint="eastAsia" w:ascii="宋体" w:hAnsi="宋体" w:cs="宋体"/>
                <w:color w:val="auto"/>
                <w:szCs w:val="21"/>
              </w:rPr>
            </w:pPr>
          </w:p>
        </w:tc>
        <w:tc>
          <w:tcPr>
            <w:tcW w:w="1279" w:type="dxa"/>
          </w:tcPr>
          <w:p w14:paraId="668E6C91">
            <w:pPr>
              <w:spacing w:line="360" w:lineRule="auto"/>
              <w:rPr>
                <w:rFonts w:hint="eastAsia" w:ascii="宋体" w:hAnsi="宋体" w:cs="宋体"/>
                <w:color w:val="auto"/>
                <w:szCs w:val="21"/>
              </w:rPr>
            </w:pPr>
          </w:p>
        </w:tc>
        <w:tc>
          <w:tcPr>
            <w:tcW w:w="1145" w:type="dxa"/>
          </w:tcPr>
          <w:p w14:paraId="00E7D384">
            <w:pPr>
              <w:spacing w:line="360" w:lineRule="auto"/>
              <w:rPr>
                <w:rFonts w:hint="eastAsia" w:ascii="宋体" w:hAnsi="宋体" w:cs="宋体"/>
                <w:color w:val="auto"/>
                <w:szCs w:val="21"/>
              </w:rPr>
            </w:pPr>
          </w:p>
        </w:tc>
        <w:tc>
          <w:tcPr>
            <w:tcW w:w="851" w:type="dxa"/>
          </w:tcPr>
          <w:p w14:paraId="58AA2473">
            <w:pPr>
              <w:spacing w:line="360" w:lineRule="auto"/>
              <w:rPr>
                <w:rFonts w:hint="eastAsia" w:ascii="宋体" w:hAnsi="宋体" w:cs="宋体"/>
                <w:color w:val="auto"/>
                <w:szCs w:val="21"/>
              </w:rPr>
            </w:pPr>
          </w:p>
        </w:tc>
        <w:tc>
          <w:tcPr>
            <w:tcW w:w="1214" w:type="dxa"/>
          </w:tcPr>
          <w:p w14:paraId="12454425">
            <w:pPr>
              <w:spacing w:line="360" w:lineRule="auto"/>
              <w:rPr>
                <w:rFonts w:hint="eastAsia" w:ascii="宋体" w:hAnsi="宋体" w:cs="宋体"/>
                <w:color w:val="auto"/>
                <w:szCs w:val="21"/>
              </w:rPr>
            </w:pPr>
          </w:p>
        </w:tc>
        <w:tc>
          <w:tcPr>
            <w:tcW w:w="817" w:type="dxa"/>
          </w:tcPr>
          <w:p w14:paraId="065401C2">
            <w:pPr>
              <w:spacing w:line="360" w:lineRule="auto"/>
              <w:rPr>
                <w:rFonts w:hint="eastAsia" w:ascii="宋体" w:hAnsi="宋体" w:cs="宋体"/>
                <w:color w:val="auto"/>
                <w:szCs w:val="21"/>
              </w:rPr>
            </w:pPr>
          </w:p>
        </w:tc>
      </w:tr>
      <w:tr w14:paraId="4CB09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0" w:type="dxa"/>
          </w:tcPr>
          <w:p w14:paraId="66E0ACBC">
            <w:pPr>
              <w:spacing w:line="360" w:lineRule="auto"/>
              <w:rPr>
                <w:rFonts w:hint="eastAsia" w:ascii="宋体" w:hAnsi="宋体" w:cs="宋体"/>
                <w:color w:val="auto"/>
                <w:szCs w:val="21"/>
              </w:rPr>
            </w:pPr>
          </w:p>
        </w:tc>
        <w:tc>
          <w:tcPr>
            <w:tcW w:w="2194" w:type="dxa"/>
          </w:tcPr>
          <w:p w14:paraId="544F9A56">
            <w:pPr>
              <w:spacing w:line="360" w:lineRule="auto"/>
              <w:rPr>
                <w:rFonts w:hint="eastAsia" w:ascii="宋体" w:hAnsi="宋体" w:cs="宋体"/>
                <w:color w:val="auto"/>
                <w:szCs w:val="21"/>
              </w:rPr>
            </w:pPr>
          </w:p>
        </w:tc>
        <w:tc>
          <w:tcPr>
            <w:tcW w:w="1279" w:type="dxa"/>
          </w:tcPr>
          <w:p w14:paraId="0CE0C09E">
            <w:pPr>
              <w:spacing w:line="360" w:lineRule="auto"/>
              <w:rPr>
                <w:rFonts w:hint="eastAsia" w:ascii="宋体" w:hAnsi="宋体" w:cs="宋体"/>
                <w:color w:val="auto"/>
                <w:szCs w:val="21"/>
              </w:rPr>
            </w:pPr>
          </w:p>
        </w:tc>
        <w:tc>
          <w:tcPr>
            <w:tcW w:w="1145" w:type="dxa"/>
          </w:tcPr>
          <w:p w14:paraId="254A2C0A">
            <w:pPr>
              <w:spacing w:line="360" w:lineRule="auto"/>
              <w:rPr>
                <w:rFonts w:hint="eastAsia" w:ascii="宋体" w:hAnsi="宋体" w:cs="宋体"/>
                <w:color w:val="auto"/>
                <w:szCs w:val="21"/>
              </w:rPr>
            </w:pPr>
          </w:p>
        </w:tc>
        <w:tc>
          <w:tcPr>
            <w:tcW w:w="851" w:type="dxa"/>
          </w:tcPr>
          <w:p w14:paraId="29884FC7">
            <w:pPr>
              <w:spacing w:line="360" w:lineRule="auto"/>
              <w:rPr>
                <w:rFonts w:hint="eastAsia" w:ascii="宋体" w:hAnsi="宋体" w:cs="宋体"/>
                <w:color w:val="auto"/>
                <w:szCs w:val="21"/>
              </w:rPr>
            </w:pPr>
          </w:p>
        </w:tc>
        <w:tc>
          <w:tcPr>
            <w:tcW w:w="1214" w:type="dxa"/>
          </w:tcPr>
          <w:p w14:paraId="6D695E75">
            <w:pPr>
              <w:spacing w:line="360" w:lineRule="auto"/>
              <w:rPr>
                <w:rFonts w:hint="eastAsia" w:ascii="宋体" w:hAnsi="宋体" w:cs="宋体"/>
                <w:color w:val="auto"/>
                <w:szCs w:val="21"/>
              </w:rPr>
            </w:pPr>
          </w:p>
        </w:tc>
        <w:tc>
          <w:tcPr>
            <w:tcW w:w="817" w:type="dxa"/>
          </w:tcPr>
          <w:p w14:paraId="7E598E2F">
            <w:pPr>
              <w:spacing w:line="360" w:lineRule="auto"/>
              <w:rPr>
                <w:rFonts w:hint="eastAsia" w:ascii="宋体" w:hAnsi="宋体" w:cs="宋体"/>
                <w:color w:val="auto"/>
                <w:szCs w:val="21"/>
              </w:rPr>
            </w:pPr>
          </w:p>
        </w:tc>
      </w:tr>
      <w:tr w14:paraId="0EF70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0" w:type="dxa"/>
          </w:tcPr>
          <w:p w14:paraId="2EE8B563">
            <w:pPr>
              <w:spacing w:line="360" w:lineRule="auto"/>
              <w:rPr>
                <w:rFonts w:hint="eastAsia" w:ascii="宋体" w:hAnsi="宋体" w:cs="宋体"/>
                <w:color w:val="auto"/>
                <w:szCs w:val="21"/>
              </w:rPr>
            </w:pPr>
          </w:p>
        </w:tc>
        <w:tc>
          <w:tcPr>
            <w:tcW w:w="2194" w:type="dxa"/>
          </w:tcPr>
          <w:p w14:paraId="30835EE6">
            <w:pPr>
              <w:spacing w:line="360" w:lineRule="auto"/>
              <w:rPr>
                <w:rFonts w:hint="eastAsia" w:ascii="宋体" w:hAnsi="宋体" w:cs="宋体"/>
                <w:color w:val="auto"/>
                <w:szCs w:val="21"/>
              </w:rPr>
            </w:pPr>
          </w:p>
        </w:tc>
        <w:tc>
          <w:tcPr>
            <w:tcW w:w="1279" w:type="dxa"/>
          </w:tcPr>
          <w:p w14:paraId="3ADC5F6B">
            <w:pPr>
              <w:spacing w:line="360" w:lineRule="auto"/>
              <w:rPr>
                <w:rFonts w:hint="eastAsia" w:ascii="宋体" w:hAnsi="宋体" w:cs="宋体"/>
                <w:color w:val="auto"/>
                <w:szCs w:val="21"/>
              </w:rPr>
            </w:pPr>
          </w:p>
        </w:tc>
        <w:tc>
          <w:tcPr>
            <w:tcW w:w="1145" w:type="dxa"/>
          </w:tcPr>
          <w:p w14:paraId="334558C0">
            <w:pPr>
              <w:spacing w:line="360" w:lineRule="auto"/>
              <w:rPr>
                <w:rFonts w:hint="eastAsia" w:ascii="宋体" w:hAnsi="宋体" w:cs="宋体"/>
                <w:color w:val="auto"/>
                <w:szCs w:val="21"/>
              </w:rPr>
            </w:pPr>
          </w:p>
        </w:tc>
        <w:tc>
          <w:tcPr>
            <w:tcW w:w="851" w:type="dxa"/>
          </w:tcPr>
          <w:p w14:paraId="066A7F2B">
            <w:pPr>
              <w:spacing w:line="360" w:lineRule="auto"/>
              <w:rPr>
                <w:rFonts w:hint="eastAsia" w:ascii="宋体" w:hAnsi="宋体" w:cs="宋体"/>
                <w:color w:val="auto"/>
                <w:szCs w:val="21"/>
              </w:rPr>
            </w:pPr>
          </w:p>
        </w:tc>
        <w:tc>
          <w:tcPr>
            <w:tcW w:w="1214" w:type="dxa"/>
          </w:tcPr>
          <w:p w14:paraId="3E9D37B0">
            <w:pPr>
              <w:spacing w:line="360" w:lineRule="auto"/>
              <w:rPr>
                <w:rFonts w:hint="eastAsia" w:ascii="宋体" w:hAnsi="宋体" w:cs="宋体"/>
                <w:color w:val="auto"/>
                <w:szCs w:val="21"/>
              </w:rPr>
            </w:pPr>
          </w:p>
        </w:tc>
        <w:tc>
          <w:tcPr>
            <w:tcW w:w="817" w:type="dxa"/>
          </w:tcPr>
          <w:p w14:paraId="306E3514">
            <w:pPr>
              <w:spacing w:line="360" w:lineRule="auto"/>
              <w:rPr>
                <w:rFonts w:hint="eastAsia" w:ascii="宋体" w:hAnsi="宋体" w:cs="宋体"/>
                <w:color w:val="auto"/>
                <w:szCs w:val="21"/>
              </w:rPr>
            </w:pPr>
          </w:p>
        </w:tc>
      </w:tr>
    </w:tbl>
    <w:p w14:paraId="35E58FAF">
      <w:pPr>
        <w:spacing w:before="60" w:after="60" w:line="480" w:lineRule="auto"/>
        <w:rPr>
          <w:rFonts w:hint="eastAsia" w:ascii="宋体" w:hAnsi="宋体"/>
          <w:color w:val="auto"/>
          <w:szCs w:val="21"/>
        </w:rPr>
      </w:pPr>
      <w:r>
        <w:rPr>
          <w:rFonts w:hint="eastAsia" w:ascii="宋体" w:hAnsi="宋体" w:cs="宋体"/>
          <w:bCs/>
          <w:color w:val="auto"/>
          <w:szCs w:val="21"/>
        </w:rPr>
        <w:t>注：1、证明材料（如中标通知书或合同扫描件等有效证明文件）</w:t>
      </w:r>
    </w:p>
    <w:p w14:paraId="42C5FC4C">
      <w:pPr>
        <w:spacing w:line="360" w:lineRule="auto"/>
        <w:rPr>
          <w:rFonts w:hint="eastAsia" w:ascii="宋体" w:hAnsi="宋体" w:cs="宋体"/>
          <w:bCs/>
          <w:color w:val="auto"/>
          <w:szCs w:val="21"/>
        </w:rPr>
      </w:pPr>
      <w:r>
        <w:rPr>
          <w:rFonts w:hint="eastAsia" w:ascii="宋体" w:hAnsi="宋体" w:cs="宋体"/>
          <w:bCs/>
          <w:color w:val="auto"/>
          <w:szCs w:val="21"/>
        </w:rPr>
        <w:t>2、投标人可根据实际情况拓展本表。</w:t>
      </w:r>
    </w:p>
    <w:p w14:paraId="309BD36C">
      <w:pPr>
        <w:pStyle w:val="3"/>
        <w:tabs>
          <w:tab w:val="left" w:pos="596"/>
        </w:tabs>
        <w:ind w:left="425"/>
        <w:jc w:val="center"/>
        <w:rPr>
          <w:rFonts w:hint="eastAsia" w:ascii="宋体" w:hAnsi="宋体" w:cs="Times New Roman"/>
          <w:color w:val="auto"/>
        </w:rPr>
      </w:pPr>
      <w:bookmarkStart w:id="561" w:name="_Toc17424"/>
      <w:r>
        <w:rPr>
          <w:rFonts w:hint="eastAsia" w:ascii="宋体" w:hAnsi="宋体" w:cs="Times New Roman"/>
          <w:color w:val="auto"/>
          <w:lang w:val="en-US" w:eastAsia="zh-CN"/>
        </w:rPr>
        <w:t>（六）</w:t>
      </w:r>
      <w:r>
        <w:rPr>
          <w:rFonts w:hint="eastAsia" w:ascii="宋体" w:hAnsi="宋体" w:cs="Times New Roman"/>
          <w:color w:val="auto"/>
        </w:rPr>
        <w:t>其他资料</w:t>
      </w:r>
      <w:bookmarkEnd w:id="561"/>
    </w:p>
    <w:bookmarkEnd w:id="553"/>
    <w:bookmarkEnd w:id="554"/>
    <w:p w14:paraId="206DABB4">
      <w:pPr>
        <w:spacing w:line="720" w:lineRule="auto"/>
        <w:jc w:val="center"/>
        <w:rPr>
          <w:color w:val="auto"/>
          <w:sz w:val="28"/>
          <w:szCs w:val="28"/>
          <w:highlight w:val="none"/>
          <w:lang w:eastAsia="zh-CN"/>
        </w:rPr>
      </w:pPr>
      <w:r>
        <w:rPr>
          <w:rFonts w:hint="eastAsia"/>
          <w:color w:val="auto"/>
          <w:sz w:val="21"/>
          <w:szCs w:val="21"/>
          <w:highlight w:val="none"/>
          <w:lang w:eastAsia="zh-CN"/>
        </w:rPr>
        <w:t>（投标人自行编写，格式自拟）</w:t>
      </w:r>
    </w:p>
    <w:p w14:paraId="7A17385A">
      <w:pPr>
        <w:rPr>
          <w:rFonts w:hint="eastAsia" w:ascii="宋体" w:hAnsi="宋体" w:eastAsia="宋体"/>
          <w:color w:val="auto"/>
          <w:szCs w:val="21"/>
          <w:lang w:eastAsia="zh-CN"/>
        </w:rPr>
      </w:pPr>
    </w:p>
    <w:sectPr>
      <w:pgSz w:w="11906" w:h="16838"/>
      <w:pgMar w:top="1243" w:right="1274" w:bottom="1134" w:left="1418" w:header="737" w:footer="737"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BE6DF1B-A4D4-4104-82A4-151FF98FBDC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A247102F-BF10-47AE-8591-F219127126DC}"/>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embedRegular r:id="rId3" w:fontKey="{02B17C12-72F7-42A8-B0F5-B1F0A50F9C1B}"/>
  </w:font>
  <w:font w:name="仿宋">
    <w:panose1 w:val="02010609060101010101"/>
    <w:charset w:val="86"/>
    <w:family w:val="modern"/>
    <w:pitch w:val="default"/>
    <w:sig w:usb0="800002BF" w:usb1="38CF7CFA" w:usb2="00000016" w:usb3="00000000" w:csb0="00040001" w:csb1="00000000"/>
    <w:embedRegular r:id="rId4" w:fontKey="{31AD9C0E-D8ED-4B27-B6B7-10134AD93A51}"/>
  </w:font>
  <w:font w:name="Century Gothic">
    <w:panose1 w:val="020B0502020202020204"/>
    <w:charset w:val="00"/>
    <w:family w:val="swiss"/>
    <w:pitch w:val="default"/>
    <w:sig w:usb0="00000287" w:usb1="00000000" w:usb2="00000000" w:usb3="00000000" w:csb0="2000009F" w:csb1="DFD70000"/>
  </w:font>
  <w:font w:name="微软雅黑">
    <w:panose1 w:val="020B0503020204020204"/>
    <w:charset w:val="86"/>
    <w:family w:val="swiss"/>
    <w:pitch w:val="default"/>
    <w:sig w:usb0="80000287" w:usb1="2ACF3C50" w:usb2="00000016" w:usb3="00000000" w:csb0="0004001F" w:csb1="00000000"/>
    <w:embedRegular r:id="rId5" w:fontKey="{4F0DA4E5-956B-495F-BC19-0AC5A4BF8DF1}"/>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time">
    <w:altName w:val="微软雅黑"/>
    <w:panose1 w:val="00000000000000000000"/>
    <w:charset w:val="00"/>
    <w:family w:val="roman"/>
    <w:pitch w:val="default"/>
    <w:sig w:usb0="00000000" w:usb1="00000000" w:usb2="00000000" w:usb3="00000000" w:csb0="00040001" w:csb1="00000000"/>
  </w:font>
  <w:font w:name="华文楷体">
    <w:panose1 w:val="02010600040101010101"/>
    <w:charset w:val="86"/>
    <w:family w:val="auto"/>
    <w:pitch w:val="default"/>
    <w:sig w:usb0="00000287" w:usb1="080F0000" w:usb2="00000000" w:usb3="00000000" w:csb0="0004009F" w:csb1="DFD70000"/>
    <w:embedRegular r:id="rId6" w:fontKey="{AE211656-9896-408E-A0DB-CECBCA666B6B}"/>
  </w:font>
  <w:font w:name="Malgun Gothic">
    <w:panose1 w:val="020B0503020000020004"/>
    <w:charset w:val="81"/>
    <w:family w:val="swiss"/>
    <w:pitch w:val="default"/>
    <w:sig w:usb0="9000002F" w:usb1="29D77CFB" w:usb2="00000012" w:usb3="00000000" w:csb0="00080001" w:csb1="00000000"/>
    <w:embedRegular r:id="rId7" w:fontKey="{2EAA9172-8B8A-4FE4-A43B-CFEDF8FA1E62}"/>
  </w:font>
  <w:font w:name="ˎ̥">
    <w:altName w:val="Times New Roman"/>
    <w:panose1 w:val="00000000000000000000"/>
    <w:charset w:val="00"/>
    <w:family w:val="roman"/>
    <w:pitch w:val="default"/>
    <w:sig w:usb0="00000000" w:usb1="00000000" w:usb2="00000000" w:usb3="00000000" w:csb0="00040001" w:csb1="00000000"/>
    <w:embedRegular r:id="rId8" w:fontKey="{35BFFA50-3CE9-48B7-9ADB-D7AFC5A66B86}"/>
  </w:font>
  <w:font w:name="华文中宋">
    <w:panose1 w:val="02010600040101010101"/>
    <w:charset w:val="86"/>
    <w:family w:val="auto"/>
    <w:pitch w:val="default"/>
    <w:sig w:usb0="00000287" w:usb1="080F0000" w:usb2="00000000" w:usb3="00000000" w:csb0="0004009F" w:csb1="DFD70000"/>
    <w:embedRegular r:id="rId9" w:fontKey="{539D4A8E-F06C-4284-B88A-1E5953779CDA}"/>
  </w:font>
  <w:font w:name="汉仪书宋二S">
    <w:altName w:val="宋体"/>
    <w:panose1 w:val="00000000000000000000"/>
    <w:charset w:val="00"/>
    <w:family w:val="auto"/>
    <w:pitch w:val="default"/>
    <w:sig w:usb0="00000000" w:usb1="00000000" w:usb2="00000000" w:usb3="00000000" w:csb0="00000000" w:csb1="00000000"/>
    <w:embedRegular r:id="rId10" w:fontKey="{5702B9E4-DD04-4F63-8EB6-57964A7DB345}"/>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6C62A">
    <w:pPr>
      <w:pStyle w:val="2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0870F">
    <w:pPr>
      <w:pStyle w:val="28"/>
      <w:framePr w:wrap="around" w:vAnchor="text" w:hAnchor="margin" w:xAlign="right" w:y="1"/>
      <w:rPr>
        <w:rStyle w:val="49"/>
      </w:rPr>
    </w:pPr>
    <w:r>
      <w:fldChar w:fldCharType="begin"/>
    </w:r>
    <w:r>
      <w:rPr>
        <w:rStyle w:val="49"/>
      </w:rPr>
      <w:instrText xml:space="preserve">PAGE  </w:instrText>
    </w:r>
    <w:r>
      <w:fldChar w:fldCharType="end"/>
    </w:r>
  </w:p>
  <w:p w14:paraId="5B9A5344">
    <w:pPr>
      <w:pStyle w:val="2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650A8">
    <w:pPr>
      <w:pStyle w:val="2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DD687E">
                          <w:pPr>
                            <w:pStyle w:val="28"/>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FM6/osAgAAV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UUzr+iwCAABVBAAADgAAAAAAAAABACAAAAAfAQAAZHJzL2Uyb0RvYy54bWxQSwUGAAAAAAYA&#10;BgBZAQAAvQUAAAAA&#10;">
              <v:fill on="f" focussize="0,0"/>
              <v:stroke on="f" weight="0.5pt"/>
              <v:imagedata o:title=""/>
              <o:lock v:ext="edit" aspectratio="f"/>
              <v:textbox inset="0mm,0mm,0mm,0mm" style="mso-fit-shape-to-text:t;">
                <w:txbxContent>
                  <w:p w14:paraId="3ADD687E">
                    <w:pPr>
                      <w:pStyle w:val="28"/>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A36EF">
    <w:pPr>
      <w:pStyle w:val="28"/>
      <w:jc w:val="both"/>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9" name="文本框 2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7A582DB">
                          <w:pPr>
                            <w:pStyle w:val="28"/>
                          </w:pPr>
                          <w:r>
                            <w:fldChar w:fldCharType="begin"/>
                          </w:r>
                          <w:r>
                            <w:instrText xml:space="preserve"> PAGE  \* MERGEFORMAT </w:instrText>
                          </w:r>
                          <w:r>
                            <w:fldChar w:fldCharType="separate"/>
                          </w:r>
                          <w:r>
                            <w:t>10</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A5e+ZrLAQAAnQMAAA4AAAAAAAAAAQAgAAAAHgEAAGRycy9lMm9E&#10;b2MueG1sUEsFBgAAAAAGAAYAWQEAAFsFAAAAAA==&#10;">
              <v:fill on="f" focussize="0,0"/>
              <v:stroke on="f"/>
              <v:imagedata o:title=""/>
              <o:lock v:ext="edit" aspectratio="f"/>
              <v:textbox inset="0mm,0mm,0mm,0mm" style="mso-fit-shape-to-text:t;">
                <w:txbxContent>
                  <w:p w14:paraId="17A582DB">
                    <w:pPr>
                      <w:pStyle w:val="28"/>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B967D">
    <w:pPr>
      <w:pStyle w:val="28"/>
      <w:ind w:right="360"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0D9E0EC">
                          <w:pPr>
                            <w:pStyle w:val="28"/>
                          </w:pPr>
                          <w:r>
                            <w:fldChar w:fldCharType="begin"/>
                          </w:r>
                          <w:r>
                            <w:instrText xml:space="preserve"> PAGE  \* MERGEFORMAT </w:instrText>
                          </w:r>
                          <w:r>
                            <w:fldChar w:fldCharType="separate"/>
                          </w:r>
                          <w:r>
                            <w:t>28</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40D9E0EC">
                    <w:pPr>
                      <w:pStyle w:val="28"/>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1EE808">
    <w:pPr>
      <w:pStyle w:val="28"/>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5F9170">
                          <w:pPr>
                            <w:pStyle w:val="2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725F9170">
                    <w:pPr>
                      <w:pStyle w:val="2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F9862">
    <w:pPr>
      <w:pStyle w:val="29"/>
      <w:jc w:val="left"/>
    </w:pPr>
    <w:r>
      <w:rPr>
        <w:rFonts w:hint="eastAsia"/>
        <w:i/>
        <w:iCs/>
      </w:rPr>
      <w:t>竞争性谈判文件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AE700">
    <w:pPr>
      <w:pStyle w:val="29"/>
      <w:jc w:val="left"/>
    </w:pPr>
    <w:r>
      <w:rPr>
        <w:rFonts w:hint="eastAsia"/>
        <w:i/>
        <w:iCs/>
      </w:rPr>
      <w:t>竞争性谈判文件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3AE86">
    <w:pPr>
      <w:pStyle w:val="29"/>
      <w:jc w:val="left"/>
    </w:pPr>
    <w:r>
      <w:rPr>
        <w:rFonts w:hint="eastAsia"/>
        <w:i/>
        <w:iCs/>
      </w:rPr>
      <w:t>竞争性谈判文件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2BF4E">
    <w:pPr>
      <w:pStyle w:val="29"/>
      <w:jc w:val="left"/>
    </w:pPr>
    <w:r>
      <w:rPr>
        <w:rFonts w:hint="eastAsia"/>
        <w:i/>
        <w:iCs/>
      </w:rPr>
      <w:t>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CFE7C3F8"/>
    <w:multiLevelType w:val="singleLevel"/>
    <w:tmpl w:val="CFE7C3F8"/>
    <w:lvl w:ilvl="0" w:tentative="0">
      <w:start w:val="1"/>
      <w:numFmt w:val="decimal"/>
      <w:suff w:val="nothing"/>
      <w:lvlText w:val="（%1）"/>
      <w:lvlJc w:val="left"/>
      <w:pPr>
        <w:ind w:left="420" w:leftChars="200"/>
      </w:pPr>
    </w:lvl>
  </w:abstractNum>
  <w:abstractNum w:abstractNumId="2">
    <w:nsid w:val="DD18E8FE"/>
    <w:multiLevelType w:val="singleLevel"/>
    <w:tmpl w:val="DD18E8FE"/>
    <w:lvl w:ilvl="0" w:tentative="0">
      <w:start w:val="1"/>
      <w:numFmt w:val="decimal"/>
      <w:suff w:val="nothing"/>
      <w:lvlText w:val="（%1）"/>
      <w:lvlJc w:val="left"/>
    </w:lvl>
  </w:abstractNum>
  <w:abstractNum w:abstractNumId="3">
    <w:nsid w:val="DDECD3BC"/>
    <w:multiLevelType w:val="singleLevel"/>
    <w:tmpl w:val="DDECD3BC"/>
    <w:lvl w:ilvl="0" w:tentative="0">
      <w:start w:val="6"/>
      <w:numFmt w:val="decimal"/>
      <w:suff w:val="space"/>
      <w:lvlText w:val="%1."/>
      <w:lvlJc w:val="left"/>
    </w:lvl>
  </w:abstractNum>
  <w:abstractNum w:abstractNumId="4">
    <w:nsid w:val="DE759F4B"/>
    <w:multiLevelType w:val="singleLevel"/>
    <w:tmpl w:val="DE759F4B"/>
    <w:lvl w:ilvl="0" w:tentative="0">
      <w:start w:val="2"/>
      <w:numFmt w:val="decimal"/>
      <w:suff w:val="space"/>
      <w:lvlText w:val="%1."/>
      <w:lvlJc w:val="left"/>
    </w:lvl>
  </w:abstractNum>
  <w:abstractNum w:abstractNumId="5">
    <w:nsid w:val="DEABE1DB"/>
    <w:multiLevelType w:val="singleLevel"/>
    <w:tmpl w:val="DEABE1DB"/>
    <w:lvl w:ilvl="0" w:tentative="0">
      <w:start w:val="23"/>
      <w:numFmt w:val="decimal"/>
      <w:suff w:val="space"/>
      <w:lvlText w:val="%1."/>
      <w:lvlJc w:val="left"/>
    </w:lvl>
  </w:abstractNum>
  <w:abstractNum w:abstractNumId="6">
    <w:nsid w:val="FC95FCB1"/>
    <w:multiLevelType w:val="singleLevel"/>
    <w:tmpl w:val="FC95FCB1"/>
    <w:lvl w:ilvl="0" w:tentative="0">
      <w:start w:val="1"/>
      <w:numFmt w:val="decimal"/>
      <w:pStyle w:val="7"/>
      <w:lvlText w:val="%1."/>
      <w:lvlJc w:val="left"/>
      <w:pPr>
        <w:tabs>
          <w:tab w:val="left" w:pos="780"/>
        </w:tabs>
        <w:ind w:left="780" w:hanging="360"/>
      </w:pPr>
    </w:lvl>
  </w:abstractNum>
  <w:abstractNum w:abstractNumId="7">
    <w:nsid w:val="FFEFC674"/>
    <w:multiLevelType w:val="singleLevel"/>
    <w:tmpl w:val="FFEFC674"/>
    <w:lvl w:ilvl="0" w:tentative="0">
      <w:start w:val="1"/>
      <w:numFmt w:val="decimal"/>
      <w:suff w:val="nothing"/>
      <w:lvlText w:val="（%1）"/>
      <w:lvlJc w:val="left"/>
    </w:lvl>
  </w:abstractNum>
  <w:abstractNum w:abstractNumId="8">
    <w:nsid w:val="2A5C4143"/>
    <w:multiLevelType w:val="multilevel"/>
    <w:tmpl w:val="2A5C4143"/>
    <w:lvl w:ilvl="0" w:tentative="0">
      <w:start w:val="1"/>
      <w:numFmt w:val="decimal"/>
      <w:pStyle w:val="118"/>
      <w:lvlText w:val="%1."/>
      <w:lvlJc w:val="left"/>
      <w:pPr>
        <w:ind w:left="360" w:hanging="360"/>
      </w:pPr>
      <w:rPr>
        <w:rFonts w:hint="default"/>
      </w:rPr>
    </w:lvl>
    <w:lvl w:ilvl="1" w:tentative="0">
      <w:start w:val="1"/>
      <w:numFmt w:val="lowerLetter"/>
      <w:lvlText w:val="%2)"/>
      <w:lvlJc w:val="left"/>
      <w:pPr>
        <w:ind w:left="800" w:hanging="360"/>
      </w:pPr>
      <w:rPr>
        <w:rFonts w:hint="default"/>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9">
    <w:nsid w:val="4A1846E0"/>
    <w:multiLevelType w:val="multilevel"/>
    <w:tmpl w:val="4A1846E0"/>
    <w:lvl w:ilvl="0" w:tentative="0">
      <w:start w:val="1"/>
      <w:numFmt w:val="bullet"/>
      <w:pStyle w:val="91"/>
      <w:lvlText w:val="■"/>
      <w:lvlJc w:val="left"/>
      <w:pPr>
        <w:tabs>
          <w:tab w:val="left" w:pos="0"/>
        </w:tabs>
        <w:ind w:left="420" w:firstLine="0"/>
      </w:pPr>
      <w:rPr>
        <w:rFonts w:hint="default" w:ascii="Arial" w:hAnsi="Arial" w:eastAsia="宋体"/>
        <w:b/>
        <w:i w:val="0"/>
        <w:color w:val="0087E2"/>
        <w:sz w:val="28"/>
      </w:rPr>
    </w:lvl>
    <w:lvl w:ilvl="1" w:tentative="0">
      <w:start w:val="1"/>
      <w:numFmt w:val="bullet"/>
      <w:lvlText w:val=""/>
      <w:lvlJc w:val="left"/>
      <w:pPr>
        <w:tabs>
          <w:tab w:val="left" w:pos="1040"/>
        </w:tabs>
        <w:ind w:left="1040" w:hanging="420"/>
      </w:pPr>
      <w:rPr>
        <w:rFonts w:hint="default" w:ascii="Wingdings" w:hAnsi="Wingdings"/>
      </w:rPr>
    </w:lvl>
    <w:lvl w:ilvl="2" w:tentative="0">
      <w:start w:val="1"/>
      <w:numFmt w:val="bullet"/>
      <w:lvlText w:val=""/>
      <w:lvlJc w:val="left"/>
      <w:pPr>
        <w:tabs>
          <w:tab w:val="left" w:pos="1460"/>
        </w:tabs>
        <w:ind w:left="1460" w:hanging="420"/>
      </w:pPr>
      <w:rPr>
        <w:rFonts w:hint="default" w:ascii="Wingdings" w:hAnsi="Wingdings"/>
      </w:rPr>
    </w:lvl>
    <w:lvl w:ilvl="3" w:tentative="0">
      <w:start w:val="1"/>
      <w:numFmt w:val="bullet"/>
      <w:lvlText w:val=""/>
      <w:lvlJc w:val="left"/>
      <w:pPr>
        <w:tabs>
          <w:tab w:val="left" w:pos="1880"/>
        </w:tabs>
        <w:ind w:left="1880" w:hanging="420"/>
      </w:pPr>
      <w:rPr>
        <w:rFonts w:hint="default" w:ascii="Wingdings" w:hAnsi="Wingdings"/>
      </w:rPr>
    </w:lvl>
    <w:lvl w:ilvl="4" w:tentative="0">
      <w:start w:val="1"/>
      <w:numFmt w:val="bullet"/>
      <w:lvlText w:val=""/>
      <w:lvlJc w:val="left"/>
      <w:pPr>
        <w:tabs>
          <w:tab w:val="left" w:pos="2300"/>
        </w:tabs>
        <w:ind w:left="2300" w:hanging="420"/>
      </w:pPr>
      <w:rPr>
        <w:rFonts w:hint="default" w:ascii="Wingdings" w:hAnsi="Wingdings"/>
      </w:rPr>
    </w:lvl>
    <w:lvl w:ilvl="5" w:tentative="0">
      <w:start w:val="1"/>
      <w:numFmt w:val="bullet"/>
      <w:lvlText w:val=""/>
      <w:lvlJc w:val="left"/>
      <w:pPr>
        <w:tabs>
          <w:tab w:val="left" w:pos="2720"/>
        </w:tabs>
        <w:ind w:left="2720" w:hanging="420"/>
      </w:pPr>
      <w:rPr>
        <w:rFonts w:hint="default" w:ascii="Wingdings" w:hAnsi="Wingdings"/>
      </w:rPr>
    </w:lvl>
    <w:lvl w:ilvl="6" w:tentative="0">
      <w:start w:val="1"/>
      <w:numFmt w:val="bullet"/>
      <w:lvlText w:val=""/>
      <w:lvlJc w:val="left"/>
      <w:pPr>
        <w:tabs>
          <w:tab w:val="left" w:pos="3140"/>
        </w:tabs>
        <w:ind w:left="3140" w:hanging="420"/>
      </w:pPr>
      <w:rPr>
        <w:rFonts w:hint="default" w:ascii="Wingdings" w:hAnsi="Wingdings"/>
      </w:rPr>
    </w:lvl>
    <w:lvl w:ilvl="7" w:tentative="0">
      <w:start w:val="1"/>
      <w:numFmt w:val="bullet"/>
      <w:lvlText w:val=""/>
      <w:lvlJc w:val="left"/>
      <w:pPr>
        <w:tabs>
          <w:tab w:val="left" w:pos="3560"/>
        </w:tabs>
        <w:ind w:left="3560" w:hanging="420"/>
      </w:pPr>
      <w:rPr>
        <w:rFonts w:hint="default" w:ascii="Wingdings" w:hAnsi="Wingdings"/>
      </w:rPr>
    </w:lvl>
    <w:lvl w:ilvl="8" w:tentative="0">
      <w:start w:val="1"/>
      <w:numFmt w:val="bullet"/>
      <w:lvlText w:val=""/>
      <w:lvlJc w:val="left"/>
      <w:pPr>
        <w:tabs>
          <w:tab w:val="left" w:pos="3980"/>
        </w:tabs>
        <w:ind w:left="3980" w:hanging="420"/>
      </w:pPr>
      <w:rPr>
        <w:rFonts w:hint="default" w:ascii="Wingdings" w:hAnsi="Wingdings"/>
      </w:rPr>
    </w:lvl>
  </w:abstractNum>
  <w:abstractNum w:abstractNumId="10">
    <w:nsid w:val="7A0F6431"/>
    <w:multiLevelType w:val="singleLevel"/>
    <w:tmpl w:val="7A0F6431"/>
    <w:lvl w:ilvl="0" w:tentative="0">
      <w:start w:val="1"/>
      <w:numFmt w:val="decimal"/>
      <w:suff w:val="space"/>
      <w:lvlText w:val="%1."/>
      <w:lvlJc w:val="left"/>
    </w:lvl>
  </w:abstractNum>
  <w:num w:numId="1">
    <w:abstractNumId w:val="6"/>
  </w:num>
  <w:num w:numId="2">
    <w:abstractNumId w:val="9"/>
  </w:num>
  <w:num w:numId="3">
    <w:abstractNumId w:val="8"/>
  </w:num>
  <w:num w:numId="4">
    <w:abstractNumId w:val="2"/>
  </w:num>
  <w:num w:numId="5">
    <w:abstractNumId w:val="10"/>
  </w:num>
  <w:num w:numId="6">
    <w:abstractNumId w:val="1"/>
  </w:num>
  <w:num w:numId="7">
    <w:abstractNumId w:val="7"/>
  </w:num>
  <w:num w:numId="8">
    <w:abstractNumId w:val="4"/>
  </w:num>
  <w:num w:numId="9">
    <w:abstractNumId w:val="3"/>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AyZjJmMjhlZDEwNzI3ZmU1MDFhYzc0MTM5NGJiZGQifQ=="/>
  </w:docVars>
  <w:rsids>
    <w:rsidRoot w:val="00002E16"/>
    <w:rsid w:val="00000977"/>
    <w:rsid w:val="00001BE2"/>
    <w:rsid w:val="000021A6"/>
    <w:rsid w:val="000024DD"/>
    <w:rsid w:val="0000278D"/>
    <w:rsid w:val="000027FD"/>
    <w:rsid w:val="00002E16"/>
    <w:rsid w:val="00003027"/>
    <w:rsid w:val="00003601"/>
    <w:rsid w:val="00005912"/>
    <w:rsid w:val="000060E2"/>
    <w:rsid w:val="00007B9C"/>
    <w:rsid w:val="00011673"/>
    <w:rsid w:val="00011F6E"/>
    <w:rsid w:val="00013BE7"/>
    <w:rsid w:val="00014057"/>
    <w:rsid w:val="0001429B"/>
    <w:rsid w:val="0001471C"/>
    <w:rsid w:val="00014F42"/>
    <w:rsid w:val="000154AF"/>
    <w:rsid w:val="00015CE0"/>
    <w:rsid w:val="00016242"/>
    <w:rsid w:val="00016CA6"/>
    <w:rsid w:val="00016E6D"/>
    <w:rsid w:val="00016F0A"/>
    <w:rsid w:val="00017DBF"/>
    <w:rsid w:val="00021EFE"/>
    <w:rsid w:val="00022CED"/>
    <w:rsid w:val="000238B3"/>
    <w:rsid w:val="00023BB5"/>
    <w:rsid w:val="000277F4"/>
    <w:rsid w:val="00027B86"/>
    <w:rsid w:val="00027CD7"/>
    <w:rsid w:val="00030338"/>
    <w:rsid w:val="0003053E"/>
    <w:rsid w:val="00031A5F"/>
    <w:rsid w:val="00033D16"/>
    <w:rsid w:val="00034557"/>
    <w:rsid w:val="0003495A"/>
    <w:rsid w:val="00034F47"/>
    <w:rsid w:val="00034F50"/>
    <w:rsid w:val="00035810"/>
    <w:rsid w:val="00036D1F"/>
    <w:rsid w:val="00040467"/>
    <w:rsid w:val="000409FF"/>
    <w:rsid w:val="00040F3C"/>
    <w:rsid w:val="00041003"/>
    <w:rsid w:val="00041496"/>
    <w:rsid w:val="00043A95"/>
    <w:rsid w:val="00044966"/>
    <w:rsid w:val="000451E4"/>
    <w:rsid w:val="00045AB1"/>
    <w:rsid w:val="000476ED"/>
    <w:rsid w:val="00050257"/>
    <w:rsid w:val="00050414"/>
    <w:rsid w:val="00050752"/>
    <w:rsid w:val="00050D4C"/>
    <w:rsid w:val="00051E83"/>
    <w:rsid w:val="00054E84"/>
    <w:rsid w:val="0005560D"/>
    <w:rsid w:val="0005560E"/>
    <w:rsid w:val="0005615E"/>
    <w:rsid w:val="0005618E"/>
    <w:rsid w:val="00056810"/>
    <w:rsid w:val="00060A7B"/>
    <w:rsid w:val="00060E48"/>
    <w:rsid w:val="0006118C"/>
    <w:rsid w:val="00061E3C"/>
    <w:rsid w:val="00062CB4"/>
    <w:rsid w:val="00064D9D"/>
    <w:rsid w:val="0006601D"/>
    <w:rsid w:val="000660A0"/>
    <w:rsid w:val="00066F8D"/>
    <w:rsid w:val="000670CA"/>
    <w:rsid w:val="00070764"/>
    <w:rsid w:val="00073275"/>
    <w:rsid w:val="000733FC"/>
    <w:rsid w:val="00073505"/>
    <w:rsid w:val="00074462"/>
    <w:rsid w:val="00074E3F"/>
    <w:rsid w:val="00075464"/>
    <w:rsid w:val="00075A9A"/>
    <w:rsid w:val="00080EBA"/>
    <w:rsid w:val="00081940"/>
    <w:rsid w:val="00082857"/>
    <w:rsid w:val="00083A35"/>
    <w:rsid w:val="00084162"/>
    <w:rsid w:val="00084710"/>
    <w:rsid w:val="00084E7B"/>
    <w:rsid w:val="0008511D"/>
    <w:rsid w:val="000851F1"/>
    <w:rsid w:val="00085379"/>
    <w:rsid w:val="000857E0"/>
    <w:rsid w:val="00085DBF"/>
    <w:rsid w:val="00085EE7"/>
    <w:rsid w:val="000866CF"/>
    <w:rsid w:val="00086D78"/>
    <w:rsid w:val="000875BB"/>
    <w:rsid w:val="000877E9"/>
    <w:rsid w:val="000902F6"/>
    <w:rsid w:val="00091CF6"/>
    <w:rsid w:val="00092598"/>
    <w:rsid w:val="00092F73"/>
    <w:rsid w:val="000A0132"/>
    <w:rsid w:val="000A09C9"/>
    <w:rsid w:val="000A1A17"/>
    <w:rsid w:val="000A2DF0"/>
    <w:rsid w:val="000A3A01"/>
    <w:rsid w:val="000A3E80"/>
    <w:rsid w:val="000A5152"/>
    <w:rsid w:val="000A548A"/>
    <w:rsid w:val="000A5B1D"/>
    <w:rsid w:val="000A7C3D"/>
    <w:rsid w:val="000B0247"/>
    <w:rsid w:val="000B1F8A"/>
    <w:rsid w:val="000B3969"/>
    <w:rsid w:val="000B4817"/>
    <w:rsid w:val="000B58C1"/>
    <w:rsid w:val="000B5E5F"/>
    <w:rsid w:val="000B670F"/>
    <w:rsid w:val="000B6BF6"/>
    <w:rsid w:val="000B7D29"/>
    <w:rsid w:val="000B7D54"/>
    <w:rsid w:val="000C02BE"/>
    <w:rsid w:val="000C2E52"/>
    <w:rsid w:val="000C3735"/>
    <w:rsid w:val="000C63E0"/>
    <w:rsid w:val="000C67E2"/>
    <w:rsid w:val="000C6E46"/>
    <w:rsid w:val="000C7DF3"/>
    <w:rsid w:val="000C7E87"/>
    <w:rsid w:val="000D0433"/>
    <w:rsid w:val="000D0CCC"/>
    <w:rsid w:val="000D1F6F"/>
    <w:rsid w:val="000D2C94"/>
    <w:rsid w:val="000D428B"/>
    <w:rsid w:val="000D4743"/>
    <w:rsid w:val="000D47D5"/>
    <w:rsid w:val="000D6F17"/>
    <w:rsid w:val="000E0182"/>
    <w:rsid w:val="000E03A1"/>
    <w:rsid w:val="000E0C5D"/>
    <w:rsid w:val="000E15E0"/>
    <w:rsid w:val="000E1C40"/>
    <w:rsid w:val="000E2244"/>
    <w:rsid w:val="000E2DCD"/>
    <w:rsid w:val="000E3CF2"/>
    <w:rsid w:val="000E4C4F"/>
    <w:rsid w:val="000E4FCB"/>
    <w:rsid w:val="000E53CD"/>
    <w:rsid w:val="000E54BB"/>
    <w:rsid w:val="000E76DC"/>
    <w:rsid w:val="000E7C57"/>
    <w:rsid w:val="000F152F"/>
    <w:rsid w:val="000F3494"/>
    <w:rsid w:val="000F3926"/>
    <w:rsid w:val="000F50C0"/>
    <w:rsid w:val="000F582E"/>
    <w:rsid w:val="000F62B0"/>
    <w:rsid w:val="000F6AE8"/>
    <w:rsid w:val="000F6BE8"/>
    <w:rsid w:val="000F7D3B"/>
    <w:rsid w:val="00100143"/>
    <w:rsid w:val="001002E1"/>
    <w:rsid w:val="001003BD"/>
    <w:rsid w:val="001004F5"/>
    <w:rsid w:val="00101991"/>
    <w:rsid w:val="00101B30"/>
    <w:rsid w:val="001020D7"/>
    <w:rsid w:val="00102EA5"/>
    <w:rsid w:val="0010336F"/>
    <w:rsid w:val="00103D7C"/>
    <w:rsid w:val="0010439A"/>
    <w:rsid w:val="00104949"/>
    <w:rsid w:val="001106DF"/>
    <w:rsid w:val="00110A01"/>
    <w:rsid w:val="001123C0"/>
    <w:rsid w:val="0011332C"/>
    <w:rsid w:val="00114338"/>
    <w:rsid w:val="00114A30"/>
    <w:rsid w:val="00114F04"/>
    <w:rsid w:val="00115C96"/>
    <w:rsid w:val="00116957"/>
    <w:rsid w:val="00117ECA"/>
    <w:rsid w:val="00120F37"/>
    <w:rsid w:val="00121930"/>
    <w:rsid w:val="00122BAE"/>
    <w:rsid w:val="00122CE8"/>
    <w:rsid w:val="00125861"/>
    <w:rsid w:val="00125B4E"/>
    <w:rsid w:val="00126469"/>
    <w:rsid w:val="00126FD6"/>
    <w:rsid w:val="00127241"/>
    <w:rsid w:val="00131B2F"/>
    <w:rsid w:val="0013319B"/>
    <w:rsid w:val="00134829"/>
    <w:rsid w:val="001360AC"/>
    <w:rsid w:val="001362F4"/>
    <w:rsid w:val="00137421"/>
    <w:rsid w:val="00137956"/>
    <w:rsid w:val="00137F51"/>
    <w:rsid w:val="00140AB5"/>
    <w:rsid w:val="00140B07"/>
    <w:rsid w:val="001419BF"/>
    <w:rsid w:val="0014453E"/>
    <w:rsid w:val="00145569"/>
    <w:rsid w:val="00145A73"/>
    <w:rsid w:val="001461A2"/>
    <w:rsid w:val="001472A8"/>
    <w:rsid w:val="001502C5"/>
    <w:rsid w:val="0015063E"/>
    <w:rsid w:val="001516B5"/>
    <w:rsid w:val="00151E01"/>
    <w:rsid w:val="001520C5"/>
    <w:rsid w:val="001539A1"/>
    <w:rsid w:val="00153DF3"/>
    <w:rsid w:val="00154B7E"/>
    <w:rsid w:val="0015562B"/>
    <w:rsid w:val="0015577F"/>
    <w:rsid w:val="00156C2B"/>
    <w:rsid w:val="00157814"/>
    <w:rsid w:val="00160A43"/>
    <w:rsid w:val="001618F9"/>
    <w:rsid w:val="0016210D"/>
    <w:rsid w:val="00162567"/>
    <w:rsid w:val="00163378"/>
    <w:rsid w:val="001635BE"/>
    <w:rsid w:val="001639DD"/>
    <w:rsid w:val="00164E7B"/>
    <w:rsid w:val="0016512C"/>
    <w:rsid w:val="0016710D"/>
    <w:rsid w:val="00167367"/>
    <w:rsid w:val="001679BD"/>
    <w:rsid w:val="00170260"/>
    <w:rsid w:val="0017032F"/>
    <w:rsid w:val="00171980"/>
    <w:rsid w:val="0017227D"/>
    <w:rsid w:val="0017333C"/>
    <w:rsid w:val="00174D82"/>
    <w:rsid w:val="001758E3"/>
    <w:rsid w:val="00177124"/>
    <w:rsid w:val="00181C50"/>
    <w:rsid w:val="00183BB1"/>
    <w:rsid w:val="00184287"/>
    <w:rsid w:val="00184F42"/>
    <w:rsid w:val="00185DCF"/>
    <w:rsid w:val="001868E1"/>
    <w:rsid w:val="00186C31"/>
    <w:rsid w:val="00187FB9"/>
    <w:rsid w:val="00190F83"/>
    <w:rsid w:val="00190FBE"/>
    <w:rsid w:val="00191802"/>
    <w:rsid w:val="00191938"/>
    <w:rsid w:val="00192617"/>
    <w:rsid w:val="00192BAE"/>
    <w:rsid w:val="00193619"/>
    <w:rsid w:val="00193B00"/>
    <w:rsid w:val="00194E33"/>
    <w:rsid w:val="00196126"/>
    <w:rsid w:val="00196188"/>
    <w:rsid w:val="00196257"/>
    <w:rsid w:val="00196A30"/>
    <w:rsid w:val="00196AEF"/>
    <w:rsid w:val="0019710B"/>
    <w:rsid w:val="00197402"/>
    <w:rsid w:val="00197792"/>
    <w:rsid w:val="001A003D"/>
    <w:rsid w:val="001A085B"/>
    <w:rsid w:val="001A1F76"/>
    <w:rsid w:val="001A3076"/>
    <w:rsid w:val="001A3111"/>
    <w:rsid w:val="001A363A"/>
    <w:rsid w:val="001A3F6D"/>
    <w:rsid w:val="001A422E"/>
    <w:rsid w:val="001A4FE9"/>
    <w:rsid w:val="001A554A"/>
    <w:rsid w:val="001A5FFF"/>
    <w:rsid w:val="001A69E2"/>
    <w:rsid w:val="001B00B1"/>
    <w:rsid w:val="001B0B00"/>
    <w:rsid w:val="001B0C5D"/>
    <w:rsid w:val="001B19BE"/>
    <w:rsid w:val="001B1D8C"/>
    <w:rsid w:val="001B2721"/>
    <w:rsid w:val="001B2FFB"/>
    <w:rsid w:val="001B35E3"/>
    <w:rsid w:val="001B700A"/>
    <w:rsid w:val="001B761D"/>
    <w:rsid w:val="001B79F9"/>
    <w:rsid w:val="001C10D4"/>
    <w:rsid w:val="001C4726"/>
    <w:rsid w:val="001C4868"/>
    <w:rsid w:val="001C608F"/>
    <w:rsid w:val="001C79B1"/>
    <w:rsid w:val="001D059E"/>
    <w:rsid w:val="001D3050"/>
    <w:rsid w:val="001D3A30"/>
    <w:rsid w:val="001D3CB3"/>
    <w:rsid w:val="001D56A2"/>
    <w:rsid w:val="001D5CC7"/>
    <w:rsid w:val="001D6B70"/>
    <w:rsid w:val="001D6D14"/>
    <w:rsid w:val="001E1018"/>
    <w:rsid w:val="001E163B"/>
    <w:rsid w:val="001E24E5"/>
    <w:rsid w:val="001E2AA5"/>
    <w:rsid w:val="001E366C"/>
    <w:rsid w:val="001E4EA3"/>
    <w:rsid w:val="001F2244"/>
    <w:rsid w:val="001F24EE"/>
    <w:rsid w:val="001F28AE"/>
    <w:rsid w:val="001F28C6"/>
    <w:rsid w:val="001F5149"/>
    <w:rsid w:val="001F5B4D"/>
    <w:rsid w:val="001F6F2C"/>
    <w:rsid w:val="001F74A0"/>
    <w:rsid w:val="00200EC9"/>
    <w:rsid w:val="00202082"/>
    <w:rsid w:val="00202595"/>
    <w:rsid w:val="0020260A"/>
    <w:rsid w:val="0020442B"/>
    <w:rsid w:val="00205CE7"/>
    <w:rsid w:val="00205EF4"/>
    <w:rsid w:val="00206889"/>
    <w:rsid w:val="002101FF"/>
    <w:rsid w:val="002115EA"/>
    <w:rsid w:val="0021172F"/>
    <w:rsid w:val="0021183B"/>
    <w:rsid w:val="00211BBA"/>
    <w:rsid w:val="0021356E"/>
    <w:rsid w:val="00215EBC"/>
    <w:rsid w:val="00217D4E"/>
    <w:rsid w:val="002200A7"/>
    <w:rsid w:val="00221D76"/>
    <w:rsid w:val="00221E75"/>
    <w:rsid w:val="0022275C"/>
    <w:rsid w:val="00224230"/>
    <w:rsid w:val="002253FA"/>
    <w:rsid w:val="00225DB0"/>
    <w:rsid w:val="00225DD6"/>
    <w:rsid w:val="00226926"/>
    <w:rsid w:val="00226C65"/>
    <w:rsid w:val="00226C68"/>
    <w:rsid w:val="00227C5D"/>
    <w:rsid w:val="00227E33"/>
    <w:rsid w:val="00230E1E"/>
    <w:rsid w:val="00230E4C"/>
    <w:rsid w:val="002338BE"/>
    <w:rsid w:val="00233F31"/>
    <w:rsid w:val="00233F39"/>
    <w:rsid w:val="002345D7"/>
    <w:rsid w:val="002357B9"/>
    <w:rsid w:val="00237932"/>
    <w:rsid w:val="00237F7B"/>
    <w:rsid w:val="00240262"/>
    <w:rsid w:val="002423DE"/>
    <w:rsid w:val="00243355"/>
    <w:rsid w:val="00243AE5"/>
    <w:rsid w:val="002443F8"/>
    <w:rsid w:val="0024586D"/>
    <w:rsid w:val="002458A8"/>
    <w:rsid w:val="0024613B"/>
    <w:rsid w:val="002468E5"/>
    <w:rsid w:val="00246FFA"/>
    <w:rsid w:val="002474C6"/>
    <w:rsid w:val="00247553"/>
    <w:rsid w:val="00250455"/>
    <w:rsid w:val="00251C0C"/>
    <w:rsid w:val="002526A3"/>
    <w:rsid w:val="00252E6B"/>
    <w:rsid w:val="0025452C"/>
    <w:rsid w:val="002560FF"/>
    <w:rsid w:val="00256790"/>
    <w:rsid w:val="0025710C"/>
    <w:rsid w:val="00257207"/>
    <w:rsid w:val="002600FB"/>
    <w:rsid w:val="00261DE2"/>
    <w:rsid w:val="002625C2"/>
    <w:rsid w:val="00263038"/>
    <w:rsid w:val="00264A19"/>
    <w:rsid w:val="00264B8F"/>
    <w:rsid w:val="00264CEE"/>
    <w:rsid w:val="002667C4"/>
    <w:rsid w:val="002679A7"/>
    <w:rsid w:val="002702BF"/>
    <w:rsid w:val="00271A99"/>
    <w:rsid w:val="002736A8"/>
    <w:rsid w:val="002738A7"/>
    <w:rsid w:val="002741EA"/>
    <w:rsid w:val="0027538B"/>
    <w:rsid w:val="00276463"/>
    <w:rsid w:val="00276843"/>
    <w:rsid w:val="00280277"/>
    <w:rsid w:val="002816A4"/>
    <w:rsid w:val="00282550"/>
    <w:rsid w:val="00283323"/>
    <w:rsid w:val="00283691"/>
    <w:rsid w:val="0028417D"/>
    <w:rsid w:val="0028536C"/>
    <w:rsid w:val="002853D3"/>
    <w:rsid w:val="00286A7C"/>
    <w:rsid w:val="00287C69"/>
    <w:rsid w:val="002905F2"/>
    <w:rsid w:val="002911CB"/>
    <w:rsid w:val="00291AE4"/>
    <w:rsid w:val="00292270"/>
    <w:rsid w:val="0029250B"/>
    <w:rsid w:val="0029339E"/>
    <w:rsid w:val="002945A6"/>
    <w:rsid w:val="00294D06"/>
    <w:rsid w:val="00295A52"/>
    <w:rsid w:val="00297109"/>
    <w:rsid w:val="002A08FE"/>
    <w:rsid w:val="002A0D7F"/>
    <w:rsid w:val="002A2660"/>
    <w:rsid w:val="002A279E"/>
    <w:rsid w:val="002A3186"/>
    <w:rsid w:val="002A3CC5"/>
    <w:rsid w:val="002A4A97"/>
    <w:rsid w:val="002A679D"/>
    <w:rsid w:val="002A799E"/>
    <w:rsid w:val="002B0437"/>
    <w:rsid w:val="002B1150"/>
    <w:rsid w:val="002B3789"/>
    <w:rsid w:val="002B4142"/>
    <w:rsid w:val="002B4970"/>
    <w:rsid w:val="002B5014"/>
    <w:rsid w:val="002B53E8"/>
    <w:rsid w:val="002B5861"/>
    <w:rsid w:val="002B5A9A"/>
    <w:rsid w:val="002B60F6"/>
    <w:rsid w:val="002B7446"/>
    <w:rsid w:val="002C01AD"/>
    <w:rsid w:val="002C0AF2"/>
    <w:rsid w:val="002C17E3"/>
    <w:rsid w:val="002C1942"/>
    <w:rsid w:val="002C1D65"/>
    <w:rsid w:val="002C2083"/>
    <w:rsid w:val="002C3429"/>
    <w:rsid w:val="002C495C"/>
    <w:rsid w:val="002C54FC"/>
    <w:rsid w:val="002C5E79"/>
    <w:rsid w:val="002D181B"/>
    <w:rsid w:val="002D31C9"/>
    <w:rsid w:val="002D43AB"/>
    <w:rsid w:val="002D4701"/>
    <w:rsid w:val="002D4A19"/>
    <w:rsid w:val="002D4FBF"/>
    <w:rsid w:val="002D55FA"/>
    <w:rsid w:val="002D5F87"/>
    <w:rsid w:val="002D614D"/>
    <w:rsid w:val="002D61D6"/>
    <w:rsid w:val="002D686D"/>
    <w:rsid w:val="002D6BB2"/>
    <w:rsid w:val="002D6F69"/>
    <w:rsid w:val="002D709A"/>
    <w:rsid w:val="002D709C"/>
    <w:rsid w:val="002E0AF9"/>
    <w:rsid w:val="002E111D"/>
    <w:rsid w:val="002E191D"/>
    <w:rsid w:val="002E1C86"/>
    <w:rsid w:val="002E296D"/>
    <w:rsid w:val="002E2F98"/>
    <w:rsid w:val="002E3D9D"/>
    <w:rsid w:val="002E55D6"/>
    <w:rsid w:val="002E65C2"/>
    <w:rsid w:val="002F08F6"/>
    <w:rsid w:val="002F1ACE"/>
    <w:rsid w:val="002F2C87"/>
    <w:rsid w:val="002F40EB"/>
    <w:rsid w:val="002F4581"/>
    <w:rsid w:val="002F480F"/>
    <w:rsid w:val="002F51AA"/>
    <w:rsid w:val="002F5239"/>
    <w:rsid w:val="002F55CC"/>
    <w:rsid w:val="00300CA3"/>
    <w:rsid w:val="00301B1C"/>
    <w:rsid w:val="00302610"/>
    <w:rsid w:val="0030376D"/>
    <w:rsid w:val="00303AE2"/>
    <w:rsid w:val="00303EF5"/>
    <w:rsid w:val="00304AB2"/>
    <w:rsid w:val="00304B9E"/>
    <w:rsid w:val="003052C4"/>
    <w:rsid w:val="00306297"/>
    <w:rsid w:val="0031113D"/>
    <w:rsid w:val="00311FB0"/>
    <w:rsid w:val="00312167"/>
    <w:rsid w:val="00314E98"/>
    <w:rsid w:val="003159DD"/>
    <w:rsid w:val="00315FAE"/>
    <w:rsid w:val="003160A5"/>
    <w:rsid w:val="00316103"/>
    <w:rsid w:val="00316D49"/>
    <w:rsid w:val="00316D64"/>
    <w:rsid w:val="00316E33"/>
    <w:rsid w:val="00317A03"/>
    <w:rsid w:val="00317C1F"/>
    <w:rsid w:val="0032056D"/>
    <w:rsid w:val="00320ECC"/>
    <w:rsid w:val="00321073"/>
    <w:rsid w:val="0032132F"/>
    <w:rsid w:val="00321A46"/>
    <w:rsid w:val="00321EEF"/>
    <w:rsid w:val="00322D22"/>
    <w:rsid w:val="0032505B"/>
    <w:rsid w:val="00325315"/>
    <w:rsid w:val="00326E27"/>
    <w:rsid w:val="00331087"/>
    <w:rsid w:val="003312A1"/>
    <w:rsid w:val="00332B5D"/>
    <w:rsid w:val="00334D4A"/>
    <w:rsid w:val="003350A8"/>
    <w:rsid w:val="00336010"/>
    <w:rsid w:val="00337032"/>
    <w:rsid w:val="00337862"/>
    <w:rsid w:val="0034283B"/>
    <w:rsid w:val="003428F2"/>
    <w:rsid w:val="00342EA8"/>
    <w:rsid w:val="0034335B"/>
    <w:rsid w:val="0034561E"/>
    <w:rsid w:val="00346533"/>
    <w:rsid w:val="00347ACC"/>
    <w:rsid w:val="00351507"/>
    <w:rsid w:val="00353F9E"/>
    <w:rsid w:val="00353FA7"/>
    <w:rsid w:val="00354140"/>
    <w:rsid w:val="0035520B"/>
    <w:rsid w:val="0035644B"/>
    <w:rsid w:val="003573D3"/>
    <w:rsid w:val="00357594"/>
    <w:rsid w:val="00360B5D"/>
    <w:rsid w:val="00361D41"/>
    <w:rsid w:val="003627B6"/>
    <w:rsid w:val="00363856"/>
    <w:rsid w:val="0036460D"/>
    <w:rsid w:val="00364D47"/>
    <w:rsid w:val="0036731C"/>
    <w:rsid w:val="003679A9"/>
    <w:rsid w:val="003709DB"/>
    <w:rsid w:val="003717D4"/>
    <w:rsid w:val="003727FB"/>
    <w:rsid w:val="00372D41"/>
    <w:rsid w:val="00373B08"/>
    <w:rsid w:val="00374964"/>
    <w:rsid w:val="00380BBE"/>
    <w:rsid w:val="00380DED"/>
    <w:rsid w:val="00382771"/>
    <w:rsid w:val="003837DC"/>
    <w:rsid w:val="00387B8E"/>
    <w:rsid w:val="00390E54"/>
    <w:rsid w:val="00391B3A"/>
    <w:rsid w:val="00391F7A"/>
    <w:rsid w:val="00392007"/>
    <w:rsid w:val="00392C36"/>
    <w:rsid w:val="003932DA"/>
    <w:rsid w:val="00393F26"/>
    <w:rsid w:val="00394BF6"/>
    <w:rsid w:val="00394EC5"/>
    <w:rsid w:val="0039547D"/>
    <w:rsid w:val="00396443"/>
    <w:rsid w:val="00396F08"/>
    <w:rsid w:val="00397391"/>
    <w:rsid w:val="003974B4"/>
    <w:rsid w:val="003A07C5"/>
    <w:rsid w:val="003A214F"/>
    <w:rsid w:val="003A27A3"/>
    <w:rsid w:val="003A4269"/>
    <w:rsid w:val="003A4C21"/>
    <w:rsid w:val="003A59C0"/>
    <w:rsid w:val="003A6349"/>
    <w:rsid w:val="003A7EA4"/>
    <w:rsid w:val="003B099D"/>
    <w:rsid w:val="003B1018"/>
    <w:rsid w:val="003B11FE"/>
    <w:rsid w:val="003B27A5"/>
    <w:rsid w:val="003B3539"/>
    <w:rsid w:val="003B45DC"/>
    <w:rsid w:val="003B46EE"/>
    <w:rsid w:val="003B5F37"/>
    <w:rsid w:val="003B6E34"/>
    <w:rsid w:val="003B6E9C"/>
    <w:rsid w:val="003B75CE"/>
    <w:rsid w:val="003B7614"/>
    <w:rsid w:val="003C21B5"/>
    <w:rsid w:val="003C23A5"/>
    <w:rsid w:val="003C3B2E"/>
    <w:rsid w:val="003C3CE9"/>
    <w:rsid w:val="003C4419"/>
    <w:rsid w:val="003C4C70"/>
    <w:rsid w:val="003C506B"/>
    <w:rsid w:val="003C524F"/>
    <w:rsid w:val="003C6C8C"/>
    <w:rsid w:val="003C6CCA"/>
    <w:rsid w:val="003C7450"/>
    <w:rsid w:val="003C768D"/>
    <w:rsid w:val="003D0ECC"/>
    <w:rsid w:val="003D144D"/>
    <w:rsid w:val="003D15B2"/>
    <w:rsid w:val="003D1A23"/>
    <w:rsid w:val="003D2B42"/>
    <w:rsid w:val="003D3722"/>
    <w:rsid w:val="003D3A50"/>
    <w:rsid w:val="003D3CBE"/>
    <w:rsid w:val="003D456D"/>
    <w:rsid w:val="003D5003"/>
    <w:rsid w:val="003D580A"/>
    <w:rsid w:val="003D67B8"/>
    <w:rsid w:val="003E0037"/>
    <w:rsid w:val="003E0289"/>
    <w:rsid w:val="003E07EF"/>
    <w:rsid w:val="003E1884"/>
    <w:rsid w:val="003E3078"/>
    <w:rsid w:val="003E4E16"/>
    <w:rsid w:val="003E4F7D"/>
    <w:rsid w:val="003E4FE7"/>
    <w:rsid w:val="003E5072"/>
    <w:rsid w:val="003E5AA6"/>
    <w:rsid w:val="003E67B3"/>
    <w:rsid w:val="003E6B14"/>
    <w:rsid w:val="003E78FF"/>
    <w:rsid w:val="003F043B"/>
    <w:rsid w:val="003F1FEF"/>
    <w:rsid w:val="003F21B0"/>
    <w:rsid w:val="003F2474"/>
    <w:rsid w:val="003F2CC6"/>
    <w:rsid w:val="003F36B9"/>
    <w:rsid w:val="003F46D5"/>
    <w:rsid w:val="003F6E9F"/>
    <w:rsid w:val="003F74A0"/>
    <w:rsid w:val="003F7540"/>
    <w:rsid w:val="00400B62"/>
    <w:rsid w:val="00401159"/>
    <w:rsid w:val="00401184"/>
    <w:rsid w:val="0040140D"/>
    <w:rsid w:val="00401B38"/>
    <w:rsid w:val="004021DB"/>
    <w:rsid w:val="00403196"/>
    <w:rsid w:val="00403225"/>
    <w:rsid w:val="00403CE0"/>
    <w:rsid w:val="00404A82"/>
    <w:rsid w:val="00404DCC"/>
    <w:rsid w:val="00405953"/>
    <w:rsid w:val="00405F49"/>
    <w:rsid w:val="00406624"/>
    <w:rsid w:val="0040665B"/>
    <w:rsid w:val="00406903"/>
    <w:rsid w:val="004076F8"/>
    <w:rsid w:val="0041022B"/>
    <w:rsid w:val="004109D8"/>
    <w:rsid w:val="00410F29"/>
    <w:rsid w:val="00411281"/>
    <w:rsid w:val="00413DAD"/>
    <w:rsid w:val="004141E1"/>
    <w:rsid w:val="0041455D"/>
    <w:rsid w:val="004149A6"/>
    <w:rsid w:val="00414CFF"/>
    <w:rsid w:val="00416298"/>
    <w:rsid w:val="00416A17"/>
    <w:rsid w:val="00416C3C"/>
    <w:rsid w:val="00416C87"/>
    <w:rsid w:val="00416E1B"/>
    <w:rsid w:val="00420FEC"/>
    <w:rsid w:val="00421AF5"/>
    <w:rsid w:val="00421E94"/>
    <w:rsid w:val="00422706"/>
    <w:rsid w:val="0042274B"/>
    <w:rsid w:val="00422940"/>
    <w:rsid w:val="00422A26"/>
    <w:rsid w:val="00424577"/>
    <w:rsid w:val="004272EB"/>
    <w:rsid w:val="0042757C"/>
    <w:rsid w:val="00427927"/>
    <w:rsid w:val="00427D1C"/>
    <w:rsid w:val="0043072F"/>
    <w:rsid w:val="00430D99"/>
    <w:rsid w:val="00431289"/>
    <w:rsid w:val="00431CDE"/>
    <w:rsid w:val="00434A22"/>
    <w:rsid w:val="00434D57"/>
    <w:rsid w:val="00435697"/>
    <w:rsid w:val="0043654D"/>
    <w:rsid w:val="00440CBA"/>
    <w:rsid w:val="00441346"/>
    <w:rsid w:val="0044164A"/>
    <w:rsid w:val="00443126"/>
    <w:rsid w:val="00443F5B"/>
    <w:rsid w:val="004443E7"/>
    <w:rsid w:val="004451EC"/>
    <w:rsid w:val="0044654C"/>
    <w:rsid w:val="00446ADE"/>
    <w:rsid w:val="00446CCB"/>
    <w:rsid w:val="004473B2"/>
    <w:rsid w:val="0044799E"/>
    <w:rsid w:val="00450037"/>
    <w:rsid w:val="00451269"/>
    <w:rsid w:val="004523AA"/>
    <w:rsid w:val="00452EC3"/>
    <w:rsid w:val="0045373B"/>
    <w:rsid w:val="004550AB"/>
    <w:rsid w:val="0045618A"/>
    <w:rsid w:val="00456967"/>
    <w:rsid w:val="00460982"/>
    <w:rsid w:val="00460DB9"/>
    <w:rsid w:val="0046104C"/>
    <w:rsid w:val="00462337"/>
    <w:rsid w:val="00463727"/>
    <w:rsid w:val="00463D80"/>
    <w:rsid w:val="00463F02"/>
    <w:rsid w:val="00465276"/>
    <w:rsid w:val="00466F2D"/>
    <w:rsid w:val="004706DD"/>
    <w:rsid w:val="00470BBF"/>
    <w:rsid w:val="00471102"/>
    <w:rsid w:val="004713C1"/>
    <w:rsid w:val="00471780"/>
    <w:rsid w:val="0047283C"/>
    <w:rsid w:val="00473906"/>
    <w:rsid w:val="004742E2"/>
    <w:rsid w:val="0047471C"/>
    <w:rsid w:val="00474CD4"/>
    <w:rsid w:val="004758C4"/>
    <w:rsid w:val="0047703C"/>
    <w:rsid w:val="00477C8A"/>
    <w:rsid w:val="00480202"/>
    <w:rsid w:val="004803C8"/>
    <w:rsid w:val="00481FD8"/>
    <w:rsid w:val="00482F78"/>
    <w:rsid w:val="00483ADC"/>
    <w:rsid w:val="00485AAA"/>
    <w:rsid w:val="00486CE7"/>
    <w:rsid w:val="0048731A"/>
    <w:rsid w:val="004873A8"/>
    <w:rsid w:val="00487EF2"/>
    <w:rsid w:val="00490F7E"/>
    <w:rsid w:val="00491AF1"/>
    <w:rsid w:val="00491E62"/>
    <w:rsid w:val="004948A4"/>
    <w:rsid w:val="00494E8E"/>
    <w:rsid w:val="0049563A"/>
    <w:rsid w:val="00497A73"/>
    <w:rsid w:val="00497ACC"/>
    <w:rsid w:val="00497FE7"/>
    <w:rsid w:val="004A0703"/>
    <w:rsid w:val="004A2011"/>
    <w:rsid w:val="004A2C38"/>
    <w:rsid w:val="004A33EB"/>
    <w:rsid w:val="004A4B46"/>
    <w:rsid w:val="004A53B4"/>
    <w:rsid w:val="004A6B46"/>
    <w:rsid w:val="004A7DBA"/>
    <w:rsid w:val="004B0073"/>
    <w:rsid w:val="004B261E"/>
    <w:rsid w:val="004B2CC0"/>
    <w:rsid w:val="004B2CFF"/>
    <w:rsid w:val="004B3A2B"/>
    <w:rsid w:val="004B45F8"/>
    <w:rsid w:val="004B67B2"/>
    <w:rsid w:val="004B6EC8"/>
    <w:rsid w:val="004B79FD"/>
    <w:rsid w:val="004B7A49"/>
    <w:rsid w:val="004C0C14"/>
    <w:rsid w:val="004C2B79"/>
    <w:rsid w:val="004C3F56"/>
    <w:rsid w:val="004C4B51"/>
    <w:rsid w:val="004C571C"/>
    <w:rsid w:val="004C6525"/>
    <w:rsid w:val="004C7F37"/>
    <w:rsid w:val="004D00ED"/>
    <w:rsid w:val="004D375B"/>
    <w:rsid w:val="004D3DCB"/>
    <w:rsid w:val="004D4362"/>
    <w:rsid w:val="004D58EC"/>
    <w:rsid w:val="004D7656"/>
    <w:rsid w:val="004D79A1"/>
    <w:rsid w:val="004E0E42"/>
    <w:rsid w:val="004E10D8"/>
    <w:rsid w:val="004E11AC"/>
    <w:rsid w:val="004E19D6"/>
    <w:rsid w:val="004E261B"/>
    <w:rsid w:val="004E27F3"/>
    <w:rsid w:val="004E535C"/>
    <w:rsid w:val="004E6102"/>
    <w:rsid w:val="004E7385"/>
    <w:rsid w:val="004E7688"/>
    <w:rsid w:val="004E79D7"/>
    <w:rsid w:val="004F0009"/>
    <w:rsid w:val="004F02E6"/>
    <w:rsid w:val="004F198B"/>
    <w:rsid w:val="004F21B4"/>
    <w:rsid w:val="004F28AC"/>
    <w:rsid w:val="004F2A5A"/>
    <w:rsid w:val="004F301F"/>
    <w:rsid w:val="004F4186"/>
    <w:rsid w:val="004F46F8"/>
    <w:rsid w:val="004F497F"/>
    <w:rsid w:val="004F513E"/>
    <w:rsid w:val="004F6FBD"/>
    <w:rsid w:val="004F7E7D"/>
    <w:rsid w:val="00502468"/>
    <w:rsid w:val="00502BEF"/>
    <w:rsid w:val="00504FB7"/>
    <w:rsid w:val="00505527"/>
    <w:rsid w:val="00506C32"/>
    <w:rsid w:val="00510244"/>
    <w:rsid w:val="00510B6A"/>
    <w:rsid w:val="00511AFA"/>
    <w:rsid w:val="00511C2B"/>
    <w:rsid w:val="00512238"/>
    <w:rsid w:val="0051266E"/>
    <w:rsid w:val="00512A86"/>
    <w:rsid w:val="00513AE3"/>
    <w:rsid w:val="00513B7D"/>
    <w:rsid w:val="00513E9C"/>
    <w:rsid w:val="00514CF5"/>
    <w:rsid w:val="00515E3A"/>
    <w:rsid w:val="00516509"/>
    <w:rsid w:val="00517733"/>
    <w:rsid w:val="0052283F"/>
    <w:rsid w:val="005238FD"/>
    <w:rsid w:val="00523E6D"/>
    <w:rsid w:val="00523FCF"/>
    <w:rsid w:val="00524C0C"/>
    <w:rsid w:val="00525C44"/>
    <w:rsid w:val="005264CD"/>
    <w:rsid w:val="005279DE"/>
    <w:rsid w:val="005319D6"/>
    <w:rsid w:val="00532268"/>
    <w:rsid w:val="00533B7C"/>
    <w:rsid w:val="00534526"/>
    <w:rsid w:val="005346C3"/>
    <w:rsid w:val="00534DED"/>
    <w:rsid w:val="00536412"/>
    <w:rsid w:val="0053744D"/>
    <w:rsid w:val="005415A5"/>
    <w:rsid w:val="005415C0"/>
    <w:rsid w:val="00542F66"/>
    <w:rsid w:val="00543873"/>
    <w:rsid w:val="00543BBF"/>
    <w:rsid w:val="005449E4"/>
    <w:rsid w:val="00545E07"/>
    <w:rsid w:val="00546255"/>
    <w:rsid w:val="00547176"/>
    <w:rsid w:val="0054792F"/>
    <w:rsid w:val="00547E12"/>
    <w:rsid w:val="00550138"/>
    <w:rsid w:val="005503A0"/>
    <w:rsid w:val="0055194E"/>
    <w:rsid w:val="00551AE9"/>
    <w:rsid w:val="0055432D"/>
    <w:rsid w:val="00555000"/>
    <w:rsid w:val="00555129"/>
    <w:rsid w:val="00562647"/>
    <w:rsid w:val="005632C6"/>
    <w:rsid w:val="005638A2"/>
    <w:rsid w:val="00564490"/>
    <w:rsid w:val="00565ED9"/>
    <w:rsid w:val="0056786A"/>
    <w:rsid w:val="00567E23"/>
    <w:rsid w:val="00570A12"/>
    <w:rsid w:val="00573497"/>
    <w:rsid w:val="005738EB"/>
    <w:rsid w:val="005744A5"/>
    <w:rsid w:val="005753AA"/>
    <w:rsid w:val="005769FA"/>
    <w:rsid w:val="00577683"/>
    <w:rsid w:val="00580400"/>
    <w:rsid w:val="0058121B"/>
    <w:rsid w:val="00581856"/>
    <w:rsid w:val="00581979"/>
    <w:rsid w:val="00581D3E"/>
    <w:rsid w:val="005825E1"/>
    <w:rsid w:val="00582C31"/>
    <w:rsid w:val="00583ACC"/>
    <w:rsid w:val="00584810"/>
    <w:rsid w:val="005854B5"/>
    <w:rsid w:val="00585D34"/>
    <w:rsid w:val="00585EAA"/>
    <w:rsid w:val="00586614"/>
    <w:rsid w:val="00586CA7"/>
    <w:rsid w:val="005916C3"/>
    <w:rsid w:val="00591D76"/>
    <w:rsid w:val="00592478"/>
    <w:rsid w:val="005924D3"/>
    <w:rsid w:val="00593CEB"/>
    <w:rsid w:val="005941FE"/>
    <w:rsid w:val="005945FF"/>
    <w:rsid w:val="0059471B"/>
    <w:rsid w:val="00594DE1"/>
    <w:rsid w:val="005968DA"/>
    <w:rsid w:val="00596962"/>
    <w:rsid w:val="005A16B0"/>
    <w:rsid w:val="005A1DD8"/>
    <w:rsid w:val="005A2044"/>
    <w:rsid w:val="005A2115"/>
    <w:rsid w:val="005A50EC"/>
    <w:rsid w:val="005A58B1"/>
    <w:rsid w:val="005B0548"/>
    <w:rsid w:val="005B12F5"/>
    <w:rsid w:val="005B167E"/>
    <w:rsid w:val="005B1E87"/>
    <w:rsid w:val="005B2419"/>
    <w:rsid w:val="005B3D67"/>
    <w:rsid w:val="005B3ED3"/>
    <w:rsid w:val="005B5353"/>
    <w:rsid w:val="005B6C76"/>
    <w:rsid w:val="005B764A"/>
    <w:rsid w:val="005B7B8E"/>
    <w:rsid w:val="005C439D"/>
    <w:rsid w:val="005C46DE"/>
    <w:rsid w:val="005C4938"/>
    <w:rsid w:val="005C49DD"/>
    <w:rsid w:val="005C6D5D"/>
    <w:rsid w:val="005D0BE7"/>
    <w:rsid w:val="005D22E5"/>
    <w:rsid w:val="005D25AB"/>
    <w:rsid w:val="005D39C1"/>
    <w:rsid w:val="005D42FD"/>
    <w:rsid w:val="005D4570"/>
    <w:rsid w:val="005D4DF2"/>
    <w:rsid w:val="005D6AEB"/>
    <w:rsid w:val="005D6FD9"/>
    <w:rsid w:val="005D7270"/>
    <w:rsid w:val="005E10C4"/>
    <w:rsid w:val="005E3094"/>
    <w:rsid w:val="005E53CC"/>
    <w:rsid w:val="005E5403"/>
    <w:rsid w:val="005E6938"/>
    <w:rsid w:val="005E6A03"/>
    <w:rsid w:val="005E7377"/>
    <w:rsid w:val="005E778C"/>
    <w:rsid w:val="005E7C3A"/>
    <w:rsid w:val="005F0393"/>
    <w:rsid w:val="005F0C87"/>
    <w:rsid w:val="005F0E57"/>
    <w:rsid w:val="005F25D4"/>
    <w:rsid w:val="005F2902"/>
    <w:rsid w:val="005F2C02"/>
    <w:rsid w:val="005F427A"/>
    <w:rsid w:val="005F4738"/>
    <w:rsid w:val="005F4C4D"/>
    <w:rsid w:val="005F5042"/>
    <w:rsid w:val="005F54AB"/>
    <w:rsid w:val="005F5A56"/>
    <w:rsid w:val="005F7EA4"/>
    <w:rsid w:val="006001BA"/>
    <w:rsid w:val="00600714"/>
    <w:rsid w:val="00600A32"/>
    <w:rsid w:val="00601A75"/>
    <w:rsid w:val="00601E0B"/>
    <w:rsid w:val="0060332B"/>
    <w:rsid w:val="006035F9"/>
    <w:rsid w:val="00604653"/>
    <w:rsid w:val="006052C4"/>
    <w:rsid w:val="00606649"/>
    <w:rsid w:val="00606D5E"/>
    <w:rsid w:val="006124FE"/>
    <w:rsid w:val="00613984"/>
    <w:rsid w:val="00613CDB"/>
    <w:rsid w:val="006162A4"/>
    <w:rsid w:val="00616AB6"/>
    <w:rsid w:val="006171B1"/>
    <w:rsid w:val="00617374"/>
    <w:rsid w:val="006201F2"/>
    <w:rsid w:val="00620978"/>
    <w:rsid w:val="0062151D"/>
    <w:rsid w:val="00621FEB"/>
    <w:rsid w:val="006235D2"/>
    <w:rsid w:val="00624167"/>
    <w:rsid w:val="006242F6"/>
    <w:rsid w:val="00624409"/>
    <w:rsid w:val="00624505"/>
    <w:rsid w:val="0062563E"/>
    <w:rsid w:val="006265E0"/>
    <w:rsid w:val="006309D4"/>
    <w:rsid w:val="00631127"/>
    <w:rsid w:val="00631757"/>
    <w:rsid w:val="006318FE"/>
    <w:rsid w:val="00631F9E"/>
    <w:rsid w:val="00632539"/>
    <w:rsid w:val="00632CFF"/>
    <w:rsid w:val="0063368D"/>
    <w:rsid w:val="00633E03"/>
    <w:rsid w:val="0063578A"/>
    <w:rsid w:val="006359C2"/>
    <w:rsid w:val="00635D5D"/>
    <w:rsid w:val="00640E00"/>
    <w:rsid w:val="00641356"/>
    <w:rsid w:val="00643D10"/>
    <w:rsid w:val="00645EEC"/>
    <w:rsid w:val="00645F1A"/>
    <w:rsid w:val="006461A7"/>
    <w:rsid w:val="00646716"/>
    <w:rsid w:val="00647733"/>
    <w:rsid w:val="00647A8F"/>
    <w:rsid w:val="00647B69"/>
    <w:rsid w:val="00647E29"/>
    <w:rsid w:val="00647F9D"/>
    <w:rsid w:val="00651BF0"/>
    <w:rsid w:val="006527FE"/>
    <w:rsid w:val="006544E1"/>
    <w:rsid w:val="00655E72"/>
    <w:rsid w:val="00657984"/>
    <w:rsid w:val="0066036A"/>
    <w:rsid w:val="00662A4B"/>
    <w:rsid w:val="00662D3D"/>
    <w:rsid w:val="006633AD"/>
    <w:rsid w:val="006636F4"/>
    <w:rsid w:val="00663E9F"/>
    <w:rsid w:val="00665B9F"/>
    <w:rsid w:val="00665EE6"/>
    <w:rsid w:val="00666EF7"/>
    <w:rsid w:val="0066729B"/>
    <w:rsid w:val="00667481"/>
    <w:rsid w:val="00667CA0"/>
    <w:rsid w:val="00667D55"/>
    <w:rsid w:val="006706A9"/>
    <w:rsid w:val="00670924"/>
    <w:rsid w:val="00672193"/>
    <w:rsid w:val="006730B7"/>
    <w:rsid w:val="00674D40"/>
    <w:rsid w:val="00675B49"/>
    <w:rsid w:val="00676521"/>
    <w:rsid w:val="006768FE"/>
    <w:rsid w:val="00677BD2"/>
    <w:rsid w:val="00680DA8"/>
    <w:rsid w:val="00681C8A"/>
    <w:rsid w:val="006834F4"/>
    <w:rsid w:val="0068355B"/>
    <w:rsid w:val="00686E9D"/>
    <w:rsid w:val="00691E50"/>
    <w:rsid w:val="00691EC1"/>
    <w:rsid w:val="006935E4"/>
    <w:rsid w:val="006946A0"/>
    <w:rsid w:val="00694A9D"/>
    <w:rsid w:val="006A0A7A"/>
    <w:rsid w:val="006A34CC"/>
    <w:rsid w:val="006A3CA3"/>
    <w:rsid w:val="006A47A2"/>
    <w:rsid w:val="006A70D9"/>
    <w:rsid w:val="006A74F2"/>
    <w:rsid w:val="006A784A"/>
    <w:rsid w:val="006A7F58"/>
    <w:rsid w:val="006B0141"/>
    <w:rsid w:val="006B02C0"/>
    <w:rsid w:val="006B25AA"/>
    <w:rsid w:val="006B2E2F"/>
    <w:rsid w:val="006B36F3"/>
    <w:rsid w:val="006B3992"/>
    <w:rsid w:val="006B3D64"/>
    <w:rsid w:val="006B4468"/>
    <w:rsid w:val="006B5745"/>
    <w:rsid w:val="006C1669"/>
    <w:rsid w:val="006C385D"/>
    <w:rsid w:val="006C421A"/>
    <w:rsid w:val="006C45C0"/>
    <w:rsid w:val="006C4B96"/>
    <w:rsid w:val="006C5E1E"/>
    <w:rsid w:val="006D1538"/>
    <w:rsid w:val="006D339F"/>
    <w:rsid w:val="006D3BD0"/>
    <w:rsid w:val="006D3C4B"/>
    <w:rsid w:val="006D3EC1"/>
    <w:rsid w:val="006D4B25"/>
    <w:rsid w:val="006D595C"/>
    <w:rsid w:val="006D5AD0"/>
    <w:rsid w:val="006D5D84"/>
    <w:rsid w:val="006D6823"/>
    <w:rsid w:val="006D7267"/>
    <w:rsid w:val="006E003A"/>
    <w:rsid w:val="006E0539"/>
    <w:rsid w:val="006E1266"/>
    <w:rsid w:val="006E1338"/>
    <w:rsid w:val="006E15AB"/>
    <w:rsid w:val="006E1701"/>
    <w:rsid w:val="006E1B97"/>
    <w:rsid w:val="006E2AD9"/>
    <w:rsid w:val="006E2B35"/>
    <w:rsid w:val="006E2F19"/>
    <w:rsid w:val="006E3856"/>
    <w:rsid w:val="006E4362"/>
    <w:rsid w:val="006E5201"/>
    <w:rsid w:val="006E7807"/>
    <w:rsid w:val="006F0A54"/>
    <w:rsid w:val="006F19FD"/>
    <w:rsid w:val="006F1A4D"/>
    <w:rsid w:val="006F30F2"/>
    <w:rsid w:val="006F3BDD"/>
    <w:rsid w:val="006F3E88"/>
    <w:rsid w:val="006F413E"/>
    <w:rsid w:val="006F41F4"/>
    <w:rsid w:val="006F47E7"/>
    <w:rsid w:val="006F596D"/>
    <w:rsid w:val="006F6074"/>
    <w:rsid w:val="006F759F"/>
    <w:rsid w:val="006F7C2C"/>
    <w:rsid w:val="007001D1"/>
    <w:rsid w:val="0070038B"/>
    <w:rsid w:val="00700966"/>
    <w:rsid w:val="00701A81"/>
    <w:rsid w:val="00701F0E"/>
    <w:rsid w:val="0070230A"/>
    <w:rsid w:val="00702C39"/>
    <w:rsid w:val="00702E60"/>
    <w:rsid w:val="00703289"/>
    <w:rsid w:val="00703B08"/>
    <w:rsid w:val="00703D76"/>
    <w:rsid w:val="00704211"/>
    <w:rsid w:val="007043A6"/>
    <w:rsid w:val="00705D1A"/>
    <w:rsid w:val="00705D5C"/>
    <w:rsid w:val="00706134"/>
    <w:rsid w:val="0070673D"/>
    <w:rsid w:val="007074F2"/>
    <w:rsid w:val="0070754E"/>
    <w:rsid w:val="007109E3"/>
    <w:rsid w:val="007127E5"/>
    <w:rsid w:val="007131A9"/>
    <w:rsid w:val="007136DA"/>
    <w:rsid w:val="007136E2"/>
    <w:rsid w:val="007138E1"/>
    <w:rsid w:val="00713F05"/>
    <w:rsid w:val="00714391"/>
    <w:rsid w:val="00714951"/>
    <w:rsid w:val="00714E3E"/>
    <w:rsid w:val="00716610"/>
    <w:rsid w:val="0071663E"/>
    <w:rsid w:val="007167AC"/>
    <w:rsid w:val="007176FC"/>
    <w:rsid w:val="00717C7F"/>
    <w:rsid w:val="007207DC"/>
    <w:rsid w:val="00723B37"/>
    <w:rsid w:val="00723FCE"/>
    <w:rsid w:val="00724A74"/>
    <w:rsid w:val="007254D3"/>
    <w:rsid w:val="0072583A"/>
    <w:rsid w:val="0072631D"/>
    <w:rsid w:val="00726405"/>
    <w:rsid w:val="00727226"/>
    <w:rsid w:val="007302C4"/>
    <w:rsid w:val="007307CE"/>
    <w:rsid w:val="00730C27"/>
    <w:rsid w:val="00731643"/>
    <w:rsid w:val="00731F61"/>
    <w:rsid w:val="00732800"/>
    <w:rsid w:val="007328E8"/>
    <w:rsid w:val="00734714"/>
    <w:rsid w:val="00735C46"/>
    <w:rsid w:val="0073626D"/>
    <w:rsid w:val="00736F14"/>
    <w:rsid w:val="0074165D"/>
    <w:rsid w:val="007416D3"/>
    <w:rsid w:val="00742494"/>
    <w:rsid w:val="007424F8"/>
    <w:rsid w:val="00743262"/>
    <w:rsid w:val="007435B1"/>
    <w:rsid w:val="00746C56"/>
    <w:rsid w:val="00747201"/>
    <w:rsid w:val="0075015F"/>
    <w:rsid w:val="00750797"/>
    <w:rsid w:val="007527AC"/>
    <w:rsid w:val="00752EA9"/>
    <w:rsid w:val="0075357B"/>
    <w:rsid w:val="007537C4"/>
    <w:rsid w:val="00754B2D"/>
    <w:rsid w:val="00755F31"/>
    <w:rsid w:val="0076060F"/>
    <w:rsid w:val="00761127"/>
    <w:rsid w:val="0076176A"/>
    <w:rsid w:val="00762C1C"/>
    <w:rsid w:val="00762DB7"/>
    <w:rsid w:val="00764B30"/>
    <w:rsid w:val="00765DB8"/>
    <w:rsid w:val="00767A71"/>
    <w:rsid w:val="00767CC5"/>
    <w:rsid w:val="00770E39"/>
    <w:rsid w:val="0077151E"/>
    <w:rsid w:val="00771C45"/>
    <w:rsid w:val="0077349C"/>
    <w:rsid w:val="007736AE"/>
    <w:rsid w:val="0077505C"/>
    <w:rsid w:val="00775A0A"/>
    <w:rsid w:val="007765F0"/>
    <w:rsid w:val="00777DE7"/>
    <w:rsid w:val="0078258D"/>
    <w:rsid w:val="00783A19"/>
    <w:rsid w:val="00783D57"/>
    <w:rsid w:val="00784C3E"/>
    <w:rsid w:val="00784E22"/>
    <w:rsid w:val="0078628A"/>
    <w:rsid w:val="0078682A"/>
    <w:rsid w:val="00787C36"/>
    <w:rsid w:val="00790F82"/>
    <w:rsid w:val="00791955"/>
    <w:rsid w:val="00794D92"/>
    <w:rsid w:val="0079508D"/>
    <w:rsid w:val="00795464"/>
    <w:rsid w:val="007955B1"/>
    <w:rsid w:val="007960F7"/>
    <w:rsid w:val="00796500"/>
    <w:rsid w:val="00797BAA"/>
    <w:rsid w:val="00797BBC"/>
    <w:rsid w:val="007A02EC"/>
    <w:rsid w:val="007A0C0C"/>
    <w:rsid w:val="007A0FCF"/>
    <w:rsid w:val="007A1A9A"/>
    <w:rsid w:val="007A1E9D"/>
    <w:rsid w:val="007A20BE"/>
    <w:rsid w:val="007A2DFF"/>
    <w:rsid w:val="007A3621"/>
    <w:rsid w:val="007A424B"/>
    <w:rsid w:val="007A48F9"/>
    <w:rsid w:val="007A5C22"/>
    <w:rsid w:val="007A67EB"/>
    <w:rsid w:val="007A6DC5"/>
    <w:rsid w:val="007B00B8"/>
    <w:rsid w:val="007B0895"/>
    <w:rsid w:val="007B08AD"/>
    <w:rsid w:val="007B197F"/>
    <w:rsid w:val="007B26DE"/>
    <w:rsid w:val="007B434A"/>
    <w:rsid w:val="007B47F8"/>
    <w:rsid w:val="007B48CD"/>
    <w:rsid w:val="007B51DC"/>
    <w:rsid w:val="007B540E"/>
    <w:rsid w:val="007B66FE"/>
    <w:rsid w:val="007B6E25"/>
    <w:rsid w:val="007C09F1"/>
    <w:rsid w:val="007C1128"/>
    <w:rsid w:val="007C1853"/>
    <w:rsid w:val="007C26DD"/>
    <w:rsid w:val="007C2CCC"/>
    <w:rsid w:val="007C3374"/>
    <w:rsid w:val="007C3F95"/>
    <w:rsid w:val="007C47EE"/>
    <w:rsid w:val="007C4AA6"/>
    <w:rsid w:val="007C5269"/>
    <w:rsid w:val="007C5AFC"/>
    <w:rsid w:val="007C7B3F"/>
    <w:rsid w:val="007C7FF3"/>
    <w:rsid w:val="007D0D4A"/>
    <w:rsid w:val="007D203E"/>
    <w:rsid w:val="007D496F"/>
    <w:rsid w:val="007D52DE"/>
    <w:rsid w:val="007D5D1A"/>
    <w:rsid w:val="007D6C11"/>
    <w:rsid w:val="007D6E65"/>
    <w:rsid w:val="007D7416"/>
    <w:rsid w:val="007D76B0"/>
    <w:rsid w:val="007D7790"/>
    <w:rsid w:val="007D7CD3"/>
    <w:rsid w:val="007D7EC0"/>
    <w:rsid w:val="007E0E72"/>
    <w:rsid w:val="007E11B3"/>
    <w:rsid w:val="007E1C5A"/>
    <w:rsid w:val="007E1C94"/>
    <w:rsid w:val="007E2964"/>
    <w:rsid w:val="007E2EA5"/>
    <w:rsid w:val="007E3F97"/>
    <w:rsid w:val="007E496E"/>
    <w:rsid w:val="007E4D1F"/>
    <w:rsid w:val="007E4FF7"/>
    <w:rsid w:val="007E51E7"/>
    <w:rsid w:val="007E52EA"/>
    <w:rsid w:val="007E6AAD"/>
    <w:rsid w:val="007E736B"/>
    <w:rsid w:val="007E7409"/>
    <w:rsid w:val="007E7CD9"/>
    <w:rsid w:val="007E7DC8"/>
    <w:rsid w:val="007F0088"/>
    <w:rsid w:val="007F0444"/>
    <w:rsid w:val="007F0E93"/>
    <w:rsid w:val="007F1289"/>
    <w:rsid w:val="007F2FB4"/>
    <w:rsid w:val="007F340D"/>
    <w:rsid w:val="007F3FC0"/>
    <w:rsid w:val="007F4C1F"/>
    <w:rsid w:val="007F6A5A"/>
    <w:rsid w:val="007F74C8"/>
    <w:rsid w:val="007F7A4B"/>
    <w:rsid w:val="007F7B4C"/>
    <w:rsid w:val="0080005F"/>
    <w:rsid w:val="0080061C"/>
    <w:rsid w:val="00800AAE"/>
    <w:rsid w:val="00800BCE"/>
    <w:rsid w:val="00800BD1"/>
    <w:rsid w:val="008013D3"/>
    <w:rsid w:val="0080164E"/>
    <w:rsid w:val="008021F8"/>
    <w:rsid w:val="0080221C"/>
    <w:rsid w:val="0080343B"/>
    <w:rsid w:val="00803EED"/>
    <w:rsid w:val="00805B2E"/>
    <w:rsid w:val="00805D3B"/>
    <w:rsid w:val="00806566"/>
    <w:rsid w:val="0081103F"/>
    <w:rsid w:val="008129DC"/>
    <w:rsid w:val="00813AE5"/>
    <w:rsid w:val="00813F3A"/>
    <w:rsid w:val="008140A7"/>
    <w:rsid w:val="00815447"/>
    <w:rsid w:val="00815A4E"/>
    <w:rsid w:val="00820995"/>
    <w:rsid w:val="008219C5"/>
    <w:rsid w:val="008231A8"/>
    <w:rsid w:val="00823F5E"/>
    <w:rsid w:val="00824D7D"/>
    <w:rsid w:val="0082686C"/>
    <w:rsid w:val="008279CD"/>
    <w:rsid w:val="00827B88"/>
    <w:rsid w:val="00830703"/>
    <w:rsid w:val="00830931"/>
    <w:rsid w:val="00830B02"/>
    <w:rsid w:val="00830BEF"/>
    <w:rsid w:val="0083362C"/>
    <w:rsid w:val="00833D91"/>
    <w:rsid w:val="008351A4"/>
    <w:rsid w:val="008353E0"/>
    <w:rsid w:val="00840001"/>
    <w:rsid w:val="008411D5"/>
    <w:rsid w:val="0084156B"/>
    <w:rsid w:val="00841A09"/>
    <w:rsid w:val="00841C67"/>
    <w:rsid w:val="00841D83"/>
    <w:rsid w:val="008425DC"/>
    <w:rsid w:val="008449AD"/>
    <w:rsid w:val="00845040"/>
    <w:rsid w:val="00845DB2"/>
    <w:rsid w:val="0084656A"/>
    <w:rsid w:val="00846AC9"/>
    <w:rsid w:val="008472FE"/>
    <w:rsid w:val="00850E56"/>
    <w:rsid w:val="008512D0"/>
    <w:rsid w:val="00852D43"/>
    <w:rsid w:val="008537AF"/>
    <w:rsid w:val="00854DAB"/>
    <w:rsid w:val="00854F7E"/>
    <w:rsid w:val="008552E3"/>
    <w:rsid w:val="008558AC"/>
    <w:rsid w:val="00855AB9"/>
    <w:rsid w:val="00855F11"/>
    <w:rsid w:val="00856FC2"/>
    <w:rsid w:val="00857E72"/>
    <w:rsid w:val="00860C27"/>
    <w:rsid w:val="008614A6"/>
    <w:rsid w:val="00862844"/>
    <w:rsid w:val="0086395B"/>
    <w:rsid w:val="00866B1D"/>
    <w:rsid w:val="00870458"/>
    <w:rsid w:val="00870747"/>
    <w:rsid w:val="00870AB2"/>
    <w:rsid w:val="00870F80"/>
    <w:rsid w:val="00872979"/>
    <w:rsid w:val="00872D76"/>
    <w:rsid w:val="00872EAB"/>
    <w:rsid w:val="00872F96"/>
    <w:rsid w:val="0087363B"/>
    <w:rsid w:val="008739D2"/>
    <w:rsid w:val="0087442E"/>
    <w:rsid w:val="00874AC1"/>
    <w:rsid w:val="00874D3E"/>
    <w:rsid w:val="0087735E"/>
    <w:rsid w:val="00880B67"/>
    <w:rsid w:val="008810FD"/>
    <w:rsid w:val="00881306"/>
    <w:rsid w:val="008818CE"/>
    <w:rsid w:val="0088194D"/>
    <w:rsid w:val="00882A7C"/>
    <w:rsid w:val="00882B02"/>
    <w:rsid w:val="00883D24"/>
    <w:rsid w:val="008844AF"/>
    <w:rsid w:val="00886D96"/>
    <w:rsid w:val="00887682"/>
    <w:rsid w:val="008876A9"/>
    <w:rsid w:val="008877EC"/>
    <w:rsid w:val="008878E9"/>
    <w:rsid w:val="00887BD5"/>
    <w:rsid w:val="00890BEA"/>
    <w:rsid w:val="0089119F"/>
    <w:rsid w:val="008911F3"/>
    <w:rsid w:val="0089155E"/>
    <w:rsid w:val="008915CA"/>
    <w:rsid w:val="00891CE1"/>
    <w:rsid w:val="008922CB"/>
    <w:rsid w:val="00892862"/>
    <w:rsid w:val="0089359A"/>
    <w:rsid w:val="00895048"/>
    <w:rsid w:val="0089508A"/>
    <w:rsid w:val="00895812"/>
    <w:rsid w:val="00895B62"/>
    <w:rsid w:val="008A0044"/>
    <w:rsid w:val="008A191B"/>
    <w:rsid w:val="008A25C7"/>
    <w:rsid w:val="008A29DB"/>
    <w:rsid w:val="008A2B8E"/>
    <w:rsid w:val="008A36BC"/>
    <w:rsid w:val="008A3945"/>
    <w:rsid w:val="008A39FE"/>
    <w:rsid w:val="008A40D8"/>
    <w:rsid w:val="008A456C"/>
    <w:rsid w:val="008A4683"/>
    <w:rsid w:val="008A4A55"/>
    <w:rsid w:val="008A6ACC"/>
    <w:rsid w:val="008A7CDF"/>
    <w:rsid w:val="008B0864"/>
    <w:rsid w:val="008B19F4"/>
    <w:rsid w:val="008B2479"/>
    <w:rsid w:val="008B247D"/>
    <w:rsid w:val="008B4230"/>
    <w:rsid w:val="008B42F7"/>
    <w:rsid w:val="008B45CD"/>
    <w:rsid w:val="008B5714"/>
    <w:rsid w:val="008B5C33"/>
    <w:rsid w:val="008B67C0"/>
    <w:rsid w:val="008B6A53"/>
    <w:rsid w:val="008B6F02"/>
    <w:rsid w:val="008C08EC"/>
    <w:rsid w:val="008C1B73"/>
    <w:rsid w:val="008C1F45"/>
    <w:rsid w:val="008C3EDD"/>
    <w:rsid w:val="008C3F31"/>
    <w:rsid w:val="008C556A"/>
    <w:rsid w:val="008C5C45"/>
    <w:rsid w:val="008C6321"/>
    <w:rsid w:val="008C6D62"/>
    <w:rsid w:val="008C6E60"/>
    <w:rsid w:val="008C7A1C"/>
    <w:rsid w:val="008D03DF"/>
    <w:rsid w:val="008D0C18"/>
    <w:rsid w:val="008D17A7"/>
    <w:rsid w:val="008D2731"/>
    <w:rsid w:val="008D2784"/>
    <w:rsid w:val="008D285C"/>
    <w:rsid w:val="008D449C"/>
    <w:rsid w:val="008D5A51"/>
    <w:rsid w:val="008D5B1B"/>
    <w:rsid w:val="008D7DCE"/>
    <w:rsid w:val="008E002A"/>
    <w:rsid w:val="008E02AE"/>
    <w:rsid w:val="008E0353"/>
    <w:rsid w:val="008E0723"/>
    <w:rsid w:val="008E1BDA"/>
    <w:rsid w:val="008E4C3D"/>
    <w:rsid w:val="008E5759"/>
    <w:rsid w:val="008E5DCB"/>
    <w:rsid w:val="008E6A5F"/>
    <w:rsid w:val="008E6C4A"/>
    <w:rsid w:val="008F1733"/>
    <w:rsid w:val="008F1E9E"/>
    <w:rsid w:val="008F2598"/>
    <w:rsid w:val="008F260B"/>
    <w:rsid w:val="008F2BCC"/>
    <w:rsid w:val="008F384E"/>
    <w:rsid w:val="008F388F"/>
    <w:rsid w:val="008F3A3A"/>
    <w:rsid w:val="008F41FA"/>
    <w:rsid w:val="008F6C9C"/>
    <w:rsid w:val="008F71B6"/>
    <w:rsid w:val="009003DE"/>
    <w:rsid w:val="00900A60"/>
    <w:rsid w:val="00900AC7"/>
    <w:rsid w:val="00901357"/>
    <w:rsid w:val="00901BC0"/>
    <w:rsid w:val="0090222C"/>
    <w:rsid w:val="009024D3"/>
    <w:rsid w:val="009030CC"/>
    <w:rsid w:val="009040F5"/>
    <w:rsid w:val="00904379"/>
    <w:rsid w:val="00904F1F"/>
    <w:rsid w:val="00904FB2"/>
    <w:rsid w:val="009053C1"/>
    <w:rsid w:val="00907409"/>
    <w:rsid w:val="00907716"/>
    <w:rsid w:val="00907EA0"/>
    <w:rsid w:val="00910CF4"/>
    <w:rsid w:val="00913138"/>
    <w:rsid w:val="009136BE"/>
    <w:rsid w:val="00913718"/>
    <w:rsid w:val="00913D4B"/>
    <w:rsid w:val="0091402A"/>
    <w:rsid w:val="00914C67"/>
    <w:rsid w:val="00915E87"/>
    <w:rsid w:val="00916D4A"/>
    <w:rsid w:val="009212DF"/>
    <w:rsid w:val="00921693"/>
    <w:rsid w:val="00922A6D"/>
    <w:rsid w:val="00922ADB"/>
    <w:rsid w:val="00924197"/>
    <w:rsid w:val="00927402"/>
    <w:rsid w:val="009279DD"/>
    <w:rsid w:val="00931920"/>
    <w:rsid w:val="0093224D"/>
    <w:rsid w:val="00932A50"/>
    <w:rsid w:val="00932ABF"/>
    <w:rsid w:val="00932EE1"/>
    <w:rsid w:val="009334C0"/>
    <w:rsid w:val="009345DE"/>
    <w:rsid w:val="009347BB"/>
    <w:rsid w:val="00934F20"/>
    <w:rsid w:val="009355A7"/>
    <w:rsid w:val="0093575C"/>
    <w:rsid w:val="009379F5"/>
    <w:rsid w:val="00937E21"/>
    <w:rsid w:val="00942C45"/>
    <w:rsid w:val="00943557"/>
    <w:rsid w:val="00944308"/>
    <w:rsid w:val="00944EDF"/>
    <w:rsid w:val="00946687"/>
    <w:rsid w:val="00946C56"/>
    <w:rsid w:val="009477CC"/>
    <w:rsid w:val="009504E3"/>
    <w:rsid w:val="009509C5"/>
    <w:rsid w:val="009512EA"/>
    <w:rsid w:val="00951DC2"/>
    <w:rsid w:val="00953289"/>
    <w:rsid w:val="0095342C"/>
    <w:rsid w:val="0095387D"/>
    <w:rsid w:val="00955FAA"/>
    <w:rsid w:val="009565E8"/>
    <w:rsid w:val="009579A5"/>
    <w:rsid w:val="00960C89"/>
    <w:rsid w:val="00960E67"/>
    <w:rsid w:val="009610AF"/>
    <w:rsid w:val="00962792"/>
    <w:rsid w:val="00963B9D"/>
    <w:rsid w:val="0096409E"/>
    <w:rsid w:val="0096593A"/>
    <w:rsid w:val="009665CA"/>
    <w:rsid w:val="009666B7"/>
    <w:rsid w:val="009669E7"/>
    <w:rsid w:val="009678AC"/>
    <w:rsid w:val="00967B57"/>
    <w:rsid w:val="00971134"/>
    <w:rsid w:val="00973C2D"/>
    <w:rsid w:val="009743AA"/>
    <w:rsid w:val="00974AD1"/>
    <w:rsid w:val="00975327"/>
    <w:rsid w:val="00976E0B"/>
    <w:rsid w:val="00977B48"/>
    <w:rsid w:val="00977F95"/>
    <w:rsid w:val="009806DA"/>
    <w:rsid w:val="00980C11"/>
    <w:rsid w:val="00980CAB"/>
    <w:rsid w:val="00980FD3"/>
    <w:rsid w:val="00981FBD"/>
    <w:rsid w:val="0098219E"/>
    <w:rsid w:val="00982D66"/>
    <w:rsid w:val="0098367F"/>
    <w:rsid w:val="00983B7E"/>
    <w:rsid w:val="00984607"/>
    <w:rsid w:val="00984AA1"/>
    <w:rsid w:val="00985188"/>
    <w:rsid w:val="00987012"/>
    <w:rsid w:val="00987151"/>
    <w:rsid w:val="00991C3E"/>
    <w:rsid w:val="0099243A"/>
    <w:rsid w:val="00992608"/>
    <w:rsid w:val="0099649C"/>
    <w:rsid w:val="00996572"/>
    <w:rsid w:val="009969B5"/>
    <w:rsid w:val="00996D61"/>
    <w:rsid w:val="009A06E9"/>
    <w:rsid w:val="009A095F"/>
    <w:rsid w:val="009A2BF0"/>
    <w:rsid w:val="009A6B14"/>
    <w:rsid w:val="009A7A9D"/>
    <w:rsid w:val="009A7E7E"/>
    <w:rsid w:val="009B1E96"/>
    <w:rsid w:val="009B235C"/>
    <w:rsid w:val="009B2C61"/>
    <w:rsid w:val="009B4881"/>
    <w:rsid w:val="009B4CE6"/>
    <w:rsid w:val="009B6823"/>
    <w:rsid w:val="009B6D43"/>
    <w:rsid w:val="009B6E03"/>
    <w:rsid w:val="009B792B"/>
    <w:rsid w:val="009C2A19"/>
    <w:rsid w:val="009C2D89"/>
    <w:rsid w:val="009C337D"/>
    <w:rsid w:val="009C3ED3"/>
    <w:rsid w:val="009C4756"/>
    <w:rsid w:val="009C4C49"/>
    <w:rsid w:val="009C54C6"/>
    <w:rsid w:val="009C5C96"/>
    <w:rsid w:val="009C5D2E"/>
    <w:rsid w:val="009C60D4"/>
    <w:rsid w:val="009C6376"/>
    <w:rsid w:val="009C63E5"/>
    <w:rsid w:val="009C647F"/>
    <w:rsid w:val="009C6D85"/>
    <w:rsid w:val="009C6DA7"/>
    <w:rsid w:val="009D01BF"/>
    <w:rsid w:val="009D13E5"/>
    <w:rsid w:val="009D6001"/>
    <w:rsid w:val="009D6818"/>
    <w:rsid w:val="009D7792"/>
    <w:rsid w:val="009D7903"/>
    <w:rsid w:val="009D7CD0"/>
    <w:rsid w:val="009E0397"/>
    <w:rsid w:val="009E07EC"/>
    <w:rsid w:val="009E3F75"/>
    <w:rsid w:val="009E4695"/>
    <w:rsid w:val="009E665A"/>
    <w:rsid w:val="009E6C06"/>
    <w:rsid w:val="009F1AE5"/>
    <w:rsid w:val="009F1B24"/>
    <w:rsid w:val="009F22CC"/>
    <w:rsid w:val="009F3D10"/>
    <w:rsid w:val="009F412D"/>
    <w:rsid w:val="009F7B96"/>
    <w:rsid w:val="009F7FD6"/>
    <w:rsid w:val="00A00E76"/>
    <w:rsid w:val="00A01201"/>
    <w:rsid w:val="00A01C17"/>
    <w:rsid w:val="00A0257C"/>
    <w:rsid w:val="00A03704"/>
    <w:rsid w:val="00A03F35"/>
    <w:rsid w:val="00A05548"/>
    <w:rsid w:val="00A05F76"/>
    <w:rsid w:val="00A06772"/>
    <w:rsid w:val="00A06A01"/>
    <w:rsid w:val="00A06AC9"/>
    <w:rsid w:val="00A07337"/>
    <w:rsid w:val="00A11B69"/>
    <w:rsid w:val="00A11ED6"/>
    <w:rsid w:val="00A12A4E"/>
    <w:rsid w:val="00A12D0A"/>
    <w:rsid w:val="00A13396"/>
    <w:rsid w:val="00A13C68"/>
    <w:rsid w:val="00A15252"/>
    <w:rsid w:val="00A15CD1"/>
    <w:rsid w:val="00A16B09"/>
    <w:rsid w:val="00A16D13"/>
    <w:rsid w:val="00A20324"/>
    <w:rsid w:val="00A20928"/>
    <w:rsid w:val="00A213F1"/>
    <w:rsid w:val="00A2187F"/>
    <w:rsid w:val="00A220D2"/>
    <w:rsid w:val="00A23264"/>
    <w:rsid w:val="00A238A4"/>
    <w:rsid w:val="00A24473"/>
    <w:rsid w:val="00A246DC"/>
    <w:rsid w:val="00A249F2"/>
    <w:rsid w:val="00A268F3"/>
    <w:rsid w:val="00A26C76"/>
    <w:rsid w:val="00A26DB5"/>
    <w:rsid w:val="00A2716F"/>
    <w:rsid w:val="00A30301"/>
    <w:rsid w:val="00A30F19"/>
    <w:rsid w:val="00A31396"/>
    <w:rsid w:val="00A313FC"/>
    <w:rsid w:val="00A3174F"/>
    <w:rsid w:val="00A31D60"/>
    <w:rsid w:val="00A320C5"/>
    <w:rsid w:val="00A332AF"/>
    <w:rsid w:val="00A33579"/>
    <w:rsid w:val="00A337D0"/>
    <w:rsid w:val="00A360E0"/>
    <w:rsid w:val="00A36224"/>
    <w:rsid w:val="00A36798"/>
    <w:rsid w:val="00A36C53"/>
    <w:rsid w:val="00A37BCF"/>
    <w:rsid w:val="00A4137F"/>
    <w:rsid w:val="00A44D40"/>
    <w:rsid w:val="00A44D55"/>
    <w:rsid w:val="00A44F07"/>
    <w:rsid w:val="00A45E2A"/>
    <w:rsid w:val="00A46891"/>
    <w:rsid w:val="00A5048B"/>
    <w:rsid w:val="00A50CA7"/>
    <w:rsid w:val="00A51C6B"/>
    <w:rsid w:val="00A51F81"/>
    <w:rsid w:val="00A535A3"/>
    <w:rsid w:val="00A53D2A"/>
    <w:rsid w:val="00A55499"/>
    <w:rsid w:val="00A55928"/>
    <w:rsid w:val="00A56520"/>
    <w:rsid w:val="00A624BA"/>
    <w:rsid w:val="00A62B2D"/>
    <w:rsid w:val="00A63759"/>
    <w:rsid w:val="00A6412C"/>
    <w:rsid w:val="00A64AC4"/>
    <w:rsid w:val="00A65EB6"/>
    <w:rsid w:val="00A6615B"/>
    <w:rsid w:val="00A669B0"/>
    <w:rsid w:val="00A675C3"/>
    <w:rsid w:val="00A714EC"/>
    <w:rsid w:val="00A72C69"/>
    <w:rsid w:val="00A73A47"/>
    <w:rsid w:val="00A74AE8"/>
    <w:rsid w:val="00A75BDE"/>
    <w:rsid w:val="00A77DAE"/>
    <w:rsid w:val="00A8087D"/>
    <w:rsid w:val="00A827B7"/>
    <w:rsid w:val="00A83A6C"/>
    <w:rsid w:val="00A83BDA"/>
    <w:rsid w:val="00A845D5"/>
    <w:rsid w:val="00A85430"/>
    <w:rsid w:val="00A85F83"/>
    <w:rsid w:val="00A86E3B"/>
    <w:rsid w:val="00A875A0"/>
    <w:rsid w:val="00A9202F"/>
    <w:rsid w:val="00A92218"/>
    <w:rsid w:val="00A924B8"/>
    <w:rsid w:val="00A95AE4"/>
    <w:rsid w:val="00A95CF0"/>
    <w:rsid w:val="00A9686C"/>
    <w:rsid w:val="00A97497"/>
    <w:rsid w:val="00A97A8C"/>
    <w:rsid w:val="00A97C79"/>
    <w:rsid w:val="00AA02E0"/>
    <w:rsid w:val="00AA133A"/>
    <w:rsid w:val="00AA14C2"/>
    <w:rsid w:val="00AA1B30"/>
    <w:rsid w:val="00AA2131"/>
    <w:rsid w:val="00AA21F2"/>
    <w:rsid w:val="00AA2B86"/>
    <w:rsid w:val="00AA3EC9"/>
    <w:rsid w:val="00AA3F6E"/>
    <w:rsid w:val="00AA52E8"/>
    <w:rsid w:val="00AA6A05"/>
    <w:rsid w:val="00AA7D64"/>
    <w:rsid w:val="00AB061E"/>
    <w:rsid w:val="00AB0EAA"/>
    <w:rsid w:val="00AB1654"/>
    <w:rsid w:val="00AB1E6A"/>
    <w:rsid w:val="00AB2CEB"/>
    <w:rsid w:val="00AB2DEA"/>
    <w:rsid w:val="00AB35C0"/>
    <w:rsid w:val="00AB3A7B"/>
    <w:rsid w:val="00AB529C"/>
    <w:rsid w:val="00AB590B"/>
    <w:rsid w:val="00AB5BFB"/>
    <w:rsid w:val="00AB5ED0"/>
    <w:rsid w:val="00AB5F13"/>
    <w:rsid w:val="00AB62D6"/>
    <w:rsid w:val="00AB685E"/>
    <w:rsid w:val="00AB7728"/>
    <w:rsid w:val="00AB7C62"/>
    <w:rsid w:val="00AC1306"/>
    <w:rsid w:val="00AC4C1B"/>
    <w:rsid w:val="00AC58D9"/>
    <w:rsid w:val="00AC6A44"/>
    <w:rsid w:val="00AC6AB1"/>
    <w:rsid w:val="00AC7D72"/>
    <w:rsid w:val="00AD158B"/>
    <w:rsid w:val="00AD2DAC"/>
    <w:rsid w:val="00AD2DD9"/>
    <w:rsid w:val="00AD385E"/>
    <w:rsid w:val="00AD45A8"/>
    <w:rsid w:val="00AD4980"/>
    <w:rsid w:val="00AD4A8A"/>
    <w:rsid w:val="00AD6CD1"/>
    <w:rsid w:val="00AE0474"/>
    <w:rsid w:val="00AE0CA0"/>
    <w:rsid w:val="00AE1372"/>
    <w:rsid w:val="00AE1551"/>
    <w:rsid w:val="00AE1D85"/>
    <w:rsid w:val="00AE3585"/>
    <w:rsid w:val="00AE3FC8"/>
    <w:rsid w:val="00AE42E3"/>
    <w:rsid w:val="00AE527F"/>
    <w:rsid w:val="00AE5A58"/>
    <w:rsid w:val="00AE5CB7"/>
    <w:rsid w:val="00AE5CD6"/>
    <w:rsid w:val="00AE65E3"/>
    <w:rsid w:val="00AE694C"/>
    <w:rsid w:val="00AE6D5A"/>
    <w:rsid w:val="00AE6DFF"/>
    <w:rsid w:val="00AE755A"/>
    <w:rsid w:val="00AF0A00"/>
    <w:rsid w:val="00AF1D68"/>
    <w:rsid w:val="00AF2877"/>
    <w:rsid w:val="00AF5960"/>
    <w:rsid w:val="00AF7EDE"/>
    <w:rsid w:val="00B013E6"/>
    <w:rsid w:val="00B0170B"/>
    <w:rsid w:val="00B01AE0"/>
    <w:rsid w:val="00B020FE"/>
    <w:rsid w:val="00B023C7"/>
    <w:rsid w:val="00B02584"/>
    <w:rsid w:val="00B02C35"/>
    <w:rsid w:val="00B0347F"/>
    <w:rsid w:val="00B039AE"/>
    <w:rsid w:val="00B03E21"/>
    <w:rsid w:val="00B041CD"/>
    <w:rsid w:val="00B048A0"/>
    <w:rsid w:val="00B103CF"/>
    <w:rsid w:val="00B10F77"/>
    <w:rsid w:val="00B11B92"/>
    <w:rsid w:val="00B123C2"/>
    <w:rsid w:val="00B12B35"/>
    <w:rsid w:val="00B13041"/>
    <w:rsid w:val="00B14413"/>
    <w:rsid w:val="00B14476"/>
    <w:rsid w:val="00B14B1E"/>
    <w:rsid w:val="00B15477"/>
    <w:rsid w:val="00B16A12"/>
    <w:rsid w:val="00B20BEA"/>
    <w:rsid w:val="00B20C2D"/>
    <w:rsid w:val="00B24597"/>
    <w:rsid w:val="00B25415"/>
    <w:rsid w:val="00B25863"/>
    <w:rsid w:val="00B270AD"/>
    <w:rsid w:val="00B3232A"/>
    <w:rsid w:val="00B3485F"/>
    <w:rsid w:val="00B35AD7"/>
    <w:rsid w:val="00B368A6"/>
    <w:rsid w:val="00B369D8"/>
    <w:rsid w:val="00B369E5"/>
    <w:rsid w:val="00B410EC"/>
    <w:rsid w:val="00B422B0"/>
    <w:rsid w:val="00B43607"/>
    <w:rsid w:val="00B43CAF"/>
    <w:rsid w:val="00B45D6E"/>
    <w:rsid w:val="00B46E3D"/>
    <w:rsid w:val="00B47480"/>
    <w:rsid w:val="00B5048D"/>
    <w:rsid w:val="00B50669"/>
    <w:rsid w:val="00B50A29"/>
    <w:rsid w:val="00B51003"/>
    <w:rsid w:val="00B5125C"/>
    <w:rsid w:val="00B51521"/>
    <w:rsid w:val="00B518B1"/>
    <w:rsid w:val="00B51FB0"/>
    <w:rsid w:val="00B52F4C"/>
    <w:rsid w:val="00B5311F"/>
    <w:rsid w:val="00B56660"/>
    <w:rsid w:val="00B56EF8"/>
    <w:rsid w:val="00B572BB"/>
    <w:rsid w:val="00B57A46"/>
    <w:rsid w:val="00B606BB"/>
    <w:rsid w:val="00B60B38"/>
    <w:rsid w:val="00B61B0C"/>
    <w:rsid w:val="00B62A35"/>
    <w:rsid w:val="00B62AC1"/>
    <w:rsid w:val="00B63EA4"/>
    <w:rsid w:val="00B641C3"/>
    <w:rsid w:val="00B64B7F"/>
    <w:rsid w:val="00B652DF"/>
    <w:rsid w:val="00B67086"/>
    <w:rsid w:val="00B67F88"/>
    <w:rsid w:val="00B71B81"/>
    <w:rsid w:val="00B72564"/>
    <w:rsid w:val="00B728D6"/>
    <w:rsid w:val="00B74884"/>
    <w:rsid w:val="00B74A58"/>
    <w:rsid w:val="00B75198"/>
    <w:rsid w:val="00B75455"/>
    <w:rsid w:val="00B757B7"/>
    <w:rsid w:val="00B75FC2"/>
    <w:rsid w:val="00B76639"/>
    <w:rsid w:val="00B76EBF"/>
    <w:rsid w:val="00B80996"/>
    <w:rsid w:val="00B821BE"/>
    <w:rsid w:val="00B82AA3"/>
    <w:rsid w:val="00B83C53"/>
    <w:rsid w:val="00B83E9D"/>
    <w:rsid w:val="00B84C1F"/>
    <w:rsid w:val="00B851AF"/>
    <w:rsid w:val="00B86536"/>
    <w:rsid w:val="00B867D6"/>
    <w:rsid w:val="00B9048F"/>
    <w:rsid w:val="00B90C5A"/>
    <w:rsid w:val="00B915E4"/>
    <w:rsid w:val="00B917DD"/>
    <w:rsid w:val="00B92412"/>
    <w:rsid w:val="00B929F2"/>
    <w:rsid w:val="00B939D6"/>
    <w:rsid w:val="00B94BD1"/>
    <w:rsid w:val="00B953C5"/>
    <w:rsid w:val="00B9581F"/>
    <w:rsid w:val="00B96768"/>
    <w:rsid w:val="00BA09BD"/>
    <w:rsid w:val="00BA1579"/>
    <w:rsid w:val="00BA26B2"/>
    <w:rsid w:val="00BA27B8"/>
    <w:rsid w:val="00BA379D"/>
    <w:rsid w:val="00BA42D8"/>
    <w:rsid w:val="00BA45B1"/>
    <w:rsid w:val="00BA5E12"/>
    <w:rsid w:val="00BA60EC"/>
    <w:rsid w:val="00BA6706"/>
    <w:rsid w:val="00BA67DB"/>
    <w:rsid w:val="00BA6853"/>
    <w:rsid w:val="00BA6D66"/>
    <w:rsid w:val="00BA71F6"/>
    <w:rsid w:val="00BA726C"/>
    <w:rsid w:val="00BB0961"/>
    <w:rsid w:val="00BB0DBE"/>
    <w:rsid w:val="00BB1C36"/>
    <w:rsid w:val="00BB3259"/>
    <w:rsid w:val="00BB39D6"/>
    <w:rsid w:val="00BB39DD"/>
    <w:rsid w:val="00BB4511"/>
    <w:rsid w:val="00BB5118"/>
    <w:rsid w:val="00BB6212"/>
    <w:rsid w:val="00BB697C"/>
    <w:rsid w:val="00BB7857"/>
    <w:rsid w:val="00BB7BB0"/>
    <w:rsid w:val="00BC0A19"/>
    <w:rsid w:val="00BC0CED"/>
    <w:rsid w:val="00BC2046"/>
    <w:rsid w:val="00BC25EF"/>
    <w:rsid w:val="00BC29B8"/>
    <w:rsid w:val="00BC2A35"/>
    <w:rsid w:val="00BC38BF"/>
    <w:rsid w:val="00BC5C55"/>
    <w:rsid w:val="00BC6CBE"/>
    <w:rsid w:val="00BC75F5"/>
    <w:rsid w:val="00BC7994"/>
    <w:rsid w:val="00BD16A7"/>
    <w:rsid w:val="00BD2089"/>
    <w:rsid w:val="00BD2D80"/>
    <w:rsid w:val="00BD4DBC"/>
    <w:rsid w:val="00BD59A6"/>
    <w:rsid w:val="00BD6D27"/>
    <w:rsid w:val="00BD70FA"/>
    <w:rsid w:val="00BD7C6D"/>
    <w:rsid w:val="00BD7D54"/>
    <w:rsid w:val="00BE029F"/>
    <w:rsid w:val="00BE0860"/>
    <w:rsid w:val="00BE1003"/>
    <w:rsid w:val="00BE12E0"/>
    <w:rsid w:val="00BE3838"/>
    <w:rsid w:val="00BE3978"/>
    <w:rsid w:val="00BE3FAD"/>
    <w:rsid w:val="00BE41E9"/>
    <w:rsid w:val="00BE5DF6"/>
    <w:rsid w:val="00BE65D8"/>
    <w:rsid w:val="00BE787D"/>
    <w:rsid w:val="00BF07B4"/>
    <w:rsid w:val="00BF1465"/>
    <w:rsid w:val="00BF51B4"/>
    <w:rsid w:val="00BF75B4"/>
    <w:rsid w:val="00BF7CB1"/>
    <w:rsid w:val="00C00DB3"/>
    <w:rsid w:val="00C014BB"/>
    <w:rsid w:val="00C02B88"/>
    <w:rsid w:val="00C02CB3"/>
    <w:rsid w:val="00C035CD"/>
    <w:rsid w:val="00C0578C"/>
    <w:rsid w:val="00C10649"/>
    <w:rsid w:val="00C118CD"/>
    <w:rsid w:val="00C11A4D"/>
    <w:rsid w:val="00C12669"/>
    <w:rsid w:val="00C14757"/>
    <w:rsid w:val="00C14EDD"/>
    <w:rsid w:val="00C16666"/>
    <w:rsid w:val="00C177D6"/>
    <w:rsid w:val="00C21252"/>
    <w:rsid w:val="00C21A6D"/>
    <w:rsid w:val="00C271AC"/>
    <w:rsid w:val="00C313E8"/>
    <w:rsid w:val="00C3214B"/>
    <w:rsid w:val="00C36297"/>
    <w:rsid w:val="00C410C7"/>
    <w:rsid w:val="00C41FD9"/>
    <w:rsid w:val="00C46E3E"/>
    <w:rsid w:val="00C47E8D"/>
    <w:rsid w:val="00C50BC5"/>
    <w:rsid w:val="00C52E58"/>
    <w:rsid w:val="00C559BE"/>
    <w:rsid w:val="00C562F1"/>
    <w:rsid w:val="00C56BA7"/>
    <w:rsid w:val="00C5707D"/>
    <w:rsid w:val="00C60854"/>
    <w:rsid w:val="00C61051"/>
    <w:rsid w:val="00C61283"/>
    <w:rsid w:val="00C61788"/>
    <w:rsid w:val="00C61E36"/>
    <w:rsid w:val="00C62D97"/>
    <w:rsid w:val="00C634E3"/>
    <w:rsid w:val="00C635D3"/>
    <w:rsid w:val="00C63A4A"/>
    <w:rsid w:val="00C6407B"/>
    <w:rsid w:val="00C64F50"/>
    <w:rsid w:val="00C662C6"/>
    <w:rsid w:val="00C70596"/>
    <w:rsid w:val="00C70B35"/>
    <w:rsid w:val="00C723B8"/>
    <w:rsid w:val="00C73100"/>
    <w:rsid w:val="00C734C3"/>
    <w:rsid w:val="00C74126"/>
    <w:rsid w:val="00C74272"/>
    <w:rsid w:val="00C75178"/>
    <w:rsid w:val="00C75182"/>
    <w:rsid w:val="00C756B3"/>
    <w:rsid w:val="00C75D2D"/>
    <w:rsid w:val="00C75D63"/>
    <w:rsid w:val="00C774B4"/>
    <w:rsid w:val="00C77597"/>
    <w:rsid w:val="00C77FA2"/>
    <w:rsid w:val="00C80FF5"/>
    <w:rsid w:val="00C84A27"/>
    <w:rsid w:val="00C84B6E"/>
    <w:rsid w:val="00C8506D"/>
    <w:rsid w:val="00C86774"/>
    <w:rsid w:val="00C92394"/>
    <w:rsid w:val="00C92FF4"/>
    <w:rsid w:val="00C943A6"/>
    <w:rsid w:val="00C94D7E"/>
    <w:rsid w:val="00C970C7"/>
    <w:rsid w:val="00CA002E"/>
    <w:rsid w:val="00CA089B"/>
    <w:rsid w:val="00CA0C49"/>
    <w:rsid w:val="00CA0D81"/>
    <w:rsid w:val="00CA1D39"/>
    <w:rsid w:val="00CA2D0B"/>
    <w:rsid w:val="00CA31BD"/>
    <w:rsid w:val="00CA4FC3"/>
    <w:rsid w:val="00CA541C"/>
    <w:rsid w:val="00CA5CD8"/>
    <w:rsid w:val="00CA6232"/>
    <w:rsid w:val="00CB077F"/>
    <w:rsid w:val="00CB0A89"/>
    <w:rsid w:val="00CB0FFB"/>
    <w:rsid w:val="00CB17BE"/>
    <w:rsid w:val="00CB25DB"/>
    <w:rsid w:val="00CB29E6"/>
    <w:rsid w:val="00CB2C4F"/>
    <w:rsid w:val="00CB344C"/>
    <w:rsid w:val="00CB4311"/>
    <w:rsid w:val="00CB7EF3"/>
    <w:rsid w:val="00CC3E0A"/>
    <w:rsid w:val="00CC4E10"/>
    <w:rsid w:val="00CD25F9"/>
    <w:rsid w:val="00CD2C5C"/>
    <w:rsid w:val="00CD4327"/>
    <w:rsid w:val="00CD57D4"/>
    <w:rsid w:val="00CD639E"/>
    <w:rsid w:val="00CD702E"/>
    <w:rsid w:val="00CE1366"/>
    <w:rsid w:val="00CE1532"/>
    <w:rsid w:val="00CE24F6"/>
    <w:rsid w:val="00CE2A79"/>
    <w:rsid w:val="00CE3C52"/>
    <w:rsid w:val="00CE41BE"/>
    <w:rsid w:val="00CE4806"/>
    <w:rsid w:val="00CE4945"/>
    <w:rsid w:val="00CE4E4C"/>
    <w:rsid w:val="00CE7801"/>
    <w:rsid w:val="00CF068E"/>
    <w:rsid w:val="00CF0BD3"/>
    <w:rsid w:val="00CF2CA9"/>
    <w:rsid w:val="00CF4B47"/>
    <w:rsid w:val="00CF6D03"/>
    <w:rsid w:val="00CF7348"/>
    <w:rsid w:val="00CF7E56"/>
    <w:rsid w:val="00D00042"/>
    <w:rsid w:val="00D000C2"/>
    <w:rsid w:val="00D00E88"/>
    <w:rsid w:val="00D00F2E"/>
    <w:rsid w:val="00D012E7"/>
    <w:rsid w:val="00D025B5"/>
    <w:rsid w:val="00D042D2"/>
    <w:rsid w:val="00D0432D"/>
    <w:rsid w:val="00D04ACD"/>
    <w:rsid w:val="00D050D1"/>
    <w:rsid w:val="00D0529C"/>
    <w:rsid w:val="00D054A0"/>
    <w:rsid w:val="00D100B7"/>
    <w:rsid w:val="00D11CD1"/>
    <w:rsid w:val="00D12579"/>
    <w:rsid w:val="00D12968"/>
    <w:rsid w:val="00D12A5B"/>
    <w:rsid w:val="00D12FA5"/>
    <w:rsid w:val="00D14EF9"/>
    <w:rsid w:val="00D1603E"/>
    <w:rsid w:val="00D169A9"/>
    <w:rsid w:val="00D17593"/>
    <w:rsid w:val="00D20CC8"/>
    <w:rsid w:val="00D231D0"/>
    <w:rsid w:val="00D2322B"/>
    <w:rsid w:val="00D26437"/>
    <w:rsid w:val="00D265E7"/>
    <w:rsid w:val="00D272AC"/>
    <w:rsid w:val="00D30078"/>
    <w:rsid w:val="00D30B26"/>
    <w:rsid w:val="00D35726"/>
    <w:rsid w:val="00D37675"/>
    <w:rsid w:val="00D4048B"/>
    <w:rsid w:val="00D40D1B"/>
    <w:rsid w:val="00D416B6"/>
    <w:rsid w:val="00D42348"/>
    <w:rsid w:val="00D42362"/>
    <w:rsid w:val="00D42DB4"/>
    <w:rsid w:val="00D43280"/>
    <w:rsid w:val="00D433C7"/>
    <w:rsid w:val="00D44F65"/>
    <w:rsid w:val="00D458A4"/>
    <w:rsid w:val="00D46B46"/>
    <w:rsid w:val="00D47139"/>
    <w:rsid w:val="00D476E2"/>
    <w:rsid w:val="00D51262"/>
    <w:rsid w:val="00D514D1"/>
    <w:rsid w:val="00D51723"/>
    <w:rsid w:val="00D55759"/>
    <w:rsid w:val="00D557A4"/>
    <w:rsid w:val="00D564AB"/>
    <w:rsid w:val="00D57274"/>
    <w:rsid w:val="00D573D2"/>
    <w:rsid w:val="00D57D33"/>
    <w:rsid w:val="00D60329"/>
    <w:rsid w:val="00D606A3"/>
    <w:rsid w:val="00D6121C"/>
    <w:rsid w:val="00D61803"/>
    <w:rsid w:val="00D6245C"/>
    <w:rsid w:val="00D62940"/>
    <w:rsid w:val="00D62DFC"/>
    <w:rsid w:val="00D655E6"/>
    <w:rsid w:val="00D66FAA"/>
    <w:rsid w:val="00D677D0"/>
    <w:rsid w:val="00D67FF8"/>
    <w:rsid w:val="00D712F6"/>
    <w:rsid w:val="00D71B42"/>
    <w:rsid w:val="00D71DB6"/>
    <w:rsid w:val="00D723B0"/>
    <w:rsid w:val="00D72CA3"/>
    <w:rsid w:val="00D742E0"/>
    <w:rsid w:val="00D748F3"/>
    <w:rsid w:val="00D75435"/>
    <w:rsid w:val="00D7637A"/>
    <w:rsid w:val="00D807D7"/>
    <w:rsid w:val="00D808B4"/>
    <w:rsid w:val="00D81BFB"/>
    <w:rsid w:val="00D825BE"/>
    <w:rsid w:val="00D83720"/>
    <w:rsid w:val="00D8447C"/>
    <w:rsid w:val="00D852CE"/>
    <w:rsid w:val="00D85383"/>
    <w:rsid w:val="00D8655D"/>
    <w:rsid w:val="00D87888"/>
    <w:rsid w:val="00D87A15"/>
    <w:rsid w:val="00D900BC"/>
    <w:rsid w:val="00D90CDA"/>
    <w:rsid w:val="00D930C4"/>
    <w:rsid w:val="00D93661"/>
    <w:rsid w:val="00D93996"/>
    <w:rsid w:val="00D93C25"/>
    <w:rsid w:val="00D93E1A"/>
    <w:rsid w:val="00D95338"/>
    <w:rsid w:val="00D95EC8"/>
    <w:rsid w:val="00D9713B"/>
    <w:rsid w:val="00D9717C"/>
    <w:rsid w:val="00D974AD"/>
    <w:rsid w:val="00DA075C"/>
    <w:rsid w:val="00DA0B97"/>
    <w:rsid w:val="00DA1A1E"/>
    <w:rsid w:val="00DA1BA0"/>
    <w:rsid w:val="00DA20DE"/>
    <w:rsid w:val="00DA2115"/>
    <w:rsid w:val="00DA38E6"/>
    <w:rsid w:val="00DA48F7"/>
    <w:rsid w:val="00DA52AD"/>
    <w:rsid w:val="00DA5A9E"/>
    <w:rsid w:val="00DA5EED"/>
    <w:rsid w:val="00DA618D"/>
    <w:rsid w:val="00DA652B"/>
    <w:rsid w:val="00DA7114"/>
    <w:rsid w:val="00DA7349"/>
    <w:rsid w:val="00DB1723"/>
    <w:rsid w:val="00DB1BFF"/>
    <w:rsid w:val="00DB1C2A"/>
    <w:rsid w:val="00DB2936"/>
    <w:rsid w:val="00DB392E"/>
    <w:rsid w:val="00DB3CA0"/>
    <w:rsid w:val="00DB4A42"/>
    <w:rsid w:val="00DB55A3"/>
    <w:rsid w:val="00DB5BB0"/>
    <w:rsid w:val="00DB63D7"/>
    <w:rsid w:val="00DB69A9"/>
    <w:rsid w:val="00DB6DB7"/>
    <w:rsid w:val="00DB6FA2"/>
    <w:rsid w:val="00DB752C"/>
    <w:rsid w:val="00DB7B05"/>
    <w:rsid w:val="00DB7D9C"/>
    <w:rsid w:val="00DC0C4D"/>
    <w:rsid w:val="00DC267D"/>
    <w:rsid w:val="00DC2969"/>
    <w:rsid w:val="00DC3D32"/>
    <w:rsid w:val="00DC6582"/>
    <w:rsid w:val="00DC6D7C"/>
    <w:rsid w:val="00DC6FE3"/>
    <w:rsid w:val="00DC7C1D"/>
    <w:rsid w:val="00DD007D"/>
    <w:rsid w:val="00DD0951"/>
    <w:rsid w:val="00DD0EF6"/>
    <w:rsid w:val="00DD1F2D"/>
    <w:rsid w:val="00DD2792"/>
    <w:rsid w:val="00DD3B31"/>
    <w:rsid w:val="00DD5482"/>
    <w:rsid w:val="00DD6BD8"/>
    <w:rsid w:val="00DD6C53"/>
    <w:rsid w:val="00DE0F7E"/>
    <w:rsid w:val="00DE12DB"/>
    <w:rsid w:val="00DE2606"/>
    <w:rsid w:val="00DE2C9A"/>
    <w:rsid w:val="00DE2FE6"/>
    <w:rsid w:val="00DE607E"/>
    <w:rsid w:val="00DE67E9"/>
    <w:rsid w:val="00DE69E0"/>
    <w:rsid w:val="00DE6FDD"/>
    <w:rsid w:val="00DE732D"/>
    <w:rsid w:val="00DE76B6"/>
    <w:rsid w:val="00DE799C"/>
    <w:rsid w:val="00DE7AFA"/>
    <w:rsid w:val="00DE7F8D"/>
    <w:rsid w:val="00DF0AE7"/>
    <w:rsid w:val="00DF12CE"/>
    <w:rsid w:val="00DF165B"/>
    <w:rsid w:val="00DF19E8"/>
    <w:rsid w:val="00DF2403"/>
    <w:rsid w:val="00DF24DE"/>
    <w:rsid w:val="00DF6809"/>
    <w:rsid w:val="00E0133D"/>
    <w:rsid w:val="00E0139C"/>
    <w:rsid w:val="00E0183D"/>
    <w:rsid w:val="00E01CF4"/>
    <w:rsid w:val="00E02FFC"/>
    <w:rsid w:val="00E0428C"/>
    <w:rsid w:val="00E04594"/>
    <w:rsid w:val="00E0462B"/>
    <w:rsid w:val="00E05FB6"/>
    <w:rsid w:val="00E0719D"/>
    <w:rsid w:val="00E072A1"/>
    <w:rsid w:val="00E109C5"/>
    <w:rsid w:val="00E10E7B"/>
    <w:rsid w:val="00E12237"/>
    <w:rsid w:val="00E130E9"/>
    <w:rsid w:val="00E136C7"/>
    <w:rsid w:val="00E140A7"/>
    <w:rsid w:val="00E14319"/>
    <w:rsid w:val="00E1515A"/>
    <w:rsid w:val="00E15987"/>
    <w:rsid w:val="00E15E5B"/>
    <w:rsid w:val="00E15EB3"/>
    <w:rsid w:val="00E16921"/>
    <w:rsid w:val="00E17764"/>
    <w:rsid w:val="00E17DA4"/>
    <w:rsid w:val="00E20208"/>
    <w:rsid w:val="00E21F5B"/>
    <w:rsid w:val="00E226A9"/>
    <w:rsid w:val="00E232CC"/>
    <w:rsid w:val="00E23F39"/>
    <w:rsid w:val="00E243E4"/>
    <w:rsid w:val="00E24894"/>
    <w:rsid w:val="00E2574E"/>
    <w:rsid w:val="00E277A6"/>
    <w:rsid w:val="00E27B39"/>
    <w:rsid w:val="00E27CCB"/>
    <w:rsid w:val="00E311A1"/>
    <w:rsid w:val="00E3166A"/>
    <w:rsid w:val="00E31855"/>
    <w:rsid w:val="00E3275C"/>
    <w:rsid w:val="00E32C65"/>
    <w:rsid w:val="00E32E02"/>
    <w:rsid w:val="00E32ED2"/>
    <w:rsid w:val="00E339CB"/>
    <w:rsid w:val="00E359A7"/>
    <w:rsid w:val="00E371FE"/>
    <w:rsid w:val="00E40FF8"/>
    <w:rsid w:val="00E4104E"/>
    <w:rsid w:val="00E41961"/>
    <w:rsid w:val="00E419A8"/>
    <w:rsid w:val="00E43962"/>
    <w:rsid w:val="00E45066"/>
    <w:rsid w:val="00E4552C"/>
    <w:rsid w:val="00E46759"/>
    <w:rsid w:val="00E50136"/>
    <w:rsid w:val="00E502EB"/>
    <w:rsid w:val="00E511CE"/>
    <w:rsid w:val="00E52331"/>
    <w:rsid w:val="00E5280B"/>
    <w:rsid w:val="00E53237"/>
    <w:rsid w:val="00E53565"/>
    <w:rsid w:val="00E53C73"/>
    <w:rsid w:val="00E541EE"/>
    <w:rsid w:val="00E5443E"/>
    <w:rsid w:val="00E54813"/>
    <w:rsid w:val="00E54D5C"/>
    <w:rsid w:val="00E56CA6"/>
    <w:rsid w:val="00E57C2F"/>
    <w:rsid w:val="00E60CD7"/>
    <w:rsid w:val="00E61435"/>
    <w:rsid w:val="00E61D87"/>
    <w:rsid w:val="00E64567"/>
    <w:rsid w:val="00E64643"/>
    <w:rsid w:val="00E64CDF"/>
    <w:rsid w:val="00E65003"/>
    <w:rsid w:val="00E65605"/>
    <w:rsid w:val="00E659D7"/>
    <w:rsid w:val="00E660E2"/>
    <w:rsid w:val="00E67540"/>
    <w:rsid w:val="00E705ED"/>
    <w:rsid w:val="00E71760"/>
    <w:rsid w:val="00E7202A"/>
    <w:rsid w:val="00E7218E"/>
    <w:rsid w:val="00E72836"/>
    <w:rsid w:val="00E736C1"/>
    <w:rsid w:val="00E7389D"/>
    <w:rsid w:val="00E74D6D"/>
    <w:rsid w:val="00E76FD6"/>
    <w:rsid w:val="00E77569"/>
    <w:rsid w:val="00E77D24"/>
    <w:rsid w:val="00E80B68"/>
    <w:rsid w:val="00E80C44"/>
    <w:rsid w:val="00E819E3"/>
    <w:rsid w:val="00E81C1F"/>
    <w:rsid w:val="00E823C7"/>
    <w:rsid w:val="00E827E0"/>
    <w:rsid w:val="00E8339D"/>
    <w:rsid w:val="00E84DC0"/>
    <w:rsid w:val="00E85341"/>
    <w:rsid w:val="00E865E5"/>
    <w:rsid w:val="00E86A3A"/>
    <w:rsid w:val="00E86C4E"/>
    <w:rsid w:val="00E879B3"/>
    <w:rsid w:val="00E917F9"/>
    <w:rsid w:val="00E925EF"/>
    <w:rsid w:val="00E93581"/>
    <w:rsid w:val="00E93D21"/>
    <w:rsid w:val="00E95396"/>
    <w:rsid w:val="00E965FF"/>
    <w:rsid w:val="00E96E59"/>
    <w:rsid w:val="00E96F4C"/>
    <w:rsid w:val="00E96F7D"/>
    <w:rsid w:val="00E9714B"/>
    <w:rsid w:val="00EA0452"/>
    <w:rsid w:val="00EA19BC"/>
    <w:rsid w:val="00EA356A"/>
    <w:rsid w:val="00EA3A30"/>
    <w:rsid w:val="00EA3F4C"/>
    <w:rsid w:val="00EA43CB"/>
    <w:rsid w:val="00EA6164"/>
    <w:rsid w:val="00EA75C3"/>
    <w:rsid w:val="00EB09A9"/>
    <w:rsid w:val="00EB144C"/>
    <w:rsid w:val="00EB1FEC"/>
    <w:rsid w:val="00EB43DD"/>
    <w:rsid w:val="00EB4913"/>
    <w:rsid w:val="00EB5305"/>
    <w:rsid w:val="00EB5B7B"/>
    <w:rsid w:val="00EB652B"/>
    <w:rsid w:val="00EB6E74"/>
    <w:rsid w:val="00EB7881"/>
    <w:rsid w:val="00EB7A0E"/>
    <w:rsid w:val="00EB7FEC"/>
    <w:rsid w:val="00EC17F0"/>
    <w:rsid w:val="00EC261E"/>
    <w:rsid w:val="00EC2BE4"/>
    <w:rsid w:val="00EC33AB"/>
    <w:rsid w:val="00EC45EC"/>
    <w:rsid w:val="00EC4B5B"/>
    <w:rsid w:val="00EC53EB"/>
    <w:rsid w:val="00EC5785"/>
    <w:rsid w:val="00EC57D6"/>
    <w:rsid w:val="00EC669E"/>
    <w:rsid w:val="00EC6F07"/>
    <w:rsid w:val="00ED0672"/>
    <w:rsid w:val="00ED1B19"/>
    <w:rsid w:val="00ED232E"/>
    <w:rsid w:val="00ED3487"/>
    <w:rsid w:val="00ED5340"/>
    <w:rsid w:val="00ED6E75"/>
    <w:rsid w:val="00ED7397"/>
    <w:rsid w:val="00EE195B"/>
    <w:rsid w:val="00EE284A"/>
    <w:rsid w:val="00EE5017"/>
    <w:rsid w:val="00EE5715"/>
    <w:rsid w:val="00EE5C94"/>
    <w:rsid w:val="00EF03CC"/>
    <w:rsid w:val="00EF16E5"/>
    <w:rsid w:val="00EF1919"/>
    <w:rsid w:val="00EF23AC"/>
    <w:rsid w:val="00EF2A1B"/>
    <w:rsid w:val="00EF2A6C"/>
    <w:rsid w:val="00EF427D"/>
    <w:rsid w:val="00EF440E"/>
    <w:rsid w:val="00EF499A"/>
    <w:rsid w:val="00EF51FF"/>
    <w:rsid w:val="00EF5603"/>
    <w:rsid w:val="00EF5BF3"/>
    <w:rsid w:val="00EF682C"/>
    <w:rsid w:val="00EF6906"/>
    <w:rsid w:val="00EF698B"/>
    <w:rsid w:val="00F005CF"/>
    <w:rsid w:val="00F02A9A"/>
    <w:rsid w:val="00F03D25"/>
    <w:rsid w:val="00F05A68"/>
    <w:rsid w:val="00F111FA"/>
    <w:rsid w:val="00F122F9"/>
    <w:rsid w:val="00F12B63"/>
    <w:rsid w:val="00F1330E"/>
    <w:rsid w:val="00F14525"/>
    <w:rsid w:val="00F14AFE"/>
    <w:rsid w:val="00F150D4"/>
    <w:rsid w:val="00F1527C"/>
    <w:rsid w:val="00F16451"/>
    <w:rsid w:val="00F169C9"/>
    <w:rsid w:val="00F176D0"/>
    <w:rsid w:val="00F201EA"/>
    <w:rsid w:val="00F2073B"/>
    <w:rsid w:val="00F20FE8"/>
    <w:rsid w:val="00F2224C"/>
    <w:rsid w:val="00F22505"/>
    <w:rsid w:val="00F22880"/>
    <w:rsid w:val="00F22968"/>
    <w:rsid w:val="00F23043"/>
    <w:rsid w:val="00F24373"/>
    <w:rsid w:val="00F2457B"/>
    <w:rsid w:val="00F2514D"/>
    <w:rsid w:val="00F25902"/>
    <w:rsid w:val="00F25CD2"/>
    <w:rsid w:val="00F270E3"/>
    <w:rsid w:val="00F27257"/>
    <w:rsid w:val="00F30A5C"/>
    <w:rsid w:val="00F315B0"/>
    <w:rsid w:val="00F3174A"/>
    <w:rsid w:val="00F31C99"/>
    <w:rsid w:val="00F32AC6"/>
    <w:rsid w:val="00F32E07"/>
    <w:rsid w:val="00F33344"/>
    <w:rsid w:val="00F34243"/>
    <w:rsid w:val="00F35493"/>
    <w:rsid w:val="00F3573F"/>
    <w:rsid w:val="00F357FE"/>
    <w:rsid w:val="00F37804"/>
    <w:rsid w:val="00F37983"/>
    <w:rsid w:val="00F410EF"/>
    <w:rsid w:val="00F41983"/>
    <w:rsid w:val="00F41A7E"/>
    <w:rsid w:val="00F41F6E"/>
    <w:rsid w:val="00F420DD"/>
    <w:rsid w:val="00F42370"/>
    <w:rsid w:val="00F42B19"/>
    <w:rsid w:val="00F4414E"/>
    <w:rsid w:val="00F46EF0"/>
    <w:rsid w:val="00F50736"/>
    <w:rsid w:val="00F50908"/>
    <w:rsid w:val="00F50961"/>
    <w:rsid w:val="00F50A31"/>
    <w:rsid w:val="00F50F72"/>
    <w:rsid w:val="00F510DD"/>
    <w:rsid w:val="00F5161F"/>
    <w:rsid w:val="00F540F6"/>
    <w:rsid w:val="00F558D2"/>
    <w:rsid w:val="00F55A09"/>
    <w:rsid w:val="00F56BBA"/>
    <w:rsid w:val="00F56D5F"/>
    <w:rsid w:val="00F56D6E"/>
    <w:rsid w:val="00F56F3C"/>
    <w:rsid w:val="00F611BC"/>
    <w:rsid w:val="00F63565"/>
    <w:rsid w:val="00F637AD"/>
    <w:rsid w:val="00F637CC"/>
    <w:rsid w:val="00F64B61"/>
    <w:rsid w:val="00F64DB0"/>
    <w:rsid w:val="00F65FAA"/>
    <w:rsid w:val="00F67515"/>
    <w:rsid w:val="00F67798"/>
    <w:rsid w:val="00F70F9A"/>
    <w:rsid w:val="00F71D40"/>
    <w:rsid w:val="00F71E7D"/>
    <w:rsid w:val="00F71F01"/>
    <w:rsid w:val="00F728D3"/>
    <w:rsid w:val="00F72FDB"/>
    <w:rsid w:val="00F7321F"/>
    <w:rsid w:val="00F753A0"/>
    <w:rsid w:val="00F7615E"/>
    <w:rsid w:val="00F766D5"/>
    <w:rsid w:val="00F76B63"/>
    <w:rsid w:val="00F77552"/>
    <w:rsid w:val="00F80DFA"/>
    <w:rsid w:val="00F814F3"/>
    <w:rsid w:val="00F827EE"/>
    <w:rsid w:val="00F836FE"/>
    <w:rsid w:val="00F839D8"/>
    <w:rsid w:val="00F83BB7"/>
    <w:rsid w:val="00F83E24"/>
    <w:rsid w:val="00F84E11"/>
    <w:rsid w:val="00F8541C"/>
    <w:rsid w:val="00F86C41"/>
    <w:rsid w:val="00F870B3"/>
    <w:rsid w:val="00F87798"/>
    <w:rsid w:val="00F90000"/>
    <w:rsid w:val="00F919DE"/>
    <w:rsid w:val="00F91C07"/>
    <w:rsid w:val="00F91CB7"/>
    <w:rsid w:val="00F92028"/>
    <w:rsid w:val="00F936B2"/>
    <w:rsid w:val="00F95547"/>
    <w:rsid w:val="00F9672F"/>
    <w:rsid w:val="00F96881"/>
    <w:rsid w:val="00F96CCF"/>
    <w:rsid w:val="00FA0326"/>
    <w:rsid w:val="00FA0389"/>
    <w:rsid w:val="00FA1336"/>
    <w:rsid w:val="00FA2C29"/>
    <w:rsid w:val="00FA3231"/>
    <w:rsid w:val="00FA3CA1"/>
    <w:rsid w:val="00FA49EB"/>
    <w:rsid w:val="00FA4A0E"/>
    <w:rsid w:val="00FA581D"/>
    <w:rsid w:val="00FA6E7B"/>
    <w:rsid w:val="00FA7D88"/>
    <w:rsid w:val="00FA7E90"/>
    <w:rsid w:val="00FB01A5"/>
    <w:rsid w:val="00FB04FD"/>
    <w:rsid w:val="00FB06A7"/>
    <w:rsid w:val="00FB081A"/>
    <w:rsid w:val="00FB10C8"/>
    <w:rsid w:val="00FB1800"/>
    <w:rsid w:val="00FB1848"/>
    <w:rsid w:val="00FB334F"/>
    <w:rsid w:val="00FB44A0"/>
    <w:rsid w:val="00FB4A6E"/>
    <w:rsid w:val="00FB4F7F"/>
    <w:rsid w:val="00FB50B9"/>
    <w:rsid w:val="00FB647C"/>
    <w:rsid w:val="00FC03EF"/>
    <w:rsid w:val="00FC068A"/>
    <w:rsid w:val="00FC0A34"/>
    <w:rsid w:val="00FC0E01"/>
    <w:rsid w:val="00FC0FA7"/>
    <w:rsid w:val="00FC2E8D"/>
    <w:rsid w:val="00FC3167"/>
    <w:rsid w:val="00FC3AD7"/>
    <w:rsid w:val="00FC3B90"/>
    <w:rsid w:val="00FC4334"/>
    <w:rsid w:val="00FC471C"/>
    <w:rsid w:val="00FC4E07"/>
    <w:rsid w:val="00FC5E99"/>
    <w:rsid w:val="00FC6492"/>
    <w:rsid w:val="00FC6619"/>
    <w:rsid w:val="00FC71A1"/>
    <w:rsid w:val="00FC7B18"/>
    <w:rsid w:val="00FD0279"/>
    <w:rsid w:val="00FD20E3"/>
    <w:rsid w:val="00FD2B61"/>
    <w:rsid w:val="00FD2EF9"/>
    <w:rsid w:val="00FD36ED"/>
    <w:rsid w:val="00FD3989"/>
    <w:rsid w:val="00FD3A17"/>
    <w:rsid w:val="00FD5848"/>
    <w:rsid w:val="00FD659A"/>
    <w:rsid w:val="00FD67EE"/>
    <w:rsid w:val="00FD719B"/>
    <w:rsid w:val="00FD7357"/>
    <w:rsid w:val="00FD7E65"/>
    <w:rsid w:val="00FE0AB5"/>
    <w:rsid w:val="00FE17D1"/>
    <w:rsid w:val="00FE1992"/>
    <w:rsid w:val="00FE1B2C"/>
    <w:rsid w:val="00FE26BA"/>
    <w:rsid w:val="00FE44FD"/>
    <w:rsid w:val="00FE52B7"/>
    <w:rsid w:val="00FE5ED5"/>
    <w:rsid w:val="00FE606A"/>
    <w:rsid w:val="00FE7B62"/>
    <w:rsid w:val="00FF06BD"/>
    <w:rsid w:val="00FF0EC5"/>
    <w:rsid w:val="00FF14D4"/>
    <w:rsid w:val="00FF23B4"/>
    <w:rsid w:val="00FF3445"/>
    <w:rsid w:val="00FF41C8"/>
    <w:rsid w:val="00FF452C"/>
    <w:rsid w:val="00FF4BA7"/>
    <w:rsid w:val="00FF4E32"/>
    <w:rsid w:val="00FF4F5D"/>
    <w:rsid w:val="00FF5726"/>
    <w:rsid w:val="00FF7612"/>
    <w:rsid w:val="01466E5E"/>
    <w:rsid w:val="014D34BE"/>
    <w:rsid w:val="01D24989"/>
    <w:rsid w:val="01E46D89"/>
    <w:rsid w:val="031A5554"/>
    <w:rsid w:val="031F3DF1"/>
    <w:rsid w:val="032A448E"/>
    <w:rsid w:val="032F672A"/>
    <w:rsid w:val="03323B24"/>
    <w:rsid w:val="03E07A24"/>
    <w:rsid w:val="040D666A"/>
    <w:rsid w:val="04A56DF9"/>
    <w:rsid w:val="04AE367F"/>
    <w:rsid w:val="05184F9C"/>
    <w:rsid w:val="05377B18"/>
    <w:rsid w:val="05656433"/>
    <w:rsid w:val="057B5C57"/>
    <w:rsid w:val="05AC4062"/>
    <w:rsid w:val="05CE6104"/>
    <w:rsid w:val="069A035E"/>
    <w:rsid w:val="06AC1E40"/>
    <w:rsid w:val="06E72E78"/>
    <w:rsid w:val="070D31AE"/>
    <w:rsid w:val="072251E0"/>
    <w:rsid w:val="074E2EF7"/>
    <w:rsid w:val="07EF0236"/>
    <w:rsid w:val="0802191C"/>
    <w:rsid w:val="086B2B4D"/>
    <w:rsid w:val="088553AB"/>
    <w:rsid w:val="08947212"/>
    <w:rsid w:val="08E81CF0"/>
    <w:rsid w:val="092E4D8E"/>
    <w:rsid w:val="092F4302"/>
    <w:rsid w:val="09B44113"/>
    <w:rsid w:val="09CB6A81"/>
    <w:rsid w:val="0A2070AA"/>
    <w:rsid w:val="0A430D0D"/>
    <w:rsid w:val="0A4C1970"/>
    <w:rsid w:val="0A5847B8"/>
    <w:rsid w:val="0A682522"/>
    <w:rsid w:val="0A7D421F"/>
    <w:rsid w:val="0A9D361E"/>
    <w:rsid w:val="0A9E5F43"/>
    <w:rsid w:val="0B0F299D"/>
    <w:rsid w:val="0B983A51"/>
    <w:rsid w:val="0C233EDC"/>
    <w:rsid w:val="0C290D86"/>
    <w:rsid w:val="0C3B7EEE"/>
    <w:rsid w:val="0C565BBB"/>
    <w:rsid w:val="0C775717"/>
    <w:rsid w:val="0C7B478E"/>
    <w:rsid w:val="0C857C6D"/>
    <w:rsid w:val="0CD143AE"/>
    <w:rsid w:val="0CE95B9C"/>
    <w:rsid w:val="0D412327"/>
    <w:rsid w:val="0D4F7F50"/>
    <w:rsid w:val="0D6D61B7"/>
    <w:rsid w:val="0D8B27AF"/>
    <w:rsid w:val="0DE545B5"/>
    <w:rsid w:val="0E010CC3"/>
    <w:rsid w:val="0E511C4A"/>
    <w:rsid w:val="0E5139F9"/>
    <w:rsid w:val="0E572FD9"/>
    <w:rsid w:val="0E7D703D"/>
    <w:rsid w:val="0EAD7827"/>
    <w:rsid w:val="0ECC4670"/>
    <w:rsid w:val="0ED26D73"/>
    <w:rsid w:val="0EE02FCE"/>
    <w:rsid w:val="0EE7610B"/>
    <w:rsid w:val="0EF23AA4"/>
    <w:rsid w:val="0F1A028E"/>
    <w:rsid w:val="0F234C69"/>
    <w:rsid w:val="0F334EAC"/>
    <w:rsid w:val="0F44530B"/>
    <w:rsid w:val="0FB97A2D"/>
    <w:rsid w:val="0FBA737B"/>
    <w:rsid w:val="106B3CB7"/>
    <w:rsid w:val="109202F8"/>
    <w:rsid w:val="10A122E9"/>
    <w:rsid w:val="10A8254F"/>
    <w:rsid w:val="10AE0B35"/>
    <w:rsid w:val="10CF6E57"/>
    <w:rsid w:val="10F13FC6"/>
    <w:rsid w:val="11AD5D6C"/>
    <w:rsid w:val="11B86D77"/>
    <w:rsid w:val="121A313E"/>
    <w:rsid w:val="126006AE"/>
    <w:rsid w:val="12AA1929"/>
    <w:rsid w:val="12E0378E"/>
    <w:rsid w:val="12E4357C"/>
    <w:rsid w:val="12EB072B"/>
    <w:rsid w:val="13164834"/>
    <w:rsid w:val="132A4818"/>
    <w:rsid w:val="133E6515"/>
    <w:rsid w:val="13A445CA"/>
    <w:rsid w:val="13E25D55"/>
    <w:rsid w:val="13F372BF"/>
    <w:rsid w:val="13FB2D35"/>
    <w:rsid w:val="13FD1084"/>
    <w:rsid w:val="1442760C"/>
    <w:rsid w:val="149442E3"/>
    <w:rsid w:val="14AA7842"/>
    <w:rsid w:val="14D1569E"/>
    <w:rsid w:val="14F951FE"/>
    <w:rsid w:val="152416E5"/>
    <w:rsid w:val="15673B02"/>
    <w:rsid w:val="15AB464D"/>
    <w:rsid w:val="15FA4976"/>
    <w:rsid w:val="15FF01DE"/>
    <w:rsid w:val="16052C44"/>
    <w:rsid w:val="161054D3"/>
    <w:rsid w:val="16113A6D"/>
    <w:rsid w:val="16184DFC"/>
    <w:rsid w:val="16287735"/>
    <w:rsid w:val="16500A3A"/>
    <w:rsid w:val="165918C5"/>
    <w:rsid w:val="1666516D"/>
    <w:rsid w:val="16785E3E"/>
    <w:rsid w:val="169521F8"/>
    <w:rsid w:val="16A16DEE"/>
    <w:rsid w:val="16C86822"/>
    <w:rsid w:val="172B4660"/>
    <w:rsid w:val="176A2F55"/>
    <w:rsid w:val="17AC6144"/>
    <w:rsid w:val="17DE660F"/>
    <w:rsid w:val="17E1461E"/>
    <w:rsid w:val="17E20104"/>
    <w:rsid w:val="18245CDA"/>
    <w:rsid w:val="186C2EF0"/>
    <w:rsid w:val="18910E95"/>
    <w:rsid w:val="18A23FFA"/>
    <w:rsid w:val="192817FA"/>
    <w:rsid w:val="1928599F"/>
    <w:rsid w:val="19A370D2"/>
    <w:rsid w:val="19AA0461"/>
    <w:rsid w:val="19CF7EC7"/>
    <w:rsid w:val="19E41BC5"/>
    <w:rsid w:val="19F4792E"/>
    <w:rsid w:val="1A155A94"/>
    <w:rsid w:val="1A295829"/>
    <w:rsid w:val="1A330456"/>
    <w:rsid w:val="1A815D2D"/>
    <w:rsid w:val="1A98475D"/>
    <w:rsid w:val="1AB80040"/>
    <w:rsid w:val="1ABD41C4"/>
    <w:rsid w:val="1AD72B04"/>
    <w:rsid w:val="1B0342CC"/>
    <w:rsid w:val="1B04112F"/>
    <w:rsid w:val="1B34092A"/>
    <w:rsid w:val="1B7454BA"/>
    <w:rsid w:val="1B9D24C1"/>
    <w:rsid w:val="1C673244"/>
    <w:rsid w:val="1C8431EB"/>
    <w:rsid w:val="1C8C607A"/>
    <w:rsid w:val="1CA0446B"/>
    <w:rsid w:val="1CA36E16"/>
    <w:rsid w:val="1CC23D13"/>
    <w:rsid w:val="1D003B60"/>
    <w:rsid w:val="1D0565B3"/>
    <w:rsid w:val="1D4F1A4B"/>
    <w:rsid w:val="1D525097"/>
    <w:rsid w:val="1D864D41"/>
    <w:rsid w:val="1DC05A01"/>
    <w:rsid w:val="1E5D1F46"/>
    <w:rsid w:val="1E664332"/>
    <w:rsid w:val="1E692745"/>
    <w:rsid w:val="1E9516DF"/>
    <w:rsid w:val="1EE12B77"/>
    <w:rsid w:val="1EE2244B"/>
    <w:rsid w:val="1F026709"/>
    <w:rsid w:val="1F04519F"/>
    <w:rsid w:val="1F1A3993"/>
    <w:rsid w:val="1F5824AE"/>
    <w:rsid w:val="1FA12A8B"/>
    <w:rsid w:val="1FA97878"/>
    <w:rsid w:val="1FAC5655"/>
    <w:rsid w:val="1FE521F3"/>
    <w:rsid w:val="20264C74"/>
    <w:rsid w:val="20394660"/>
    <w:rsid w:val="207277FE"/>
    <w:rsid w:val="208714FC"/>
    <w:rsid w:val="209D0D1F"/>
    <w:rsid w:val="20BE2A44"/>
    <w:rsid w:val="21570ECE"/>
    <w:rsid w:val="215D225D"/>
    <w:rsid w:val="219414EF"/>
    <w:rsid w:val="219707AA"/>
    <w:rsid w:val="21AE3327"/>
    <w:rsid w:val="21B47199"/>
    <w:rsid w:val="21BC3427"/>
    <w:rsid w:val="223C6316"/>
    <w:rsid w:val="226F2247"/>
    <w:rsid w:val="22BB548D"/>
    <w:rsid w:val="22F015DA"/>
    <w:rsid w:val="23122BC1"/>
    <w:rsid w:val="23276F64"/>
    <w:rsid w:val="233B65CE"/>
    <w:rsid w:val="23A86264"/>
    <w:rsid w:val="240D3AC6"/>
    <w:rsid w:val="2452597D"/>
    <w:rsid w:val="249D7540"/>
    <w:rsid w:val="24E707BB"/>
    <w:rsid w:val="24F44C86"/>
    <w:rsid w:val="25551267"/>
    <w:rsid w:val="2595218E"/>
    <w:rsid w:val="26323CB8"/>
    <w:rsid w:val="26A23298"/>
    <w:rsid w:val="26EF0BE8"/>
    <w:rsid w:val="270B6947"/>
    <w:rsid w:val="270D4A23"/>
    <w:rsid w:val="271D04C4"/>
    <w:rsid w:val="271D6716"/>
    <w:rsid w:val="274243CE"/>
    <w:rsid w:val="278536B8"/>
    <w:rsid w:val="27BA5D13"/>
    <w:rsid w:val="27BA722F"/>
    <w:rsid w:val="280C22E7"/>
    <w:rsid w:val="28133675"/>
    <w:rsid w:val="28205E50"/>
    <w:rsid w:val="283006CB"/>
    <w:rsid w:val="28341F69"/>
    <w:rsid w:val="28C4006E"/>
    <w:rsid w:val="297575F0"/>
    <w:rsid w:val="29B8409B"/>
    <w:rsid w:val="29B9024C"/>
    <w:rsid w:val="29D3596C"/>
    <w:rsid w:val="29EC0BB8"/>
    <w:rsid w:val="2A6E1037"/>
    <w:rsid w:val="2AC633CF"/>
    <w:rsid w:val="2AF14141"/>
    <w:rsid w:val="2AF51744"/>
    <w:rsid w:val="2B0D6AA1"/>
    <w:rsid w:val="2B2D7144"/>
    <w:rsid w:val="2B4D3342"/>
    <w:rsid w:val="2B667F60"/>
    <w:rsid w:val="2B88639E"/>
    <w:rsid w:val="2B960845"/>
    <w:rsid w:val="2BC419E8"/>
    <w:rsid w:val="2C02041A"/>
    <w:rsid w:val="2C506C46"/>
    <w:rsid w:val="2CD522A4"/>
    <w:rsid w:val="2CF27CFD"/>
    <w:rsid w:val="2CFA4E04"/>
    <w:rsid w:val="2D1C2320"/>
    <w:rsid w:val="2D214A86"/>
    <w:rsid w:val="2DE33AEA"/>
    <w:rsid w:val="2DE51610"/>
    <w:rsid w:val="2E3E5820"/>
    <w:rsid w:val="2E525B91"/>
    <w:rsid w:val="2F0C35AE"/>
    <w:rsid w:val="2F171C9D"/>
    <w:rsid w:val="2F2148C9"/>
    <w:rsid w:val="2F4F7689"/>
    <w:rsid w:val="2F6F1AD9"/>
    <w:rsid w:val="2F7D2448"/>
    <w:rsid w:val="2FA774C5"/>
    <w:rsid w:val="2FF65D56"/>
    <w:rsid w:val="300965BB"/>
    <w:rsid w:val="301F52AD"/>
    <w:rsid w:val="302F3016"/>
    <w:rsid w:val="3142124E"/>
    <w:rsid w:val="31662A68"/>
    <w:rsid w:val="317A60EF"/>
    <w:rsid w:val="31C37B5C"/>
    <w:rsid w:val="31D40319"/>
    <w:rsid w:val="31E34E68"/>
    <w:rsid w:val="31FE5396"/>
    <w:rsid w:val="3255145A"/>
    <w:rsid w:val="326D1CBA"/>
    <w:rsid w:val="32700042"/>
    <w:rsid w:val="32AC3AA2"/>
    <w:rsid w:val="32D65578"/>
    <w:rsid w:val="32DD2181"/>
    <w:rsid w:val="32E620B2"/>
    <w:rsid w:val="33093FF2"/>
    <w:rsid w:val="33424217"/>
    <w:rsid w:val="339D7617"/>
    <w:rsid w:val="33A930DF"/>
    <w:rsid w:val="340F32BC"/>
    <w:rsid w:val="347C6856"/>
    <w:rsid w:val="349F69BC"/>
    <w:rsid w:val="34BF2BBB"/>
    <w:rsid w:val="35011425"/>
    <w:rsid w:val="350C08BE"/>
    <w:rsid w:val="351F1BB1"/>
    <w:rsid w:val="354457B6"/>
    <w:rsid w:val="35A64FF3"/>
    <w:rsid w:val="35C3492C"/>
    <w:rsid w:val="35C92BD7"/>
    <w:rsid w:val="36341386"/>
    <w:rsid w:val="363D24FD"/>
    <w:rsid w:val="36541A28"/>
    <w:rsid w:val="369F7387"/>
    <w:rsid w:val="37145291"/>
    <w:rsid w:val="373B6744"/>
    <w:rsid w:val="375600E8"/>
    <w:rsid w:val="3756129A"/>
    <w:rsid w:val="375A0F20"/>
    <w:rsid w:val="379C3687"/>
    <w:rsid w:val="37DF0BDD"/>
    <w:rsid w:val="383C1D18"/>
    <w:rsid w:val="38A53668"/>
    <w:rsid w:val="38BD38B5"/>
    <w:rsid w:val="38C509BB"/>
    <w:rsid w:val="38FD24B4"/>
    <w:rsid w:val="390B0AC4"/>
    <w:rsid w:val="394E0C8C"/>
    <w:rsid w:val="395104A1"/>
    <w:rsid w:val="398D772B"/>
    <w:rsid w:val="398E3021"/>
    <w:rsid w:val="3A0E1EEE"/>
    <w:rsid w:val="3A10210A"/>
    <w:rsid w:val="3A4164A5"/>
    <w:rsid w:val="3A4E0A72"/>
    <w:rsid w:val="3A706705"/>
    <w:rsid w:val="3A900B55"/>
    <w:rsid w:val="3ADD2E5F"/>
    <w:rsid w:val="3ADF2616"/>
    <w:rsid w:val="3AFB06C4"/>
    <w:rsid w:val="3AFD61EB"/>
    <w:rsid w:val="3B0D75C6"/>
    <w:rsid w:val="3BA23236"/>
    <w:rsid w:val="3BBA40DC"/>
    <w:rsid w:val="3BCE7B87"/>
    <w:rsid w:val="3BF515B8"/>
    <w:rsid w:val="3C1460D3"/>
    <w:rsid w:val="3C2D6FA3"/>
    <w:rsid w:val="3C5502A8"/>
    <w:rsid w:val="3C75192F"/>
    <w:rsid w:val="3CE82ECA"/>
    <w:rsid w:val="3DD84CED"/>
    <w:rsid w:val="3DE356DF"/>
    <w:rsid w:val="3DE7342C"/>
    <w:rsid w:val="3E151A9D"/>
    <w:rsid w:val="3E2D0156"/>
    <w:rsid w:val="3E41473A"/>
    <w:rsid w:val="3E8A2015"/>
    <w:rsid w:val="3EA01B6F"/>
    <w:rsid w:val="3EF65790"/>
    <w:rsid w:val="3F03223E"/>
    <w:rsid w:val="3F1F6720"/>
    <w:rsid w:val="3F28720F"/>
    <w:rsid w:val="3FC714BD"/>
    <w:rsid w:val="3FE45BCB"/>
    <w:rsid w:val="3FF27CBD"/>
    <w:rsid w:val="402715B4"/>
    <w:rsid w:val="402C30CE"/>
    <w:rsid w:val="40664832"/>
    <w:rsid w:val="40B82BB4"/>
    <w:rsid w:val="40C477AB"/>
    <w:rsid w:val="413466DE"/>
    <w:rsid w:val="416D1BF0"/>
    <w:rsid w:val="418238EE"/>
    <w:rsid w:val="41AA69A0"/>
    <w:rsid w:val="41E2613A"/>
    <w:rsid w:val="42193734"/>
    <w:rsid w:val="42246C90"/>
    <w:rsid w:val="428B0580"/>
    <w:rsid w:val="434F455A"/>
    <w:rsid w:val="4355293C"/>
    <w:rsid w:val="43622373"/>
    <w:rsid w:val="43814017"/>
    <w:rsid w:val="438D0328"/>
    <w:rsid w:val="43BE4985"/>
    <w:rsid w:val="43E85EA9"/>
    <w:rsid w:val="442238E3"/>
    <w:rsid w:val="444A3296"/>
    <w:rsid w:val="445C1851"/>
    <w:rsid w:val="44A97B93"/>
    <w:rsid w:val="451602B5"/>
    <w:rsid w:val="45184A87"/>
    <w:rsid w:val="452F0E14"/>
    <w:rsid w:val="456815F5"/>
    <w:rsid w:val="458C4D3B"/>
    <w:rsid w:val="45B24076"/>
    <w:rsid w:val="461B6670"/>
    <w:rsid w:val="464347D8"/>
    <w:rsid w:val="464F7603"/>
    <w:rsid w:val="465F5FAB"/>
    <w:rsid w:val="466C691A"/>
    <w:rsid w:val="469D3974"/>
    <w:rsid w:val="46A00372"/>
    <w:rsid w:val="46B362F7"/>
    <w:rsid w:val="47134FE8"/>
    <w:rsid w:val="4713696A"/>
    <w:rsid w:val="47433F2D"/>
    <w:rsid w:val="47804717"/>
    <w:rsid w:val="47881532"/>
    <w:rsid w:val="47ED75E7"/>
    <w:rsid w:val="48023AD2"/>
    <w:rsid w:val="485663F0"/>
    <w:rsid w:val="485E2483"/>
    <w:rsid w:val="48944F15"/>
    <w:rsid w:val="48E674D1"/>
    <w:rsid w:val="48FF26AF"/>
    <w:rsid w:val="49081B1F"/>
    <w:rsid w:val="495219D9"/>
    <w:rsid w:val="495F7421"/>
    <w:rsid w:val="49C425C9"/>
    <w:rsid w:val="49CD1E47"/>
    <w:rsid w:val="4A2D1811"/>
    <w:rsid w:val="4A392FB7"/>
    <w:rsid w:val="4A4D0811"/>
    <w:rsid w:val="4A5F6A03"/>
    <w:rsid w:val="4A8A10DD"/>
    <w:rsid w:val="4A995804"/>
    <w:rsid w:val="4AB81CA0"/>
    <w:rsid w:val="4AE117DF"/>
    <w:rsid w:val="4BBD76FF"/>
    <w:rsid w:val="4BCF4AD5"/>
    <w:rsid w:val="4BE96317"/>
    <w:rsid w:val="4C15535E"/>
    <w:rsid w:val="4C3B0291"/>
    <w:rsid w:val="4C806C7C"/>
    <w:rsid w:val="4C934C01"/>
    <w:rsid w:val="4CC25E71"/>
    <w:rsid w:val="4CD34FFD"/>
    <w:rsid w:val="4D0C49B3"/>
    <w:rsid w:val="4D243AAB"/>
    <w:rsid w:val="4D587BF8"/>
    <w:rsid w:val="4D7720F5"/>
    <w:rsid w:val="4E5A52AA"/>
    <w:rsid w:val="4E612ADD"/>
    <w:rsid w:val="4E630603"/>
    <w:rsid w:val="4F0911AA"/>
    <w:rsid w:val="4F2C1AA8"/>
    <w:rsid w:val="4F8E16AF"/>
    <w:rsid w:val="4F936CC6"/>
    <w:rsid w:val="4FFD15C9"/>
    <w:rsid w:val="5005554C"/>
    <w:rsid w:val="50395ABF"/>
    <w:rsid w:val="50483F54"/>
    <w:rsid w:val="50671184"/>
    <w:rsid w:val="50774D48"/>
    <w:rsid w:val="50A74FCE"/>
    <w:rsid w:val="5139564B"/>
    <w:rsid w:val="51782617"/>
    <w:rsid w:val="51AA7D3A"/>
    <w:rsid w:val="51CB7138"/>
    <w:rsid w:val="51F15F26"/>
    <w:rsid w:val="5245699D"/>
    <w:rsid w:val="52843E50"/>
    <w:rsid w:val="52F932E4"/>
    <w:rsid w:val="530618E0"/>
    <w:rsid w:val="534F55FA"/>
    <w:rsid w:val="537A2677"/>
    <w:rsid w:val="538F59F6"/>
    <w:rsid w:val="53EB1F23"/>
    <w:rsid w:val="53EC2E48"/>
    <w:rsid w:val="546E1AAF"/>
    <w:rsid w:val="54B0031A"/>
    <w:rsid w:val="54EB4EAE"/>
    <w:rsid w:val="5503669C"/>
    <w:rsid w:val="557F2999"/>
    <w:rsid w:val="55A32FF3"/>
    <w:rsid w:val="56336B0D"/>
    <w:rsid w:val="565C6063"/>
    <w:rsid w:val="5684380C"/>
    <w:rsid w:val="56861501"/>
    <w:rsid w:val="57226B64"/>
    <w:rsid w:val="58474095"/>
    <w:rsid w:val="584C2108"/>
    <w:rsid w:val="58586CFE"/>
    <w:rsid w:val="585D367F"/>
    <w:rsid w:val="58E46ADA"/>
    <w:rsid w:val="59412DE1"/>
    <w:rsid w:val="594A2325"/>
    <w:rsid w:val="59786F11"/>
    <w:rsid w:val="599E2E37"/>
    <w:rsid w:val="59B14F3C"/>
    <w:rsid w:val="59E720E8"/>
    <w:rsid w:val="5A066729"/>
    <w:rsid w:val="5A364E1D"/>
    <w:rsid w:val="5A824FE9"/>
    <w:rsid w:val="5ADD34EB"/>
    <w:rsid w:val="5AED1980"/>
    <w:rsid w:val="5B484E08"/>
    <w:rsid w:val="5B4D0671"/>
    <w:rsid w:val="5B7A2838"/>
    <w:rsid w:val="5BC22E0D"/>
    <w:rsid w:val="5C263B84"/>
    <w:rsid w:val="5C62014C"/>
    <w:rsid w:val="5CC74453"/>
    <w:rsid w:val="5CD1707F"/>
    <w:rsid w:val="5CEE7C31"/>
    <w:rsid w:val="5D15428C"/>
    <w:rsid w:val="5D9205BD"/>
    <w:rsid w:val="5DC664B8"/>
    <w:rsid w:val="5E0B130F"/>
    <w:rsid w:val="5E0F7E5F"/>
    <w:rsid w:val="5ECC6771"/>
    <w:rsid w:val="5F2D2C93"/>
    <w:rsid w:val="5F57386C"/>
    <w:rsid w:val="5F6917F1"/>
    <w:rsid w:val="5F6F6BEE"/>
    <w:rsid w:val="5F73441E"/>
    <w:rsid w:val="5F8D1A5F"/>
    <w:rsid w:val="5F8F2A36"/>
    <w:rsid w:val="5FDC0215"/>
    <w:rsid w:val="5FF4730D"/>
    <w:rsid w:val="60343BAD"/>
    <w:rsid w:val="608D150F"/>
    <w:rsid w:val="60D204EC"/>
    <w:rsid w:val="61CC7BD3"/>
    <w:rsid w:val="61DE5866"/>
    <w:rsid w:val="61FC4B9F"/>
    <w:rsid w:val="62186B9A"/>
    <w:rsid w:val="624A590A"/>
    <w:rsid w:val="62744735"/>
    <w:rsid w:val="62A414BE"/>
    <w:rsid w:val="62C53589"/>
    <w:rsid w:val="62EE2739"/>
    <w:rsid w:val="63173B10"/>
    <w:rsid w:val="633A3BD0"/>
    <w:rsid w:val="63B82D47"/>
    <w:rsid w:val="63BA086D"/>
    <w:rsid w:val="63DD630A"/>
    <w:rsid w:val="6401024A"/>
    <w:rsid w:val="6410048D"/>
    <w:rsid w:val="642108EC"/>
    <w:rsid w:val="643A375C"/>
    <w:rsid w:val="643E45AB"/>
    <w:rsid w:val="64606EBA"/>
    <w:rsid w:val="647620D5"/>
    <w:rsid w:val="65581252"/>
    <w:rsid w:val="65646CE3"/>
    <w:rsid w:val="65921AA2"/>
    <w:rsid w:val="662B0176"/>
    <w:rsid w:val="66EB4ED2"/>
    <w:rsid w:val="673E3C66"/>
    <w:rsid w:val="674F751F"/>
    <w:rsid w:val="675E5021"/>
    <w:rsid w:val="675E59B4"/>
    <w:rsid w:val="67726599"/>
    <w:rsid w:val="677B6565"/>
    <w:rsid w:val="6788086F"/>
    <w:rsid w:val="67A368EB"/>
    <w:rsid w:val="6804655B"/>
    <w:rsid w:val="68203394"/>
    <w:rsid w:val="688651C2"/>
    <w:rsid w:val="68B47F81"/>
    <w:rsid w:val="68EC771B"/>
    <w:rsid w:val="69912070"/>
    <w:rsid w:val="69DC26B1"/>
    <w:rsid w:val="69EA59A1"/>
    <w:rsid w:val="69F0323B"/>
    <w:rsid w:val="69F40E86"/>
    <w:rsid w:val="6AC975E8"/>
    <w:rsid w:val="6AD22222"/>
    <w:rsid w:val="6AF84E75"/>
    <w:rsid w:val="6B165F8C"/>
    <w:rsid w:val="6B182A49"/>
    <w:rsid w:val="6B7E787A"/>
    <w:rsid w:val="6BC22AA0"/>
    <w:rsid w:val="6C1A459F"/>
    <w:rsid w:val="6C342444"/>
    <w:rsid w:val="6C69186D"/>
    <w:rsid w:val="6C7C7F39"/>
    <w:rsid w:val="6CA65E33"/>
    <w:rsid w:val="6D090170"/>
    <w:rsid w:val="6D37595A"/>
    <w:rsid w:val="6D396CA7"/>
    <w:rsid w:val="6D414D5A"/>
    <w:rsid w:val="6D616FF0"/>
    <w:rsid w:val="6D77332B"/>
    <w:rsid w:val="6D7777CF"/>
    <w:rsid w:val="6DE45640"/>
    <w:rsid w:val="6E1E75B4"/>
    <w:rsid w:val="6E443B55"/>
    <w:rsid w:val="6F124F73"/>
    <w:rsid w:val="6F377216"/>
    <w:rsid w:val="6F7044D6"/>
    <w:rsid w:val="6F911B3F"/>
    <w:rsid w:val="6FBE06C7"/>
    <w:rsid w:val="701D7CB8"/>
    <w:rsid w:val="70967F6C"/>
    <w:rsid w:val="70F52C1D"/>
    <w:rsid w:val="713952F0"/>
    <w:rsid w:val="7148395C"/>
    <w:rsid w:val="71BB2380"/>
    <w:rsid w:val="71D23226"/>
    <w:rsid w:val="72331F17"/>
    <w:rsid w:val="72E42010"/>
    <w:rsid w:val="72EE408F"/>
    <w:rsid w:val="73414465"/>
    <w:rsid w:val="7375135A"/>
    <w:rsid w:val="739D12FE"/>
    <w:rsid w:val="73F93907"/>
    <w:rsid w:val="74161AF0"/>
    <w:rsid w:val="744D3EE2"/>
    <w:rsid w:val="74A569D0"/>
    <w:rsid w:val="74C11324"/>
    <w:rsid w:val="74E474F8"/>
    <w:rsid w:val="74FB2A94"/>
    <w:rsid w:val="75086F8F"/>
    <w:rsid w:val="754461E9"/>
    <w:rsid w:val="756051DA"/>
    <w:rsid w:val="75CC6417"/>
    <w:rsid w:val="760F67F7"/>
    <w:rsid w:val="76126817"/>
    <w:rsid w:val="76342701"/>
    <w:rsid w:val="764C63FC"/>
    <w:rsid w:val="764D37C3"/>
    <w:rsid w:val="76606AB6"/>
    <w:rsid w:val="766703E1"/>
    <w:rsid w:val="76CE66B2"/>
    <w:rsid w:val="76FB3F4C"/>
    <w:rsid w:val="7721127C"/>
    <w:rsid w:val="7747223C"/>
    <w:rsid w:val="775C3CBE"/>
    <w:rsid w:val="77AB3B0A"/>
    <w:rsid w:val="77EE149E"/>
    <w:rsid w:val="780F4F04"/>
    <w:rsid w:val="783C50DD"/>
    <w:rsid w:val="783F0EE9"/>
    <w:rsid w:val="78C656BE"/>
    <w:rsid w:val="78D6184E"/>
    <w:rsid w:val="78FE2B52"/>
    <w:rsid w:val="795A247F"/>
    <w:rsid w:val="796C3666"/>
    <w:rsid w:val="79A47B9E"/>
    <w:rsid w:val="79BC5D3D"/>
    <w:rsid w:val="79C5464A"/>
    <w:rsid w:val="79E1494E"/>
    <w:rsid w:val="7A0B62B4"/>
    <w:rsid w:val="7A0C50D9"/>
    <w:rsid w:val="7A187D3A"/>
    <w:rsid w:val="7A7255A6"/>
    <w:rsid w:val="7A745081"/>
    <w:rsid w:val="7A804167"/>
    <w:rsid w:val="7A860847"/>
    <w:rsid w:val="7AAF0985"/>
    <w:rsid w:val="7AC5601E"/>
    <w:rsid w:val="7ACA7190"/>
    <w:rsid w:val="7BA91D61"/>
    <w:rsid w:val="7BCE2CB0"/>
    <w:rsid w:val="7BD5403F"/>
    <w:rsid w:val="7BEB5610"/>
    <w:rsid w:val="7BF9CCA9"/>
    <w:rsid w:val="7C1A4147"/>
    <w:rsid w:val="7C1C1C6D"/>
    <w:rsid w:val="7CBE2D25"/>
    <w:rsid w:val="7CEA1647"/>
    <w:rsid w:val="7D107CA4"/>
    <w:rsid w:val="7D677F5B"/>
    <w:rsid w:val="7D6C2781"/>
    <w:rsid w:val="7DA61F6B"/>
    <w:rsid w:val="7E0E6BE5"/>
    <w:rsid w:val="7EA61CC2"/>
    <w:rsid w:val="7EC920D7"/>
    <w:rsid w:val="7F2C6791"/>
    <w:rsid w:val="7F2F1CB8"/>
    <w:rsid w:val="7F3223EA"/>
    <w:rsid w:val="7F612E08"/>
    <w:rsid w:val="7F985AAF"/>
    <w:rsid w:val="7FEC4F74"/>
    <w:rsid w:val="DB3F9658"/>
    <w:rsid w:val="FA33CD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0"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iPriority="99"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link w:val="54"/>
    <w:qFormat/>
    <w:uiPriority w:val="0"/>
    <w:pPr>
      <w:keepNext/>
      <w:keepLines/>
      <w:spacing w:before="340" w:after="330" w:line="578" w:lineRule="auto"/>
      <w:outlineLvl w:val="0"/>
    </w:pPr>
    <w:rPr>
      <w:b/>
      <w:bCs/>
      <w:kern w:val="44"/>
      <w:sz w:val="44"/>
      <w:szCs w:val="44"/>
    </w:rPr>
  </w:style>
  <w:style w:type="paragraph" w:styleId="3">
    <w:name w:val="heading 2"/>
    <w:basedOn w:val="1"/>
    <w:link w:val="55"/>
    <w:qFormat/>
    <w:uiPriority w:val="9"/>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56"/>
    <w:qFormat/>
    <w:uiPriority w:val="0"/>
    <w:pPr>
      <w:keepNext/>
      <w:keepLines/>
      <w:spacing w:before="260" w:after="260" w:line="416" w:lineRule="auto"/>
      <w:outlineLvl w:val="2"/>
    </w:pPr>
    <w:rPr>
      <w:b/>
      <w:bCs/>
      <w:sz w:val="32"/>
      <w:szCs w:val="32"/>
    </w:rPr>
  </w:style>
  <w:style w:type="paragraph" w:styleId="5">
    <w:name w:val="heading 4"/>
    <w:basedOn w:val="1"/>
    <w:next w:val="1"/>
    <w:link w:val="57"/>
    <w:qFormat/>
    <w:uiPriority w:val="0"/>
    <w:pPr>
      <w:keepNext/>
      <w:keepLines/>
      <w:spacing w:before="280" w:after="290" w:line="376" w:lineRule="auto"/>
      <w:outlineLvl w:val="3"/>
    </w:pPr>
    <w:rPr>
      <w:rFonts w:ascii="Cambria" w:hAnsi="Cambria"/>
      <w:b/>
      <w:bCs/>
      <w:sz w:val="28"/>
      <w:szCs w:val="28"/>
    </w:rPr>
  </w:style>
  <w:style w:type="paragraph" w:styleId="6">
    <w:name w:val="heading 5"/>
    <w:basedOn w:val="7"/>
    <w:next w:val="8"/>
    <w:link w:val="58"/>
    <w:autoRedefine/>
    <w:qFormat/>
    <w:uiPriority w:val="0"/>
    <w:pPr>
      <w:keepNext/>
      <w:keepLines/>
      <w:tabs>
        <w:tab w:val="left" w:pos="780"/>
      </w:tabs>
      <w:spacing w:before="280" w:after="290" w:line="376" w:lineRule="auto"/>
      <w:outlineLvl w:val="4"/>
    </w:pPr>
    <w:rPr>
      <w:b/>
      <w:bCs/>
      <w:sz w:val="28"/>
      <w:szCs w:val="28"/>
    </w:rPr>
  </w:style>
  <w:style w:type="paragraph" w:styleId="9">
    <w:name w:val="heading 6"/>
    <w:basedOn w:val="1"/>
    <w:next w:val="1"/>
    <w:link w:val="5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10">
    <w:name w:val="heading 7"/>
    <w:basedOn w:val="1"/>
    <w:next w:val="1"/>
    <w:link w:val="60"/>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1">
    <w:name w:val="heading 8"/>
    <w:basedOn w:val="1"/>
    <w:next w:val="1"/>
    <w:link w:val="61"/>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2">
    <w:name w:val="heading 9"/>
    <w:basedOn w:val="1"/>
    <w:next w:val="1"/>
    <w:link w:val="62"/>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7">
    <w:name w:val="List Number 2"/>
    <w:basedOn w:val="1"/>
    <w:qFormat/>
    <w:uiPriority w:val="0"/>
    <w:pPr>
      <w:numPr>
        <w:ilvl w:val="0"/>
        <w:numId w:val="1"/>
      </w:numPr>
    </w:pPr>
  </w:style>
  <w:style w:type="paragraph" w:styleId="8">
    <w:name w:val="Normal (Web)"/>
    <w:basedOn w:val="1"/>
    <w:link w:val="79"/>
    <w:autoRedefine/>
    <w:qFormat/>
    <w:uiPriority w:val="99"/>
    <w:pPr>
      <w:widowControl/>
      <w:spacing w:before="100" w:beforeAutospacing="1" w:after="100" w:afterAutospacing="1"/>
      <w:jc w:val="left"/>
    </w:pPr>
    <w:rPr>
      <w:rFonts w:ascii="宋体" w:hAnsi="宋体" w:cs="宋体"/>
      <w:kern w:val="0"/>
      <w:sz w:val="24"/>
    </w:rPr>
  </w:style>
  <w:style w:type="paragraph" w:styleId="13">
    <w:name w:val="toc 7"/>
    <w:basedOn w:val="1"/>
    <w:next w:val="1"/>
    <w:autoRedefine/>
    <w:unhideWhenUsed/>
    <w:qFormat/>
    <w:uiPriority w:val="39"/>
    <w:pPr>
      <w:ind w:left="2520" w:leftChars="1200"/>
    </w:pPr>
    <w:rPr>
      <w:rFonts w:ascii="等线" w:hAnsi="等线" w:eastAsia="等线"/>
      <w:szCs w:val="22"/>
    </w:rPr>
  </w:style>
  <w:style w:type="paragraph" w:styleId="14">
    <w:name w:val="Normal Indent"/>
    <w:basedOn w:val="1"/>
    <w:link w:val="63"/>
    <w:autoRedefine/>
    <w:qFormat/>
    <w:uiPriority w:val="0"/>
    <w:pPr>
      <w:ind w:firstLine="420"/>
    </w:pPr>
    <w:rPr>
      <w:szCs w:val="20"/>
    </w:rPr>
  </w:style>
  <w:style w:type="paragraph" w:styleId="15">
    <w:name w:val="Document Map"/>
    <w:basedOn w:val="1"/>
    <w:link w:val="64"/>
    <w:autoRedefine/>
    <w:qFormat/>
    <w:uiPriority w:val="0"/>
    <w:pPr>
      <w:shd w:val="clear" w:color="auto" w:fill="000080"/>
    </w:pPr>
  </w:style>
  <w:style w:type="paragraph" w:styleId="16">
    <w:name w:val="toa heading"/>
    <w:basedOn w:val="1"/>
    <w:next w:val="1"/>
    <w:autoRedefine/>
    <w:qFormat/>
    <w:uiPriority w:val="0"/>
    <w:pPr>
      <w:spacing w:before="120"/>
    </w:pPr>
    <w:rPr>
      <w:rFonts w:ascii="Arial" w:hAnsi="Arial" w:cs="Arial"/>
      <w:sz w:val="24"/>
    </w:rPr>
  </w:style>
  <w:style w:type="paragraph" w:styleId="17">
    <w:name w:val="annotation text"/>
    <w:basedOn w:val="1"/>
    <w:link w:val="65"/>
    <w:autoRedefine/>
    <w:qFormat/>
    <w:uiPriority w:val="0"/>
    <w:pPr>
      <w:jc w:val="left"/>
    </w:pPr>
  </w:style>
  <w:style w:type="paragraph" w:styleId="18">
    <w:name w:val="Body Text"/>
    <w:basedOn w:val="1"/>
    <w:next w:val="1"/>
    <w:link w:val="66"/>
    <w:autoRedefine/>
    <w:qFormat/>
    <w:uiPriority w:val="99"/>
    <w:pPr>
      <w:spacing w:after="120"/>
    </w:pPr>
  </w:style>
  <w:style w:type="paragraph" w:styleId="19">
    <w:name w:val="Body Text Indent"/>
    <w:basedOn w:val="1"/>
    <w:link w:val="67"/>
    <w:autoRedefine/>
    <w:qFormat/>
    <w:uiPriority w:val="0"/>
    <w:pPr>
      <w:ind w:firstLine="200" w:firstLineChars="200"/>
    </w:pPr>
    <w:rPr>
      <w:rFonts w:ascii="仿宋_GB2312" w:hAnsi="宋体" w:eastAsia="仿宋_GB2312" w:cs="宋体"/>
      <w:sz w:val="28"/>
    </w:rPr>
  </w:style>
  <w:style w:type="paragraph" w:styleId="20">
    <w:name w:val="toc 5"/>
    <w:basedOn w:val="1"/>
    <w:next w:val="1"/>
    <w:autoRedefine/>
    <w:qFormat/>
    <w:uiPriority w:val="0"/>
    <w:pPr>
      <w:ind w:left="1680" w:leftChars="800"/>
    </w:pPr>
  </w:style>
  <w:style w:type="paragraph" w:styleId="21">
    <w:name w:val="toc 3"/>
    <w:basedOn w:val="1"/>
    <w:next w:val="1"/>
    <w:autoRedefine/>
    <w:qFormat/>
    <w:uiPriority w:val="39"/>
    <w:pPr>
      <w:ind w:left="840" w:leftChars="400"/>
    </w:pPr>
  </w:style>
  <w:style w:type="paragraph" w:styleId="22">
    <w:name w:val="Plain Text"/>
    <w:basedOn w:val="1"/>
    <w:link w:val="68"/>
    <w:autoRedefine/>
    <w:qFormat/>
    <w:uiPriority w:val="0"/>
    <w:rPr>
      <w:rFonts w:ascii="宋体" w:hAnsi="宋体" w:cs="宋体"/>
      <w:szCs w:val="20"/>
    </w:rPr>
  </w:style>
  <w:style w:type="paragraph" w:styleId="23">
    <w:name w:val="toc 8"/>
    <w:basedOn w:val="1"/>
    <w:next w:val="1"/>
    <w:autoRedefine/>
    <w:unhideWhenUsed/>
    <w:qFormat/>
    <w:uiPriority w:val="39"/>
    <w:pPr>
      <w:ind w:left="2940" w:leftChars="1400"/>
    </w:pPr>
    <w:rPr>
      <w:rFonts w:ascii="等线" w:hAnsi="等线" w:eastAsia="等线"/>
      <w:szCs w:val="22"/>
    </w:rPr>
  </w:style>
  <w:style w:type="paragraph" w:styleId="24">
    <w:name w:val="Date"/>
    <w:basedOn w:val="1"/>
    <w:next w:val="1"/>
    <w:link w:val="69"/>
    <w:autoRedefine/>
    <w:qFormat/>
    <w:uiPriority w:val="99"/>
    <w:pPr>
      <w:ind w:left="100" w:leftChars="2500"/>
    </w:pPr>
    <w:rPr>
      <w:rFonts w:ascii="宋体"/>
      <w:sz w:val="24"/>
    </w:rPr>
  </w:style>
  <w:style w:type="paragraph" w:styleId="25">
    <w:name w:val="Body Text Indent 2"/>
    <w:basedOn w:val="1"/>
    <w:link w:val="70"/>
    <w:autoRedefine/>
    <w:qFormat/>
    <w:uiPriority w:val="0"/>
    <w:pPr>
      <w:spacing w:line="500" w:lineRule="exact"/>
      <w:ind w:firstLine="510"/>
    </w:pPr>
    <w:rPr>
      <w:rFonts w:ascii="宋体"/>
      <w:sz w:val="24"/>
      <w:szCs w:val="20"/>
    </w:rPr>
  </w:style>
  <w:style w:type="paragraph" w:styleId="26">
    <w:name w:val="endnote text"/>
    <w:basedOn w:val="1"/>
    <w:link w:val="71"/>
    <w:autoRedefine/>
    <w:qFormat/>
    <w:uiPriority w:val="0"/>
    <w:pPr>
      <w:snapToGrid w:val="0"/>
      <w:jc w:val="left"/>
    </w:pPr>
  </w:style>
  <w:style w:type="paragraph" w:styleId="27">
    <w:name w:val="Balloon Text"/>
    <w:basedOn w:val="1"/>
    <w:link w:val="72"/>
    <w:autoRedefine/>
    <w:qFormat/>
    <w:uiPriority w:val="99"/>
    <w:rPr>
      <w:sz w:val="18"/>
      <w:szCs w:val="18"/>
    </w:rPr>
  </w:style>
  <w:style w:type="paragraph" w:styleId="28">
    <w:name w:val="footer"/>
    <w:basedOn w:val="1"/>
    <w:link w:val="73"/>
    <w:autoRedefine/>
    <w:qFormat/>
    <w:uiPriority w:val="99"/>
    <w:pPr>
      <w:tabs>
        <w:tab w:val="center" w:pos="4153"/>
        <w:tab w:val="right" w:pos="8306"/>
      </w:tabs>
      <w:snapToGrid w:val="0"/>
      <w:jc w:val="left"/>
    </w:pPr>
    <w:rPr>
      <w:sz w:val="18"/>
      <w:szCs w:val="18"/>
    </w:rPr>
  </w:style>
  <w:style w:type="paragraph" w:styleId="29">
    <w:name w:val="header"/>
    <w:basedOn w:val="1"/>
    <w:link w:val="74"/>
    <w:autoRedefine/>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autoRedefine/>
    <w:qFormat/>
    <w:uiPriority w:val="39"/>
    <w:pPr>
      <w:tabs>
        <w:tab w:val="right" w:leader="dot" w:pos="9628"/>
      </w:tabs>
    </w:pPr>
    <w:rPr>
      <w:rFonts w:ascii="宋体" w:hAnsi="宋体"/>
      <w:sz w:val="32"/>
    </w:rPr>
  </w:style>
  <w:style w:type="paragraph" w:styleId="31">
    <w:name w:val="toc 4"/>
    <w:basedOn w:val="1"/>
    <w:next w:val="1"/>
    <w:autoRedefine/>
    <w:qFormat/>
    <w:uiPriority w:val="39"/>
    <w:pPr>
      <w:ind w:left="1260" w:leftChars="600"/>
    </w:pPr>
  </w:style>
  <w:style w:type="paragraph" w:styleId="32">
    <w:name w:val="Subtitle"/>
    <w:basedOn w:val="1"/>
    <w:next w:val="1"/>
    <w:link w:val="75"/>
    <w:autoRedefine/>
    <w:qFormat/>
    <w:uiPriority w:val="0"/>
    <w:pPr>
      <w:ind w:left="420" w:hanging="420"/>
      <w:jc w:val="left"/>
      <w:outlineLvl w:val="1"/>
    </w:pPr>
    <w:rPr>
      <w:rFonts w:ascii="Century Gothic" w:hAnsi="Century Gothic"/>
      <w:bCs/>
      <w:kern w:val="28"/>
      <w:szCs w:val="32"/>
    </w:rPr>
  </w:style>
  <w:style w:type="paragraph" w:styleId="33">
    <w:name w:val="footnote text"/>
    <w:basedOn w:val="1"/>
    <w:link w:val="76"/>
    <w:autoRedefine/>
    <w:qFormat/>
    <w:uiPriority w:val="0"/>
    <w:pPr>
      <w:snapToGrid w:val="0"/>
      <w:jc w:val="left"/>
    </w:pPr>
    <w:rPr>
      <w:sz w:val="18"/>
      <w:szCs w:val="18"/>
    </w:rPr>
  </w:style>
  <w:style w:type="paragraph" w:styleId="34">
    <w:name w:val="toc 6"/>
    <w:basedOn w:val="1"/>
    <w:next w:val="1"/>
    <w:autoRedefine/>
    <w:unhideWhenUsed/>
    <w:qFormat/>
    <w:uiPriority w:val="39"/>
    <w:pPr>
      <w:ind w:left="2100" w:leftChars="1000"/>
    </w:pPr>
    <w:rPr>
      <w:rFonts w:ascii="等线" w:hAnsi="等线" w:eastAsia="等线"/>
      <w:szCs w:val="22"/>
    </w:rPr>
  </w:style>
  <w:style w:type="paragraph" w:styleId="35">
    <w:name w:val="Body Text Indent 3"/>
    <w:basedOn w:val="1"/>
    <w:link w:val="77"/>
    <w:autoRedefine/>
    <w:unhideWhenUsed/>
    <w:qFormat/>
    <w:uiPriority w:val="99"/>
    <w:pPr>
      <w:spacing w:after="120"/>
      <w:ind w:left="420" w:leftChars="200"/>
    </w:pPr>
    <w:rPr>
      <w:sz w:val="16"/>
      <w:szCs w:val="16"/>
    </w:rPr>
  </w:style>
  <w:style w:type="paragraph" w:styleId="36">
    <w:name w:val="toc 2"/>
    <w:basedOn w:val="1"/>
    <w:next w:val="1"/>
    <w:autoRedefine/>
    <w:qFormat/>
    <w:uiPriority w:val="39"/>
    <w:pPr>
      <w:ind w:left="420" w:leftChars="200"/>
    </w:pPr>
  </w:style>
  <w:style w:type="paragraph" w:styleId="37">
    <w:name w:val="toc 9"/>
    <w:basedOn w:val="1"/>
    <w:next w:val="1"/>
    <w:autoRedefine/>
    <w:unhideWhenUsed/>
    <w:qFormat/>
    <w:uiPriority w:val="39"/>
    <w:pPr>
      <w:ind w:left="3360" w:leftChars="1600"/>
    </w:pPr>
    <w:rPr>
      <w:rFonts w:ascii="等线" w:hAnsi="等线" w:eastAsia="等线"/>
      <w:szCs w:val="22"/>
    </w:rPr>
  </w:style>
  <w:style w:type="paragraph" w:styleId="38">
    <w:name w:val="Body Text 2"/>
    <w:basedOn w:val="1"/>
    <w:link w:val="78"/>
    <w:autoRedefine/>
    <w:qFormat/>
    <w:uiPriority w:val="0"/>
    <w:pPr>
      <w:spacing w:after="120" w:line="480" w:lineRule="auto"/>
    </w:pPr>
  </w:style>
  <w:style w:type="paragraph" w:styleId="39">
    <w:name w:val="index 1"/>
    <w:basedOn w:val="1"/>
    <w:next w:val="1"/>
    <w:autoRedefine/>
    <w:qFormat/>
    <w:uiPriority w:val="0"/>
  </w:style>
  <w:style w:type="paragraph" w:styleId="40">
    <w:name w:val="Title"/>
    <w:basedOn w:val="1"/>
    <w:next w:val="1"/>
    <w:link w:val="80"/>
    <w:autoRedefine/>
    <w:qFormat/>
    <w:uiPriority w:val="0"/>
    <w:pPr>
      <w:spacing w:before="240" w:after="60"/>
      <w:jc w:val="center"/>
      <w:outlineLvl w:val="0"/>
    </w:pPr>
    <w:rPr>
      <w:rFonts w:ascii="Cambria" w:hAnsi="Cambria"/>
      <w:b/>
      <w:bCs/>
      <w:sz w:val="32"/>
      <w:szCs w:val="32"/>
    </w:rPr>
  </w:style>
  <w:style w:type="paragraph" w:styleId="41">
    <w:name w:val="annotation subject"/>
    <w:basedOn w:val="17"/>
    <w:next w:val="17"/>
    <w:link w:val="81"/>
    <w:autoRedefine/>
    <w:qFormat/>
    <w:uiPriority w:val="0"/>
    <w:rPr>
      <w:b/>
      <w:bCs/>
    </w:rPr>
  </w:style>
  <w:style w:type="paragraph" w:styleId="42">
    <w:name w:val="Body Text First Indent"/>
    <w:basedOn w:val="18"/>
    <w:link w:val="82"/>
    <w:autoRedefine/>
    <w:qFormat/>
    <w:uiPriority w:val="0"/>
    <w:pPr>
      <w:ind w:firstLine="420" w:firstLineChars="100"/>
    </w:pPr>
    <w:rPr>
      <w:rFonts w:cs="宋体"/>
      <w:szCs w:val="21"/>
    </w:rPr>
  </w:style>
  <w:style w:type="paragraph" w:styleId="43">
    <w:name w:val="Body Text First Indent 2"/>
    <w:basedOn w:val="1"/>
    <w:next w:val="1"/>
    <w:qFormat/>
    <w:uiPriority w:val="0"/>
    <w:pPr>
      <w:spacing w:after="120"/>
      <w:ind w:left="420" w:leftChars="200" w:firstLine="420"/>
    </w:pPr>
    <w:rPr>
      <w:rFonts w:ascii="Times New Roman" w:hAnsi="Times New Roman" w:eastAsia="Times New Roman"/>
    </w:rPr>
  </w:style>
  <w:style w:type="table" w:styleId="45">
    <w:name w:val="Table Grid"/>
    <w:basedOn w:val="44"/>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7">
    <w:name w:val="Strong"/>
    <w:basedOn w:val="46"/>
    <w:autoRedefine/>
    <w:qFormat/>
    <w:uiPriority w:val="0"/>
    <w:rPr>
      <w:b/>
      <w:bCs/>
    </w:rPr>
  </w:style>
  <w:style w:type="character" w:styleId="48">
    <w:name w:val="endnote reference"/>
    <w:autoRedefine/>
    <w:qFormat/>
    <w:uiPriority w:val="0"/>
    <w:rPr>
      <w:vertAlign w:val="superscript"/>
    </w:rPr>
  </w:style>
  <w:style w:type="character" w:styleId="49">
    <w:name w:val="page number"/>
    <w:basedOn w:val="46"/>
    <w:autoRedefine/>
    <w:qFormat/>
    <w:uiPriority w:val="0"/>
  </w:style>
  <w:style w:type="character" w:styleId="50">
    <w:name w:val="Hyperlink"/>
    <w:autoRedefine/>
    <w:qFormat/>
    <w:uiPriority w:val="99"/>
    <w:rPr>
      <w:color w:val="0000FF"/>
      <w:u w:val="single"/>
    </w:rPr>
  </w:style>
  <w:style w:type="character" w:styleId="51">
    <w:name w:val="annotation reference"/>
    <w:autoRedefine/>
    <w:qFormat/>
    <w:uiPriority w:val="0"/>
    <w:rPr>
      <w:sz w:val="21"/>
      <w:szCs w:val="21"/>
    </w:rPr>
  </w:style>
  <w:style w:type="character" w:styleId="52">
    <w:name w:val="footnote reference"/>
    <w:autoRedefine/>
    <w:qFormat/>
    <w:uiPriority w:val="0"/>
    <w:rPr>
      <w:vertAlign w:val="superscript"/>
    </w:rPr>
  </w:style>
  <w:style w:type="paragraph" w:customStyle="1" w:styleId="53">
    <w:name w:val="Normal_2"/>
    <w:next w:val="18"/>
    <w:qFormat/>
    <w:uiPriority w:val="0"/>
    <w:pPr>
      <w:widowControl w:val="0"/>
      <w:jc w:val="both"/>
    </w:pPr>
    <w:rPr>
      <w:rFonts w:ascii="Calibri" w:hAnsi="Calibri" w:eastAsia="宋体" w:cs="Times New Roman"/>
      <w:lang w:val="en-US" w:eastAsia="zh-CN" w:bidi="ar-SA"/>
    </w:rPr>
  </w:style>
  <w:style w:type="character" w:customStyle="1" w:styleId="54">
    <w:name w:val="标题 1 字符"/>
    <w:link w:val="2"/>
    <w:autoRedefine/>
    <w:qFormat/>
    <w:uiPriority w:val="0"/>
    <w:rPr>
      <w:b/>
      <w:bCs/>
      <w:kern w:val="44"/>
      <w:sz w:val="44"/>
      <w:szCs w:val="44"/>
    </w:rPr>
  </w:style>
  <w:style w:type="character" w:customStyle="1" w:styleId="55">
    <w:name w:val="标题 2 字符"/>
    <w:link w:val="3"/>
    <w:autoRedefine/>
    <w:qFormat/>
    <w:uiPriority w:val="0"/>
    <w:rPr>
      <w:rFonts w:ascii="Arial" w:hAnsi="Arial" w:eastAsia="黑体" w:cs="Arial"/>
      <w:b/>
      <w:bCs/>
      <w:kern w:val="2"/>
      <w:sz w:val="32"/>
      <w:szCs w:val="32"/>
    </w:rPr>
  </w:style>
  <w:style w:type="character" w:customStyle="1" w:styleId="56">
    <w:name w:val="标题 3 字符"/>
    <w:link w:val="4"/>
    <w:autoRedefine/>
    <w:qFormat/>
    <w:uiPriority w:val="0"/>
    <w:rPr>
      <w:b/>
      <w:bCs/>
      <w:kern w:val="2"/>
      <w:sz w:val="32"/>
      <w:szCs w:val="32"/>
    </w:rPr>
  </w:style>
  <w:style w:type="character" w:customStyle="1" w:styleId="57">
    <w:name w:val="标题 4 字符"/>
    <w:link w:val="5"/>
    <w:autoRedefine/>
    <w:qFormat/>
    <w:uiPriority w:val="0"/>
    <w:rPr>
      <w:rFonts w:ascii="Cambria" w:hAnsi="Cambria" w:eastAsia="宋体" w:cs="Times New Roman"/>
      <w:b/>
      <w:bCs/>
      <w:kern w:val="2"/>
      <w:sz w:val="28"/>
      <w:szCs w:val="28"/>
    </w:rPr>
  </w:style>
  <w:style w:type="character" w:customStyle="1" w:styleId="58">
    <w:name w:val="标题 5 字符"/>
    <w:link w:val="6"/>
    <w:autoRedefine/>
    <w:qFormat/>
    <w:uiPriority w:val="0"/>
    <w:rPr>
      <w:b/>
      <w:bCs/>
      <w:kern w:val="2"/>
      <w:sz w:val="28"/>
      <w:szCs w:val="28"/>
    </w:rPr>
  </w:style>
  <w:style w:type="character" w:customStyle="1" w:styleId="59">
    <w:name w:val="标题 6 字符"/>
    <w:link w:val="9"/>
    <w:autoRedefine/>
    <w:qFormat/>
    <w:uiPriority w:val="0"/>
    <w:rPr>
      <w:rFonts w:ascii="Arial" w:hAnsi="Arial" w:eastAsia="黑体"/>
      <w:b/>
      <w:bCs/>
      <w:sz w:val="24"/>
      <w:szCs w:val="24"/>
    </w:rPr>
  </w:style>
  <w:style w:type="character" w:customStyle="1" w:styleId="60">
    <w:name w:val="标题 7 字符"/>
    <w:link w:val="10"/>
    <w:autoRedefine/>
    <w:qFormat/>
    <w:uiPriority w:val="0"/>
    <w:rPr>
      <w:b/>
      <w:bCs/>
      <w:sz w:val="24"/>
      <w:szCs w:val="24"/>
    </w:rPr>
  </w:style>
  <w:style w:type="character" w:customStyle="1" w:styleId="61">
    <w:name w:val="标题 8 字符"/>
    <w:link w:val="11"/>
    <w:autoRedefine/>
    <w:qFormat/>
    <w:uiPriority w:val="0"/>
    <w:rPr>
      <w:rFonts w:ascii="Arial" w:hAnsi="Arial" w:eastAsia="黑体"/>
      <w:sz w:val="24"/>
      <w:szCs w:val="24"/>
    </w:rPr>
  </w:style>
  <w:style w:type="character" w:customStyle="1" w:styleId="62">
    <w:name w:val="标题 9 字符"/>
    <w:link w:val="12"/>
    <w:autoRedefine/>
    <w:qFormat/>
    <w:uiPriority w:val="0"/>
    <w:rPr>
      <w:rFonts w:ascii="Arial" w:hAnsi="Arial" w:eastAsia="黑体"/>
      <w:sz w:val="21"/>
      <w:szCs w:val="21"/>
    </w:rPr>
  </w:style>
  <w:style w:type="character" w:customStyle="1" w:styleId="63">
    <w:name w:val="正文缩进 字符"/>
    <w:link w:val="14"/>
    <w:autoRedefine/>
    <w:qFormat/>
    <w:locked/>
    <w:uiPriority w:val="0"/>
    <w:rPr>
      <w:kern w:val="2"/>
      <w:sz w:val="21"/>
    </w:rPr>
  </w:style>
  <w:style w:type="character" w:customStyle="1" w:styleId="64">
    <w:name w:val="文档结构图 字符"/>
    <w:link w:val="15"/>
    <w:autoRedefine/>
    <w:qFormat/>
    <w:uiPriority w:val="0"/>
    <w:rPr>
      <w:kern w:val="2"/>
      <w:sz w:val="21"/>
      <w:szCs w:val="24"/>
      <w:shd w:val="clear" w:color="auto" w:fill="000080"/>
    </w:rPr>
  </w:style>
  <w:style w:type="character" w:customStyle="1" w:styleId="65">
    <w:name w:val="批注文字 字符"/>
    <w:link w:val="17"/>
    <w:autoRedefine/>
    <w:qFormat/>
    <w:uiPriority w:val="0"/>
    <w:rPr>
      <w:kern w:val="2"/>
      <w:sz w:val="21"/>
      <w:szCs w:val="24"/>
    </w:rPr>
  </w:style>
  <w:style w:type="character" w:customStyle="1" w:styleId="66">
    <w:name w:val="正文文本 字符"/>
    <w:link w:val="18"/>
    <w:autoRedefine/>
    <w:qFormat/>
    <w:uiPriority w:val="0"/>
    <w:rPr>
      <w:kern w:val="2"/>
      <w:sz w:val="21"/>
      <w:szCs w:val="24"/>
    </w:rPr>
  </w:style>
  <w:style w:type="character" w:customStyle="1" w:styleId="67">
    <w:name w:val="正文文本缩进 字符"/>
    <w:link w:val="19"/>
    <w:autoRedefine/>
    <w:qFormat/>
    <w:uiPriority w:val="0"/>
    <w:rPr>
      <w:rFonts w:ascii="仿宋_GB2312" w:hAnsi="宋体" w:eastAsia="仿宋_GB2312" w:cs="宋体"/>
      <w:kern w:val="2"/>
      <w:sz w:val="28"/>
      <w:szCs w:val="24"/>
    </w:rPr>
  </w:style>
  <w:style w:type="character" w:customStyle="1" w:styleId="68">
    <w:name w:val="纯文本 字符"/>
    <w:link w:val="22"/>
    <w:autoRedefine/>
    <w:qFormat/>
    <w:uiPriority w:val="0"/>
    <w:rPr>
      <w:rFonts w:ascii="宋体" w:hAnsi="宋体" w:cs="宋体"/>
      <w:kern w:val="2"/>
      <w:sz w:val="21"/>
    </w:rPr>
  </w:style>
  <w:style w:type="character" w:customStyle="1" w:styleId="69">
    <w:name w:val="日期 字符"/>
    <w:link w:val="24"/>
    <w:autoRedefine/>
    <w:qFormat/>
    <w:uiPriority w:val="99"/>
    <w:rPr>
      <w:rFonts w:ascii="宋体"/>
      <w:kern w:val="2"/>
      <w:sz w:val="24"/>
      <w:szCs w:val="24"/>
    </w:rPr>
  </w:style>
  <w:style w:type="character" w:customStyle="1" w:styleId="70">
    <w:name w:val="正文文本缩进 2 字符"/>
    <w:link w:val="25"/>
    <w:autoRedefine/>
    <w:qFormat/>
    <w:uiPriority w:val="0"/>
    <w:rPr>
      <w:rFonts w:ascii="宋体"/>
      <w:kern w:val="2"/>
      <w:sz w:val="24"/>
    </w:rPr>
  </w:style>
  <w:style w:type="character" w:customStyle="1" w:styleId="71">
    <w:name w:val="尾注文本 字符"/>
    <w:link w:val="26"/>
    <w:autoRedefine/>
    <w:qFormat/>
    <w:uiPriority w:val="0"/>
    <w:rPr>
      <w:kern w:val="2"/>
      <w:sz w:val="21"/>
      <w:szCs w:val="24"/>
    </w:rPr>
  </w:style>
  <w:style w:type="character" w:customStyle="1" w:styleId="72">
    <w:name w:val="批注框文本 字符"/>
    <w:link w:val="27"/>
    <w:autoRedefine/>
    <w:qFormat/>
    <w:uiPriority w:val="99"/>
    <w:rPr>
      <w:kern w:val="2"/>
      <w:sz w:val="18"/>
      <w:szCs w:val="18"/>
    </w:rPr>
  </w:style>
  <w:style w:type="character" w:customStyle="1" w:styleId="73">
    <w:name w:val="页脚 字符"/>
    <w:link w:val="28"/>
    <w:autoRedefine/>
    <w:qFormat/>
    <w:uiPriority w:val="99"/>
    <w:rPr>
      <w:kern w:val="2"/>
      <w:sz w:val="18"/>
      <w:szCs w:val="18"/>
    </w:rPr>
  </w:style>
  <w:style w:type="character" w:customStyle="1" w:styleId="74">
    <w:name w:val="页眉 字符"/>
    <w:link w:val="29"/>
    <w:autoRedefine/>
    <w:qFormat/>
    <w:uiPriority w:val="0"/>
    <w:rPr>
      <w:kern w:val="2"/>
      <w:sz w:val="18"/>
      <w:szCs w:val="18"/>
    </w:rPr>
  </w:style>
  <w:style w:type="character" w:customStyle="1" w:styleId="75">
    <w:name w:val="副标题 字符"/>
    <w:link w:val="32"/>
    <w:autoRedefine/>
    <w:qFormat/>
    <w:uiPriority w:val="0"/>
    <w:rPr>
      <w:rFonts w:ascii="Century Gothic" w:hAnsi="Century Gothic"/>
      <w:bCs/>
      <w:kern w:val="28"/>
      <w:sz w:val="21"/>
      <w:szCs w:val="32"/>
    </w:rPr>
  </w:style>
  <w:style w:type="character" w:customStyle="1" w:styleId="76">
    <w:name w:val="脚注文本 字符"/>
    <w:link w:val="33"/>
    <w:autoRedefine/>
    <w:qFormat/>
    <w:uiPriority w:val="0"/>
    <w:rPr>
      <w:kern w:val="2"/>
      <w:sz w:val="18"/>
      <w:szCs w:val="18"/>
    </w:rPr>
  </w:style>
  <w:style w:type="character" w:customStyle="1" w:styleId="77">
    <w:name w:val="正文文本缩进 3 字符1"/>
    <w:link w:val="35"/>
    <w:autoRedefine/>
    <w:qFormat/>
    <w:uiPriority w:val="99"/>
    <w:rPr>
      <w:kern w:val="2"/>
      <w:sz w:val="16"/>
      <w:szCs w:val="16"/>
    </w:rPr>
  </w:style>
  <w:style w:type="character" w:customStyle="1" w:styleId="78">
    <w:name w:val="正文文本 2 字符"/>
    <w:link w:val="38"/>
    <w:autoRedefine/>
    <w:qFormat/>
    <w:uiPriority w:val="0"/>
    <w:rPr>
      <w:kern w:val="2"/>
      <w:sz w:val="21"/>
      <w:szCs w:val="24"/>
    </w:rPr>
  </w:style>
  <w:style w:type="character" w:customStyle="1" w:styleId="79">
    <w:name w:val="普通(网站) 字符"/>
    <w:link w:val="8"/>
    <w:autoRedefine/>
    <w:qFormat/>
    <w:uiPriority w:val="0"/>
    <w:rPr>
      <w:rFonts w:ascii="宋体" w:hAnsi="宋体" w:cs="宋体"/>
      <w:sz w:val="24"/>
      <w:szCs w:val="24"/>
    </w:rPr>
  </w:style>
  <w:style w:type="character" w:customStyle="1" w:styleId="80">
    <w:name w:val="标题 字符"/>
    <w:link w:val="40"/>
    <w:autoRedefine/>
    <w:qFormat/>
    <w:uiPriority w:val="0"/>
    <w:rPr>
      <w:rFonts w:ascii="Cambria" w:hAnsi="Cambria" w:cs="Times New Roman"/>
      <w:b/>
      <w:bCs/>
      <w:kern w:val="2"/>
      <w:sz w:val="32"/>
      <w:szCs w:val="32"/>
    </w:rPr>
  </w:style>
  <w:style w:type="character" w:customStyle="1" w:styleId="81">
    <w:name w:val="批注主题 字符"/>
    <w:link w:val="41"/>
    <w:autoRedefine/>
    <w:qFormat/>
    <w:uiPriority w:val="0"/>
    <w:rPr>
      <w:b/>
      <w:bCs/>
      <w:kern w:val="2"/>
      <w:sz w:val="21"/>
      <w:szCs w:val="24"/>
    </w:rPr>
  </w:style>
  <w:style w:type="character" w:customStyle="1" w:styleId="82">
    <w:name w:val="正文文本首行缩进 字符"/>
    <w:link w:val="42"/>
    <w:autoRedefine/>
    <w:qFormat/>
    <w:uiPriority w:val="0"/>
    <w:rPr>
      <w:rFonts w:cs="宋体"/>
      <w:kern w:val="2"/>
      <w:sz w:val="21"/>
      <w:szCs w:val="21"/>
    </w:rPr>
  </w:style>
  <w:style w:type="character" w:customStyle="1" w:styleId="83">
    <w:name w:val="正文文本 字符1"/>
    <w:autoRedefine/>
    <w:unhideWhenUsed/>
    <w:qFormat/>
    <w:locked/>
    <w:uiPriority w:val="99"/>
    <w:rPr>
      <w:rFonts w:ascii="宋体" w:cs="宋体"/>
      <w:sz w:val="21"/>
      <w:szCs w:val="21"/>
    </w:rPr>
  </w:style>
  <w:style w:type="character" w:customStyle="1" w:styleId="84">
    <w:name w:val="apple-converted-space"/>
    <w:autoRedefine/>
    <w:qFormat/>
    <w:uiPriority w:val="0"/>
  </w:style>
  <w:style w:type="character" w:customStyle="1" w:styleId="85">
    <w:name w:val="参审审核标题1 Char"/>
    <w:link w:val="86"/>
    <w:autoRedefine/>
    <w:qFormat/>
    <w:uiPriority w:val="0"/>
    <w:rPr>
      <w:rFonts w:ascii="黑体" w:hAnsi="黑体" w:eastAsia="黑体"/>
      <w:b/>
      <w:kern w:val="2"/>
      <w:sz w:val="21"/>
      <w:szCs w:val="21"/>
    </w:rPr>
  </w:style>
  <w:style w:type="paragraph" w:customStyle="1" w:styleId="86">
    <w:name w:val="参审审核标题1"/>
    <w:basedOn w:val="1"/>
    <w:link w:val="85"/>
    <w:autoRedefine/>
    <w:qFormat/>
    <w:uiPriority w:val="0"/>
    <w:pPr>
      <w:jc w:val="left"/>
      <w:outlineLvl w:val="0"/>
    </w:pPr>
    <w:rPr>
      <w:rFonts w:ascii="黑体" w:hAnsi="黑体" w:eastAsia="黑体"/>
      <w:b/>
      <w:szCs w:val="21"/>
    </w:rPr>
  </w:style>
  <w:style w:type="character" w:customStyle="1" w:styleId="87">
    <w:name w:val="style5"/>
    <w:autoRedefine/>
    <w:qFormat/>
    <w:uiPriority w:val="0"/>
  </w:style>
  <w:style w:type="character" w:customStyle="1" w:styleId="88">
    <w:name w:val="日期 Char1"/>
    <w:autoRedefine/>
    <w:qFormat/>
    <w:uiPriority w:val="0"/>
    <w:rPr>
      <w:kern w:val="2"/>
      <w:sz w:val="21"/>
      <w:szCs w:val="24"/>
    </w:rPr>
  </w:style>
  <w:style w:type="character" w:customStyle="1" w:styleId="89">
    <w:name w:val="副标题 Char1"/>
    <w:autoRedefine/>
    <w:qFormat/>
    <w:uiPriority w:val="0"/>
    <w:rPr>
      <w:rFonts w:ascii="Cambria" w:hAnsi="Cambria" w:cs="Times New Roman"/>
      <w:b/>
      <w:bCs/>
      <w:kern w:val="28"/>
      <w:sz w:val="32"/>
      <w:szCs w:val="32"/>
    </w:rPr>
  </w:style>
  <w:style w:type="character" w:customStyle="1" w:styleId="90">
    <w:name w:val="缩进小标题4（一页纸） Char Char"/>
    <w:link w:val="91"/>
    <w:autoRedefine/>
    <w:qFormat/>
    <w:uiPriority w:val="0"/>
    <w:rPr>
      <w:rFonts w:ascii="Arial" w:hAnsi="Arial" w:eastAsia="微软雅黑"/>
      <w:sz w:val="18"/>
      <w:szCs w:val="24"/>
    </w:rPr>
  </w:style>
  <w:style w:type="paragraph" w:customStyle="1" w:styleId="91">
    <w:name w:val="缩进小标题4（一页纸）"/>
    <w:basedOn w:val="1"/>
    <w:link w:val="90"/>
    <w:autoRedefine/>
    <w:qFormat/>
    <w:uiPriority w:val="0"/>
    <w:pPr>
      <w:widowControl/>
      <w:numPr>
        <w:ilvl w:val="0"/>
        <w:numId w:val="2"/>
      </w:numPr>
      <w:spacing w:line="360" w:lineRule="auto"/>
    </w:pPr>
    <w:rPr>
      <w:rFonts w:ascii="Arial" w:hAnsi="Arial" w:eastAsia="微软雅黑"/>
      <w:kern w:val="0"/>
      <w:sz w:val="18"/>
    </w:rPr>
  </w:style>
  <w:style w:type="character" w:customStyle="1" w:styleId="92">
    <w:name w:val="标题 2 Char_1_0"/>
    <w:link w:val="93"/>
    <w:autoRedefine/>
    <w:qFormat/>
    <w:uiPriority w:val="9"/>
    <w:rPr>
      <w:rFonts w:ascii="Cambria" w:hAnsi="Cambria"/>
      <w:b/>
      <w:bCs/>
      <w:kern w:val="2"/>
      <w:sz w:val="32"/>
      <w:szCs w:val="32"/>
    </w:rPr>
  </w:style>
  <w:style w:type="paragraph" w:customStyle="1" w:styleId="93">
    <w:name w:val="标题 2_1_0"/>
    <w:basedOn w:val="94"/>
    <w:next w:val="94"/>
    <w:link w:val="92"/>
    <w:autoRedefine/>
    <w:unhideWhenUsed/>
    <w:qFormat/>
    <w:uiPriority w:val="9"/>
    <w:pPr>
      <w:keepNext/>
      <w:keepLines/>
      <w:spacing w:before="260" w:after="260" w:line="416" w:lineRule="auto"/>
      <w:outlineLvl w:val="1"/>
    </w:pPr>
    <w:rPr>
      <w:rFonts w:ascii="Cambria" w:hAnsi="Cambria"/>
      <w:b/>
      <w:bCs/>
      <w:sz w:val="32"/>
      <w:szCs w:val="32"/>
    </w:rPr>
  </w:style>
  <w:style w:type="paragraph" w:customStyle="1" w:styleId="94">
    <w:name w:val="正文_12"/>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95">
    <w:name w:val="纯文本 Char1_4"/>
    <w:link w:val="96"/>
    <w:autoRedefine/>
    <w:qFormat/>
    <w:locked/>
    <w:uiPriority w:val="0"/>
    <w:rPr>
      <w:rFonts w:ascii="宋体" w:hAnsi="Courier New"/>
      <w:kern w:val="2"/>
      <w:sz w:val="21"/>
    </w:rPr>
  </w:style>
  <w:style w:type="paragraph" w:customStyle="1" w:styleId="96">
    <w:name w:val="纯文本_4"/>
    <w:basedOn w:val="94"/>
    <w:link w:val="95"/>
    <w:autoRedefine/>
    <w:unhideWhenUsed/>
    <w:qFormat/>
    <w:uiPriority w:val="0"/>
    <w:rPr>
      <w:rFonts w:ascii="宋体" w:hAnsi="Courier New"/>
      <w:szCs w:val="20"/>
    </w:rPr>
  </w:style>
  <w:style w:type="character" w:customStyle="1" w:styleId="97">
    <w:name w:val="GEDI正文样式 Char"/>
    <w:link w:val="98"/>
    <w:autoRedefine/>
    <w:qFormat/>
    <w:uiPriority w:val="0"/>
    <w:rPr>
      <w:kern w:val="2"/>
      <w:sz w:val="21"/>
      <w:szCs w:val="24"/>
    </w:rPr>
  </w:style>
  <w:style w:type="paragraph" w:customStyle="1" w:styleId="98">
    <w:name w:val="GEDI正文样式"/>
    <w:basedOn w:val="1"/>
    <w:link w:val="97"/>
    <w:autoRedefine/>
    <w:qFormat/>
    <w:uiPriority w:val="0"/>
    <w:pPr>
      <w:adjustRightInd w:val="0"/>
      <w:snapToGrid w:val="0"/>
      <w:spacing w:line="480" w:lineRule="atLeast"/>
      <w:ind w:firstLine="480" w:firstLineChars="200"/>
    </w:pPr>
  </w:style>
  <w:style w:type="paragraph" w:customStyle="1" w:styleId="99">
    <w:name w:val="Char"/>
    <w:basedOn w:val="1"/>
    <w:autoRedefine/>
    <w:qFormat/>
    <w:uiPriority w:val="0"/>
  </w:style>
  <w:style w:type="paragraph" w:customStyle="1" w:styleId="100">
    <w:name w:val="正文_19"/>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1">
    <w:name w:val="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02">
    <w:name w:val="列出段落"/>
    <w:basedOn w:val="1"/>
    <w:autoRedefine/>
    <w:qFormat/>
    <w:uiPriority w:val="34"/>
    <w:pPr>
      <w:ind w:firstLine="420" w:firstLineChars="200"/>
    </w:pPr>
    <w:rPr>
      <w:rFonts w:ascii="Calibri" w:hAnsi="Calibri"/>
      <w:szCs w:val="22"/>
    </w:rPr>
  </w:style>
  <w:style w:type="paragraph" w:customStyle="1" w:styleId="103">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04">
    <w:name w:val="采购申报表正文"/>
    <w:basedOn w:val="1"/>
    <w:autoRedefine/>
    <w:qFormat/>
    <w:uiPriority w:val="0"/>
    <w:rPr>
      <w:rFonts w:ascii="仿宋_GB2312" w:eastAsia="仿宋_GB2312"/>
      <w:szCs w:val="28"/>
    </w:rPr>
  </w:style>
  <w:style w:type="paragraph" w:styleId="105">
    <w:name w:val="No Spacing"/>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6">
    <w:name w:val="采购申报表备注"/>
    <w:basedOn w:val="1"/>
    <w:autoRedefine/>
    <w:qFormat/>
    <w:uiPriority w:val="0"/>
    <w:pPr>
      <w:tabs>
        <w:tab w:val="left" w:pos="2634"/>
      </w:tabs>
    </w:pPr>
    <w:rPr>
      <w:rFonts w:ascii="仿宋_GB2312" w:eastAsia="仿宋_GB2312"/>
    </w:rPr>
  </w:style>
  <w:style w:type="paragraph" w:customStyle="1" w:styleId="107">
    <w:name w:val="_Style 103"/>
    <w:basedOn w:val="2"/>
    <w:next w:val="1"/>
    <w:autoRedefine/>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08">
    <w:name w:val="List Paragraph1"/>
    <w:basedOn w:val="1"/>
    <w:autoRedefine/>
    <w:qFormat/>
    <w:uiPriority w:val="0"/>
    <w:pPr>
      <w:ind w:firstLine="420" w:firstLineChars="200"/>
    </w:pPr>
    <w:rPr>
      <w:rFonts w:ascii="Calibri" w:hAnsi="Calibri"/>
      <w:szCs w:val="22"/>
    </w:rPr>
  </w:style>
  <w:style w:type="paragraph" w:customStyle="1" w:styleId="109">
    <w:name w:val="采购申报表居中正文"/>
    <w:basedOn w:val="104"/>
    <w:autoRedefine/>
    <w:qFormat/>
    <w:uiPriority w:val="0"/>
    <w:pPr>
      <w:jc w:val="center"/>
    </w:pPr>
    <w:rPr>
      <w:b/>
      <w:szCs w:val="21"/>
    </w:rPr>
  </w:style>
  <w:style w:type="paragraph" w:customStyle="1" w:styleId="110">
    <w:name w:val="Normal_15"/>
    <w:autoRedefine/>
    <w:qFormat/>
    <w:uiPriority w:val="0"/>
    <w:rPr>
      <w:rFonts w:ascii="黑体" w:hAnsi="黑体" w:eastAsia="黑体" w:cs="Times New Roman"/>
      <w:b/>
      <w:sz w:val="32"/>
      <w:szCs w:val="24"/>
      <w:lang w:val="en-US" w:eastAsia="zh-CN" w:bidi="ar-SA"/>
    </w:rPr>
  </w:style>
  <w:style w:type="paragraph" w:customStyle="1" w:styleId="111">
    <w:name w:val="Char2"/>
    <w:basedOn w:val="1"/>
    <w:autoRedefine/>
    <w:qFormat/>
    <w:uiPriority w:val="0"/>
    <w:rPr>
      <w:rFonts w:ascii="Tahoma" w:hAnsi="Tahoma"/>
      <w:sz w:val="24"/>
      <w:szCs w:val="20"/>
    </w:rPr>
  </w:style>
  <w:style w:type="paragraph" w:customStyle="1" w:styleId="112">
    <w:name w:val="Char Char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13">
    <w:name w:val="正文文本 3 Char"/>
    <w:link w:val="114"/>
    <w:autoRedefine/>
    <w:qFormat/>
    <w:uiPriority w:val="0"/>
    <w:rPr>
      <w:rFonts w:ascii="宋体"/>
      <w:sz w:val="24"/>
    </w:rPr>
  </w:style>
  <w:style w:type="paragraph" w:customStyle="1" w:styleId="114">
    <w:name w:val="正文文本 31"/>
    <w:basedOn w:val="1"/>
    <w:link w:val="113"/>
    <w:autoRedefine/>
    <w:qFormat/>
    <w:uiPriority w:val="0"/>
    <w:rPr>
      <w:rFonts w:ascii="宋体"/>
      <w:kern w:val="0"/>
      <w:sz w:val="24"/>
      <w:szCs w:val="20"/>
    </w:rPr>
  </w:style>
  <w:style w:type="paragraph" w:customStyle="1" w:styleId="115">
    <w:name w:val="无间隔1"/>
    <w:link w:val="116"/>
    <w:autoRedefine/>
    <w:qFormat/>
    <w:uiPriority w:val="0"/>
    <w:rPr>
      <w:rFonts w:ascii="Times New Roman" w:hAnsi="Times New Roman" w:eastAsia="宋体" w:cs="黑体"/>
      <w:sz w:val="22"/>
      <w:lang w:val="en-US" w:eastAsia="zh-CN" w:bidi="ar-SA"/>
    </w:rPr>
  </w:style>
  <w:style w:type="character" w:customStyle="1" w:styleId="116">
    <w:name w:val="无间隔 Char"/>
    <w:link w:val="115"/>
    <w:autoRedefine/>
    <w:qFormat/>
    <w:uiPriority w:val="0"/>
    <w:rPr>
      <w:rFonts w:cs="黑体"/>
      <w:sz w:val="22"/>
    </w:rPr>
  </w:style>
  <w:style w:type="paragraph" w:customStyle="1" w:styleId="117">
    <w:name w:val="Table Paragraph"/>
    <w:basedOn w:val="1"/>
    <w:autoRedefine/>
    <w:qFormat/>
    <w:uiPriority w:val="1"/>
    <w:pPr>
      <w:autoSpaceDE w:val="0"/>
      <w:autoSpaceDN w:val="0"/>
      <w:jc w:val="left"/>
    </w:pPr>
    <w:rPr>
      <w:rFonts w:ascii="宋体" w:hAnsi="宋体" w:cs="宋体"/>
      <w:kern w:val="0"/>
      <w:sz w:val="22"/>
      <w:szCs w:val="22"/>
      <w:lang w:val="zh-CN" w:bidi="zh-CN"/>
    </w:rPr>
  </w:style>
  <w:style w:type="paragraph" w:styleId="118">
    <w:name w:val="List Paragraph"/>
    <w:basedOn w:val="1"/>
    <w:autoRedefine/>
    <w:qFormat/>
    <w:uiPriority w:val="99"/>
    <w:pPr>
      <w:numPr>
        <w:ilvl w:val="0"/>
        <w:numId w:val="3"/>
      </w:numPr>
      <w:autoSpaceDE w:val="0"/>
      <w:autoSpaceDN w:val="0"/>
      <w:spacing w:line="360" w:lineRule="auto"/>
      <w:jc w:val="left"/>
    </w:pPr>
    <w:rPr>
      <w:rFonts w:ascii="宋体" w:hAnsi="宋体" w:cs="宋体"/>
      <w:kern w:val="0"/>
      <w:sz w:val="22"/>
      <w:szCs w:val="22"/>
      <w:lang w:val="zh-CN" w:bidi="zh-CN"/>
    </w:rPr>
  </w:style>
  <w:style w:type="table" w:customStyle="1" w:styleId="119">
    <w:name w:val="Table Normal"/>
    <w:autoRedefine/>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character" w:customStyle="1" w:styleId="120">
    <w:name w:val="批注文字 Char"/>
    <w:autoRedefine/>
    <w:qFormat/>
    <w:uiPriority w:val="99"/>
    <w:rPr>
      <w:rFonts w:ascii="Times New Roman" w:hAnsi="Times New Roman" w:eastAsia="宋体" w:cs="Times New Roman"/>
      <w:szCs w:val="24"/>
    </w:rPr>
  </w:style>
  <w:style w:type="character" w:customStyle="1" w:styleId="121">
    <w:name w:val="正文文本缩进 3 字符"/>
    <w:autoRedefine/>
    <w:qFormat/>
    <w:uiPriority w:val="0"/>
    <w:rPr>
      <w:kern w:val="2"/>
      <w:sz w:val="16"/>
      <w:szCs w:val="16"/>
    </w:rPr>
  </w:style>
  <w:style w:type="paragraph" w:customStyle="1" w:styleId="122">
    <w:name w:val="Normal_1"/>
    <w:autoRedefine/>
    <w:qFormat/>
    <w:uiPriority w:val="0"/>
    <w:rPr>
      <w:rFonts w:ascii="Times New Roman" w:hAnsi="Times New Roman" w:eastAsia="Times New Roman" w:cs="Times New Roman"/>
      <w:sz w:val="24"/>
      <w:szCs w:val="24"/>
      <w:lang w:val="en-US" w:eastAsia="zh-CN" w:bidi="ar-SA"/>
    </w:rPr>
  </w:style>
  <w:style w:type="character" w:customStyle="1" w:styleId="123">
    <w:name w:val="批注框文本 Char1"/>
    <w:autoRedefine/>
    <w:semiHidden/>
    <w:qFormat/>
    <w:uiPriority w:val="99"/>
    <w:rPr>
      <w:rFonts w:hint="default" w:ascii="Times New Roman" w:hAnsi="Times New Roman" w:eastAsia="宋体" w:cs="Times New Roman"/>
      <w:sz w:val="18"/>
      <w:szCs w:val="18"/>
    </w:rPr>
  </w:style>
  <w:style w:type="character" w:customStyle="1" w:styleId="124">
    <w:name w:val="标题 5 Char1"/>
    <w:autoRedefine/>
    <w:semiHidden/>
    <w:qFormat/>
    <w:locked/>
    <w:uiPriority w:val="0"/>
    <w:rPr>
      <w:rFonts w:ascii="Times New Roman" w:hAnsi="Times New Roman" w:eastAsia="宋体" w:cs="Times New Roman"/>
      <w:b/>
      <w:bCs/>
      <w:kern w:val="2"/>
      <w:sz w:val="28"/>
      <w:szCs w:val="28"/>
    </w:rPr>
  </w:style>
  <w:style w:type="character" w:customStyle="1" w:styleId="125">
    <w:name w:val="正文文本 Char"/>
    <w:autoRedefine/>
    <w:semiHidden/>
    <w:qFormat/>
    <w:uiPriority w:val="99"/>
    <w:rPr>
      <w:rFonts w:ascii="Times New Roman" w:hAnsi="Times New Roman" w:eastAsia="宋体" w:cs="Times New Roman"/>
      <w:kern w:val="2"/>
      <w:sz w:val="21"/>
      <w:szCs w:val="24"/>
    </w:rPr>
  </w:style>
  <w:style w:type="paragraph" w:customStyle="1" w:styleId="126">
    <w:name w:val="Normal_0"/>
    <w:autoRedefine/>
    <w:qFormat/>
    <w:uiPriority w:val="0"/>
    <w:pPr>
      <w:widowControl w:val="0"/>
      <w:jc w:val="both"/>
    </w:pPr>
    <w:rPr>
      <w:rFonts w:ascii="Times New Roman" w:hAnsi="Times New Roman" w:eastAsia="宋体" w:cs="Times New Roman"/>
      <w:szCs w:val="24"/>
      <w:lang w:val="en-US" w:eastAsia="zh-CN" w:bidi="ar-SA"/>
    </w:rPr>
  </w:style>
  <w:style w:type="paragraph" w:customStyle="1" w:styleId="127">
    <w:name w:val="正文1"/>
    <w:autoRedefine/>
    <w:qFormat/>
    <w:uiPriority w:val="0"/>
    <w:pPr>
      <w:widowControl w:val="0"/>
      <w:jc w:val="both"/>
    </w:pPr>
    <w:rPr>
      <w:rFonts w:ascii="Calibri" w:hAnsi="Calibri" w:eastAsia="宋体" w:cs="Times New Roman"/>
      <w:color w:val="000000"/>
      <w:kern w:val="2"/>
      <w:sz w:val="24"/>
      <w:szCs w:val="24"/>
      <w:lang w:val="en-US" w:eastAsia="zh-CN" w:bidi="ar-SA"/>
    </w:rPr>
  </w:style>
  <w:style w:type="paragraph" w:customStyle="1" w:styleId="128">
    <w:name w:val="页脚1"/>
    <w:basedOn w:val="127"/>
    <w:link w:val="129"/>
    <w:autoRedefine/>
    <w:qFormat/>
    <w:uiPriority w:val="99"/>
    <w:pPr>
      <w:tabs>
        <w:tab w:val="center" w:pos="4153"/>
        <w:tab w:val="right" w:pos="8306"/>
      </w:tabs>
      <w:snapToGrid w:val="0"/>
      <w:jc w:val="left"/>
    </w:pPr>
    <w:rPr>
      <w:color w:val="auto"/>
      <w:sz w:val="18"/>
      <w:szCs w:val="18"/>
    </w:rPr>
  </w:style>
  <w:style w:type="character" w:customStyle="1" w:styleId="129">
    <w:name w:val="页脚 Char_0"/>
    <w:link w:val="128"/>
    <w:autoRedefine/>
    <w:qFormat/>
    <w:locked/>
    <w:uiPriority w:val="99"/>
    <w:rPr>
      <w:rFonts w:ascii="Calibri" w:hAnsi="Calibri"/>
      <w:kern w:val="2"/>
      <w:sz w:val="18"/>
      <w:szCs w:val="18"/>
    </w:rPr>
  </w:style>
  <w:style w:type="character" w:customStyle="1" w:styleId="130">
    <w:name w:val="纯文本 字符2"/>
    <w:autoRedefine/>
    <w:qFormat/>
    <w:uiPriority w:val="0"/>
    <w:rPr>
      <w:rFonts w:ascii="宋体"/>
      <w:kern w:val="2"/>
      <w:sz w:val="21"/>
    </w:rPr>
  </w:style>
  <w:style w:type="character" w:customStyle="1" w:styleId="131">
    <w:name w:val="cf01"/>
    <w:autoRedefine/>
    <w:qFormat/>
    <w:uiPriority w:val="0"/>
    <w:rPr>
      <w:rFonts w:hint="eastAsia" w:ascii="Microsoft YaHei UI" w:hAnsi="Microsoft YaHei UI" w:eastAsia="Microsoft YaHei UI"/>
      <w:sz w:val="18"/>
      <w:szCs w:val="18"/>
    </w:rPr>
  </w:style>
  <w:style w:type="paragraph" w:customStyle="1" w:styleId="132">
    <w:name w:val="_Style 128"/>
    <w:autoRedefine/>
    <w:unhideWhenUsed/>
    <w:qFormat/>
    <w:uiPriority w:val="99"/>
    <w:rPr>
      <w:rFonts w:ascii="Times New Roman" w:hAnsi="Times New Roman" w:eastAsia="宋体" w:cs="Times New Roman"/>
      <w:kern w:val="2"/>
      <w:sz w:val="21"/>
      <w:szCs w:val="24"/>
      <w:lang w:val="en-US" w:eastAsia="zh-CN" w:bidi="ar-SA"/>
    </w:rPr>
  </w:style>
  <w:style w:type="character" w:customStyle="1" w:styleId="133">
    <w:name w:val="_Style 129"/>
    <w:autoRedefine/>
    <w:unhideWhenUsed/>
    <w:qFormat/>
    <w:uiPriority w:val="99"/>
    <w:rPr>
      <w:color w:val="605E5C"/>
      <w:shd w:val="clear" w:color="auto" w:fill="E1DFDD"/>
    </w:rPr>
  </w:style>
  <w:style w:type="paragraph" w:customStyle="1" w:styleId="134">
    <w:name w:val="标题 21"/>
    <w:basedOn w:val="1"/>
    <w:autoRedefine/>
    <w:qFormat/>
    <w:uiPriority w:val="0"/>
    <w:pPr>
      <w:keepNext/>
      <w:keepLines/>
      <w:spacing w:before="260" w:after="260" w:line="415" w:lineRule="auto"/>
      <w:outlineLvl w:val="1"/>
    </w:pPr>
    <w:rPr>
      <w:rFonts w:ascii="Arial" w:hAnsi="Arial" w:eastAsia="黑体"/>
      <w:b/>
      <w:bCs/>
      <w:sz w:val="32"/>
      <w:szCs w:val="32"/>
    </w:rPr>
  </w:style>
  <w:style w:type="paragraph" w:customStyle="1" w:styleId="135">
    <w:name w:val="纯文本1"/>
    <w:basedOn w:val="1"/>
    <w:autoRedefine/>
    <w:qFormat/>
    <w:uiPriority w:val="0"/>
    <w:pPr>
      <w:spacing w:line="480" w:lineRule="exact"/>
      <w:ind w:firstLine="426" w:firstLineChars="202"/>
    </w:pPr>
    <w:rPr>
      <w:rFonts w:ascii="宋体" w:hAnsi="宋体"/>
      <w:b/>
      <w:color w:val="ED0000"/>
      <w:szCs w:val="21"/>
    </w:rPr>
  </w:style>
  <w:style w:type="character" w:customStyle="1" w:styleId="136">
    <w:name w:val="NormalCharacter"/>
    <w:autoRedefine/>
    <w:semiHidden/>
    <w:qFormat/>
    <w:uiPriority w:val="0"/>
  </w:style>
  <w:style w:type="paragraph" w:customStyle="1" w:styleId="137">
    <w:name w:val="newstyle15"/>
    <w:basedOn w:val="1"/>
    <w:qFormat/>
    <w:uiPriority w:val="0"/>
    <w:pPr>
      <w:widowControl/>
      <w:spacing w:before="100" w:beforeAutospacing="1" w:after="100" w:afterAutospacing="1"/>
      <w:jc w:val="left"/>
    </w:pPr>
    <w:rPr>
      <w:rFonts w:ascii="宋体" w:hAnsi="宋体" w:cs="宋体"/>
      <w:kern w:val="0"/>
      <w:sz w:val="24"/>
    </w:rPr>
  </w:style>
  <w:style w:type="paragraph" w:customStyle="1" w:styleId="138">
    <w:name w:val="正文缩进1"/>
    <w:basedOn w:val="1"/>
    <w:qFormat/>
    <w:uiPriority w:val="0"/>
    <w:pPr>
      <w:ind w:firstLine="420"/>
    </w:pPr>
    <w:rPr>
      <w:szCs w:val="20"/>
    </w:rPr>
  </w:style>
  <w:style w:type="paragraph" w:customStyle="1" w:styleId="139">
    <w:name w:val="引文目录标题1"/>
    <w:basedOn w:val="1"/>
    <w:qFormat/>
    <w:uiPriority w:val="0"/>
    <w:pPr>
      <w:spacing w:before="120"/>
    </w:pPr>
    <w:rPr>
      <w:rFonts w:ascii="Arial" w:hAnsi="Arial"/>
      <w:sz w:val="24"/>
    </w:rPr>
  </w:style>
  <w:style w:type="paragraph" w:customStyle="1" w:styleId="140">
    <w:name w:val="标题1"/>
    <w:basedOn w:val="1"/>
    <w:qFormat/>
    <w:uiPriority w:val="0"/>
    <w:pPr>
      <w:spacing w:before="240" w:after="60"/>
      <w:jc w:val="center"/>
      <w:outlineLvl w:val="0"/>
    </w:pPr>
    <w:rPr>
      <w:rFonts w:ascii="Cambria" w:hAnsi="Cambria"/>
      <w:b/>
      <w:bCs/>
      <w:sz w:val="32"/>
      <w:szCs w:val="32"/>
    </w:rPr>
  </w:style>
  <w:style w:type="paragraph" w:customStyle="1" w:styleId="141">
    <w:name w:val="表格"/>
    <w:qFormat/>
    <w:uiPriority w:val="0"/>
    <w:pPr>
      <w:jc w:val="center"/>
    </w:pPr>
    <w:rPr>
      <w:rFonts w:ascii="time" w:hAnsi="time" w:eastAsia="宋体" w:cs="Times New Roman"/>
      <w:kern w:val="2"/>
      <w:sz w:val="24"/>
      <w:szCs w:val="24"/>
      <w:lang w:val="en-US" w:eastAsia="zh-CN" w:bidi="en-US"/>
    </w:rPr>
  </w:style>
  <w:style w:type="character" w:customStyle="1" w:styleId="142">
    <w:name w:val="font31"/>
    <w:basedOn w:val="46"/>
    <w:qFormat/>
    <w:uiPriority w:val="0"/>
    <w:rPr>
      <w:rFonts w:hint="eastAsia" w:ascii="宋体" w:hAnsi="宋体" w:eastAsia="宋体" w:cs="宋体"/>
      <w:color w:val="000000"/>
      <w:sz w:val="18"/>
      <w:szCs w:val="18"/>
      <w:u w:val="none"/>
    </w:rPr>
  </w:style>
  <w:style w:type="character" w:customStyle="1" w:styleId="143">
    <w:name w:val="font41"/>
    <w:basedOn w:val="46"/>
    <w:qFormat/>
    <w:uiPriority w:val="0"/>
    <w:rPr>
      <w:rFonts w:hint="eastAsia" w:ascii="宋体" w:hAnsi="宋体" w:eastAsia="宋体" w:cs="宋体"/>
      <w:color w:val="000000"/>
      <w:sz w:val="18"/>
      <w:szCs w:val="18"/>
      <w:u w:val="none"/>
    </w:rPr>
  </w:style>
  <w:style w:type="character" w:customStyle="1" w:styleId="144">
    <w:name w:val="font21"/>
    <w:basedOn w:val="46"/>
    <w:qFormat/>
    <w:uiPriority w:val="0"/>
    <w:rPr>
      <w:rFonts w:hint="default" w:ascii="Times New Roman" w:hAnsi="Times New Roman" w:cs="Times New Roman"/>
      <w:color w:val="000000"/>
      <w:sz w:val="18"/>
      <w:szCs w:val="18"/>
      <w:u w:val="none"/>
    </w:rPr>
  </w:style>
  <w:style w:type="paragraph" w:customStyle="1" w:styleId="145">
    <w:name w:val="AONormal"/>
    <w:qFormat/>
    <w:uiPriority w:val="0"/>
    <w:pPr>
      <w:autoSpaceDE w:val="0"/>
      <w:autoSpaceDN w:val="0"/>
      <w:adjustRightInd w:val="0"/>
      <w:spacing w:line="400" w:lineRule="exact"/>
      <w:ind w:firstLine="440" w:firstLineChars="200"/>
    </w:pPr>
    <w:rPr>
      <w:rFonts w:ascii="华文楷体" w:hAnsi="华文楷体" w:eastAsia="华文楷体" w:cs="华文楷体"/>
      <w:kern w:val="2"/>
      <w:sz w:val="22"/>
      <w:szCs w:val="21"/>
      <w:lang w:val="en-US" w:eastAsia="zh-CN" w:bidi="ar-SA"/>
    </w:rPr>
  </w:style>
  <w:style w:type="paragraph" w:customStyle="1" w:styleId="146">
    <w:name w:val="列出段落1"/>
    <w:basedOn w:val="1"/>
    <w:qFormat/>
    <w:uiPriority w:val="0"/>
    <w:pPr>
      <w:ind w:firstLine="420" w:firstLineChars="200"/>
    </w:pPr>
    <w:rPr>
      <w:szCs w:val="21"/>
    </w:rPr>
  </w:style>
  <w:style w:type="paragraph" w:customStyle="1" w:styleId="147">
    <w:name w:val="Table Text"/>
    <w:basedOn w:val="1"/>
    <w:semiHidden/>
    <w:qFormat/>
    <w:uiPriority w:val="0"/>
    <w:rPr>
      <w:rFonts w:ascii="宋体" w:hAnsi="宋体" w:cs="宋体"/>
      <w:szCs w:val="21"/>
      <w:lang w:eastAsia="en-US"/>
    </w:rPr>
  </w:style>
  <w:style w:type="character" w:customStyle="1" w:styleId="148">
    <w:name w:val="font51"/>
    <w:basedOn w:val="46"/>
    <w:qFormat/>
    <w:uiPriority w:val="0"/>
    <w:rPr>
      <w:rFonts w:hint="eastAsia" w:ascii="宋体" w:hAnsi="宋体" w:eastAsia="宋体" w:cs="宋体"/>
      <w:color w:val="000000"/>
      <w:sz w:val="18"/>
      <w:szCs w:val="18"/>
      <w:u w:val="none"/>
    </w:rPr>
  </w:style>
  <w:style w:type="character" w:customStyle="1" w:styleId="149">
    <w:name w:val="font61"/>
    <w:basedOn w:val="46"/>
    <w:qFormat/>
    <w:uiPriority w:val="0"/>
    <w:rPr>
      <w:rFonts w:hint="default" w:ascii="Times New Roman" w:hAnsi="Times New Roman" w:cs="Times New Roman"/>
      <w:color w:val="000000"/>
      <w:sz w:val="18"/>
      <w:szCs w:val="18"/>
      <w:u w:val="none"/>
    </w:rPr>
  </w:style>
  <w:style w:type="character" w:customStyle="1" w:styleId="150">
    <w:name w:val="font71"/>
    <w:basedOn w:val="46"/>
    <w:qFormat/>
    <w:uiPriority w:val="0"/>
    <w:rPr>
      <w:rFonts w:hint="default" w:ascii="Times New Roman" w:hAnsi="Times New Roman" w:cs="Times New Roman"/>
      <w:color w:val="000000"/>
      <w:sz w:val="18"/>
      <w:szCs w:val="18"/>
      <w:u w:val="none"/>
    </w:rPr>
  </w:style>
  <w:style w:type="paragraph" w:customStyle="1" w:styleId="151">
    <w:name w:val="页眉1"/>
    <w:basedOn w:val="1"/>
    <w:qFormat/>
    <w:uiPriority w:val="0"/>
    <w:pPr>
      <w:pBdr>
        <w:bottom w:val="single" w:color="000000" w:sz="6" w:space="1"/>
      </w:pBdr>
      <w:tabs>
        <w:tab w:val="center" w:pos="4153"/>
        <w:tab w:val="right" w:pos="8306"/>
      </w:tabs>
      <w:snapToGrid w:val="0"/>
      <w:jc w:val="center"/>
    </w:pPr>
    <w:rPr>
      <w:rFonts w:ascii="Times New Roman" w:hAnsi="Times New Roman"/>
      <w:kern w:val="2"/>
      <w:sz w:val="18"/>
      <w:szCs w:val="18"/>
      <w:lang w:eastAsia="zh-C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微星专卖</Company>
  <Pages>106</Pages>
  <Words>24826</Words>
  <Characters>26775</Characters>
  <Lines>311</Lines>
  <Paragraphs>87</Paragraphs>
  <TotalTime>0</TotalTime>
  <ScaleCrop>false</ScaleCrop>
  <LinksUpToDate>false</LinksUpToDate>
  <CharactersWithSpaces>27242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2024-10-23T10:17:00Z</dcterms:created>
  <dc:creator>何隽</dc:creator>
  <cp:lastModifiedBy>Rainbow</cp:lastModifiedBy>
  <cp:lastPrinted>2023-01-19T02:23:00Z</cp:lastPrinted>
  <dcterms:modified xsi:type="dcterms:W3CDTF">2026-08-03T10:02:09Z</dcterms:modified>
  <dc:title>云南省计量测试技术研究院理化与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D026C558F8564E79A2F267BF4DDFD5FE_13</vt:lpwstr>
  </property>
  <property fmtid="{D5CDD505-2E9C-101B-9397-08002B2CF9AE}" pid="4" name="KSOTemplateDocerSaveRecord">
    <vt:lpwstr>eyJoZGlkIjoiZDAyZjJmMjhlZDEwNzI3ZmU1MDFhYzc0MTM5NGJiZGQiLCJ1c2VySWQiOiI3OTg5MzQ1ODMifQ==</vt:lpwstr>
  </property>
</Properties>
</file>