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版本号：N510401202600022620260810001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购置更换教学用计算机项目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N5104012026000226</w:t>
      </w:r>
    </w:p>
    <w:p>
      <w:pPr>
        <w:pStyle w:val="null3"/>
        <w:jc w:val="left"/>
        <w:outlineLvl w:val="2"/>
      </w:pPr>
      <w:r>
        <w:rPr>
          <w:rFonts w:ascii="仿宋_GB2312" w:hAnsi="仿宋_GB2312" w:cs="仿宋_GB2312" w:eastAsia="仿宋_GB2312"/>
          <w:sz w:val="28"/>
          <w:b/>
        </w:rPr>
        <w:t>攀枝花市第七高级中学校</w:t>
      </w:r>
    </w:p>
    <w:p>
      <w:pPr>
        <w:pStyle w:val="null3"/>
        <w:jc w:val="center"/>
        <w:outlineLvl w:val="2"/>
      </w:pPr>
      <w:r>
        <w:rPr>
          <w:rFonts w:ascii="仿宋_GB2312" w:hAnsi="仿宋_GB2312" w:cs="仿宋_GB2312" w:eastAsia="仿宋_GB2312"/>
          <w:sz w:val="28"/>
          <w:b/>
        </w:rPr>
        <w:t>攀枝花市政府采购中心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攀枝花市政府采购中心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攀枝花市第七高级中学校</w:t>
      </w:r>
      <w:r>
        <w:rPr>
          <w:rFonts w:ascii="仿宋_GB2312" w:hAnsi="仿宋_GB2312" w:cs="仿宋_GB2312" w:eastAsia="仿宋_GB2312"/>
        </w:rPr>
        <w:t xml:space="preserve"> 委托，拟对 </w:t>
      </w:r>
      <w:r>
        <w:rPr>
          <w:rFonts w:ascii="仿宋_GB2312" w:hAnsi="仿宋_GB2312" w:cs="仿宋_GB2312" w:eastAsia="仿宋_GB2312"/>
        </w:rPr>
        <w:t>购置更换教学用计算机项目</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攀枝花市市本级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N5104012026000226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购置更换教学用计算机项目</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本项目1个包，为攀枝花市攀枝花市第七高级中学校购置更换教学用计算机项目。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攀枝花市第七高级中学校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攀枝花市仁和区花城大道华阳路66号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617000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刘军</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15182728828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攀枝花市政府采购中心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四川省攀枝花市仁和区攀枝花市仁和区三线大道69号9楼C903</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617000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张景帅</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18080781678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采购包1：739,850.00元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攀枝花市第七高级中学校</w:t>
      </w:r>
      <w:r>
        <w:rPr>
          <w:rFonts w:ascii="仿宋_GB2312" w:hAnsi="仿宋_GB2312" w:cs="仿宋_GB2312" w:eastAsia="仿宋_GB2312"/>
        </w:rPr>
        <w:t xml:space="preserve"> 和 </w:t>
      </w:r>
      <w:r>
        <w:rPr>
          <w:rFonts w:ascii="仿宋_GB2312" w:hAnsi="仿宋_GB2312" w:cs="仿宋_GB2312" w:eastAsia="仿宋_GB2312"/>
        </w:rPr>
        <w:t>攀枝花市政府采购中心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攀枝花市第七高级中学校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攀枝花市政府采购中心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严格按照采购文件、响应文件及采购合同开展履约验收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严格按照采购文件、响应文件及采购合同开展履约验收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攀枝花市第七高级中学校</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攀枝花市政府采购中心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攀枝花市政府采购中心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联系人：钱满</w:t>
      </w:r>
    </w:p>
    <w:p>
      <w:pPr>
        <w:pStyle w:val="null3"/>
        <w:jc w:val="left"/>
      </w:pPr>
      <w:r>
        <w:rPr>
          <w:rFonts w:ascii="仿宋_GB2312" w:hAnsi="仿宋_GB2312" w:cs="仿宋_GB2312" w:eastAsia="仿宋_GB2312"/>
        </w:rPr>
        <w:t>联系电话：13037730369</w:t>
      </w:r>
    </w:p>
    <w:p>
      <w:pPr>
        <w:pStyle w:val="null3"/>
        <w:jc w:val="left"/>
      </w:pPr>
      <w:r>
        <w:rPr>
          <w:rFonts w:ascii="仿宋_GB2312" w:hAnsi="仿宋_GB2312" w:cs="仿宋_GB2312" w:eastAsia="仿宋_GB2312"/>
        </w:rPr>
        <w:t>地址：攀枝花市仁和区花城大道华阳路66号</w:t>
      </w:r>
    </w:p>
    <w:p>
      <w:pPr>
        <w:pStyle w:val="null3"/>
        <w:jc w:val="left"/>
      </w:pPr>
      <w:r>
        <w:rPr>
          <w:rFonts w:ascii="仿宋_GB2312" w:hAnsi="仿宋_GB2312" w:cs="仿宋_GB2312" w:eastAsia="仿宋_GB2312"/>
        </w:rPr>
        <w:t>邮编：617000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联系人：张景帅</w:t>
      </w:r>
    </w:p>
    <w:p>
      <w:pPr>
        <w:pStyle w:val="null3"/>
        <w:jc w:val="left"/>
      </w:pPr>
      <w:r>
        <w:rPr>
          <w:rFonts w:ascii="仿宋_GB2312" w:hAnsi="仿宋_GB2312" w:cs="仿宋_GB2312" w:eastAsia="仿宋_GB2312"/>
        </w:rPr>
        <w:t>联系电话：18080781678</w:t>
      </w:r>
    </w:p>
    <w:p>
      <w:pPr>
        <w:pStyle w:val="null3"/>
        <w:jc w:val="left"/>
      </w:pPr>
      <w:r>
        <w:rPr>
          <w:rFonts w:ascii="仿宋_GB2312" w:hAnsi="仿宋_GB2312" w:cs="仿宋_GB2312" w:eastAsia="仿宋_GB2312"/>
        </w:rPr>
        <w:t>地址：攀枝花市仁和区三线大道69号9楼C903</w:t>
      </w:r>
    </w:p>
    <w:p>
      <w:pPr>
        <w:pStyle w:val="null3"/>
        <w:jc w:val="left"/>
      </w:pPr>
      <w:r>
        <w:rPr>
          <w:rFonts w:ascii="仿宋_GB2312" w:hAnsi="仿宋_GB2312" w:cs="仿宋_GB2312" w:eastAsia="仿宋_GB2312"/>
        </w:rPr>
        <w:t>邮编：617000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739,850.00</w:t>
      </w:r>
    </w:p>
    <w:p>
      <w:pPr>
        <w:pStyle w:val="null3"/>
        <w:jc w:val="left"/>
      </w:pPr>
      <w:r>
        <w:rPr>
          <w:rFonts w:ascii="仿宋_GB2312" w:hAnsi="仿宋_GB2312" w:cs="仿宋_GB2312" w:eastAsia="仿宋_GB2312"/>
        </w:rPr>
        <w:t>采购包最高限价（元）: 739,850.00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学生机</w:t>
            </w:r>
          </w:p>
        </w:tc>
        <w:tc>
          <w:tcPr>
            <w:tcW w:type="dxa" w:w="821"/>
          </w:tcPr>
          <w:p>
            <w:pPr>
              <w:pStyle w:val="null3"/>
              <w:jc w:val="right"/>
            </w:pPr>
            <w:r>
              <w:rPr>
                <w:rFonts w:ascii="仿宋_GB2312" w:hAnsi="仿宋_GB2312" w:cs="仿宋_GB2312" w:eastAsia="仿宋_GB2312"/>
              </w:rPr>
              <w:t>145.00（项）</w:t>
            </w:r>
          </w:p>
        </w:tc>
        <w:tc>
          <w:tcPr>
            <w:tcW w:type="dxa" w:w="821"/>
          </w:tcPr>
          <w:p>
            <w:pPr>
              <w:pStyle w:val="null3"/>
              <w:jc w:val="right"/>
            </w:pPr>
            <w:r>
              <w:rPr>
                <w:rFonts w:ascii="仿宋_GB2312" w:hAnsi="仿宋_GB2312" w:cs="仿宋_GB2312" w:eastAsia="仿宋_GB2312"/>
              </w:rPr>
              <w:t>725,000.00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A02010201 路由器</w:t>
            </w:r>
          </w:p>
        </w:tc>
        <w:tc>
          <w:tcPr>
            <w:tcW w:type="dxa" w:w="821"/>
          </w:tcPr>
          <w:p>
            <w:pPr>
              <w:pStyle w:val="null3"/>
              <w:jc w:val="left"/>
            </w:pPr>
            <w:r>
              <w:rPr>
                <w:rFonts w:ascii="仿宋_GB2312" w:hAnsi="仿宋_GB2312" w:cs="仿宋_GB2312" w:eastAsia="仿宋_GB2312"/>
              </w:rPr>
              <w:t>千兆信号控制设备</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5,850.00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A02010202 交换设备</w:t>
            </w:r>
          </w:p>
        </w:tc>
        <w:tc>
          <w:tcPr>
            <w:tcW w:type="dxa" w:w="821"/>
          </w:tcPr>
          <w:p>
            <w:pPr>
              <w:pStyle w:val="null3"/>
              <w:jc w:val="left"/>
            </w:pPr>
            <w:r>
              <w:rPr>
                <w:rFonts w:ascii="仿宋_GB2312" w:hAnsi="仿宋_GB2312" w:cs="仿宋_GB2312" w:eastAsia="仿宋_GB2312"/>
              </w:rPr>
              <w:t>24口交换机</w:t>
            </w:r>
          </w:p>
        </w:tc>
        <w:tc>
          <w:tcPr>
            <w:tcW w:type="dxa" w:w="821"/>
          </w:tcPr>
          <w:p>
            <w:pPr>
              <w:pStyle w:val="null3"/>
              <w:jc w:val="right"/>
            </w:pPr>
            <w:r>
              <w:rPr>
                <w:rFonts w:ascii="仿宋_GB2312" w:hAnsi="仿宋_GB2312" w:cs="仿宋_GB2312" w:eastAsia="仿宋_GB2312"/>
              </w:rPr>
              <w:t>9.00（项）</w:t>
            </w:r>
          </w:p>
        </w:tc>
        <w:tc>
          <w:tcPr>
            <w:tcW w:type="dxa" w:w="821"/>
          </w:tcPr>
          <w:p>
            <w:pPr>
              <w:pStyle w:val="null3"/>
              <w:jc w:val="right"/>
            </w:pPr>
            <w:r>
              <w:rPr>
                <w:rFonts w:ascii="仿宋_GB2312" w:hAnsi="仿宋_GB2312" w:cs="仿宋_GB2312" w:eastAsia="仿宋_GB2312"/>
              </w:rPr>
              <w:t>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学生机</w:t>
            </w:r>
          </w:p>
        </w:tc>
        <w:tc>
          <w:tcPr>
            <w:tcW w:type="dxa" w:w="1138"/>
          </w:tcPr>
          <w:p>
            <w:pPr>
              <w:pStyle w:val="null3"/>
              <w:jc w:val="center"/>
            </w:pPr>
            <w:r>
              <w:rPr>
                <w:rFonts w:ascii="仿宋_GB2312" w:hAnsi="仿宋_GB2312" w:cs="仿宋_GB2312" w:eastAsia="仿宋_GB2312"/>
              </w:rPr>
              <w:t>145.00（项）</w:t>
            </w:r>
          </w:p>
        </w:tc>
        <w:tc>
          <w:tcPr>
            <w:tcW w:type="dxa" w:w="1365"/>
          </w:tcPr>
          <w:p>
            <w:pPr>
              <w:pStyle w:val="null3"/>
              <w:jc w:val="center"/>
            </w:pPr>
            <w:r>
              <w:rPr>
                <w:rFonts w:ascii="仿宋_GB2312" w:hAnsi="仿宋_GB2312" w:cs="仿宋_GB2312" w:eastAsia="仿宋_GB2312"/>
              </w:rPr>
              <w:t>725,000.00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千兆信号控制设备</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5,850.00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24口交换机</w:t>
            </w:r>
          </w:p>
        </w:tc>
        <w:tc>
          <w:tcPr>
            <w:tcW w:type="dxa" w:w="1138"/>
          </w:tcPr>
          <w:p>
            <w:pPr>
              <w:pStyle w:val="null3"/>
              <w:jc w:val="center"/>
            </w:pPr>
            <w:r>
              <w:rPr>
                <w:rFonts w:ascii="仿宋_GB2312" w:hAnsi="仿宋_GB2312" w:cs="仿宋_GB2312" w:eastAsia="仿宋_GB2312"/>
              </w:rPr>
              <w:t>9.00（项）</w:t>
            </w:r>
          </w:p>
        </w:tc>
        <w:tc>
          <w:tcPr>
            <w:tcW w:type="dxa" w:w="1365"/>
          </w:tcPr>
          <w:p>
            <w:pPr>
              <w:pStyle w:val="null3"/>
              <w:jc w:val="center"/>
            </w:pPr>
            <w:r>
              <w:rPr>
                <w:rFonts w:ascii="仿宋_GB2312" w:hAnsi="仿宋_GB2312" w:cs="仿宋_GB2312" w:eastAsia="仿宋_GB2312"/>
              </w:rPr>
              <w:t>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学生机</w:t>
            </w:r>
          </w:p>
        </w:tc>
        <w:tc>
          <w:tcPr>
            <w:tcW w:type="dxa" w:w="2492"/>
          </w:tcPr>
          <w:p>
            <w:pPr>
              <w:pStyle w:val="null3"/>
              <w:jc w:val="left"/>
            </w:pPr>
            <w:r>
              <w:rPr>
                <w:rFonts w:ascii="仿宋_GB2312" w:hAnsi="仿宋_GB2312" w:cs="仿宋_GB2312" w:eastAsia="仿宋_GB2312"/>
              </w:rPr>
              <w:t>学生机</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学生机</w:t>
            </w:r>
          </w:p>
        </w:tc>
        <w:tc>
          <w:tcPr>
            <w:tcW w:type="dxa" w:w="2492"/>
          </w:tcPr>
          <w:p>
            <w:pPr>
              <w:pStyle w:val="null3"/>
              <w:jc w:val="left"/>
            </w:pPr>
            <w:r>
              <w:rPr>
                <w:rFonts w:ascii="仿宋_GB2312" w:hAnsi="仿宋_GB2312" w:cs="仿宋_GB2312" w:eastAsia="仿宋_GB2312"/>
              </w:rPr>
              <w:t>学生机</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学生机</w:t>
            </w:r>
          </w:p>
        </w:tc>
        <w:tc>
          <w:tcPr>
            <w:tcW w:type="dxa" w:w="2492"/>
          </w:tcPr>
          <w:p>
            <w:pPr>
              <w:pStyle w:val="null3"/>
              <w:jc w:val="left"/>
            </w:pPr>
            <w:r>
              <w:rPr>
                <w:rFonts w:ascii="仿宋_GB2312" w:hAnsi="仿宋_GB2312" w:cs="仿宋_GB2312" w:eastAsia="仿宋_GB2312"/>
              </w:rPr>
              <w:t>学生机</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标的名称：学生机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CPU</w:t>
            </w:r>
          </w:p>
          <w:p>
            <w:pPr>
              <w:pStyle w:val="null3"/>
              <w:jc w:val="both"/>
            </w:pPr>
            <w:r>
              <w:rPr>
                <w:rFonts w:ascii="仿宋_GB2312" w:hAnsi="仿宋_GB2312" w:cs="仿宋_GB2312" w:eastAsia="仿宋_GB2312"/>
                <w:sz w:val="24"/>
              </w:rPr>
              <w:t>1.CPU核心≥8核，主频≥2.3GHz，末级缓存≥4MB，线程数≥12，热设计功耗≤65W</w:t>
            </w:r>
          </w:p>
          <w:p>
            <w:pPr>
              <w:pStyle w:val="null3"/>
              <w:jc w:val="both"/>
            </w:pPr>
            <w:r>
              <w:rPr>
                <w:rFonts w:ascii="仿宋_GB2312" w:hAnsi="仿宋_GB2312" w:cs="仿宋_GB2312" w:eastAsia="仿宋_GB2312"/>
                <w:sz w:val="24"/>
                <w:b/>
              </w:rPr>
              <w:t>二、内存</w:t>
            </w:r>
          </w:p>
          <w:p>
            <w:pPr>
              <w:pStyle w:val="null3"/>
              <w:jc w:val="both"/>
            </w:pPr>
            <w:r>
              <w:rPr>
                <w:rFonts w:ascii="仿宋_GB2312" w:hAnsi="仿宋_GB2312" w:cs="仿宋_GB2312" w:eastAsia="仿宋_GB2312"/>
                <w:sz w:val="24"/>
              </w:rPr>
              <w:t>2.内存配置容量≥16GB</w:t>
            </w:r>
          </w:p>
          <w:p>
            <w:pPr>
              <w:pStyle w:val="null3"/>
              <w:jc w:val="both"/>
            </w:pPr>
            <w:r>
              <w:rPr>
                <w:rFonts w:ascii="仿宋_GB2312" w:hAnsi="仿宋_GB2312" w:cs="仿宋_GB2312" w:eastAsia="仿宋_GB2312"/>
                <w:sz w:val="24"/>
              </w:rPr>
              <w:t>3.支持DDR4/LPDDR4/LPDDR4X及以上内存类型</w:t>
            </w:r>
          </w:p>
          <w:p>
            <w:pPr>
              <w:pStyle w:val="null3"/>
              <w:jc w:val="both"/>
            </w:pPr>
            <w:r>
              <w:rPr>
                <w:rFonts w:ascii="仿宋_GB2312" w:hAnsi="仿宋_GB2312" w:cs="仿宋_GB2312" w:eastAsia="仿宋_GB2312"/>
                <w:sz w:val="24"/>
              </w:rPr>
              <w:t>4.内存条配置数量≥1（板载内存不涉及）</w:t>
            </w:r>
          </w:p>
          <w:p>
            <w:pPr>
              <w:pStyle w:val="null3"/>
              <w:jc w:val="both"/>
            </w:pPr>
            <w:r>
              <w:rPr>
                <w:rFonts w:ascii="仿宋_GB2312" w:hAnsi="仿宋_GB2312" w:cs="仿宋_GB2312" w:eastAsia="仿宋_GB2312"/>
                <w:sz w:val="24"/>
              </w:rPr>
              <w:t>5.单内存插槽最大可支持容量≥16GB（板载内存不涉及）</w:t>
            </w:r>
          </w:p>
          <w:p>
            <w:pPr>
              <w:pStyle w:val="null3"/>
              <w:jc w:val="both"/>
            </w:pPr>
            <w:r>
              <w:rPr>
                <w:rFonts w:ascii="仿宋_GB2312" w:hAnsi="仿宋_GB2312" w:cs="仿宋_GB2312" w:eastAsia="仿宋_GB2312"/>
                <w:sz w:val="24"/>
              </w:rPr>
              <w:t>6.内存插槽满配时提供的最高内存总容量≥16GB</w:t>
            </w:r>
          </w:p>
          <w:p>
            <w:pPr>
              <w:pStyle w:val="null3"/>
              <w:jc w:val="both"/>
            </w:pPr>
            <w:r>
              <w:rPr>
                <w:rFonts w:ascii="仿宋_GB2312" w:hAnsi="仿宋_GB2312" w:cs="仿宋_GB2312" w:eastAsia="仿宋_GB2312"/>
                <w:sz w:val="24"/>
                <w:b/>
              </w:rPr>
              <w:t>三、主板</w:t>
            </w:r>
          </w:p>
          <w:p>
            <w:pPr>
              <w:pStyle w:val="null3"/>
              <w:jc w:val="both"/>
            </w:pPr>
            <w:r>
              <w:rPr>
                <w:rFonts w:ascii="仿宋_GB2312" w:hAnsi="仿宋_GB2312" w:cs="仿宋_GB2312" w:eastAsia="仿宋_GB2312"/>
                <w:sz w:val="24"/>
              </w:rPr>
              <w:t>7.主板集成模块：集成资源扩展模块、计算处理模块、音频扩展模块，主板的互联拓扑通过处理器或交换电路实现</w:t>
            </w:r>
          </w:p>
          <w:p>
            <w:pPr>
              <w:pStyle w:val="null3"/>
              <w:jc w:val="both"/>
            </w:pPr>
            <w:r>
              <w:rPr>
                <w:rFonts w:ascii="仿宋_GB2312" w:hAnsi="仿宋_GB2312" w:cs="仿宋_GB2312" w:eastAsia="仿宋_GB2312"/>
                <w:sz w:val="24"/>
              </w:rPr>
              <w:t>8.主板支持的CPU和内存情况：主板应支持不低于本需求规定的CPU性能规格的处理器，支持不低于本需求规定的内存类型和容量规格</w:t>
            </w:r>
          </w:p>
          <w:p>
            <w:pPr>
              <w:pStyle w:val="null3"/>
              <w:jc w:val="both"/>
            </w:pPr>
            <w:r>
              <w:rPr>
                <w:rFonts w:ascii="仿宋_GB2312" w:hAnsi="仿宋_GB2312" w:cs="仿宋_GB2312" w:eastAsia="仿宋_GB2312"/>
                <w:sz w:val="24"/>
              </w:rPr>
              <w:t>9.主板内置PCIe插槽数量≥2</w:t>
            </w:r>
          </w:p>
          <w:p>
            <w:pPr>
              <w:pStyle w:val="null3"/>
              <w:jc w:val="both"/>
            </w:pPr>
            <w:r>
              <w:rPr>
                <w:rFonts w:ascii="仿宋_GB2312" w:hAnsi="仿宋_GB2312" w:cs="仿宋_GB2312" w:eastAsia="仿宋_GB2312"/>
                <w:sz w:val="24"/>
              </w:rPr>
              <w:t>10.主板其他内置接口：≥2个SATA接口，≥1个M.2插槽；USB接口≥6个（前置至少3个USB3.2 Type-A）；≥1个VGA，≥1个HDMI，≥1个音频接口</w:t>
            </w:r>
          </w:p>
          <w:p>
            <w:pPr>
              <w:pStyle w:val="null3"/>
              <w:jc w:val="both"/>
            </w:pPr>
            <w:r>
              <w:rPr>
                <w:rFonts w:ascii="仿宋_GB2312" w:hAnsi="仿宋_GB2312" w:cs="仿宋_GB2312" w:eastAsia="仿宋_GB2312"/>
                <w:sz w:val="24"/>
                <w:b/>
              </w:rPr>
              <w:t>四、存储设备</w:t>
            </w:r>
          </w:p>
          <w:p>
            <w:pPr>
              <w:pStyle w:val="null3"/>
              <w:jc w:val="both"/>
            </w:pPr>
            <w:r>
              <w:rPr>
                <w:rFonts w:ascii="仿宋_GB2312" w:hAnsi="仿宋_GB2312" w:cs="仿宋_GB2312" w:eastAsia="仿宋_GB2312"/>
                <w:sz w:val="24"/>
              </w:rPr>
              <w:t>11固态盘数量≥1个</w:t>
            </w:r>
          </w:p>
          <w:p>
            <w:pPr>
              <w:pStyle w:val="null3"/>
              <w:jc w:val="both"/>
            </w:pPr>
            <w:r>
              <w:rPr>
                <w:rFonts w:ascii="仿宋_GB2312" w:hAnsi="仿宋_GB2312" w:cs="仿宋_GB2312" w:eastAsia="仿宋_GB2312"/>
                <w:sz w:val="24"/>
              </w:rPr>
              <w:t>12.固态存储容量≥256GB</w:t>
            </w:r>
          </w:p>
          <w:p>
            <w:pPr>
              <w:pStyle w:val="null3"/>
              <w:jc w:val="both"/>
            </w:pPr>
            <w:r>
              <w:rPr>
                <w:rFonts w:ascii="仿宋_GB2312" w:hAnsi="仿宋_GB2312" w:cs="仿宋_GB2312" w:eastAsia="仿宋_GB2312"/>
                <w:sz w:val="24"/>
              </w:rPr>
              <w:t>13.固态存储接口协议：UFS/SATA/PCIe/NVMe类型接口协议</w:t>
            </w:r>
          </w:p>
          <w:p>
            <w:pPr>
              <w:pStyle w:val="null3"/>
              <w:jc w:val="both"/>
            </w:pPr>
            <w:r>
              <w:rPr>
                <w:rFonts w:ascii="仿宋_GB2312" w:hAnsi="仿宋_GB2312" w:cs="仿宋_GB2312" w:eastAsia="仿宋_GB2312"/>
                <w:sz w:val="24"/>
              </w:rPr>
              <w:t>14.固态存储形态：选用M.2标准的插卡形态</w:t>
            </w:r>
          </w:p>
          <w:p>
            <w:pPr>
              <w:pStyle w:val="null3"/>
              <w:jc w:val="both"/>
            </w:pPr>
            <w:r>
              <w:rPr>
                <w:rFonts w:ascii="仿宋_GB2312" w:hAnsi="仿宋_GB2312" w:cs="仿宋_GB2312" w:eastAsia="仿宋_GB2312"/>
                <w:sz w:val="24"/>
              </w:rPr>
              <w:t>15.存储设备扩展盘位≥1SATA</w:t>
            </w:r>
          </w:p>
          <w:p>
            <w:pPr>
              <w:pStyle w:val="null3"/>
              <w:jc w:val="both"/>
            </w:pPr>
            <w:r>
              <w:rPr>
                <w:rFonts w:ascii="仿宋_GB2312" w:hAnsi="仿宋_GB2312" w:cs="仿宋_GB2312" w:eastAsia="仿宋_GB2312"/>
                <w:sz w:val="24"/>
              </w:rPr>
              <w:t>16.存储设备其他参数要求：a）固态盘应符合SJ/T 11654-2016《固态盘通用规范》相关规定；b）工作状态环境温度应满足5℃~55℃；其它参数应符合GB/T 12628-2008《硬磁盘驱动器通用规范》相关规定</w:t>
            </w:r>
          </w:p>
          <w:p>
            <w:pPr>
              <w:pStyle w:val="null3"/>
              <w:jc w:val="both"/>
            </w:pPr>
            <w:r>
              <w:rPr>
                <w:rFonts w:ascii="仿宋_GB2312" w:hAnsi="仿宋_GB2312" w:cs="仿宋_GB2312" w:eastAsia="仿宋_GB2312"/>
                <w:sz w:val="24"/>
                <w:b/>
              </w:rPr>
              <w:t>五、显卡</w:t>
            </w:r>
          </w:p>
          <w:p>
            <w:pPr>
              <w:pStyle w:val="null3"/>
              <w:jc w:val="both"/>
            </w:pPr>
            <w:r>
              <w:rPr>
                <w:rFonts w:ascii="仿宋_GB2312" w:hAnsi="仿宋_GB2312" w:cs="仿宋_GB2312" w:eastAsia="仿宋_GB2312"/>
                <w:sz w:val="24"/>
              </w:rPr>
              <w:t>17.显卡类型：独立显卡或集成显卡</w:t>
            </w:r>
          </w:p>
          <w:p>
            <w:pPr>
              <w:pStyle w:val="null3"/>
              <w:jc w:val="both"/>
            </w:pPr>
            <w:r>
              <w:rPr>
                <w:rFonts w:ascii="仿宋_GB2312" w:hAnsi="仿宋_GB2312" w:cs="仿宋_GB2312" w:eastAsia="仿宋_GB2312"/>
                <w:sz w:val="24"/>
              </w:rPr>
              <w:t>18.独立显卡显存类型：若配置独立显卡，显存类型应为DDR3/DDR4/GDDR5/GDDR6/LPDDR4</w:t>
            </w:r>
          </w:p>
          <w:p>
            <w:pPr>
              <w:pStyle w:val="null3"/>
              <w:jc w:val="both"/>
            </w:pPr>
            <w:r>
              <w:rPr>
                <w:rFonts w:ascii="仿宋_GB2312" w:hAnsi="仿宋_GB2312" w:cs="仿宋_GB2312" w:eastAsia="仿宋_GB2312"/>
                <w:sz w:val="24"/>
              </w:rPr>
              <w:t>19.独立显卡显存位宽：若配置独立显卡，显存位宽≥64位</w:t>
            </w:r>
          </w:p>
          <w:p>
            <w:pPr>
              <w:pStyle w:val="null3"/>
              <w:jc w:val="both"/>
            </w:pPr>
            <w:r>
              <w:rPr>
                <w:rFonts w:ascii="仿宋_GB2312" w:hAnsi="仿宋_GB2312" w:cs="仿宋_GB2312" w:eastAsia="仿宋_GB2312"/>
                <w:sz w:val="24"/>
              </w:rPr>
              <w:t>20.独立显卡显存容量：若配置独立显卡，显存容量≥2GB</w:t>
            </w:r>
          </w:p>
          <w:p>
            <w:pPr>
              <w:pStyle w:val="null3"/>
              <w:jc w:val="both"/>
            </w:pPr>
            <w:r>
              <w:rPr>
                <w:rFonts w:ascii="仿宋_GB2312" w:hAnsi="仿宋_GB2312" w:cs="仿宋_GB2312" w:eastAsia="仿宋_GB2312"/>
                <w:sz w:val="24"/>
              </w:rPr>
              <w:t>21.独立显卡接口协议：若配置独立显卡，支持PCIe协议版本≥2.0或HT（HyperTransport）协议版本≥3.0的独立显卡接口协议</w:t>
            </w:r>
          </w:p>
          <w:p>
            <w:pPr>
              <w:pStyle w:val="null3"/>
              <w:jc w:val="both"/>
            </w:pPr>
            <w:r>
              <w:rPr>
                <w:rFonts w:ascii="仿宋_GB2312" w:hAnsi="仿宋_GB2312" w:cs="仿宋_GB2312" w:eastAsia="仿宋_GB2312"/>
                <w:sz w:val="24"/>
                <w:b/>
              </w:rPr>
              <w:t>六、显示设备</w:t>
            </w:r>
          </w:p>
          <w:p>
            <w:pPr>
              <w:pStyle w:val="null3"/>
              <w:jc w:val="both"/>
            </w:pPr>
            <w:r>
              <w:rPr>
                <w:rFonts w:ascii="仿宋_GB2312" w:hAnsi="仿宋_GB2312" w:cs="仿宋_GB2312" w:eastAsia="仿宋_GB2312"/>
                <w:sz w:val="24"/>
              </w:rPr>
              <w:t>22.显示屏屏占比≥90%</w:t>
            </w:r>
          </w:p>
          <w:p>
            <w:pPr>
              <w:pStyle w:val="null3"/>
              <w:jc w:val="both"/>
            </w:pPr>
            <w:r>
              <w:rPr>
                <w:rFonts w:ascii="仿宋_GB2312" w:hAnsi="仿宋_GB2312" w:cs="仿宋_GB2312" w:eastAsia="仿宋_GB2312"/>
                <w:sz w:val="24"/>
              </w:rPr>
              <w:t>23.显示屏分辨率≥1920×1080</w:t>
            </w:r>
          </w:p>
          <w:p>
            <w:pPr>
              <w:pStyle w:val="null3"/>
              <w:jc w:val="both"/>
            </w:pPr>
            <w:r>
              <w:rPr>
                <w:rFonts w:ascii="仿宋_GB2312" w:hAnsi="仿宋_GB2312" w:cs="仿宋_GB2312" w:eastAsia="仿宋_GB2312"/>
                <w:sz w:val="24"/>
              </w:rPr>
              <w:t>24.显示屏像素密度≥85像素/英寸</w:t>
            </w:r>
          </w:p>
          <w:p>
            <w:pPr>
              <w:pStyle w:val="null3"/>
              <w:jc w:val="both"/>
            </w:pPr>
            <w:r>
              <w:rPr>
                <w:rFonts w:ascii="仿宋_GB2312" w:hAnsi="仿宋_GB2312" w:cs="仿宋_GB2312" w:eastAsia="仿宋_GB2312"/>
                <w:sz w:val="24"/>
              </w:rPr>
              <w:t>25.显示屏可视角度水平≥170°</w:t>
            </w:r>
          </w:p>
          <w:p>
            <w:pPr>
              <w:pStyle w:val="null3"/>
              <w:jc w:val="both"/>
            </w:pPr>
            <w:r>
              <w:rPr>
                <w:rFonts w:ascii="仿宋_GB2312" w:hAnsi="仿宋_GB2312" w:cs="仿宋_GB2312" w:eastAsia="仿宋_GB2312"/>
                <w:sz w:val="24"/>
              </w:rPr>
              <w:t>26.显示屏尺寸≥23英寸</w:t>
            </w:r>
          </w:p>
          <w:p>
            <w:pPr>
              <w:pStyle w:val="null3"/>
              <w:jc w:val="both"/>
            </w:pPr>
            <w:r>
              <w:rPr>
                <w:rFonts w:ascii="仿宋_GB2312" w:hAnsi="仿宋_GB2312" w:cs="仿宋_GB2312" w:eastAsia="仿宋_GB2312"/>
                <w:sz w:val="24"/>
              </w:rPr>
              <w:t>27.显示屏屏幕比例16:9</w:t>
            </w:r>
          </w:p>
          <w:p>
            <w:pPr>
              <w:pStyle w:val="null3"/>
              <w:jc w:val="both"/>
            </w:pPr>
            <w:r>
              <w:rPr>
                <w:rFonts w:ascii="仿宋_GB2312" w:hAnsi="仿宋_GB2312" w:cs="仿宋_GB2312" w:eastAsia="仿宋_GB2312"/>
                <w:sz w:val="24"/>
              </w:rPr>
              <w:t>28.显示器外观颜色黑色</w:t>
            </w:r>
          </w:p>
          <w:p>
            <w:pPr>
              <w:pStyle w:val="null3"/>
              <w:jc w:val="both"/>
            </w:pPr>
            <w:r>
              <w:rPr>
                <w:rFonts w:ascii="仿宋_GB2312" w:hAnsi="仿宋_GB2312" w:cs="仿宋_GB2312" w:eastAsia="仿宋_GB2312"/>
                <w:sz w:val="24"/>
              </w:rPr>
              <w:t>29.显示屏防蓝光：支持防蓝光模式，蓝光加权辐射亮度比应≤0.0012W/(·cd·sr)（瓦每坎特拉每球面度）</w:t>
            </w:r>
          </w:p>
          <w:p>
            <w:pPr>
              <w:pStyle w:val="null3"/>
              <w:jc w:val="both"/>
            </w:pPr>
            <w:r>
              <w:rPr>
                <w:rFonts w:ascii="仿宋_GB2312" w:hAnsi="仿宋_GB2312" w:cs="仿宋_GB2312" w:eastAsia="仿宋_GB2312"/>
                <w:sz w:val="24"/>
              </w:rPr>
              <w:t>30.显示屏低频闪≤-35dB</w:t>
            </w:r>
          </w:p>
          <w:p>
            <w:pPr>
              <w:pStyle w:val="null3"/>
              <w:jc w:val="both"/>
            </w:pPr>
            <w:r>
              <w:rPr>
                <w:rFonts w:ascii="仿宋_GB2312" w:hAnsi="仿宋_GB2312" w:cs="仿宋_GB2312" w:eastAsia="仿宋_GB2312"/>
                <w:sz w:val="24"/>
              </w:rPr>
              <w:t>31.显示屏防炫目：镜面反射率≤10%</w:t>
            </w:r>
          </w:p>
          <w:p>
            <w:pPr>
              <w:pStyle w:val="null3"/>
              <w:jc w:val="both"/>
            </w:pPr>
            <w:r>
              <w:rPr>
                <w:rFonts w:ascii="仿宋_GB2312" w:hAnsi="仿宋_GB2312" w:cs="仿宋_GB2312" w:eastAsia="仿宋_GB2312"/>
                <w:sz w:val="24"/>
                <w:b/>
              </w:rPr>
              <w:t>七、外设</w:t>
            </w:r>
          </w:p>
          <w:p>
            <w:pPr>
              <w:pStyle w:val="null3"/>
              <w:jc w:val="both"/>
            </w:pPr>
            <w:r>
              <w:rPr>
                <w:rFonts w:ascii="仿宋_GB2312" w:hAnsi="仿宋_GB2312" w:cs="仿宋_GB2312" w:eastAsia="仿宋_GB2312"/>
                <w:sz w:val="24"/>
              </w:rPr>
              <w:t>32.鼠标数量≥1个</w:t>
            </w:r>
          </w:p>
          <w:p>
            <w:pPr>
              <w:pStyle w:val="null3"/>
              <w:jc w:val="both"/>
            </w:pPr>
            <w:r>
              <w:rPr>
                <w:rFonts w:ascii="仿宋_GB2312" w:hAnsi="仿宋_GB2312" w:cs="仿宋_GB2312" w:eastAsia="仿宋_GB2312"/>
                <w:sz w:val="24"/>
              </w:rPr>
              <w:t>33.键盘数量≥1个</w:t>
            </w:r>
          </w:p>
          <w:p>
            <w:pPr>
              <w:pStyle w:val="null3"/>
              <w:jc w:val="both"/>
            </w:pPr>
            <w:r>
              <w:rPr>
                <w:rFonts w:ascii="仿宋_GB2312" w:hAnsi="仿宋_GB2312" w:cs="仿宋_GB2312" w:eastAsia="仿宋_GB2312"/>
                <w:sz w:val="24"/>
              </w:rPr>
              <w:t>34.键盘按键数目104键</w:t>
            </w:r>
          </w:p>
          <w:p>
            <w:pPr>
              <w:pStyle w:val="null3"/>
              <w:jc w:val="both"/>
            </w:pPr>
            <w:r>
              <w:rPr>
                <w:rFonts w:ascii="仿宋_GB2312" w:hAnsi="仿宋_GB2312" w:cs="仿宋_GB2312" w:eastAsia="仿宋_GB2312"/>
                <w:sz w:val="24"/>
              </w:rPr>
              <w:t>35.键盘连接方式：有线</w:t>
            </w:r>
          </w:p>
          <w:p>
            <w:pPr>
              <w:pStyle w:val="null3"/>
              <w:jc w:val="both"/>
            </w:pPr>
            <w:r>
              <w:rPr>
                <w:rFonts w:ascii="仿宋_GB2312" w:hAnsi="仿宋_GB2312" w:cs="仿宋_GB2312" w:eastAsia="仿宋_GB2312"/>
                <w:sz w:val="24"/>
              </w:rPr>
              <w:t>36.键盘键程2.3mm~4.0mm</w:t>
            </w:r>
          </w:p>
          <w:p>
            <w:pPr>
              <w:pStyle w:val="null3"/>
              <w:jc w:val="both"/>
            </w:pPr>
            <w:r>
              <w:rPr>
                <w:rFonts w:ascii="仿宋_GB2312" w:hAnsi="仿宋_GB2312" w:cs="仿宋_GB2312" w:eastAsia="仿宋_GB2312"/>
                <w:sz w:val="24"/>
              </w:rPr>
              <w:t>37.键盘按键压力0.54N±0.14N</w:t>
            </w:r>
          </w:p>
          <w:p>
            <w:pPr>
              <w:pStyle w:val="null3"/>
              <w:jc w:val="both"/>
            </w:pPr>
            <w:r>
              <w:rPr>
                <w:rFonts w:ascii="仿宋_GB2312" w:hAnsi="仿宋_GB2312" w:cs="仿宋_GB2312" w:eastAsia="仿宋_GB2312"/>
                <w:sz w:val="24"/>
              </w:rPr>
              <w:t>38.有线键盘连接线≥1.5米</w:t>
            </w:r>
          </w:p>
          <w:p>
            <w:pPr>
              <w:pStyle w:val="null3"/>
              <w:jc w:val="both"/>
            </w:pPr>
            <w:r>
              <w:rPr>
                <w:rFonts w:ascii="仿宋_GB2312" w:hAnsi="仿宋_GB2312" w:cs="仿宋_GB2312" w:eastAsia="仿宋_GB2312"/>
                <w:sz w:val="24"/>
              </w:rPr>
              <w:t>39.键盘颜色黑色</w:t>
            </w:r>
          </w:p>
          <w:p>
            <w:pPr>
              <w:pStyle w:val="null3"/>
              <w:jc w:val="both"/>
            </w:pPr>
            <w:r>
              <w:rPr>
                <w:rFonts w:ascii="仿宋_GB2312" w:hAnsi="仿宋_GB2312" w:cs="仿宋_GB2312" w:eastAsia="仿宋_GB2312"/>
                <w:sz w:val="24"/>
              </w:rPr>
              <w:t>40.键盘其他要求：键盘外观结构、连接方式、主要功能、安全、电磁兼容性、可靠性应符合GB/T 14081-2010《信息处理用键盘通用规范》的相关规定</w:t>
            </w:r>
          </w:p>
          <w:p>
            <w:pPr>
              <w:pStyle w:val="null3"/>
              <w:jc w:val="both"/>
            </w:pPr>
            <w:r>
              <w:rPr>
                <w:rFonts w:ascii="仿宋_GB2312" w:hAnsi="仿宋_GB2312" w:cs="仿宋_GB2312" w:eastAsia="仿宋_GB2312"/>
                <w:sz w:val="24"/>
              </w:rPr>
              <w:t>41.鼠标连接方式：有线</w:t>
            </w:r>
          </w:p>
          <w:p>
            <w:pPr>
              <w:pStyle w:val="null3"/>
              <w:jc w:val="both"/>
            </w:pPr>
            <w:r>
              <w:rPr>
                <w:rFonts w:ascii="仿宋_GB2312" w:hAnsi="仿宋_GB2312" w:cs="仿宋_GB2312" w:eastAsia="仿宋_GB2312"/>
                <w:sz w:val="24"/>
              </w:rPr>
              <w:t>42.有线鼠标连接线≥1.5米</w:t>
            </w:r>
          </w:p>
          <w:p>
            <w:pPr>
              <w:pStyle w:val="null3"/>
              <w:jc w:val="both"/>
            </w:pPr>
            <w:r>
              <w:rPr>
                <w:rFonts w:ascii="仿宋_GB2312" w:hAnsi="仿宋_GB2312" w:cs="仿宋_GB2312" w:eastAsia="仿宋_GB2312"/>
                <w:sz w:val="24"/>
              </w:rPr>
              <w:t>43.鼠标DPI分辨率800~1600</w:t>
            </w:r>
          </w:p>
          <w:p>
            <w:pPr>
              <w:pStyle w:val="null3"/>
              <w:jc w:val="both"/>
            </w:pPr>
            <w:r>
              <w:rPr>
                <w:rFonts w:ascii="仿宋_GB2312" w:hAnsi="仿宋_GB2312" w:cs="仿宋_GB2312" w:eastAsia="仿宋_GB2312"/>
                <w:sz w:val="24"/>
              </w:rPr>
              <w:t>44.鼠标颜色黑色</w:t>
            </w:r>
          </w:p>
          <w:p>
            <w:pPr>
              <w:pStyle w:val="null3"/>
              <w:jc w:val="both"/>
            </w:pPr>
            <w:r>
              <w:rPr>
                <w:rFonts w:ascii="仿宋_GB2312" w:hAnsi="仿宋_GB2312" w:cs="仿宋_GB2312" w:eastAsia="仿宋_GB2312"/>
                <w:sz w:val="24"/>
              </w:rPr>
              <w:t>45.鼠标其他要求：其它参数应符合GB/T 26245-2010《计算机用鼠标器通用规范》的相关规定</w:t>
            </w:r>
          </w:p>
          <w:p>
            <w:pPr>
              <w:pStyle w:val="null3"/>
              <w:jc w:val="both"/>
            </w:pPr>
            <w:r>
              <w:rPr>
                <w:rFonts w:ascii="仿宋_GB2312" w:hAnsi="仿宋_GB2312" w:cs="仿宋_GB2312" w:eastAsia="仿宋_GB2312"/>
                <w:sz w:val="24"/>
                <w:b/>
              </w:rPr>
              <w:t>八、网络设备</w:t>
            </w:r>
          </w:p>
          <w:p>
            <w:pPr>
              <w:pStyle w:val="null3"/>
              <w:jc w:val="both"/>
            </w:pPr>
            <w:r>
              <w:rPr>
                <w:rFonts w:ascii="仿宋_GB2312" w:hAnsi="仿宋_GB2312" w:cs="仿宋_GB2312" w:eastAsia="仿宋_GB2312"/>
                <w:sz w:val="24"/>
              </w:rPr>
              <w:t>46.有线网卡数量≥1</w:t>
            </w:r>
          </w:p>
          <w:p>
            <w:pPr>
              <w:pStyle w:val="null3"/>
              <w:jc w:val="both"/>
            </w:pPr>
            <w:r>
              <w:rPr>
                <w:rFonts w:ascii="仿宋_GB2312" w:hAnsi="仿宋_GB2312" w:cs="仿宋_GB2312" w:eastAsia="仿宋_GB2312"/>
                <w:sz w:val="24"/>
                <w:b/>
              </w:rPr>
              <w:t>九、外部接口</w:t>
            </w:r>
          </w:p>
          <w:p>
            <w:pPr>
              <w:pStyle w:val="null3"/>
              <w:jc w:val="both"/>
            </w:pPr>
            <w:r>
              <w:rPr>
                <w:rFonts w:ascii="仿宋_GB2312" w:hAnsi="仿宋_GB2312" w:cs="仿宋_GB2312" w:eastAsia="仿宋_GB2312"/>
                <w:sz w:val="24"/>
              </w:rPr>
              <w:t>47.USB接口数量：机箱前面板应提供不少于3个USB接口（含3个USB3.2及以上接口）</w:t>
            </w:r>
          </w:p>
          <w:p>
            <w:pPr>
              <w:pStyle w:val="null3"/>
              <w:jc w:val="both"/>
            </w:pPr>
            <w:r>
              <w:rPr>
                <w:rFonts w:ascii="仿宋_GB2312" w:hAnsi="仿宋_GB2312" w:cs="仿宋_GB2312" w:eastAsia="仿宋_GB2312"/>
                <w:sz w:val="24"/>
              </w:rPr>
              <w:t>48.视频接口≥2个，支持2屏显示输出</w:t>
            </w:r>
          </w:p>
          <w:p>
            <w:pPr>
              <w:pStyle w:val="null3"/>
              <w:jc w:val="both"/>
            </w:pPr>
            <w:r>
              <w:rPr>
                <w:rFonts w:ascii="仿宋_GB2312" w:hAnsi="仿宋_GB2312" w:cs="仿宋_GB2312" w:eastAsia="仿宋_GB2312"/>
                <w:sz w:val="24"/>
              </w:rPr>
              <w:t>49.音频接口≥1</w:t>
            </w:r>
          </w:p>
          <w:p>
            <w:pPr>
              <w:pStyle w:val="null3"/>
              <w:jc w:val="both"/>
            </w:pPr>
            <w:r>
              <w:rPr>
                <w:rFonts w:ascii="仿宋_GB2312" w:hAnsi="仿宋_GB2312" w:cs="仿宋_GB2312" w:eastAsia="仿宋_GB2312"/>
                <w:sz w:val="24"/>
                <w:b/>
              </w:rPr>
              <w:t>十、整机基础</w:t>
            </w:r>
          </w:p>
          <w:p>
            <w:pPr>
              <w:pStyle w:val="null3"/>
              <w:jc w:val="both"/>
            </w:pPr>
            <w:r>
              <w:rPr>
                <w:rFonts w:ascii="仿宋_GB2312" w:hAnsi="仿宋_GB2312" w:cs="仿宋_GB2312" w:eastAsia="仿宋_GB2312"/>
                <w:sz w:val="24"/>
              </w:rPr>
              <w:t>50.整机外观：a）产品表面不应有凹痕、划伤、裂缝、变形和污染等。表面涂层均匀，不应起泡、龟裂、脱落和磨损，金属零部件无锈蚀及其它机械损伤；b）产品表面说明功能的文字、符号、标志，应清晰、端正、牢固</w:t>
            </w:r>
          </w:p>
          <w:p>
            <w:pPr>
              <w:pStyle w:val="null3"/>
              <w:jc w:val="both"/>
            </w:pPr>
            <w:r>
              <w:rPr>
                <w:rFonts w:ascii="仿宋_GB2312" w:hAnsi="仿宋_GB2312" w:cs="仿宋_GB2312" w:eastAsia="仿宋_GB2312"/>
                <w:sz w:val="24"/>
              </w:rPr>
              <w:t>51.状态指示灯：在机箱前面板提供状态指示灯功能</w:t>
            </w:r>
          </w:p>
          <w:p>
            <w:pPr>
              <w:pStyle w:val="null3"/>
              <w:jc w:val="both"/>
            </w:pPr>
            <w:r>
              <w:rPr>
                <w:rFonts w:ascii="仿宋_GB2312" w:hAnsi="仿宋_GB2312" w:cs="仿宋_GB2312" w:eastAsia="仿宋_GB2312"/>
                <w:sz w:val="24"/>
              </w:rPr>
              <w:t>52.整机结构：a）机箱应符合GB/T 4208-2017《外壳防护等级(IP代码)》、GB/T 26246-2010《微型计算机用机箱通用规范》的相关规定；b）产品内部结构应符合通用部件的安装需求；c）所有输入输出接口应符合相关国家或行业标准；d）产品零部件应紧固无松动，可插拔部件应可靠连接，开关、按钮和其它控制部件应灵活可靠，布局应方便使用；e）所有I/O连接器及需插接线缆的部位应预留采购人操作空间，方便插拔解锁与插拔线缆；f）可插拔板卡插槽部位应预留安装、拆卸或更换板卡空间；g）拆装可能接触到的金属剪口或金属尖角部位应做防划伤处理，以保证安全；h）整机内部走线应规整，固线结构和位置要合理可靠并做防割线处理，需便于理线和插拔操作，走线应不影响系统各主要部件组装和拆卸；i）如需通过孔走线，过线孔应做防割线处理；j）各插头位置和插拔方向应合理，应做到插拔无障碍设计，具备防呆设计，有效避免误操作；k）各主要部件拆装无障碍，使用常规工具拆装，无特殊拆装工具需求；l）各主要部件拆装步骤要少，各自拆装需避免相互干扰；m）对于整机或零部件外表面为高亮面的，应粘贴保护膜，保护膜需粘贴牢固，运输、组装等过程不易脱落，撕下无残留；n）其它要求应符合GB/T 9813.1-2016《计算机通用规范 第1部分：台式微型计算机》的相关规定</w:t>
            </w:r>
          </w:p>
          <w:p>
            <w:pPr>
              <w:pStyle w:val="null3"/>
              <w:jc w:val="both"/>
            </w:pPr>
            <w:r>
              <w:rPr>
                <w:rFonts w:ascii="仿宋_GB2312" w:hAnsi="仿宋_GB2312" w:cs="仿宋_GB2312" w:eastAsia="仿宋_GB2312"/>
                <w:sz w:val="24"/>
              </w:rPr>
              <w:t>53.机箱防护要求：机箱应符合GB/T 4208-2017《外壳防护等级(IP代码)》中IP20防护要求</w:t>
            </w:r>
          </w:p>
          <w:p>
            <w:pPr>
              <w:pStyle w:val="null3"/>
              <w:jc w:val="both"/>
            </w:pPr>
            <w:r>
              <w:rPr>
                <w:rFonts w:ascii="仿宋_GB2312" w:hAnsi="仿宋_GB2312" w:cs="仿宋_GB2312" w:eastAsia="仿宋_GB2312"/>
                <w:sz w:val="24"/>
              </w:rPr>
              <w:t>54.整机噪音：产品工作在空闲状态下，产品的声功率级应不超过2.8Bel</w:t>
            </w:r>
          </w:p>
          <w:p>
            <w:pPr>
              <w:pStyle w:val="null3"/>
              <w:jc w:val="both"/>
            </w:pPr>
            <w:r>
              <w:rPr>
                <w:rFonts w:ascii="仿宋_GB2312" w:hAnsi="仿宋_GB2312" w:cs="仿宋_GB2312" w:eastAsia="仿宋_GB2312"/>
                <w:sz w:val="24"/>
              </w:rPr>
              <w:t>55.整机散热：在环境温度25℃及处理器满载情况下，产品表面温度应符合如下要求：a）出风口在机箱后面板情况下，出风口温度不高于55℃；b）可触及面温度不高于45℃；c）显示器表面温度：显示屏不高于38℃，显示屏上下灯带位置温度（如涉及）不高于40℃，出风口温度不高于45℃</w:t>
            </w:r>
          </w:p>
          <w:p>
            <w:pPr>
              <w:pStyle w:val="null3"/>
              <w:jc w:val="both"/>
            </w:pPr>
            <w:r>
              <w:rPr>
                <w:rFonts w:ascii="仿宋_GB2312" w:hAnsi="仿宋_GB2312" w:cs="仿宋_GB2312" w:eastAsia="仿宋_GB2312"/>
                <w:sz w:val="24"/>
              </w:rPr>
              <w:t>56.整机能效限定值：产品能效限定值应达到GB 28380-2025《微型计算机能效限定值及能效等级》中能效等级2级及以上</w:t>
            </w:r>
          </w:p>
          <w:p>
            <w:pPr>
              <w:pStyle w:val="null3"/>
              <w:jc w:val="both"/>
            </w:pPr>
            <w:r>
              <w:rPr>
                <w:rFonts w:ascii="仿宋_GB2312" w:hAnsi="仿宋_GB2312" w:cs="仿宋_GB2312" w:eastAsia="仿宋_GB2312"/>
                <w:sz w:val="24"/>
              </w:rPr>
              <w:t>57.机身材质：塑料或金属</w:t>
            </w:r>
          </w:p>
          <w:p>
            <w:pPr>
              <w:pStyle w:val="null3"/>
              <w:jc w:val="both"/>
            </w:pPr>
            <w:r>
              <w:rPr>
                <w:rFonts w:ascii="仿宋_GB2312" w:hAnsi="仿宋_GB2312" w:cs="仿宋_GB2312" w:eastAsia="仿宋_GB2312"/>
                <w:sz w:val="24"/>
              </w:rPr>
              <w:t>58.机身颜色：灰色或黑色</w:t>
            </w:r>
          </w:p>
          <w:p>
            <w:pPr>
              <w:pStyle w:val="null3"/>
              <w:jc w:val="both"/>
            </w:pPr>
            <w:r>
              <w:rPr>
                <w:rFonts w:ascii="仿宋_GB2312" w:hAnsi="仿宋_GB2312" w:cs="仿宋_GB2312" w:eastAsia="仿宋_GB2312"/>
                <w:sz w:val="24"/>
              </w:rPr>
              <w:t>59.机箱尺寸容量：机箱体积≤10L</w:t>
            </w:r>
          </w:p>
          <w:p>
            <w:pPr>
              <w:pStyle w:val="null3"/>
              <w:jc w:val="both"/>
            </w:pPr>
            <w:r>
              <w:rPr>
                <w:rFonts w:ascii="仿宋_GB2312" w:hAnsi="仿宋_GB2312" w:cs="仿宋_GB2312" w:eastAsia="仿宋_GB2312"/>
                <w:sz w:val="24"/>
                <w:b/>
              </w:rPr>
              <w:t>十一、性能要求</w:t>
            </w:r>
          </w:p>
          <w:p>
            <w:pPr>
              <w:pStyle w:val="null3"/>
              <w:jc w:val="both"/>
            </w:pPr>
            <w:r>
              <w:rPr>
                <w:rFonts w:ascii="仿宋_GB2312" w:hAnsi="仿宋_GB2312" w:cs="仿宋_GB2312" w:eastAsia="仿宋_GB2312"/>
                <w:sz w:val="24"/>
              </w:rPr>
              <w:t>60.CPU物理核数≥8</w:t>
            </w:r>
          </w:p>
          <w:p>
            <w:pPr>
              <w:pStyle w:val="null3"/>
              <w:jc w:val="both"/>
            </w:pPr>
            <w:r>
              <w:rPr>
                <w:rFonts w:ascii="仿宋_GB2312" w:hAnsi="仿宋_GB2312" w:cs="仿宋_GB2312" w:eastAsia="仿宋_GB2312"/>
                <w:sz w:val="24"/>
              </w:rPr>
              <w:t>61.CPU主频≥2.3GHz</w:t>
            </w:r>
          </w:p>
          <w:p>
            <w:pPr>
              <w:pStyle w:val="null3"/>
              <w:jc w:val="both"/>
            </w:pPr>
            <w:r>
              <w:rPr>
                <w:rFonts w:ascii="仿宋_GB2312" w:hAnsi="仿宋_GB2312" w:cs="仿宋_GB2312" w:eastAsia="仿宋_GB2312"/>
                <w:sz w:val="24"/>
              </w:rPr>
              <w:t>62.CPU末级缓存容量≥4MB</w:t>
            </w:r>
          </w:p>
          <w:p>
            <w:pPr>
              <w:pStyle w:val="null3"/>
              <w:jc w:val="both"/>
            </w:pPr>
            <w:r>
              <w:rPr>
                <w:rFonts w:ascii="仿宋_GB2312" w:hAnsi="仿宋_GB2312" w:cs="仿宋_GB2312" w:eastAsia="仿宋_GB2312"/>
                <w:sz w:val="24"/>
              </w:rPr>
              <w:t>63.CPU支持的内存最高速率≥6400MT/S</w:t>
            </w:r>
          </w:p>
          <w:p>
            <w:pPr>
              <w:pStyle w:val="null3"/>
              <w:jc w:val="both"/>
            </w:pPr>
            <w:r>
              <w:rPr>
                <w:rFonts w:ascii="仿宋_GB2312" w:hAnsi="仿宋_GB2312" w:cs="仿宋_GB2312" w:eastAsia="仿宋_GB2312"/>
                <w:sz w:val="24"/>
              </w:rPr>
              <w:t>64.内存读写速率≥6400MT/S</w:t>
            </w:r>
          </w:p>
          <w:p>
            <w:pPr>
              <w:pStyle w:val="null3"/>
              <w:jc w:val="both"/>
            </w:pPr>
            <w:r>
              <w:rPr>
                <w:rFonts w:ascii="仿宋_GB2312" w:hAnsi="仿宋_GB2312" w:cs="仿宋_GB2312" w:eastAsia="仿宋_GB2312"/>
                <w:sz w:val="24"/>
              </w:rPr>
              <w:t>65.显示分辨率≥1920×1080</w:t>
            </w:r>
          </w:p>
          <w:p>
            <w:pPr>
              <w:pStyle w:val="null3"/>
              <w:jc w:val="both"/>
            </w:pPr>
            <w:r>
              <w:rPr>
                <w:rFonts w:ascii="仿宋_GB2312" w:hAnsi="仿宋_GB2312" w:cs="仿宋_GB2312" w:eastAsia="仿宋_GB2312"/>
                <w:sz w:val="24"/>
              </w:rPr>
              <w:t>67.显卡显示芯片核心频率≥300MHz</w:t>
            </w:r>
          </w:p>
          <w:p>
            <w:pPr>
              <w:pStyle w:val="null3"/>
              <w:jc w:val="both"/>
            </w:pPr>
            <w:r>
              <w:rPr>
                <w:rFonts w:ascii="仿宋_GB2312" w:hAnsi="仿宋_GB2312" w:cs="仿宋_GB2312" w:eastAsia="仿宋_GB2312"/>
                <w:sz w:val="24"/>
              </w:rPr>
              <w:t>68.显存等效频率≥6400MT/S</w:t>
            </w:r>
          </w:p>
          <w:p>
            <w:pPr>
              <w:pStyle w:val="null3"/>
              <w:jc w:val="both"/>
            </w:pPr>
            <w:r>
              <w:rPr>
                <w:rFonts w:ascii="仿宋_GB2312" w:hAnsi="仿宋_GB2312" w:cs="仿宋_GB2312" w:eastAsia="仿宋_GB2312"/>
                <w:sz w:val="24"/>
              </w:rPr>
              <w:t>69.显卡可支持多屏同时显示数量：显卡应支持2块屏幕同时显示，分辨率应不低于1920×1080</w:t>
            </w:r>
          </w:p>
          <w:p>
            <w:pPr>
              <w:pStyle w:val="null3"/>
              <w:jc w:val="both"/>
            </w:pPr>
            <w:r>
              <w:rPr>
                <w:rFonts w:ascii="仿宋_GB2312" w:hAnsi="仿宋_GB2312" w:cs="仿宋_GB2312" w:eastAsia="仿宋_GB2312"/>
                <w:sz w:val="24"/>
              </w:rPr>
              <w:t>70.显示屏刷新率≥75Hz</w:t>
            </w:r>
          </w:p>
          <w:p>
            <w:pPr>
              <w:pStyle w:val="null3"/>
              <w:jc w:val="both"/>
            </w:pPr>
            <w:r>
              <w:rPr>
                <w:rFonts w:ascii="仿宋_GB2312" w:hAnsi="仿宋_GB2312" w:cs="仿宋_GB2312" w:eastAsia="仿宋_GB2312"/>
                <w:sz w:val="24"/>
              </w:rPr>
              <w:t>71.显示屏位深≥8位</w:t>
            </w:r>
          </w:p>
          <w:p>
            <w:pPr>
              <w:pStyle w:val="null3"/>
              <w:jc w:val="both"/>
            </w:pPr>
            <w:r>
              <w:rPr>
                <w:rFonts w:ascii="仿宋_GB2312" w:hAnsi="仿宋_GB2312" w:cs="仿宋_GB2312" w:eastAsia="仿宋_GB2312"/>
                <w:sz w:val="24"/>
              </w:rPr>
              <w:t>72.显示屏色域≥99% sRGB</w:t>
            </w:r>
          </w:p>
          <w:p>
            <w:pPr>
              <w:pStyle w:val="null3"/>
              <w:jc w:val="both"/>
            </w:pPr>
            <w:r>
              <w:rPr>
                <w:rFonts w:ascii="仿宋_GB2312" w:hAnsi="仿宋_GB2312" w:cs="仿宋_GB2312" w:eastAsia="仿宋_GB2312"/>
                <w:sz w:val="24"/>
              </w:rPr>
              <w:t>73.显示屏色准△E≤3</w:t>
            </w:r>
          </w:p>
          <w:p>
            <w:pPr>
              <w:pStyle w:val="null3"/>
              <w:jc w:val="both"/>
            </w:pPr>
            <w:r>
              <w:rPr>
                <w:rFonts w:ascii="仿宋_GB2312" w:hAnsi="仿宋_GB2312" w:cs="仿宋_GB2312" w:eastAsia="仿宋_GB2312"/>
                <w:sz w:val="24"/>
              </w:rPr>
              <w:t>74.显示屏响应时间≤8ms</w:t>
            </w:r>
          </w:p>
          <w:p>
            <w:pPr>
              <w:pStyle w:val="null3"/>
              <w:jc w:val="both"/>
            </w:pPr>
            <w:r>
              <w:rPr>
                <w:rFonts w:ascii="仿宋_GB2312" w:hAnsi="仿宋_GB2312" w:cs="仿宋_GB2312" w:eastAsia="仿宋_GB2312"/>
                <w:sz w:val="24"/>
              </w:rPr>
              <w:t>75.显示屏亮度≥250尼特</w:t>
            </w:r>
          </w:p>
          <w:p>
            <w:pPr>
              <w:pStyle w:val="null3"/>
              <w:jc w:val="both"/>
            </w:pPr>
            <w:r>
              <w:rPr>
                <w:rFonts w:ascii="仿宋_GB2312" w:hAnsi="仿宋_GB2312" w:cs="仿宋_GB2312" w:eastAsia="仿宋_GB2312"/>
                <w:sz w:val="24"/>
              </w:rPr>
              <w:t>76.显示屏亮度一致性≥70%</w:t>
            </w:r>
          </w:p>
          <w:p>
            <w:pPr>
              <w:pStyle w:val="null3"/>
              <w:jc w:val="both"/>
            </w:pPr>
            <w:r>
              <w:rPr>
                <w:rFonts w:ascii="仿宋_GB2312" w:hAnsi="仿宋_GB2312" w:cs="仿宋_GB2312" w:eastAsia="仿宋_GB2312"/>
                <w:sz w:val="24"/>
              </w:rPr>
              <w:t>77.显示屏对比度≥1000:1</w:t>
            </w:r>
          </w:p>
          <w:p>
            <w:pPr>
              <w:pStyle w:val="null3"/>
              <w:jc w:val="both"/>
            </w:pPr>
            <w:r>
              <w:rPr>
                <w:rFonts w:ascii="仿宋_GB2312" w:hAnsi="仿宋_GB2312" w:cs="仿宋_GB2312" w:eastAsia="仿宋_GB2312"/>
                <w:sz w:val="24"/>
              </w:rPr>
              <w:t>78.显示屏其他参数应符合SJ/T 11292-2016《计算机用液晶显示器通用规范》的相关规定</w:t>
            </w:r>
          </w:p>
          <w:p>
            <w:pPr>
              <w:pStyle w:val="null3"/>
              <w:jc w:val="both"/>
            </w:pPr>
            <w:r>
              <w:rPr>
                <w:rFonts w:ascii="仿宋_GB2312" w:hAnsi="仿宋_GB2312" w:cs="仿宋_GB2312" w:eastAsia="仿宋_GB2312"/>
                <w:sz w:val="24"/>
              </w:rPr>
              <w:t>79.有线网卡速率：最高速率应不低于1000Mbps，应支持10Mbps、100Mbps、1000Mbps速率自适应</w:t>
            </w:r>
          </w:p>
          <w:p>
            <w:pPr>
              <w:pStyle w:val="null3"/>
              <w:jc w:val="both"/>
            </w:pPr>
            <w:r>
              <w:rPr>
                <w:rFonts w:ascii="仿宋_GB2312" w:hAnsi="仿宋_GB2312" w:cs="仿宋_GB2312" w:eastAsia="仿宋_GB2312"/>
                <w:sz w:val="24"/>
                <w:b/>
              </w:rPr>
              <w:t>十二、功能</w:t>
            </w:r>
          </w:p>
          <w:p>
            <w:pPr>
              <w:pStyle w:val="null3"/>
              <w:jc w:val="both"/>
            </w:pPr>
            <w:r>
              <w:rPr>
                <w:rFonts w:ascii="仿宋_GB2312" w:hAnsi="仿宋_GB2312" w:cs="仿宋_GB2312" w:eastAsia="仿宋_GB2312"/>
                <w:sz w:val="24"/>
              </w:rPr>
              <w:t>80.内存扩展接口≥2个（板载内存不涉及）</w:t>
            </w:r>
          </w:p>
          <w:p>
            <w:pPr>
              <w:pStyle w:val="null3"/>
              <w:jc w:val="both"/>
            </w:pPr>
            <w:r>
              <w:rPr>
                <w:rFonts w:ascii="仿宋_GB2312" w:hAnsi="仿宋_GB2312" w:cs="仿宋_GB2312" w:eastAsia="仿宋_GB2312"/>
                <w:sz w:val="24"/>
              </w:rPr>
              <w:t>81.存储扩展接口（板载存储不涉及）≥1个M.2，≥1个SATA接口</w:t>
            </w:r>
          </w:p>
          <w:p>
            <w:pPr>
              <w:pStyle w:val="null3"/>
              <w:jc w:val="both"/>
            </w:pPr>
            <w:r>
              <w:rPr>
                <w:rFonts w:ascii="仿宋_GB2312" w:hAnsi="仿宋_GB2312" w:cs="仿宋_GB2312" w:eastAsia="仿宋_GB2312"/>
                <w:sz w:val="24"/>
              </w:rPr>
              <w:t>82.主板USB瞬间过流保护：支持有瞬间过流保护功能</w:t>
            </w:r>
          </w:p>
          <w:p>
            <w:pPr>
              <w:pStyle w:val="null3"/>
              <w:jc w:val="both"/>
            </w:pPr>
            <w:r>
              <w:rPr>
                <w:rFonts w:ascii="仿宋_GB2312" w:hAnsi="仿宋_GB2312" w:cs="仿宋_GB2312" w:eastAsia="仿宋_GB2312"/>
                <w:sz w:val="24"/>
              </w:rPr>
              <w:t>83.主板防静电保护：支持防静电保护功能</w:t>
            </w:r>
          </w:p>
          <w:p>
            <w:pPr>
              <w:pStyle w:val="null3"/>
              <w:jc w:val="both"/>
            </w:pPr>
            <w:r>
              <w:rPr>
                <w:rFonts w:ascii="仿宋_GB2312" w:hAnsi="仿宋_GB2312" w:cs="仿宋_GB2312" w:eastAsia="仿宋_GB2312"/>
                <w:sz w:val="24"/>
              </w:rPr>
              <w:t>84.I/O接口功能：提供基于标准USB接口外设连接功能、基于音频输入输出接口的音频扩展功能、基于PCIe接口板卡扩展功能、基于HDMI或VGA或Type-C或DVI或DP接口外接显示器扩展功能、基于存储接口对产品进行增容功能等。产品I/O接口，应具备外接标准USB设备、显示器、音频设备等内外部设备能力</w:t>
            </w:r>
          </w:p>
          <w:p>
            <w:pPr>
              <w:pStyle w:val="null3"/>
              <w:jc w:val="both"/>
            </w:pPr>
            <w:r>
              <w:rPr>
                <w:rFonts w:ascii="仿宋_GB2312" w:hAnsi="仿宋_GB2312" w:cs="仿宋_GB2312" w:eastAsia="仿宋_GB2312"/>
                <w:sz w:val="24"/>
              </w:rPr>
              <w:t>85.显卡外接显示接口：显卡至少支持VGA、HDMI、DP、Type-C中1种显示接口，并与显示器接口相匹配</w:t>
            </w:r>
          </w:p>
          <w:p>
            <w:pPr>
              <w:pStyle w:val="null3"/>
              <w:jc w:val="both"/>
            </w:pPr>
            <w:r>
              <w:rPr>
                <w:rFonts w:ascii="仿宋_GB2312" w:hAnsi="仿宋_GB2312" w:cs="仿宋_GB2312" w:eastAsia="仿宋_GB2312"/>
                <w:sz w:val="24"/>
              </w:rPr>
              <w:t>86.显示器接口：VGA接口≥1，HDMI接口≥1</w:t>
            </w:r>
          </w:p>
          <w:p>
            <w:pPr>
              <w:pStyle w:val="null3"/>
              <w:jc w:val="both"/>
            </w:pPr>
            <w:r>
              <w:rPr>
                <w:rFonts w:ascii="仿宋_GB2312" w:hAnsi="仿宋_GB2312" w:cs="仿宋_GB2312" w:eastAsia="仿宋_GB2312"/>
                <w:sz w:val="24"/>
              </w:rPr>
              <w:t>87.显示器支架：显示器应提供显示器支架</w:t>
            </w:r>
          </w:p>
          <w:p>
            <w:pPr>
              <w:pStyle w:val="null3"/>
              <w:jc w:val="both"/>
            </w:pPr>
            <w:r>
              <w:rPr>
                <w:rFonts w:ascii="仿宋_GB2312" w:hAnsi="仿宋_GB2312" w:cs="仿宋_GB2312" w:eastAsia="仿宋_GB2312"/>
                <w:sz w:val="24"/>
              </w:rPr>
              <w:t>88.显示器参数调节：a）提供OSD选单按钮用于调节色彩、模式等；b）支持色温、亮度、对比度调节</w:t>
            </w:r>
          </w:p>
          <w:p>
            <w:pPr>
              <w:pStyle w:val="null3"/>
              <w:jc w:val="both"/>
            </w:pPr>
            <w:r>
              <w:rPr>
                <w:rFonts w:ascii="仿宋_GB2312" w:hAnsi="仿宋_GB2312" w:cs="仿宋_GB2312" w:eastAsia="仿宋_GB2312"/>
                <w:sz w:val="24"/>
              </w:rPr>
              <w:t>89.存储功能：通过SATA固态存储/PCIe固态存储/UFS固态存储/SATA硬磁盘存储部件提供存储功能</w:t>
            </w:r>
          </w:p>
          <w:p>
            <w:pPr>
              <w:pStyle w:val="null3"/>
              <w:jc w:val="both"/>
            </w:pPr>
            <w:r>
              <w:rPr>
                <w:rFonts w:ascii="仿宋_GB2312" w:hAnsi="仿宋_GB2312" w:cs="仿宋_GB2312" w:eastAsia="仿宋_GB2312"/>
                <w:sz w:val="24"/>
              </w:rPr>
              <w:t>90.网络功能：a）支持网络连接、网络开启/关闭功能；b）支持访问网络和数据交换功能</w:t>
            </w:r>
          </w:p>
          <w:p>
            <w:pPr>
              <w:pStyle w:val="null3"/>
              <w:jc w:val="both"/>
            </w:pPr>
            <w:r>
              <w:rPr>
                <w:rFonts w:ascii="仿宋_GB2312" w:hAnsi="仿宋_GB2312" w:cs="仿宋_GB2312" w:eastAsia="仿宋_GB2312"/>
                <w:sz w:val="24"/>
              </w:rPr>
              <w:t>91.数据传输：支持数据传输能力，并提供数据流量和异常日志记录功能</w:t>
            </w:r>
          </w:p>
          <w:p>
            <w:pPr>
              <w:pStyle w:val="null3"/>
              <w:jc w:val="both"/>
            </w:pPr>
            <w:r>
              <w:rPr>
                <w:rFonts w:ascii="仿宋_GB2312" w:hAnsi="仿宋_GB2312" w:cs="仿宋_GB2312" w:eastAsia="仿宋_GB2312"/>
                <w:sz w:val="24"/>
              </w:rPr>
              <w:t>92.有线网卡接口类型：支持RJ45接口</w:t>
            </w:r>
          </w:p>
          <w:p>
            <w:pPr>
              <w:pStyle w:val="null3"/>
              <w:jc w:val="both"/>
            </w:pPr>
            <w:r>
              <w:rPr>
                <w:rFonts w:ascii="仿宋_GB2312" w:hAnsi="仿宋_GB2312" w:cs="仿宋_GB2312" w:eastAsia="仿宋_GB2312"/>
                <w:sz w:val="24"/>
              </w:rPr>
              <w:t>93.网络设备拆装：网络设备支持物理拆装，包括无线网卡和蓝牙模块</w:t>
            </w:r>
          </w:p>
          <w:p>
            <w:pPr>
              <w:pStyle w:val="null3"/>
              <w:jc w:val="both"/>
            </w:pPr>
            <w:r>
              <w:rPr>
                <w:rFonts w:ascii="仿宋_GB2312" w:hAnsi="仿宋_GB2312" w:cs="仿宋_GB2312" w:eastAsia="仿宋_GB2312"/>
                <w:sz w:val="24"/>
              </w:rPr>
              <w:t>94.音频接口类型：支持3.5mm孔径3段式或4段式接口</w:t>
            </w:r>
          </w:p>
          <w:p>
            <w:pPr>
              <w:pStyle w:val="null3"/>
              <w:jc w:val="both"/>
            </w:pPr>
            <w:r>
              <w:rPr>
                <w:rFonts w:ascii="仿宋_GB2312" w:hAnsi="仿宋_GB2312" w:cs="仿宋_GB2312" w:eastAsia="仿宋_GB2312"/>
                <w:sz w:val="24"/>
              </w:rPr>
              <w:t>95.视频接口类型：至少支持VGA、HDMI、DP、Type-C中2种显示接口</w:t>
            </w:r>
          </w:p>
          <w:p>
            <w:pPr>
              <w:pStyle w:val="null3"/>
              <w:jc w:val="both"/>
            </w:pPr>
            <w:r>
              <w:rPr>
                <w:rFonts w:ascii="仿宋_GB2312" w:hAnsi="仿宋_GB2312" w:cs="仿宋_GB2312" w:eastAsia="仿宋_GB2312"/>
                <w:sz w:val="24"/>
              </w:rPr>
              <w:t>96.HDMI、DP、Type-C显示接口要求：若提供HDMI或DP或Type-C作为显示接口，应支持音频和视频同步输出</w:t>
            </w:r>
          </w:p>
          <w:p>
            <w:pPr>
              <w:pStyle w:val="null3"/>
              <w:jc w:val="both"/>
            </w:pPr>
            <w:r>
              <w:rPr>
                <w:rFonts w:ascii="仿宋_GB2312" w:hAnsi="仿宋_GB2312" w:cs="仿宋_GB2312" w:eastAsia="仿宋_GB2312"/>
                <w:sz w:val="24"/>
              </w:rPr>
              <w:t>97.电源线适配能力：电源适配器电线组件应符合GB/T 15934-2024《电器附件 电线组件和互连电线组件》的要求，可拆线的插头和连接器可以不做要求</w:t>
            </w:r>
          </w:p>
          <w:p>
            <w:pPr>
              <w:pStyle w:val="null3"/>
              <w:jc w:val="both"/>
            </w:pPr>
            <w:r>
              <w:rPr>
                <w:rFonts w:ascii="仿宋_GB2312" w:hAnsi="仿宋_GB2312" w:cs="仿宋_GB2312" w:eastAsia="仿宋_GB2312"/>
                <w:sz w:val="24"/>
              </w:rPr>
              <w:t>98.中文信息处理要求：符合GB 18030-2022《信息技术 中文编码字符集》的相关规定</w:t>
            </w:r>
          </w:p>
          <w:p>
            <w:pPr>
              <w:pStyle w:val="null3"/>
              <w:jc w:val="both"/>
            </w:pPr>
            <w:r>
              <w:rPr>
                <w:rFonts w:ascii="仿宋_GB2312" w:hAnsi="仿宋_GB2312" w:cs="仿宋_GB2312" w:eastAsia="仿宋_GB2312"/>
                <w:sz w:val="24"/>
              </w:rPr>
              <w:t>99.操作系统备份及还原功能：支持操作系统备份及还原功能</w:t>
            </w:r>
          </w:p>
          <w:p>
            <w:pPr>
              <w:pStyle w:val="null3"/>
              <w:jc w:val="both"/>
            </w:pPr>
            <w:r>
              <w:rPr>
                <w:rFonts w:ascii="仿宋_GB2312" w:hAnsi="仿宋_GB2312" w:cs="仿宋_GB2312" w:eastAsia="仿宋_GB2312"/>
                <w:sz w:val="24"/>
              </w:rPr>
              <w:t>100.固件备份还原能力：支持备份及还原固件的功能</w:t>
            </w:r>
          </w:p>
          <w:p>
            <w:pPr>
              <w:pStyle w:val="null3"/>
              <w:jc w:val="both"/>
            </w:pPr>
            <w:r>
              <w:rPr>
                <w:rFonts w:ascii="仿宋_GB2312" w:hAnsi="仿宋_GB2312" w:cs="仿宋_GB2312" w:eastAsia="仿宋_GB2312"/>
                <w:sz w:val="24"/>
              </w:rPr>
              <w:t>101.操作系统及驱动升级：支持通过网络、闪存盘等方式对操作系统、驱动进行升级</w:t>
            </w:r>
          </w:p>
          <w:p>
            <w:pPr>
              <w:pStyle w:val="null3"/>
              <w:jc w:val="both"/>
            </w:pPr>
            <w:r>
              <w:rPr>
                <w:rFonts w:ascii="仿宋_GB2312" w:hAnsi="仿宋_GB2312" w:cs="仿宋_GB2312" w:eastAsia="仿宋_GB2312"/>
                <w:sz w:val="24"/>
              </w:rPr>
              <w:t>102.固件升级：支持通过网络、闪存盘等方式对固件进行升级</w:t>
            </w:r>
          </w:p>
          <w:p>
            <w:pPr>
              <w:pStyle w:val="null3"/>
              <w:jc w:val="both"/>
            </w:pPr>
            <w:r>
              <w:rPr>
                <w:rFonts w:ascii="仿宋_GB2312" w:hAnsi="仿宋_GB2312" w:cs="仿宋_GB2312" w:eastAsia="仿宋_GB2312"/>
                <w:sz w:val="24"/>
              </w:rPr>
              <w:t>103.BIOS支持关闭通讯接口：支持BIOS关闭以太网及USB接口</w:t>
            </w:r>
          </w:p>
          <w:p>
            <w:pPr>
              <w:pStyle w:val="null3"/>
              <w:jc w:val="both"/>
            </w:pPr>
            <w:r>
              <w:rPr>
                <w:rFonts w:ascii="仿宋_GB2312" w:hAnsi="仿宋_GB2312" w:cs="仿宋_GB2312" w:eastAsia="仿宋_GB2312"/>
                <w:sz w:val="24"/>
              </w:rPr>
              <w:t>104.固件查看信息：支持查看固件版本、内存信息、主板信息、处理器信息和系统时间信息等功能</w:t>
            </w:r>
          </w:p>
          <w:p>
            <w:pPr>
              <w:pStyle w:val="null3"/>
              <w:jc w:val="both"/>
            </w:pPr>
            <w:r>
              <w:rPr>
                <w:rFonts w:ascii="仿宋_GB2312" w:hAnsi="仿宋_GB2312" w:cs="仿宋_GB2312" w:eastAsia="仿宋_GB2312"/>
                <w:sz w:val="24"/>
              </w:rPr>
              <w:t>105.固件设置启动顺序：支持设置启动顺序功能，并按照设置的启动顺序启动</w:t>
            </w:r>
          </w:p>
          <w:p>
            <w:pPr>
              <w:pStyle w:val="null3"/>
              <w:jc w:val="both"/>
            </w:pPr>
            <w:r>
              <w:rPr>
                <w:rFonts w:ascii="仿宋_GB2312" w:hAnsi="仿宋_GB2312" w:cs="仿宋_GB2312" w:eastAsia="仿宋_GB2312"/>
                <w:sz w:val="24"/>
              </w:rPr>
              <w:t>106.固件设置口令：支持设置口令、修改口令、验证口令功能</w:t>
            </w:r>
          </w:p>
          <w:p>
            <w:pPr>
              <w:pStyle w:val="null3"/>
              <w:jc w:val="both"/>
            </w:pPr>
            <w:r>
              <w:rPr>
                <w:rFonts w:ascii="仿宋_GB2312" w:hAnsi="仿宋_GB2312" w:cs="仿宋_GB2312" w:eastAsia="仿宋_GB2312"/>
                <w:sz w:val="24"/>
              </w:rPr>
              <w:t>107.固件设置网络引导：支持网络引导启动和关闭功能</w:t>
            </w:r>
          </w:p>
          <w:p>
            <w:pPr>
              <w:pStyle w:val="null3"/>
              <w:jc w:val="both"/>
            </w:pPr>
            <w:r>
              <w:rPr>
                <w:rFonts w:ascii="仿宋_GB2312" w:hAnsi="仿宋_GB2312" w:cs="仿宋_GB2312" w:eastAsia="仿宋_GB2312"/>
                <w:sz w:val="24"/>
              </w:rPr>
              <w:t>108.视频编解码加速模块：支持视频编解码加速模块</w:t>
            </w:r>
          </w:p>
          <w:p>
            <w:pPr>
              <w:pStyle w:val="null3"/>
              <w:jc w:val="both"/>
            </w:pPr>
            <w:r>
              <w:rPr>
                <w:rFonts w:ascii="仿宋_GB2312" w:hAnsi="仿宋_GB2312" w:cs="仿宋_GB2312" w:eastAsia="仿宋_GB2312"/>
                <w:sz w:val="24"/>
              </w:rPr>
              <w:t>109.影像处理加速模块：支持影像处理加速模块</w:t>
            </w:r>
          </w:p>
          <w:p>
            <w:pPr>
              <w:pStyle w:val="null3"/>
              <w:jc w:val="both"/>
            </w:pPr>
            <w:r>
              <w:rPr>
                <w:rFonts w:ascii="仿宋_GB2312" w:hAnsi="仿宋_GB2312" w:cs="仿宋_GB2312" w:eastAsia="仿宋_GB2312"/>
                <w:sz w:val="24"/>
                <w:b/>
              </w:rPr>
              <w:t>十三、可靠性</w:t>
            </w:r>
          </w:p>
          <w:p>
            <w:pPr>
              <w:pStyle w:val="null3"/>
              <w:jc w:val="both"/>
            </w:pPr>
            <w:r>
              <w:rPr>
                <w:rFonts w:ascii="仿宋_GB2312" w:hAnsi="仿宋_GB2312" w:cs="仿宋_GB2312" w:eastAsia="仿宋_GB2312"/>
                <w:sz w:val="24"/>
              </w:rPr>
              <w:t>110.固态存储寿命TBW≥80TB（条件：240GB硬盘容量）</w:t>
            </w:r>
          </w:p>
          <w:p>
            <w:pPr>
              <w:pStyle w:val="null3"/>
              <w:jc w:val="both"/>
            </w:pPr>
            <w:r>
              <w:rPr>
                <w:rFonts w:ascii="仿宋_GB2312" w:hAnsi="仿宋_GB2312" w:cs="仿宋_GB2312" w:eastAsia="仿宋_GB2312"/>
                <w:sz w:val="24"/>
              </w:rPr>
              <w:t>111.机械硬盘寿命：通电时间≥5万小时</w:t>
            </w:r>
          </w:p>
          <w:p>
            <w:pPr>
              <w:pStyle w:val="null3"/>
              <w:jc w:val="both"/>
            </w:pPr>
            <w:r>
              <w:rPr>
                <w:rFonts w:ascii="仿宋_GB2312" w:hAnsi="仿宋_GB2312" w:cs="仿宋_GB2312" w:eastAsia="仿宋_GB2312"/>
                <w:sz w:val="24"/>
              </w:rPr>
              <w:t>112.显示屏屏幕失效点：符合GB/T 9813.2-2016《计算机通用规范 第2部分：便携式微型计算机》的要求</w:t>
            </w:r>
          </w:p>
          <w:p>
            <w:pPr>
              <w:pStyle w:val="null3"/>
              <w:jc w:val="both"/>
            </w:pPr>
            <w:r>
              <w:rPr>
                <w:rFonts w:ascii="仿宋_GB2312" w:hAnsi="仿宋_GB2312" w:cs="仿宋_GB2312" w:eastAsia="仿宋_GB2312"/>
                <w:sz w:val="24"/>
              </w:rPr>
              <w:t>113.键盘按键寿命≥1000万次</w:t>
            </w:r>
          </w:p>
          <w:p>
            <w:pPr>
              <w:pStyle w:val="null3"/>
              <w:jc w:val="both"/>
            </w:pPr>
            <w:r>
              <w:rPr>
                <w:rFonts w:ascii="仿宋_GB2312" w:hAnsi="仿宋_GB2312" w:cs="仿宋_GB2312" w:eastAsia="仿宋_GB2312"/>
                <w:sz w:val="24"/>
              </w:rPr>
              <w:t>114.鼠标按键寿命≥500万次</w:t>
            </w:r>
          </w:p>
          <w:p>
            <w:pPr>
              <w:pStyle w:val="null3"/>
              <w:jc w:val="both"/>
            </w:pPr>
            <w:r>
              <w:rPr>
                <w:rFonts w:ascii="仿宋_GB2312" w:hAnsi="仿宋_GB2312" w:cs="仿宋_GB2312" w:eastAsia="仿宋_GB2312"/>
                <w:sz w:val="24"/>
              </w:rPr>
              <w:t>115.键盘鼠标线材寿命：键盘鼠标所用线材经±60°弯折不低于3000次，功能、外观完好</w:t>
            </w:r>
          </w:p>
          <w:p>
            <w:pPr>
              <w:pStyle w:val="null3"/>
              <w:jc w:val="both"/>
            </w:pPr>
            <w:r>
              <w:rPr>
                <w:rFonts w:ascii="仿宋_GB2312" w:hAnsi="仿宋_GB2312" w:cs="仿宋_GB2312" w:eastAsia="仿宋_GB2312"/>
                <w:sz w:val="24"/>
              </w:rPr>
              <w:t>116.风扇寿命≥4万小时</w:t>
            </w:r>
          </w:p>
          <w:p>
            <w:pPr>
              <w:pStyle w:val="null3"/>
              <w:jc w:val="both"/>
            </w:pPr>
            <w:r>
              <w:rPr>
                <w:rFonts w:ascii="仿宋_GB2312" w:hAnsi="仿宋_GB2312" w:cs="仿宋_GB2312" w:eastAsia="仿宋_GB2312"/>
                <w:sz w:val="24"/>
              </w:rPr>
              <w:t>117.电磁兼容性要求的抗扰度：符合GB/T 9254.2-2021《信息技术设备、多媒体设备和接收机 电磁兼容 第2部分：抗扰度要求》的规定</w:t>
            </w:r>
          </w:p>
          <w:p>
            <w:pPr>
              <w:pStyle w:val="null3"/>
              <w:jc w:val="both"/>
            </w:pPr>
            <w:r>
              <w:rPr>
                <w:rFonts w:ascii="仿宋_GB2312" w:hAnsi="仿宋_GB2312" w:cs="仿宋_GB2312" w:eastAsia="仿宋_GB2312"/>
                <w:sz w:val="24"/>
              </w:rPr>
              <w:t>118.环境条件要求的气候环境适应性：符合GB/T 9813.1-2016《计算机通用规范 第1部分：台式微型计算机》中规定</w:t>
            </w:r>
          </w:p>
          <w:p>
            <w:pPr>
              <w:pStyle w:val="null3"/>
              <w:jc w:val="both"/>
            </w:pPr>
            <w:r>
              <w:rPr>
                <w:rFonts w:ascii="仿宋_GB2312" w:hAnsi="仿宋_GB2312" w:cs="仿宋_GB2312" w:eastAsia="仿宋_GB2312"/>
                <w:sz w:val="24"/>
              </w:rPr>
              <w:t>119.环境条件要求的振动适应性：符合GB/T 9813.1-2016《计算机通用规范 第1部分：台式微型计算机》中规定</w:t>
            </w:r>
          </w:p>
          <w:p>
            <w:pPr>
              <w:pStyle w:val="null3"/>
              <w:jc w:val="both"/>
            </w:pPr>
            <w:r>
              <w:rPr>
                <w:rFonts w:ascii="仿宋_GB2312" w:hAnsi="仿宋_GB2312" w:cs="仿宋_GB2312" w:eastAsia="仿宋_GB2312"/>
                <w:sz w:val="24"/>
              </w:rPr>
              <w:t>120.环境条件要求的冲击适应性：符合GB/T 9813.1-2016《计算机通用规范 第1部分：台式微型计算机》中规定</w:t>
            </w:r>
          </w:p>
          <w:p>
            <w:pPr>
              <w:pStyle w:val="null3"/>
              <w:jc w:val="both"/>
            </w:pPr>
            <w:r>
              <w:rPr>
                <w:rFonts w:ascii="仿宋_GB2312" w:hAnsi="仿宋_GB2312" w:cs="仿宋_GB2312" w:eastAsia="仿宋_GB2312"/>
                <w:sz w:val="24"/>
              </w:rPr>
              <w:t>121.环境条件要求的碰撞适应性：符合GB/T 9813.1-2016《计算机通用规范 第1部分：台式微型计算机》中规定</w:t>
            </w:r>
          </w:p>
          <w:p>
            <w:pPr>
              <w:pStyle w:val="null3"/>
              <w:jc w:val="both"/>
            </w:pPr>
            <w:r>
              <w:rPr>
                <w:rFonts w:ascii="仿宋_GB2312" w:hAnsi="仿宋_GB2312" w:cs="仿宋_GB2312" w:eastAsia="仿宋_GB2312"/>
                <w:sz w:val="24"/>
              </w:rPr>
              <w:t>122.环境条件要求的运输包装件跌落适应性：符合GB/T 9813.1-2016《计算机通用规范 第1部分：台式微型计算机》中规定</w:t>
            </w:r>
          </w:p>
          <w:p>
            <w:pPr>
              <w:pStyle w:val="null3"/>
              <w:jc w:val="both"/>
            </w:pPr>
            <w:r>
              <w:rPr>
                <w:rFonts w:ascii="仿宋_GB2312" w:hAnsi="仿宋_GB2312" w:cs="仿宋_GB2312" w:eastAsia="仿宋_GB2312"/>
                <w:sz w:val="24"/>
              </w:rPr>
              <w:t>123.MTBF测试：MTBF(m1)≥10万小时</w:t>
            </w:r>
          </w:p>
          <w:p>
            <w:pPr>
              <w:pStyle w:val="null3"/>
              <w:jc w:val="both"/>
            </w:pPr>
            <w:r>
              <w:rPr>
                <w:rFonts w:ascii="仿宋_GB2312" w:hAnsi="仿宋_GB2312" w:cs="仿宋_GB2312" w:eastAsia="仿宋_GB2312"/>
                <w:sz w:val="24"/>
                <w:b/>
              </w:rPr>
              <w:t>十四、兼容性</w:t>
            </w:r>
          </w:p>
          <w:p>
            <w:pPr>
              <w:pStyle w:val="null3"/>
              <w:jc w:val="both"/>
            </w:pPr>
            <w:r>
              <w:rPr>
                <w:rFonts w:ascii="仿宋_GB2312" w:hAnsi="仿宋_GB2312" w:cs="仿宋_GB2312" w:eastAsia="仿宋_GB2312"/>
                <w:sz w:val="24"/>
              </w:rPr>
              <w:t>124.常用软件兼容：应支持流式软件、版式软件、浏览器、邮件客户端、解压软件、多媒体、图形图像处理器等常用软件</w:t>
            </w:r>
          </w:p>
          <w:p>
            <w:pPr>
              <w:pStyle w:val="null3"/>
              <w:jc w:val="both"/>
            </w:pPr>
            <w:r>
              <w:rPr>
                <w:rFonts w:ascii="仿宋_GB2312" w:hAnsi="仿宋_GB2312" w:cs="仿宋_GB2312" w:eastAsia="仿宋_GB2312"/>
                <w:sz w:val="24"/>
              </w:rPr>
              <w:t>125.数据库兼容：兼容3个及以上厂商的数据库产品</w:t>
            </w:r>
          </w:p>
          <w:p>
            <w:pPr>
              <w:pStyle w:val="null3"/>
              <w:jc w:val="both"/>
            </w:pPr>
            <w:r>
              <w:rPr>
                <w:rFonts w:ascii="仿宋_GB2312" w:hAnsi="仿宋_GB2312" w:cs="仿宋_GB2312" w:eastAsia="仿宋_GB2312"/>
                <w:sz w:val="24"/>
              </w:rPr>
              <w:t>126.中间件兼容：兼容3个及以上厂商中间件产品</w:t>
            </w:r>
          </w:p>
          <w:p>
            <w:pPr>
              <w:pStyle w:val="null3"/>
              <w:jc w:val="both"/>
            </w:pPr>
            <w:r>
              <w:rPr>
                <w:rFonts w:ascii="仿宋_GB2312" w:hAnsi="仿宋_GB2312" w:cs="仿宋_GB2312" w:eastAsia="仿宋_GB2312"/>
                <w:sz w:val="24"/>
              </w:rPr>
              <w:t>127.平台软件兼容：兼容3个及以上厂商云计算及大数据平台</w:t>
            </w:r>
          </w:p>
          <w:p>
            <w:pPr>
              <w:pStyle w:val="null3"/>
              <w:jc w:val="both"/>
            </w:pPr>
            <w:r>
              <w:rPr>
                <w:rFonts w:ascii="仿宋_GB2312" w:hAnsi="仿宋_GB2312" w:cs="仿宋_GB2312" w:eastAsia="仿宋_GB2312"/>
                <w:sz w:val="24"/>
                <w:b/>
              </w:rPr>
              <w:t>十五、包装运输</w:t>
            </w:r>
          </w:p>
          <w:p>
            <w:pPr>
              <w:pStyle w:val="null3"/>
              <w:jc w:val="both"/>
            </w:pPr>
            <w:r>
              <w:rPr>
                <w:rFonts w:ascii="仿宋_GB2312" w:hAnsi="仿宋_GB2312" w:cs="仿宋_GB2312" w:eastAsia="仿宋_GB2312"/>
                <w:sz w:val="24"/>
              </w:rPr>
              <w:t>128.标志、包装、运输和贮存：符合GB/T 9813.1-2016《计算机通用规范 第1部分：台式微型计算机》和商品包装政府采购需求标准的相关规定</w:t>
            </w:r>
          </w:p>
          <w:p>
            <w:pPr>
              <w:pStyle w:val="null3"/>
              <w:jc w:val="both"/>
            </w:pPr>
            <w:r>
              <w:rPr>
                <w:rFonts w:ascii="仿宋_GB2312" w:hAnsi="仿宋_GB2312" w:cs="仿宋_GB2312" w:eastAsia="仿宋_GB2312"/>
                <w:sz w:val="24"/>
                <w:b/>
              </w:rPr>
              <w:t>十六、服务</w:t>
            </w:r>
          </w:p>
          <w:p>
            <w:pPr>
              <w:pStyle w:val="null3"/>
              <w:jc w:val="both"/>
            </w:pPr>
            <w:r>
              <w:rPr>
                <w:rFonts w:ascii="仿宋_GB2312" w:hAnsi="仿宋_GB2312" w:cs="仿宋_GB2312" w:eastAsia="仿宋_GB2312"/>
                <w:sz w:val="24"/>
              </w:rPr>
              <w:t>129.配置检查工具：供应商提供自检测试工具</w:t>
            </w:r>
          </w:p>
          <w:p>
            <w:pPr>
              <w:pStyle w:val="null3"/>
              <w:jc w:val="both"/>
            </w:pPr>
            <w:r>
              <w:rPr>
                <w:rFonts w:ascii="仿宋_GB2312" w:hAnsi="仿宋_GB2312" w:cs="仿宋_GB2312" w:eastAsia="仿宋_GB2312"/>
                <w:sz w:val="24"/>
              </w:rPr>
              <w:t>130服务响应：a）供应商提供电话、电子邮件、远程连接等多种形式服务；b）供应商提供同城4h、异地12h技术响应服务，2个工作日内解决问题，对于未能解决的问题和故障应提供可行的升级方案，并提供周转设备或更换设备；c）建立全国技术服务体系和服务团体，符合专业服务体系标准要求，提供原厂中文服务；d）在服务周期内提供产品的维修、换件和升级服务</w:t>
            </w:r>
          </w:p>
          <w:p>
            <w:pPr>
              <w:pStyle w:val="null3"/>
              <w:jc w:val="both"/>
            </w:pPr>
            <w:r>
              <w:rPr>
                <w:rFonts w:ascii="仿宋_GB2312" w:hAnsi="仿宋_GB2312" w:cs="仿宋_GB2312" w:eastAsia="仿宋_GB2312"/>
                <w:sz w:val="24"/>
              </w:rPr>
              <w:t>131.服务周期：a）设备停产后应继续提供质量保障服务（含备品备件），服务终止时间与最后一批设备交付时间间隔不低于6年；b）产品停止服务时间应提前1年告知；c）应明确产品发布日期</w:t>
            </w:r>
          </w:p>
          <w:p>
            <w:pPr>
              <w:pStyle w:val="null3"/>
              <w:jc w:val="both"/>
            </w:pPr>
            <w:r>
              <w:rPr>
                <w:rFonts w:ascii="仿宋_GB2312" w:hAnsi="仿宋_GB2312" w:cs="仿宋_GB2312" w:eastAsia="仿宋_GB2312"/>
                <w:sz w:val="24"/>
              </w:rPr>
              <w:t>132.预装操作系统：预装正版操作系统，费用包含在此次报价内。预装的操作系统符合《操作系统政府采购需求标准》（财库〔2023〕29号）中加*指标要求</w:t>
            </w:r>
          </w:p>
          <w:p>
            <w:pPr>
              <w:pStyle w:val="null3"/>
              <w:jc w:val="both"/>
            </w:pPr>
            <w:r>
              <w:rPr>
                <w:rFonts w:ascii="仿宋_GB2312" w:hAnsi="仿宋_GB2312" w:cs="仿宋_GB2312" w:eastAsia="仿宋_GB2312"/>
                <w:sz w:val="24"/>
              </w:rPr>
              <w:t>133.培训服务：供应商提供培训材料、产品手册、培训视频等培训相关内容</w:t>
            </w:r>
          </w:p>
          <w:p>
            <w:pPr>
              <w:pStyle w:val="null3"/>
              <w:jc w:val="both"/>
            </w:pPr>
            <w:r>
              <w:rPr>
                <w:rFonts w:ascii="仿宋_GB2312" w:hAnsi="仿宋_GB2312" w:cs="仿宋_GB2312" w:eastAsia="仿宋_GB2312"/>
                <w:sz w:val="24"/>
              </w:rPr>
              <w:t>134.典型问题解决手册：供应商提供典型问题解决说明文档或视频</w:t>
            </w:r>
          </w:p>
          <w:p>
            <w:pPr>
              <w:pStyle w:val="null3"/>
              <w:jc w:val="both"/>
            </w:pPr>
            <w:r>
              <w:rPr>
                <w:rFonts w:ascii="仿宋_GB2312" w:hAnsi="仿宋_GB2312" w:cs="仿宋_GB2312" w:eastAsia="仿宋_GB2312"/>
                <w:sz w:val="24"/>
              </w:rPr>
              <w:t>135.厂家升级软件与扩容服务：供应商提供上门升级部件/软件与扩容的增值服务</w:t>
            </w:r>
          </w:p>
          <w:p>
            <w:pPr>
              <w:pStyle w:val="null3"/>
              <w:jc w:val="both"/>
            </w:pPr>
            <w:r>
              <w:rPr>
                <w:rFonts w:ascii="仿宋_GB2312" w:hAnsi="仿宋_GB2312" w:cs="仿宋_GB2312" w:eastAsia="仿宋_GB2312"/>
                <w:sz w:val="24"/>
              </w:rPr>
              <w:t>136.整机质量服务要求：免费服务周期（含换件和维修）应不小于3年</w:t>
            </w:r>
          </w:p>
          <w:p>
            <w:pPr>
              <w:pStyle w:val="null3"/>
              <w:jc w:val="both"/>
            </w:pPr>
            <w:r>
              <w:rPr>
                <w:rFonts w:ascii="仿宋_GB2312" w:hAnsi="仿宋_GB2312" w:cs="仿宋_GB2312" w:eastAsia="仿宋_GB2312"/>
                <w:sz w:val="24"/>
              </w:rPr>
              <w:t>137.合格证书要求：供应商提供产品合格证</w:t>
            </w:r>
          </w:p>
          <w:p>
            <w:pPr>
              <w:pStyle w:val="null3"/>
              <w:jc w:val="both"/>
            </w:pPr>
            <w:r>
              <w:rPr>
                <w:rFonts w:ascii="仿宋_GB2312" w:hAnsi="仿宋_GB2312" w:cs="仿宋_GB2312" w:eastAsia="仿宋_GB2312"/>
                <w:sz w:val="24"/>
              </w:rPr>
              <w:t>138.开箱组装/使用指导要求：供应商提供开箱组装/使用指导</w:t>
            </w:r>
          </w:p>
          <w:p>
            <w:pPr>
              <w:pStyle w:val="null3"/>
              <w:jc w:val="both"/>
            </w:pPr>
            <w:r>
              <w:rPr>
                <w:rFonts w:ascii="仿宋_GB2312" w:hAnsi="仿宋_GB2312" w:cs="仿宋_GB2312" w:eastAsia="仿宋_GB2312"/>
                <w:sz w:val="24"/>
              </w:rPr>
              <w:t>139.驱动下载服务要求：供应商提供驱动光盘或下载方式</w:t>
            </w:r>
          </w:p>
          <w:p>
            <w:pPr>
              <w:pStyle w:val="null3"/>
              <w:jc w:val="both"/>
            </w:pPr>
            <w:r>
              <w:rPr>
                <w:rFonts w:ascii="仿宋_GB2312" w:hAnsi="仿宋_GB2312" w:cs="仿宋_GB2312" w:eastAsia="仿宋_GB2312"/>
                <w:sz w:val="24"/>
              </w:rPr>
              <w:t>140.兼容适配软件下载服务要求：供应商提供兼容适配软件下载渠道（光盘、网站）</w:t>
            </w:r>
          </w:p>
          <w:p>
            <w:pPr>
              <w:pStyle w:val="null3"/>
              <w:jc w:val="both"/>
            </w:pPr>
            <w:r>
              <w:rPr>
                <w:rFonts w:ascii="仿宋_GB2312" w:hAnsi="仿宋_GB2312" w:cs="仿宋_GB2312" w:eastAsia="仿宋_GB2312"/>
                <w:sz w:val="24"/>
              </w:rPr>
              <w:t>141.跨架构平台应用兼容：供应商提供跨架构平台的应用兼容工具，支持2种及以上不同架构平台的应用</w:t>
            </w:r>
          </w:p>
          <w:p>
            <w:pPr>
              <w:pStyle w:val="null3"/>
              <w:jc w:val="both"/>
            </w:pPr>
            <w:r>
              <w:rPr>
                <w:rFonts w:ascii="仿宋_GB2312" w:hAnsi="仿宋_GB2312" w:cs="仿宋_GB2312" w:eastAsia="仿宋_GB2312"/>
                <w:sz w:val="24"/>
                <w:b/>
              </w:rPr>
              <w:t>十七、供应链保障</w:t>
            </w:r>
          </w:p>
          <w:p>
            <w:pPr>
              <w:pStyle w:val="null3"/>
              <w:jc w:val="both"/>
            </w:pPr>
            <w:r>
              <w:rPr>
                <w:rFonts w:ascii="仿宋_GB2312" w:hAnsi="仿宋_GB2312" w:cs="仿宋_GB2312" w:eastAsia="仿宋_GB2312"/>
                <w:sz w:val="24"/>
              </w:rPr>
              <w:t>142.产品部件保障：供应商保障产品主要部件，提供6年的备件服务能力（自购买之日起），或提供可兼容原设备的升级换代产品</w:t>
            </w:r>
          </w:p>
          <w:p>
            <w:pPr>
              <w:pStyle w:val="null3"/>
              <w:jc w:val="both"/>
            </w:pPr>
            <w:r>
              <w:rPr>
                <w:rFonts w:ascii="仿宋_GB2312" w:hAnsi="仿宋_GB2312" w:cs="仿宋_GB2312" w:eastAsia="仿宋_GB2312"/>
                <w:sz w:val="24"/>
              </w:rPr>
              <w:t>143.抗干扰性：当产品部件出现供应风险时，供应商应通知采购人并提供风险应对方案确保产品的服务保障</w:t>
            </w:r>
          </w:p>
          <w:p>
            <w:pPr>
              <w:pStyle w:val="null3"/>
              <w:jc w:val="both"/>
            </w:pPr>
            <w:r>
              <w:rPr>
                <w:rFonts w:ascii="仿宋_GB2312" w:hAnsi="仿宋_GB2312" w:cs="仿宋_GB2312" w:eastAsia="仿宋_GB2312"/>
                <w:sz w:val="24"/>
              </w:rPr>
              <w:t>144.供应能力证明：供应商提供供应链稳定承诺书，确保产品的部件在产品服务周期内稳定供货</w:t>
            </w:r>
          </w:p>
          <w:p>
            <w:pPr>
              <w:pStyle w:val="null3"/>
              <w:jc w:val="both"/>
            </w:pPr>
            <w:r>
              <w:rPr>
                <w:rFonts w:ascii="仿宋_GB2312" w:hAnsi="仿宋_GB2312" w:cs="仿宋_GB2312" w:eastAsia="仿宋_GB2312"/>
                <w:sz w:val="24"/>
                <w:b/>
              </w:rPr>
              <w:t>十八、安全</w:t>
            </w:r>
          </w:p>
          <w:p>
            <w:pPr>
              <w:pStyle w:val="null3"/>
              <w:jc w:val="both"/>
            </w:pPr>
            <w:r>
              <w:rPr>
                <w:rFonts w:ascii="仿宋_GB2312" w:hAnsi="仿宋_GB2312" w:cs="仿宋_GB2312" w:eastAsia="仿宋_GB2312"/>
                <w:sz w:val="24"/>
              </w:rPr>
              <w:t>145.关键部件安全要求：CPU和操作系统等关键部件应当通过安全可靠测评，纳入安全可靠测评结果目录</w:t>
            </w:r>
          </w:p>
          <w:p>
            <w:pPr>
              <w:pStyle w:val="null3"/>
              <w:jc w:val="both"/>
            </w:pPr>
            <w:r>
              <w:rPr>
                <w:rFonts w:ascii="仿宋_GB2312" w:hAnsi="仿宋_GB2312" w:cs="仿宋_GB2312" w:eastAsia="仿宋_GB2312"/>
                <w:sz w:val="24"/>
              </w:rPr>
              <w:t>146.密码算法实现：CPU芯片应符合GM/T 0008-2012《安全芯片密码检测准则》的相关规定，或芯片密码模块应符合GB/T 37092-2018《信息安全技术 密码模块安全要求》或GM/T 0028-2024《密码模块安全技术要求》的相关规定</w:t>
            </w:r>
          </w:p>
          <w:p>
            <w:pPr>
              <w:pStyle w:val="null3"/>
              <w:jc w:val="both"/>
            </w:pPr>
            <w:r>
              <w:rPr>
                <w:rFonts w:ascii="仿宋_GB2312" w:hAnsi="仿宋_GB2312" w:cs="仿宋_GB2312" w:eastAsia="仿宋_GB2312"/>
                <w:sz w:val="24"/>
              </w:rPr>
              <w:t>147.USB端口管控：支持USB端口管控</w:t>
            </w:r>
          </w:p>
          <w:p>
            <w:pPr>
              <w:pStyle w:val="null3"/>
              <w:jc w:val="both"/>
            </w:pPr>
            <w:r>
              <w:rPr>
                <w:rFonts w:ascii="仿宋_GB2312" w:hAnsi="仿宋_GB2312" w:cs="仿宋_GB2312" w:eastAsia="仿宋_GB2312"/>
                <w:sz w:val="24"/>
              </w:rPr>
              <w:t>148.安全物理锁：支持安全物理锁</w:t>
            </w:r>
          </w:p>
          <w:p>
            <w:pPr>
              <w:pStyle w:val="null3"/>
              <w:jc w:val="both"/>
            </w:pPr>
            <w:r>
              <w:rPr>
                <w:rFonts w:ascii="仿宋_GB2312" w:hAnsi="仿宋_GB2312" w:cs="仿宋_GB2312" w:eastAsia="仿宋_GB2312"/>
                <w:sz w:val="24"/>
              </w:rPr>
              <w:t>149.信息安全基本要求：a）产品应符合GB/T 39276-2020《信息安全技术 网络产品和服务安全通用要求》的5.2的规定；b）生产厂商应建立漏洞跟踪表，保证产品版本涉及到的漏洞（如驱动程序）可查看；c）产品不得包含已知的恶意代码或漏洞，不存在未声明的指令、功能、接口</w:t>
            </w:r>
          </w:p>
          <w:p>
            <w:pPr>
              <w:pStyle w:val="null3"/>
              <w:jc w:val="both"/>
            </w:pPr>
            <w:r>
              <w:rPr>
                <w:rFonts w:ascii="仿宋_GB2312" w:hAnsi="仿宋_GB2312" w:cs="仿宋_GB2312" w:eastAsia="仿宋_GB2312"/>
                <w:sz w:val="24"/>
              </w:rPr>
              <w:t>150.固件安全启动：支持固件安全启动功能，固件启动过程中只有通过启动校验才能正常启动</w:t>
            </w:r>
          </w:p>
          <w:p>
            <w:pPr>
              <w:pStyle w:val="null3"/>
              <w:jc w:val="both"/>
            </w:pPr>
            <w:r>
              <w:rPr>
                <w:rFonts w:ascii="仿宋_GB2312" w:hAnsi="仿宋_GB2312" w:cs="仿宋_GB2312" w:eastAsia="仿宋_GB2312"/>
                <w:sz w:val="24"/>
              </w:rPr>
              <w:t>151.限用物质的限量要求：符合GB/T 26572-2011《电子电气产品中限用物质的限量要求》中规定</w:t>
            </w:r>
          </w:p>
          <w:p>
            <w:pPr>
              <w:pStyle w:val="null3"/>
              <w:jc w:val="both"/>
            </w:pPr>
            <w:r>
              <w:rPr>
                <w:rFonts w:ascii="仿宋_GB2312" w:hAnsi="仿宋_GB2312" w:cs="仿宋_GB2312" w:eastAsia="仿宋_GB2312"/>
                <w:sz w:val="24"/>
                <w:b/>
              </w:rPr>
              <w:t>十九、其他要求</w:t>
            </w:r>
          </w:p>
          <w:p>
            <w:pPr>
              <w:pStyle w:val="null3"/>
              <w:jc w:val="left"/>
            </w:pPr>
            <w:r>
              <w:rPr>
                <w:rFonts w:ascii="仿宋_GB2312" w:hAnsi="仿宋_GB2312" w:cs="仿宋_GB2312" w:eastAsia="仿宋_GB2312"/>
                <w:sz w:val="24"/>
              </w:rPr>
              <w:t>152.</w:t>
            </w:r>
            <w:r>
              <w:rPr>
                <w:rFonts w:ascii="仿宋_GB2312" w:hAnsi="仿宋_GB2312" w:cs="仿宋_GB2312" w:eastAsia="仿宋_GB2312"/>
                <w:sz w:val="24"/>
              </w:rPr>
              <w:t>除以上技术参数与性能指标外，供应商所响应产品还应满足《财政部工业和信息化部关于印发</w:t>
            </w:r>
            <w:r>
              <w:rPr>
                <w:rFonts w:ascii="仿宋_GB2312" w:hAnsi="仿宋_GB2312" w:cs="仿宋_GB2312" w:eastAsia="仿宋_GB2312"/>
                <w:sz w:val="24"/>
              </w:rPr>
              <w:t>&lt;台式计算机政府采购需求标准（2023 年版）&gt;的通知》(财库〔2023〕29 号)的附件“台式计算机政府采购需求标准（2023 年版）”中其他加*指标的要求。</w:t>
            </w:r>
          </w:p>
        </w:tc>
      </w:tr>
    </w:tbl>
    <w:p>
      <w:pPr>
        <w:pStyle w:val="null3"/>
        <w:jc w:val="left"/>
      </w:pPr>
      <w:r>
        <w:rPr>
          <w:rFonts w:ascii="仿宋_GB2312" w:hAnsi="仿宋_GB2312" w:cs="仿宋_GB2312" w:eastAsia="仿宋_GB2312"/>
        </w:rPr>
        <w:t>标的名称：千兆信号控制设备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基本参数</w:t>
            </w:r>
          </w:p>
          <w:p>
            <w:pPr>
              <w:pStyle w:val="null3"/>
              <w:jc w:val="both"/>
            </w:pPr>
            <w:r>
              <w:rPr>
                <w:rFonts w:ascii="仿宋_GB2312" w:hAnsi="仿宋_GB2312" w:cs="仿宋_GB2312" w:eastAsia="仿宋_GB2312"/>
                <w:sz w:val="24"/>
              </w:rPr>
              <w:t>1.5口，上网行为管理路由器，企业级路由器，VPN路由器</w:t>
            </w:r>
          </w:p>
          <w:p>
            <w:pPr>
              <w:pStyle w:val="null3"/>
              <w:jc w:val="both"/>
            </w:pPr>
            <w:r>
              <w:rPr>
                <w:rFonts w:ascii="仿宋_GB2312" w:hAnsi="仿宋_GB2312" w:cs="仿宋_GB2312" w:eastAsia="仿宋_GB2312"/>
                <w:sz w:val="24"/>
              </w:rPr>
              <w:t>2.传输速率10/100/1000Mbps</w:t>
            </w:r>
          </w:p>
          <w:p>
            <w:pPr>
              <w:pStyle w:val="null3"/>
              <w:jc w:val="both"/>
            </w:pPr>
            <w:r>
              <w:rPr>
                <w:rFonts w:ascii="仿宋_GB2312" w:hAnsi="仿宋_GB2312" w:cs="仿宋_GB2312" w:eastAsia="仿宋_GB2312"/>
                <w:sz w:val="24"/>
              </w:rPr>
              <w:t>3.广域网接口1-2个，局域网接口3-4个</w:t>
            </w:r>
          </w:p>
          <w:p>
            <w:pPr>
              <w:pStyle w:val="null3"/>
              <w:jc w:val="both"/>
            </w:pPr>
            <w:r>
              <w:rPr>
                <w:rFonts w:ascii="仿宋_GB2312" w:hAnsi="仿宋_GB2312" w:cs="仿宋_GB2312" w:eastAsia="仿宋_GB2312"/>
                <w:sz w:val="24"/>
              </w:rPr>
              <w:t>4.内存：</w:t>
            </w:r>
            <w:r>
              <w:rPr>
                <w:rFonts w:ascii="仿宋_GB2312" w:hAnsi="仿宋_GB2312" w:cs="仿宋_GB2312" w:eastAsia="仿宋_GB2312"/>
                <w:sz w:val="24"/>
              </w:rPr>
              <w:t>≥</w:t>
            </w:r>
            <w:r>
              <w:rPr>
                <w:rFonts w:ascii="仿宋_GB2312" w:hAnsi="仿宋_GB2312" w:cs="仿宋_GB2312" w:eastAsia="仿宋_GB2312"/>
                <w:sz w:val="24"/>
              </w:rPr>
              <w:t>128MB</w:t>
            </w:r>
          </w:p>
          <w:p>
            <w:pPr>
              <w:pStyle w:val="null3"/>
              <w:jc w:val="both"/>
            </w:pPr>
            <w:r>
              <w:rPr>
                <w:rFonts w:ascii="仿宋_GB2312" w:hAnsi="仿宋_GB2312" w:cs="仿宋_GB2312" w:eastAsia="仿宋_GB2312"/>
                <w:sz w:val="24"/>
              </w:rPr>
              <w:t>5.FLASH：</w:t>
            </w:r>
            <w:r>
              <w:rPr>
                <w:rFonts w:ascii="仿宋_GB2312" w:hAnsi="仿宋_GB2312" w:cs="仿宋_GB2312" w:eastAsia="仿宋_GB2312"/>
                <w:sz w:val="24"/>
              </w:rPr>
              <w:t>≥</w:t>
            </w:r>
            <w:r>
              <w:rPr>
                <w:rFonts w:ascii="仿宋_GB2312" w:hAnsi="仿宋_GB2312" w:cs="仿宋_GB2312" w:eastAsia="仿宋_GB2312"/>
                <w:sz w:val="24"/>
              </w:rPr>
              <w:t>16MB</w:t>
            </w:r>
          </w:p>
          <w:p>
            <w:pPr>
              <w:pStyle w:val="null3"/>
              <w:jc w:val="both"/>
            </w:pPr>
            <w:r>
              <w:rPr>
                <w:rFonts w:ascii="仿宋_GB2312" w:hAnsi="仿宋_GB2312" w:cs="仿宋_GB2312" w:eastAsia="仿宋_GB2312"/>
                <w:sz w:val="24"/>
              </w:rPr>
              <w:t>6.用户数量</w:t>
            </w:r>
            <w:r>
              <w:rPr>
                <w:rFonts w:ascii="仿宋_GB2312" w:hAnsi="仿宋_GB2312" w:cs="仿宋_GB2312" w:eastAsia="仿宋_GB2312"/>
                <w:sz w:val="24"/>
              </w:rPr>
              <w:t>≥</w:t>
            </w:r>
            <w:r>
              <w:rPr>
                <w:rFonts w:ascii="仿宋_GB2312" w:hAnsi="仿宋_GB2312" w:cs="仿宋_GB2312" w:eastAsia="仿宋_GB2312"/>
                <w:sz w:val="24"/>
              </w:rPr>
              <w:t>100台</w:t>
            </w:r>
          </w:p>
          <w:p>
            <w:pPr>
              <w:pStyle w:val="null3"/>
              <w:jc w:val="both"/>
            </w:pPr>
            <w:r>
              <w:rPr>
                <w:rFonts w:ascii="仿宋_GB2312" w:hAnsi="仿宋_GB2312" w:cs="仿宋_GB2312" w:eastAsia="仿宋_GB2312"/>
                <w:sz w:val="24"/>
                <w:b/>
              </w:rPr>
              <w:t>二、架构与性能</w:t>
            </w:r>
          </w:p>
          <w:p>
            <w:pPr>
              <w:pStyle w:val="null3"/>
              <w:jc w:val="both"/>
            </w:pPr>
            <w:r>
              <w:rPr>
                <w:rFonts w:ascii="仿宋_GB2312" w:hAnsi="仿宋_GB2312" w:cs="仿宋_GB2312" w:eastAsia="仿宋_GB2312"/>
                <w:sz w:val="24"/>
              </w:rPr>
              <w:t>7.采用无阻塞交换架构</w:t>
            </w:r>
          </w:p>
          <w:p>
            <w:pPr>
              <w:pStyle w:val="null3"/>
              <w:jc w:val="both"/>
            </w:pPr>
            <w:r>
              <w:rPr>
                <w:rFonts w:ascii="仿宋_GB2312" w:hAnsi="仿宋_GB2312" w:cs="仿宋_GB2312" w:eastAsia="仿宋_GB2312"/>
                <w:sz w:val="24"/>
              </w:rPr>
              <w:t>8.整机高度≤1U</w:t>
            </w:r>
          </w:p>
          <w:p>
            <w:pPr>
              <w:pStyle w:val="null3"/>
              <w:jc w:val="both"/>
            </w:pPr>
            <w:r>
              <w:rPr>
                <w:rFonts w:ascii="仿宋_GB2312" w:hAnsi="仿宋_GB2312" w:cs="仿宋_GB2312" w:eastAsia="仿宋_GB2312"/>
                <w:sz w:val="24"/>
              </w:rPr>
              <w:t>9.带业务转发性能≥1Gbps</w:t>
            </w:r>
          </w:p>
          <w:p>
            <w:pPr>
              <w:pStyle w:val="null3"/>
              <w:jc w:val="both"/>
            </w:pPr>
            <w:r>
              <w:rPr>
                <w:rFonts w:ascii="仿宋_GB2312" w:hAnsi="仿宋_GB2312" w:cs="仿宋_GB2312" w:eastAsia="仿宋_GB2312"/>
                <w:sz w:val="24"/>
                <w:b/>
              </w:rPr>
              <w:t>三、接口</w:t>
            </w:r>
          </w:p>
          <w:p>
            <w:pPr>
              <w:pStyle w:val="null3"/>
              <w:jc w:val="both"/>
            </w:pPr>
            <w:r>
              <w:rPr>
                <w:rFonts w:ascii="仿宋_GB2312" w:hAnsi="仿宋_GB2312" w:cs="仿宋_GB2312" w:eastAsia="仿宋_GB2312"/>
                <w:sz w:val="24"/>
              </w:rPr>
              <w:t>10.固定WAN口：1*10GE光/2.5GE电Combo，2*GE电</w:t>
            </w:r>
          </w:p>
          <w:p>
            <w:pPr>
              <w:pStyle w:val="null3"/>
              <w:jc w:val="both"/>
            </w:pPr>
            <w:r>
              <w:rPr>
                <w:rFonts w:ascii="仿宋_GB2312" w:hAnsi="仿宋_GB2312" w:cs="仿宋_GB2312" w:eastAsia="仿宋_GB2312"/>
                <w:sz w:val="24"/>
              </w:rPr>
              <w:t>11.固定LAN接口：4*GE Combo（全部可切换为WAN口），4*GE电</w:t>
            </w:r>
          </w:p>
          <w:p>
            <w:pPr>
              <w:pStyle w:val="null3"/>
              <w:jc w:val="both"/>
            </w:pPr>
            <w:r>
              <w:rPr>
                <w:rFonts w:ascii="仿宋_GB2312" w:hAnsi="仿宋_GB2312" w:cs="仿宋_GB2312" w:eastAsia="仿宋_GB2312"/>
                <w:sz w:val="24"/>
                <w:b/>
              </w:rPr>
              <w:t>四、网络协议</w:t>
            </w:r>
          </w:p>
          <w:p>
            <w:pPr>
              <w:pStyle w:val="null3"/>
              <w:jc w:val="both"/>
            </w:pPr>
            <w:r>
              <w:rPr>
                <w:rFonts w:ascii="仿宋_GB2312" w:hAnsi="仿宋_GB2312" w:cs="仿宋_GB2312" w:eastAsia="仿宋_GB2312"/>
                <w:sz w:val="24"/>
              </w:rPr>
              <w:t>12.支持DHCP server/client/relay，PPPoE，NAT，子接口管理等</w:t>
            </w:r>
          </w:p>
          <w:p>
            <w:pPr>
              <w:pStyle w:val="null3"/>
              <w:jc w:val="both"/>
            </w:pPr>
            <w:r>
              <w:rPr>
                <w:rFonts w:ascii="仿宋_GB2312" w:hAnsi="仿宋_GB2312" w:cs="仿宋_GB2312" w:eastAsia="仿宋_GB2312"/>
                <w:sz w:val="24"/>
              </w:rPr>
              <w:t>13.支持静态路由，路由策略，RIP，OSPF，BGP，IS-IS</w:t>
            </w:r>
          </w:p>
          <w:p>
            <w:pPr>
              <w:pStyle w:val="null3"/>
              <w:jc w:val="both"/>
            </w:pPr>
            <w:r>
              <w:rPr>
                <w:rFonts w:ascii="仿宋_GB2312" w:hAnsi="仿宋_GB2312" w:cs="仿宋_GB2312" w:eastAsia="仿宋_GB2312"/>
                <w:sz w:val="24"/>
              </w:rPr>
              <w:t>14.支持IPv6 ND，IPv6 PMTU，IPv6 FIB，IPv6 ACL，ICMPv6，DNSv6，DHCPv6</w:t>
            </w:r>
          </w:p>
          <w:p>
            <w:pPr>
              <w:pStyle w:val="null3"/>
              <w:jc w:val="both"/>
            </w:pPr>
            <w:r>
              <w:rPr>
                <w:rFonts w:ascii="仿宋_GB2312" w:hAnsi="仿宋_GB2312" w:cs="仿宋_GB2312" w:eastAsia="仿宋_GB2312"/>
                <w:sz w:val="24"/>
                <w:b/>
              </w:rPr>
              <w:t>五、隧道与安全</w:t>
            </w:r>
          </w:p>
          <w:p>
            <w:pPr>
              <w:pStyle w:val="null3"/>
              <w:jc w:val="both"/>
            </w:pPr>
            <w:r>
              <w:rPr>
                <w:rFonts w:ascii="仿宋_GB2312" w:hAnsi="仿宋_GB2312" w:cs="仿宋_GB2312" w:eastAsia="仿宋_GB2312"/>
                <w:sz w:val="24"/>
              </w:rPr>
              <w:t>15.GRE隧道，IPsec</w:t>
            </w:r>
          </w:p>
          <w:p>
            <w:pPr>
              <w:pStyle w:val="null3"/>
              <w:jc w:val="both"/>
            </w:pPr>
            <w:r>
              <w:rPr>
                <w:rFonts w:ascii="仿宋_GB2312" w:hAnsi="仿宋_GB2312" w:cs="仿宋_GB2312" w:eastAsia="仿宋_GB2312"/>
                <w:sz w:val="24"/>
                <w:b/>
              </w:rPr>
              <w:t>六、组播与</w:t>
            </w:r>
            <w:r>
              <w:rPr>
                <w:rFonts w:ascii="仿宋_GB2312" w:hAnsi="仿宋_GB2312" w:cs="仿宋_GB2312" w:eastAsia="仿宋_GB2312"/>
                <w:sz w:val="24"/>
                <w:b/>
              </w:rPr>
              <w:t>QoS</w:t>
            </w:r>
          </w:p>
          <w:p>
            <w:pPr>
              <w:pStyle w:val="null3"/>
              <w:jc w:val="both"/>
            </w:pPr>
            <w:r>
              <w:rPr>
                <w:rFonts w:ascii="仿宋_GB2312" w:hAnsi="仿宋_GB2312" w:cs="仿宋_GB2312" w:eastAsia="仿宋_GB2312"/>
                <w:sz w:val="24"/>
              </w:rPr>
              <w:t>16.支持IGMP V1/V2/V3，PIM SM，PIM DM，MSDP</w:t>
            </w:r>
          </w:p>
          <w:p>
            <w:pPr>
              <w:pStyle w:val="null3"/>
              <w:jc w:val="left"/>
            </w:pPr>
            <w:r>
              <w:rPr>
                <w:rFonts w:ascii="仿宋_GB2312" w:hAnsi="仿宋_GB2312" w:cs="仿宋_GB2312" w:eastAsia="仿宋_GB2312"/>
                <w:sz w:val="24"/>
              </w:rPr>
              <w:t>17.优先级映射，流量监管（CAR），流量整形，拥塞避免，拥塞管理，MQC（流分类，流行为，流策略），端口三级调度和三级整形</w:t>
            </w:r>
          </w:p>
        </w:tc>
      </w:tr>
    </w:tbl>
    <w:p>
      <w:pPr>
        <w:pStyle w:val="null3"/>
        <w:jc w:val="left"/>
      </w:pPr>
      <w:r>
        <w:rPr>
          <w:rFonts w:ascii="仿宋_GB2312" w:hAnsi="仿宋_GB2312" w:cs="仿宋_GB2312" w:eastAsia="仿宋_GB2312"/>
        </w:rPr>
        <w:t>标的名称：24口交换机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基本参数</w:t>
            </w:r>
          </w:p>
          <w:p>
            <w:pPr>
              <w:pStyle w:val="null3"/>
              <w:jc w:val="both"/>
            </w:pPr>
            <w:r>
              <w:rPr>
                <w:rFonts w:ascii="仿宋_GB2312" w:hAnsi="仿宋_GB2312" w:cs="仿宋_GB2312" w:eastAsia="仿宋_GB2312"/>
                <w:sz w:val="24"/>
              </w:rPr>
              <w:t>1.千兆以太网交换机</w:t>
            </w:r>
          </w:p>
          <w:p>
            <w:pPr>
              <w:pStyle w:val="null3"/>
              <w:jc w:val="both"/>
            </w:pPr>
            <w:r>
              <w:rPr>
                <w:rFonts w:ascii="仿宋_GB2312" w:hAnsi="仿宋_GB2312" w:cs="仿宋_GB2312" w:eastAsia="仿宋_GB2312"/>
                <w:sz w:val="24"/>
              </w:rPr>
              <w:t>2.交换容量≥330Gbps，包转发率≥120Mpps</w:t>
            </w:r>
          </w:p>
          <w:p>
            <w:pPr>
              <w:pStyle w:val="null3"/>
              <w:jc w:val="both"/>
            </w:pPr>
            <w:r>
              <w:rPr>
                <w:rFonts w:ascii="仿宋_GB2312" w:hAnsi="仿宋_GB2312" w:cs="仿宋_GB2312" w:eastAsia="仿宋_GB2312"/>
                <w:sz w:val="24"/>
              </w:rPr>
              <w:t>3.≥24个千兆电口，≥4个千兆光口</w:t>
            </w:r>
          </w:p>
          <w:p>
            <w:pPr>
              <w:pStyle w:val="null3"/>
              <w:jc w:val="both"/>
            </w:pPr>
            <w:r>
              <w:rPr>
                <w:rFonts w:ascii="仿宋_GB2312" w:hAnsi="仿宋_GB2312" w:cs="仿宋_GB2312" w:eastAsia="仿宋_GB2312"/>
                <w:sz w:val="24"/>
              </w:rPr>
              <w:t>4.静音无风扇</w:t>
            </w:r>
          </w:p>
          <w:p>
            <w:pPr>
              <w:pStyle w:val="null3"/>
              <w:jc w:val="both"/>
            </w:pPr>
            <w:r>
              <w:rPr>
                <w:rFonts w:ascii="仿宋_GB2312" w:hAnsi="仿宋_GB2312" w:cs="仿宋_GB2312" w:eastAsia="仿宋_GB2312"/>
                <w:sz w:val="24"/>
                <w:b/>
              </w:rPr>
              <w:t>二、路由与表项</w:t>
            </w:r>
          </w:p>
          <w:p>
            <w:pPr>
              <w:pStyle w:val="null3"/>
              <w:jc w:val="both"/>
            </w:pPr>
            <w:r>
              <w:rPr>
                <w:rFonts w:ascii="仿宋_GB2312" w:hAnsi="仿宋_GB2312" w:cs="仿宋_GB2312" w:eastAsia="仿宋_GB2312"/>
                <w:sz w:val="24"/>
              </w:rPr>
              <w:t>5.支持OSPF路由协议</w:t>
            </w:r>
          </w:p>
          <w:p>
            <w:pPr>
              <w:pStyle w:val="null3"/>
              <w:jc w:val="both"/>
            </w:pPr>
            <w:r>
              <w:rPr>
                <w:rFonts w:ascii="仿宋_GB2312" w:hAnsi="仿宋_GB2312" w:cs="仿宋_GB2312" w:eastAsia="仿宋_GB2312"/>
                <w:sz w:val="24"/>
              </w:rPr>
              <w:t>6.MAC地址≥16K，ARP表项≥4K</w:t>
            </w:r>
          </w:p>
          <w:p>
            <w:pPr>
              <w:pStyle w:val="null3"/>
              <w:jc w:val="both"/>
            </w:pPr>
            <w:r>
              <w:rPr>
                <w:rFonts w:ascii="仿宋_GB2312" w:hAnsi="仿宋_GB2312" w:cs="仿宋_GB2312" w:eastAsia="仿宋_GB2312"/>
                <w:sz w:val="24"/>
                <w:b/>
              </w:rPr>
              <w:t>三、环网保护</w:t>
            </w:r>
          </w:p>
          <w:p>
            <w:pPr>
              <w:pStyle w:val="null3"/>
              <w:jc w:val="both"/>
            </w:pPr>
            <w:r>
              <w:rPr>
                <w:rFonts w:ascii="仿宋_GB2312" w:hAnsi="仿宋_GB2312" w:cs="仿宋_GB2312" w:eastAsia="仿宋_GB2312"/>
                <w:sz w:val="24"/>
              </w:rPr>
              <w:t>7.支持ERPS以太环保护协议（G.8032）</w:t>
            </w:r>
          </w:p>
          <w:p>
            <w:pPr>
              <w:pStyle w:val="null3"/>
              <w:jc w:val="both"/>
            </w:pPr>
            <w:r>
              <w:rPr>
                <w:rFonts w:ascii="仿宋_GB2312" w:hAnsi="仿宋_GB2312" w:cs="仿宋_GB2312" w:eastAsia="仿宋_GB2312"/>
                <w:sz w:val="24"/>
                <w:b/>
              </w:rPr>
              <w:t>四、安全防护</w:t>
            </w:r>
          </w:p>
          <w:p>
            <w:pPr>
              <w:pStyle w:val="null3"/>
              <w:jc w:val="both"/>
            </w:pPr>
            <w:r>
              <w:rPr>
                <w:rFonts w:ascii="仿宋_GB2312" w:hAnsi="仿宋_GB2312" w:cs="仿宋_GB2312" w:eastAsia="仿宋_GB2312"/>
                <w:sz w:val="24"/>
              </w:rPr>
              <w:t>8.支持DOS防攻击能力，包括：SYN Flood、ICMP Flood、DHCP Flood、Land、Smurt等</w:t>
            </w:r>
          </w:p>
          <w:p>
            <w:pPr>
              <w:pStyle w:val="null3"/>
              <w:jc w:val="both"/>
            </w:pPr>
            <w:r>
              <w:rPr>
                <w:rFonts w:ascii="仿宋_GB2312" w:hAnsi="仿宋_GB2312" w:cs="仿宋_GB2312" w:eastAsia="仿宋_GB2312"/>
                <w:sz w:val="24"/>
                <w:b/>
              </w:rPr>
              <w:t>五、虚拟化与管理</w:t>
            </w:r>
          </w:p>
          <w:p>
            <w:pPr>
              <w:pStyle w:val="null3"/>
              <w:jc w:val="both"/>
            </w:pPr>
            <w:r>
              <w:rPr>
                <w:rFonts w:ascii="仿宋_GB2312" w:hAnsi="仿宋_GB2312" w:cs="仿宋_GB2312" w:eastAsia="仿宋_GB2312"/>
                <w:sz w:val="24"/>
              </w:rPr>
              <w:t>9.支持纵向虚拟化，作为纵向子节点零配置即插即用</w:t>
            </w:r>
          </w:p>
          <w:p>
            <w:pPr>
              <w:pStyle w:val="null3"/>
              <w:jc w:val="both"/>
            </w:pPr>
            <w:r>
              <w:rPr>
                <w:rFonts w:ascii="仿宋_GB2312" w:hAnsi="仿宋_GB2312" w:cs="仿宋_GB2312" w:eastAsia="仿宋_GB2312"/>
                <w:sz w:val="24"/>
              </w:rPr>
              <w:t>10.支持Telemetry技术，实时进行数据采集</w:t>
            </w:r>
          </w:p>
          <w:p>
            <w:pPr>
              <w:pStyle w:val="null3"/>
              <w:jc w:val="left"/>
            </w:pPr>
            <w:r>
              <w:rPr>
                <w:rFonts w:ascii="仿宋_GB2312" w:hAnsi="仿宋_GB2312" w:cs="仿宋_GB2312" w:eastAsia="仿宋_GB2312"/>
                <w:sz w:val="24"/>
              </w:rPr>
              <w:t>11.支持通过命令行、Web、中文图形化配置软件等方式进行配置和管理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20日历天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攀枝花市第七高级中学校花城校区和西城校区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1付款条件：验收合格，达到该付款条件起30个工作日内，支付合同总金额的100.00%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根据《财政部关于进一步加强政府采购需求和履约验收管理的指导意见》（财库〔2016〕205号）及《财政部关于印发政府采购需求管理办法的通知》（财库〔2021〕22号）的要求，依照国家有关规定以及采购文件的要求、响应文件及承诺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硬件部分质保期不低于项目验收合格后叁年，原厂质保超出叁年的按原厂质保；免费提供软件部分在设备使用期间的授权、升级及维护。货物通过验收后，供应商提供壹年7×24小时质量保修服务，并提供售后服务承诺函。故障响应时间不超过1小时，2小时内到达现场排除故障，如12小时内不能排除故障，应负责提供替代设备，其费用由供应商承担。保修期间采购人所购设备各部件发生非人为故障，供应商应上门更换同种品牌不低于原规格型号的新部件，保修费用包含在报价之中。</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合同履行期间,若双方发生争议，可协商或由有关部门调解解决，协商或调解不成的，由当事人依法维护其合法权益。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在同等条件下（如供应商评审后总得分与投标报价都相同的情况下），属于不发达地区和少数民族地区的供应商，享有优先采购的机会（不发达地区或少数民族地区的供应商需提供属于不发达地区或少数民族地区企业的相关证明材料，或供应商注册地为少数民族地区的相关证明材料）。 投标供应商应对投标项目充分了解及分析，结合自身条件对针对该项目对人员配置、项目实施、售后服务能力 、综合保障能力等方面作出合理的配置及综合方案。 台式计算机须一并提供主机和显示器的品牌、型号。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需在项目电子化交易系统中按要求上传相应证明文件并进行电子签章。提供具有统一社会信用代码的营业执照（扫描件）：1、供应商若为企业法人：提供具有统一社会信用代码的营业执照（扫描件）；未换证的提供“营业执照、税务登记证、组织机构代码证或三证合一的营业执照”（扫描件）； 2、供应商若为事业法人：提供具有统一社会信用代码的法人证书（扫描件）；未换证的提交“事业法人证书、组织机构代码证”（扫描件）； 3、供应商若为其他组织：提供“对应主管部门颁发的准许执业证明文件或营业执照”（扫描件）； 4、供应商若为自然人：提供身份证（扫描件）或具有与身份证类似效力的证件（证明）（扫描件） 5、供应商若为分支机构：提供具有统一社会信用代码的营业执照（扫描件）；未换证的提供“营业执照、税务登记证、组织机构代码证或三证合一的营业执照”（扫描件）； 【说明：除银行、保险、石油石化、电力、电信等行业可以以法人的分支机构参与政府采购项目外，其它任何行业不得以法人的分支机构参与政府采购项目。】</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需在项目电子化交易系统中按要求上传相应证明文件并进行电子签章。提供经有资格的会计师事务所审计的2024年度或2025年度完整的审计报告（复印件）（包含审计报告和审计报告中所涉及的财务报表和报表附注） 说明：1、供应商成立时间至递交响应文件截止日止不足15个月的，也可提供自开办以来任意月份、季度财务报表（至少包含：资产负债表、现金流量表、利润表）复印件，暂无财务报表的，可提供在相关主管部门备案的公司章程等证明材料(提供复印件并加盖投标人公章)。2、依法不进行审计的供应商须作出书面说明，书面说明中须至少详细写明不需要进行审计的理由，同时提交2025年1月1日至递交响应文件截止日以来任意月份、季度的财务报表（至少包含：资产负债表、现金流量表、利润表）复印件，暂无财务报表的，须作出书面说明。</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供应商需逐条应答招标文件第三章 技术、服务及其他要求全部条款内容</w:t>
            </w:r>
          </w:p>
        </w:tc>
        <w:tc>
          <w:tcPr>
            <w:tcW w:type="dxa" w:w="3322"/>
          </w:tcPr>
          <w:p>
            <w:pPr>
              <w:pStyle w:val="null3"/>
              <w:jc w:val="left"/>
            </w:pPr>
            <w:r>
              <w:rPr>
                <w:rFonts w:ascii="仿宋_GB2312" w:hAnsi="仿宋_GB2312" w:cs="仿宋_GB2312" w:eastAsia="仿宋_GB2312"/>
              </w:rPr>
              <w:t>请提供技术参数响应表、服务应答表及其他响应材料（注：1、实质性要求需进行实质性响应；2、技术参数负偏离也需应答）</w:t>
            </w:r>
          </w:p>
        </w:tc>
        <w:tc>
          <w:tcPr>
            <w:tcW w:type="dxa" w:w="1661"/>
          </w:tcPr>
          <w:p>
            <w:pPr>
              <w:pStyle w:val="null3"/>
              <w:jc w:val="left"/>
            </w:pPr>
            <w:r>
              <w:rPr>
                <w:rFonts w:ascii="仿宋_GB2312" w:hAnsi="仿宋_GB2312" w:cs="仿宋_GB2312" w:eastAsia="仿宋_GB2312"/>
              </w:rPr>
              <w:t>产品技术参数响应表,供应商应提交的相关证明材料,服务应答表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身份证明书，法定代表人或主要负责人身份证复印件，授权书</w:t>
            </w:r>
          </w:p>
        </w:tc>
        <w:tc>
          <w:tcPr>
            <w:tcW w:type="dxa" w:w="3322"/>
          </w:tcPr>
          <w:p>
            <w:pPr>
              <w:pStyle w:val="null3"/>
              <w:jc w:val="left"/>
            </w:pPr>
            <w:r>
              <w:rPr>
                <w:rFonts w:ascii="仿宋_GB2312" w:hAnsi="仿宋_GB2312" w:cs="仿宋_GB2312" w:eastAsia="仿宋_GB2312"/>
              </w:rPr>
              <w:t>供应商需提供有效的法定代表人（或主要负责人）身份证明书，身份证复印件（双面）；供应商根据自身情况提供法定代表人（或主要负责人）授权书。</w:t>
            </w:r>
          </w:p>
        </w:tc>
        <w:tc>
          <w:tcPr>
            <w:tcW w:type="dxa" w:w="1661"/>
          </w:tcPr>
          <w:p>
            <w:pPr>
              <w:pStyle w:val="null3"/>
              <w:jc w:val="left"/>
            </w:pPr>
            <w:r>
              <w:rPr>
                <w:rFonts w:ascii="仿宋_GB2312" w:hAnsi="仿宋_GB2312" w:cs="仿宋_GB2312" w:eastAsia="仿宋_GB2312"/>
              </w:rPr>
              <w:t>供应商应提交的相关证明材料,法定代表人（或主要负责人）授权书.docx,法定代表人（或主要负责人）身份证明.docx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投标人的投标产品中不得提供禁止销售产品</w:t>
            </w:r>
          </w:p>
        </w:tc>
        <w:tc>
          <w:tcPr>
            <w:tcW w:type="dxa" w:w="3322"/>
          </w:tcPr>
          <w:p>
            <w:pPr>
              <w:pStyle w:val="null3"/>
              <w:jc w:val="left"/>
            </w:pPr>
            <w:r>
              <w:rPr>
                <w:rFonts w:ascii="仿宋_GB2312" w:hAnsi="仿宋_GB2312" w:cs="仿宋_GB2312" w:eastAsia="仿宋_GB2312"/>
              </w:rPr>
              <w:t>提供关于未提供禁止销售产品的承诺函原件</w:t>
            </w:r>
          </w:p>
        </w:tc>
        <w:tc>
          <w:tcPr>
            <w:tcW w:type="dxa" w:w="1661"/>
          </w:tcPr>
          <w:p>
            <w:pPr>
              <w:pStyle w:val="null3"/>
              <w:jc w:val="left"/>
            </w:pPr>
            <w:r>
              <w:rPr>
                <w:rFonts w:ascii="仿宋_GB2312" w:hAnsi="仿宋_GB2312" w:cs="仿宋_GB2312" w:eastAsia="仿宋_GB2312"/>
              </w:rPr>
              <w:t>供应商应提交的相关证明材料,禁止购买承诺函.docx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中小企业声明函,残疾人福利性单位声明函,供应商应提交的相关证明材料,监狱企业的证明文件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供应商应提交的相关证明材料,关于符合本国产品标准的声明函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供应商应提交的相关证明材料,报价表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详见附件：法定代表人（或主要负责人）身份证明.docx</w:t>
      </w:r>
    </w:p>
    <w:p>
      <w:pPr>
        <w:pStyle w:val="null3"/>
        <w:ind w:firstLine="960"/>
        <w:jc w:val="left"/>
      </w:pPr>
      <w:r>
        <w:rPr>
          <w:rFonts w:ascii="仿宋_GB2312" w:hAnsi="仿宋_GB2312" w:cs="仿宋_GB2312" w:eastAsia="仿宋_GB2312"/>
        </w:rPr>
        <w:t>详见附件：法定代表人（或主要负责人）授权书.docx</w:t>
      </w:r>
    </w:p>
    <w:p>
      <w:pPr>
        <w:pStyle w:val="null3"/>
        <w:ind w:firstLine="960"/>
        <w:jc w:val="left"/>
      </w:pPr>
      <w:r>
        <w:rPr>
          <w:rFonts w:ascii="仿宋_GB2312" w:hAnsi="仿宋_GB2312" w:cs="仿宋_GB2312" w:eastAsia="仿宋_GB2312"/>
        </w:rPr>
        <w:t>详见附件：禁止购买承诺函.docx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