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版本号：N511901202600012620260803001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采购电脑</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N5119012026000126</w:t>
      </w:r>
    </w:p>
    <w:p>
      <w:pPr>
        <w:pStyle w:val="null3"/>
        <w:jc w:val="left"/>
        <w:outlineLvl w:val="2"/>
      </w:pPr>
      <w:r>
        <w:rPr>
          <w:rFonts w:ascii="仿宋_GB2312" w:hAnsi="仿宋_GB2312" w:cs="仿宋_GB2312" w:eastAsia="仿宋_GB2312"/>
          <w:sz w:val="28"/>
          <w:b/>
        </w:rPr>
        <w:t>巴中开放大学（巴中社区大学）</w:t>
      </w:r>
    </w:p>
    <w:p>
      <w:pPr>
        <w:pStyle w:val="null3"/>
        <w:jc w:val="center"/>
        <w:outlineLvl w:val="2"/>
      </w:pPr>
      <w:r>
        <w:rPr>
          <w:rFonts w:ascii="仿宋_GB2312" w:hAnsi="仿宋_GB2312" w:cs="仿宋_GB2312" w:eastAsia="仿宋_GB2312"/>
          <w:sz w:val="28"/>
          <w:b/>
        </w:rPr>
        <w:t>巴中市政府采购中心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巴中市政府采购中心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巴中开放大学（巴中社区大学）</w:t>
      </w:r>
      <w:r>
        <w:rPr>
          <w:rFonts w:ascii="仿宋_GB2312" w:hAnsi="仿宋_GB2312" w:cs="仿宋_GB2312" w:eastAsia="仿宋_GB2312"/>
        </w:rPr>
        <w:t xml:space="preserve"> 委托，拟对 </w:t>
      </w:r>
      <w:r>
        <w:rPr>
          <w:rFonts w:ascii="仿宋_GB2312" w:hAnsi="仿宋_GB2312" w:cs="仿宋_GB2312" w:eastAsia="仿宋_GB2312"/>
        </w:rPr>
        <w:t>采购电脑</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巴中市市本级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N5119012026000126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采购电脑</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sz w:val="24"/>
        </w:rPr>
        <w:t>我校为保障教学工作有序开展，现需采购计算机95台，用于老旧设备更新替换。详见第三章。</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巴中开放大学（巴中社区大学）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莲花街145号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0827-2261033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巴中市政府采购中心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四川省巴中市经济开发区红星街70号市民之家4楼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0827-3339062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采购包1：475,000.00元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巴中开放大学（巴中社区大学）</w:t>
      </w:r>
      <w:r>
        <w:rPr>
          <w:rFonts w:ascii="仿宋_GB2312" w:hAnsi="仿宋_GB2312" w:cs="仿宋_GB2312" w:eastAsia="仿宋_GB2312"/>
        </w:rPr>
        <w:t xml:space="preserve"> 和 </w:t>
      </w:r>
      <w:r>
        <w:rPr>
          <w:rFonts w:ascii="仿宋_GB2312" w:hAnsi="仿宋_GB2312" w:cs="仿宋_GB2312" w:eastAsia="仿宋_GB2312"/>
        </w:rPr>
        <w:t>巴中市政府采购中心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巴中开放大学（巴中社区大学）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巴中市政府采购中心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计算机达到所有参数要求</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验收小组现场清点数量、仔细查看要求的各类指标参数，严格按照招标文件中技术参数进行验收。 合格后，验收小组成员现场签字。（1）货物在供应商通知安装调试完毕后5日内初步验收。初步验收合格后,进入10天试用期,试用期间发生一般性质量问题，修复后试用期相应顺延；试用期结束后5日内完成最终验收,如质量验收合格,双方签署《质量验收合格报告)。 （2）严格按照《财政部关于进一步加强政府采购需求和履约验收管理的指导意见》（财库〔2016〕205号）、《财政部关于印发&lt;政府需求管理办法&gt;的通知》（财库〔2021〕22号）、《巴中市财政局关于进一步加强政府采购项目合同履约验收管理工作的通知》(巴财采〔2021〕21号)的规定，采购文件的要求和响应文件及合同承诺的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1.所投计算机产品须为全新正品行货、未拆封未使用，原厂正规渠道货源，符合国家电子产品质量标准、3C 认证及节能环保相关要求。 2.整机配置参数、外观尺寸、接口规格、性能指标、系统版本等严格响应采购需求所列技术参数，无负偏离，满足日常办公及考试、办公软件运行、网络办公、图文处理等办公使用需求。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成交供应商须在合同约定时限内完成送货、上门安装、通电调试、系统优化、基础设置调试到位。</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数量验收、外观验收、配置参数验收、通电性能验收、资料票据验收、安装调试验收、售后服务验收等。</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巴中开放大学（巴中社区大学）</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巴中市政府采购中心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巴中市政府采购中心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联系电话：0827-2261033</w:t>
      </w:r>
    </w:p>
    <w:p>
      <w:pPr>
        <w:pStyle w:val="null3"/>
        <w:jc w:val="left"/>
      </w:pPr>
      <w:r>
        <w:rPr>
          <w:rFonts w:ascii="仿宋_GB2312" w:hAnsi="仿宋_GB2312" w:cs="仿宋_GB2312" w:eastAsia="仿宋_GB2312"/>
        </w:rPr>
        <w:t>地址： 莲花街145号</w:t>
      </w:r>
    </w:p>
    <w:p>
      <w:pPr>
        <w:pStyle w:val="null3"/>
        <w:jc w:val="left"/>
      </w:pPr>
      <w:r>
        <w:rPr>
          <w:rFonts w:ascii="仿宋_GB2312" w:hAnsi="仿宋_GB2312" w:cs="仿宋_GB2312" w:eastAsia="仿宋_GB2312"/>
        </w:rPr>
        <w:t>邮编：636000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联系人：巴中市政府采购中心</w:t>
      </w:r>
    </w:p>
    <w:p>
      <w:pPr>
        <w:pStyle w:val="null3"/>
        <w:jc w:val="left"/>
      </w:pPr>
      <w:r>
        <w:rPr>
          <w:rFonts w:ascii="仿宋_GB2312" w:hAnsi="仿宋_GB2312" w:cs="仿宋_GB2312" w:eastAsia="仿宋_GB2312"/>
        </w:rPr>
        <w:t>联系电话：0827-3339062</w:t>
      </w:r>
    </w:p>
    <w:p>
      <w:pPr>
        <w:pStyle w:val="null3"/>
        <w:jc w:val="left"/>
      </w:pPr>
      <w:r>
        <w:rPr>
          <w:rFonts w:ascii="仿宋_GB2312" w:hAnsi="仿宋_GB2312" w:cs="仿宋_GB2312" w:eastAsia="仿宋_GB2312"/>
        </w:rPr>
        <w:t>地址：四川巴中经济开发区红星街70号市民之家4楼</w:t>
      </w:r>
    </w:p>
    <w:p>
      <w:pPr>
        <w:pStyle w:val="null3"/>
        <w:jc w:val="left"/>
      </w:pPr>
      <w:r>
        <w:rPr>
          <w:rFonts w:ascii="仿宋_GB2312" w:hAnsi="仿宋_GB2312" w:cs="仿宋_GB2312" w:eastAsia="仿宋_GB2312"/>
        </w:rPr>
        <w:t>邮编：636000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475,000.00</w:t>
      </w:r>
    </w:p>
    <w:p>
      <w:pPr>
        <w:pStyle w:val="null3"/>
        <w:jc w:val="left"/>
      </w:pPr>
      <w:r>
        <w:rPr>
          <w:rFonts w:ascii="仿宋_GB2312" w:hAnsi="仿宋_GB2312" w:cs="仿宋_GB2312" w:eastAsia="仿宋_GB2312"/>
        </w:rPr>
        <w:t>采购包最高限价（元）: 475,000.00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采购电脑</w:t>
            </w:r>
          </w:p>
        </w:tc>
        <w:tc>
          <w:tcPr>
            <w:tcW w:type="dxa" w:w="821"/>
          </w:tcPr>
          <w:p>
            <w:pPr>
              <w:pStyle w:val="null3"/>
              <w:jc w:val="right"/>
            </w:pPr>
            <w:r>
              <w:rPr>
                <w:rFonts w:ascii="仿宋_GB2312" w:hAnsi="仿宋_GB2312" w:cs="仿宋_GB2312" w:eastAsia="仿宋_GB2312"/>
              </w:rPr>
              <w:t>95.00（项）</w:t>
            </w:r>
          </w:p>
        </w:tc>
        <w:tc>
          <w:tcPr>
            <w:tcW w:type="dxa" w:w="821"/>
          </w:tcPr>
          <w:p>
            <w:pPr>
              <w:pStyle w:val="null3"/>
              <w:jc w:val="right"/>
            </w:pPr>
            <w:r>
              <w:rPr>
                <w:rFonts w:ascii="仿宋_GB2312" w:hAnsi="仿宋_GB2312" w:cs="仿宋_GB2312" w:eastAsia="仿宋_GB2312"/>
              </w:rPr>
              <w:t>475,000.00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采购电脑</w:t>
            </w:r>
          </w:p>
        </w:tc>
        <w:tc>
          <w:tcPr>
            <w:tcW w:type="dxa" w:w="1138"/>
          </w:tcPr>
          <w:p>
            <w:pPr>
              <w:pStyle w:val="null3"/>
              <w:jc w:val="center"/>
            </w:pPr>
            <w:r>
              <w:rPr>
                <w:rFonts w:ascii="仿宋_GB2312" w:hAnsi="仿宋_GB2312" w:cs="仿宋_GB2312" w:eastAsia="仿宋_GB2312"/>
              </w:rPr>
              <w:t>95.00（项）</w:t>
            </w:r>
          </w:p>
        </w:tc>
        <w:tc>
          <w:tcPr>
            <w:tcW w:type="dxa" w:w="1365"/>
          </w:tcPr>
          <w:p>
            <w:pPr>
              <w:pStyle w:val="null3"/>
              <w:jc w:val="center"/>
            </w:pPr>
            <w:r>
              <w:rPr>
                <w:rFonts w:ascii="仿宋_GB2312" w:hAnsi="仿宋_GB2312" w:cs="仿宋_GB2312" w:eastAsia="仿宋_GB2312"/>
              </w:rPr>
              <w:t>475,000.00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采购电脑</w:t>
            </w:r>
          </w:p>
        </w:tc>
        <w:tc>
          <w:tcPr>
            <w:tcW w:type="dxa" w:w="2492"/>
          </w:tcPr>
          <w:p>
            <w:pPr>
              <w:pStyle w:val="null3"/>
              <w:jc w:val="left"/>
            </w:pPr>
            <w:r>
              <w:rPr>
                <w:rFonts w:ascii="仿宋_GB2312" w:hAnsi="仿宋_GB2312" w:cs="仿宋_GB2312" w:eastAsia="仿宋_GB2312"/>
              </w:rPr>
              <w:t>电脑</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采购电脑</w:t>
            </w:r>
          </w:p>
        </w:tc>
        <w:tc>
          <w:tcPr>
            <w:tcW w:type="dxa" w:w="2492"/>
          </w:tcPr>
          <w:p>
            <w:pPr>
              <w:pStyle w:val="null3"/>
              <w:jc w:val="left"/>
            </w:pPr>
            <w:r>
              <w:rPr>
                <w:rFonts w:ascii="仿宋_GB2312" w:hAnsi="仿宋_GB2312" w:cs="仿宋_GB2312" w:eastAsia="仿宋_GB2312"/>
              </w:rPr>
              <w:t>采购电脑</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采购电脑</w:t>
            </w:r>
          </w:p>
        </w:tc>
        <w:tc>
          <w:tcPr>
            <w:tcW w:type="dxa" w:w="2492"/>
          </w:tcPr>
          <w:p>
            <w:pPr>
              <w:pStyle w:val="null3"/>
              <w:jc w:val="left"/>
            </w:pPr>
            <w:r>
              <w:rPr>
                <w:rFonts w:ascii="仿宋_GB2312" w:hAnsi="仿宋_GB2312" w:cs="仿宋_GB2312" w:eastAsia="仿宋_GB2312"/>
              </w:rPr>
              <w:t>采购电脑</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标的名称：采购电脑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b/>
              </w:rPr>
              <w:t>1.中央处理器（CPU）：</w:t>
            </w:r>
          </w:p>
          <w:p>
            <w:pPr>
              <w:pStyle w:val="null3"/>
              <w:jc w:val="both"/>
            </w:pPr>
            <w:r>
              <w:rPr>
                <w:rFonts w:ascii="仿宋_GB2312" w:hAnsi="仿宋_GB2312" w:cs="仿宋_GB2312" w:eastAsia="仿宋_GB2312"/>
                <w:sz w:val="24"/>
              </w:rPr>
              <w:t>1)CPU物理核数：≥8；</w:t>
            </w:r>
          </w:p>
          <w:p>
            <w:pPr>
              <w:pStyle w:val="null3"/>
              <w:jc w:val="both"/>
            </w:pPr>
            <w:r>
              <w:rPr>
                <w:rFonts w:ascii="仿宋_GB2312" w:hAnsi="仿宋_GB2312" w:cs="仿宋_GB2312" w:eastAsia="仿宋_GB2312"/>
                <w:sz w:val="24"/>
              </w:rPr>
              <w:t>2) CPU线程数;≥8；</w:t>
            </w:r>
          </w:p>
          <w:p>
            <w:pPr>
              <w:pStyle w:val="null3"/>
              <w:jc w:val="both"/>
            </w:pPr>
            <w:r>
              <w:rPr>
                <w:rFonts w:ascii="仿宋_GB2312" w:hAnsi="仿宋_GB2312" w:cs="仿宋_GB2312" w:eastAsia="仿宋_GB2312"/>
                <w:sz w:val="24"/>
              </w:rPr>
              <w:t>3)CPU主频：≥2.8GHz；</w:t>
            </w:r>
          </w:p>
          <w:p>
            <w:pPr>
              <w:pStyle w:val="null3"/>
              <w:jc w:val="both"/>
            </w:pPr>
            <w:r>
              <w:rPr>
                <w:rFonts w:ascii="仿宋_GB2312" w:hAnsi="仿宋_GB2312" w:cs="仿宋_GB2312" w:eastAsia="仿宋_GB2312"/>
                <w:sz w:val="24"/>
              </w:rPr>
              <w:t>4)二级级缓存容量：≥8MB；</w:t>
            </w:r>
          </w:p>
          <w:p>
            <w:pPr>
              <w:pStyle w:val="null3"/>
              <w:jc w:val="both"/>
            </w:pPr>
            <w:r>
              <w:rPr>
                <w:rFonts w:ascii="仿宋_GB2312" w:hAnsi="仿宋_GB2312" w:cs="仿宋_GB2312" w:eastAsia="仿宋_GB2312"/>
                <w:sz w:val="24"/>
              </w:rPr>
              <w:t xml:space="preserve">5)CPU支持的内存最高速率：≥3200MT/s。 </w:t>
            </w:r>
          </w:p>
          <w:p>
            <w:pPr>
              <w:pStyle w:val="null3"/>
              <w:jc w:val="both"/>
            </w:pPr>
            <w:r>
              <w:rPr>
                <w:rFonts w:ascii="仿宋_GB2312" w:hAnsi="仿宋_GB2312" w:cs="仿宋_GB2312" w:eastAsia="仿宋_GB2312"/>
                <w:sz w:val="24"/>
                <w:b/>
              </w:rPr>
              <w:t>2.内存：</w:t>
            </w:r>
          </w:p>
          <w:p>
            <w:pPr>
              <w:pStyle w:val="null3"/>
              <w:jc w:val="both"/>
            </w:pPr>
            <w:r>
              <w:rPr>
                <w:rFonts w:ascii="仿宋_GB2312" w:hAnsi="仿宋_GB2312" w:cs="仿宋_GB2312" w:eastAsia="仿宋_GB2312"/>
                <w:sz w:val="24"/>
              </w:rPr>
              <w:t>1)内存配置容量：≥16GB；</w:t>
            </w:r>
          </w:p>
          <w:p>
            <w:pPr>
              <w:pStyle w:val="null3"/>
              <w:jc w:val="both"/>
            </w:pPr>
            <w:r>
              <w:rPr>
                <w:rFonts w:ascii="仿宋_GB2312" w:hAnsi="仿宋_GB2312" w:cs="仿宋_GB2312" w:eastAsia="仿宋_GB2312"/>
                <w:sz w:val="24"/>
              </w:rPr>
              <w:t>2)内存类型：支持 DDR4/LPDDR4/LPDDR4X及以上内存类型；</w:t>
            </w:r>
          </w:p>
          <w:p>
            <w:pPr>
              <w:pStyle w:val="null3"/>
              <w:jc w:val="both"/>
            </w:pPr>
            <w:r>
              <w:rPr>
                <w:rFonts w:ascii="仿宋_GB2312" w:hAnsi="仿宋_GB2312" w:cs="仿宋_GB2312" w:eastAsia="仿宋_GB2312"/>
                <w:sz w:val="24"/>
              </w:rPr>
              <w:t>3)内存条配置数量:≥1；</w:t>
            </w:r>
          </w:p>
          <w:p>
            <w:pPr>
              <w:pStyle w:val="null3"/>
              <w:jc w:val="both"/>
            </w:pPr>
            <w:r>
              <w:rPr>
                <w:rFonts w:ascii="仿宋_GB2312" w:hAnsi="仿宋_GB2312" w:cs="仿宋_GB2312" w:eastAsia="仿宋_GB2312"/>
                <w:sz w:val="24"/>
              </w:rPr>
              <w:t>4)内存读写速率：≥3200MT/s。</w:t>
            </w:r>
          </w:p>
          <w:p>
            <w:pPr>
              <w:pStyle w:val="null3"/>
              <w:jc w:val="both"/>
            </w:pPr>
            <w:r>
              <w:rPr>
                <w:rFonts w:ascii="仿宋_GB2312" w:hAnsi="仿宋_GB2312" w:cs="仿宋_GB2312" w:eastAsia="仿宋_GB2312"/>
                <w:sz w:val="24"/>
                <w:b/>
              </w:rPr>
              <w:t>3.主板：</w:t>
            </w:r>
          </w:p>
          <w:p>
            <w:pPr>
              <w:pStyle w:val="null3"/>
              <w:jc w:val="both"/>
            </w:pPr>
            <w:r>
              <w:rPr>
                <w:rFonts w:ascii="仿宋_GB2312" w:hAnsi="仿宋_GB2312" w:cs="仿宋_GB2312" w:eastAsia="仿宋_GB2312"/>
                <w:sz w:val="24"/>
              </w:rPr>
              <w:t>1)全固态电容专业级工作站芯片组不漏液更稳定、图形化BIOS支持鼠标操作；</w:t>
            </w:r>
          </w:p>
          <w:p>
            <w:pPr>
              <w:pStyle w:val="null3"/>
              <w:jc w:val="both"/>
            </w:pPr>
            <w:r>
              <w:rPr>
                <w:rFonts w:ascii="仿宋_GB2312" w:hAnsi="仿宋_GB2312" w:cs="仿宋_GB2312" w:eastAsia="仿宋_GB2312"/>
                <w:sz w:val="24"/>
              </w:rPr>
              <w:t>2)主板支持的CPU和内存情况：主板支持满足本项目要求的CPU和内存；</w:t>
            </w:r>
          </w:p>
          <w:p>
            <w:pPr>
              <w:pStyle w:val="null3"/>
              <w:jc w:val="both"/>
            </w:pPr>
            <w:r>
              <w:rPr>
                <w:rFonts w:ascii="仿宋_GB2312" w:hAnsi="仿宋_GB2312" w:cs="仿宋_GB2312" w:eastAsia="仿宋_GB2312"/>
                <w:sz w:val="24"/>
              </w:rPr>
              <w:t>3)主板内置PCIe插槽数量：内置≥3个PCIe插槽(至少1个PCIe x16插槽)；</w:t>
            </w:r>
          </w:p>
          <w:p>
            <w:pPr>
              <w:pStyle w:val="null3"/>
              <w:jc w:val="both"/>
            </w:pPr>
            <w:r>
              <w:rPr>
                <w:rFonts w:ascii="仿宋_GB2312" w:hAnsi="仿宋_GB2312" w:cs="仿宋_GB2312" w:eastAsia="仿宋_GB2312"/>
                <w:sz w:val="24"/>
              </w:rPr>
              <w:t>4)主板其他内置接口：≥2个M.2 接口、≥2个3.5英寸SATA3 接口；</w:t>
            </w:r>
          </w:p>
          <w:p>
            <w:pPr>
              <w:pStyle w:val="null3"/>
              <w:jc w:val="both"/>
            </w:pPr>
            <w:r>
              <w:rPr>
                <w:rFonts w:ascii="仿宋_GB2312" w:hAnsi="仿宋_GB2312" w:cs="仿宋_GB2312" w:eastAsia="仿宋_GB2312"/>
                <w:sz w:val="24"/>
              </w:rPr>
              <w:t>5)单内存插槽最大可支持：≥32GB；</w:t>
            </w:r>
          </w:p>
          <w:p>
            <w:pPr>
              <w:pStyle w:val="null3"/>
              <w:jc w:val="both"/>
            </w:pPr>
            <w:r>
              <w:rPr>
                <w:rFonts w:ascii="仿宋_GB2312" w:hAnsi="仿宋_GB2312" w:cs="仿宋_GB2312" w:eastAsia="仿宋_GB2312"/>
                <w:sz w:val="24"/>
              </w:rPr>
              <w:t>6)内存扩展接口：≥2个。</w:t>
            </w:r>
          </w:p>
          <w:p>
            <w:pPr>
              <w:pStyle w:val="null3"/>
              <w:jc w:val="both"/>
            </w:pPr>
            <w:r>
              <w:rPr>
                <w:rFonts w:ascii="仿宋_GB2312" w:hAnsi="仿宋_GB2312" w:cs="仿宋_GB2312" w:eastAsia="仿宋_GB2312"/>
                <w:sz w:val="24"/>
                <w:b/>
              </w:rPr>
              <w:t>4.存储设备：</w:t>
            </w:r>
          </w:p>
          <w:p>
            <w:pPr>
              <w:pStyle w:val="null3"/>
              <w:jc w:val="both"/>
            </w:pPr>
            <w:r>
              <w:rPr>
                <w:rFonts w:ascii="仿宋_GB2312" w:hAnsi="仿宋_GB2312" w:cs="仿宋_GB2312" w:eastAsia="仿宋_GB2312"/>
                <w:sz w:val="24"/>
              </w:rPr>
              <w:t>1)固态硬盘数量：≥1个；</w:t>
            </w:r>
          </w:p>
          <w:p>
            <w:pPr>
              <w:pStyle w:val="null3"/>
              <w:jc w:val="both"/>
            </w:pPr>
            <w:r>
              <w:rPr>
                <w:rFonts w:ascii="仿宋_GB2312" w:hAnsi="仿宋_GB2312" w:cs="仿宋_GB2312" w:eastAsia="仿宋_GB2312"/>
                <w:sz w:val="24"/>
              </w:rPr>
              <w:t>2)固态硬盘容量：≥512GB；</w:t>
            </w:r>
          </w:p>
          <w:p>
            <w:pPr>
              <w:pStyle w:val="null3"/>
              <w:jc w:val="both"/>
            </w:pPr>
            <w:r>
              <w:rPr>
                <w:rFonts w:ascii="仿宋_GB2312" w:hAnsi="仿宋_GB2312" w:cs="仿宋_GB2312" w:eastAsia="仿宋_GB2312"/>
                <w:sz w:val="24"/>
              </w:rPr>
              <w:t>3)固态存储形态：M.2 PCIe NVME；</w:t>
            </w:r>
          </w:p>
          <w:p>
            <w:pPr>
              <w:pStyle w:val="null3"/>
              <w:jc w:val="both"/>
            </w:pPr>
            <w:r>
              <w:rPr>
                <w:rFonts w:ascii="仿宋_GB2312" w:hAnsi="仿宋_GB2312" w:cs="仿宋_GB2312" w:eastAsia="仿宋_GB2312"/>
                <w:sz w:val="24"/>
              </w:rPr>
              <w:t>4)存储设备其他参数要求：其它参数应符合 GB/T 12628的相关规定。</w:t>
            </w:r>
          </w:p>
          <w:p>
            <w:pPr>
              <w:pStyle w:val="null3"/>
              <w:jc w:val="both"/>
            </w:pPr>
            <w:r>
              <w:rPr>
                <w:rFonts w:ascii="仿宋_GB2312" w:hAnsi="仿宋_GB2312" w:cs="仿宋_GB2312" w:eastAsia="仿宋_GB2312"/>
                <w:sz w:val="24"/>
                <w:b/>
              </w:rPr>
              <w:t>5.显示设备：</w:t>
            </w:r>
          </w:p>
          <w:p>
            <w:pPr>
              <w:pStyle w:val="null3"/>
              <w:jc w:val="both"/>
            </w:pPr>
            <w:r>
              <w:rPr>
                <w:rFonts w:ascii="仿宋_GB2312" w:hAnsi="仿宋_GB2312" w:cs="仿宋_GB2312" w:eastAsia="仿宋_GB2312"/>
                <w:sz w:val="24"/>
              </w:rPr>
              <w:t>1)显示屏屏占比：≥92%；</w:t>
            </w:r>
          </w:p>
          <w:p>
            <w:pPr>
              <w:pStyle w:val="null3"/>
              <w:jc w:val="both"/>
            </w:pPr>
            <w:r>
              <w:rPr>
                <w:rFonts w:ascii="仿宋_GB2312" w:hAnsi="仿宋_GB2312" w:cs="仿宋_GB2312" w:eastAsia="仿宋_GB2312"/>
                <w:sz w:val="24"/>
              </w:rPr>
              <w:t>2)显示屏分辨率：≥1920x1080；</w:t>
            </w:r>
          </w:p>
          <w:p>
            <w:pPr>
              <w:pStyle w:val="null3"/>
              <w:jc w:val="both"/>
            </w:pPr>
            <w:r>
              <w:rPr>
                <w:rFonts w:ascii="仿宋_GB2312" w:hAnsi="仿宋_GB2312" w:cs="仿宋_GB2312" w:eastAsia="仿宋_GB2312"/>
                <w:sz w:val="24"/>
              </w:rPr>
              <w:t>3)显示屏尺寸：≥23.8英寸；</w:t>
            </w:r>
          </w:p>
          <w:p>
            <w:pPr>
              <w:pStyle w:val="null3"/>
              <w:jc w:val="both"/>
            </w:pPr>
            <w:r>
              <w:rPr>
                <w:rFonts w:ascii="仿宋_GB2312" w:hAnsi="仿宋_GB2312" w:cs="仿宋_GB2312" w:eastAsia="仿宋_GB2312"/>
                <w:sz w:val="24"/>
              </w:rPr>
              <w:t>4)显示屏刷新率：≥100Hz；</w:t>
            </w:r>
          </w:p>
          <w:p>
            <w:pPr>
              <w:pStyle w:val="null3"/>
              <w:jc w:val="both"/>
            </w:pPr>
            <w:r>
              <w:rPr>
                <w:rFonts w:ascii="仿宋_GB2312" w:hAnsi="仿宋_GB2312" w:cs="仿宋_GB2312" w:eastAsia="仿宋_GB2312"/>
                <w:sz w:val="24"/>
              </w:rPr>
              <w:t>5)显示屏亮度：≥300尼特；</w:t>
            </w:r>
          </w:p>
          <w:p>
            <w:pPr>
              <w:pStyle w:val="null3"/>
              <w:jc w:val="both"/>
            </w:pPr>
            <w:r>
              <w:rPr>
                <w:rFonts w:ascii="仿宋_GB2312" w:hAnsi="仿宋_GB2312" w:cs="仿宋_GB2312" w:eastAsia="仿宋_GB2312"/>
                <w:sz w:val="24"/>
              </w:rPr>
              <w:t>6)显示器接口：VGA+HDMI双接口和100x100标准VESA接口；</w:t>
            </w:r>
          </w:p>
          <w:p>
            <w:pPr>
              <w:pStyle w:val="null3"/>
              <w:jc w:val="both"/>
            </w:pPr>
            <w:r>
              <w:rPr>
                <w:rFonts w:ascii="仿宋_GB2312" w:hAnsi="仿宋_GB2312" w:cs="仿宋_GB2312" w:eastAsia="仿宋_GB2312"/>
                <w:sz w:val="24"/>
              </w:rPr>
              <w:t>7)显示器底座：支持俯仰-5°/15°调节。</w:t>
            </w:r>
          </w:p>
          <w:p>
            <w:pPr>
              <w:pStyle w:val="null3"/>
              <w:jc w:val="both"/>
            </w:pPr>
            <w:r>
              <w:rPr>
                <w:rFonts w:ascii="仿宋_GB2312" w:hAnsi="仿宋_GB2312" w:cs="仿宋_GB2312" w:eastAsia="仿宋_GB2312"/>
                <w:sz w:val="24"/>
              </w:rPr>
              <w:t>8)显示屏其他参数：其它参数应符合 SJ/T 11292 的相关规定。</w:t>
            </w:r>
          </w:p>
          <w:p>
            <w:pPr>
              <w:pStyle w:val="null3"/>
              <w:jc w:val="both"/>
            </w:pPr>
            <w:r>
              <w:rPr>
                <w:rFonts w:ascii="仿宋_GB2312" w:hAnsi="仿宋_GB2312" w:cs="仿宋_GB2312" w:eastAsia="仿宋_GB2312"/>
                <w:sz w:val="24"/>
                <w:b/>
              </w:rPr>
              <w:t>6.外设：</w:t>
            </w:r>
          </w:p>
          <w:p>
            <w:pPr>
              <w:pStyle w:val="null3"/>
              <w:jc w:val="both"/>
            </w:pPr>
            <w:r>
              <w:rPr>
                <w:rFonts w:ascii="仿宋_GB2312" w:hAnsi="仿宋_GB2312" w:cs="仿宋_GB2312" w:eastAsia="仿宋_GB2312"/>
                <w:sz w:val="24"/>
              </w:rPr>
              <w:t>1)鼠标数量：≥1个；</w:t>
            </w:r>
          </w:p>
          <w:p>
            <w:pPr>
              <w:pStyle w:val="null3"/>
              <w:jc w:val="both"/>
            </w:pPr>
            <w:r>
              <w:rPr>
                <w:rFonts w:ascii="仿宋_GB2312" w:hAnsi="仿宋_GB2312" w:cs="仿宋_GB2312" w:eastAsia="仿宋_GB2312"/>
                <w:sz w:val="24"/>
              </w:rPr>
              <w:t>2)键盘数量：≥1个，支持键盘开机；</w:t>
            </w:r>
          </w:p>
          <w:p>
            <w:pPr>
              <w:pStyle w:val="null3"/>
              <w:jc w:val="both"/>
            </w:pPr>
            <w:r>
              <w:rPr>
                <w:rFonts w:ascii="仿宋_GB2312" w:hAnsi="仿宋_GB2312" w:cs="仿宋_GB2312" w:eastAsia="仿宋_GB2312"/>
                <w:sz w:val="24"/>
              </w:rPr>
              <w:t>3)键盘按键数目：104键；</w:t>
            </w:r>
          </w:p>
          <w:p>
            <w:pPr>
              <w:pStyle w:val="null3"/>
              <w:jc w:val="both"/>
            </w:pPr>
            <w:r>
              <w:rPr>
                <w:rFonts w:ascii="仿宋_GB2312" w:hAnsi="仿宋_GB2312" w:cs="仿宋_GB2312" w:eastAsia="仿宋_GB2312"/>
                <w:sz w:val="24"/>
              </w:rPr>
              <w:t>4)键盘连接方式：有线；</w:t>
            </w:r>
          </w:p>
          <w:p>
            <w:pPr>
              <w:pStyle w:val="null3"/>
              <w:jc w:val="both"/>
            </w:pPr>
            <w:r>
              <w:rPr>
                <w:rFonts w:ascii="仿宋_GB2312" w:hAnsi="仿宋_GB2312" w:cs="仿宋_GB2312" w:eastAsia="仿宋_GB2312"/>
                <w:sz w:val="24"/>
              </w:rPr>
              <w:t>5)键盘键程：2.3mm~4.0mm；</w:t>
            </w:r>
          </w:p>
          <w:p>
            <w:pPr>
              <w:pStyle w:val="null3"/>
              <w:jc w:val="both"/>
            </w:pPr>
            <w:r>
              <w:rPr>
                <w:rFonts w:ascii="仿宋_GB2312" w:hAnsi="仿宋_GB2312" w:cs="仿宋_GB2312" w:eastAsia="仿宋_GB2312"/>
                <w:sz w:val="24"/>
              </w:rPr>
              <w:t>6)键盘按键压力：按键压力在0.54N±0.14N；</w:t>
            </w:r>
          </w:p>
          <w:p>
            <w:pPr>
              <w:pStyle w:val="null3"/>
              <w:jc w:val="both"/>
            </w:pPr>
            <w:r>
              <w:rPr>
                <w:rFonts w:ascii="仿宋_GB2312" w:hAnsi="仿宋_GB2312" w:cs="仿宋_GB2312" w:eastAsia="仿宋_GB2312"/>
                <w:sz w:val="24"/>
              </w:rPr>
              <w:t>7)有线键盘连接线：≥1.5米；</w:t>
            </w:r>
          </w:p>
          <w:p>
            <w:pPr>
              <w:pStyle w:val="null3"/>
              <w:jc w:val="both"/>
            </w:pPr>
            <w:r>
              <w:rPr>
                <w:rFonts w:ascii="仿宋_GB2312" w:hAnsi="仿宋_GB2312" w:cs="仿宋_GB2312" w:eastAsia="仿宋_GB2312"/>
                <w:sz w:val="24"/>
              </w:rPr>
              <w:t>8)键盘颜色：黑色；</w:t>
            </w:r>
          </w:p>
          <w:p>
            <w:pPr>
              <w:pStyle w:val="null3"/>
              <w:jc w:val="both"/>
            </w:pPr>
            <w:r>
              <w:rPr>
                <w:rFonts w:ascii="仿宋_GB2312" w:hAnsi="仿宋_GB2312" w:cs="仿宋_GB2312" w:eastAsia="仿宋_GB2312"/>
                <w:sz w:val="24"/>
              </w:rPr>
              <w:t>9)鼠标连接方式：有线；</w:t>
            </w:r>
          </w:p>
          <w:p>
            <w:pPr>
              <w:pStyle w:val="null3"/>
              <w:jc w:val="both"/>
            </w:pPr>
            <w:r>
              <w:rPr>
                <w:rFonts w:ascii="仿宋_GB2312" w:hAnsi="仿宋_GB2312" w:cs="仿宋_GB2312" w:eastAsia="仿宋_GB2312"/>
                <w:sz w:val="24"/>
              </w:rPr>
              <w:t>10)有线鼠标连接线：≥1.5米；</w:t>
            </w:r>
          </w:p>
          <w:p>
            <w:pPr>
              <w:pStyle w:val="null3"/>
              <w:jc w:val="both"/>
            </w:pPr>
            <w:r>
              <w:rPr>
                <w:rFonts w:ascii="仿宋_GB2312" w:hAnsi="仿宋_GB2312" w:cs="仿宋_GB2312" w:eastAsia="仿宋_GB2312"/>
                <w:sz w:val="24"/>
              </w:rPr>
              <w:t>11)鼠标DPI分辨率：800～1600；</w:t>
            </w:r>
          </w:p>
          <w:p>
            <w:pPr>
              <w:pStyle w:val="null3"/>
              <w:jc w:val="both"/>
            </w:pPr>
            <w:r>
              <w:rPr>
                <w:rFonts w:ascii="仿宋_GB2312" w:hAnsi="仿宋_GB2312" w:cs="仿宋_GB2312" w:eastAsia="仿宋_GB2312"/>
                <w:sz w:val="24"/>
              </w:rPr>
              <w:t>12)鼠标颜色：黑色；</w:t>
            </w:r>
          </w:p>
          <w:p>
            <w:pPr>
              <w:pStyle w:val="null3"/>
              <w:jc w:val="both"/>
            </w:pPr>
            <w:r>
              <w:rPr>
                <w:rFonts w:ascii="仿宋_GB2312" w:hAnsi="仿宋_GB2312" w:cs="仿宋_GB2312" w:eastAsia="仿宋_GB2312"/>
                <w:sz w:val="24"/>
              </w:rPr>
              <w:t>13)鼠标其他要求：其它参数符合GB/T26245的相关规定。</w:t>
            </w:r>
          </w:p>
          <w:p>
            <w:pPr>
              <w:pStyle w:val="null3"/>
              <w:jc w:val="both"/>
            </w:pPr>
            <w:r>
              <w:rPr>
                <w:rFonts w:ascii="仿宋_GB2312" w:hAnsi="仿宋_GB2312" w:cs="仿宋_GB2312" w:eastAsia="仿宋_GB2312"/>
                <w:sz w:val="24"/>
                <w:b/>
              </w:rPr>
              <w:t>7.网络设备：</w:t>
            </w:r>
          </w:p>
          <w:p>
            <w:pPr>
              <w:pStyle w:val="null3"/>
              <w:jc w:val="both"/>
            </w:pPr>
            <w:r>
              <w:rPr>
                <w:rFonts w:ascii="仿宋_GB2312" w:hAnsi="仿宋_GB2312" w:cs="仿宋_GB2312" w:eastAsia="仿宋_GB2312"/>
                <w:sz w:val="24"/>
              </w:rPr>
              <w:t>1）有线网卡数量：≥1个，可选独立2.5G网卡；</w:t>
            </w:r>
          </w:p>
          <w:p>
            <w:pPr>
              <w:pStyle w:val="null3"/>
              <w:jc w:val="both"/>
            </w:pPr>
            <w:r>
              <w:rPr>
                <w:rFonts w:ascii="仿宋_GB2312" w:hAnsi="仿宋_GB2312" w:cs="仿宋_GB2312" w:eastAsia="仿宋_GB2312"/>
                <w:sz w:val="24"/>
              </w:rPr>
              <w:t>2）有线网卡接口类型：支持RJ45接口，配置≥1个内置M.2 WiFi接口；</w:t>
            </w:r>
          </w:p>
          <w:p>
            <w:pPr>
              <w:pStyle w:val="null3"/>
              <w:jc w:val="both"/>
            </w:pPr>
            <w:r>
              <w:rPr>
                <w:rFonts w:ascii="仿宋_GB2312" w:hAnsi="仿宋_GB2312" w:cs="仿宋_GB2312" w:eastAsia="仿宋_GB2312"/>
                <w:sz w:val="24"/>
              </w:rPr>
              <w:t>2）有线网卡速率：最高速率应不低于1000Mbps，应支持10Mbps、100Mbps、1000Mbps速率自适应；</w:t>
            </w:r>
          </w:p>
          <w:p>
            <w:pPr>
              <w:pStyle w:val="null3"/>
              <w:jc w:val="both"/>
            </w:pPr>
            <w:r>
              <w:rPr>
                <w:rFonts w:ascii="仿宋_GB2312" w:hAnsi="仿宋_GB2312" w:cs="仿宋_GB2312" w:eastAsia="仿宋_GB2312"/>
                <w:sz w:val="24"/>
              </w:rPr>
              <w:t>3）网络设备拆装：网络设备支持物理拆装，包括无线网 卡和蓝牙模块等。</w:t>
            </w:r>
          </w:p>
          <w:p>
            <w:pPr>
              <w:pStyle w:val="null3"/>
              <w:jc w:val="both"/>
            </w:pPr>
            <w:r>
              <w:rPr>
                <w:rFonts w:ascii="仿宋_GB2312" w:hAnsi="仿宋_GB2312" w:cs="仿宋_GB2312" w:eastAsia="仿宋_GB2312"/>
                <w:sz w:val="24"/>
                <w:b/>
              </w:rPr>
              <w:t>8.外部接口：</w:t>
            </w:r>
          </w:p>
          <w:p>
            <w:pPr>
              <w:pStyle w:val="null3"/>
              <w:jc w:val="both"/>
            </w:pPr>
            <w:r>
              <w:rPr>
                <w:rFonts w:ascii="仿宋_GB2312" w:hAnsi="仿宋_GB2312" w:cs="仿宋_GB2312" w:eastAsia="仿宋_GB2312"/>
                <w:sz w:val="24"/>
              </w:rPr>
              <w:t>1）USB接口数量：</w:t>
            </w:r>
            <w:r>
              <w:rPr>
                <w:rFonts w:ascii="仿宋_GB2312" w:hAnsi="仿宋_GB2312" w:cs="仿宋_GB2312" w:eastAsia="仿宋_GB2312"/>
                <w:sz w:val="24"/>
              </w:rPr>
              <w:t>主板原生USB接口不少于8个（其中USB 3.0接口不少于6个）；可使用USB键盘组合键开机，产品接口有功能标识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2）视频接口数量：≥</w:t>
            </w:r>
            <w:r>
              <w:rPr>
                <w:rFonts w:ascii="仿宋_GB2312" w:hAnsi="仿宋_GB2312" w:cs="仿宋_GB2312" w:eastAsia="仿宋_GB2312"/>
                <w:sz w:val="24"/>
              </w:rPr>
              <w:t>2</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 xml:space="preserve">3）视频接口类型：至少支持 </w:t>
            </w:r>
            <w:r>
              <w:rPr>
                <w:rFonts w:ascii="仿宋_GB2312" w:hAnsi="仿宋_GB2312" w:cs="仿宋_GB2312" w:eastAsia="仿宋_GB2312"/>
                <w:sz w:val="24"/>
              </w:rPr>
              <w:t>VGA、</w:t>
            </w:r>
            <w:r>
              <w:rPr>
                <w:rFonts w:ascii="仿宋_GB2312" w:hAnsi="仿宋_GB2312" w:cs="仿宋_GB2312" w:eastAsia="仿宋_GB2312"/>
                <w:sz w:val="24"/>
              </w:rPr>
              <w:t xml:space="preserve">HDMI、DVI、DP、Type-C 中 </w:t>
            </w:r>
            <w:r>
              <w:rPr>
                <w:rFonts w:ascii="仿宋_GB2312" w:hAnsi="仿宋_GB2312" w:cs="仿宋_GB2312" w:eastAsia="仿宋_GB2312"/>
                <w:sz w:val="24"/>
              </w:rPr>
              <w:t>2</w:t>
            </w:r>
            <w:r>
              <w:rPr>
                <w:rFonts w:ascii="仿宋_GB2312" w:hAnsi="仿宋_GB2312" w:cs="仿宋_GB2312" w:eastAsia="仿宋_GB2312"/>
                <w:sz w:val="24"/>
              </w:rPr>
              <w:t>种高清显示接口；</w:t>
            </w:r>
          </w:p>
          <w:p>
            <w:pPr>
              <w:pStyle w:val="null3"/>
              <w:jc w:val="both"/>
            </w:pPr>
            <w:r>
              <w:rPr>
                <w:rFonts w:ascii="仿宋_GB2312" w:hAnsi="仿宋_GB2312" w:cs="仿宋_GB2312" w:eastAsia="仿宋_GB2312"/>
                <w:sz w:val="24"/>
              </w:rPr>
              <w:t>4）音频接口数量：</w:t>
            </w:r>
            <w:r>
              <w:rPr>
                <w:rFonts w:ascii="仿宋_GB2312" w:hAnsi="仿宋_GB2312" w:cs="仿宋_GB2312" w:eastAsia="仿宋_GB2312"/>
                <w:sz w:val="24"/>
              </w:rPr>
              <w:t>配置5.1声道(至少提供前2后3共5个音频接口，其中前置包含1个2合1接口)</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5）音频接口类型：支持3.5mm孔径3段式或4段式接</w:t>
            </w:r>
            <w:r>
              <w:rPr>
                <w:rFonts w:ascii="仿宋_GB2312" w:hAnsi="仿宋_GB2312" w:cs="仿宋_GB2312" w:eastAsia="仿宋_GB2312"/>
                <w:sz w:val="24"/>
              </w:rPr>
              <w:t>口；</w:t>
            </w:r>
          </w:p>
          <w:p>
            <w:pPr>
              <w:pStyle w:val="null3"/>
              <w:jc w:val="both"/>
            </w:pPr>
            <w:r>
              <w:rPr>
                <w:rFonts w:ascii="仿宋_GB2312" w:hAnsi="仿宋_GB2312" w:cs="仿宋_GB2312" w:eastAsia="仿宋_GB2312"/>
                <w:sz w:val="24"/>
              </w:rPr>
              <w:t>6）HDMI、DP、Type-C 显示接口要求：支持音频和视频同步输出。</w:t>
            </w:r>
          </w:p>
          <w:p>
            <w:pPr>
              <w:pStyle w:val="null3"/>
              <w:jc w:val="both"/>
            </w:pPr>
            <w:r>
              <w:rPr>
                <w:rFonts w:ascii="仿宋_GB2312" w:hAnsi="仿宋_GB2312" w:cs="仿宋_GB2312" w:eastAsia="仿宋_GB2312"/>
                <w:sz w:val="24"/>
                <w:b/>
              </w:rPr>
              <w:t>9.整机：</w:t>
            </w:r>
          </w:p>
          <w:p>
            <w:pPr>
              <w:pStyle w:val="null3"/>
              <w:jc w:val="both"/>
            </w:pPr>
            <w:r>
              <w:rPr>
                <w:rFonts w:ascii="仿宋_GB2312" w:hAnsi="仿宋_GB2312" w:cs="仿宋_GB2312" w:eastAsia="仿宋_GB2312"/>
                <w:sz w:val="24"/>
              </w:rPr>
              <w:t>1）机箱防护要求：机箱应符合GB/T4208中IP20防护要求，免工具拆卸便于维护；</w:t>
            </w:r>
          </w:p>
          <w:p>
            <w:pPr>
              <w:pStyle w:val="null3"/>
              <w:jc w:val="both"/>
            </w:pPr>
            <w:r>
              <w:rPr>
                <w:rFonts w:ascii="仿宋_GB2312" w:hAnsi="仿宋_GB2312" w:cs="仿宋_GB2312" w:eastAsia="仿宋_GB2312"/>
                <w:sz w:val="24"/>
              </w:rPr>
              <w:t>2）整机噪音：产品工作在空闲状态下，产品的声功率级应不超过2.0Bel；</w:t>
            </w:r>
          </w:p>
          <w:p>
            <w:pPr>
              <w:pStyle w:val="null3"/>
              <w:jc w:val="both"/>
            </w:pPr>
            <w:r>
              <w:rPr>
                <w:rFonts w:ascii="仿宋_GB2312" w:hAnsi="仿宋_GB2312" w:cs="仿宋_GB2312" w:eastAsia="仿宋_GB2312"/>
                <w:sz w:val="24"/>
              </w:rPr>
              <w:t>3）机箱尺寸容量：机箱体积应不小于14L；</w:t>
            </w:r>
          </w:p>
          <w:p>
            <w:pPr>
              <w:pStyle w:val="null3"/>
              <w:jc w:val="both"/>
            </w:pPr>
            <w:r>
              <w:rPr>
                <w:rFonts w:ascii="仿宋_GB2312" w:hAnsi="仿宋_GB2312" w:cs="仿宋_GB2312" w:eastAsia="仿宋_GB2312"/>
                <w:sz w:val="24"/>
              </w:rPr>
              <w:t>4）内置防尘罩支持通过防尘棉阻隔灰尘，为创造健康工作环境，配置有效去除空气中的甲醛等有害气体（净化空气）风扇。</w:t>
            </w:r>
          </w:p>
          <w:p>
            <w:pPr>
              <w:pStyle w:val="null3"/>
              <w:jc w:val="both"/>
            </w:pPr>
            <w:r>
              <w:rPr>
                <w:rFonts w:ascii="仿宋_GB2312" w:hAnsi="仿宋_GB2312" w:cs="仿宋_GB2312" w:eastAsia="仿宋_GB2312"/>
                <w:sz w:val="24"/>
                <w:b/>
              </w:rPr>
              <w:t>10.电源：</w:t>
            </w:r>
          </w:p>
          <w:p>
            <w:pPr>
              <w:pStyle w:val="null3"/>
              <w:jc w:val="both"/>
            </w:pPr>
            <w:r>
              <w:rPr>
                <w:rFonts w:ascii="仿宋_GB2312" w:hAnsi="仿宋_GB2312" w:cs="仿宋_GB2312" w:eastAsia="仿宋_GB2312"/>
                <w:sz w:val="24"/>
              </w:rPr>
              <w:t>1) 电源线适配能力：电源适配器电线组件应符合GB/T15934的要求，可拆线的插头和连接器可以不做要求；</w:t>
            </w:r>
          </w:p>
          <w:p>
            <w:pPr>
              <w:pStyle w:val="null3"/>
              <w:jc w:val="both"/>
            </w:pPr>
            <w:r>
              <w:rPr>
                <w:rFonts w:ascii="仿宋_GB2312" w:hAnsi="仿宋_GB2312" w:cs="仿宋_GB2312" w:eastAsia="仿宋_GB2312"/>
                <w:sz w:val="24"/>
              </w:rPr>
              <w:t>2) ≤200W以上节能电源，且电源通过80PLUS认证，能源转化效率≥92%。</w:t>
            </w:r>
          </w:p>
          <w:p>
            <w:pPr>
              <w:pStyle w:val="null3"/>
              <w:jc w:val="both"/>
            </w:pPr>
            <w:r>
              <w:rPr>
                <w:rFonts w:ascii="仿宋_GB2312" w:hAnsi="仿宋_GB2312" w:cs="仿宋_GB2312" w:eastAsia="仿宋_GB2312"/>
                <w:sz w:val="24"/>
              </w:rPr>
              <w:t>11、关键部件安全要求：中央处理器（CPU）通过中国信息安全测评中心（www.itsec.gov.cn)或国家保密科技评测中心（www.nsstec.org.cn)安全可靠评测。</w:t>
            </w:r>
          </w:p>
          <w:p>
            <w:pPr>
              <w:pStyle w:val="null3"/>
              <w:jc w:val="both"/>
            </w:pPr>
            <w:r>
              <w:rPr>
                <w:rFonts w:ascii="仿宋_GB2312" w:hAnsi="仿宋_GB2312" w:cs="仿宋_GB2312" w:eastAsia="仿宋_GB2312"/>
                <w:sz w:val="24"/>
              </w:rPr>
              <w:t>12、其他要求：除以上技术参数与性能指标外，符合财政部、工业和信息化部制定的《台式计算机政府采购需求标准（2023年版）》中规定的全部其他实质性指标要求。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教学管理系统</w:t>
            </w:r>
          </w:p>
        </w:tc>
        <w:tc>
          <w:tcPr>
            <w:tcW w:type="dxa" w:w="5814"/>
          </w:tcPr>
          <w:p>
            <w:pPr>
              <w:pStyle w:val="null3"/>
              <w:jc w:val="both"/>
            </w:pPr>
            <w:r>
              <w:rPr>
                <w:rFonts w:ascii="仿宋_GB2312" w:hAnsi="仿宋_GB2312" w:cs="仿宋_GB2312" w:eastAsia="仿宋_GB2312"/>
                <w:sz w:val="24"/>
              </w:rPr>
              <w:t>1.为实现异构平台混合管理，要求管理平台支持在Windows或麒麟等国产系统搭建，支持对终端的操作系统镜像生成与统一分发管理。</w:t>
            </w:r>
          </w:p>
          <w:p>
            <w:pPr>
              <w:pStyle w:val="null3"/>
              <w:jc w:val="both"/>
            </w:pPr>
            <w:r>
              <w:rPr>
                <w:rFonts w:ascii="仿宋_GB2312" w:hAnsi="仿宋_GB2312" w:cs="仿宋_GB2312" w:eastAsia="仿宋_GB2312"/>
                <w:sz w:val="24"/>
              </w:rPr>
              <w:t>2.可充分利用学校现有网络，支持在镜像下发时进行组内网络探测与网速传输测试，提前优化镜像下发策略，保障传输效率；支持系统镜像下发后自动执行关机、重启等操作。</w:t>
            </w:r>
          </w:p>
          <w:p>
            <w:pPr>
              <w:pStyle w:val="null3"/>
              <w:jc w:val="both"/>
            </w:pPr>
            <w:r>
              <w:rPr>
                <w:rFonts w:ascii="仿宋_GB2312" w:hAnsi="仿宋_GB2312" w:cs="仿宋_GB2312" w:eastAsia="仿宋_GB2312"/>
                <w:sz w:val="24"/>
              </w:rPr>
              <w:t>3.为方便学校进行硬件资产统计，支持平台收集所有终端硬件配置信息，包含但不限于终端名称、主板型号、CPU型号、内存容量、最近运行时间、合计运行时间、硬件变更和记录信息等。</w:t>
            </w:r>
          </w:p>
          <w:p>
            <w:pPr>
              <w:pStyle w:val="null3"/>
              <w:jc w:val="both"/>
            </w:pPr>
            <w:r>
              <w:rPr>
                <w:rFonts w:ascii="仿宋_GB2312" w:hAnsi="仿宋_GB2312" w:cs="仿宋_GB2312" w:eastAsia="仿宋_GB2312"/>
                <w:sz w:val="24"/>
              </w:rPr>
              <w:t>4.为方便学校掌握终端硬件运行情况，支持平台收集所有终端的运行状态信息，包含但不限于终端名称、CPU温度、开机时间、硬盘信息等。</w:t>
            </w:r>
          </w:p>
          <w:p>
            <w:pPr>
              <w:pStyle w:val="null3"/>
              <w:jc w:val="both"/>
            </w:pPr>
            <w:r>
              <w:rPr>
                <w:rFonts w:ascii="仿宋_GB2312" w:hAnsi="仿宋_GB2312" w:cs="仿宋_GB2312" w:eastAsia="仿宋_GB2312"/>
                <w:sz w:val="24"/>
              </w:rPr>
              <w:t>5.支持平台可以计划任务设置，可以设置固定时间、每天、每周、每月进行定时执行各种任务类型，包括开机、关机、切换模板、下发模版、还原系统盘、还原数据盘。</w:t>
            </w:r>
          </w:p>
          <w:p>
            <w:pPr>
              <w:pStyle w:val="null3"/>
              <w:jc w:val="both"/>
            </w:pPr>
            <w:r>
              <w:rPr>
                <w:rFonts w:ascii="仿宋_GB2312" w:hAnsi="仿宋_GB2312" w:cs="仿宋_GB2312" w:eastAsia="仿宋_GB2312"/>
                <w:sz w:val="24"/>
              </w:rPr>
              <w:t>6.支持大数据展示。可展示包括但不限于资产统计、设备详情、开关机对比、日志、系统使用情况等信息。</w:t>
            </w:r>
          </w:p>
          <w:p>
            <w:pPr>
              <w:pStyle w:val="null3"/>
              <w:jc w:val="both"/>
            </w:pPr>
            <w:r>
              <w:rPr>
                <w:rFonts w:ascii="仿宋_GB2312" w:hAnsi="仿宋_GB2312" w:cs="仿宋_GB2312" w:eastAsia="仿宋_GB2312"/>
                <w:sz w:val="24"/>
              </w:rPr>
              <w:t>7.为避免网络端口被占用而引起的教学环境不可用的问题，管理平台支持对服务器使用的网络端口进行检测，并通过检测结果帮助管理员快速分析和解决问题。</w:t>
            </w:r>
          </w:p>
          <w:p>
            <w:pPr>
              <w:pStyle w:val="null3"/>
              <w:jc w:val="both"/>
            </w:pPr>
            <w:r>
              <w:rPr>
                <w:rFonts w:ascii="仿宋_GB2312" w:hAnsi="仿宋_GB2312" w:cs="仿宋_GB2312" w:eastAsia="仿宋_GB2312"/>
                <w:sz w:val="24"/>
              </w:rPr>
              <w:t>8.可提供网盘功能、网盘回收站功能；支持系统名称、LOGO、登录背景图等可按需修改成客户单位名称；支持管理员对不同用户和角色进行分级分权管理。</w:t>
            </w:r>
          </w:p>
          <w:p>
            <w:pPr>
              <w:pStyle w:val="null3"/>
              <w:jc w:val="both"/>
            </w:pPr>
            <w:r>
              <w:rPr>
                <w:rFonts w:ascii="仿宋_GB2312" w:hAnsi="仿宋_GB2312" w:cs="仿宋_GB2312" w:eastAsia="仿宋_GB2312"/>
                <w:sz w:val="24"/>
              </w:rPr>
              <w:t>9.具备教师演示、屏幕笔、视频广播、视频直播、语音广播、语音对讲、分组教学、分组讨论、文件分发、作业提交、屏幕监视、签到、上网限制、黑屏肃静、分组管理、请求帮助、远程消息等教学功能。</w:t>
            </w:r>
          </w:p>
          <w:p>
            <w:pPr>
              <w:pStyle w:val="null3"/>
              <w:jc w:val="both"/>
            </w:pPr>
            <w:r>
              <w:rPr>
                <w:rFonts w:ascii="仿宋_GB2312" w:hAnsi="仿宋_GB2312" w:cs="仿宋_GB2312" w:eastAsia="仿宋_GB2312"/>
                <w:sz w:val="24"/>
              </w:rPr>
              <w:t>10.程序限制：为防止学生在教学过程中打游戏或使用QQ、MSN等聊天工具，支持通过各种策略限制学生使用程序。</w:t>
            </w:r>
          </w:p>
          <w:p>
            <w:pPr>
              <w:pStyle w:val="null3"/>
              <w:jc w:val="both"/>
            </w:pPr>
            <w:r>
              <w:rPr>
                <w:rFonts w:ascii="仿宋_GB2312" w:hAnsi="仿宋_GB2312" w:cs="仿宋_GB2312" w:eastAsia="仿宋_GB2312"/>
                <w:sz w:val="24"/>
                <w:b/>
              </w:rPr>
              <w:t>注：第3、4、6、7、10条供应商在响应时提供功能截图并加盖电子鲜章。承诺供货时提供国家认可的具有CMA识的第三方检测机构出具的检测报告复印件，报告编号可在全国认证认可信息公共服务平台查询，提供查询截图并须附上查询网址</w:t>
            </w:r>
            <w:r>
              <w:rPr>
                <w:rFonts w:ascii="仿宋_GB2312" w:hAnsi="仿宋_GB2312" w:cs="仿宋_GB2312" w:eastAsia="仿宋_GB2312"/>
                <w:sz w:val="24"/>
                <w:b/>
              </w:rPr>
              <w:t>（提供承诺函，格式自拟）</w:t>
            </w:r>
            <w:r>
              <w:rPr>
                <w:rFonts w:ascii="仿宋_GB2312" w:hAnsi="仿宋_GB2312" w:cs="仿宋_GB2312" w:eastAsia="仿宋_GB2312"/>
                <w:sz w:val="24"/>
                <w:b/>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rPr>
              <w:t>1)质量服务要求：原厂免费（含上门）服务周期（含换件和维修）不小于3年；</w:t>
            </w:r>
          </w:p>
          <w:p>
            <w:pPr>
              <w:pStyle w:val="null3"/>
              <w:jc w:val="both"/>
            </w:pPr>
            <w:r>
              <w:rPr>
                <w:rFonts w:ascii="仿宋_GB2312" w:hAnsi="仿宋_GB2312" w:cs="仿宋_GB2312" w:eastAsia="仿宋_GB2312"/>
                <w:sz w:val="24"/>
              </w:rPr>
              <w:t>2) 由400触发原厂专业技术工程师为客户提供安装部署服务：在产品配送到达指定地点后，进行开箱、检查、设置、连接、通电以及外围设备（键盘，显示器和鼠标）测试；以上服务内容全部可通过原厂官网主机序列号查询确认（提供承诺函并加盖电子鲜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自合同签订之日起30个日历天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巴中市巴州区莲花街145号</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预付款付款条件：签订合同后，供应商开具发票后。达到该付款条件起5个工作日内，支付合同总金额的40.0%</w:t>
            </w:r>
            <w:r>
              <w:br/>
            </w:r>
            <w:r>
              <w:rPr>
                <w:rFonts w:ascii="仿宋_GB2312" w:hAnsi="仿宋_GB2312" w:cs="仿宋_GB2312" w:eastAsia="仿宋_GB2312"/>
              </w:rPr>
              <w:t>2、</w:t>
            </w:r>
            <w:r>
              <w:rPr>
                <w:rFonts w:ascii="仿宋_GB2312" w:hAnsi="仿宋_GB2312" w:cs="仿宋_GB2312" w:eastAsia="仿宋_GB2312"/>
              </w:rPr>
              <w:t>尾款付款条件：供应商提供货物，采购人验收合格后，供应商开具发票后。达到该付款条件起5个工作日内，支付合同总金额的60.0%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验收小组现场清点数量、仔细查看要求的各类指标参数，严格按照招标文件中技术参数进行验收。 合格后，验收小组成员现场签字。（1）货物在供应商通知安装调试完毕后5日内初步验收。初步验收合格后,进入10天试用期,试用期间发生一般性质量问题，修复后试用期相应顺延；试用期结束后5日内完成最终验收,如质量验收合格,双方签署《质量验收合格报告)。 （2）严格按照《财政部关于进一步加强政府采购需求和履约验收管理的指导意见》（财库〔2016〕205号）、《财政部关于印发&lt;政府需求管理办法&gt;的通知》（财库〔2021〕22号）、《巴中市财政局关于进一步加强政府采购项目合同履约验收管理工作的通知》(巴财采〔2021〕21号)的规定，采购文件的要求和响应文件及合同承诺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1、质保范围：合同约定的所有货物。 2、质保期：原厂免费（含上门）服务周期（含换件和维修）不小于3年。</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双方发生争议应先行友好协商解决，协商未果的，可向当地人民法院提起诉讼。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1.所投计算机产品须为全新正品行货、未拆封未使用，原厂正规渠道货源，符合国家电子产品质量标准、3C认证及节能环保相关要求。（签订合同时提供上述证明材料）。 2.整机配置参数、外观尺寸、接口规格、性能指标、系统版本等严格响应采购需求所列技术参数，无负偏离，满足日常办公及考试、办公软件运行、网络办公、图文处理等办公使用需求。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（1）若为企业法人：提供“统一社会信用代码营业执照”扫描件，未换证的提供“营业执照、税务登记证、组织机构代码证或三证合一的营业执照扫描件； （2）若为事业法人：提供“统一社会信用代码法人登记证书”扫描件；未换证的提供“事业法人登记证书、组织机构代码证”扫描件。 （3）若为其他组织：提供“对应主管部门颁发的准许执业证明文件或营业执照”扫描件。 （4）若为自然人：提供其身份证扫描件。 （5）法人单位和其他组织单位还应提供法定代表人（或组织负责人）身份证扫描件。 注：供应商需在项目电子化交易系统中按要求填写《投标（响应）函》完成承诺并在响应文件封面进行电子签章。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供应商可以提供《投标（响应）函》或以下任意一个财务状况报告。 财务状况报告（以下四者任选其一均可）： a.可提供近两年任一年度经审计的财务报告（包含审计报告和审计报告中所涉及的财务报表和报表附注）扫描件； b.可提供近两年任一年度供应商完整的全套财务报表（应当包括资产负债表、利润表、现金流量表）扫描件； c.可提供截至响应截止日一年内银行出具的资信证明扫描件； d.供应商注册时间截至响应截止日不足一年的，也可提供在工商管理部门备案的公司章程扫描件。 （注：不得要求供应商提供证明财务报告中签字签章人或者第三方机构的身份证明、财务报告中数据信息真实性有效性的证明材料） 。</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技术服务商务响应部分</w:t>
            </w:r>
          </w:p>
        </w:tc>
        <w:tc>
          <w:tcPr>
            <w:tcW w:type="dxa" w:w="3322"/>
          </w:tcPr>
          <w:p>
            <w:pPr>
              <w:pStyle w:val="null3"/>
              <w:jc w:val="left"/>
            </w:pPr>
            <w:r>
              <w:rPr>
                <w:rFonts w:ascii="仿宋_GB2312" w:hAnsi="仿宋_GB2312" w:cs="仿宋_GB2312" w:eastAsia="仿宋_GB2312"/>
              </w:rPr>
              <w:t>供应商需在项目电子化交易系统中按要求上传相应文件并进行电子签章。</w:t>
            </w:r>
          </w:p>
        </w:tc>
        <w:tc>
          <w:tcPr>
            <w:tcW w:type="dxa" w:w="1661"/>
          </w:tcPr>
          <w:p>
            <w:pPr>
              <w:pStyle w:val="null3"/>
              <w:jc w:val="left"/>
            </w:pPr>
            <w:r>
              <w:rPr>
                <w:rFonts w:ascii="仿宋_GB2312" w:hAnsi="仿宋_GB2312" w:cs="仿宋_GB2312" w:eastAsia="仿宋_GB2312"/>
              </w:rPr>
              <w:t>产品技术参数响应表,服务应答表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按供应商最后报价从低到高顺序排列，保留至小数点后2位。</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