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6062AB">
      <w:pPr>
        <w:jc w:val="center"/>
        <w:outlineLvl w:val="1"/>
        <w:rPr>
          <w:rFonts w:hint="eastAsia" w:ascii="Calibri" w:hAnsi="Calibri" w:eastAsia="宋体" w:cs="Times New Roman"/>
          <w:lang w:val="en-US" w:eastAsia="zh-Hans"/>
        </w:rPr>
      </w:pPr>
      <w:r>
        <w:rPr>
          <w:rFonts w:hint="eastAsia" w:ascii="仿宋_GB2312" w:hAnsi="仿宋_GB2312" w:eastAsia="仿宋_GB2312" w:cs="仿宋_GB2312"/>
          <w:b/>
          <w:sz w:val="36"/>
          <w:lang w:val="en-US" w:eastAsia="zh-Hans"/>
        </w:rPr>
        <w:t>第三章 技术、服务及其他要求</w:t>
      </w:r>
    </w:p>
    <w:p w14:paraId="32A2077E">
      <w:pPr>
        <w:ind w:firstLine="480"/>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（注：本章的技术、服务及其他要求中，带“★”的要求为实质性要求。采购人、代理机构应当根据项目实际要求合理设定，并在第五章符合性审查中明确响应要求。）</w:t>
      </w:r>
    </w:p>
    <w:p w14:paraId="6FF50C96">
      <w:pPr>
        <w:jc w:val="left"/>
        <w:outlineLvl w:val="2"/>
        <w:rPr>
          <w:rFonts w:hint="eastAsia" w:ascii="Calibri" w:hAnsi="Calibri" w:eastAsia="宋体" w:cs="Times New Roman"/>
          <w:lang w:val="en-US" w:eastAsia="zh-Hans"/>
        </w:rPr>
      </w:pPr>
      <w:r>
        <w:rPr>
          <w:rFonts w:hint="eastAsia" w:ascii="仿宋_GB2312" w:hAnsi="仿宋_GB2312" w:eastAsia="仿宋_GB2312" w:cs="仿宋_GB2312"/>
          <w:b/>
          <w:sz w:val="28"/>
          <w:lang w:val="en-US" w:eastAsia="zh-Hans"/>
        </w:rPr>
        <w:t>3.1.采购内容</w:t>
      </w:r>
    </w:p>
    <w:p w14:paraId="1095D40A">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采购包1：</w:t>
      </w:r>
    </w:p>
    <w:p w14:paraId="64232878">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采购包预算金额（元）: 19,000,000.00</w:t>
      </w:r>
    </w:p>
    <w:p w14:paraId="411DDA64">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采购包最高限价（元）: 15,850,000.00</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44"/>
        <w:gridCol w:w="1116"/>
        <w:gridCol w:w="697"/>
        <w:gridCol w:w="819"/>
        <w:gridCol w:w="1516"/>
        <w:gridCol w:w="697"/>
        <w:gridCol w:w="697"/>
        <w:gridCol w:w="697"/>
        <w:gridCol w:w="697"/>
        <w:gridCol w:w="571"/>
        <w:gridCol w:w="571"/>
      </w:tblGrid>
      <w:tr w14:paraId="32FDA5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4C803B7F">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序号</w:t>
            </w:r>
          </w:p>
        </w:tc>
        <w:tc>
          <w:tcPr>
            <w:tcW w:w="821" w:type="dxa"/>
          </w:tcPr>
          <w:p w14:paraId="36759905">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采购品目名称</w:t>
            </w:r>
          </w:p>
        </w:tc>
        <w:tc>
          <w:tcPr>
            <w:tcW w:w="821" w:type="dxa"/>
          </w:tcPr>
          <w:p w14:paraId="4DDC515E">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标的名称</w:t>
            </w:r>
          </w:p>
        </w:tc>
        <w:tc>
          <w:tcPr>
            <w:tcW w:w="821" w:type="dxa"/>
          </w:tcPr>
          <w:p w14:paraId="0E6E3145">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数量</w:t>
            </w:r>
            <w:r>
              <w:rPr>
                <w:rFonts w:hint="eastAsia" w:ascii="Calibri" w:hAnsi="Calibri" w:eastAsia="宋体" w:cs="Times New Roman"/>
                <w:lang w:val="en-US" w:eastAsia="zh-Hans"/>
              </w:rPr>
              <w:br w:type="textWrapping"/>
            </w:r>
            <w:r>
              <w:rPr>
                <w:rFonts w:hint="eastAsia" w:ascii="仿宋_GB2312" w:hAnsi="仿宋_GB2312" w:eastAsia="仿宋_GB2312" w:cs="仿宋_GB2312"/>
                <w:lang w:val="en-US" w:eastAsia="zh-Hans"/>
              </w:rPr>
              <w:t>(计量单位)</w:t>
            </w:r>
          </w:p>
        </w:tc>
        <w:tc>
          <w:tcPr>
            <w:tcW w:w="821" w:type="dxa"/>
          </w:tcPr>
          <w:p w14:paraId="362A244D">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标的金额 （元）</w:t>
            </w:r>
          </w:p>
        </w:tc>
        <w:tc>
          <w:tcPr>
            <w:tcW w:w="821" w:type="dxa"/>
          </w:tcPr>
          <w:p w14:paraId="40C24770">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所属行业</w:t>
            </w:r>
          </w:p>
        </w:tc>
        <w:tc>
          <w:tcPr>
            <w:tcW w:w="821" w:type="dxa"/>
          </w:tcPr>
          <w:p w14:paraId="2405CE23">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是否涉及核心产品</w:t>
            </w:r>
          </w:p>
        </w:tc>
        <w:tc>
          <w:tcPr>
            <w:tcW w:w="821" w:type="dxa"/>
          </w:tcPr>
          <w:p w14:paraId="247A20B6">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是否涉及采购进口产品</w:t>
            </w:r>
          </w:p>
        </w:tc>
        <w:tc>
          <w:tcPr>
            <w:tcW w:w="821" w:type="dxa"/>
          </w:tcPr>
          <w:p w14:paraId="207946AA">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是否涉及强制采购节能产品</w:t>
            </w:r>
          </w:p>
        </w:tc>
        <w:tc>
          <w:tcPr>
            <w:tcW w:w="639" w:type="dxa"/>
          </w:tcPr>
          <w:p w14:paraId="506DC1AD">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是否涉及优先采购节能产品</w:t>
            </w:r>
          </w:p>
        </w:tc>
        <w:tc>
          <w:tcPr>
            <w:tcW w:w="639" w:type="dxa"/>
          </w:tcPr>
          <w:p w14:paraId="2D1F1C56">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是否涉及优先采购环境标志产品</w:t>
            </w:r>
          </w:p>
        </w:tc>
      </w:tr>
      <w:tr w14:paraId="685EAF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346873FE">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1</w:t>
            </w:r>
          </w:p>
        </w:tc>
        <w:tc>
          <w:tcPr>
            <w:tcW w:w="821" w:type="dxa"/>
          </w:tcPr>
          <w:p w14:paraId="22B42BAB">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A02321200 医用 X 线诊断设备</w:t>
            </w:r>
          </w:p>
        </w:tc>
        <w:tc>
          <w:tcPr>
            <w:tcW w:w="821" w:type="dxa"/>
          </w:tcPr>
          <w:p w14:paraId="549346D5">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X线计算机断层扫描仪</w:t>
            </w:r>
          </w:p>
        </w:tc>
        <w:tc>
          <w:tcPr>
            <w:tcW w:w="821" w:type="dxa"/>
          </w:tcPr>
          <w:p w14:paraId="7702CC7F">
            <w:pPr>
              <w:jc w:val="righ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1.00（套）</w:t>
            </w:r>
          </w:p>
        </w:tc>
        <w:tc>
          <w:tcPr>
            <w:tcW w:w="821" w:type="dxa"/>
          </w:tcPr>
          <w:p w14:paraId="77205AFE">
            <w:pPr>
              <w:jc w:val="righ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15,850,000.00</w:t>
            </w:r>
          </w:p>
        </w:tc>
        <w:tc>
          <w:tcPr>
            <w:tcW w:w="821" w:type="dxa"/>
          </w:tcPr>
          <w:p w14:paraId="53359BC7">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工业</w:t>
            </w:r>
          </w:p>
        </w:tc>
        <w:tc>
          <w:tcPr>
            <w:tcW w:w="821" w:type="dxa"/>
          </w:tcPr>
          <w:p w14:paraId="1ADB8F87">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是</w:t>
            </w:r>
          </w:p>
        </w:tc>
        <w:tc>
          <w:tcPr>
            <w:tcW w:w="821" w:type="dxa"/>
          </w:tcPr>
          <w:p w14:paraId="25D3C01A">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否</w:t>
            </w:r>
          </w:p>
        </w:tc>
        <w:tc>
          <w:tcPr>
            <w:tcW w:w="821" w:type="dxa"/>
          </w:tcPr>
          <w:p w14:paraId="7850797A">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否</w:t>
            </w:r>
          </w:p>
        </w:tc>
        <w:tc>
          <w:tcPr>
            <w:tcW w:w="639" w:type="dxa"/>
          </w:tcPr>
          <w:p w14:paraId="2B30CEBC">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否</w:t>
            </w:r>
          </w:p>
        </w:tc>
        <w:tc>
          <w:tcPr>
            <w:tcW w:w="639" w:type="dxa"/>
          </w:tcPr>
          <w:p w14:paraId="6415BBB8">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否</w:t>
            </w:r>
          </w:p>
        </w:tc>
      </w:tr>
    </w:tbl>
    <w:p w14:paraId="3CEB885A">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是否适用本国产品标准：是</w:t>
      </w:r>
    </w:p>
    <w:p w14:paraId="318EC216">
      <w:pPr>
        <w:jc w:val="left"/>
        <w:outlineLvl w:val="3"/>
        <w:rPr>
          <w:rFonts w:hint="eastAsia" w:ascii="Calibri" w:hAnsi="Calibri" w:eastAsia="宋体" w:cs="Times New Roman"/>
          <w:lang w:val="en-US" w:eastAsia="zh-Hans"/>
        </w:rPr>
      </w:pPr>
      <w:r>
        <w:rPr>
          <w:rFonts w:hint="eastAsia" w:ascii="仿宋_GB2312" w:hAnsi="仿宋_GB2312" w:eastAsia="仿宋_GB2312" w:cs="仿宋_GB2312"/>
          <w:b/>
          <w:sz w:val="24"/>
          <w:lang w:val="en-US" w:eastAsia="zh-Hans"/>
        </w:rPr>
        <w:t>报价要求</w:t>
      </w:r>
    </w:p>
    <w:p w14:paraId="5ABA2827">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24"/>
        <w:gridCol w:w="1707"/>
        <w:gridCol w:w="1138"/>
        <w:gridCol w:w="1516"/>
        <w:gridCol w:w="1138"/>
        <w:gridCol w:w="1934"/>
      </w:tblGrid>
      <w:tr w14:paraId="4631CB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22664BEC">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序号</w:t>
            </w:r>
          </w:p>
        </w:tc>
        <w:tc>
          <w:tcPr>
            <w:tcW w:w="1707" w:type="dxa"/>
          </w:tcPr>
          <w:p w14:paraId="1EAEF2D4">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报价内容</w:t>
            </w:r>
          </w:p>
        </w:tc>
        <w:tc>
          <w:tcPr>
            <w:tcW w:w="1138" w:type="dxa"/>
          </w:tcPr>
          <w:p w14:paraId="3D5346B7">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数量（计量单位）</w:t>
            </w:r>
          </w:p>
        </w:tc>
        <w:tc>
          <w:tcPr>
            <w:tcW w:w="1365" w:type="dxa"/>
          </w:tcPr>
          <w:p w14:paraId="304E2524">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最高限价</w:t>
            </w:r>
          </w:p>
        </w:tc>
        <w:tc>
          <w:tcPr>
            <w:tcW w:w="1138" w:type="dxa"/>
          </w:tcPr>
          <w:p w14:paraId="7F7E2C6C">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价款形式</w:t>
            </w:r>
          </w:p>
        </w:tc>
        <w:tc>
          <w:tcPr>
            <w:tcW w:w="1934" w:type="dxa"/>
          </w:tcPr>
          <w:p w14:paraId="1CFD55BD">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报价说明</w:t>
            </w:r>
          </w:p>
        </w:tc>
      </w:tr>
      <w:tr w14:paraId="0C83BF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75F415E6">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1</w:t>
            </w:r>
          </w:p>
        </w:tc>
        <w:tc>
          <w:tcPr>
            <w:tcW w:w="1707" w:type="dxa"/>
          </w:tcPr>
          <w:p w14:paraId="75629064">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X线计算机断层扫描仪</w:t>
            </w:r>
          </w:p>
        </w:tc>
        <w:tc>
          <w:tcPr>
            <w:tcW w:w="1138" w:type="dxa"/>
          </w:tcPr>
          <w:p w14:paraId="66CB6F0E">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1.00（套）</w:t>
            </w:r>
          </w:p>
        </w:tc>
        <w:tc>
          <w:tcPr>
            <w:tcW w:w="1365" w:type="dxa"/>
          </w:tcPr>
          <w:p w14:paraId="39D4C232">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15,850,000.00</w:t>
            </w:r>
          </w:p>
        </w:tc>
        <w:tc>
          <w:tcPr>
            <w:tcW w:w="1138" w:type="dxa"/>
          </w:tcPr>
          <w:p w14:paraId="7D1CCE6B">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总价</w:t>
            </w:r>
          </w:p>
        </w:tc>
        <w:tc>
          <w:tcPr>
            <w:tcW w:w="1934" w:type="dxa"/>
          </w:tcPr>
          <w:p w14:paraId="7E0E7C89">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无</w:t>
            </w:r>
          </w:p>
        </w:tc>
      </w:tr>
    </w:tbl>
    <w:p w14:paraId="28842858">
      <w:pPr>
        <w:ind w:firstLine="480"/>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★注：投标人响应产品应当明确品牌和规格型号并指向唯一产品，不能指向唯一产品的，应通过报价表唯一产品说明栏补充说明。</w:t>
      </w:r>
    </w:p>
    <w:p w14:paraId="464B283E">
      <w:pPr>
        <w:jc w:val="left"/>
        <w:outlineLvl w:val="3"/>
        <w:rPr>
          <w:rFonts w:hint="eastAsia" w:ascii="Calibri" w:hAnsi="Calibri" w:eastAsia="宋体" w:cs="Times New Roman"/>
          <w:lang w:val="en-US" w:eastAsia="zh-Hans"/>
        </w:rPr>
      </w:pPr>
      <w:r>
        <w:rPr>
          <w:rFonts w:hint="eastAsia" w:ascii="仿宋_GB2312" w:hAnsi="仿宋_GB2312" w:eastAsia="仿宋_GB2312" w:cs="仿宋_GB2312"/>
          <w:b/>
          <w:sz w:val="24"/>
          <w:lang w:val="en-US" w:eastAsia="zh-Hans"/>
        </w:rPr>
        <w:t>本项目涉及核心产品：</w:t>
      </w:r>
    </w:p>
    <w:p w14:paraId="0B4A79BD">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31D6AC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70A8D1C">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序号</w:t>
            </w:r>
          </w:p>
        </w:tc>
        <w:tc>
          <w:tcPr>
            <w:tcW w:w="2492" w:type="dxa"/>
          </w:tcPr>
          <w:p w14:paraId="0015430F">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采购品目名称</w:t>
            </w:r>
          </w:p>
        </w:tc>
        <w:tc>
          <w:tcPr>
            <w:tcW w:w="2492" w:type="dxa"/>
          </w:tcPr>
          <w:p w14:paraId="3411F3A1">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标的名称</w:t>
            </w:r>
          </w:p>
        </w:tc>
        <w:tc>
          <w:tcPr>
            <w:tcW w:w="2492" w:type="dxa"/>
          </w:tcPr>
          <w:p w14:paraId="365B564D">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产品名称</w:t>
            </w:r>
          </w:p>
        </w:tc>
      </w:tr>
      <w:tr w14:paraId="7360A7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1FC2007">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1</w:t>
            </w:r>
          </w:p>
        </w:tc>
        <w:tc>
          <w:tcPr>
            <w:tcW w:w="2492" w:type="dxa"/>
          </w:tcPr>
          <w:p w14:paraId="5B6AFB9C">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A02321200 医用 X 线诊断设备</w:t>
            </w:r>
          </w:p>
        </w:tc>
        <w:tc>
          <w:tcPr>
            <w:tcW w:w="2492" w:type="dxa"/>
          </w:tcPr>
          <w:p w14:paraId="74D9566E">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X线计算机断层扫描仪</w:t>
            </w:r>
          </w:p>
        </w:tc>
        <w:tc>
          <w:tcPr>
            <w:tcW w:w="2492" w:type="dxa"/>
          </w:tcPr>
          <w:p w14:paraId="0B56EAAB">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X线计算机断层扫描仪</w:t>
            </w:r>
          </w:p>
        </w:tc>
      </w:tr>
    </w:tbl>
    <w:p w14:paraId="764D7781">
      <w:pPr>
        <w:ind w:firstLine="480"/>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注：涉及核心产品的，具体评审规定见第五章。</w:t>
      </w:r>
    </w:p>
    <w:p w14:paraId="1037752B">
      <w:pPr>
        <w:jc w:val="left"/>
        <w:outlineLvl w:val="3"/>
        <w:rPr>
          <w:rFonts w:hint="eastAsia" w:ascii="Calibri" w:hAnsi="Calibri" w:eastAsia="宋体" w:cs="Times New Roman"/>
          <w:lang w:val="en-US" w:eastAsia="zh-Hans"/>
        </w:rPr>
      </w:pPr>
      <w:r>
        <w:rPr>
          <w:rFonts w:hint="eastAsia" w:ascii="仿宋_GB2312" w:hAnsi="仿宋_GB2312" w:eastAsia="仿宋_GB2312" w:cs="仿宋_GB2312"/>
          <w:b/>
          <w:sz w:val="24"/>
          <w:lang w:val="en-US" w:eastAsia="zh-Hans"/>
        </w:rPr>
        <w:t>本项目涉及采购进口产品：</w:t>
      </w:r>
    </w:p>
    <w:p w14:paraId="776A7CC6">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04CFE8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10D5D26">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序号</w:t>
            </w:r>
          </w:p>
        </w:tc>
        <w:tc>
          <w:tcPr>
            <w:tcW w:w="2492" w:type="dxa"/>
          </w:tcPr>
          <w:p w14:paraId="188875C8">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采购品目名称</w:t>
            </w:r>
          </w:p>
        </w:tc>
        <w:tc>
          <w:tcPr>
            <w:tcW w:w="2492" w:type="dxa"/>
          </w:tcPr>
          <w:p w14:paraId="3DF62F30">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标的名称</w:t>
            </w:r>
          </w:p>
        </w:tc>
        <w:tc>
          <w:tcPr>
            <w:tcW w:w="2492" w:type="dxa"/>
          </w:tcPr>
          <w:p w14:paraId="690BB814">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产品名称</w:t>
            </w:r>
          </w:p>
        </w:tc>
      </w:tr>
      <w:tr w14:paraId="14464D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4"/>
          </w:tcPr>
          <w:p w14:paraId="26F6A4F3">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不涉及</w:t>
            </w:r>
          </w:p>
        </w:tc>
      </w:tr>
    </w:tbl>
    <w:p w14:paraId="09652072">
      <w:pPr>
        <w:ind w:firstLine="480"/>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★注：不涉及采购进口产品时，投标人不得提供进口产品进行响应；涉及采购进口产品时，如国产产品满足采购需求，也可提供国产产品进行响应。</w:t>
      </w:r>
    </w:p>
    <w:p w14:paraId="1F67DACE">
      <w:pPr>
        <w:jc w:val="left"/>
        <w:outlineLvl w:val="3"/>
        <w:rPr>
          <w:rFonts w:hint="eastAsia" w:ascii="Calibri" w:hAnsi="Calibri" w:eastAsia="宋体" w:cs="Times New Roman"/>
          <w:lang w:val="en-US" w:eastAsia="zh-Hans"/>
        </w:rPr>
      </w:pPr>
      <w:r>
        <w:rPr>
          <w:rFonts w:hint="eastAsia" w:ascii="仿宋_GB2312" w:hAnsi="仿宋_GB2312" w:eastAsia="仿宋_GB2312" w:cs="仿宋_GB2312"/>
          <w:b/>
          <w:sz w:val="24"/>
          <w:lang w:val="en-US" w:eastAsia="zh-Hans"/>
        </w:rPr>
        <w:t>本项目涉及强制采购节能产品：</w:t>
      </w:r>
    </w:p>
    <w:p w14:paraId="4163818D">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219E82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31" w:type="dxa"/>
          </w:tcPr>
          <w:p w14:paraId="5B8D8F30">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序号</w:t>
            </w:r>
          </w:p>
        </w:tc>
        <w:tc>
          <w:tcPr>
            <w:tcW w:w="2492" w:type="dxa"/>
          </w:tcPr>
          <w:p w14:paraId="754F1567">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采购品目名称</w:t>
            </w:r>
          </w:p>
        </w:tc>
        <w:tc>
          <w:tcPr>
            <w:tcW w:w="2492" w:type="dxa"/>
          </w:tcPr>
          <w:p w14:paraId="662C86A1">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标的名称</w:t>
            </w:r>
          </w:p>
        </w:tc>
        <w:tc>
          <w:tcPr>
            <w:tcW w:w="2492" w:type="dxa"/>
          </w:tcPr>
          <w:p w14:paraId="3F7A888E">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产品名称</w:t>
            </w:r>
          </w:p>
        </w:tc>
      </w:tr>
      <w:tr w14:paraId="34BEA7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4"/>
          </w:tcPr>
          <w:p w14:paraId="4BE34137">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不涉及</w:t>
            </w:r>
          </w:p>
        </w:tc>
      </w:tr>
    </w:tbl>
    <w:p w14:paraId="12FFDD30">
      <w:pPr>
        <w:ind w:firstLine="480"/>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注：响应产品属于《节能产品政府采购品目清单》中政府强制采购的产品，投标人应当提供由国家确定的认证机构出具的、处于有效期之内的节能产品认证证书的原件扫描件或“全国认证认可信息公共服务平台”（http://cx.cnca.cn）的认证信息截图，否则作无效投标处理。具体要求详见第五章符合性审查表。</w:t>
      </w:r>
    </w:p>
    <w:p w14:paraId="1C10C182">
      <w:pPr>
        <w:jc w:val="left"/>
        <w:rPr>
          <w:rFonts w:hint="eastAsia" w:ascii="Calibri" w:hAnsi="Calibri" w:eastAsia="宋体" w:cs="Times New Roman"/>
          <w:lang w:val="en-US" w:eastAsia="zh-Hans"/>
        </w:rPr>
      </w:pPr>
      <w:r>
        <w:rPr>
          <w:rFonts w:hint="eastAsia" w:ascii="仿宋_GB2312" w:hAnsi="仿宋_GB2312" w:eastAsia="仿宋_GB2312" w:cs="仿宋_GB2312"/>
          <w:b/>
          <w:lang w:val="en-US" w:eastAsia="zh-Hans"/>
        </w:rPr>
        <w:t>本项目涉及优先采购节能产品：</w:t>
      </w:r>
    </w:p>
    <w:p w14:paraId="7023C818">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125E4E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F940007">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序号</w:t>
            </w:r>
          </w:p>
        </w:tc>
        <w:tc>
          <w:tcPr>
            <w:tcW w:w="2492" w:type="dxa"/>
          </w:tcPr>
          <w:p w14:paraId="36D617EC">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采购品目名称</w:t>
            </w:r>
          </w:p>
        </w:tc>
        <w:tc>
          <w:tcPr>
            <w:tcW w:w="2492" w:type="dxa"/>
          </w:tcPr>
          <w:p w14:paraId="4B2996B7">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标的名称</w:t>
            </w:r>
          </w:p>
        </w:tc>
        <w:tc>
          <w:tcPr>
            <w:tcW w:w="2492" w:type="dxa"/>
          </w:tcPr>
          <w:p w14:paraId="19C33646">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产品名称</w:t>
            </w:r>
          </w:p>
        </w:tc>
      </w:tr>
      <w:tr w14:paraId="479A1D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4"/>
          </w:tcPr>
          <w:p w14:paraId="37D21C4F">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不涉及</w:t>
            </w:r>
          </w:p>
        </w:tc>
      </w:tr>
    </w:tbl>
    <w:p w14:paraId="2802A7E4">
      <w:pPr>
        <w:ind w:firstLine="480"/>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注：响应产品属于《节能产品政府采购品目清单》中优先采购的产品，投标人提供由国家确定的认证机构出具的、处于有效期之内的节能产品认证证书的原件扫描件或“全国认证认可信息公共服务平台”（http://cx.cnca.cn）的认证信息截图，可以享受优先采购政策。具体要求详见第五章规定。</w:t>
      </w:r>
    </w:p>
    <w:p w14:paraId="4CE27566">
      <w:pPr>
        <w:jc w:val="left"/>
        <w:outlineLvl w:val="3"/>
        <w:rPr>
          <w:rFonts w:hint="eastAsia" w:ascii="Calibri" w:hAnsi="Calibri" w:eastAsia="宋体" w:cs="Times New Roman"/>
          <w:lang w:val="en-US" w:eastAsia="zh-Hans"/>
        </w:rPr>
      </w:pPr>
      <w:r>
        <w:rPr>
          <w:rFonts w:hint="eastAsia" w:ascii="仿宋_GB2312" w:hAnsi="仿宋_GB2312" w:eastAsia="仿宋_GB2312" w:cs="仿宋_GB2312"/>
          <w:b/>
          <w:sz w:val="24"/>
          <w:lang w:val="en-US" w:eastAsia="zh-Hans"/>
        </w:rPr>
        <w:t>本项目涉及优先采购环境标志产品：</w:t>
      </w:r>
    </w:p>
    <w:p w14:paraId="59BC1F1A">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5B3ACC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2C42352">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序号</w:t>
            </w:r>
          </w:p>
        </w:tc>
        <w:tc>
          <w:tcPr>
            <w:tcW w:w="2492" w:type="dxa"/>
          </w:tcPr>
          <w:p w14:paraId="7C892118">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采购品目名称</w:t>
            </w:r>
          </w:p>
        </w:tc>
        <w:tc>
          <w:tcPr>
            <w:tcW w:w="2492" w:type="dxa"/>
          </w:tcPr>
          <w:p w14:paraId="7651F784">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标的名称</w:t>
            </w:r>
          </w:p>
        </w:tc>
        <w:tc>
          <w:tcPr>
            <w:tcW w:w="2492" w:type="dxa"/>
          </w:tcPr>
          <w:p w14:paraId="1B6D7DE8">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产品名称</w:t>
            </w:r>
          </w:p>
        </w:tc>
      </w:tr>
      <w:tr w14:paraId="558C53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4"/>
          </w:tcPr>
          <w:p w14:paraId="6962FA1F">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不涉及</w:t>
            </w:r>
          </w:p>
        </w:tc>
      </w:tr>
    </w:tbl>
    <w:p w14:paraId="089A49F6">
      <w:pPr>
        <w:ind w:firstLine="480"/>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注：响应产品属于《环境标志产品政府采购品目清单》中的产品，投标人提供由国家确定的认证机构出具的、处于有效期之内的环境标志产品认证证书的原件扫描件或“全国认证认可信息公共服务平台”（http://cx.cnca.cn）的认证信息截图，可以享受优先采购政策。具体要求详见第五章规定。</w:t>
      </w:r>
    </w:p>
    <w:p w14:paraId="600AEDB8">
      <w:pPr>
        <w:jc w:val="left"/>
        <w:outlineLvl w:val="2"/>
        <w:rPr>
          <w:rFonts w:hint="eastAsia" w:ascii="Calibri" w:hAnsi="Calibri" w:eastAsia="宋体" w:cs="Times New Roman"/>
          <w:lang w:val="en-US" w:eastAsia="zh-Hans"/>
        </w:rPr>
      </w:pPr>
      <w:r>
        <w:rPr>
          <w:rFonts w:hint="eastAsia" w:ascii="仿宋_GB2312" w:hAnsi="仿宋_GB2312" w:eastAsia="仿宋_GB2312" w:cs="仿宋_GB2312"/>
          <w:b/>
          <w:sz w:val="28"/>
          <w:lang w:val="en-US" w:eastAsia="zh-Hans"/>
        </w:rPr>
        <w:t>3.2.技术要求</w:t>
      </w:r>
    </w:p>
    <w:p w14:paraId="53D78420">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采购包1：</w:t>
      </w:r>
    </w:p>
    <w:p w14:paraId="5D372B41">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标的名称：X线计算机断层扫描仪</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0A681F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750D2C56">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序号</w:t>
            </w:r>
          </w:p>
        </w:tc>
        <w:tc>
          <w:tcPr>
            <w:tcW w:w="581" w:type="dxa"/>
          </w:tcPr>
          <w:p w14:paraId="75DEFA32">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符号标识</w:t>
            </w:r>
          </w:p>
        </w:tc>
        <w:tc>
          <w:tcPr>
            <w:tcW w:w="1495" w:type="dxa"/>
          </w:tcPr>
          <w:p w14:paraId="1631E8B7">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技术要求名称</w:t>
            </w:r>
          </w:p>
        </w:tc>
        <w:tc>
          <w:tcPr>
            <w:tcW w:w="5814" w:type="dxa"/>
          </w:tcPr>
          <w:p w14:paraId="6669EA7B">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技术参数与性能指标</w:t>
            </w:r>
          </w:p>
        </w:tc>
      </w:tr>
      <w:tr w14:paraId="6BF3E4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0BADDCBA">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1</w:t>
            </w:r>
          </w:p>
        </w:tc>
        <w:tc>
          <w:tcPr>
            <w:tcW w:w="581" w:type="dxa"/>
          </w:tcPr>
          <w:p w14:paraId="0B6719B8">
            <w:pPr>
              <w:rPr>
                <w:rFonts w:ascii="Calibri" w:hAnsi="Calibri" w:eastAsia="宋体" w:cs="Times New Roman"/>
              </w:rPr>
            </w:pPr>
          </w:p>
        </w:tc>
        <w:tc>
          <w:tcPr>
            <w:tcW w:w="1495" w:type="dxa"/>
          </w:tcPr>
          <w:p w14:paraId="6DADF560">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技术要求</w:t>
            </w:r>
          </w:p>
        </w:tc>
        <w:tc>
          <w:tcPr>
            <w:tcW w:w="5814" w:type="dxa"/>
          </w:tcPr>
          <w:p w14:paraId="5912861F">
            <w:pPr>
              <w:jc w:val="left"/>
              <w:rPr>
                <w:rFonts w:hint="eastAsia" w:ascii="Calibri" w:hAnsi="Calibri" w:eastAsia="宋体" w:cs="Times New Roman"/>
                <w:lang w:val="en-US" w:eastAsia="zh-Hans"/>
              </w:rPr>
            </w:pPr>
            <w:r>
              <w:rPr>
                <w:rFonts w:hint="eastAsia" w:ascii="仿宋_GB2312" w:hAnsi="仿宋_GB2312" w:eastAsia="仿宋_GB2312" w:cs="仿宋_GB2312"/>
                <w:b/>
                <w:color w:val="000000"/>
                <w:sz w:val="24"/>
                <w:lang w:val="en-US" w:eastAsia="zh-Hans"/>
              </w:rPr>
              <w:t>一数据采集及X线系统</w:t>
            </w:r>
          </w:p>
          <w:p w14:paraId="44003C7F">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1.1★单源CT排数≥256排且高压发生器最大功率＞100kW（非等效）或单源CT排数≥320排且高压发生器最大功率≥100kW（非等效）；双源CT排数≥96排×2且高压发生器功率≥120kW（非等效）；或双层探测器CT排数≥128排×2且高压发生器功率≥120kW（非等效）。</w:t>
            </w:r>
          </w:p>
          <w:p w14:paraId="2D00CF65">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1.2 探测器在等中心线轴扫覆盖的Z轴宽度≥16cm。</w:t>
            </w:r>
          </w:p>
          <w:p w14:paraId="3EC33ACE">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 xml:space="preserve">1.3 ▲探测器X-Y轴每排物理单元数（每排探测器单元数量不一致时按照最小值计算）≥890个。   </w:t>
            </w:r>
          </w:p>
          <w:p w14:paraId="49E97606">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1.4▲ 探测器Z轴排列方式为等距排列（探测器单元尺寸在Z轴方向具备一致性）且每排单元最小像素尺寸（投影至旋转中心）≤0.6mm。</w:t>
            </w:r>
          </w:p>
          <w:p w14:paraId="719BDD06">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1.5▲数据最大采样率≥4700view/圈。</w:t>
            </w:r>
          </w:p>
          <w:p w14:paraId="50E4D7D7">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1.6具备3D防散射光栅。</w:t>
            </w:r>
          </w:p>
          <w:p w14:paraId="007C2319">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1.7探测器散射线比例(SPR)：≤10%。</w:t>
            </w:r>
          </w:p>
          <w:p w14:paraId="232D7073">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1.8球管轴承类型：液态金属轴承。</w:t>
            </w:r>
          </w:p>
          <w:p w14:paraId="0F8E5018">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1.9球管阳极热容量≥30MHU。</w:t>
            </w:r>
          </w:p>
          <w:p w14:paraId="7BFCD305">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1.10球管阳极散热率≥1300kHU/min。</w:t>
            </w:r>
          </w:p>
          <w:p w14:paraId="30DC10EF">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1.11 焦点个数≥3个。</w:t>
            </w:r>
          </w:p>
          <w:p w14:paraId="3A6826A5">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1.12▲最小焦点尺寸≤0.4mm x 0.8mm。</w:t>
            </w:r>
          </w:p>
          <w:p w14:paraId="3B0360EE">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1.13▲最大焦点尺寸≤1.1mm x 1.2mm 。</w:t>
            </w:r>
          </w:p>
          <w:p w14:paraId="5C1A1605">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1.14▲最长连续曝光时间≥120s 。</w:t>
            </w:r>
          </w:p>
          <w:p w14:paraId="4A60A70B">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1.15最低输出管电流≤10mA。</w:t>
            </w:r>
          </w:p>
          <w:p w14:paraId="0EE350F6">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1.16最高输出管电流（不含等效概念）≥800mA。</w:t>
            </w:r>
          </w:p>
          <w:p w14:paraId="382B83FA">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1.17管电流步进≤1mA。</w:t>
            </w:r>
          </w:p>
          <w:p w14:paraId="1D19806F">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1.18最低管电压≤70kV。</w:t>
            </w:r>
          </w:p>
          <w:p w14:paraId="58E24550">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1.19最高管电压≥140kV。</w:t>
            </w:r>
          </w:p>
          <w:p w14:paraId="68CEE421">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1.20管电压可选档数≥5档。</w:t>
            </w:r>
          </w:p>
          <w:p w14:paraId="6BCF51B5">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1.21具备X、Y轴方向飞焦点。</w:t>
            </w:r>
          </w:p>
          <w:p w14:paraId="58A83589">
            <w:pPr>
              <w:jc w:val="left"/>
              <w:rPr>
                <w:rFonts w:hint="eastAsia" w:ascii="Calibri" w:hAnsi="Calibri" w:eastAsia="宋体" w:cs="Times New Roman"/>
                <w:lang w:val="en-US" w:eastAsia="zh-Hans"/>
              </w:rPr>
            </w:pPr>
            <w:r>
              <w:rPr>
                <w:rFonts w:hint="eastAsia" w:ascii="仿宋_GB2312" w:hAnsi="仿宋_GB2312" w:eastAsia="仿宋_GB2312" w:cs="仿宋_GB2312"/>
                <w:b/>
                <w:color w:val="000000"/>
                <w:sz w:val="24"/>
                <w:lang w:val="en-US" w:eastAsia="zh-Hans"/>
              </w:rPr>
              <w:t>二扫描机架</w:t>
            </w:r>
          </w:p>
          <w:p w14:paraId="0720629D">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2.1★机架孔径：≥76cm且≤82cm。</w:t>
            </w:r>
          </w:p>
          <w:p w14:paraId="7A18BE89">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2.2机架物理最快转速（非等效）≤0.28s/圈。</w:t>
            </w:r>
          </w:p>
          <w:p w14:paraId="29C34661">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2.3▲焦点到探测器距离≥107cm。</w:t>
            </w:r>
          </w:p>
          <w:p w14:paraId="1294C6CB">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2.4焦点到等中心点距离≥57cm 。</w:t>
            </w:r>
          </w:p>
          <w:p w14:paraId="01B749E5">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2.5 机架倾斜角度包含-30°~+30°。</w:t>
            </w:r>
          </w:p>
          <w:p w14:paraId="25F8423C">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2.6滑环类型：低压滑环。</w:t>
            </w:r>
          </w:p>
          <w:p w14:paraId="7E123FBC">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2.7机架内部冷却方式：水冷或风冷。</w:t>
            </w:r>
          </w:p>
          <w:p w14:paraId="702D2E99">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2.8机架内置触控屏显示系统数量≥2个。</w:t>
            </w:r>
          </w:p>
          <w:p w14:paraId="002C0F59">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2.9床旁提供患者信息、扫描床位置、扫描时间的显示。</w:t>
            </w:r>
          </w:p>
          <w:p w14:paraId="101ECEFE">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2.10具备语音呼吸导航系统。</w:t>
            </w:r>
          </w:p>
          <w:p w14:paraId="117CD9D0">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2.11具备视觉呼吸导航系统。</w:t>
            </w:r>
          </w:p>
          <w:p w14:paraId="3210C657">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2.12具备内外激光定位灯。</w:t>
            </w:r>
          </w:p>
          <w:p w14:paraId="15729F71">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2.13具备机架自动摆位技术。</w:t>
            </w:r>
          </w:p>
          <w:p w14:paraId="5E89C9FF">
            <w:pPr>
              <w:jc w:val="left"/>
              <w:rPr>
                <w:rFonts w:hint="eastAsia" w:ascii="Calibri" w:hAnsi="Calibri" w:eastAsia="宋体" w:cs="Times New Roman"/>
                <w:lang w:val="en-US" w:eastAsia="zh-Hans"/>
              </w:rPr>
            </w:pPr>
            <w:r>
              <w:rPr>
                <w:rFonts w:hint="eastAsia" w:ascii="仿宋_GB2312" w:hAnsi="仿宋_GB2312" w:eastAsia="仿宋_GB2312" w:cs="仿宋_GB2312"/>
                <w:b/>
                <w:color w:val="000000"/>
                <w:sz w:val="24"/>
                <w:lang w:val="en-US" w:eastAsia="zh-Hans"/>
              </w:rPr>
              <w:t>三扫描床系统</w:t>
            </w:r>
          </w:p>
          <w:p w14:paraId="41A3D13F">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3.1▲扫描床承重≥305Kg。</w:t>
            </w:r>
          </w:p>
          <w:p w14:paraId="6AEEBD30">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3.2水平移动范围≥200cm。</w:t>
            </w:r>
          </w:p>
          <w:p w14:paraId="7EFAB332">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3.3螺旋可扫描范围≥200cm。</w:t>
            </w:r>
          </w:p>
          <w:p w14:paraId="1BA93C3B">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3.4水平移床速度≥400mm/s。</w:t>
            </w:r>
          </w:p>
          <w:p w14:paraId="4ADAA49F">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3.5垂直升降最低位置≤50cm。</w:t>
            </w:r>
          </w:p>
          <w:p w14:paraId="09091A16">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3.6垂直升降最高位置≥90cm。</w:t>
            </w:r>
          </w:p>
          <w:p w14:paraId="493B38FD">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3.7▲垂直升降速度≥55mm/s 。</w:t>
            </w:r>
          </w:p>
          <w:p w14:paraId="56561D63">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 xml:space="preserve">3.8水平定位精度-0.25mm~0.25mm之间。   </w:t>
            </w:r>
          </w:p>
          <w:p w14:paraId="77C889C6">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 xml:space="preserve">3.9具备扫描床控制脚踏开关。  </w:t>
            </w:r>
          </w:p>
          <w:p w14:paraId="68895BA1">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3.10 内置式心电监护系统。</w:t>
            </w:r>
          </w:p>
          <w:p w14:paraId="776F1441">
            <w:pPr>
              <w:jc w:val="left"/>
              <w:rPr>
                <w:rFonts w:hint="eastAsia" w:ascii="Calibri" w:hAnsi="Calibri" w:eastAsia="宋体" w:cs="Times New Roman"/>
                <w:lang w:val="en-US" w:eastAsia="zh-Hans"/>
              </w:rPr>
            </w:pPr>
            <w:r>
              <w:rPr>
                <w:rFonts w:hint="eastAsia" w:ascii="仿宋_GB2312" w:hAnsi="仿宋_GB2312" w:eastAsia="仿宋_GB2312" w:cs="仿宋_GB2312"/>
                <w:b/>
                <w:color w:val="000000"/>
                <w:sz w:val="24"/>
                <w:lang w:val="en-US" w:eastAsia="zh-Hans"/>
              </w:rPr>
              <w:t>四控制台及重建医用工作站系统</w:t>
            </w:r>
          </w:p>
          <w:p w14:paraId="4EEA3564">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4.1主控台医用工作站内存≥24GB。</w:t>
            </w:r>
          </w:p>
          <w:p w14:paraId="528DFD9A">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4.2主控台固态硬盘容量≥2TB。</w:t>
            </w:r>
          </w:p>
          <w:p w14:paraId="37E00ACB">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★4.3主控台图像存储量（512x512矩阵，非压缩图像）≥3,000,000幅。</w:t>
            </w:r>
          </w:p>
          <w:p w14:paraId="0F258608">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★4.4主控台医用工作站操作系统：Windows系统。</w:t>
            </w:r>
          </w:p>
          <w:p w14:paraId="711BE6D0">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4.5重建医用工作站CPU≥8核。</w:t>
            </w:r>
          </w:p>
          <w:p w14:paraId="058006E0">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4.6 重建医用工作站内存≥32GB。</w:t>
            </w:r>
          </w:p>
          <w:p w14:paraId="56932618">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4.7重建医用工作站固态硬盘容量≥4TB。</w:t>
            </w:r>
          </w:p>
          <w:p w14:paraId="2F80F452">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4.8显示器尺寸≥24英寸。</w:t>
            </w:r>
          </w:p>
          <w:p w14:paraId="34D0C097">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4.9显示器分辨率≥2560x1440。</w:t>
            </w:r>
          </w:p>
          <w:p w14:paraId="3F5AF398">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★4.10支持CD/DVD读取和刻录。</w:t>
            </w:r>
          </w:p>
          <w:p w14:paraId="735A86DC">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★4.11具备USB外置硬盘接口。</w:t>
            </w:r>
          </w:p>
          <w:p w14:paraId="3D864DEE">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★4.12提供DICOM 3.0接口，支持DICOM 格式数据的传输、接收、打印、归档、查询。</w:t>
            </w:r>
          </w:p>
          <w:p w14:paraId="536DE0A5">
            <w:pPr>
              <w:jc w:val="left"/>
              <w:rPr>
                <w:rFonts w:hint="eastAsia" w:ascii="Calibri" w:hAnsi="Calibri" w:eastAsia="宋体" w:cs="Times New Roman"/>
                <w:lang w:val="en-US" w:eastAsia="zh-Hans"/>
              </w:rPr>
            </w:pPr>
            <w:r>
              <w:rPr>
                <w:rFonts w:hint="eastAsia" w:ascii="仿宋_GB2312" w:hAnsi="仿宋_GB2312" w:eastAsia="仿宋_GB2312" w:cs="仿宋_GB2312"/>
                <w:b/>
                <w:color w:val="000000"/>
                <w:sz w:val="24"/>
                <w:lang w:val="en-US" w:eastAsia="zh-Hans"/>
              </w:rPr>
              <w:t>五图像后处理工作站系统</w:t>
            </w:r>
          </w:p>
          <w:p w14:paraId="2F8CD8CF">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5.1后处理系统为CT设备厂商同品牌。</w:t>
            </w:r>
          </w:p>
          <w:p w14:paraId="6AADA74C">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5.2▲工作站系统为服务器架构，可院内远程登录。</w:t>
            </w:r>
          </w:p>
          <w:p w14:paraId="3806DF45">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5.3CPU≥4核。</w:t>
            </w:r>
          </w:p>
          <w:p w14:paraId="6DBF7C82">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5.4内存≥32GB。</w:t>
            </w:r>
          </w:p>
          <w:p w14:paraId="14745995">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5.5固态硬盘容量≥2TB 。</w:t>
            </w:r>
          </w:p>
          <w:p w14:paraId="790C6D83">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5.6显示器尺寸≥24英寸。</w:t>
            </w:r>
          </w:p>
          <w:p w14:paraId="3FC2BA68">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5.7显示器分辨率≥2560x1440。</w:t>
            </w:r>
          </w:p>
          <w:p w14:paraId="1FA5E96C">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★5.8支持CD/DVD读取和刻录。</w:t>
            </w:r>
          </w:p>
          <w:p w14:paraId="33566E2D">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★5.9具备USB外置硬盘接口。</w:t>
            </w:r>
          </w:p>
          <w:p w14:paraId="7A5BEE20">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★5.10 提供DICOM 3.0接口，支持DICOM 格式数据的传输、接收、打印、归档、查询。</w:t>
            </w:r>
          </w:p>
          <w:p w14:paraId="4EF8680C">
            <w:pPr>
              <w:jc w:val="left"/>
              <w:rPr>
                <w:rFonts w:hint="eastAsia" w:ascii="Calibri" w:hAnsi="Calibri" w:eastAsia="宋体" w:cs="Times New Roman"/>
                <w:lang w:val="en-US" w:eastAsia="zh-Hans"/>
              </w:rPr>
            </w:pPr>
            <w:r>
              <w:rPr>
                <w:rFonts w:hint="eastAsia" w:ascii="仿宋_GB2312" w:hAnsi="仿宋_GB2312" w:eastAsia="仿宋_GB2312" w:cs="仿宋_GB2312"/>
                <w:b/>
                <w:color w:val="000000"/>
                <w:sz w:val="24"/>
                <w:lang w:val="en-US" w:eastAsia="zh-Hans"/>
              </w:rPr>
              <w:t xml:space="preserve">六扫描重建参数与图像质量   </w:t>
            </w:r>
            <w:r>
              <w:rPr>
                <w:rFonts w:hint="eastAsia" w:ascii="仿宋_GB2312" w:hAnsi="仿宋_GB2312" w:eastAsia="仿宋_GB2312" w:cs="仿宋_GB2312"/>
                <w:color w:val="000000"/>
                <w:sz w:val="21"/>
                <w:lang w:val="en-US" w:eastAsia="zh-Hans"/>
              </w:rPr>
              <w:t xml:space="preserve">  </w:t>
            </w:r>
          </w:p>
          <w:p w14:paraId="6AF2D744">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6.1▲螺旋扫描时扫描层厚（螺旋最大采集层数模式下且扫描准直宽度大于8cm时）≤0.6mm</w:t>
            </w:r>
          </w:p>
          <w:p w14:paraId="4F7F4E2B">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6.2▲断层扫描时扫描层厚（断层最大采集层数模式下且扫描准直宽度大于8cm时）≤0.6mm。</w:t>
            </w:r>
          </w:p>
          <w:p w14:paraId="5323728D">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6.3螺旋扫描螺距≥2.0。</w:t>
            </w:r>
          </w:p>
          <w:p w14:paraId="2918E882">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6.4螺旋扫描Z轴准直覆盖范围≥8cm。</w:t>
            </w:r>
          </w:p>
          <w:p w14:paraId="4B9F38F3">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6.5提供轴扫和螺旋融合扫描功能。</w:t>
            </w:r>
          </w:p>
          <w:p w14:paraId="742FD5FC">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 xml:space="preserve">6.6提供门控和非门控融合扫描功能。   </w:t>
            </w:r>
          </w:p>
          <w:p w14:paraId="75A776DB">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6.7扫描FOV≥50cm。</w:t>
            </w:r>
          </w:p>
          <w:p w14:paraId="7F3C6D94">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6.8重建FOV范围≥50cm。</w:t>
            </w:r>
          </w:p>
          <w:p w14:paraId="480E862B">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6.9扩展重建FOV≥60cm。</w:t>
            </w:r>
          </w:p>
          <w:p w14:paraId="744F3F1C">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6.10图像重建矩阵≥1024x1024。</w:t>
            </w:r>
          </w:p>
          <w:p w14:paraId="5019EB8D">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6.11最小CT值（非扩展）≤-1024HU。</w:t>
            </w:r>
          </w:p>
          <w:p w14:paraId="430AB2B8">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6.12最大CT值（非扩展）≥3072HU。</w:t>
            </w:r>
          </w:p>
          <w:p w14:paraId="43BE3E04">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 xml:space="preserve">6.13图像重建速度≥60幅/秒。   </w:t>
            </w:r>
          </w:p>
          <w:p w14:paraId="6B57788A">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6.14X-Y平面空间分辨率 MTF 0%≥20 lp/cm。</w:t>
            </w:r>
          </w:p>
          <w:p w14:paraId="323E42D9">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6.15 Z方向空间分辨率 MTF 0%≥20 lp/cm。</w:t>
            </w:r>
          </w:p>
          <w:p w14:paraId="47A706C6">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6.16 低对比度分辨率2mm@0.3%≤22mGy。</w:t>
            </w:r>
          </w:p>
          <w:p w14:paraId="3B53709D">
            <w:pPr>
              <w:jc w:val="left"/>
              <w:rPr>
                <w:rFonts w:hint="eastAsia" w:ascii="Calibri" w:hAnsi="Calibri" w:eastAsia="宋体" w:cs="Times New Roman"/>
                <w:lang w:val="en-US" w:eastAsia="zh-Hans"/>
              </w:rPr>
            </w:pPr>
            <w:r>
              <w:rPr>
                <w:rFonts w:hint="eastAsia" w:ascii="仿宋_GB2312" w:hAnsi="仿宋_GB2312" w:eastAsia="仿宋_GB2312" w:cs="仿宋_GB2312"/>
                <w:b/>
                <w:color w:val="000000"/>
                <w:sz w:val="24"/>
                <w:lang w:val="en-US" w:eastAsia="zh-Hans"/>
              </w:rPr>
              <w:t>七剂量控制方案</w:t>
            </w:r>
          </w:p>
          <w:p w14:paraId="453CCC4C">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7.1具备低剂量管理功能。</w:t>
            </w:r>
          </w:p>
          <w:p w14:paraId="614DCFE0">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7.2具备扫描剂量预估功能。</w:t>
            </w:r>
          </w:p>
          <w:p w14:paraId="068E1C2B">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7.3具备剂量报告功能。</w:t>
            </w:r>
          </w:p>
          <w:p w14:paraId="7F319CEE">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7.4具备扫描剂量智能监控预警平台。</w:t>
            </w:r>
          </w:p>
          <w:p w14:paraId="59E268B6">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7.5具备3D自动mA功能。</w:t>
            </w:r>
          </w:p>
          <w:p w14:paraId="389274B8">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7.6具备自动kV功能：根据定位相自动推荐最佳kV和mA。</w:t>
            </w:r>
          </w:p>
          <w:p w14:paraId="2E66887B">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 xml:space="preserve">7.7具备70kV低剂量扫描模式。     </w:t>
            </w:r>
          </w:p>
          <w:p w14:paraId="65DE464C">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7.8根据扫描部位和患者体型，提供不同扫描FOV≥3种 。</w:t>
            </w:r>
          </w:p>
          <w:p w14:paraId="5220BD8F">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7.9提供儿童低剂量协议。</w:t>
            </w:r>
          </w:p>
          <w:p w14:paraId="64060AA9">
            <w:pPr>
              <w:jc w:val="left"/>
              <w:rPr>
                <w:rFonts w:hint="eastAsia" w:ascii="Calibri" w:hAnsi="Calibri" w:eastAsia="宋体" w:cs="Times New Roman"/>
                <w:lang w:val="en-US" w:eastAsia="zh-Hans"/>
              </w:rPr>
            </w:pPr>
            <w:r>
              <w:rPr>
                <w:rFonts w:hint="eastAsia" w:ascii="仿宋_GB2312" w:hAnsi="仿宋_GB2312" w:eastAsia="仿宋_GB2312" w:cs="仿宋_GB2312"/>
                <w:b/>
                <w:color w:val="000000"/>
                <w:sz w:val="24"/>
                <w:lang w:val="en-US" w:eastAsia="zh-Hans"/>
              </w:rPr>
              <w:t>八基础临床应用软件</w:t>
            </w:r>
          </w:p>
          <w:p w14:paraId="230F4836">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8.1具备多平面重建（MPR）。</w:t>
            </w:r>
          </w:p>
          <w:p w14:paraId="41D6D4CE">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8.2具备最大密度投影（MIP）。</w:t>
            </w:r>
          </w:p>
          <w:p w14:paraId="7173A458">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8.3具备最小密度投影（MinP）。</w:t>
            </w:r>
          </w:p>
          <w:p w14:paraId="0FA8EFD7">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8.4具备曲面重建（CPR）。</w:t>
            </w:r>
          </w:p>
          <w:p w14:paraId="7447260C">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8.5具备容积三维重建（VR）。</w:t>
            </w:r>
          </w:p>
          <w:p w14:paraId="74BDFA60">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8.6具备区域生长。</w:t>
            </w:r>
          </w:p>
          <w:p w14:paraId="5FBA77F7">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8.7具备表面重建（SSD）。</w:t>
            </w:r>
          </w:p>
          <w:p w14:paraId="62856F2C">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8.8提供容积三维重建模板≥5种。</w:t>
            </w:r>
          </w:p>
          <w:p w14:paraId="03FEF901">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8.9具备三维仿真内窥镜显示功能。</w:t>
            </w:r>
          </w:p>
          <w:p w14:paraId="20A59762">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8.10具备图像剪影功能。</w:t>
            </w:r>
          </w:p>
          <w:p w14:paraId="2690A6C3">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8.11具备电影模式图像浏览功能。</w:t>
            </w:r>
          </w:p>
          <w:p w14:paraId="033CE931">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8.12具备组织裁剪功能。</w:t>
            </w:r>
          </w:p>
          <w:p w14:paraId="1F3D86AB">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8.13可随扫描曝光进行实时MPR图像预览。</w:t>
            </w:r>
          </w:p>
          <w:p w14:paraId="29B46271">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8.14可随扫描曝光进行实时VR图像预览。</w:t>
            </w:r>
          </w:p>
          <w:p w14:paraId="5F20D9E4">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8.15具备多期增强扫描功能。</w:t>
            </w:r>
          </w:p>
          <w:p w14:paraId="3183A80E">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 xml:space="preserve">8.16具备CTA血管造影功能。  </w:t>
            </w:r>
          </w:p>
          <w:p w14:paraId="29359160">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8.17具备CTU尿路造影功能。</w:t>
            </w:r>
          </w:p>
          <w:p w14:paraId="4AA0CACC">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 xml:space="preserve">8.18具备造影剂自动跟踪功能。  </w:t>
            </w:r>
          </w:p>
          <w:p w14:paraId="04806CD1">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 xml:space="preserve">8.19具备小剂量团注跟踪测试功能。  </w:t>
            </w:r>
          </w:p>
          <w:p w14:paraId="3B35716B">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 xml:space="preserve">8.20具备脑出血测量功能。  </w:t>
            </w:r>
          </w:p>
          <w:p w14:paraId="1A1ECA79">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8.21具备脑容积测量功能。</w:t>
            </w:r>
          </w:p>
          <w:p w14:paraId="47E249D5">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8.22具备齿科全景图。</w:t>
            </w:r>
          </w:p>
          <w:p w14:paraId="08E3C53F">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8.23具备齿科剖面图。</w:t>
            </w:r>
          </w:p>
          <w:p w14:paraId="7A85E182">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8.24具备融合软件包。</w:t>
            </w:r>
          </w:p>
          <w:p w14:paraId="7578BFA0">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8.25具备肿瘤评估后处理软件</w:t>
            </w:r>
          </w:p>
          <w:p w14:paraId="2652B55C">
            <w:pPr>
              <w:jc w:val="left"/>
              <w:rPr>
                <w:rFonts w:hint="eastAsia" w:ascii="Calibri" w:hAnsi="Calibri" w:eastAsia="宋体" w:cs="Times New Roman"/>
                <w:lang w:val="en-US" w:eastAsia="zh-Hans"/>
              </w:rPr>
            </w:pPr>
            <w:r>
              <w:rPr>
                <w:rFonts w:hint="eastAsia" w:ascii="仿宋_GB2312" w:hAnsi="仿宋_GB2312" w:eastAsia="仿宋_GB2312" w:cs="仿宋_GB2312"/>
                <w:b/>
                <w:color w:val="000000"/>
                <w:sz w:val="24"/>
                <w:lang w:val="en-US" w:eastAsia="zh-Hans"/>
              </w:rPr>
              <w:t>九肺实质分析后处理软件</w:t>
            </w:r>
          </w:p>
          <w:p w14:paraId="0BD22549">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9.1 支持肺自动分割。</w:t>
            </w:r>
          </w:p>
          <w:p w14:paraId="3D54295F">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9.2支持肺轮廓编辑。</w:t>
            </w:r>
          </w:p>
          <w:p w14:paraId="1D1B5132">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9.3 支持肺叶自动分割。</w:t>
            </w:r>
          </w:p>
          <w:p w14:paraId="0754445D">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9.4 支持肺裂线调整、肺叶结果编辑。</w:t>
            </w:r>
          </w:p>
          <w:p w14:paraId="64B8BA50">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9.5支持根据密度高低阈值调节的肺密度分析。</w:t>
            </w:r>
          </w:p>
          <w:p w14:paraId="4B15ED51">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9.6支持肺气肿量化测量和颜色标记。</w:t>
            </w:r>
          </w:p>
          <w:p w14:paraId="6735487A">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9.7至少包含支持左肺右肺全肺体积参数、肺叶体积参数、密度直方图。</w:t>
            </w:r>
          </w:p>
          <w:p w14:paraId="5932DAFD">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9.8支持气管自动分割、中心线自动提取，多截面及拉直CPR显示。</w:t>
            </w:r>
          </w:p>
          <w:p w14:paraId="69B795BF">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9.9支持中心线手动提取、中心线校正、气管内外径轮廓编辑。</w:t>
            </w:r>
          </w:p>
          <w:p w14:paraId="792032BB">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9.10支持气道定量计算：至少提供截面积、气道壁面积和占比参数。</w:t>
            </w:r>
          </w:p>
          <w:p w14:paraId="693D38F1">
            <w:pPr>
              <w:jc w:val="left"/>
              <w:rPr>
                <w:rFonts w:hint="eastAsia" w:ascii="Calibri" w:hAnsi="Calibri" w:eastAsia="宋体" w:cs="Times New Roman"/>
                <w:lang w:val="en-US" w:eastAsia="zh-Hans"/>
              </w:rPr>
            </w:pPr>
            <w:r>
              <w:rPr>
                <w:rFonts w:hint="eastAsia" w:ascii="仿宋_GB2312" w:hAnsi="仿宋_GB2312" w:eastAsia="仿宋_GB2312" w:cs="仿宋_GB2312"/>
                <w:b/>
                <w:color w:val="000000"/>
                <w:sz w:val="24"/>
                <w:lang w:val="en-US" w:eastAsia="zh-Hans"/>
              </w:rPr>
              <w:t>十肺结节分析后处理软件</w:t>
            </w:r>
          </w:p>
          <w:p w14:paraId="35F612CF">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10.1支持肺结节自动检测和分割。</w:t>
            </w:r>
          </w:p>
          <w:p w14:paraId="6C87B7F2">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10.2支持不同类型结节的提取：实性结节、磨玻璃结节、混合性结节。</w:t>
            </w:r>
          </w:p>
          <w:p w14:paraId="782D0223">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10.3结节轮廓线可编辑。</w:t>
            </w:r>
          </w:p>
          <w:p w14:paraId="64B09850">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10.4至少支持自动测量结节直径、体积、CT值参数。</w:t>
            </w:r>
          </w:p>
          <w:p w14:paraId="2F28585A">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10.5支持自动计算结节中不同密度成分占比并以图文形式展示。</w:t>
            </w:r>
          </w:p>
          <w:p w14:paraId="6E97956D">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10.6支持同一患者在不同时间段的两个序列的图像比较，同步翻页阅片。</w:t>
            </w:r>
          </w:p>
          <w:p w14:paraId="79288719">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10.7支持结节传递：随访数据的结节半自动分割。</w:t>
            </w:r>
          </w:p>
          <w:p w14:paraId="05074619">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10.8支持评估结节的变化曲线。</w:t>
            </w:r>
          </w:p>
          <w:p w14:paraId="5A997BB2">
            <w:pPr>
              <w:jc w:val="left"/>
              <w:rPr>
                <w:rFonts w:hint="eastAsia" w:ascii="Calibri" w:hAnsi="Calibri" w:eastAsia="宋体" w:cs="Times New Roman"/>
                <w:lang w:val="en-US" w:eastAsia="zh-Hans"/>
              </w:rPr>
            </w:pPr>
            <w:r>
              <w:rPr>
                <w:rFonts w:hint="eastAsia" w:ascii="仿宋_GB2312" w:hAnsi="仿宋_GB2312" w:eastAsia="仿宋_GB2312" w:cs="仿宋_GB2312"/>
                <w:b/>
                <w:color w:val="000000"/>
                <w:sz w:val="24"/>
                <w:lang w:val="en-US" w:eastAsia="zh-Hans"/>
              </w:rPr>
              <w:t>十一头颈部血管分析后处理软件</w:t>
            </w:r>
          </w:p>
          <w:p w14:paraId="05588040">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11.1头颈部血管一键提取，无需平扫数据。</w:t>
            </w:r>
          </w:p>
          <w:p w14:paraId="0FE4918C">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11.2支持头颈部DSA剪影去骨。</w:t>
            </w:r>
          </w:p>
          <w:p w14:paraId="6C53F240">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11.3支持一键分割和提取动脉瘤。</w:t>
            </w:r>
          </w:p>
          <w:p w14:paraId="07FB56F0">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11.4支持动脉瘤体积、截面积、直径自动计算。</w:t>
            </w:r>
          </w:p>
          <w:p w14:paraId="5C3F34AB">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11.5支持自动去除静脉窦。</w:t>
            </w:r>
          </w:p>
          <w:p w14:paraId="6CF5EDB3">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11.6支持通过多点追踪、管径轮廓编辑、血管/骨区域生长对血管进行编辑。</w:t>
            </w:r>
          </w:p>
          <w:p w14:paraId="72B80228">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11.7支持中心线自动提取、中心线追踪、中心线编辑、显示/隐藏。</w:t>
            </w:r>
          </w:p>
          <w:p w14:paraId="4FD5FE71">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11.8支持对血管狭窄异常进行手动标记。</w:t>
            </w:r>
          </w:p>
          <w:p w14:paraId="70751D96">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11.9支持狭窄程度计算：参考面选取、面积、直径、狭窄率。</w:t>
            </w:r>
          </w:p>
          <w:p w14:paraId="20D47FFF">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11.10支持血管多参数计算：长度、直径、面积、角度。</w:t>
            </w:r>
          </w:p>
          <w:p w14:paraId="47CA6427">
            <w:pPr>
              <w:jc w:val="left"/>
              <w:rPr>
                <w:rFonts w:hint="eastAsia" w:ascii="Calibri" w:hAnsi="Calibri" w:eastAsia="宋体" w:cs="Times New Roman"/>
                <w:lang w:val="en-US" w:eastAsia="zh-Hans"/>
              </w:rPr>
            </w:pPr>
            <w:r>
              <w:rPr>
                <w:rFonts w:hint="eastAsia" w:ascii="仿宋_GB2312" w:hAnsi="仿宋_GB2312" w:eastAsia="仿宋_GB2312" w:cs="仿宋_GB2312"/>
                <w:b/>
                <w:color w:val="000000"/>
                <w:sz w:val="24"/>
                <w:lang w:val="en-US" w:eastAsia="zh-Hans"/>
              </w:rPr>
              <w:t>十二心血管成像及后处理软件</w:t>
            </w:r>
          </w:p>
          <w:p w14:paraId="1E226CEB">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12.1零键式心脏工作流，自动完成冠脉束提取和分析。</w:t>
            </w:r>
          </w:p>
          <w:p w14:paraId="6C4E6A17">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12.2具备心脏全自动分析。</w:t>
            </w:r>
          </w:p>
          <w:p w14:paraId="4C331C40">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12.3具备冠状动脉树自动提取。</w:t>
            </w:r>
          </w:p>
          <w:p w14:paraId="508AA091">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12.4具备冠状动脉名称自动标识。</w:t>
            </w:r>
          </w:p>
          <w:p w14:paraId="7EDF960A">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12.5具备冠状动脉长度测量。</w:t>
            </w:r>
          </w:p>
          <w:p w14:paraId="51E2C6C5">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12.6具备冠脉横断面积测量。</w:t>
            </w:r>
          </w:p>
          <w:p w14:paraId="3FD13E58">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12.7具备冠脉狭窄度测量。</w:t>
            </w:r>
          </w:p>
          <w:p w14:paraId="501EE015">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12.8具备冠状斑块定性定量分析。</w:t>
            </w:r>
          </w:p>
          <w:p w14:paraId="33A2F4BE">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12.9具备冠脉斑块体积定量分析。</w:t>
            </w:r>
          </w:p>
          <w:p w14:paraId="1118565B">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12.10具备类血管内超声功能。</w:t>
            </w:r>
          </w:p>
          <w:p w14:paraId="67F236F1">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12.11具备多期相重建。</w:t>
            </w:r>
          </w:p>
          <w:p w14:paraId="2B10CA80">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12.12支持瓣膜快速定位。</w:t>
            </w:r>
          </w:p>
          <w:p w14:paraId="029E92B8">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12.13支持腔室结果编辑。</w:t>
            </w:r>
          </w:p>
          <w:p w14:paraId="65B1F2A6">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12.14支持长短轴编辑。</w:t>
            </w:r>
          </w:p>
          <w:p w14:paraId="24ADCDF9">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12.15支持心室参数计算。</w:t>
            </w:r>
          </w:p>
          <w:p w14:paraId="7237E130">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12.16支持心房参数计算</w:t>
            </w:r>
          </w:p>
          <w:p w14:paraId="5D0797CC">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12.17支持自动标记心肌。</w:t>
            </w:r>
          </w:p>
          <w:p w14:paraId="0D319C74">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12.18支持牛眼图显示室壁运动位移、厚度。</w:t>
            </w:r>
          </w:p>
          <w:p w14:paraId="0D888856">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12.19支持电影播放心脏多时相运动。</w:t>
            </w:r>
          </w:p>
          <w:p w14:paraId="5296E857">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12.20支持标记并以伪彩区分钙化点。</w:t>
            </w:r>
          </w:p>
          <w:p w14:paraId="6E280EEB">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12.21支持钙化点修改，支持用户确认或重命名钙化点。</w:t>
            </w:r>
          </w:p>
          <w:p w14:paraId="76A797CB">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12.22支持钙化点增加</w:t>
            </w:r>
          </w:p>
          <w:p w14:paraId="4D7BEAB1">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12.23以质量积分计算钙化积分。</w:t>
            </w:r>
          </w:p>
          <w:p w14:paraId="1565B48E">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12.24以agatston积分计算钙化积分。</w:t>
            </w:r>
          </w:p>
          <w:p w14:paraId="47D31192">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12.25以体积积分计算钙化积分。</w:t>
            </w:r>
          </w:p>
          <w:p w14:paraId="4F280F64">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12.26支持快速保存功能。</w:t>
            </w:r>
          </w:p>
          <w:p w14:paraId="5AA387E5">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12.27高级后处理结果一键发送到结构化报告</w:t>
            </w:r>
          </w:p>
          <w:p w14:paraId="527E3944">
            <w:pPr>
              <w:jc w:val="left"/>
              <w:rPr>
                <w:rFonts w:hint="eastAsia" w:ascii="Calibri" w:hAnsi="Calibri" w:eastAsia="宋体" w:cs="Times New Roman"/>
                <w:lang w:val="en-US" w:eastAsia="zh-Hans"/>
              </w:rPr>
            </w:pPr>
            <w:r>
              <w:rPr>
                <w:rFonts w:hint="eastAsia" w:ascii="仿宋_GB2312" w:hAnsi="仿宋_GB2312" w:eastAsia="仿宋_GB2312" w:cs="仿宋_GB2312"/>
                <w:b/>
                <w:color w:val="000000"/>
                <w:sz w:val="24"/>
                <w:lang w:val="en-US" w:eastAsia="zh-Hans"/>
              </w:rPr>
              <w:t>十三多部位血管联合分析后处理软件</w:t>
            </w:r>
          </w:p>
          <w:p w14:paraId="417D0360">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13.1一站式提取多种血管并联合显示。</w:t>
            </w:r>
          </w:p>
          <w:p w14:paraId="2C60023A">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13.2支持自动中心线提取和标识。</w:t>
            </w:r>
          </w:p>
          <w:p w14:paraId="6F28734D">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13.3支持多点中心线追踪。</w:t>
            </w:r>
          </w:p>
          <w:p w14:paraId="6CC1D5BE">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13.4支持斑块分割和成分计算。</w:t>
            </w:r>
          </w:p>
          <w:p w14:paraId="53EA17E0">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13.5支持血管狭窄异常标记和定量计算。</w:t>
            </w:r>
          </w:p>
          <w:p w14:paraId="3FA070DC">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13.6支持心功能计算。</w:t>
            </w:r>
          </w:p>
          <w:p w14:paraId="611B0A3E">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13.7支持心肌定量计算。</w:t>
            </w:r>
          </w:p>
          <w:p w14:paraId="3362C240">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13.8支持主动脉瓣环平面自动定位。</w:t>
            </w:r>
          </w:p>
          <w:p w14:paraId="7E1848C2">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13.9支持左右冠脉口自动定位。</w:t>
            </w:r>
          </w:p>
          <w:p w14:paraId="1D79D031">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13.10支持TAVR术前规划计算。</w:t>
            </w:r>
          </w:p>
          <w:p w14:paraId="21C662D3">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13.11一键式结构化报告，可将计算结果、截图直接发送至报告。</w:t>
            </w:r>
          </w:p>
          <w:p w14:paraId="4AEA8677">
            <w:pPr>
              <w:jc w:val="left"/>
              <w:rPr>
                <w:rFonts w:hint="eastAsia" w:ascii="Calibri" w:hAnsi="Calibri" w:eastAsia="宋体" w:cs="Times New Roman"/>
                <w:lang w:val="en-US" w:eastAsia="zh-Hans"/>
              </w:rPr>
            </w:pPr>
            <w:r>
              <w:rPr>
                <w:rFonts w:hint="eastAsia" w:ascii="仿宋_GB2312" w:hAnsi="仿宋_GB2312" w:eastAsia="仿宋_GB2312" w:cs="仿宋_GB2312"/>
                <w:b/>
                <w:color w:val="000000"/>
                <w:sz w:val="24"/>
                <w:lang w:val="en-US" w:eastAsia="zh-Hans"/>
              </w:rPr>
              <w:t>十四体部血管分析后处理软件</w:t>
            </w:r>
          </w:p>
          <w:p w14:paraId="61566B9B">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14.1体部血管一键提取，无需平扫数据。</w:t>
            </w:r>
          </w:p>
          <w:p w14:paraId="1E5FAF34">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14.2 支持泌尿系统一键提取（输尿管、膀胱、尿道）。</w:t>
            </w:r>
          </w:p>
          <w:p w14:paraId="20D2DBA1">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14.3支持探针手动去骨。</w:t>
            </w:r>
          </w:p>
          <w:p w14:paraId="212959C0">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14.4支持通过多点追踪、管径轮廓编辑、血管/骨区域生长对血管进行编辑。</w:t>
            </w:r>
          </w:p>
          <w:p w14:paraId="47939BEB">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14.5支持中心线自动提取、中心线追踪、中心线编辑、显示/隐藏。</w:t>
            </w:r>
          </w:p>
          <w:p w14:paraId="5F698BD8">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14.6支持对血管狭窄异常进行手动标记。</w:t>
            </w:r>
          </w:p>
          <w:p w14:paraId="02CA8F68">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14.7支持狭窄程度计算：参考面选取、面积、直径、狭窄率。</w:t>
            </w:r>
          </w:p>
          <w:p w14:paraId="7C1CD329">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14.8支持血管多参数计算：长度、直径、面积、角度。</w:t>
            </w:r>
          </w:p>
          <w:p w14:paraId="6EB5D15D">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14.9一键式结构化报告，可将计算结果、截图直接发送至报告。</w:t>
            </w:r>
          </w:p>
          <w:p w14:paraId="554B6112">
            <w:pPr>
              <w:jc w:val="left"/>
              <w:rPr>
                <w:rFonts w:hint="eastAsia" w:ascii="Calibri" w:hAnsi="Calibri" w:eastAsia="宋体" w:cs="Times New Roman"/>
                <w:lang w:val="en-US" w:eastAsia="zh-Hans"/>
              </w:rPr>
            </w:pPr>
            <w:r>
              <w:rPr>
                <w:rFonts w:hint="eastAsia" w:ascii="仿宋_GB2312" w:hAnsi="仿宋_GB2312" w:eastAsia="仿宋_GB2312" w:cs="仿宋_GB2312"/>
                <w:b/>
                <w:color w:val="000000"/>
                <w:sz w:val="24"/>
                <w:lang w:val="en-US" w:eastAsia="zh-Hans"/>
              </w:rPr>
              <w:t>十五灌注成像及后处理软件</w:t>
            </w:r>
          </w:p>
          <w:p w14:paraId="70018B75">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15.1具备灌注扫描与图像重建功能。</w:t>
            </w:r>
          </w:p>
          <w:p w14:paraId="669592DA">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15.2无需动床的最大灌注扫描范围≥16cm。</w:t>
            </w:r>
          </w:p>
          <w:p w14:paraId="4B289127">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15.3灌注采样最短间隔时间≤1s。</w:t>
            </w:r>
          </w:p>
          <w:p w14:paraId="7156F698">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15.4具备灌注非等间隔采样功能。</w:t>
            </w:r>
          </w:p>
          <w:p w14:paraId="554B2232">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15.5支持神经系统一站式成像。</w:t>
            </w:r>
          </w:p>
          <w:p w14:paraId="505E9F37">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15.6提供将参数图像和解剖图像进行3D 或2D 融合。</w:t>
            </w:r>
          </w:p>
          <w:p w14:paraId="1154DC6C">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15.7提供卒中、肿瘤协议。</w:t>
            </w:r>
          </w:p>
          <w:p w14:paraId="67CED104">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15.8提供头部运动校正。</w:t>
            </w:r>
          </w:p>
          <w:p w14:paraId="643BEE63">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15.9提供自动去骨分割。</w:t>
            </w:r>
          </w:p>
          <w:p w14:paraId="62170B05">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15.10提供自动脑脊液分割。</w:t>
            </w:r>
          </w:p>
          <w:p w14:paraId="555E011A">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15.11提供自动动静脉点选择。</w:t>
            </w:r>
          </w:p>
          <w:p w14:paraId="365028BD">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15.12支持手动选取动静脉点</w:t>
            </w:r>
          </w:p>
          <w:p w14:paraId="378A43BB">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15.13血管抑制屏蔽不参与计算的血管。</w:t>
            </w:r>
          </w:p>
          <w:p w14:paraId="087D5C2D">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15.14至少支持自动计算CBV，CBF，TTP，MTT、Tmax和PS 灌注参数。</w:t>
            </w:r>
          </w:p>
          <w:p w14:paraId="75395C43">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15.15支持自动计算感兴趣区的面积、最大值、最小值、平均值参数。</w:t>
            </w:r>
          </w:p>
          <w:p w14:paraId="75EAE012">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15.16支持自动绘制感兴趣区的时间密度曲线。</w:t>
            </w:r>
          </w:p>
          <w:p w14:paraId="1A3DCE7F">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15.17支持自动生成中心线对称的ROI。</w:t>
            </w:r>
          </w:p>
          <w:p w14:paraId="66343E55">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15.18支持对称ROI对比统计分析。</w:t>
            </w:r>
          </w:p>
          <w:p w14:paraId="2245FB3E">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15.19支持根据灌注参数阈值的缺血半暗带，梗死和缺血区计算。</w:t>
            </w:r>
          </w:p>
          <w:p w14:paraId="7D026FB6">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15.20支持不同程度滤波调节，可对图像进行降噪。</w:t>
            </w:r>
          </w:p>
          <w:p w14:paraId="027F4DC6">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15.21提供脑部灌注分析模板。</w:t>
            </w:r>
          </w:p>
          <w:p w14:paraId="7A7FC183">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15.22提供体部灌注分析模板：≥5个。</w:t>
            </w:r>
          </w:p>
          <w:p w14:paraId="39D49A6E">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15.23提供运动校正。</w:t>
            </w:r>
          </w:p>
          <w:p w14:paraId="65E390BA">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15.24提供自动/手动软组织分割。</w:t>
            </w:r>
          </w:p>
          <w:p w14:paraId="69C43F33">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15.25提供自动肝动脉和门静脉选择。</w:t>
            </w:r>
          </w:p>
          <w:p w14:paraId="47A0255A">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15.26支持手动定义肝动脉和门静脉。</w:t>
            </w:r>
          </w:p>
          <w:p w14:paraId="40D5F0F6">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15.27支持血管抑制屏蔽不参与计算的血管。</w:t>
            </w:r>
          </w:p>
          <w:p w14:paraId="6F19D0A3">
            <w:pPr>
              <w:jc w:val="left"/>
              <w:rPr>
                <w:rFonts w:hint="eastAsia" w:ascii="Calibri" w:hAnsi="Calibri" w:eastAsia="宋体" w:cs="Times New Roman"/>
                <w:lang w:val="en-US" w:eastAsia="zh-Hans"/>
              </w:rPr>
            </w:pPr>
            <w:r>
              <w:rPr>
                <w:rFonts w:hint="eastAsia" w:ascii="仿宋_GB2312" w:hAnsi="仿宋_GB2312" w:eastAsia="仿宋_GB2312" w:cs="仿宋_GB2312"/>
                <w:b/>
                <w:color w:val="000000"/>
                <w:sz w:val="24"/>
                <w:lang w:val="en-US" w:eastAsia="zh-Hans"/>
              </w:rPr>
              <w:t>十六肝脏评估后处理软件</w:t>
            </w:r>
          </w:p>
          <w:p w14:paraId="6B819EE3">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16.1支持平扫期、动脉期、门脉期、延时期多期相数据同时加载、同步浏览。</w:t>
            </w:r>
          </w:p>
          <w:p w14:paraId="2008EABB">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16.2支持自动肝脏分割提取。</w:t>
            </w:r>
          </w:p>
          <w:p w14:paraId="20ACF223">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16.3支持自动血管分割提取（肝动脉、门静脉、肝静脉）。</w:t>
            </w:r>
          </w:p>
          <w:p w14:paraId="77D17B48">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16.4支持病灶支持半自动分割。</w:t>
            </w:r>
          </w:p>
          <w:p w14:paraId="740FA3DD">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 xml:space="preserve">16.5至少提供VOI、区域生长手动工具进行自定义组织提取。   </w:t>
            </w:r>
          </w:p>
          <w:p w14:paraId="63A6F2CD">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16.6最多支持肝段分割数量≥8段。</w:t>
            </w:r>
          </w:p>
          <w:p w14:paraId="5E44A653">
            <w:pPr>
              <w:jc w:val="left"/>
              <w:rPr>
                <w:rFonts w:hint="eastAsia" w:ascii="Calibri" w:hAnsi="Calibri" w:eastAsia="宋体" w:cs="Times New Roman"/>
                <w:lang w:val="en-US" w:eastAsia="zh-Hans"/>
              </w:rPr>
            </w:pPr>
            <w:r>
              <w:rPr>
                <w:rFonts w:hint="eastAsia" w:ascii="仿宋_GB2312" w:hAnsi="仿宋_GB2312" w:eastAsia="仿宋_GB2312" w:cs="仿宋_GB2312"/>
                <w:b/>
                <w:color w:val="000000"/>
                <w:sz w:val="24"/>
                <w:lang w:val="en-US" w:eastAsia="zh-Hans"/>
              </w:rPr>
              <w:t>十七骨结构评估后处理软件</w:t>
            </w:r>
          </w:p>
          <w:p w14:paraId="77FAA9EB">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17.1支持自动肋骨提取。</w:t>
            </w:r>
          </w:p>
          <w:p w14:paraId="2C7BB90E">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17.2支持自动肋骨标记。</w:t>
            </w:r>
          </w:p>
          <w:p w14:paraId="6E6D9CEC">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17.3支持自动肋骨3D显示。</w:t>
            </w:r>
          </w:p>
          <w:p w14:paraId="2F4E111B">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17.4支持自动单肋骨CPR显示。</w:t>
            </w:r>
          </w:p>
          <w:p w14:paraId="0440B17C">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17.5支持自动多肋骨CPR显示。</w:t>
            </w:r>
          </w:p>
          <w:p w14:paraId="7C92D983">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17.6支持手动肋骨骨折标记并记录至列表。</w:t>
            </w:r>
          </w:p>
          <w:p w14:paraId="24E1FD8D">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17.7支持自动椎间盘标记，包含颈椎、腰椎、胸椎。</w:t>
            </w:r>
          </w:p>
          <w:p w14:paraId="2DF4AF27">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17.8支持多组椎间盘批处理重建同时进行。</w:t>
            </w:r>
          </w:p>
          <w:p w14:paraId="19303EAA">
            <w:pPr>
              <w:jc w:val="left"/>
              <w:rPr>
                <w:rFonts w:hint="eastAsia" w:ascii="Calibri" w:hAnsi="Calibri" w:eastAsia="宋体" w:cs="Times New Roman"/>
                <w:lang w:val="en-US" w:eastAsia="zh-Hans"/>
              </w:rPr>
            </w:pPr>
            <w:r>
              <w:rPr>
                <w:rFonts w:hint="eastAsia" w:ascii="仿宋_GB2312" w:hAnsi="仿宋_GB2312" w:eastAsia="仿宋_GB2312" w:cs="仿宋_GB2312"/>
                <w:b/>
                <w:color w:val="000000"/>
                <w:sz w:val="24"/>
                <w:lang w:val="en-US" w:eastAsia="zh-Hans"/>
              </w:rPr>
              <w:t>十八结肠分析后处理软件</w:t>
            </w:r>
          </w:p>
          <w:p w14:paraId="05A3AD5E">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18.1支持自动结肠分割。</w:t>
            </w:r>
          </w:p>
          <w:p w14:paraId="4992E310">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18.2支持自动中心线提取。</w:t>
            </w:r>
          </w:p>
          <w:p w14:paraId="29EDA2B8">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18.3支持电子清肠：具备自动清除残留造影剂的功能</w:t>
            </w:r>
          </w:p>
          <w:p w14:paraId="4C1225AF">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18.4支持一键小肠隐藏，仅显示结肠结构。</w:t>
            </w:r>
          </w:p>
          <w:p w14:paraId="259FB780">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18.5支持自动息肉检测和分割。</w:t>
            </w:r>
          </w:p>
          <w:p w14:paraId="3AB055A7">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18.6可使用手动标记工具对可疑息肉进行标记、分割。</w:t>
            </w:r>
          </w:p>
          <w:p w14:paraId="4101AAEF">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18.7提供息肉参数信息：体积、长短径、CT值、距离肛门距离。</w:t>
            </w:r>
          </w:p>
          <w:p w14:paraId="033A0AE5">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18.8具备腔内漫游功能，可对结肠内窥视图进行漫游，</w:t>
            </w:r>
          </w:p>
          <w:p w14:paraId="18FE1247">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18.9具备多视图显示功能，可在结肠展开视图、MPR 图像、腔内视图、全VR图像上查看分割后的息肉组织。</w:t>
            </w:r>
          </w:p>
          <w:p w14:paraId="77980990">
            <w:pPr>
              <w:jc w:val="left"/>
              <w:rPr>
                <w:rFonts w:hint="eastAsia" w:ascii="Calibri" w:hAnsi="Calibri" w:eastAsia="宋体" w:cs="Times New Roman"/>
                <w:lang w:val="en-US" w:eastAsia="zh-Hans"/>
              </w:rPr>
            </w:pPr>
            <w:r>
              <w:rPr>
                <w:rFonts w:hint="eastAsia" w:ascii="仿宋_GB2312" w:hAnsi="仿宋_GB2312" w:eastAsia="仿宋_GB2312" w:cs="仿宋_GB2312"/>
                <w:b/>
                <w:color w:val="000000"/>
                <w:sz w:val="24"/>
                <w:lang w:val="en-US" w:eastAsia="zh-Hans"/>
              </w:rPr>
              <w:t>十九能谱成像及高级后处理软件包</w:t>
            </w:r>
          </w:p>
          <w:p w14:paraId="1E8E3319">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19.1具备能谱扫描与重建技术。</w:t>
            </w:r>
          </w:p>
          <w:p w14:paraId="3DED2AC3">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 xml:space="preserve">19.2无需动床最大能谱扫描范围≥16cm。    </w:t>
            </w:r>
          </w:p>
          <w:p w14:paraId="223E3520">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19.3双能量扫描最大FOV≥50cm。</w:t>
            </w:r>
          </w:p>
          <w:p w14:paraId="0A2F7E4D">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19.4单KeV图像能级≥150级。</w:t>
            </w:r>
          </w:p>
          <w:p w14:paraId="1CCD6EA2">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19.5能谱基物质对数量≥6个。</w:t>
            </w:r>
          </w:p>
          <w:p w14:paraId="495D3E5F">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19.6最佳CNR图像。</w:t>
            </w:r>
          </w:p>
          <w:p w14:paraId="719D2066">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 xml:space="preserve">19.7混合增强图像。  </w:t>
            </w:r>
          </w:p>
          <w:p w14:paraId="1DAC77D0">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 xml:space="preserve">19.8有效原子序数图像。  </w:t>
            </w:r>
          </w:p>
          <w:p w14:paraId="56070824">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 xml:space="preserve">19.9电子密度图像。  </w:t>
            </w:r>
          </w:p>
          <w:p w14:paraId="7463B271">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 xml:space="preserve">19.10尿酸成分分析。  </w:t>
            </w:r>
          </w:p>
          <w:p w14:paraId="15B358A5">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 xml:space="preserve">19.11结石成分分析。  </w:t>
            </w:r>
          </w:p>
          <w:p w14:paraId="717AA411">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19.12能谱曲线图像。</w:t>
            </w:r>
          </w:p>
          <w:p w14:paraId="6A13E644">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 xml:space="preserve">19.13直方图分析工具。  </w:t>
            </w:r>
          </w:p>
          <w:p w14:paraId="735C5EBA">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 xml:space="preserve">19.14散点图分析工具。  </w:t>
            </w:r>
          </w:p>
          <w:p w14:paraId="65EC6E55">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 xml:space="preserve">19.15虚拟平扫功能。  </w:t>
            </w:r>
          </w:p>
          <w:p w14:paraId="6ACD24AB">
            <w:pPr>
              <w:jc w:val="left"/>
              <w:rPr>
                <w:rFonts w:hint="eastAsia" w:ascii="Calibri" w:hAnsi="Calibri" w:eastAsia="宋体" w:cs="Times New Roman"/>
                <w:lang w:val="en-US" w:eastAsia="zh-Hans"/>
              </w:rPr>
            </w:pPr>
            <w:r>
              <w:rPr>
                <w:rFonts w:hint="eastAsia" w:ascii="仿宋_GB2312" w:hAnsi="仿宋_GB2312" w:eastAsia="仿宋_GB2312" w:cs="仿宋_GB2312"/>
                <w:b/>
                <w:color w:val="000000"/>
                <w:sz w:val="24"/>
                <w:lang w:val="en-US" w:eastAsia="zh-Hans"/>
              </w:rPr>
              <w:t>二十其余配套</w:t>
            </w:r>
          </w:p>
          <w:p w14:paraId="6A243B87">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20.1★泌尿手术智能规划系统</w:t>
            </w:r>
            <w:r>
              <w:rPr>
                <w:rFonts w:hint="eastAsia" w:ascii="仿宋_GB2312" w:hAnsi="仿宋_GB2312" w:eastAsia="仿宋_GB2312" w:cs="仿宋_GB2312"/>
                <w:color w:val="000000"/>
                <w:sz w:val="21"/>
                <w:lang w:val="en-US" w:eastAsia="zh-Hans"/>
              </w:rPr>
              <w:t xml:space="preserve"> 1套</w:t>
            </w:r>
          </w:p>
          <w:p w14:paraId="1744108A">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20.2★肝胆外科手术智能规划系统</w:t>
            </w:r>
            <w:r>
              <w:rPr>
                <w:rFonts w:hint="eastAsia" w:ascii="仿宋_GB2312" w:hAnsi="仿宋_GB2312" w:eastAsia="仿宋_GB2312" w:cs="仿宋_GB2312"/>
                <w:color w:val="000000"/>
                <w:sz w:val="21"/>
                <w:lang w:val="en-US" w:eastAsia="zh-Hans"/>
              </w:rPr>
              <w:t xml:space="preserve"> 1套</w:t>
            </w:r>
          </w:p>
          <w:p w14:paraId="6B82D1EB">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20.3★CT骨密度人工智能分析软件</w:t>
            </w:r>
            <w:r>
              <w:rPr>
                <w:rFonts w:hint="eastAsia" w:ascii="仿宋_GB2312" w:hAnsi="仿宋_GB2312" w:eastAsia="仿宋_GB2312" w:cs="仿宋_GB2312"/>
                <w:color w:val="000000"/>
                <w:sz w:val="21"/>
                <w:lang w:val="en-US" w:eastAsia="zh-Hans"/>
              </w:rPr>
              <w:t xml:space="preserve"> 1套</w:t>
            </w:r>
          </w:p>
          <w:p w14:paraId="2B3DD6FE">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20.4★CT淋巴结人工智能分析软件</w:t>
            </w:r>
            <w:r>
              <w:rPr>
                <w:rFonts w:hint="eastAsia" w:ascii="仿宋_GB2312" w:hAnsi="仿宋_GB2312" w:eastAsia="仿宋_GB2312" w:cs="仿宋_GB2312"/>
                <w:color w:val="000000"/>
                <w:sz w:val="21"/>
                <w:lang w:val="en-US" w:eastAsia="zh-Hans"/>
              </w:rPr>
              <w:t xml:space="preserve"> 1套</w:t>
            </w:r>
          </w:p>
          <w:p w14:paraId="4B5C5EFA">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20.5★脑转移瘤人工智能分析系统</w:t>
            </w:r>
            <w:r>
              <w:rPr>
                <w:rFonts w:hint="eastAsia" w:ascii="仿宋_GB2312" w:hAnsi="仿宋_GB2312" w:eastAsia="仿宋_GB2312" w:cs="仿宋_GB2312"/>
                <w:color w:val="000000"/>
                <w:sz w:val="21"/>
                <w:lang w:val="en-US" w:eastAsia="zh-Hans"/>
              </w:rPr>
              <w:t xml:space="preserve"> 1套</w:t>
            </w:r>
          </w:p>
          <w:p w14:paraId="5B1502EA">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20.6★双筒高压注射器1套</w:t>
            </w:r>
          </w:p>
          <w:p w14:paraId="0A121DD8">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20.7★对机房改造及更换辐射防护门</w:t>
            </w:r>
          </w:p>
          <w:p w14:paraId="15AF0C6C">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20.8★按照GBZ-130-2020标准配备两套防护用品【1套成人（至少一件防护衣、一件铅方巾、一个铅围脖、一顶铅帽）；1套儿童（至少一件防护衣、一件铅方巾、一个铅围脖、一顶铅帽）】</w:t>
            </w:r>
          </w:p>
          <w:p w14:paraId="455D18EA">
            <w:pPr>
              <w:jc w:val="left"/>
              <w:rPr>
                <w:rFonts w:hint="eastAsia" w:ascii="Calibri" w:hAnsi="Calibri" w:eastAsia="宋体" w:cs="Times New Roman"/>
                <w:lang w:val="en-US" w:eastAsia="zh-Hans"/>
              </w:rPr>
            </w:pPr>
            <w:r>
              <w:rPr>
                <w:rFonts w:hint="eastAsia" w:ascii="仿宋_GB2312" w:hAnsi="仿宋_GB2312" w:eastAsia="仿宋_GB2312" w:cs="仿宋_GB2312"/>
                <w:b/>
                <w:color w:val="000000"/>
                <w:sz w:val="24"/>
                <w:lang w:val="en-US" w:eastAsia="zh-Hans"/>
              </w:rPr>
              <w:t>二十一安装要求</w:t>
            </w:r>
          </w:p>
          <w:p w14:paraId="25FC2065">
            <w:pPr>
              <w:jc w:val="left"/>
              <w:rPr>
                <w:rFonts w:hint="eastAsia" w:ascii="Calibri" w:hAnsi="Calibri" w:eastAsia="宋体" w:cs="Times New Roman"/>
                <w:lang w:val="en-US" w:eastAsia="zh-Hans"/>
              </w:rPr>
            </w:pPr>
            <w:r>
              <w:rPr>
                <w:rFonts w:hint="eastAsia" w:ascii="仿宋_GB2312" w:hAnsi="仿宋_GB2312" w:eastAsia="仿宋_GB2312" w:cs="仿宋_GB2312"/>
                <w:color w:val="000000"/>
                <w:sz w:val="24"/>
                <w:lang w:val="en-US" w:eastAsia="zh-Hans"/>
              </w:rPr>
              <w:t>21.1★根据场地已有现状，完成区域内局部设计、改造(包含但不限于操作间、机房、控制室及其附属用房和设备设施正常投用的一切相关使用条件等)和办理验收(含环评、卫评等)、试运行、移交手续等所包含的全部内容，符合开展医疗工作环境要求，达到采购人采购文件、双方签订的合同要求，并在保修期内承担保修义务</w:t>
            </w:r>
          </w:p>
        </w:tc>
      </w:tr>
    </w:tbl>
    <w:p w14:paraId="14D797C1">
      <w:pPr>
        <w:jc w:val="left"/>
        <w:outlineLvl w:val="2"/>
        <w:rPr>
          <w:rFonts w:hint="eastAsia" w:ascii="Calibri" w:hAnsi="Calibri" w:eastAsia="宋体" w:cs="Times New Roman"/>
          <w:lang w:val="en-US" w:eastAsia="zh-Hans"/>
        </w:rPr>
      </w:pPr>
      <w:r>
        <w:rPr>
          <w:rFonts w:hint="eastAsia" w:ascii="仿宋_GB2312" w:hAnsi="仿宋_GB2312" w:eastAsia="仿宋_GB2312" w:cs="仿宋_GB2312"/>
          <w:b/>
          <w:sz w:val="28"/>
          <w:lang w:val="en-US" w:eastAsia="zh-Hans"/>
        </w:rPr>
        <w:t>3.3.服务要求</w:t>
      </w:r>
    </w:p>
    <w:p w14:paraId="4F6042A3">
      <w:pPr>
        <w:jc w:val="left"/>
        <w:outlineLvl w:val="3"/>
        <w:rPr>
          <w:rFonts w:hint="eastAsia" w:ascii="Calibri" w:hAnsi="Calibri" w:eastAsia="宋体" w:cs="Times New Roman"/>
          <w:lang w:val="en-US" w:eastAsia="zh-Hans"/>
        </w:rPr>
      </w:pPr>
      <w:r>
        <w:rPr>
          <w:rFonts w:hint="eastAsia" w:ascii="仿宋_GB2312" w:hAnsi="仿宋_GB2312" w:eastAsia="仿宋_GB2312" w:cs="仿宋_GB2312"/>
          <w:b/>
          <w:sz w:val="24"/>
          <w:lang w:val="en-US" w:eastAsia="zh-Hans"/>
        </w:rPr>
        <w:t>3.3.1.服务内容要求</w:t>
      </w:r>
    </w:p>
    <w:p w14:paraId="245D50F6">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2E88CF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2C2C9DBC">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 xml:space="preserve"> 序号</w:t>
            </w:r>
          </w:p>
        </w:tc>
        <w:tc>
          <w:tcPr>
            <w:tcW w:w="581" w:type="dxa"/>
          </w:tcPr>
          <w:p w14:paraId="02CCB84C">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 xml:space="preserve"> 符号标识</w:t>
            </w:r>
          </w:p>
        </w:tc>
        <w:tc>
          <w:tcPr>
            <w:tcW w:w="1495" w:type="dxa"/>
          </w:tcPr>
          <w:p w14:paraId="6CB43CA4">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 xml:space="preserve"> 服务要求名称</w:t>
            </w:r>
          </w:p>
        </w:tc>
        <w:tc>
          <w:tcPr>
            <w:tcW w:w="5814" w:type="dxa"/>
          </w:tcPr>
          <w:p w14:paraId="73B1BC00">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 xml:space="preserve"> 服务要求内容</w:t>
            </w:r>
          </w:p>
        </w:tc>
      </w:tr>
      <w:tr w14:paraId="356107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7FEAB5BB">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1</w:t>
            </w:r>
          </w:p>
        </w:tc>
        <w:tc>
          <w:tcPr>
            <w:tcW w:w="581" w:type="dxa"/>
          </w:tcPr>
          <w:p w14:paraId="7741A4F3">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w:t>
            </w:r>
          </w:p>
        </w:tc>
        <w:tc>
          <w:tcPr>
            <w:tcW w:w="1495" w:type="dxa"/>
          </w:tcPr>
          <w:p w14:paraId="1D3508F0">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服务要求</w:t>
            </w:r>
          </w:p>
        </w:tc>
        <w:tc>
          <w:tcPr>
            <w:tcW w:w="5814" w:type="dxa"/>
          </w:tcPr>
          <w:p w14:paraId="52CD1103">
            <w:pPr>
              <w:jc w:val="both"/>
              <w:rPr>
                <w:rFonts w:hint="eastAsia" w:ascii="Calibri" w:hAnsi="Calibri" w:eastAsia="宋体" w:cs="Times New Roman"/>
                <w:lang w:val="en-US" w:eastAsia="zh-Hans"/>
              </w:rPr>
            </w:pPr>
            <w:r>
              <w:rPr>
                <w:rFonts w:hint="eastAsia" w:ascii="仿宋_GB2312" w:hAnsi="仿宋_GB2312" w:eastAsia="仿宋_GB2312" w:cs="仿宋_GB2312"/>
                <w:b/>
                <w:lang w:val="en-US" w:eastAsia="zh-Hans"/>
              </w:rPr>
              <w:t>1.质量要求：</w:t>
            </w:r>
          </w:p>
          <w:p w14:paraId="5A83C8AC">
            <w:pPr>
              <w:jc w:val="both"/>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1.1质量符合或优于中国法律法规规定和（或）行业的标准，同时通过NMPA（如适用），符合采购文件质量要求、技术指标与出厂标准，保证是原产地生产的原装全新产品（含零部件、配件等），表面无划伤、无碰撞痕迹，且权属清楚，货物质量出现问题，中标人应负责三包（包修、包换、包退），费用由中标人负担，否则采购人有权拒绝收货，并要求中标人赔偿损失。具体技术参数详见采购文件、投标（响应）文件、合同附件、产品技术说明等。（合同附件应包含：配置清单、装箱清单、零配件易耗品价格清单）</w:t>
            </w:r>
          </w:p>
          <w:p w14:paraId="6EC1ED1C">
            <w:pPr>
              <w:jc w:val="both"/>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1.2中标人所提供的货物应符合国家有关安全、环保、卫生的规定。</w:t>
            </w:r>
          </w:p>
          <w:p w14:paraId="03E81969">
            <w:pPr>
              <w:jc w:val="both"/>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中标人必须保证该套货物配置齐全，达到该套货物的所有技术参数及功能，如配置清单没列举完整的，中标人也应无条件提供，对此，中标人应当基于自己的行业经验充分合理预判，费用已包含在合同价款之中。若短缺配置市场采购价高于原合同单价的，差价由中标人承担；短缺导致采购周期超过30日的，按合同第八条承担违约责任，如因短缺或其它因素造成该套货物不能按时完全正常使用，中标人负责赔偿由此给采购人造成的所有损失。</w:t>
            </w:r>
          </w:p>
          <w:p w14:paraId="2FF8616A">
            <w:pPr>
              <w:jc w:val="both"/>
              <w:rPr>
                <w:rFonts w:hint="eastAsia" w:ascii="Calibri" w:hAnsi="Calibri" w:eastAsia="宋体" w:cs="Times New Roman"/>
                <w:lang w:val="en-US" w:eastAsia="zh-Hans"/>
              </w:rPr>
            </w:pPr>
            <w:r>
              <w:rPr>
                <w:rFonts w:hint="eastAsia" w:ascii="仿宋_GB2312" w:hAnsi="仿宋_GB2312" w:eastAsia="仿宋_GB2312" w:cs="仿宋_GB2312"/>
                <w:b/>
                <w:lang w:val="en-US" w:eastAsia="zh-Hans"/>
              </w:rPr>
              <w:t>【注：供应商须在投标（响应）文件中单独提供配置清单（不同产品分别提供，配置清单格式参见《附件-投标人认为需要提供的其他证明材料》，采购人将以此为依据进行验收。】</w:t>
            </w:r>
          </w:p>
          <w:p w14:paraId="07734211">
            <w:pPr>
              <w:jc w:val="both"/>
              <w:rPr>
                <w:rFonts w:hint="eastAsia" w:ascii="Calibri" w:hAnsi="Calibri" w:eastAsia="宋体" w:cs="Times New Roman"/>
                <w:lang w:val="en-US" w:eastAsia="zh-Hans"/>
              </w:rPr>
            </w:pPr>
            <w:r>
              <w:rPr>
                <w:rFonts w:hint="eastAsia" w:ascii="仿宋_GB2312" w:hAnsi="仿宋_GB2312" w:eastAsia="仿宋_GB2312" w:cs="仿宋_GB2312"/>
                <w:b/>
                <w:lang w:val="en-US" w:eastAsia="zh-Hans"/>
              </w:rPr>
              <w:t>2.安装调试、培训</w:t>
            </w:r>
          </w:p>
          <w:p w14:paraId="3D69E1BF">
            <w:pPr>
              <w:jc w:val="both"/>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2.1安装、调试</w:t>
            </w:r>
          </w:p>
          <w:p w14:paraId="46EA2C22">
            <w:pPr>
              <w:jc w:val="both"/>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2.1.1中标人接到采购人通知后30日内，中标人向采购人提供全面的机房建筑设计、供水供电、专用地线技术要求等设计图纸及安装条件的技术要求（如适用），并派专人现场进行技术服务和指导，配合完成设备安装所应当具备的全部条件。</w:t>
            </w:r>
          </w:p>
          <w:p w14:paraId="6F94C67C">
            <w:pPr>
              <w:jc w:val="both"/>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2.1.2开箱后，双方如无异议，中标人派有经验的工程技术人员开始负责安装和调试；如有异议，待问题解决后，中标人当日派人负责安装调试。如采购人的异议成立，则中标人的安装调试期限不顺延。</w:t>
            </w:r>
          </w:p>
          <w:p w14:paraId="3A516E2D">
            <w:pPr>
              <w:jc w:val="both"/>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2.1.3安装、调试期限为货到30日内。中标人应在规定的安装调试期内完成该项工作。如因中标人责任而造成延期，所有因延期而产生的费用由中标人承担。</w:t>
            </w:r>
          </w:p>
          <w:p w14:paraId="167531D6">
            <w:pPr>
              <w:jc w:val="both"/>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2.1.4安装调试过程中，中标人不得损坏采购人墙体等结构，若对采购人墙体等结构造成损坏，中标人需负责修复，所有修复费用由中标人承担，同时按照中标人不能履约处理，造成采购人损失的应当予以全额赔偿。同时所有进场费用（包括但不限于吊车装运费用等）由中标人承担。嵌入设备与原基建装修单位产生的安装相关费用由供应商自行承担。</w:t>
            </w:r>
          </w:p>
          <w:p w14:paraId="28C631B2">
            <w:pPr>
              <w:jc w:val="both"/>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2.1.5中标人所派安装、调试及维修、维保人员名单必须与投标（响应）文件拟派人员名单（如有）一致，如需更换需事先书面征得采购人同意，且更换后人员的资质等级、工作经验等不得低于投标（响应）文件拟派人员。</w:t>
            </w:r>
          </w:p>
          <w:p w14:paraId="1A84783B">
            <w:pPr>
              <w:jc w:val="both"/>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2.2培训</w:t>
            </w:r>
          </w:p>
          <w:p w14:paraId="2C206312">
            <w:pPr>
              <w:jc w:val="both"/>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2.2.1中标人提供完整的培训计划和方案。</w:t>
            </w:r>
          </w:p>
          <w:p w14:paraId="20DEE108">
            <w:pPr>
              <w:jc w:val="both"/>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2.2.2 操作培训：在设备安装调试完毕后，由中标人应用专家进行现场操作使用的培训和指导。出席对象为采购人对该设备的操作技术人员、医师、物理师及相关人员等。培训目的是让操作技术人员完全掌握该设备的操作流程和方法，采购人受培训人员签字后视为培训合格。上述培训为货物的标准配套服务，培训所需全部费用均由中标人支付。</w:t>
            </w:r>
          </w:p>
          <w:p w14:paraId="75940383">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2.2.3维修培训：安装调试时，由中标人工程师对采购人维修工程师进行现场培训，培训的目的是让采购人维修工程师掌握常见故障的判断与常规处理方法以及日常的维护保养方法，采购人维修工程师签字后视为培训合格。上述培训为该货物的标准配套服务，培训所需全部费用均由中标人支付。</w:t>
            </w:r>
          </w:p>
        </w:tc>
      </w:tr>
      <w:tr w14:paraId="0F1F82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1C791EF3">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2</w:t>
            </w:r>
          </w:p>
        </w:tc>
        <w:tc>
          <w:tcPr>
            <w:tcW w:w="581" w:type="dxa"/>
          </w:tcPr>
          <w:p w14:paraId="4E97117A">
            <w:pPr>
              <w:rPr>
                <w:rFonts w:ascii="Calibri" w:hAnsi="Calibri" w:eastAsia="宋体" w:cs="Times New Roman"/>
              </w:rPr>
            </w:pPr>
          </w:p>
        </w:tc>
        <w:tc>
          <w:tcPr>
            <w:tcW w:w="1495" w:type="dxa"/>
          </w:tcPr>
          <w:p w14:paraId="16271DA2">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保修期后的易耗品及零配件供应</w:t>
            </w:r>
          </w:p>
        </w:tc>
        <w:tc>
          <w:tcPr>
            <w:tcW w:w="5814" w:type="dxa"/>
          </w:tcPr>
          <w:p w14:paraId="7EC263CA">
            <w:pPr>
              <w:jc w:val="both"/>
              <w:rPr>
                <w:rFonts w:hint="eastAsia" w:ascii="Calibri" w:hAnsi="Calibri" w:eastAsia="宋体" w:cs="Times New Roman"/>
                <w:lang w:val="en-US" w:eastAsia="zh-Hans"/>
              </w:rPr>
            </w:pPr>
            <w:r>
              <w:rPr>
                <w:rFonts w:hint="eastAsia" w:ascii="仿宋_GB2312" w:hAnsi="仿宋_GB2312" w:eastAsia="仿宋_GB2312" w:cs="仿宋_GB2312"/>
                <w:color w:val="000000"/>
                <w:lang w:val="en-US" w:eastAsia="zh-Hans"/>
              </w:rPr>
              <w:t>收费易耗品及零配件按照年用量为5000人次的标准计算年度合计金额。年度合计金额最低的报价将作为基准价。投标人须确保投标文件完整包含所有可能发生的费用。若投标人未提供消耗品及零配件清单，或清单中存在未列明价格、标注价格为0元的情况，均视为相关物料及服务费用已全部纳入投标总价。中标后采购人在标的使用过程中所涉及的一切易耗品更换、零配件维护及其他可能产生的费用，均包含在本项目总报价范围内，中标人不得以任何理由另行收取费用。保修期结束后，中标人应继续提供易耗品及零配件，直至采购人不再使用相应标的。</w:t>
            </w:r>
          </w:p>
          <w:p w14:paraId="3F521C38">
            <w:pPr>
              <w:jc w:val="left"/>
              <w:rPr>
                <w:rFonts w:hint="eastAsia" w:ascii="Calibri" w:hAnsi="Calibri" w:eastAsia="宋体" w:cs="Times New Roman"/>
                <w:lang w:val="en-US" w:eastAsia="zh-Hans"/>
              </w:rPr>
            </w:pPr>
            <w:r>
              <w:rPr>
                <w:rFonts w:hint="eastAsia" w:ascii="仿宋_GB2312" w:hAnsi="仿宋_GB2312" w:eastAsia="仿宋_GB2312" w:cs="仿宋_GB2312"/>
                <w:b/>
                <w:color w:val="000000"/>
                <w:sz w:val="21"/>
                <w:lang w:val="en-US" w:eastAsia="zh-Hans"/>
              </w:rPr>
              <w:t>（注：保修期后的易耗品及零配件报价清单格式参见附件-《保修期后的易耗品及零配件报价清单》，此部分内容不属于技术参数要求评审内容，对应评分表）</w:t>
            </w:r>
          </w:p>
        </w:tc>
      </w:tr>
      <w:tr w14:paraId="1E7537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3EBC307E">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3</w:t>
            </w:r>
          </w:p>
        </w:tc>
        <w:tc>
          <w:tcPr>
            <w:tcW w:w="581" w:type="dxa"/>
          </w:tcPr>
          <w:p w14:paraId="10EAFDB3">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w:t>
            </w:r>
          </w:p>
        </w:tc>
        <w:tc>
          <w:tcPr>
            <w:tcW w:w="1495" w:type="dxa"/>
          </w:tcPr>
          <w:p w14:paraId="157D729F">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医疗器械</w:t>
            </w:r>
          </w:p>
        </w:tc>
        <w:tc>
          <w:tcPr>
            <w:tcW w:w="5814" w:type="dxa"/>
          </w:tcPr>
          <w:p w14:paraId="4D35AD79">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本项目采购标的（至少包含：X线计算机断层扫描仪及图像后处理工作站系统</w:t>
            </w:r>
            <w:r>
              <w:rPr>
                <w:rFonts w:hint="eastAsia" w:ascii="仿宋_GB2312" w:hAnsi="仿宋_GB2312" w:eastAsia="仿宋_GB2312" w:cs="仿宋_GB2312"/>
                <w:sz w:val="20"/>
                <w:lang w:val="en-US" w:eastAsia="zh-Hans"/>
              </w:rPr>
              <w:t>、防护衣、铅方巾、铅围脖、铅帽</w:t>
            </w:r>
            <w:r>
              <w:rPr>
                <w:rFonts w:hint="eastAsia" w:ascii="仿宋_GB2312" w:hAnsi="仿宋_GB2312" w:eastAsia="仿宋_GB2312" w:cs="仿宋_GB2312"/>
                <w:sz w:val="21"/>
                <w:lang w:val="en-US" w:eastAsia="zh-Hans"/>
              </w:rPr>
              <w:t>）为医疗器械，所投医疗器械须符合《医疗器械注册与备案管理办法》等政策法规要求并具有中华人民共和国医疗器械注册/备案证明材料。（投标文件中须提供有效的证明材料扫描件）</w:t>
            </w:r>
          </w:p>
        </w:tc>
      </w:tr>
      <w:tr w14:paraId="2B2E0F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52BDE807">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4</w:t>
            </w:r>
          </w:p>
        </w:tc>
        <w:tc>
          <w:tcPr>
            <w:tcW w:w="581" w:type="dxa"/>
          </w:tcPr>
          <w:p w14:paraId="691B5BF2">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w:t>
            </w:r>
          </w:p>
        </w:tc>
        <w:tc>
          <w:tcPr>
            <w:tcW w:w="1495" w:type="dxa"/>
          </w:tcPr>
          <w:p w14:paraId="2F39E492">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付款进度安排</w:t>
            </w:r>
          </w:p>
        </w:tc>
        <w:tc>
          <w:tcPr>
            <w:tcW w:w="5814" w:type="dxa"/>
          </w:tcPr>
          <w:p w14:paraId="592966D9">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因系统固化原因，3.3.2.商务要求中“付款进度安排”不适用于本项目，本项目“付款进度安排”以此为准（供应商应答“付款进度安排”时仅需应答此条要求即可，无需再应答3.3.2.商务要求中“付款进度安排”】货物运到采购人指定地点后，采购人应在收到中标人提交的付款申请、发票（发票金额为到货货物的总金额）之日起60日内支付到货货物金额的60%；安装验收合格后，采购人应在收到中标人提交的付款申请之日起60日内支付到货货物金额的40%。</w:t>
            </w:r>
          </w:p>
        </w:tc>
      </w:tr>
      <w:tr w14:paraId="12EB16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5668D7B4">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5</w:t>
            </w:r>
          </w:p>
        </w:tc>
        <w:tc>
          <w:tcPr>
            <w:tcW w:w="581" w:type="dxa"/>
          </w:tcPr>
          <w:p w14:paraId="63191CF7">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w:t>
            </w:r>
          </w:p>
        </w:tc>
        <w:tc>
          <w:tcPr>
            <w:tcW w:w="1495" w:type="dxa"/>
          </w:tcPr>
          <w:p w14:paraId="1CD6BDDC">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违约责任与解决争议的方法</w:t>
            </w:r>
          </w:p>
        </w:tc>
        <w:tc>
          <w:tcPr>
            <w:tcW w:w="5814" w:type="dxa"/>
          </w:tcPr>
          <w:p w14:paraId="183CA61F">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【因系统固化原因，本项目的“违约责任与解决争议的方法”以此处内容为准，供应商应答只需应答此处内容】</w:t>
            </w:r>
          </w:p>
          <w:p w14:paraId="6C514584">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（以下甲方指采购人，乙方指中标供应商）</w:t>
            </w:r>
          </w:p>
          <w:p w14:paraId="7DEE10B7">
            <w:pPr>
              <w:jc w:val="left"/>
              <w:rPr>
                <w:rFonts w:hint="eastAsia" w:ascii="Calibri" w:hAnsi="Calibri" w:eastAsia="宋体" w:cs="Times New Roman"/>
                <w:lang w:val="en-US" w:eastAsia="zh-Hans"/>
              </w:rPr>
            </w:pPr>
            <w:r>
              <w:rPr>
                <w:rFonts w:hint="eastAsia" w:ascii="仿宋_GB2312" w:hAnsi="仿宋_GB2312" w:eastAsia="仿宋_GB2312" w:cs="仿宋_GB2312"/>
                <w:b/>
                <w:lang w:val="en-US" w:eastAsia="zh-Hans"/>
              </w:rPr>
              <w:t>1.甲方违约责任</w:t>
            </w:r>
          </w:p>
          <w:p w14:paraId="2CB7FB6F">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甲方无正当理由拒收货物的应赔偿乙方损失，但赔偿金不超过拒收货物价款的10%。甲方拒收的产品，由乙方自行处置，甲方不承担保管、搬离以及货物丢失、损毁、灭失等的责任和由此产生的费用或损失。</w:t>
            </w:r>
          </w:p>
          <w:p w14:paraId="0F15F389">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甲方逾期支付货款的，除应及时付足货款外，应向乙方偿付欠款总额万分之二/天的违约金，有正当理由除外。</w:t>
            </w:r>
          </w:p>
          <w:p w14:paraId="76D835AA">
            <w:pPr>
              <w:jc w:val="left"/>
              <w:rPr>
                <w:rFonts w:hint="eastAsia" w:ascii="Calibri" w:hAnsi="Calibri" w:eastAsia="宋体" w:cs="Times New Roman"/>
                <w:lang w:val="en-US" w:eastAsia="zh-Hans"/>
              </w:rPr>
            </w:pPr>
            <w:r>
              <w:rPr>
                <w:rFonts w:hint="eastAsia" w:ascii="仿宋_GB2312" w:hAnsi="仿宋_GB2312" w:eastAsia="仿宋_GB2312" w:cs="仿宋_GB2312"/>
                <w:b/>
                <w:lang w:val="en-US" w:eastAsia="zh-Hans"/>
              </w:rPr>
              <w:t>2.乙方违约责任</w:t>
            </w:r>
          </w:p>
          <w:p w14:paraId="4B827016">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2.1乙方交付的货物质量不符合规定的，须在合同规定的交货时间内更换合格的货物给甲方，且不顺延交货期限，乙方逾期交货的，则按2.2规定由乙方偿付违约金给甲方。</w:t>
            </w:r>
          </w:p>
          <w:p w14:paraId="1332DA2A">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2.2乙方如不能按时交货，必须承担本合同约定的违约责任及由此给甲方造成的所有损失，同时甲方有权解除合同并追究乙方违约责任。交货是指乙方将货物运送至甲方指定地点，甲方按照本合同配置清单及装箱清单等进行核对无误后，视为交货完成。经甲方核对，乙方未能按本合同配置清单及装箱清单等交付的，甲方有权拒收全部货物，甲方拒收的，即为乙方未交货。拒收的货物由乙方负责处置，甲方不承担保管等责任。乙方不能交付/调试安装货物或逾期交付/调试安装货物而违约的，除应及时交足货物外，应向甲方偿付货款总额的万分之二/天的违约金及赔偿由此给甲方造成的全部损失；逾期交货/调试安装超过30天，甲方有权解除合同，乙方则应按合同总价的20%的款额向甲方偿付赔偿金，并须全额退还甲方已经支付给乙方的货款及同期银行贷款利息。</w:t>
            </w:r>
          </w:p>
          <w:p w14:paraId="3E5F6D80">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2.3 乙方货物经甲方送交具有法定资格条件的质量技术监督机构检测后，如检测结果认定货物质量不符合本合同规定标准的，则视为乙方没有按时交货而违约，乙方须在30天内无条件更换合格的货物，且交货时间不顺延。如逾期不能更换合格的货物，甲方有权解除本合同，乙方应另付合同总价的20%的违约金给甲方，并须全额退还甲方已经付给乙方的货款及同期银行贷款利息。</w:t>
            </w:r>
          </w:p>
          <w:p w14:paraId="61364CB8">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2.4 乙方保证本合同项目的权利无瑕疵，包括货物或服务的所有权及知识产权等权利无瑕疵。如任何第三方经法院裁决有权对上述项目主张权利或国家机关依法对货物进行没收、查封、责令停止侵权行为等的，乙方除应向甲方返还已收款项及同期银行贷款利息外，还应另按合同总价的20%向甲方支付违约金并赔偿因此给甲方造成的一切直接及间接损失。甲方向第三方承担赔偿责任后，有权向乙方追偿。</w:t>
            </w:r>
          </w:p>
          <w:p w14:paraId="4B4859BC">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2.5 乙方未按照本协议约定及时履行其质保义务的，甲方有权委托其他有资质的机构进行维修，由此产生的一切费用由乙方承担，甲方有权从剩余货款中直接扣除；若甲方已完成货款支付的，乙方应当按照甲方期限要求向甲方另行支付第三方维修费用。若因此给甲方造成了损失的，乙方还应全额赔偿。</w:t>
            </w:r>
          </w:p>
          <w:p w14:paraId="3F8C75EA">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2.6 合同生效后乙方未经甲方同意拒绝交付货物，或除法定可以解除合同的情形外单方面解除合同的，乙方应向甲方支付合同总价的20%的违约金。</w:t>
            </w:r>
          </w:p>
          <w:p w14:paraId="0F64DE8B">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2.7 乙方违反本合同其他约定，经甲方通知后在30天内不改正或整改后仍不符合合同约定的，甲方有权解除合同、不支付乙方任何款项并追究乙方的违约责任，乙方应当退还甲方已支付的款项（如有），未支付的款项甲方不再支付。</w:t>
            </w:r>
          </w:p>
          <w:p w14:paraId="24AC217B">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2.8因乙方的原因（包括但不限于乙方拒绝交付货物、货物验收不合格等）致合同解除的，乙方应当退还甲方已支付的款项（如有），未支付的款项甲方不再支付，乙方还应当按合同金额的20%向甲方支付违约金。</w:t>
            </w:r>
          </w:p>
          <w:p w14:paraId="531A9EFB">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2.9乙方违约除按上述约定承担违约责任外，还应另行赔偿由此给甲方造成的全部损失（包括但不限于重新采购/购买的费用、重新采购/购买货物（含维保）的差价、因货物未能到位期间给甲方造成的运营损失及其他损失、甲方因乙方违约向第三方承担的违约金及赔偿金、诉讼费、保全费、律师费、鉴定费、差旅费等）。</w:t>
            </w:r>
          </w:p>
          <w:p w14:paraId="6C31C0E6">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2.10乙方根据本合同约定应承担违约金和赔偿金，乙方拒绝支付的，甲方有权从应付款中扣除相应金额，乙方对此无异议。</w:t>
            </w:r>
          </w:p>
          <w:p w14:paraId="427B6EAE">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2.11合同解除的，货物由乙方自行处置并承担相关费用，甲方不负责保管、拆除、送返等。</w:t>
            </w:r>
          </w:p>
          <w:p w14:paraId="0778D3D1">
            <w:pPr>
              <w:jc w:val="left"/>
              <w:rPr>
                <w:rFonts w:hint="eastAsia" w:ascii="Calibri" w:hAnsi="Calibri" w:eastAsia="宋体" w:cs="Times New Roman"/>
                <w:lang w:val="en-US" w:eastAsia="zh-Hans"/>
              </w:rPr>
            </w:pPr>
            <w:r>
              <w:rPr>
                <w:rFonts w:hint="eastAsia" w:ascii="仿宋_GB2312" w:hAnsi="仿宋_GB2312" w:eastAsia="仿宋_GB2312" w:cs="仿宋_GB2312"/>
                <w:b/>
                <w:lang w:val="en-US" w:eastAsia="zh-Hans"/>
              </w:rPr>
              <w:t>3.其他违约责任</w:t>
            </w:r>
          </w:p>
          <w:p w14:paraId="5D5DF68E">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除本项目协议另有约定外，一方擅自解除本项目协议的，应当赔偿守约方损失，并支付违约金，违约金按照合同价格的10%计算。</w:t>
            </w:r>
          </w:p>
          <w:p w14:paraId="1A291A3A">
            <w:pPr>
              <w:jc w:val="left"/>
              <w:rPr>
                <w:rFonts w:hint="eastAsia" w:ascii="Calibri" w:hAnsi="Calibri" w:eastAsia="宋体" w:cs="Times New Roman"/>
                <w:lang w:val="en-US" w:eastAsia="zh-Hans"/>
              </w:rPr>
            </w:pPr>
            <w:r>
              <w:rPr>
                <w:rFonts w:hint="eastAsia" w:ascii="仿宋_GB2312" w:hAnsi="仿宋_GB2312" w:eastAsia="仿宋_GB2312" w:cs="仿宋_GB2312"/>
                <w:b/>
                <w:lang w:val="en-US" w:eastAsia="zh-Hans"/>
              </w:rPr>
              <w:t>4.争议解决方法：</w:t>
            </w:r>
          </w:p>
          <w:p w14:paraId="4795BDD8">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4.1争议的解决</w:t>
            </w:r>
          </w:p>
          <w:p w14:paraId="14D20053">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4.1.1招标文件、投标文件、承诺约定、本合同的附件、补充协议、会议纪要等是构成本合同不可分割的部分，与本合同具有同等法律效力，如以上各文件相互有冲突或有内容不一致的地方，或上述文件中表述出现歧义致甲乙双方的理解不同的，应以有利于甲方解释为准。</w:t>
            </w:r>
          </w:p>
          <w:p w14:paraId="32932A95">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4.1.2招标文件、投标文件、承诺约定、本合同的附件及本合同等如有中、英文两种版本应以中文版本为准且应做有利于甲方解释。</w:t>
            </w:r>
          </w:p>
          <w:p w14:paraId="2E24194D">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4.1.3未尽事宜，双方另行协商解决，并签订补充协议。</w:t>
            </w:r>
          </w:p>
          <w:p w14:paraId="1D2D5BEA">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4.2法律管辖及诉讼</w:t>
            </w:r>
          </w:p>
          <w:p w14:paraId="4AA61647">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甲乙双方之合同受中华人民共和国法律之管辖并依其进行解释。如有争议，在双方友好交涉无法解决时，根据中国法律在中国境内（甲方所在地）进行起诉。</w:t>
            </w:r>
          </w:p>
          <w:p w14:paraId="3233C697">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4.3如甲乙双方有争议的事项不影响合同其他部分的履行，在争议解决期间，合同其他部分应当继续履行。</w:t>
            </w:r>
          </w:p>
        </w:tc>
      </w:tr>
    </w:tbl>
    <w:p w14:paraId="4CF545FD">
      <w:pPr>
        <w:jc w:val="left"/>
        <w:outlineLvl w:val="3"/>
        <w:rPr>
          <w:rFonts w:hint="eastAsia" w:ascii="Calibri" w:hAnsi="Calibri" w:eastAsia="宋体" w:cs="Times New Roman"/>
          <w:lang w:val="en-US" w:eastAsia="zh-Hans"/>
        </w:rPr>
      </w:pPr>
      <w:r>
        <w:rPr>
          <w:rFonts w:hint="eastAsia" w:ascii="仿宋_GB2312" w:hAnsi="仿宋_GB2312" w:eastAsia="仿宋_GB2312" w:cs="仿宋_GB2312"/>
          <w:b/>
          <w:sz w:val="24"/>
          <w:lang w:val="en-US" w:eastAsia="zh-Hans"/>
        </w:rPr>
        <w:t>3.3.2.商务要求</w:t>
      </w:r>
    </w:p>
    <w:p w14:paraId="2AC9E9A2">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2076"/>
        <w:gridCol w:w="2076"/>
        <w:gridCol w:w="2076"/>
      </w:tblGrid>
      <w:tr w14:paraId="171AB7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43BFA04F">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序号</w:t>
            </w:r>
          </w:p>
        </w:tc>
        <w:tc>
          <w:tcPr>
            <w:tcW w:w="2076" w:type="dxa"/>
          </w:tcPr>
          <w:p w14:paraId="45CE1613">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符号标识</w:t>
            </w:r>
          </w:p>
        </w:tc>
        <w:tc>
          <w:tcPr>
            <w:tcW w:w="2076" w:type="dxa"/>
          </w:tcPr>
          <w:p w14:paraId="12303CD0">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商务要求名称</w:t>
            </w:r>
          </w:p>
        </w:tc>
        <w:tc>
          <w:tcPr>
            <w:tcW w:w="2076" w:type="dxa"/>
          </w:tcPr>
          <w:p w14:paraId="3FE36CB2">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商务要求内容</w:t>
            </w:r>
          </w:p>
        </w:tc>
      </w:tr>
      <w:tr w14:paraId="628999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5DDBB211">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1</w:t>
            </w:r>
          </w:p>
        </w:tc>
        <w:tc>
          <w:tcPr>
            <w:tcW w:w="2076" w:type="dxa"/>
          </w:tcPr>
          <w:p w14:paraId="5E61567D">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w:t>
            </w:r>
          </w:p>
        </w:tc>
        <w:tc>
          <w:tcPr>
            <w:tcW w:w="2076" w:type="dxa"/>
          </w:tcPr>
          <w:p w14:paraId="32B0B38F">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交货时间</w:t>
            </w:r>
          </w:p>
        </w:tc>
        <w:tc>
          <w:tcPr>
            <w:tcW w:w="2076" w:type="dxa"/>
          </w:tcPr>
          <w:p w14:paraId="3444ABEE">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中标人按采购人实际需求进行交货，每批次货物需在收到采购人通知之日起30日内交货安装，单次交货数量需按采购人要求执行</w:t>
            </w:r>
          </w:p>
        </w:tc>
      </w:tr>
      <w:tr w14:paraId="6E777E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52BB16CB">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2</w:t>
            </w:r>
          </w:p>
        </w:tc>
        <w:tc>
          <w:tcPr>
            <w:tcW w:w="2076" w:type="dxa"/>
          </w:tcPr>
          <w:p w14:paraId="6712146F">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w:t>
            </w:r>
          </w:p>
        </w:tc>
        <w:tc>
          <w:tcPr>
            <w:tcW w:w="2076" w:type="dxa"/>
          </w:tcPr>
          <w:p w14:paraId="1312C4FE">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交货地点</w:t>
            </w:r>
          </w:p>
        </w:tc>
        <w:tc>
          <w:tcPr>
            <w:tcW w:w="2076" w:type="dxa"/>
          </w:tcPr>
          <w:p w14:paraId="5FDCE1B8">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四川省肿瘤医院指定地点</w:t>
            </w:r>
          </w:p>
        </w:tc>
      </w:tr>
      <w:tr w14:paraId="5A491B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52DE65A9">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3</w:t>
            </w:r>
          </w:p>
        </w:tc>
        <w:tc>
          <w:tcPr>
            <w:tcW w:w="2076" w:type="dxa"/>
          </w:tcPr>
          <w:p w14:paraId="651488AD">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w:t>
            </w:r>
          </w:p>
        </w:tc>
        <w:tc>
          <w:tcPr>
            <w:tcW w:w="2076" w:type="dxa"/>
          </w:tcPr>
          <w:p w14:paraId="2FC7A050">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支付方式</w:t>
            </w:r>
          </w:p>
        </w:tc>
        <w:tc>
          <w:tcPr>
            <w:tcW w:w="2076" w:type="dxa"/>
          </w:tcPr>
          <w:p w14:paraId="3E349AFC">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分期付款</w:t>
            </w:r>
          </w:p>
        </w:tc>
      </w:tr>
      <w:tr w14:paraId="149416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38CAE163">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4</w:t>
            </w:r>
          </w:p>
        </w:tc>
        <w:tc>
          <w:tcPr>
            <w:tcW w:w="2076" w:type="dxa"/>
          </w:tcPr>
          <w:p w14:paraId="3DCE00AE">
            <w:pPr>
              <w:rPr>
                <w:rFonts w:ascii="Calibri" w:hAnsi="Calibri" w:eastAsia="宋体" w:cs="Times New Roman"/>
              </w:rPr>
            </w:pPr>
          </w:p>
        </w:tc>
        <w:tc>
          <w:tcPr>
            <w:tcW w:w="2076" w:type="dxa"/>
          </w:tcPr>
          <w:p w14:paraId="739BE843">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付款进度安排</w:t>
            </w:r>
          </w:p>
        </w:tc>
        <w:tc>
          <w:tcPr>
            <w:tcW w:w="2076" w:type="dxa"/>
          </w:tcPr>
          <w:p w14:paraId="2F242EEF">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1、付款前提，货物运到采购人指定地点后，采购人应在收到中标人提交的付款申请、发票（发票金额为到货货物的总金额），达到付款条件起10个工作日内，支付合同总金额的60.0%</w:t>
            </w:r>
            <w:r>
              <w:rPr>
                <w:rFonts w:hint="eastAsia" w:ascii="Calibri" w:hAnsi="Calibri" w:eastAsia="宋体" w:cs="Times New Roman"/>
                <w:lang w:val="en-US" w:eastAsia="zh-Hans"/>
              </w:rPr>
              <w:br w:type="textWrapping"/>
            </w:r>
            <w:r>
              <w:rPr>
                <w:rFonts w:hint="eastAsia" w:ascii="仿宋_GB2312" w:hAnsi="仿宋_GB2312" w:eastAsia="仿宋_GB2312" w:cs="仿宋_GB2312"/>
                <w:lang w:val="en-US" w:eastAsia="zh-Hans"/>
              </w:rPr>
              <w:t>2、尾款，安装验收合格后，采购人应在收到中标人提交的付款申请，达到付款条件起10个工作日内，支付合同总金额的40.0%</w:t>
            </w:r>
            <w:r>
              <w:rPr>
                <w:rFonts w:hint="eastAsia" w:ascii="Calibri" w:hAnsi="Calibri" w:eastAsia="宋体" w:cs="Times New Roman"/>
                <w:lang w:val="en-US" w:eastAsia="zh-Hans"/>
              </w:rPr>
              <w:br w:type="textWrapping"/>
            </w:r>
          </w:p>
        </w:tc>
      </w:tr>
      <w:tr w14:paraId="7BB5E9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1E2397A2">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5</w:t>
            </w:r>
          </w:p>
        </w:tc>
        <w:tc>
          <w:tcPr>
            <w:tcW w:w="2076" w:type="dxa"/>
          </w:tcPr>
          <w:p w14:paraId="25621205">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w:t>
            </w:r>
          </w:p>
        </w:tc>
        <w:tc>
          <w:tcPr>
            <w:tcW w:w="2076" w:type="dxa"/>
          </w:tcPr>
          <w:p w14:paraId="1904A509">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验收、交付标准和方法</w:t>
            </w:r>
          </w:p>
        </w:tc>
        <w:tc>
          <w:tcPr>
            <w:tcW w:w="2076" w:type="dxa"/>
          </w:tcPr>
          <w:p w14:paraId="43D1F9F8">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一、验收组织方式： 采购包1： 自行验收 二、是否邀请本项目的其他供应商： 采购包1： 否 三、是否邀请专家： 采购包1： 否 四、是否邀请服务对象： 采购包1： 否 五、是否邀请第三方检测机构： 采购包1： 否 六、履约验收程序： 采购包1： 一次性验收 七、履约验收时间： 采购包1： 1、 验收条件说明： 供应商提出验收申请 ，达到验收条件起 30 日内，验收合同总金额的 100%； 八、验收组织的其他事项： 采购包1： 无 九、技术履约验收内容： 采购包1： 按照本项目招标文件要求及中标人投标文件进行验收 十、商务履约验收内容： 采购包1： 按照本项目招标文件要求及中标人投标文件进行验收 十一、履约验收标准： 采购包1： 1.中标人交付的货物应当符合下列约定： （1）验收依据：招标文件、投标文件、承诺约定、合同及附件。 （2）货物配置齐全，中标人保证完全按时提供货物的硬件、软件和技术资料等。质量符合中国法律法规规定的标准，NMPA（如适用），是原产地生产的原装全新产品；技术参数和性能指标达到招投标（响应）文件、合同附件、产品技术说明等。验收时向采购人提供保证其产品质量的相关手续。如双方对质量和参数性能有异议，由买、卖双方认可的国家相关部门专家验收，出具检测验收报告为准，采购人也可委托中国有资格的单位对上述仪器的质量、技术参数、精度等进行检测校准，发生的所有费用由中标人承担。采购人与供应商双方如对质量要求和技术指标的约定标准有相互抵触或异议的事项，由采购人在招标与投标（响应）文件中按质量要求和技术指标比较优胜的原则确定该项的约定标准进行验收。如货物经中标人一次维修或更换仍不能达到合同约定的质量标准，采购人有权退货，并视作中标人不能交付货物而须支付违约赔偿金给采购人，采购人还可依法追究中标人的违约责任。 技术资料齐全（中文版本或中外文对照），中标人应当在采购人验收时将所提供货物的装箱清单、配件、随机工具、用户使用手册、原厂保修卡等资料交付给采购人。进口设备需提供商检证明及按照现行法律规定需要提供的其他证明。中标人不能完整交付本款规定的资料的，必须负责补齐，否则视为未按合同约定交货。如包装有损坏、产品有质量缺陷、配置短缺、规格型号不符、数量不符、资料不全等或不符合上述标准的，由中标人在7日内给予更换、补齐，并承担由此产生的全部费用，且交货时间不顺延。若更换后仍不符合要求，采购人有权退货并要求中标人承担合同总额30%的惩罚性违约金。 2.验收方式 （1）由采购人编写验收资料[含配置验收、主要性能和质量验收、质量检测（涉及到需要计量检测的设备提供检测合格报告）及防护验收（如适用）、培训验收等]，自中标人书面提出验收申请之日起30日内组织相关部门与中标人共同验收，达到所有标准后，甲乙双方签字认可后开始计算质保期。 （2）验收时如发现所交付的货物有短缺、次品、损坏或其它不符合标准及本合同规定之情形者，采购人应做出详尽的现场记录（验收报告）或由甲乙双方签署备忘录，此现场记录或备忘录可用作补充、缺失和更换损坏部件的有效证据，中标人应按照采购人要求整改，及时修理、重整或更换，由此产生的时间延误与有关费用由中标人承担，验收期限相应顺延，但交货时间不顺延。 3.若中标人出现下列情形之一，即为验收不合格： （1）逾期30日未予整改； （2）整改后仍不符合招标（采购）文件、投标（响应）文件、承诺函、合同及其附件、补充协议或备忘录（如有）所定标准； （3）无正当理由拒不申请验收、拒不参与验收、拒不配合验收； （4）拒绝签署记载验收情况的文件； 中标人出现上述情况的，采购人有权单方解除本合同，中标人应当按照采购人要求期限退还已支付费用，剩余价款不再支付，且中标人须自收到解除通知之日起10日内拆除、运离全部设备，将安装场地恢复原状，并承担上述费用。逾期未履行的，采购人可自行处置设备及场地（含破坏性拆除），由此产生的全部费用均由中标人承担，自合同解除通知送达中标人之日起采购人不承担对中标人设备任何保管责任或其他法律责任。 十二、履约验收其他事项： 采购包1： 无</w:t>
            </w:r>
          </w:p>
        </w:tc>
      </w:tr>
      <w:tr w14:paraId="701867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7EFAE44C">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6</w:t>
            </w:r>
          </w:p>
        </w:tc>
        <w:tc>
          <w:tcPr>
            <w:tcW w:w="2076" w:type="dxa"/>
          </w:tcPr>
          <w:p w14:paraId="1C30ABE4">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w:t>
            </w:r>
          </w:p>
        </w:tc>
        <w:tc>
          <w:tcPr>
            <w:tcW w:w="2076" w:type="dxa"/>
          </w:tcPr>
          <w:p w14:paraId="458B90CC">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质量保修范围和保修期</w:t>
            </w:r>
          </w:p>
        </w:tc>
        <w:tc>
          <w:tcPr>
            <w:tcW w:w="2076" w:type="dxa"/>
          </w:tcPr>
          <w:p w14:paraId="3F294657">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1.保修期 质保期限：自验收报告双方签字之日起全套货物质保期为（5）年，供应商提供承诺函承诺满足。同时供应商还必须在承诺函中明确：在签订合同前，提供设备生产厂家签署的满足原厂整机全套货物质保期为（5）年的设备质保期承诺函。 质保期内，中标人工程师每年不少于4次巡回保养服务。 2.质量保修范围 2.1硬件在质保期内，如果出现三次以上因质量引起的故障，中标人负责更换同类新硬件。中标人应按生产厂家的质保规定和投标（响应）文件说明服务承诺做好质保等服务，质保期内维修、零部件、易损件及工时费等已含在总价内。软件如发生三次（含三次）以上缺陷问题，影响仪器、设备的正常运转，中标人必须更换性能更好、稳定性更高的软件。终身开放所有网络接口并永久提供安装密码、使用密码和维修密码给采购人。采购人任何时候开放软件及端口，中标人协助无缝连接，上述所有费用均包含在中标人报价内，采购人不再额外支付。 2.2质保期后，中标人终身上门服务。 2.3维修时间和时限：中标人接到采购人通知后2小时内，作出反应，如4小时内无法电话解决问题，8小时内中标人工程师到达采购人现场进行维修与更换零部件，维修期间，根据采购人需求，中标人应向采购人提供替用设备。解决时间：不更换零部件自采购人通知之时起24小时内解决；更换非大型部件48小时内解决；更换大型部件10日内解决。以上所有时间均含节假日。 2.4易耗品与零配件供应及价格：中标人终身提供设备的易耗品与零配件，其易耗品与零配件价格以中标人投标响应为准。 2.5开机率：在质保期内，年开机率≥95％，开机天数每少一天，质保期增加10天。 2.6质保期后如采购人购买维保服务的，年维保费用（全保）不超过设备总价的5%，维保的内容和要求与质保期一致。中标人拒绝按前述约定与采购人签订维保合同的，采购人有权委托第三方进行维保，采购人支付给第三方的维保费超过前述约定价格的部分由中标人承担，造成采购人其他损失的，中标人还应当赔偿。如第三方无法提供维保服务，中标人又拒绝按前述约定与采购人签订维保合同的，采购人有权解除本合同，不支付剩余款项（如有），中标人应当向采购人支付本合同金额20%的违约金，并返还合同金额50%的款项，造成采购人其他损失的，中标人还应当赔偿。 2.7中标人应当在货物（仪器设备）的正常使用年限内保证零配件、专用耗材的供应，中标人违反本条约定的，采购人有权解除合同，不支付剩余款项(如有)。并视违约情况，采购人有权要求中标人向采购人支付本合同金额20%的违约金，并返还合同金额20-50 %的款项，造成采购人其他损失的【包括但不限于购买、安装替代货物与本合同货物的价差、重新招标（比选）的费用、更换货物导致的采购人的运营损失及第三方的损失等】，中标人还应当赔偿。</w:t>
            </w:r>
          </w:p>
        </w:tc>
      </w:tr>
      <w:tr w14:paraId="33792F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7C71FC05">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7</w:t>
            </w:r>
          </w:p>
        </w:tc>
        <w:tc>
          <w:tcPr>
            <w:tcW w:w="2076" w:type="dxa"/>
          </w:tcPr>
          <w:p w14:paraId="50CB28C9">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w:t>
            </w:r>
          </w:p>
        </w:tc>
        <w:tc>
          <w:tcPr>
            <w:tcW w:w="2076" w:type="dxa"/>
          </w:tcPr>
          <w:p w14:paraId="082CDD05">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包装方式及运输</w:t>
            </w:r>
          </w:p>
        </w:tc>
        <w:tc>
          <w:tcPr>
            <w:tcW w:w="2076" w:type="dxa"/>
          </w:tcPr>
          <w:p w14:paraId="36B2FB58">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涉及的商品包装和快递包装，均应符合《商品包装政府采购需求标准（试行）》《快递包装政府采购需求标准（试行）》的要求，包装应适应于远距离运输、防潮、防震、防锈和防野蛮装卸，以确保货物安全无损运抵指定地点。</w:t>
            </w:r>
          </w:p>
        </w:tc>
      </w:tr>
      <w:tr w14:paraId="17016C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7D5F0DCD">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8</w:t>
            </w:r>
          </w:p>
        </w:tc>
        <w:tc>
          <w:tcPr>
            <w:tcW w:w="2076" w:type="dxa"/>
          </w:tcPr>
          <w:p w14:paraId="432C65A8">
            <w:pPr>
              <w:rPr>
                <w:rFonts w:ascii="Calibri" w:hAnsi="Calibri" w:eastAsia="宋体" w:cs="Times New Roman"/>
              </w:rPr>
            </w:pPr>
          </w:p>
        </w:tc>
        <w:tc>
          <w:tcPr>
            <w:tcW w:w="2076" w:type="dxa"/>
          </w:tcPr>
          <w:p w14:paraId="69A0D072">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违约责任与解决争议的方法</w:t>
            </w:r>
          </w:p>
        </w:tc>
        <w:tc>
          <w:tcPr>
            <w:tcW w:w="2076" w:type="dxa"/>
          </w:tcPr>
          <w:p w14:paraId="779CEC12">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因系统字数限制，此处内容详见3.3.1服务内容要求</w:t>
            </w:r>
          </w:p>
        </w:tc>
      </w:tr>
    </w:tbl>
    <w:p w14:paraId="3CD8866A">
      <w:pPr>
        <w:jc w:val="left"/>
        <w:outlineLvl w:val="2"/>
        <w:rPr>
          <w:rFonts w:hint="eastAsia" w:ascii="Calibri" w:hAnsi="Calibri" w:eastAsia="宋体" w:cs="Times New Roman"/>
          <w:lang w:val="en-US" w:eastAsia="zh-Hans"/>
        </w:rPr>
      </w:pPr>
      <w:r>
        <w:rPr>
          <w:rFonts w:hint="eastAsia" w:ascii="仿宋_GB2312" w:hAnsi="仿宋_GB2312" w:eastAsia="仿宋_GB2312" w:cs="仿宋_GB2312"/>
          <w:b/>
          <w:sz w:val="28"/>
          <w:lang w:val="en-US" w:eastAsia="zh-Hans"/>
        </w:rPr>
        <w:t>3.4.其他要求</w:t>
      </w:r>
    </w:p>
    <w:p w14:paraId="0EF27F36">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【因系统固化原因，此处内容仅作告知说明，供应商无需单独应答，按要求制作投标文件内容即可】 1、未载明或者载明的标的名称、数量、计量单位及其他政府采购合同实质性内容与采购文件要求不一致，且采购单位无法接受的，属于无效响应。 2、非特定美国企业生产产品：根据《关于在政府采购活动中对有关美国企业采取相关措施的通知》（财库〔2026〕10号）规定，供应商不得提供该通知中所列46家美国企业（不包括在华美资企业）生产的产品，否则投标（响应）无效。</w:t>
      </w:r>
    </w:p>
    <w:p w14:paraId="0CA63DA9">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AB5180"/>
    <w:rsid w:val="0DAB51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2026-08-18T02:35:00Z</dcterms:created>
  <dc:creator>任敏睿</dc:creator>
  <cp:lastModifiedBy>任敏睿</cp:lastModifiedBy>
  <dcterms:modified xsi:type="dcterms:W3CDTF">2026-08-18T02:36:11Z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F31AA04E054A4A86824492AD5D530B02_11</vt:lpwstr>
  </property>
  <property fmtid="{D5CDD505-2E9C-101B-9397-08002B2CF9AE}" pid="4" name="KSOTemplateDocerSaveRecord">
    <vt:lpwstr>eyJoZGlkIjoiOTA2ZDZkZmEwYjczNzczODE2ZGY2MzI1MzQzYjkwMDEiLCJ1c2VySWQiOiI2MjkzNTc4MzYifQ==</vt:lpwstr>
  </property>
</Properties>
</file>