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04A63">
      <w:pPr>
        <w:pStyle w:val="9"/>
        <w:jc w:val="left"/>
        <w:outlineLvl w:val="1"/>
        <w:rPr>
          <w:rFonts w:hint="eastAsia" w:ascii="方正黑体简体" w:hAnsi="方正黑体简体" w:eastAsia="方正黑体简体" w:cs="方正黑体简体"/>
        </w:rPr>
      </w:pPr>
      <w:r>
        <w:rPr>
          <w:rFonts w:hint="eastAsia" w:ascii="方正黑体简体" w:hAnsi="方正黑体简体" w:eastAsia="方正黑体简体" w:cs="方正黑体简体"/>
          <w:b/>
          <w:sz w:val="36"/>
        </w:rPr>
        <w:t>三</w:t>
      </w:r>
      <w:r>
        <w:rPr>
          <w:rFonts w:hint="eastAsia" w:ascii="方正黑体简体" w:hAnsi="方正黑体简体" w:eastAsia="方正黑体简体" w:cs="方正黑体简体"/>
          <w:b/>
          <w:sz w:val="36"/>
          <w:lang w:eastAsia="zh-CN"/>
        </w:rPr>
        <w:t>、</w:t>
      </w:r>
      <w:r>
        <w:rPr>
          <w:rFonts w:hint="eastAsia" w:ascii="方正黑体简体" w:hAnsi="方正黑体简体" w:eastAsia="方正黑体简体" w:cs="方正黑体简体"/>
          <w:b/>
          <w:sz w:val="36"/>
        </w:rPr>
        <w:t xml:space="preserve"> 技术、服务</w:t>
      </w:r>
      <w:bookmarkStart w:id="0" w:name="_GoBack"/>
      <w:bookmarkEnd w:id="0"/>
      <w:r>
        <w:rPr>
          <w:rFonts w:hint="eastAsia" w:ascii="方正黑体简体" w:hAnsi="方正黑体简体" w:eastAsia="方正黑体简体" w:cs="方正黑体简体"/>
          <w:b/>
          <w:sz w:val="36"/>
        </w:rPr>
        <w:t>及其他要求</w:t>
      </w:r>
    </w:p>
    <w:p w14:paraId="78BDB862">
      <w:pPr>
        <w:pStyle w:val="9"/>
        <w:ind w:firstLine="480"/>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（注：本章的技术、服务及其他要求中，带“★”的要求为实质性要求。采购人、代理机构应当根据项目实际要求合理设定，并在第五章符合性审查中明确响应要求。）</w:t>
      </w:r>
    </w:p>
    <w:p w14:paraId="0F9BB7AF">
      <w:pPr>
        <w:pStyle w:val="9"/>
        <w:jc w:val="left"/>
        <w:outlineLvl w:val="2"/>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8"/>
        </w:rPr>
        <w:t>3.1.采购内容</w:t>
      </w:r>
    </w:p>
    <w:p w14:paraId="70A801FC">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p w14:paraId="0D8B9EC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采购包预算金额（元）: 379,984.00</w:t>
      </w:r>
    </w:p>
    <w:p w14:paraId="23F8A5D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采购包最高限价（元）: 379,984.00</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6"/>
        <w:gridCol w:w="1238"/>
        <w:gridCol w:w="725"/>
        <w:gridCol w:w="820"/>
        <w:gridCol w:w="1215"/>
        <w:gridCol w:w="726"/>
        <w:gridCol w:w="726"/>
        <w:gridCol w:w="726"/>
        <w:gridCol w:w="726"/>
        <w:gridCol w:w="587"/>
        <w:gridCol w:w="587"/>
      </w:tblGrid>
      <w:tr w14:paraId="05FF3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FCD852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821" w:type="dxa"/>
          </w:tcPr>
          <w:p w14:paraId="3AA30FBB">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采购品目名称</w:t>
            </w:r>
          </w:p>
        </w:tc>
        <w:tc>
          <w:tcPr>
            <w:tcW w:w="821" w:type="dxa"/>
          </w:tcPr>
          <w:p w14:paraId="41262D9B">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w:t>
            </w:r>
          </w:p>
        </w:tc>
        <w:tc>
          <w:tcPr>
            <w:tcW w:w="821" w:type="dxa"/>
          </w:tcPr>
          <w:p w14:paraId="07388C6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数量</w:t>
            </w:r>
            <w:r>
              <w:rPr>
                <w:rFonts w:hint="eastAsia" w:ascii="方正黑体简体" w:hAnsi="方正黑体简体" w:eastAsia="方正黑体简体" w:cs="方正黑体简体"/>
              </w:rPr>
              <w:br w:type="textWrapping"/>
            </w:r>
            <w:r>
              <w:rPr>
                <w:rFonts w:hint="eastAsia" w:ascii="方正黑体简体" w:hAnsi="方正黑体简体" w:eastAsia="方正黑体简体" w:cs="方正黑体简体"/>
              </w:rPr>
              <w:t>(计量单位)</w:t>
            </w:r>
          </w:p>
        </w:tc>
        <w:tc>
          <w:tcPr>
            <w:tcW w:w="821" w:type="dxa"/>
          </w:tcPr>
          <w:p w14:paraId="45CBBEC8">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标的金额 （元）</w:t>
            </w:r>
          </w:p>
        </w:tc>
        <w:tc>
          <w:tcPr>
            <w:tcW w:w="821" w:type="dxa"/>
          </w:tcPr>
          <w:p w14:paraId="65CE399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所属行业</w:t>
            </w:r>
          </w:p>
        </w:tc>
        <w:tc>
          <w:tcPr>
            <w:tcW w:w="821" w:type="dxa"/>
          </w:tcPr>
          <w:p w14:paraId="1CCDA515">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是否涉及核心产品</w:t>
            </w:r>
          </w:p>
        </w:tc>
        <w:tc>
          <w:tcPr>
            <w:tcW w:w="821" w:type="dxa"/>
          </w:tcPr>
          <w:p w14:paraId="0E1F0308">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是否涉及采购进口产品</w:t>
            </w:r>
          </w:p>
        </w:tc>
        <w:tc>
          <w:tcPr>
            <w:tcW w:w="821" w:type="dxa"/>
          </w:tcPr>
          <w:p w14:paraId="78D46B8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是否涉及强制采购节能产品</w:t>
            </w:r>
          </w:p>
        </w:tc>
        <w:tc>
          <w:tcPr>
            <w:tcW w:w="639" w:type="dxa"/>
          </w:tcPr>
          <w:p w14:paraId="2F7975E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是否涉及优先采购节能产品</w:t>
            </w:r>
          </w:p>
        </w:tc>
        <w:tc>
          <w:tcPr>
            <w:tcW w:w="639" w:type="dxa"/>
          </w:tcPr>
          <w:p w14:paraId="293ADA7F">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是否涉及优先采购环境标志产品</w:t>
            </w:r>
          </w:p>
        </w:tc>
      </w:tr>
      <w:tr w14:paraId="50180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949B78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821" w:type="dxa"/>
          </w:tcPr>
          <w:p w14:paraId="43147CBC">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A02010105 台式计算机</w:t>
            </w:r>
          </w:p>
        </w:tc>
        <w:tc>
          <w:tcPr>
            <w:tcW w:w="821" w:type="dxa"/>
          </w:tcPr>
          <w:p w14:paraId="3A538018">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c>
          <w:tcPr>
            <w:tcW w:w="821" w:type="dxa"/>
          </w:tcPr>
          <w:p w14:paraId="698B99E0">
            <w:pPr>
              <w:pStyle w:val="9"/>
              <w:jc w:val="right"/>
              <w:rPr>
                <w:rFonts w:hint="eastAsia" w:ascii="方正黑体简体" w:hAnsi="方正黑体简体" w:eastAsia="方正黑体简体" w:cs="方正黑体简体"/>
              </w:rPr>
            </w:pPr>
            <w:r>
              <w:rPr>
                <w:rFonts w:hint="eastAsia" w:ascii="方正黑体简体" w:hAnsi="方正黑体简体" w:eastAsia="方正黑体简体" w:cs="方正黑体简体"/>
              </w:rPr>
              <w:t>68.00（台）</w:t>
            </w:r>
          </w:p>
        </w:tc>
        <w:tc>
          <w:tcPr>
            <w:tcW w:w="821" w:type="dxa"/>
          </w:tcPr>
          <w:p w14:paraId="63C48347">
            <w:pPr>
              <w:pStyle w:val="9"/>
              <w:jc w:val="right"/>
              <w:rPr>
                <w:rFonts w:hint="eastAsia" w:ascii="方正黑体简体" w:hAnsi="方正黑体简体" w:eastAsia="方正黑体简体" w:cs="方正黑体简体"/>
              </w:rPr>
            </w:pPr>
            <w:r>
              <w:rPr>
                <w:rFonts w:hint="eastAsia" w:ascii="方正黑体简体" w:hAnsi="方正黑体简体" w:eastAsia="方正黑体简体" w:cs="方正黑体简体"/>
              </w:rPr>
              <w:t>322,864.00</w:t>
            </w:r>
          </w:p>
        </w:tc>
        <w:tc>
          <w:tcPr>
            <w:tcW w:w="821" w:type="dxa"/>
          </w:tcPr>
          <w:p w14:paraId="30E0817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工业</w:t>
            </w:r>
          </w:p>
        </w:tc>
        <w:tc>
          <w:tcPr>
            <w:tcW w:w="821" w:type="dxa"/>
          </w:tcPr>
          <w:p w14:paraId="52483FB4">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是</w:t>
            </w:r>
          </w:p>
        </w:tc>
        <w:tc>
          <w:tcPr>
            <w:tcW w:w="821" w:type="dxa"/>
          </w:tcPr>
          <w:p w14:paraId="3F1726FF">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821" w:type="dxa"/>
          </w:tcPr>
          <w:p w14:paraId="4DD4F99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是</w:t>
            </w:r>
          </w:p>
        </w:tc>
        <w:tc>
          <w:tcPr>
            <w:tcW w:w="639" w:type="dxa"/>
          </w:tcPr>
          <w:p w14:paraId="26A29C4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639" w:type="dxa"/>
          </w:tcPr>
          <w:p w14:paraId="20358D91">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是</w:t>
            </w:r>
          </w:p>
        </w:tc>
      </w:tr>
      <w:tr w14:paraId="0C380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80A777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2</w:t>
            </w:r>
          </w:p>
        </w:tc>
        <w:tc>
          <w:tcPr>
            <w:tcW w:w="821" w:type="dxa"/>
          </w:tcPr>
          <w:p w14:paraId="3D76032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A02010105 台式计算机</w:t>
            </w:r>
          </w:p>
        </w:tc>
        <w:tc>
          <w:tcPr>
            <w:tcW w:w="821" w:type="dxa"/>
          </w:tcPr>
          <w:p w14:paraId="3DEFC484">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桌面操作系统</w:t>
            </w:r>
          </w:p>
        </w:tc>
        <w:tc>
          <w:tcPr>
            <w:tcW w:w="821" w:type="dxa"/>
          </w:tcPr>
          <w:p w14:paraId="674B0F58">
            <w:pPr>
              <w:pStyle w:val="9"/>
              <w:jc w:val="right"/>
              <w:rPr>
                <w:rFonts w:hint="eastAsia" w:ascii="方正黑体简体" w:hAnsi="方正黑体简体" w:eastAsia="方正黑体简体" w:cs="方正黑体简体"/>
              </w:rPr>
            </w:pPr>
            <w:r>
              <w:rPr>
                <w:rFonts w:hint="eastAsia" w:ascii="方正黑体简体" w:hAnsi="方正黑体简体" w:eastAsia="方正黑体简体" w:cs="方正黑体简体"/>
              </w:rPr>
              <w:t>68.00（套）</w:t>
            </w:r>
          </w:p>
        </w:tc>
        <w:tc>
          <w:tcPr>
            <w:tcW w:w="821" w:type="dxa"/>
          </w:tcPr>
          <w:p w14:paraId="78F66CB1">
            <w:pPr>
              <w:pStyle w:val="9"/>
              <w:jc w:val="right"/>
              <w:rPr>
                <w:rFonts w:hint="eastAsia" w:ascii="方正黑体简体" w:hAnsi="方正黑体简体" w:eastAsia="方正黑体简体" w:cs="方正黑体简体"/>
              </w:rPr>
            </w:pPr>
            <w:r>
              <w:rPr>
                <w:rFonts w:hint="eastAsia" w:ascii="方正黑体简体" w:hAnsi="方正黑体简体" w:eastAsia="方正黑体简体" w:cs="方正黑体简体"/>
              </w:rPr>
              <w:t>27,200.00</w:t>
            </w:r>
          </w:p>
        </w:tc>
        <w:tc>
          <w:tcPr>
            <w:tcW w:w="821" w:type="dxa"/>
          </w:tcPr>
          <w:p w14:paraId="5EB2B41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软件和信息技术服务业</w:t>
            </w:r>
          </w:p>
        </w:tc>
        <w:tc>
          <w:tcPr>
            <w:tcW w:w="821" w:type="dxa"/>
          </w:tcPr>
          <w:p w14:paraId="5300E7A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821" w:type="dxa"/>
          </w:tcPr>
          <w:p w14:paraId="548472B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821" w:type="dxa"/>
          </w:tcPr>
          <w:p w14:paraId="0641374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639" w:type="dxa"/>
          </w:tcPr>
          <w:p w14:paraId="740753F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639" w:type="dxa"/>
          </w:tcPr>
          <w:p w14:paraId="57C0E6A0">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r>
      <w:tr w14:paraId="70938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3BA8A6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3</w:t>
            </w:r>
          </w:p>
        </w:tc>
        <w:tc>
          <w:tcPr>
            <w:tcW w:w="821" w:type="dxa"/>
          </w:tcPr>
          <w:p w14:paraId="1065A18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A02010105 台式计算机</w:t>
            </w:r>
          </w:p>
        </w:tc>
        <w:tc>
          <w:tcPr>
            <w:tcW w:w="821" w:type="dxa"/>
          </w:tcPr>
          <w:p w14:paraId="3524B150">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办公软件</w:t>
            </w:r>
          </w:p>
        </w:tc>
        <w:tc>
          <w:tcPr>
            <w:tcW w:w="821" w:type="dxa"/>
          </w:tcPr>
          <w:p w14:paraId="5646AB7F">
            <w:pPr>
              <w:pStyle w:val="9"/>
              <w:jc w:val="right"/>
              <w:rPr>
                <w:rFonts w:hint="eastAsia" w:ascii="方正黑体简体" w:hAnsi="方正黑体简体" w:eastAsia="方正黑体简体" w:cs="方正黑体简体"/>
              </w:rPr>
            </w:pPr>
            <w:r>
              <w:rPr>
                <w:rFonts w:hint="eastAsia" w:ascii="方正黑体简体" w:hAnsi="方正黑体简体" w:eastAsia="方正黑体简体" w:cs="方正黑体简体"/>
              </w:rPr>
              <w:t>68.00（套）</w:t>
            </w:r>
          </w:p>
        </w:tc>
        <w:tc>
          <w:tcPr>
            <w:tcW w:w="821" w:type="dxa"/>
          </w:tcPr>
          <w:p w14:paraId="7E66515B">
            <w:pPr>
              <w:pStyle w:val="9"/>
              <w:jc w:val="right"/>
              <w:rPr>
                <w:rFonts w:hint="eastAsia" w:ascii="方正黑体简体" w:hAnsi="方正黑体简体" w:eastAsia="方正黑体简体" w:cs="方正黑体简体"/>
              </w:rPr>
            </w:pPr>
            <w:r>
              <w:rPr>
                <w:rFonts w:hint="eastAsia" w:ascii="方正黑体简体" w:hAnsi="方正黑体简体" w:eastAsia="方正黑体简体" w:cs="方正黑体简体"/>
              </w:rPr>
              <w:t>29,920.00</w:t>
            </w:r>
          </w:p>
        </w:tc>
        <w:tc>
          <w:tcPr>
            <w:tcW w:w="821" w:type="dxa"/>
          </w:tcPr>
          <w:p w14:paraId="2C6D46B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软件和信息技术服务业</w:t>
            </w:r>
          </w:p>
        </w:tc>
        <w:tc>
          <w:tcPr>
            <w:tcW w:w="821" w:type="dxa"/>
          </w:tcPr>
          <w:p w14:paraId="21B0D877">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821" w:type="dxa"/>
          </w:tcPr>
          <w:p w14:paraId="12C15B8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821" w:type="dxa"/>
          </w:tcPr>
          <w:p w14:paraId="4E665723">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639" w:type="dxa"/>
          </w:tcPr>
          <w:p w14:paraId="481B2DD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c>
          <w:tcPr>
            <w:tcW w:w="639" w:type="dxa"/>
          </w:tcPr>
          <w:p w14:paraId="0FAFA77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否</w:t>
            </w:r>
          </w:p>
        </w:tc>
      </w:tr>
    </w:tbl>
    <w:p w14:paraId="4A8EE7B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是否适用本国产品标准：是</w:t>
      </w:r>
    </w:p>
    <w:p w14:paraId="4A4DD4D8">
      <w:pPr>
        <w:pStyle w:val="9"/>
        <w:jc w:val="left"/>
        <w:outlineLvl w:val="3"/>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报价要求</w:t>
      </w:r>
    </w:p>
    <w:p w14:paraId="2AAEFAA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66942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221DAE0">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1707" w:type="dxa"/>
          </w:tcPr>
          <w:p w14:paraId="26260F48">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报价内容</w:t>
            </w:r>
          </w:p>
        </w:tc>
        <w:tc>
          <w:tcPr>
            <w:tcW w:w="1138" w:type="dxa"/>
          </w:tcPr>
          <w:p w14:paraId="757F2A17">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数量（计量单位）</w:t>
            </w:r>
          </w:p>
        </w:tc>
        <w:tc>
          <w:tcPr>
            <w:tcW w:w="1365" w:type="dxa"/>
          </w:tcPr>
          <w:p w14:paraId="54FB8361">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最高限价</w:t>
            </w:r>
          </w:p>
        </w:tc>
        <w:tc>
          <w:tcPr>
            <w:tcW w:w="1138" w:type="dxa"/>
          </w:tcPr>
          <w:p w14:paraId="23813EBF">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价款形式</w:t>
            </w:r>
          </w:p>
        </w:tc>
        <w:tc>
          <w:tcPr>
            <w:tcW w:w="1934" w:type="dxa"/>
          </w:tcPr>
          <w:p w14:paraId="69AE1663">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报价说明</w:t>
            </w:r>
          </w:p>
        </w:tc>
      </w:tr>
      <w:tr w14:paraId="0BA47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A7004E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1707" w:type="dxa"/>
          </w:tcPr>
          <w:p w14:paraId="5973D5F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c>
          <w:tcPr>
            <w:tcW w:w="1138" w:type="dxa"/>
          </w:tcPr>
          <w:p w14:paraId="7F573290">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68.00（台）</w:t>
            </w:r>
          </w:p>
        </w:tc>
        <w:tc>
          <w:tcPr>
            <w:tcW w:w="1365" w:type="dxa"/>
          </w:tcPr>
          <w:p w14:paraId="0D9E2E3B">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322,864.00</w:t>
            </w:r>
          </w:p>
        </w:tc>
        <w:tc>
          <w:tcPr>
            <w:tcW w:w="1138" w:type="dxa"/>
          </w:tcPr>
          <w:p w14:paraId="547AF78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总价</w:t>
            </w:r>
          </w:p>
        </w:tc>
        <w:tc>
          <w:tcPr>
            <w:tcW w:w="1934" w:type="dxa"/>
          </w:tcPr>
          <w:p w14:paraId="6B87997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无</w:t>
            </w:r>
          </w:p>
        </w:tc>
      </w:tr>
      <w:tr w14:paraId="547A9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85D835A">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2</w:t>
            </w:r>
          </w:p>
        </w:tc>
        <w:tc>
          <w:tcPr>
            <w:tcW w:w="1707" w:type="dxa"/>
          </w:tcPr>
          <w:p w14:paraId="06EE11FD">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桌面操作系统</w:t>
            </w:r>
          </w:p>
        </w:tc>
        <w:tc>
          <w:tcPr>
            <w:tcW w:w="1138" w:type="dxa"/>
          </w:tcPr>
          <w:p w14:paraId="38326BC8">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68.00（套）</w:t>
            </w:r>
          </w:p>
        </w:tc>
        <w:tc>
          <w:tcPr>
            <w:tcW w:w="1365" w:type="dxa"/>
          </w:tcPr>
          <w:p w14:paraId="7E04C3E8">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27,200.00</w:t>
            </w:r>
          </w:p>
        </w:tc>
        <w:tc>
          <w:tcPr>
            <w:tcW w:w="1138" w:type="dxa"/>
          </w:tcPr>
          <w:p w14:paraId="6FD8B2E1">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总价</w:t>
            </w:r>
          </w:p>
        </w:tc>
        <w:tc>
          <w:tcPr>
            <w:tcW w:w="1934" w:type="dxa"/>
          </w:tcPr>
          <w:p w14:paraId="0EEB2183">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无</w:t>
            </w:r>
          </w:p>
        </w:tc>
      </w:tr>
      <w:tr w14:paraId="372FA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495489D">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3</w:t>
            </w:r>
          </w:p>
        </w:tc>
        <w:tc>
          <w:tcPr>
            <w:tcW w:w="1707" w:type="dxa"/>
          </w:tcPr>
          <w:p w14:paraId="395267FB">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办公软件</w:t>
            </w:r>
          </w:p>
        </w:tc>
        <w:tc>
          <w:tcPr>
            <w:tcW w:w="1138" w:type="dxa"/>
          </w:tcPr>
          <w:p w14:paraId="567EBCC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68.00（套）</w:t>
            </w:r>
          </w:p>
        </w:tc>
        <w:tc>
          <w:tcPr>
            <w:tcW w:w="1365" w:type="dxa"/>
          </w:tcPr>
          <w:p w14:paraId="43D9E921">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29,920.00</w:t>
            </w:r>
          </w:p>
        </w:tc>
        <w:tc>
          <w:tcPr>
            <w:tcW w:w="1138" w:type="dxa"/>
          </w:tcPr>
          <w:p w14:paraId="3B99012F">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总价</w:t>
            </w:r>
          </w:p>
        </w:tc>
        <w:tc>
          <w:tcPr>
            <w:tcW w:w="1934" w:type="dxa"/>
          </w:tcPr>
          <w:p w14:paraId="75D03A5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无</w:t>
            </w:r>
          </w:p>
        </w:tc>
      </w:tr>
    </w:tbl>
    <w:p w14:paraId="3A014EB6">
      <w:pPr>
        <w:pStyle w:val="9"/>
        <w:ind w:firstLine="480"/>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★注：投标人响应产品应当明确品牌和规格型号并指向唯一产品，不能指向唯一产品的，应通过报价表唯一产品说明栏补充说明。</w:t>
      </w:r>
    </w:p>
    <w:p w14:paraId="6CF59503">
      <w:pPr>
        <w:pStyle w:val="9"/>
        <w:jc w:val="left"/>
        <w:outlineLvl w:val="3"/>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本项目涉及核心产品：</w:t>
      </w:r>
    </w:p>
    <w:p w14:paraId="3B38412F">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3280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A439D93">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2492" w:type="dxa"/>
          </w:tcPr>
          <w:p w14:paraId="5F02217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采购品目名称</w:t>
            </w:r>
          </w:p>
        </w:tc>
        <w:tc>
          <w:tcPr>
            <w:tcW w:w="2492" w:type="dxa"/>
          </w:tcPr>
          <w:p w14:paraId="6E3AA0C5">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w:t>
            </w:r>
          </w:p>
        </w:tc>
        <w:tc>
          <w:tcPr>
            <w:tcW w:w="2492" w:type="dxa"/>
          </w:tcPr>
          <w:p w14:paraId="7C03EC2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产品名称</w:t>
            </w:r>
          </w:p>
        </w:tc>
      </w:tr>
      <w:tr w14:paraId="73BEC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E88D18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2492" w:type="dxa"/>
          </w:tcPr>
          <w:p w14:paraId="020DBD57">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A02010105 台式计算机</w:t>
            </w:r>
          </w:p>
        </w:tc>
        <w:tc>
          <w:tcPr>
            <w:tcW w:w="2492" w:type="dxa"/>
          </w:tcPr>
          <w:p w14:paraId="230EB29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c>
          <w:tcPr>
            <w:tcW w:w="2492" w:type="dxa"/>
          </w:tcPr>
          <w:p w14:paraId="10DE905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r>
    </w:tbl>
    <w:p w14:paraId="1617CA6D">
      <w:pPr>
        <w:pStyle w:val="9"/>
        <w:ind w:firstLine="480"/>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注：涉及核心产品的，具体评审规定见第五章。</w:t>
      </w:r>
    </w:p>
    <w:p w14:paraId="069CD6EF">
      <w:pPr>
        <w:pStyle w:val="9"/>
        <w:jc w:val="left"/>
        <w:outlineLvl w:val="3"/>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本项目涉及采购进口产品：</w:t>
      </w:r>
    </w:p>
    <w:p w14:paraId="34A76D1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0688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C20BC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2492" w:type="dxa"/>
          </w:tcPr>
          <w:p w14:paraId="57E5CD2F">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采购品目名称</w:t>
            </w:r>
          </w:p>
        </w:tc>
        <w:tc>
          <w:tcPr>
            <w:tcW w:w="2492" w:type="dxa"/>
          </w:tcPr>
          <w:p w14:paraId="182F70D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w:t>
            </w:r>
          </w:p>
        </w:tc>
        <w:tc>
          <w:tcPr>
            <w:tcW w:w="2492" w:type="dxa"/>
          </w:tcPr>
          <w:p w14:paraId="5A775539">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产品名称</w:t>
            </w:r>
          </w:p>
        </w:tc>
      </w:tr>
      <w:tr w14:paraId="28AE5A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3D0DDCA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不涉及</w:t>
            </w:r>
          </w:p>
        </w:tc>
      </w:tr>
    </w:tbl>
    <w:p w14:paraId="6A9E1949">
      <w:pPr>
        <w:pStyle w:val="9"/>
        <w:ind w:firstLine="480"/>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★注：不涉及采购进口产品时，投标人不得提供进口产品进行响应；涉及采购进口产品时，如国产产品满足采购需求，也可提供国产产品进行响应。</w:t>
      </w:r>
    </w:p>
    <w:p w14:paraId="24391672">
      <w:pPr>
        <w:pStyle w:val="9"/>
        <w:jc w:val="left"/>
        <w:outlineLvl w:val="3"/>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本项目涉及强制采购节能产品：</w:t>
      </w:r>
    </w:p>
    <w:p w14:paraId="10A071E8">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45C4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3BD77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2492" w:type="dxa"/>
          </w:tcPr>
          <w:p w14:paraId="64BADBBE">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采购品目名称</w:t>
            </w:r>
          </w:p>
        </w:tc>
        <w:tc>
          <w:tcPr>
            <w:tcW w:w="2492" w:type="dxa"/>
          </w:tcPr>
          <w:p w14:paraId="0F5DD1C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w:t>
            </w:r>
          </w:p>
        </w:tc>
        <w:tc>
          <w:tcPr>
            <w:tcW w:w="2492" w:type="dxa"/>
          </w:tcPr>
          <w:p w14:paraId="69598AC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产品名称</w:t>
            </w:r>
          </w:p>
        </w:tc>
      </w:tr>
      <w:tr w14:paraId="044A8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57E808">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2492" w:type="dxa"/>
          </w:tcPr>
          <w:p w14:paraId="736FB430">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A02010105 台式计算机</w:t>
            </w:r>
          </w:p>
        </w:tc>
        <w:tc>
          <w:tcPr>
            <w:tcW w:w="2492" w:type="dxa"/>
          </w:tcPr>
          <w:p w14:paraId="6BB53574">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c>
          <w:tcPr>
            <w:tcW w:w="2492" w:type="dxa"/>
          </w:tcPr>
          <w:p w14:paraId="21CBA36C">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r>
    </w:tbl>
    <w:p w14:paraId="1F818A53">
      <w:pPr>
        <w:pStyle w:val="9"/>
        <w:ind w:firstLine="480"/>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3B7C212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b/>
        </w:rPr>
        <w:t>本项目涉及优先采购节能产品：</w:t>
      </w:r>
    </w:p>
    <w:p w14:paraId="5175D3F8">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CA46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0D619D">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2492" w:type="dxa"/>
          </w:tcPr>
          <w:p w14:paraId="0045C508">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采购品目名称</w:t>
            </w:r>
          </w:p>
        </w:tc>
        <w:tc>
          <w:tcPr>
            <w:tcW w:w="2492" w:type="dxa"/>
          </w:tcPr>
          <w:p w14:paraId="594FC41B">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w:t>
            </w:r>
          </w:p>
        </w:tc>
        <w:tc>
          <w:tcPr>
            <w:tcW w:w="2492" w:type="dxa"/>
          </w:tcPr>
          <w:p w14:paraId="17B8E5CC">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产品名称</w:t>
            </w:r>
          </w:p>
        </w:tc>
      </w:tr>
      <w:tr w14:paraId="057DD4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32C7BE9B">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不涉及</w:t>
            </w:r>
          </w:p>
        </w:tc>
      </w:tr>
    </w:tbl>
    <w:p w14:paraId="7CFBB881">
      <w:pPr>
        <w:pStyle w:val="9"/>
        <w:ind w:firstLine="480"/>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5D5EB82A">
      <w:pPr>
        <w:pStyle w:val="9"/>
        <w:jc w:val="left"/>
        <w:outlineLvl w:val="3"/>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本项目涉及优先采购环境标志产品：</w:t>
      </w:r>
    </w:p>
    <w:p w14:paraId="00DC56EC">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C556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7A93A20">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2492" w:type="dxa"/>
          </w:tcPr>
          <w:p w14:paraId="3E35F773">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采购品目名称</w:t>
            </w:r>
          </w:p>
        </w:tc>
        <w:tc>
          <w:tcPr>
            <w:tcW w:w="2492" w:type="dxa"/>
          </w:tcPr>
          <w:p w14:paraId="65A085EC">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w:t>
            </w:r>
          </w:p>
        </w:tc>
        <w:tc>
          <w:tcPr>
            <w:tcW w:w="2492" w:type="dxa"/>
          </w:tcPr>
          <w:p w14:paraId="6706DF6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产品名称</w:t>
            </w:r>
          </w:p>
        </w:tc>
      </w:tr>
      <w:tr w14:paraId="330432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E287E0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2492" w:type="dxa"/>
          </w:tcPr>
          <w:p w14:paraId="53728F51">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A02010105 台式计算机</w:t>
            </w:r>
          </w:p>
        </w:tc>
        <w:tc>
          <w:tcPr>
            <w:tcW w:w="2492" w:type="dxa"/>
          </w:tcPr>
          <w:p w14:paraId="52065E6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c>
          <w:tcPr>
            <w:tcW w:w="2492" w:type="dxa"/>
          </w:tcPr>
          <w:p w14:paraId="0B6BFDC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台式计算机</w:t>
            </w:r>
          </w:p>
        </w:tc>
      </w:tr>
    </w:tbl>
    <w:p w14:paraId="401EAE25">
      <w:pPr>
        <w:pStyle w:val="9"/>
        <w:ind w:firstLine="480"/>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25330E16">
      <w:pPr>
        <w:pStyle w:val="9"/>
        <w:jc w:val="left"/>
        <w:outlineLvl w:val="2"/>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8"/>
        </w:rPr>
        <w:t>3.2.技术要求</w:t>
      </w:r>
    </w:p>
    <w:p w14:paraId="2DB101E8">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p w14:paraId="4C111D2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标的名称：台式计算机</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49A8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D2FF81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581" w:type="dxa"/>
          </w:tcPr>
          <w:p w14:paraId="7D84373C">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符号标识</w:t>
            </w:r>
          </w:p>
        </w:tc>
        <w:tc>
          <w:tcPr>
            <w:tcW w:w="1495" w:type="dxa"/>
          </w:tcPr>
          <w:p w14:paraId="1D1BD2DD">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技术要求名称</w:t>
            </w:r>
          </w:p>
        </w:tc>
        <w:tc>
          <w:tcPr>
            <w:tcW w:w="5814" w:type="dxa"/>
          </w:tcPr>
          <w:p w14:paraId="790C71E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技术参数与性能指标</w:t>
            </w:r>
          </w:p>
        </w:tc>
      </w:tr>
      <w:tr w14:paraId="07754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742CC68">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581" w:type="dxa"/>
          </w:tcPr>
          <w:p w14:paraId="1D9AF3E4">
            <w:pPr>
              <w:rPr>
                <w:rFonts w:hint="eastAsia" w:ascii="方正黑体简体" w:hAnsi="方正黑体简体" w:eastAsia="方正黑体简体" w:cs="方正黑体简体"/>
              </w:rPr>
            </w:pPr>
          </w:p>
        </w:tc>
        <w:tc>
          <w:tcPr>
            <w:tcW w:w="1495" w:type="dxa"/>
          </w:tcPr>
          <w:p w14:paraId="49FF168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技术参数与性能指标</w:t>
            </w:r>
          </w:p>
        </w:tc>
        <w:tc>
          <w:tcPr>
            <w:tcW w:w="5814" w:type="dxa"/>
          </w:tcPr>
          <w:p w14:paraId="61B55AB8">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CPU规格：处理器符合中国信息安全测评中心、国家保密科技测评中心的《安全可靠测评结果》。CPU物理核心数≥8核，每核心主频≥3.6 GHz， 末级缓存容量≥32MB，热设计功耗（TDP）≤80W；</w:t>
            </w:r>
            <w:r>
              <w:rPr>
                <w:rFonts w:hint="eastAsia" w:ascii="方正黑体简体" w:hAnsi="方正黑体简体" w:eastAsia="方正黑体简体" w:cs="方正黑体简体"/>
                <w:b/>
                <w:sz w:val="24"/>
              </w:rPr>
              <w:t>（供应商的响应文件需提供CPU符合安全可靠测评结果官网截图证明，并进行电子签章）</w:t>
            </w:r>
          </w:p>
          <w:p w14:paraId="7C4F8B7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2.</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主板PCI要求；≥1个PCIex 16,≥1个PCIex8,≥1个PCIex4；≥1个PCIex1；</w:t>
            </w:r>
          </w:p>
          <w:p w14:paraId="5B87900A">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3.</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内存：≥16GB DDR4 3200Mhz， ≥2个内存插槽，最大支持64GB；</w:t>
            </w:r>
          </w:p>
          <w:p w14:paraId="1CF688FC">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4.</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硬盘容量：≥512GBSSD固态硬盘，支持机械硬盘扩展；支持（SSD+SS D/SSD+HDD）多模式组合；</w:t>
            </w:r>
          </w:p>
          <w:p w14:paraId="24EB2FA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5.</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显卡：高性能集成显卡；</w:t>
            </w:r>
          </w:p>
          <w:p w14:paraId="4C322DD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6.</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鼠标键盘：USB有线键盘鼠标（防水抗菌键盘、抗菌鼠标）；</w:t>
            </w:r>
          </w:p>
          <w:p w14:paraId="4A62BB46">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7.</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外部接口：USB接口总数≥8个，前置≥2个USB3.0， ≥2个USB2.0 ；可选1个Type-C接口）；后置≥2个USB3.0，≥2个USB2.0；所有USB接口非转接； M.2接口≥1个；SATA3.0接口≥3个，板载集成视频接口≥3个（非转接），≥2个PS2接口；</w:t>
            </w:r>
          </w:p>
          <w:p w14:paraId="3BC7AF6D">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8.</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电源：≥200W；</w:t>
            </w:r>
          </w:p>
          <w:p w14:paraId="09D85BA0">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9.</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显示设备要求</w:t>
            </w:r>
          </w:p>
          <w:p w14:paraId="4B3B2109">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显示屏屏占比：≥80%；</w:t>
            </w:r>
          </w:p>
          <w:p w14:paraId="609DAF2C">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（2）</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显示屏分辨率：≥1920x1080；</w:t>
            </w:r>
          </w:p>
          <w:p w14:paraId="45807482">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（3）</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显示屏尺寸：≥23.8英寸；</w:t>
            </w:r>
          </w:p>
          <w:p w14:paraId="2E052785">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（4）</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显示屏屏幕比例：16:9；</w:t>
            </w:r>
          </w:p>
          <w:p w14:paraId="555D6CCC">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（5）</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显示器外观颜色：黑色；</w:t>
            </w:r>
          </w:p>
          <w:p w14:paraId="0D9D3C58">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（6）</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显示屏低频闪：显示屏支持低频闪≤-35dB；</w:t>
            </w:r>
          </w:p>
          <w:p w14:paraId="2D01C8B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（7）</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显示屏防眩目：显示器镜面反射率≤10%；</w:t>
            </w:r>
          </w:p>
          <w:p w14:paraId="315D8974">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（8）</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显示屏刷新率：≥100Hz；</w:t>
            </w:r>
          </w:p>
          <w:p w14:paraId="6055F88F">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1"/>
              </w:rPr>
              <w:t>10.★整机可靠性要求：MTBF≥100万小时；（供应商的响应文件需提供承诺函原件并进行电子签章，格式自拟）</w:t>
            </w:r>
          </w:p>
          <w:p w14:paraId="6EF8414D">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11.★兼容要求：支持流式软件、版式软件、浏览器、邮件采购人端、解压软件、多媒体、图形图像处理等常用软件；兼容满足≥9种（统信，麒麟，中科方德，东方亿盟，极域，金山，数科，360，奇安信，视宽科技，晟为）主流软硬件厂家的产品适配互认文件；</w:t>
            </w:r>
            <w:r>
              <w:rPr>
                <w:rFonts w:hint="eastAsia" w:ascii="方正黑体简体" w:hAnsi="方正黑体简体" w:eastAsia="方正黑体简体" w:cs="方正黑体简体"/>
                <w:b/>
                <w:sz w:val="24"/>
              </w:rPr>
              <w:t>（供应商的响应文件需提供适配互认文件证明材料复印件并进行电子签章）</w:t>
            </w:r>
          </w:p>
          <w:p w14:paraId="1190CEBC">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12. 机房管理软件</w:t>
            </w:r>
          </w:p>
          <w:p w14:paraId="64C574E0">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支持BIOS底层对终端进行还原类型设置，支持每次开机还原、手动还原、每天特定时间还原、每周特定时间还原、每月特定时间还原，以及不还原等多种数据还原方式，同时也可在Windows系统下通过主控端对被控端批量远程设置相同的还原参数。</w:t>
            </w:r>
            <w:r>
              <w:rPr>
                <w:rFonts w:hint="eastAsia" w:ascii="方正黑体简体" w:hAnsi="方正黑体简体" w:eastAsia="方正黑体简体" w:cs="方正黑体简体"/>
                <w:b/>
                <w:sz w:val="24"/>
              </w:rPr>
              <w:t>（供应商的响应文件需提供软件功能界面截图证明，并进行电子签章）</w:t>
            </w:r>
          </w:p>
          <w:p w14:paraId="7713D5F6">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（2）▲支持BIOS底层和Windows操作系统两种方式下，对管理员模式、还原模式、考试模式一键自由切换。</w:t>
            </w:r>
            <w:r>
              <w:rPr>
                <w:rFonts w:hint="eastAsia" w:ascii="方正黑体简体" w:hAnsi="方正黑体简体" w:eastAsia="方正黑体简体" w:cs="方正黑体简体"/>
                <w:b/>
                <w:sz w:val="24"/>
              </w:rPr>
              <w:t>（供应商的响应文件需提供软件功能界面截图证明，并进行电子签章）</w:t>
            </w:r>
          </w:p>
          <w:p w14:paraId="273C9F98">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（3）▲支持UEFI PXE和Legacy PXE双模式自动连线的智能对拷功能，可设置P2P、广播、组播、单播三种不同的智能对拷模式，以及根据实际网络情况设置全速、高速、快速、流畅四种延时类型，对拷过程中用户可查看当前对拷速度、当前对拷分区、延时、总剩余数据量、已用时间，剩余时间、克隆速率等相关对拷信息，实时掌握对拷进度和状态。</w:t>
            </w:r>
            <w:r>
              <w:rPr>
                <w:rFonts w:hint="eastAsia" w:ascii="方正黑体简体" w:hAnsi="方正黑体简体" w:eastAsia="方正黑体简体" w:cs="方正黑体简体"/>
                <w:b/>
                <w:sz w:val="24"/>
              </w:rPr>
              <w:t>（供应商的响应文件需提供软件功能界面截图证明，并进行电子签章）</w:t>
            </w:r>
          </w:p>
          <w:p w14:paraId="5FBA4548">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（4）支持虚拟系统快速建立功能，每个虚拟系统在BIOS底层开机启动菜单可显示到对应真实系统下，方便用户分辨虚拟系统和真实系统的所属关系，避免用户误操作。</w:t>
            </w:r>
            <w:r>
              <w:rPr>
                <w:rFonts w:hint="eastAsia" w:ascii="方正黑体简体" w:hAnsi="方正黑体简体" w:eastAsia="方正黑体简体" w:cs="方正黑体简体"/>
                <w:b/>
                <w:sz w:val="24"/>
              </w:rPr>
              <w:t>（供应商的响应文件需提供软件功能界面截图证明，并进行电子签章）</w:t>
            </w:r>
          </w:p>
          <w:p w14:paraId="550C8236">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（5）支持管理端登录超时机制，可设置从不、30分钟、1小时、3小时、6小时等不同超时时长。</w:t>
            </w:r>
            <w:r>
              <w:rPr>
                <w:rFonts w:hint="eastAsia" w:ascii="方正黑体简体" w:hAnsi="方正黑体简体" w:eastAsia="方正黑体简体" w:cs="方正黑体简体"/>
                <w:b/>
                <w:sz w:val="24"/>
              </w:rPr>
              <w:t>（供应商的响应文件需提供软件功能界面截图证明，并进行电子签章）</w:t>
            </w:r>
          </w:p>
          <w:p w14:paraId="276DE270">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（6）支持系统克隆功能，当需要安装多个相同系统时，无需重复多次安装操作，只需要在BIOS底层通过系统克隆功能即可完成多个系统的建立，同时可预设新克隆的系统数据还原方式</w:t>
            </w:r>
            <w:r>
              <w:rPr>
                <w:rFonts w:hint="eastAsia" w:ascii="方正黑体简体" w:hAnsi="方正黑体简体" w:eastAsia="方正黑体简体" w:cs="方正黑体简体"/>
                <w:b/>
                <w:sz w:val="24"/>
              </w:rPr>
              <w:t>。（供应商的响应文件需提供软件功能界面截图证明，并进行电子签章）</w:t>
            </w:r>
          </w:p>
          <w:p w14:paraId="50471A37">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（7）▲支持Windows系统下的在线考试功能，支持试卷编辑、下发试卷、开始考试、试卷查看、发送答案、试卷导出、停止考试等操作。</w:t>
            </w:r>
            <w:r>
              <w:rPr>
                <w:rFonts w:hint="eastAsia" w:ascii="方正黑体简体" w:hAnsi="方正黑体简体" w:eastAsia="方正黑体简体" w:cs="方正黑体简体"/>
                <w:b/>
                <w:sz w:val="24"/>
              </w:rPr>
              <w:t>（供应商的响应文件需提供软件功能界面截图证明，并进行电子签章）</w:t>
            </w:r>
          </w:p>
          <w:p w14:paraId="14DE38B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8）▲支持Windows系统下的随堂点名功能，点名过程中，学生端可输入班级、学号、姓名等信息，提交后教师端列表会显示当前点名的计算机名、学生名、班级、学号、在线状态、出勤状态、IP地址，学生总数、已签到人数、未签到人数等信息，也可将点名信息导出保存。</w:t>
            </w:r>
            <w:r>
              <w:rPr>
                <w:rFonts w:hint="eastAsia" w:ascii="方正黑体简体" w:hAnsi="方正黑体简体" w:eastAsia="方正黑体简体" w:cs="方正黑体简体"/>
                <w:b/>
                <w:sz w:val="24"/>
              </w:rPr>
              <w:t>（供应商的响应文件需提供软件功能界面截图证明，并进行电子签章）</w:t>
            </w:r>
          </w:p>
          <w:p w14:paraId="547E80A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（9）▲支持Windows系统下的发送消息功能，教师端对学生端可批量发送消息或通知，通知的内容会以滚动字幕的方式显示在接收端的系统桌面，滚动播放，时刻提醒用户注意查看重要信息。</w:t>
            </w:r>
            <w:r>
              <w:rPr>
                <w:rFonts w:hint="eastAsia" w:ascii="方正黑体简体" w:hAnsi="方正黑体简体" w:eastAsia="方正黑体简体" w:cs="方正黑体简体"/>
                <w:b/>
                <w:sz w:val="24"/>
              </w:rPr>
              <w:t>（供应商的响应文件需提供软件功能界面截图证明，并进行电子签章）</w:t>
            </w:r>
          </w:p>
          <w:p w14:paraId="1CE5A6D6">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（10）▲支持Windows系统下的本机操作功能，提供网络设置、快速保存、快速还原、分区设置、模式管理、系统切换、系统更新、智能USB、文件粉碎等多种本机管理功能。</w:t>
            </w:r>
            <w:r>
              <w:rPr>
                <w:rFonts w:hint="eastAsia" w:ascii="方正黑体简体" w:hAnsi="方正黑体简体" w:eastAsia="方正黑体简体" w:cs="方正黑体简体"/>
                <w:b/>
                <w:sz w:val="24"/>
              </w:rPr>
              <w:t>（供应商的响应文件需提供软件功能界面截图证明，并进行电子签章）</w:t>
            </w:r>
          </w:p>
          <w:p w14:paraId="7F35F439">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（11）▲可根据不同的终端硬件配置选择Intel集成显卡解码、NVIDIA显卡解码、DXVA2解码等多种不同的解码方式，实现最优的广播效果。</w:t>
            </w:r>
            <w:r>
              <w:rPr>
                <w:rFonts w:hint="eastAsia" w:ascii="方正黑体简体" w:hAnsi="方正黑体简体" w:eastAsia="方正黑体简体" w:cs="方正黑体简体"/>
                <w:b/>
                <w:sz w:val="24"/>
              </w:rPr>
              <w:t>（供应商的响应文件需提供软件功能界面截图证明，并进行电子签章）</w:t>
            </w:r>
          </w:p>
          <w:p w14:paraId="305A1C89">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12）▲支持Windows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r>
              <w:rPr>
                <w:rFonts w:hint="eastAsia" w:ascii="方正黑体简体" w:hAnsi="方正黑体简体" w:eastAsia="方正黑体简体" w:cs="方正黑体简体"/>
                <w:b/>
                <w:sz w:val="24"/>
              </w:rPr>
              <w:t>（供应商的响应文件需提供软件功能界面截图证明，并进行电子签章）</w:t>
            </w:r>
          </w:p>
          <w:p w14:paraId="750C2C8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r>
              <w:rPr>
                <w:rFonts w:hint="eastAsia" w:ascii="方正黑体简体" w:hAnsi="方正黑体简体" w:eastAsia="方正黑体简体" w:cs="方正黑体简体"/>
                <w:b/>
                <w:sz w:val="24"/>
              </w:rPr>
              <w:t>供应商的响应文件需提供软件功能界面截图证明，并进行电子签章）</w:t>
            </w:r>
          </w:p>
          <w:p w14:paraId="5E16BCA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13.</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其他未列明技术指标要求：供应商所投产品除以上参数外应满足财库〔2023〕29号关于印发《台式计算机政府采购需求标准(2023年版）》的通知文件中其他除“关键部件安全要求”外*指标要求。</w:t>
            </w:r>
            <w:r>
              <w:rPr>
                <w:rFonts w:hint="eastAsia" w:ascii="方正黑体简体" w:hAnsi="方正黑体简体" w:eastAsia="方正黑体简体" w:cs="方正黑体简体"/>
                <w:b/>
                <w:sz w:val="24"/>
              </w:rPr>
              <w:t>（供应商的响应文件需提供承诺函原件并进行电子签章，格式自拟）</w:t>
            </w:r>
          </w:p>
          <w:p w14:paraId="6F72636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14.</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供应商需提供国家强制性产品认证（3C认证）证书复印件或提供认证证书官网查询截图证明，并进行电子签章。</w:t>
            </w:r>
          </w:p>
          <w:p w14:paraId="48D7784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15.其他要求：为保证产品质量，供应商所供产品需享有品牌全国官方联保服务。</w:t>
            </w:r>
            <w:r>
              <w:rPr>
                <w:rFonts w:hint="eastAsia" w:ascii="方正黑体简体" w:hAnsi="方正黑体简体" w:eastAsia="方正黑体简体" w:cs="方正黑体简体"/>
                <w:b/>
                <w:sz w:val="24"/>
              </w:rPr>
              <w:t>（供应商的响应文件需提供品牌官网公示全国联保服务的完整截图，截图须清晰显示网页网址、页面内容，并在截图上进行电子签章）</w:t>
            </w:r>
          </w:p>
          <w:p w14:paraId="7E2FDAF1">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注：</w:t>
            </w:r>
          </w:p>
          <w:p w14:paraId="3C18DD1D">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★1.本项目涉及核心产品：台式计算机。</w:t>
            </w:r>
          </w:p>
          <w:p w14:paraId="36DB3003">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2.本项目涉及强制采购节能产品：台式计算机。（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w:t>
            </w:r>
          </w:p>
          <w:p w14:paraId="74B400A8">
            <w:pPr>
              <w:pStyle w:val="9"/>
              <w:numPr>
                <w:ilvl w:val="0"/>
                <w:numId w:val="1"/>
              </w:numPr>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本项目涉及优先采购环境标志产品：台式计算机。（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w:t>
            </w:r>
          </w:p>
          <w:p w14:paraId="7B2FE205">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4.“▲”为重要技术参数条款，其他为一般技术参数；要求提供证明材料的条款，以供应商提供的证明材料为准，不提供或不满足按要求进行扣分，不影响其响应文件有效性。</w:t>
            </w:r>
          </w:p>
          <w:p w14:paraId="7E8045BA">
            <w:pPr>
              <w:pStyle w:val="9"/>
              <w:spacing w:after="120"/>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5.“★”技术参数条款为实质性要求，不允许负偏离。</w:t>
            </w:r>
          </w:p>
          <w:p w14:paraId="528BD8F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6.技术参数与性能指标中涉及的国家标准行业标准或地方标准若有最新标准以最新标准为准。</w:t>
            </w:r>
          </w:p>
          <w:p w14:paraId="4938021E">
            <w:pPr>
              <w:pStyle w:val="9"/>
              <w:jc w:val="left"/>
              <w:rPr>
                <w:rFonts w:hint="eastAsia" w:ascii="方正黑体简体" w:hAnsi="方正黑体简体" w:eastAsia="方正黑体简体" w:cs="方正黑体简体"/>
              </w:rPr>
            </w:pPr>
          </w:p>
        </w:tc>
      </w:tr>
    </w:tbl>
    <w:p w14:paraId="6C6268B0">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标的名称：桌面操作系统</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5DAA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14:paraId="5F3E7A0A">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581" w:type="dxa"/>
          </w:tcPr>
          <w:p w14:paraId="2CC02C83">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符号标识</w:t>
            </w:r>
          </w:p>
        </w:tc>
        <w:tc>
          <w:tcPr>
            <w:tcW w:w="1495" w:type="dxa"/>
          </w:tcPr>
          <w:p w14:paraId="7988E0F2">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技术要求名称</w:t>
            </w:r>
          </w:p>
        </w:tc>
        <w:tc>
          <w:tcPr>
            <w:tcW w:w="5814" w:type="dxa"/>
          </w:tcPr>
          <w:p w14:paraId="12A94A7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技术参数与性能指标</w:t>
            </w:r>
          </w:p>
        </w:tc>
      </w:tr>
      <w:tr w14:paraId="4F67E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E910090">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581" w:type="dxa"/>
          </w:tcPr>
          <w:p w14:paraId="54B43535">
            <w:pPr>
              <w:rPr>
                <w:rFonts w:hint="eastAsia" w:ascii="方正黑体简体" w:hAnsi="方正黑体简体" w:eastAsia="方正黑体简体" w:cs="方正黑体简体"/>
              </w:rPr>
            </w:pPr>
          </w:p>
        </w:tc>
        <w:tc>
          <w:tcPr>
            <w:tcW w:w="1495" w:type="dxa"/>
          </w:tcPr>
          <w:p w14:paraId="1DC8D25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技术参数与性能指标</w:t>
            </w:r>
          </w:p>
        </w:tc>
        <w:tc>
          <w:tcPr>
            <w:tcW w:w="5814" w:type="dxa"/>
          </w:tcPr>
          <w:p w14:paraId="66C5FAA1">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1.★操作系统应当符合安全可靠测评要求。</w:t>
            </w:r>
            <w:r>
              <w:rPr>
                <w:rFonts w:hint="eastAsia" w:ascii="方正黑体简体" w:hAnsi="方正黑体简体" w:eastAsia="方正黑体简体" w:cs="方正黑体简体"/>
                <w:b/>
                <w:sz w:val="24"/>
              </w:rPr>
              <w:t>（供应商的响应文件需提供通过中国信息安全测评中心或国家保密科技测评中心网站查看安全可靠测评结果截图证明，并进行电子签章）</w:t>
            </w:r>
          </w:p>
          <w:p w14:paraId="7BAA6F03">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2.★政府采购需求标准要求：满足财政部、工业和信息化部印发的《操作系统政府采购需求标准（2023年版）》文件中《桌面操作系统政府采购需求标准》规定的全部带“*”内容。</w:t>
            </w:r>
          </w:p>
          <w:p w14:paraId="6ADD16A8">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3.CPU支持：同源兼容ARM、AMD、LoongArch、MIPS 等平台架构的 CPU。</w:t>
            </w:r>
          </w:p>
          <w:p w14:paraId="31F491E4">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4.登录认证：当用户忘记密码后，需支持在公网环境、离线环境下通过手机号或邮箱方式快速找回密码。</w:t>
            </w:r>
            <w:r>
              <w:rPr>
                <w:rFonts w:hint="eastAsia" w:ascii="方正黑体简体" w:hAnsi="方正黑体简体" w:eastAsia="方正黑体简体" w:cs="方正黑体简体"/>
                <w:b/>
                <w:sz w:val="24"/>
              </w:rPr>
              <w:t>（供应商的响应文件需提供功能截图证明，并进行电子签章）</w:t>
            </w:r>
          </w:p>
          <w:p w14:paraId="5698E4BB">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5.系统修复工具：提供系统修复工具，当无法正常启动系统时，可以通过修复工具完成硬盘修复、磁盘清理、重置磁盘密码、引导修复、网络工具功能，方便系统维护。</w:t>
            </w:r>
            <w:r>
              <w:rPr>
                <w:rFonts w:hint="eastAsia" w:ascii="方正黑体简体" w:hAnsi="方正黑体简体" w:eastAsia="方正黑体简体" w:cs="方正黑体简体"/>
                <w:b/>
                <w:sz w:val="24"/>
              </w:rPr>
              <w:t>（供应商的响应文件需提供修复工具相关功能截图证明，并进行电子签章）</w:t>
            </w:r>
          </w:p>
          <w:p w14:paraId="164BAC07">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6.权限管控：系统具备开发者模式功能，为保障系统安全，未打开开发者模式无法获取root用户权限。同时具备应用软件数字签名的安全保护机制，确保安装应用软件来源可信，未签名的软件包无法正常安装成功。</w:t>
            </w:r>
            <w:r>
              <w:rPr>
                <w:rFonts w:hint="eastAsia" w:ascii="方正黑体简体" w:hAnsi="方正黑体简体" w:eastAsia="方正黑体简体" w:cs="方正黑体简体"/>
                <w:b/>
                <w:sz w:val="24"/>
              </w:rPr>
              <w:t>（供应商的响应文件需提供图形化打开开发者模式功能截图证明，并进行电子签章）</w:t>
            </w:r>
          </w:p>
          <w:p w14:paraId="64D587B3">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7.安全中心：系统预装自研安全中心，支持防火墙、登录安全、应用安全、联网控制、外设管理、病毒查杀等功能，支持接入至少2个杀毒引擎，支持病毒库自动升级。</w:t>
            </w:r>
            <w:r>
              <w:rPr>
                <w:rFonts w:hint="eastAsia" w:ascii="方正黑体简体" w:hAnsi="方正黑体简体" w:eastAsia="方正黑体简体" w:cs="方正黑体简体"/>
                <w:b/>
                <w:sz w:val="24"/>
              </w:rPr>
              <w:t>（供应商的响应文件需提供功能截图证明，并进行电子签章）</w:t>
            </w:r>
          </w:p>
          <w:p w14:paraId="0ABAC17A">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8.系统升级：操作系统支持保障安全升级的自动主备双根分区，支持升级自动备份，支持升级后回退机制，支持在图形界面设置不升级系统版本的情况下仅单独获取安全漏洞和兼容性相关更新等功能。</w:t>
            </w:r>
            <w:r>
              <w:rPr>
                <w:rFonts w:hint="eastAsia" w:ascii="方正黑体简体" w:hAnsi="方正黑体简体" w:eastAsia="方正黑体简体" w:cs="方正黑体简体"/>
                <w:b/>
                <w:sz w:val="24"/>
              </w:rPr>
              <w:t>（供应商的响应文件需提供功能截图证明，并进行电子签章）</w:t>
            </w:r>
          </w:p>
          <w:p w14:paraId="597CEE6B">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9.接口安全：系统支持USKI标准化内核安全框架，确保第三方安全模块可兼容主流安全开发标准；内核升级时，第三方安全模块应保持兼容性，不影响系统正常运行。</w:t>
            </w:r>
            <w:r>
              <w:rPr>
                <w:rFonts w:hint="eastAsia" w:ascii="方正黑体简体" w:hAnsi="方正黑体简体" w:eastAsia="方正黑体简体" w:cs="方正黑体简体"/>
                <w:b/>
                <w:sz w:val="24"/>
              </w:rPr>
              <w:t>（供应商的响应文件需提供接口介绍文档截图证明，并进行电子签章）</w:t>
            </w:r>
          </w:p>
          <w:p w14:paraId="79C4A219">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10.数据迁移：操作系统产品需预装自研数据迁移工具，支持在线、离线两种方式将windows上的数据迁移到操作系统上，便于用户快速完成化替换。</w:t>
            </w:r>
          </w:p>
          <w:p w14:paraId="181426E4">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11.基本功能：系统应具备桌面图标自动归类功能，支持对应用程序、文档、图片、文件夹等进行分类整理和生成桌面区域布局，减少桌面文件查找时间。</w:t>
            </w:r>
            <w:r>
              <w:rPr>
                <w:rFonts w:hint="eastAsia" w:ascii="方正黑体简体" w:hAnsi="方正黑体简体" w:eastAsia="方正黑体简体" w:cs="方正黑体简体"/>
                <w:b/>
                <w:sz w:val="24"/>
              </w:rPr>
              <w:t>（供应商的响应文件需提供功能截图证明，并进行电子签章）</w:t>
            </w:r>
          </w:p>
          <w:p w14:paraId="1DE81CE5">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12.操作系统产品具有应用商店，应用商店可针对教育行业提供教育专属应用，提供教育行业各地方教育资源平台入口。</w:t>
            </w:r>
          </w:p>
          <w:p w14:paraId="404CD2C7">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13.操作系统须具备集成AI助手的功能，并支持接入不同类型（如在线、本地、私有化部署）的AI模型，支持自定义划词AI快捷指令、MCP、联网搜索。需提供生成式人工智能服务和算法通过网信部门、国家互联网信息办公室登记与备案，符合国家对生成式AI的监管要求。</w:t>
            </w:r>
            <w:r>
              <w:rPr>
                <w:rFonts w:hint="eastAsia" w:ascii="方正黑体简体" w:hAnsi="方正黑体简体" w:eastAsia="方正黑体简体" w:cs="方正黑体简体"/>
                <w:b/>
                <w:sz w:val="24"/>
              </w:rPr>
              <w:t>（供应商的响应文件需提供互联网信息服务算法备案系统网站备案查询截图和国家互联网信息办公室登记备案清单复印件并进行电子签章）</w:t>
            </w:r>
          </w:p>
          <w:p w14:paraId="1A80D6E2">
            <w:pPr>
              <w:pStyle w:val="9"/>
              <w:ind w:firstLine="241"/>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注：</w:t>
            </w:r>
          </w:p>
          <w:p w14:paraId="17337E6C">
            <w:pPr>
              <w:pStyle w:val="9"/>
              <w:ind w:firstLine="241"/>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1.“▲”为重要技术参数条款，其他为一般技术参数；要求提供证明材料的条款，以供应商提供的证明材料为准，不提供或不满足按要求进行扣分，不影响其响应文件有效性。</w:t>
            </w:r>
          </w:p>
          <w:p w14:paraId="76488602">
            <w:pPr>
              <w:pStyle w:val="9"/>
              <w:spacing w:after="120"/>
              <w:ind w:firstLine="420"/>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2.“★”技术参数条款为实质性要求，不允许负偏离。</w:t>
            </w:r>
          </w:p>
          <w:p w14:paraId="5DF549A6">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3.技术参数与性能指标中涉及的国家标准行业标准或地方标准若有最新标准以最新标准为准。</w:t>
            </w:r>
          </w:p>
          <w:p w14:paraId="2A72EE42">
            <w:pPr>
              <w:pStyle w:val="9"/>
              <w:jc w:val="both"/>
              <w:rPr>
                <w:rFonts w:hint="eastAsia" w:ascii="方正黑体简体" w:hAnsi="方正黑体简体" w:eastAsia="方正黑体简体" w:cs="方正黑体简体"/>
              </w:rPr>
            </w:pPr>
          </w:p>
        </w:tc>
      </w:tr>
    </w:tbl>
    <w:p w14:paraId="6982844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标的名称：办公软件</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6B87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0663905">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581" w:type="dxa"/>
          </w:tcPr>
          <w:p w14:paraId="2F929C11">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符号标识</w:t>
            </w:r>
          </w:p>
        </w:tc>
        <w:tc>
          <w:tcPr>
            <w:tcW w:w="1495" w:type="dxa"/>
          </w:tcPr>
          <w:p w14:paraId="4AA41DD4">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技术要求名称</w:t>
            </w:r>
          </w:p>
        </w:tc>
        <w:tc>
          <w:tcPr>
            <w:tcW w:w="5814" w:type="dxa"/>
          </w:tcPr>
          <w:p w14:paraId="444F085D">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技术参数与性能指标</w:t>
            </w:r>
          </w:p>
        </w:tc>
      </w:tr>
      <w:tr w14:paraId="0E06A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A294E07">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581" w:type="dxa"/>
          </w:tcPr>
          <w:p w14:paraId="51EF9380">
            <w:pPr>
              <w:rPr>
                <w:rFonts w:hint="eastAsia" w:ascii="方正黑体简体" w:hAnsi="方正黑体简体" w:eastAsia="方正黑体简体" w:cs="方正黑体简体"/>
              </w:rPr>
            </w:pPr>
          </w:p>
        </w:tc>
        <w:tc>
          <w:tcPr>
            <w:tcW w:w="1495" w:type="dxa"/>
          </w:tcPr>
          <w:p w14:paraId="01B9D4D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技术参数与性能指标</w:t>
            </w:r>
          </w:p>
        </w:tc>
        <w:tc>
          <w:tcPr>
            <w:tcW w:w="5814" w:type="dxa"/>
          </w:tcPr>
          <w:p w14:paraId="15F5098C">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1. 可运行在Windows或国产操作系统上的正版办公软件产品，包含文字处理、电子表格和演示文稿、PDF阅读器等功能模块，各模块可整合在同一窗口下，亦可分别在独立窗口中运行。</w:t>
            </w:r>
          </w:p>
          <w:p w14:paraId="05BAD9A5">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2.文件格式要求：所投办公软件能生成。doc/.docx/.dot/.wps/.xls/.xlsx/.ppt/.pptx等文件格式。</w:t>
            </w:r>
            <w:r>
              <w:rPr>
                <w:rFonts w:hint="eastAsia" w:ascii="方正黑体简体" w:hAnsi="方正黑体简体" w:eastAsia="方正黑体简体" w:cs="方正黑体简体"/>
                <w:b/>
                <w:sz w:val="24"/>
              </w:rPr>
              <w:t>（供应商的响应文件需提供软件功能截图证明，并进行电子签章）</w:t>
            </w:r>
          </w:p>
          <w:p w14:paraId="691B6956">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3.在服务端配合下，投标产品需要有文档安全功能服务，保障文档安全可控，可提供文档的阅读、打印、编辑、另存、复制、离线、授权等权限控件。</w:t>
            </w:r>
          </w:p>
          <w:p w14:paraId="1FFC1DA6">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4.演示模块制作演示文档，支持插入图片、图形、视频和音频来展示多彩的图像。所嵌入文件独立于来源文件，即使删除来源文件，已经嵌入文件仍能播放。支持文档、电子表格、演示文档支持输出为图片。输出为图片支持添加水印内容，选择图片品质。</w:t>
            </w:r>
          </w:p>
          <w:p w14:paraId="7F847505">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5.支持实时通讯能力，支持编辑在线智能文档格式时基于文档开启组织内成员的会话聊天，支持传统IM工具界面的一对一单聊会话和创建群聊会话；会话支持设置消息免打扰、聊天列表置顶等功能。</w:t>
            </w:r>
            <w:r>
              <w:rPr>
                <w:rFonts w:hint="eastAsia" w:ascii="方正黑体简体" w:hAnsi="方正黑体简体" w:eastAsia="方正黑体简体" w:cs="方正黑体简体"/>
                <w:b/>
                <w:sz w:val="24"/>
              </w:rPr>
              <w:t>（供应商的响应文件需提供软件功能截图证明，并进行电子签章）</w:t>
            </w:r>
          </w:p>
          <w:p w14:paraId="42E2A444">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sz w:val="24"/>
              </w:rPr>
              <w:t>6.</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所投产品必须符合四川省教育厅办公室《2025 年教育系统推进使用正版软件工作计划》</w:t>
            </w:r>
            <w:r>
              <w:rPr>
                <w:rFonts w:hint="eastAsia" w:ascii="方正黑体简体" w:hAnsi="方正黑体简体" w:eastAsia="方正黑体简体" w:cs="方正黑体简体"/>
                <w:b/>
                <w:sz w:val="24"/>
              </w:rPr>
              <w:t>，</w:t>
            </w:r>
            <w:r>
              <w:rPr>
                <w:rFonts w:hint="eastAsia" w:ascii="方正黑体简体" w:hAnsi="方正黑体简体" w:eastAsia="方正黑体简体" w:cs="方正黑体简体"/>
                <w:sz w:val="24"/>
              </w:rPr>
              <w:t>中标供应商在签订合同时须提供官方可查的序列号或相关证明。</w:t>
            </w:r>
            <w:r>
              <w:rPr>
                <w:rFonts w:hint="eastAsia" w:ascii="方正黑体简体" w:hAnsi="方正黑体简体" w:eastAsia="方正黑体简体" w:cs="方正黑体简体"/>
                <w:b/>
                <w:sz w:val="24"/>
              </w:rPr>
              <w:t>（供应商的响应文件需提供承诺函原件并进行电子签章，格式自拟）</w:t>
            </w:r>
          </w:p>
          <w:p w14:paraId="3EC90925">
            <w:pPr>
              <w:pStyle w:val="9"/>
              <w:ind w:firstLine="241"/>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注：</w:t>
            </w:r>
          </w:p>
          <w:p w14:paraId="6888C0F4">
            <w:pPr>
              <w:pStyle w:val="9"/>
              <w:ind w:firstLine="241"/>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1.“▲”为重要技术参数条款，其他为一般技术参数；要求提供证明材料的条款，以供应商提供的证明材料为准，不提供或不满足按要求进行扣分，不影响其响应文件有效性。</w:t>
            </w:r>
          </w:p>
          <w:p w14:paraId="0857217E">
            <w:pPr>
              <w:pStyle w:val="9"/>
              <w:ind w:firstLine="241"/>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2.“★”技术参数条款为实质性要求，不允许负偏离。</w:t>
            </w:r>
          </w:p>
          <w:p w14:paraId="1F754893">
            <w:pPr>
              <w:pStyle w:val="9"/>
              <w:jc w:val="both"/>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3.技术参数与性能指标中涉及的国家标准行业标准或地方标准若有最新标准以最新标准为准。</w:t>
            </w:r>
          </w:p>
          <w:p w14:paraId="277C5F3B">
            <w:pPr>
              <w:pStyle w:val="9"/>
              <w:jc w:val="both"/>
              <w:rPr>
                <w:rFonts w:hint="eastAsia" w:ascii="方正黑体简体" w:hAnsi="方正黑体简体" w:eastAsia="方正黑体简体" w:cs="方正黑体简体"/>
              </w:rPr>
            </w:pPr>
          </w:p>
        </w:tc>
      </w:tr>
    </w:tbl>
    <w:p w14:paraId="5E51EA5F">
      <w:pPr>
        <w:pStyle w:val="9"/>
        <w:jc w:val="left"/>
        <w:outlineLvl w:val="2"/>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8"/>
        </w:rPr>
        <w:t>3.3.服务要求</w:t>
      </w:r>
    </w:p>
    <w:p w14:paraId="53B3D9BE">
      <w:pPr>
        <w:pStyle w:val="9"/>
        <w:jc w:val="left"/>
        <w:outlineLvl w:val="3"/>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3.3.1.服务内容要求</w:t>
      </w:r>
    </w:p>
    <w:p w14:paraId="37ED672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786B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E6DD173">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 xml:space="preserve"> 序号</w:t>
            </w:r>
          </w:p>
        </w:tc>
        <w:tc>
          <w:tcPr>
            <w:tcW w:w="581" w:type="dxa"/>
          </w:tcPr>
          <w:p w14:paraId="129C5C96">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 xml:space="preserve"> 符号标识</w:t>
            </w:r>
          </w:p>
        </w:tc>
        <w:tc>
          <w:tcPr>
            <w:tcW w:w="1495" w:type="dxa"/>
          </w:tcPr>
          <w:p w14:paraId="5607BD8B">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 xml:space="preserve"> 服务要求名称</w:t>
            </w:r>
          </w:p>
        </w:tc>
        <w:tc>
          <w:tcPr>
            <w:tcW w:w="5814" w:type="dxa"/>
          </w:tcPr>
          <w:p w14:paraId="0902DF4F">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 xml:space="preserve"> 服务要求内容</w:t>
            </w:r>
          </w:p>
        </w:tc>
      </w:tr>
      <w:tr w14:paraId="270E0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B3039FC">
            <w:pPr>
              <w:pStyle w:val="9"/>
              <w:jc w:val="center"/>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581" w:type="dxa"/>
          </w:tcPr>
          <w:p w14:paraId="04C695C0">
            <w:pPr>
              <w:rPr>
                <w:rFonts w:hint="eastAsia" w:ascii="方正黑体简体" w:hAnsi="方正黑体简体" w:eastAsia="方正黑体简体" w:cs="方正黑体简体"/>
              </w:rPr>
            </w:pPr>
          </w:p>
        </w:tc>
        <w:tc>
          <w:tcPr>
            <w:tcW w:w="1495" w:type="dxa"/>
          </w:tcPr>
          <w:p w14:paraId="4352CC1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其他服务要求</w:t>
            </w:r>
          </w:p>
        </w:tc>
        <w:tc>
          <w:tcPr>
            <w:tcW w:w="5814" w:type="dxa"/>
          </w:tcPr>
          <w:p w14:paraId="43C10787">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针对本项目台式计算机、桌面操作系统、办公软件，作其他服务要求：</w:t>
            </w:r>
          </w:p>
          <w:p w14:paraId="5461BCF0">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本项目台式计算机、桌面操作系统、办公软件的采购需求是采购人针对项目实际情况提出的基本需求，为保障本项目履约质量，采购人期望获得供应商在满足此基础之上更优化的履约能力。供应商可以根据自身情况据实提供以下方案:</w:t>
            </w:r>
          </w:p>
          <w:p w14:paraId="0C2DF44C">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1.供应商根据自身情况提供有利于本项目的实施方案包含：①供货方案；②运输、装卸货物工具准备；③执行方案；④定制化服务；⑤确保按时供货的措施；⑥保障措施；⑦质量控制方案；⑧交接货方案。</w:t>
            </w:r>
          </w:p>
          <w:p w14:paraId="53B2A63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2.供应商根据自身情况提供有利于本项目的售后服务方案，包含：①售后服务内容；②售后响应效率保障措施；③售后人员安排；④售后服务点及服务电话设置；⑤产品更换程序；⑥质保期满后货物服务内容；⑦售后培训计划。</w:t>
            </w:r>
          </w:p>
          <w:p w14:paraId="71F5361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b/>
              </w:rPr>
              <w:t>注：此项为评审依据，未完全满足仅按要求进行扣分，不影响其响应文件有效性。</w:t>
            </w:r>
          </w:p>
        </w:tc>
      </w:tr>
    </w:tbl>
    <w:p w14:paraId="56A46840">
      <w:pPr>
        <w:pStyle w:val="9"/>
        <w:jc w:val="left"/>
        <w:outlineLvl w:val="3"/>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4"/>
        </w:rPr>
        <w:t>3.3.2.商务要求</w:t>
      </w:r>
    </w:p>
    <w:p w14:paraId="33EC7EB4">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2C4BC0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1A8334C">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序号</w:t>
            </w:r>
          </w:p>
        </w:tc>
        <w:tc>
          <w:tcPr>
            <w:tcW w:w="2076" w:type="dxa"/>
          </w:tcPr>
          <w:p w14:paraId="50378F9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符号标识</w:t>
            </w:r>
          </w:p>
        </w:tc>
        <w:tc>
          <w:tcPr>
            <w:tcW w:w="2076" w:type="dxa"/>
          </w:tcPr>
          <w:p w14:paraId="045FA7B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商务要求名称</w:t>
            </w:r>
          </w:p>
        </w:tc>
        <w:tc>
          <w:tcPr>
            <w:tcW w:w="2076" w:type="dxa"/>
          </w:tcPr>
          <w:p w14:paraId="356869D4">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商务要求内容</w:t>
            </w:r>
          </w:p>
        </w:tc>
      </w:tr>
      <w:tr w14:paraId="0F4F8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FB40254">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w:t>
            </w:r>
          </w:p>
        </w:tc>
        <w:tc>
          <w:tcPr>
            <w:tcW w:w="2076" w:type="dxa"/>
          </w:tcPr>
          <w:p w14:paraId="56AD2B9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71B6A9E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交货时间</w:t>
            </w:r>
          </w:p>
        </w:tc>
        <w:tc>
          <w:tcPr>
            <w:tcW w:w="2076" w:type="dxa"/>
          </w:tcPr>
          <w:p w14:paraId="4A77A7AD">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合同签订之日起30日内完成交付。</w:t>
            </w:r>
          </w:p>
        </w:tc>
      </w:tr>
      <w:tr w14:paraId="07451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D55A61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2</w:t>
            </w:r>
          </w:p>
        </w:tc>
        <w:tc>
          <w:tcPr>
            <w:tcW w:w="2076" w:type="dxa"/>
          </w:tcPr>
          <w:p w14:paraId="17E5132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2B441AA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交货地点</w:t>
            </w:r>
          </w:p>
        </w:tc>
        <w:tc>
          <w:tcPr>
            <w:tcW w:w="2076" w:type="dxa"/>
          </w:tcPr>
          <w:p w14:paraId="3DC82A80">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威远县严陵镇中心学校</w:t>
            </w:r>
          </w:p>
        </w:tc>
      </w:tr>
      <w:tr w14:paraId="5792B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9C525D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3</w:t>
            </w:r>
          </w:p>
        </w:tc>
        <w:tc>
          <w:tcPr>
            <w:tcW w:w="2076" w:type="dxa"/>
          </w:tcPr>
          <w:p w14:paraId="0F182027">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3DF0076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支付方式</w:t>
            </w:r>
          </w:p>
        </w:tc>
        <w:tc>
          <w:tcPr>
            <w:tcW w:w="2076" w:type="dxa"/>
          </w:tcPr>
          <w:p w14:paraId="5D07DD3F">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分期付款</w:t>
            </w:r>
          </w:p>
        </w:tc>
      </w:tr>
      <w:tr w14:paraId="2789B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91DA14E">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4</w:t>
            </w:r>
          </w:p>
        </w:tc>
        <w:tc>
          <w:tcPr>
            <w:tcW w:w="2076" w:type="dxa"/>
          </w:tcPr>
          <w:p w14:paraId="345DC49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68E18B4F">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付款进度安排</w:t>
            </w:r>
          </w:p>
        </w:tc>
        <w:tc>
          <w:tcPr>
            <w:tcW w:w="2076" w:type="dxa"/>
          </w:tcPr>
          <w:p w14:paraId="7386CFB6">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1付款条件：合同签订后，中标供应商向采购人提供合法有效完整的票据，采购人向中标供应商支付预付款，达到该付款条件起15个工作日内，支付合同总金额的20.00%</w:t>
            </w:r>
          </w:p>
          <w:p w14:paraId="1F7D19B7">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2付款条件：产品验收合格后，中标供应商向采购人提供合法有效完整的票据，达到该付款条件起15个工作日内，支付合同总金额的80.00%</w:t>
            </w:r>
          </w:p>
        </w:tc>
      </w:tr>
      <w:tr w14:paraId="3E505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38B16B9">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5</w:t>
            </w:r>
          </w:p>
        </w:tc>
        <w:tc>
          <w:tcPr>
            <w:tcW w:w="2076" w:type="dxa"/>
          </w:tcPr>
          <w:p w14:paraId="3E70FA9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780BA76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验收、交付标准和方法</w:t>
            </w:r>
          </w:p>
        </w:tc>
        <w:tc>
          <w:tcPr>
            <w:tcW w:w="2076" w:type="dxa"/>
          </w:tcPr>
          <w:p w14:paraId="07BB52C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按照政府采购相关法律法规以及《财政部关于进一步加强政府采购需求和履约验收管理的指导意见》（财库〔2016〕205号）的要求、采购文件的质量要求和技术指标、供应商的响应文件及承诺以及合同约定标准进行验收。（2）采购人最终整体验收结果合格的，供应商凭验收报告办理相关手续，采购人按采购合同约定支付合同款；验收结果不合格的，不予支付合同尾款。</w:t>
            </w:r>
          </w:p>
        </w:tc>
      </w:tr>
      <w:tr w14:paraId="3F8D0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D55C897">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6</w:t>
            </w:r>
          </w:p>
        </w:tc>
        <w:tc>
          <w:tcPr>
            <w:tcW w:w="2076" w:type="dxa"/>
          </w:tcPr>
          <w:p w14:paraId="0C7E37BF">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3BE0458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包装方式及运输</w:t>
            </w:r>
          </w:p>
        </w:tc>
        <w:tc>
          <w:tcPr>
            <w:tcW w:w="2076" w:type="dxa"/>
          </w:tcPr>
          <w:p w14:paraId="1D75F522">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444BE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32473E3">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7</w:t>
            </w:r>
          </w:p>
        </w:tc>
        <w:tc>
          <w:tcPr>
            <w:tcW w:w="2076" w:type="dxa"/>
          </w:tcPr>
          <w:p w14:paraId="17B0956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65E04A5A">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质量保修范围和保修期</w:t>
            </w:r>
          </w:p>
        </w:tc>
        <w:tc>
          <w:tcPr>
            <w:tcW w:w="2076" w:type="dxa"/>
          </w:tcPr>
          <w:p w14:paraId="54BE13AF">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1、质保期：自终验合格之日起3年(产品本身厂家质保期大于等于3年的以产品厂家本身质保期为准)；供应商提供自检测试工具；供应商提供现场、电话、电子邮件、远程连接等多种形式服务；提供原厂中文服务；质保期内提供产品的维修、换件和升级等服务，维修更换的零配件须为原厂、正品；设备停产后应继续提供质量保障服务（含备品备件），服务终止时间与最后一批设备交付时间间隔不低于6年；产品停止服务时间应提前1年告知；供应商提供培训材料、产品手册、培训视频等培训相关内容；供应商提供典型问题解决说明文档或视频；供应商提供产品合格证；供应链合规性：供应商保障产品主要部件，提供6年的备件服务（自购买之日起），或提供可兼容原设备的升级换代产品；当产品部件出现供应风险时，供应商应通知采购人并提供风险应对方案确保产品的服务保障；供应商提供供应链稳定承诺书，确保产品的部件在产品服务周期内稳定供货。 2、供应商提供技术服务：供应商提供至少2名技术人员，在质保期内完成采购人需要的应用程序安装、软硬件问题维护、故障维修等日常技术保障服务，设备发生紧急故障时，维修人员须15分钟内抵达现场开展处置工作，一般故障维修人员须在30分钟内到场、2小时内完成解决故障。供应商提供备机服务：供应商必须在2小时内完成硬件故障排除，否则应提供不低于采购设备配置的备机。质保期满后，供应商仍应履行保修义务，只收取材料费。供应商及厂家除提供售后服务外，还应指导和配合采购人开展设备使用质量管理工作。</w:t>
            </w:r>
          </w:p>
        </w:tc>
      </w:tr>
      <w:tr w14:paraId="68587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896C2E7">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8</w:t>
            </w:r>
          </w:p>
        </w:tc>
        <w:tc>
          <w:tcPr>
            <w:tcW w:w="2076" w:type="dxa"/>
          </w:tcPr>
          <w:p w14:paraId="14FCC911">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w:t>
            </w:r>
          </w:p>
        </w:tc>
        <w:tc>
          <w:tcPr>
            <w:tcW w:w="2076" w:type="dxa"/>
          </w:tcPr>
          <w:p w14:paraId="398FB6C5">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违约责任与解决争议的方法</w:t>
            </w:r>
          </w:p>
        </w:tc>
        <w:tc>
          <w:tcPr>
            <w:tcW w:w="2076" w:type="dxa"/>
          </w:tcPr>
          <w:p w14:paraId="0DFADC3B">
            <w:pPr>
              <w:pStyle w:val="9"/>
              <w:jc w:val="left"/>
              <w:rPr>
                <w:rFonts w:hint="eastAsia" w:ascii="方正黑体简体" w:hAnsi="方正黑体简体" w:eastAsia="方正黑体简体" w:cs="方正黑体简体"/>
              </w:rPr>
            </w:pPr>
            <w:r>
              <w:rPr>
                <w:rFonts w:hint="eastAsia" w:ascii="方正黑体简体" w:hAnsi="方正黑体简体" w:eastAsia="方正黑体简体" w:cs="方正黑体简体"/>
              </w:rPr>
              <w:t>一、违约责任：1、供应商未按合同约定时间供货，每逾期一日，供应商应按合同总金额的1%向采购人支付违约金；逾期超过三十日，采购人有权解除合同，供应商应按合同总金额的 20% 向采购人支付违约金。如违约金不足以弥补采购人损失的，供应商应对差额部分进行全额补足。同时，履约保证金采购人有权不予退还。2、供应商交付货物的规格、型号、数量、质量、外包装不符合合同约定的，供应商应在采购人限定的期限内进行整改。如未按时整改或整改后仍不符合要求，视为供应商违约，采购人有权解除合同，供应商应按照合同总金额的20%支付违约金。如违约金不足以弥补采购人损失的，供应商应对差额部分进行全额补足。同时，履约保证金采购人有权不予退还。3、供应商所供货物如因质量问题给采购人或第三方造成损害的，应由供应商承担全部赔偿责任。若采购人已先行赔偿的，采购人有权向供应商全额追偿。4、供应商未按约定履行售后服务，每出现一次，供应商应按照1000元/次的标准向采购人支付违约金，且采购人有权另行选择第三方供应商提供售后服务，由此产生的相关费用及责任由供应商承担。5、如因一方违约导致解除合同，违约方应向守约方支付合同总金额的 30% ，违约金不足以弥补守约方实际损失的，由违约方予以补足，守约方有权向违约方主张全部损失，包含但不限于：鉴定费、公证费、律师费、诉讼费、保全费、保全担保费等实现债权的全部费用，以上费用金额以开具的合格发票金额为准。6.若采购人未按照合同约定逾期向供应商支付货物费用，采购人应以全国银行间同业拆借中心公布的贷款市场报价利率为标准支付逾期利息。7.采购人无正当理由拒收货物、拒付货款的，采购人应向供应商偿付拒付货款万分之三的违约金。8.因采购人原因造成合同变更、中止或者终止的，采购人应偿付不低于合同总价万分之三的违约金。 二、解决争议的方法：1.因货物的质量问题发生争议，由质量术监督部门或其指定的质量鉴定机构进行质量鉴定。货物符合标准的，鉴定费由采购人承担；货物不符合质量标准的，鉴定费由供应商承担。2.合同履行期间，若双方发生争议，可协商或由有关部门调解解决，协商或调解不成的，由采购人所在地的人民法院依法处理。</w:t>
            </w:r>
          </w:p>
        </w:tc>
      </w:tr>
    </w:tbl>
    <w:p w14:paraId="21B45367">
      <w:pPr>
        <w:pStyle w:val="9"/>
        <w:jc w:val="left"/>
        <w:outlineLvl w:val="2"/>
        <w:rPr>
          <w:rFonts w:hint="eastAsia" w:ascii="方正黑体简体" w:hAnsi="方正黑体简体" w:eastAsia="方正黑体简体" w:cs="方正黑体简体"/>
        </w:rPr>
      </w:pPr>
      <w:r>
        <w:rPr>
          <w:rFonts w:hint="eastAsia" w:ascii="方正黑体简体" w:hAnsi="方正黑体简体" w:eastAsia="方正黑体简体" w:cs="方正黑体简体"/>
          <w:b/>
          <w:sz w:val="28"/>
        </w:rPr>
        <w:t>3.4.其他要求</w:t>
      </w:r>
    </w:p>
    <w:p w14:paraId="23461320">
      <w:pPr>
        <w:pStyle w:val="9"/>
        <w:jc w:val="left"/>
        <w:rPr>
          <w:rFonts w:hint="eastAsia" w:ascii="方正黑体简体" w:hAnsi="方正黑体简体" w:eastAsia="方正黑体简体" w:cs="方正黑体简体"/>
          <w:b w:val="0"/>
          <w:bCs w:val="0"/>
          <w:color w:val="auto"/>
          <w:sz w:val="28"/>
          <w:szCs w:val="28"/>
          <w:highlight w:val="none"/>
        </w:rPr>
      </w:pPr>
      <w:r>
        <w:rPr>
          <w:rFonts w:hint="eastAsia" w:ascii="方正黑体简体" w:hAnsi="方正黑体简体" w:eastAsia="方正黑体简体" w:cs="方正黑体简体"/>
        </w:rPr>
        <w:t>无</w:t>
      </w:r>
      <w:r>
        <w:rPr>
          <w:rFonts w:hint="eastAsia" w:ascii="方正黑体简体" w:hAnsi="方正黑体简体" w:eastAsia="方正黑体简体" w:cs="方正黑体简体"/>
        </w:rPr>
        <w:br w:type="textWrapping"/>
      </w:r>
      <w:r>
        <w:rPr>
          <w:rFonts w:hint="eastAsia" w:ascii="方正黑体简体" w:hAnsi="方正黑体简体" w:eastAsia="方正黑体简体" w:cs="方正黑体简体"/>
          <w:b/>
          <w:bCs/>
          <w:color w:val="auto"/>
          <w:kern w:val="2"/>
          <w:sz w:val="28"/>
          <w:szCs w:val="28"/>
          <w:highlight w:val="none"/>
          <w:u w:val="none"/>
          <w:lang w:val="en-US" w:eastAsia="zh-CN" w:bidi="ar-SA"/>
        </w:rPr>
        <w:t>四、合同管理安排</w:t>
      </w:r>
    </w:p>
    <w:p w14:paraId="76977625">
      <w:pPr>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1）</w:t>
      </w:r>
      <w:r>
        <w:rPr>
          <w:rFonts w:hint="eastAsia" w:ascii="方正黑体简体" w:hAnsi="方正黑体简体" w:eastAsia="方正黑体简体" w:cs="方正黑体简体"/>
          <w:b w:val="0"/>
          <w:bCs w:val="0"/>
          <w:color w:val="auto"/>
          <w:sz w:val="28"/>
          <w:szCs w:val="28"/>
          <w:highlight w:val="none"/>
          <w:u w:val="none"/>
        </w:rPr>
        <w:t>合同类型：</w:t>
      </w:r>
      <w:r>
        <w:rPr>
          <w:rFonts w:hint="eastAsia" w:ascii="方正黑体简体" w:hAnsi="方正黑体简体" w:eastAsia="方正黑体简体" w:cs="方正黑体简体"/>
          <w:b w:val="0"/>
          <w:bCs w:val="0"/>
          <w:color w:val="auto"/>
          <w:sz w:val="28"/>
          <w:szCs w:val="28"/>
          <w:highlight w:val="none"/>
          <w:u w:val="none"/>
          <w:lang w:val="en-US" w:eastAsia="zh-CN"/>
        </w:rPr>
        <w:t>买卖</w:t>
      </w:r>
      <w:r>
        <w:rPr>
          <w:rFonts w:hint="eastAsia" w:ascii="方正黑体简体" w:hAnsi="方正黑体简体" w:eastAsia="方正黑体简体" w:cs="方正黑体简体"/>
          <w:b w:val="0"/>
          <w:bCs w:val="0"/>
          <w:color w:val="auto"/>
          <w:sz w:val="28"/>
          <w:szCs w:val="28"/>
          <w:highlight w:val="none"/>
          <w:u w:val="none"/>
        </w:rPr>
        <w:t xml:space="preserve">合同 </w:t>
      </w:r>
    </w:p>
    <w:p w14:paraId="2621D994">
      <w:pPr>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2）</w:t>
      </w:r>
      <w:r>
        <w:rPr>
          <w:rFonts w:hint="eastAsia" w:ascii="方正黑体简体" w:hAnsi="方正黑体简体" w:eastAsia="方正黑体简体" w:cs="方正黑体简体"/>
          <w:b w:val="0"/>
          <w:bCs w:val="0"/>
          <w:color w:val="auto"/>
          <w:sz w:val="28"/>
          <w:szCs w:val="28"/>
          <w:highlight w:val="none"/>
          <w:u w:val="none"/>
        </w:rPr>
        <w:t xml:space="preserve">合同定价方式：固定总价 </w:t>
      </w:r>
    </w:p>
    <w:p w14:paraId="50DED7C9">
      <w:pPr>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3）</w:t>
      </w:r>
      <w:r>
        <w:rPr>
          <w:rFonts w:hint="eastAsia" w:ascii="方正黑体简体" w:hAnsi="方正黑体简体" w:eastAsia="方正黑体简体" w:cs="方正黑体简体"/>
          <w:b w:val="0"/>
          <w:bCs w:val="0"/>
          <w:color w:val="auto"/>
          <w:sz w:val="28"/>
          <w:szCs w:val="28"/>
          <w:highlight w:val="none"/>
          <w:u w:val="none"/>
        </w:rPr>
        <w:t>合同履行期限：</w:t>
      </w:r>
      <w:r>
        <w:rPr>
          <w:rFonts w:hint="eastAsia" w:ascii="方正黑体简体" w:hAnsi="方正黑体简体" w:eastAsia="方正黑体简体" w:cs="方正黑体简体"/>
          <w:b w:val="0"/>
          <w:bCs w:val="0"/>
          <w:color w:val="auto"/>
          <w:sz w:val="28"/>
          <w:szCs w:val="28"/>
          <w:highlight w:val="none"/>
          <w:u w:val="none"/>
          <w:lang w:val="en-US" w:eastAsia="zh-CN"/>
        </w:rPr>
        <w:t>合同签订之日起30日内完成交付</w:t>
      </w:r>
      <w:r>
        <w:rPr>
          <w:rFonts w:hint="eastAsia" w:ascii="方正黑体简体" w:hAnsi="方正黑体简体" w:eastAsia="方正黑体简体" w:cs="方正黑体简体"/>
          <w:b w:val="0"/>
          <w:bCs w:val="0"/>
          <w:color w:val="auto"/>
          <w:sz w:val="28"/>
          <w:szCs w:val="28"/>
          <w:highlight w:val="none"/>
          <w:u w:val="none"/>
        </w:rPr>
        <w:t>。</w:t>
      </w:r>
    </w:p>
    <w:p w14:paraId="0EB46A1E">
      <w:pPr>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lang w:val="en-US" w:eastAsia="zh-CN"/>
        </w:rPr>
      </w:pPr>
      <w:r>
        <w:rPr>
          <w:rFonts w:hint="eastAsia" w:ascii="方正黑体简体" w:hAnsi="方正黑体简体" w:eastAsia="方正黑体简体" w:cs="方正黑体简体"/>
          <w:b w:val="0"/>
          <w:bCs w:val="0"/>
          <w:color w:val="auto"/>
          <w:sz w:val="28"/>
          <w:szCs w:val="28"/>
          <w:highlight w:val="none"/>
          <w:u w:val="none"/>
          <w:lang w:val="en-US" w:eastAsia="zh-CN"/>
        </w:rPr>
        <w:t>4）</w:t>
      </w:r>
      <w:r>
        <w:rPr>
          <w:rFonts w:hint="eastAsia" w:ascii="方正黑体简体" w:hAnsi="方正黑体简体" w:eastAsia="方正黑体简体" w:cs="方正黑体简体"/>
          <w:b w:val="0"/>
          <w:bCs w:val="0"/>
          <w:color w:val="auto"/>
          <w:sz w:val="28"/>
          <w:szCs w:val="28"/>
          <w:highlight w:val="none"/>
          <w:u w:val="none"/>
        </w:rPr>
        <w:t>合同履约地点：</w:t>
      </w:r>
      <w:r>
        <w:rPr>
          <w:rFonts w:hint="eastAsia" w:ascii="方正黑体简体" w:hAnsi="方正黑体简体" w:eastAsia="方正黑体简体" w:cs="方正黑体简体"/>
          <w:b w:val="0"/>
          <w:bCs w:val="0"/>
          <w:color w:val="auto"/>
          <w:sz w:val="28"/>
          <w:szCs w:val="28"/>
          <w:highlight w:val="none"/>
          <w:u w:val="none"/>
          <w:lang w:val="en-US" w:eastAsia="zh-CN"/>
        </w:rPr>
        <w:t>威远县严陵镇中心学校（天成校区）</w:t>
      </w:r>
    </w:p>
    <w:p w14:paraId="43B6BF9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tabs>
          <w:tab w:val="left" w:pos="9450"/>
        </w:tabs>
        <w:kinsoku/>
        <w:wordWrap/>
        <w:overflowPunct/>
        <w:topLinePunct w:val="0"/>
        <w:autoSpaceDE/>
        <w:autoSpaceDN/>
        <w:bidi w:val="0"/>
        <w:adjustRightInd/>
        <w:snapToGrid/>
        <w:spacing w:before="0" w:beforeAutospacing="0" w:after="0" w:afterAutospacing="0" w:line="580" w:lineRule="exact"/>
        <w:ind w:left="0" w:leftChars="0" w:right="0"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5）</w:t>
      </w:r>
      <w:r>
        <w:rPr>
          <w:rFonts w:hint="eastAsia" w:ascii="方正黑体简体" w:hAnsi="方正黑体简体" w:eastAsia="方正黑体简体" w:cs="方正黑体简体"/>
          <w:b w:val="0"/>
          <w:bCs w:val="0"/>
          <w:color w:val="auto"/>
          <w:sz w:val="28"/>
          <w:szCs w:val="28"/>
          <w:highlight w:val="none"/>
          <w:u w:val="none"/>
        </w:rPr>
        <w:t xml:space="preserve">支付方式：分期付款 </w:t>
      </w:r>
    </w:p>
    <w:p w14:paraId="7B1572AF">
      <w:pPr>
        <w:pStyle w:val="9"/>
        <w:keepNext w:val="0"/>
        <w:keepLines w:val="0"/>
        <w:pageBreakBefore w:val="0"/>
        <w:kinsoku/>
        <w:wordWrap/>
        <w:overflowPunct/>
        <w:topLinePunct w:val="0"/>
        <w:autoSpaceDE/>
        <w:autoSpaceDN/>
        <w:bidi w:val="0"/>
        <w:adjustRightInd/>
        <w:snapToGrid/>
        <w:spacing w:line="580" w:lineRule="exact"/>
        <w:ind w:left="0" w:leftChars="0" w:firstLine="560" w:firstLineChars="200"/>
        <w:jc w:val="both"/>
        <w:textAlignment w:val="auto"/>
        <w:rPr>
          <w:rFonts w:hint="eastAsia" w:ascii="方正黑体简体" w:hAnsi="方正黑体简体" w:eastAsia="方正黑体简体" w:cs="方正黑体简体"/>
          <w:b w:val="0"/>
          <w:bCs w:val="0"/>
          <w:color w:val="auto"/>
          <w:sz w:val="28"/>
          <w:szCs w:val="28"/>
          <w:highlight w:val="none"/>
        </w:rPr>
      </w:pPr>
      <w:r>
        <w:rPr>
          <w:rFonts w:hint="eastAsia" w:ascii="方正黑体简体" w:hAnsi="方正黑体简体" w:eastAsia="方正黑体简体" w:cs="方正黑体简体"/>
          <w:b w:val="0"/>
          <w:bCs w:val="0"/>
          <w:color w:val="auto"/>
          <w:sz w:val="28"/>
          <w:szCs w:val="28"/>
          <w:highlight w:val="none"/>
          <w:u w:val="none"/>
          <w:lang w:val="en-US" w:eastAsia="zh-CN"/>
        </w:rPr>
        <w:t>5.1</w:t>
      </w:r>
      <w:r>
        <w:rPr>
          <w:rFonts w:hint="eastAsia" w:ascii="方正黑体简体" w:hAnsi="方正黑体简体" w:eastAsia="方正黑体简体" w:cs="方正黑体简体"/>
          <w:b w:val="0"/>
          <w:bCs w:val="0"/>
          <w:color w:val="auto"/>
          <w:kern w:val="2"/>
          <w:sz w:val="28"/>
          <w:szCs w:val="28"/>
          <w:highlight w:val="none"/>
          <w:u w:val="none"/>
          <w:shd w:val="clear" w:color="auto" w:fill="auto"/>
          <w:lang w:val="en-US" w:eastAsia="zh-CN" w:bidi="ar-SA"/>
        </w:rPr>
        <w:t>付款方式：</w:t>
      </w:r>
    </w:p>
    <w:p w14:paraId="2F4A0C9E">
      <w:pPr>
        <w:pStyle w:val="9"/>
        <w:keepNext w:val="0"/>
        <w:keepLines w:val="0"/>
        <w:pageBreakBefore w:val="0"/>
        <w:kinsoku/>
        <w:wordWrap/>
        <w:overflowPunct/>
        <w:topLinePunct w:val="0"/>
        <w:autoSpaceDE/>
        <w:autoSpaceDN/>
        <w:bidi w:val="0"/>
        <w:adjustRightInd/>
        <w:snapToGrid/>
        <w:spacing w:line="580" w:lineRule="exact"/>
        <w:ind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①合同签订后，达到付款条件起15日内，支付合同总金额的20.00%；</w:t>
      </w:r>
    </w:p>
    <w:p w14:paraId="747B6D38">
      <w:pPr>
        <w:pStyle w:val="9"/>
        <w:keepNext w:val="0"/>
        <w:keepLines w:val="0"/>
        <w:pageBreakBefore w:val="0"/>
        <w:kinsoku/>
        <w:wordWrap/>
        <w:overflowPunct/>
        <w:topLinePunct w:val="0"/>
        <w:autoSpaceDE/>
        <w:autoSpaceDN/>
        <w:bidi w:val="0"/>
        <w:adjustRightInd/>
        <w:snapToGrid/>
        <w:spacing w:line="580" w:lineRule="exact"/>
        <w:ind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②验收合格且提供等额的正式有效票据后，达到付款条件起15日内，支付合同总金额的80.00%。</w:t>
      </w:r>
    </w:p>
    <w:p w14:paraId="566EC79C">
      <w:pPr>
        <w:pStyle w:val="9"/>
        <w:keepNext w:val="0"/>
        <w:keepLines w:val="0"/>
        <w:pageBreakBefore w:val="0"/>
        <w:kinsoku/>
        <w:wordWrap/>
        <w:overflowPunct/>
        <w:topLinePunct w:val="0"/>
        <w:autoSpaceDE/>
        <w:autoSpaceDN/>
        <w:bidi w:val="0"/>
        <w:adjustRightInd/>
        <w:snapToGrid/>
        <w:spacing w:line="580" w:lineRule="exact"/>
        <w:ind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6）履约保证金：不收取</w:t>
      </w:r>
    </w:p>
    <w:p w14:paraId="0562B66B">
      <w:pPr>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lang w:val="en-US" w:eastAsia="zh-CN"/>
        </w:rPr>
      </w:pPr>
      <w:r>
        <w:rPr>
          <w:rFonts w:hint="eastAsia" w:ascii="方正黑体简体" w:hAnsi="方正黑体简体" w:eastAsia="方正黑体简体" w:cs="方正黑体简体"/>
          <w:b w:val="0"/>
          <w:bCs w:val="0"/>
          <w:color w:val="auto"/>
          <w:sz w:val="28"/>
          <w:szCs w:val="28"/>
          <w:highlight w:val="none"/>
          <w:u w:val="none"/>
          <w:lang w:val="en-US" w:eastAsia="zh-CN"/>
        </w:rPr>
        <w:t>7）</w:t>
      </w:r>
      <w:r>
        <w:rPr>
          <w:rFonts w:hint="eastAsia" w:ascii="方正黑体简体" w:hAnsi="方正黑体简体" w:eastAsia="方正黑体简体" w:cs="方正黑体简体"/>
          <w:b w:val="0"/>
          <w:bCs w:val="0"/>
          <w:color w:val="auto"/>
          <w:sz w:val="28"/>
          <w:szCs w:val="28"/>
          <w:highlight w:val="none"/>
          <w:u w:val="none"/>
        </w:rPr>
        <w:t>质量保证金及缴纳形式：</w:t>
      </w:r>
      <w:r>
        <w:rPr>
          <w:rFonts w:hint="eastAsia" w:ascii="方正黑体简体" w:hAnsi="方正黑体简体" w:eastAsia="方正黑体简体" w:cs="方正黑体简体"/>
          <w:b w:val="0"/>
          <w:bCs w:val="0"/>
          <w:color w:val="auto"/>
          <w:sz w:val="28"/>
          <w:szCs w:val="28"/>
          <w:highlight w:val="none"/>
          <w:u w:val="none"/>
          <w:lang w:val="en-US" w:eastAsia="zh-CN"/>
        </w:rPr>
        <w:t>不收取</w:t>
      </w:r>
    </w:p>
    <w:p w14:paraId="1BA863C3">
      <w:pPr>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sz w:val="28"/>
          <w:szCs w:val="28"/>
          <w:highlight w:val="none"/>
          <w:u w:val="none"/>
          <w:lang w:val="en-US" w:eastAsia="zh-CN"/>
        </w:rPr>
        <w:t>8）</w:t>
      </w:r>
      <w:r>
        <w:rPr>
          <w:rFonts w:hint="eastAsia" w:ascii="方正黑体简体" w:hAnsi="方正黑体简体" w:eastAsia="方正黑体简体" w:cs="方正黑体简体"/>
          <w:b w:val="0"/>
          <w:bCs w:val="0"/>
          <w:color w:val="auto"/>
          <w:sz w:val="28"/>
          <w:szCs w:val="28"/>
          <w:highlight w:val="none"/>
          <w:u w:val="none"/>
        </w:rPr>
        <w:t>验收交付标准和方法：</w:t>
      </w: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 xml:space="preserve">（1）按照政府采购相关法律法规以及《财政部关于进一步加强政府采购需求和履约验收管理的指导意见》（财库〔2016〕205号）的要求、采购文件的质量要求和技术指标、供应商的响应文件及承诺以及合同约定标准进行验收。 （2）采购人最终整体验收结果合格的，供应商凭验收报告办理相关手续，采购人按采购合同约定支付合同款；验收结果不合格的，不予支付合同尾款。 </w:t>
      </w:r>
    </w:p>
    <w:p w14:paraId="79E94C7F">
      <w:pPr>
        <w:keepNext w:val="0"/>
        <w:keepLines w:val="0"/>
        <w:pageBreakBefore w:val="0"/>
        <w:widowControl w:val="0"/>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9）质量保修范围和保修期：  1、质保期：自终验合格之日起3年(产品本身厂家质保期大于等于3年的以产品厂家本身质保期为准)；供应商提供自检测试工具；供应商提供现场、电话、电子邮件、远程连接等多种形式服务；提供原厂中文服务；质保期内提供产品的维修、换件和升级等服务，维修更换的零配件须为原厂、正品；设备停产后应继续提供质量保障服务（含备品备件），服务终止时间与最后一批设备交付时间间隔不低于6年；产品停止服务时间应提前1年告知；供应商提供培训材料、产品手册、培训视频等培训相关内容；供应商提供典型问题解决说明文档或视频；供应商提供产品合格证；供应链合规性：供应商保障产品主要部件，提供6年的备件服务（自购买之日起），或提供可兼容原设备的升级换代产品；当产品部件出现供应风险时，供应商应通知采购人并提供风险应对方案确保产品的服务保障；供应商提供供应链稳定承诺书，确保产品的部件在产品服务周期内稳定供货。 2、供应商提供技术服务：供应商提供至少2名技术人员，在质保期内完成采购人需要的应用程序安装、软硬件问题维护、故障维修等日常技术保障服务，设备发生紧急故障时，驻场工程师须15分钟内抵达现场开展处置工作，一般故障驻场工程师须在30分钟内到场、2小时内完成解决故障。供应商提供备机服务：供应商必须在2小时内完成硬件故障排除，否则应提供不低于采购设备配置的备机。质保期满后，供应商仍应履行保修义务，只收取材料费。供应商及厂家除提供售后服务外，还应指导和配合采购人开展设备使用质量管理工作。</w:t>
      </w:r>
    </w:p>
    <w:p w14:paraId="79008BF1">
      <w:pPr>
        <w:keepNext w:val="0"/>
        <w:keepLines w:val="0"/>
        <w:pageBreakBefore w:val="0"/>
        <w:widowControl w:val="0"/>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10）知识产权归属和处理方式：</w:t>
      </w:r>
    </w:p>
    <w:p w14:paraId="677E304B">
      <w:pPr>
        <w:keepNext w:val="0"/>
        <w:keepLines w:val="0"/>
        <w:pageBreakBefore w:val="0"/>
        <w:widowControl w:val="0"/>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①供应商应保证在本项目中使用的任何技术、产品和服务（包括部分使用），不会产生因第三方提出侵犯其专利权、商标权或其他知识产权而引起的法律和经济纠纷，如存在前述情形，由供应商承担所有相关责任，并且赔偿由此给采购人带来的损失。采购人享有本项目实施过程中产生的知识成果及知识产权。</w:t>
      </w:r>
    </w:p>
    <w:p w14:paraId="41861A57">
      <w:pPr>
        <w:keepNext w:val="0"/>
        <w:keepLines w:val="0"/>
        <w:pageBreakBefore w:val="0"/>
        <w:widowControl w:val="0"/>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②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2002B887">
      <w:pPr>
        <w:keepNext w:val="0"/>
        <w:keepLines w:val="0"/>
        <w:pageBreakBefore w:val="0"/>
        <w:widowControl w:val="0"/>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③如使用供应商所不拥有的知识产权，则在报价中必须包括合法使用该知识产权的相关费用。</w:t>
      </w:r>
    </w:p>
    <w:p w14:paraId="0FF7A71D">
      <w:pPr>
        <w:pStyle w:val="6"/>
        <w:keepNext w:val="0"/>
        <w:keepLines w:val="0"/>
        <w:pageBreakBefore w:val="0"/>
        <w:widowControl w:val="0"/>
        <w:tabs>
          <w:tab w:val="left" w:pos="9450"/>
        </w:tabs>
        <w:kinsoku/>
        <w:wordWrap/>
        <w:overflowPunct/>
        <w:topLinePunct w:val="0"/>
        <w:autoSpaceDE/>
        <w:autoSpaceDN/>
        <w:bidi w:val="0"/>
        <w:adjustRightInd/>
        <w:snapToGrid/>
        <w:spacing w:line="580" w:lineRule="exact"/>
        <w:ind w:left="0" w:leftChars="0"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sz w:val="28"/>
          <w:szCs w:val="28"/>
          <w:highlight w:val="none"/>
          <w:u w:val="none"/>
          <w:lang w:val="en-US" w:eastAsia="zh-CN"/>
        </w:rPr>
        <w:t>11）</w:t>
      </w:r>
      <w:r>
        <w:rPr>
          <w:rFonts w:hint="eastAsia" w:ascii="方正黑体简体" w:hAnsi="方正黑体简体" w:eastAsia="方正黑体简体" w:cs="方正黑体简体"/>
          <w:b w:val="0"/>
          <w:bCs w:val="0"/>
          <w:color w:val="auto"/>
          <w:sz w:val="28"/>
          <w:szCs w:val="28"/>
          <w:highlight w:val="none"/>
          <w:u w:val="none"/>
        </w:rPr>
        <w:t>成本补偿和风险分担约定：</w:t>
      </w: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采购人不进行成本补偿，因市场变化或政策变化造成的潜在风险，由供应商自行负责。</w:t>
      </w:r>
    </w:p>
    <w:p w14:paraId="4CEA5974">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12）</w:t>
      </w:r>
      <w:r>
        <w:rPr>
          <w:rFonts w:hint="eastAsia" w:ascii="方正黑体简体" w:hAnsi="方正黑体简体" w:eastAsia="方正黑体简体" w:cs="方正黑体简体"/>
          <w:b w:val="0"/>
          <w:bCs w:val="0"/>
          <w:color w:val="auto"/>
          <w:sz w:val="28"/>
          <w:szCs w:val="28"/>
          <w:highlight w:val="none"/>
          <w:u w:val="none"/>
        </w:rPr>
        <w:t>违约责任与解决争议的方法：</w:t>
      </w:r>
    </w:p>
    <w:p w14:paraId="7A803BC8">
      <w:pPr>
        <w:pStyle w:val="2"/>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一、违约责任：1、供应商未按合同约定时间供货，每逾期一日，供应商应按合同总金额的1%向采购人支付违约金；逾期超过三十日，采购人有权解除合同，供应商应按合同总金额的 20% 向采购人支付违约金。如违约金不足以弥补采购人损失的，供应商应对差额部分进行全额补足。同时，履约保证金采购人有权不予退还。2、供应商交付货物的规格、型号、数量、质量、外包装不符合合同约定的，供应商应在采购人限定的期限内进行整改。如未按时整改或整改后仍不符合要求，视为供应商违约，采购人有权解除合同，供应商应按照合同总金额的20%支付违约金。如违约金不足以弥补采购人损失的，供应商应对差额部分进行全额补足。同时，履约保证金采购人有权不予退还。3、供应商所供货物如因质量问题给采购人或第三方造成损害的，应由供应商承担全部赔偿责任。若采购人已先行赔偿的，采购人有权向供应商全额追偿。4、供应商未按约定履行售后服务，每出现一次，供应商应按照1000元/次的标准向采购人支付违约金，且采购人有权另行选择第三方供应商提供售后服务，由此产生的相关费用及责任由供应商承担。5、如因一方违约导致解除合同，违约方应向守约方支付合同总金额的 30% ，违约金不足以弥补守约方实际损失的，由违约方予以补足，守约方有权向违约方主张全部损失，包含但不限于：鉴定费、公证费、律师费、诉讼费、保全费、保全担保费等实现债权的全部费用，以上费用金额以开具的合格发票金额为准。6.若采购人未按照合同约定逾期向供应商支付货物费用，采购人应以全国银行间同业拆借中心公布的贷款市场报价利率为标准支付逾期利息。7.采购人无正当理由拒收货物、拒付货款的，采购人应向供应商偿付拒付货款万分之三的违约金。8.因采购人原因造成合同变更、中止或者终止的，采购人应偿付不低于合同总价万分之三的违约金。</w:t>
      </w:r>
    </w:p>
    <w:p w14:paraId="572A5BEC">
      <w:pPr>
        <w:pStyle w:val="2"/>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kern w:val="2"/>
          <w:sz w:val="28"/>
          <w:szCs w:val="28"/>
          <w:highlight w:val="none"/>
          <w:u w:val="none"/>
          <w:lang w:val="en-US" w:eastAsia="zh-CN" w:bidi="ar-SA"/>
        </w:rPr>
      </w:pPr>
      <w:r>
        <w:rPr>
          <w:rFonts w:hint="eastAsia" w:ascii="方正黑体简体" w:hAnsi="方正黑体简体" w:eastAsia="方正黑体简体" w:cs="方正黑体简体"/>
          <w:b w:val="0"/>
          <w:bCs w:val="0"/>
          <w:color w:val="auto"/>
          <w:kern w:val="2"/>
          <w:sz w:val="28"/>
          <w:szCs w:val="28"/>
          <w:highlight w:val="none"/>
          <w:u w:val="none"/>
          <w:lang w:val="en-US" w:eastAsia="zh-CN" w:bidi="ar-SA"/>
        </w:rPr>
        <w:t xml:space="preserve"> 二、解决争议的方法：1.因货物的质量问题发生争议，由质量术监督部门或其指定的质量鉴定机构进行质量鉴定。货物符合标准的，鉴定费由采购人承担；货物不符合质量标准的，鉴定费由供应商承担。2.合同履行期间，若双方发生争议，可协商或由有关部门调解解决，协商或调解不成的，由采购人所在地的人民法院依法处理。</w:t>
      </w:r>
    </w:p>
    <w:p w14:paraId="5AB57F8E">
      <w:pPr>
        <w:pStyle w:val="2"/>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13）</w:t>
      </w:r>
      <w:r>
        <w:rPr>
          <w:rFonts w:hint="eastAsia" w:ascii="方正黑体简体" w:hAnsi="方正黑体简体" w:eastAsia="方正黑体简体" w:cs="方正黑体简体"/>
          <w:b w:val="0"/>
          <w:bCs w:val="0"/>
          <w:color w:val="auto"/>
          <w:sz w:val="28"/>
          <w:szCs w:val="28"/>
          <w:highlight w:val="none"/>
          <w:u w:val="none"/>
        </w:rPr>
        <w:t>合同其他条款：无</w:t>
      </w:r>
    </w:p>
    <w:p w14:paraId="3ACBCA98">
      <w:pPr>
        <w:pStyle w:val="2"/>
        <w:keepNext w:val="0"/>
        <w:keepLines w:val="0"/>
        <w:pageBreakBefore w:val="0"/>
        <w:numPr>
          <w:ilvl w:val="0"/>
          <w:numId w:val="0"/>
        </w:numPr>
        <w:tabs>
          <w:tab w:val="left" w:pos="9450"/>
        </w:tabs>
        <w:kinsoku/>
        <w:wordWrap/>
        <w:overflowPunct/>
        <w:topLinePunct w:val="0"/>
        <w:autoSpaceDE/>
        <w:autoSpaceDN/>
        <w:bidi w:val="0"/>
        <w:adjustRightInd/>
        <w:snapToGrid/>
        <w:spacing w:line="580" w:lineRule="exact"/>
        <w:ind w:right="325" w:rightChars="155" w:firstLine="562" w:firstLineChars="200"/>
        <w:jc w:val="both"/>
        <w:textAlignment w:val="auto"/>
        <w:rPr>
          <w:rFonts w:hint="eastAsia" w:ascii="方正黑体简体" w:hAnsi="方正黑体简体" w:eastAsia="方正黑体简体" w:cs="方正黑体简体"/>
          <w:b/>
          <w:bCs/>
          <w:color w:val="auto"/>
          <w:sz w:val="28"/>
          <w:szCs w:val="28"/>
          <w:highlight w:val="none"/>
          <w:u w:val="none"/>
        </w:rPr>
      </w:pPr>
      <w:r>
        <w:rPr>
          <w:rFonts w:hint="eastAsia" w:ascii="方正黑体简体" w:hAnsi="方正黑体简体" w:eastAsia="方正黑体简体" w:cs="方正黑体简体"/>
          <w:b/>
          <w:bCs/>
          <w:color w:val="auto"/>
          <w:sz w:val="28"/>
          <w:szCs w:val="28"/>
          <w:highlight w:val="none"/>
          <w:u w:val="none"/>
          <w:lang w:eastAsia="zh-CN"/>
        </w:rPr>
        <w:t>五、</w:t>
      </w:r>
      <w:r>
        <w:rPr>
          <w:rFonts w:hint="eastAsia" w:ascii="方正黑体简体" w:hAnsi="方正黑体简体" w:eastAsia="方正黑体简体" w:cs="方正黑体简体"/>
          <w:b/>
          <w:bCs/>
          <w:color w:val="auto"/>
          <w:sz w:val="28"/>
          <w:szCs w:val="28"/>
          <w:highlight w:val="none"/>
          <w:u w:val="none"/>
        </w:rPr>
        <w:t xml:space="preserve">履约验收方案 </w:t>
      </w:r>
    </w:p>
    <w:p w14:paraId="50E4D91D">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1）</w:t>
      </w:r>
      <w:r>
        <w:rPr>
          <w:rFonts w:hint="eastAsia" w:ascii="方正黑体简体" w:hAnsi="方正黑体简体" w:eastAsia="方正黑体简体" w:cs="方正黑体简体"/>
          <w:b w:val="0"/>
          <w:bCs w:val="0"/>
          <w:color w:val="auto"/>
          <w:sz w:val="28"/>
          <w:szCs w:val="28"/>
          <w:highlight w:val="none"/>
          <w:u w:val="none"/>
        </w:rPr>
        <w:t xml:space="preserve">验收组织方式：自行验收 </w:t>
      </w:r>
    </w:p>
    <w:p w14:paraId="2AB9BB95">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2）</w:t>
      </w:r>
      <w:r>
        <w:rPr>
          <w:rFonts w:hint="eastAsia" w:ascii="方正黑体简体" w:hAnsi="方正黑体简体" w:eastAsia="方正黑体简体" w:cs="方正黑体简体"/>
          <w:b w:val="0"/>
          <w:bCs w:val="0"/>
          <w:color w:val="auto"/>
          <w:sz w:val="28"/>
          <w:szCs w:val="28"/>
          <w:highlight w:val="none"/>
          <w:u w:val="none"/>
        </w:rPr>
        <w:t xml:space="preserve">是否邀请本项目的其他供应商：否 </w:t>
      </w:r>
    </w:p>
    <w:p w14:paraId="775033F6">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3）</w:t>
      </w:r>
      <w:r>
        <w:rPr>
          <w:rFonts w:hint="eastAsia" w:ascii="方正黑体简体" w:hAnsi="方正黑体简体" w:eastAsia="方正黑体简体" w:cs="方正黑体简体"/>
          <w:b w:val="0"/>
          <w:bCs w:val="0"/>
          <w:color w:val="auto"/>
          <w:sz w:val="28"/>
          <w:szCs w:val="28"/>
          <w:highlight w:val="none"/>
          <w:u w:val="none"/>
        </w:rPr>
        <w:t>是否邀请专家：</w:t>
      </w:r>
      <w:r>
        <w:rPr>
          <w:rFonts w:hint="eastAsia" w:ascii="方正黑体简体" w:hAnsi="方正黑体简体" w:eastAsia="方正黑体简体" w:cs="方正黑体简体"/>
          <w:b w:val="0"/>
          <w:bCs w:val="0"/>
          <w:color w:val="auto"/>
          <w:sz w:val="28"/>
          <w:szCs w:val="28"/>
          <w:highlight w:val="none"/>
          <w:u w:val="none"/>
          <w:lang w:val="en-US" w:eastAsia="zh-CN"/>
        </w:rPr>
        <w:t>是</w:t>
      </w:r>
      <w:r>
        <w:rPr>
          <w:rFonts w:hint="eastAsia" w:ascii="方正黑体简体" w:hAnsi="方正黑体简体" w:eastAsia="方正黑体简体" w:cs="方正黑体简体"/>
          <w:b w:val="0"/>
          <w:bCs w:val="0"/>
          <w:color w:val="auto"/>
          <w:sz w:val="28"/>
          <w:szCs w:val="28"/>
          <w:highlight w:val="none"/>
          <w:u w:val="none"/>
        </w:rPr>
        <w:t xml:space="preserve"> </w:t>
      </w:r>
    </w:p>
    <w:p w14:paraId="276FAD95">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lang w:eastAsia="zh-CN"/>
        </w:rPr>
      </w:pPr>
      <w:r>
        <w:rPr>
          <w:rFonts w:hint="eastAsia" w:ascii="方正黑体简体" w:hAnsi="方正黑体简体" w:eastAsia="方正黑体简体" w:cs="方正黑体简体"/>
          <w:b w:val="0"/>
          <w:bCs w:val="0"/>
          <w:color w:val="auto"/>
          <w:sz w:val="28"/>
          <w:szCs w:val="28"/>
          <w:highlight w:val="none"/>
          <w:u w:val="none"/>
          <w:lang w:val="en-US" w:eastAsia="zh-CN"/>
        </w:rPr>
        <w:t>4）</w:t>
      </w:r>
      <w:r>
        <w:rPr>
          <w:rFonts w:hint="eastAsia" w:ascii="方正黑体简体" w:hAnsi="方正黑体简体" w:eastAsia="方正黑体简体" w:cs="方正黑体简体"/>
          <w:b w:val="0"/>
          <w:bCs w:val="0"/>
          <w:color w:val="auto"/>
          <w:sz w:val="28"/>
          <w:szCs w:val="28"/>
          <w:highlight w:val="none"/>
          <w:u w:val="none"/>
        </w:rPr>
        <w:t>是否邀请服务对象：</w:t>
      </w:r>
      <w:r>
        <w:rPr>
          <w:rFonts w:hint="eastAsia" w:ascii="方正黑体简体" w:hAnsi="方正黑体简体" w:eastAsia="方正黑体简体" w:cs="方正黑体简体"/>
          <w:b w:val="0"/>
          <w:bCs w:val="0"/>
          <w:color w:val="auto"/>
          <w:sz w:val="28"/>
          <w:szCs w:val="28"/>
          <w:highlight w:val="none"/>
          <w:u w:val="none"/>
          <w:lang w:val="en-US" w:eastAsia="zh-CN"/>
        </w:rPr>
        <w:t>否</w:t>
      </w:r>
    </w:p>
    <w:p w14:paraId="0D5C77CC">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5）</w:t>
      </w:r>
      <w:r>
        <w:rPr>
          <w:rFonts w:hint="eastAsia" w:ascii="方正黑体简体" w:hAnsi="方正黑体简体" w:eastAsia="方正黑体简体" w:cs="方正黑体简体"/>
          <w:b w:val="0"/>
          <w:bCs w:val="0"/>
          <w:color w:val="auto"/>
          <w:sz w:val="28"/>
          <w:szCs w:val="28"/>
          <w:highlight w:val="none"/>
          <w:u w:val="none"/>
        </w:rPr>
        <w:t>是否邀请第三方检测机构：否</w:t>
      </w:r>
    </w:p>
    <w:p w14:paraId="52B30417">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6）</w:t>
      </w:r>
      <w:r>
        <w:rPr>
          <w:rFonts w:hint="eastAsia" w:ascii="方正黑体简体" w:hAnsi="方正黑体简体" w:eastAsia="方正黑体简体" w:cs="方正黑体简体"/>
          <w:b w:val="0"/>
          <w:bCs w:val="0"/>
          <w:color w:val="auto"/>
          <w:sz w:val="28"/>
          <w:szCs w:val="28"/>
          <w:highlight w:val="none"/>
          <w:u w:val="none"/>
        </w:rPr>
        <w:t xml:space="preserve">履约验收程序：一次性验收 </w:t>
      </w:r>
    </w:p>
    <w:p w14:paraId="3C84D7A8">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7）</w:t>
      </w:r>
      <w:r>
        <w:rPr>
          <w:rFonts w:hint="eastAsia" w:ascii="方正黑体简体" w:hAnsi="方正黑体简体" w:eastAsia="方正黑体简体" w:cs="方正黑体简体"/>
          <w:b w:val="0"/>
          <w:bCs w:val="0"/>
          <w:color w:val="auto"/>
          <w:sz w:val="28"/>
          <w:szCs w:val="28"/>
          <w:highlight w:val="none"/>
          <w:u w:val="none"/>
        </w:rPr>
        <w:t>履约验收时间： 供应商提出验收申请之日起 ，达到验收条件起 1</w:t>
      </w:r>
      <w:r>
        <w:rPr>
          <w:rFonts w:hint="eastAsia" w:ascii="方正黑体简体" w:hAnsi="方正黑体简体" w:eastAsia="方正黑体简体" w:cs="方正黑体简体"/>
          <w:b w:val="0"/>
          <w:bCs w:val="0"/>
          <w:color w:val="auto"/>
          <w:sz w:val="28"/>
          <w:szCs w:val="28"/>
          <w:highlight w:val="none"/>
          <w:u w:val="none"/>
          <w:lang w:val="en-US" w:eastAsia="zh-CN"/>
        </w:rPr>
        <w:t>5</w:t>
      </w:r>
      <w:r>
        <w:rPr>
          <w:rFonts w:hint="eastAsia" w:ascii="方正黑体简体" w:hAnsi="方正黑体简体" w:eastAsia="方正黑体简体" w:cs="方正黑体简体"/>
          <w:b w:val="0"/>
          <w:bCs w:val="0"/>
          <w:color w:val="auto"/>
          <w:sz w:val="28"/>
          <w:szCs w:val="28"/>
          <w:highlight w:val="none"/>
          <w:u w:val="none"/>
        </w:rPr>
        <w:t xml:space="preserve"> 日内，验收合同总金额的 100.00 %； </w:t>
      </w:r>
    </w:p>
    <w:p w14:paraId="07D1F968">
      <w:pPr>
        <w:pStyle w:val="2"/>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right="325" w:rightChars="155"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8）</w:t>
      </w:r>
      <w:r>
        <w:rPr>
          <w:rFonts w:hint="eastAsia" w:ascii="方正黑体简体" w:hAnsi="方正黑体简体" w:eastAsia="方正黑体简体" w:cs="方正黑体简体"/>
          <w:b w:val="0"/>
          <w:bCs w:val="0"/>
          <w:color w:val="auto"/>
          <w:sz w:val="28"/>
          <w:szCs w:val="28"/>
          <w:highlight w:val="none"/>
          <w:u w:val="none"/>
        </w:rPr>
        <w:t>验收组织的其他事项：无</w:t>
      </w:r>
    </w:p>
    <w:p w14:paraId="6FD6029B">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9）技术履约验收内容：</w:t>
      </w:r>
      <w:r>
        <w:rPr>
          <w:rFonts w:hint="eastAsia" w:ascii="方正黑体简体" w:hAnsi="方正黑体简体" w:eastAsia="方正黑体简体" w:cs="方正黑体简体"/>
          <w:b w:val="0"/>
          <w:bCs w:val="0"/>
          <w:color w:val="auto"/>
          <w:sz w:val="28"/>
          <w:szCs w:val="28"/>
          <w:highlight w:val="none"/>
          <w:u w:val="none"/>
        </w:rPr>
        <w:t>验收内容主要包括每一项技术内容及要求的履约情况。不能明确客观标准、涉及主观判断的，可以</w:t>
      </w:r>
      <w:r>
        <w:rPr>
          <w:rFonts w:hint="eastAsia" w:ascii="方正黑体简体" w:hAnsi="方正黑体简体" w:eastAsia="方正黑体简体" w:cs="方正黑体简体"/>
          <w:b w:val="0"/>
          <w:bCs w:val="0"/>
          <w:color w:val="auto"/>
          <w:sz w:val="28"/>
          <w:szCs w:val="28"/>
          <w:highlight w:val="none"/>
          <w:u w:val="none"/>
          <w:lang w:eastAsia="zh-CN"/>
        </w:rPr>
        <w:t>通过</w:t>
      </w:r>
      <w:r>
        <w:rPr>
          <w:rFonts w:hint="eastAsia" w:ascii="方正黑体简体" w:hAnsi="方正黑体简体" w:eastAsia="方正黑体简体" w:cs="方正黑体简体"/>
          <w:b w:val="0"/>
          <w:bCs w:val="0"/>
          <w:color w:val="auto"/>
          <w:sz w:val="28"/>
          <w:szCs w:val="28"/>
          <w:highlight w:val="none"/>
          <w:u w:val="none"/>
        </w:rPr>
        <w:t>采购人、咨询专家或行业主管部门等方式，转化为客观、量化的验收。</w:t>
      </w:r>
    </w:p>
    <w:p w14:paraId="10CD3BAB">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lang w:val="en-US" w:eastAsia="zh-CN"/>
        </w:rPr>
        <w:t>10）商务履约验收内容：</w:t>
      </w:r>
      <w:r>
        <w:rPr>
          <w:rFonts w:hint="eastAsia" w:ascii="方正黑体简体" w:hAnsi="方正黑体简体" w:eastAsia="方正黑体简体" w:cs="方正黑体简体"/>
          <w:b w:val="0"/>
          <w:bCs w:val="0"/>
          <w:color w:val="auto"/>
          <w:sz w:val="28"/>
          <w:szCs w:val="28"/>
          <w:highlight w:val="none"/>
          <w:u w:val="none"/>
        </w:rPr>
        <w:t>验收内容主要包括每一项商务要求的履约情况。不能明确客观标准、涉及主观判断的，可以</w:t>
      </w:r>
      <w:r>
        <w:rPr>
          <w:rFonts w:hint="eastAsia" w:ascii="方正黑体简体" w:hAnsi="方正黑体简体" w:eastAsia="方正黑体简体" w:cs="方正黑体简体"/>
          <w:b w:val="0"/>
          <w:bCs w:val="0"/>
          <w:color w:val="auto"/>
          <w:sz w:val="28"/>
          <w:szCs w:val="28"/>
          <w:highlight w:val="none"/>
          <w:u w:val="none"/>
          <w:lang w:eastAsia="zh-CN"/>
        </w:rPr>
        <w:t>通过</w:t>
      </w:r>
      <w:r>
        <w:rPr>
          <w:rFonts w:hint="eastAsia" w:ascii="方正黑体简体" w:hAnsi="方正黑体简体" w:eastAsia="方正黑体简体" w:cs="方正黑体简体"/>
          <w:b w:val="0"/>
          <w:bCs w:val="0"/>
          <w:color w:val="auto"/>
          <w:sz w:val="28"/>
          <w:szCs w:val="28"/>
          <w:highlight w:val="none"/>
          <w:u w:val="none"/>
        </w:rPr>
        <w:t>采购人、咨询专家或行业主管部门等方式，转化为客观、量化的验收。</w:t>
      </w:r>
    </w:p>
    <w:p w14:paraId="4AB43D5A">
      <w:pPr>
        <w:pStyle w:val="6"/>
        <w:keepNext w:val="0"/>
        <w:keepLines w:val="0"/>
        <w:pageBreakBefore w:val="0"/>
        <w:widowControl w:val="0"/>
        <w:numPr>
          <w:ilvl w:val="0"/>
          <w:numId w:val="0"/>
        </w:numPr>
        <w:tabs>
          <w:tab w:val="left" w:pos="9450"/>
        </w:tabs>
        <w:kinsoku/>
        <w:wordWrap/>
        <w:overflowPunct/>
        <w:topLinePunct w:val="0"/>
        <w:autoSpaceDE/>
        <w:autoSpaceDN/>
        <w:bidi w:val="0"/>
        <w:adjustRightInd/>
        <w:snapToGrid/>
        <w:spacing w:line="580" w:lineRule="exact"/>
        <w:ind w:left="0" w:leftChars="0" w:firstLine="560" w:firstLineChars="200"/>
        <w:jc w:val="both"/>
        <w:textAlignment w:val="auto"/>
        <w:rPr>
          <w:rFonts w:hint="eastAsia" w:ascii="方正黑体简体" w:hAnsi="方正黑体简体" w:eastAsia="方正黑体简体" w:cs="方正黑体简体"/>
          <w:b w:val="0"/>
          <w:bCs w:val="0"/>
          <w:color w:val="auto"/>
          <w:sz w:val="28"/>
          <w:szCs w:val="28"/>
          <w:highlight w:val="none"/>
          <w:u w:val="none"/>
          <w:lang w:val="en-US" w:eastAsia="zh-CN"/>
        </w:rPr>
      </w:pPr>
      <w:r>
        <w:rPr>
          <w:rFonts w:hint="eastAsia" w:ascii="方正黑体简体" w:hAnsi="方正黑体简体" w:eastAsia="方正黑体简体" w:cs="方正黑体简体"/>
          <w:b w:val="0"/>
          <w:bCs w:val="0"/>
          <w:color w:val="auto"/>
          <w:sz w:val="28"/>
          <w:szCs w:val="28"/>
          <w:highlight w:val="none"/>
          <w:u w:val="none"/>
          <w:lang w:val="en-US" w:eastAsia="zh-CN"/>
        </w:rPr>
        <w:t xml:space="preserve">11）履约验收标准：①按照政府采购相关法律法规以及《财政部关于进一步加强政府采购需求和履约验收管理的指导意见》（财库〔2016〕205号）的要求、采购文件的质量要求和技术指标、供应商的响应文件及承诺以及合同约定标准进行验收。②验收结果合格的，供应商凭验收报告办理相关手续，采购人按采购合同约定支付采购资金；验收结果不合格的，不予支付采购尾款。 </w:t>
      </w:r>
    </w:p>
    <w:p w14:paraId="6CE51AA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jc w:val="both"/>
        <w:textAlignment w:val="auto"/>
        <w:outlineLvl w:val="1"/>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rPr>
        <w:t>12）履约验收其他事项：无</w:t>
      </w:r>
    </w:p>
    <w:p w14:paraId="3D4B8F3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2" w:firstLineChars="200"/>
        <w:jc w:val="both"/>
        <w:textAlignment w:val="auto"/>
        <w:outlineLvl w:val="1"/>
        <w:rPr>
          <w:rFonts w:hint="eastAsia" w:ascii="方正黑体简体" w:hAnsi="方正黑体简体" w:eastAsia="方正黑体简体" w:cs="方正黑体简体"/>
          <w:b/>
          <w:bCs/>
          <w:color w:val="auto"/>
          <w:sz w:val="28"/>
          <w:szCs w:val="28"/>
          <w:highlight w:val="none"/>
          <w:u w:val="none"/>
        </w:rPr>
      </w:pPr>
      <w:r>
        <w:rPr>
          <w:rFonts w:hint="eastAsia" w:ascii="方正黑体简体" w:hAnsi="方正黑体简体" w:eastAsia="方正黑体简体" w:cs="方正黑体简体"/>
          <w:b/>
          <w:bCs/>
          <w:color w:val="auto"/>
          <w:sz w:val="28"/>
          <w:szCs w:val="28"/>
          <w:highlight w:val="none"/>
          <w:u w:val="none"/>
          <w:lang w:eastAsia="zh-CN"/>
        </w:rPr>
        <w:t>六</w:t>
      </w:r>
      <w:r>
        <w:rPr>
          <w:rFonts w:hint="eastAsia" w:ascii="方正黑体简体" w:hAnsi="方正黑体简体" w:eastAsia="方正黑体简体" w:cs="方正黑体简体"/>
          <w:b/>
          <w:bCs/>
          <w:color w:val="auto"/>
          <w:sz w:val="28"/>
          <w:szCs w:val="28"/>
          <w:highlight w:val="none"/>
          <w:u w:val="none"/>
        </w:rPr>
        <w:t>、风险控制措施和替代方案</w:t>
      </w:r>
    </w:p>
    <w:p w14:paraId="1A9021A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jc w:val="both"/>
        <w:textAlignment w:val="auto"/>
        <w:outlineLvl w:val="1"/>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rPr>
        <w:t>该采购项目按照《政府采购需求管理办法》第二十五条规定，本项目是否需要组</w:t>
      </w:r>
    </w:p>
    <w:p w14:paraId="1925BE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jc w:val="both"/>
        <w:textAlignment w:val="auto"/>
        <w:outlineLvl w:val="1"/>
        <w:rPr>
          <w:rFonts w:hint="eastAsia" w:ascii="方正黑体简体" w:hAnsi="方正黑体简体" w:eastAsia="方正黑体简体" w:cs="方正黑体简体"/>
          <w:b w:val="0"/>
          <w:bCs w:val="0"/>
          <w:color w:val="auto"/>
          <w:sz w:val="28"/>
          <w:szCs w:val="28"/>
          <w:highlight w:val="none"/>
          <w:u w:val="none"/>
        </w:rPr>
      </w:pPr>
      <w:r>
        <w:rPr>
          <w:rFonts w:hint="eastAsia" w:ascii="方正黑体简体" w:hAnsi="方正黑体简体" w:eastAsia="方正黑体简体" w:cs="方正黑体简体"/>
          <w:b w:val="0"/>
          <w:bCs w:val="0"/>
          <w:color w:val="auto"/>
          <w:sz w:val="28"/>
          <w:szCs w:val="28"/>
          <w:highlight w:val="none"/>
          <w:u w:val="none"/>
        </w:rPr>
        <w:t>织风险判断、提出处置措施和替代方案：否</w:t>
      </w:r>
    </w:p>
    <w:p w14:paraId="1482770C">
      <w:pPr>
        <w:rPr>
          <w:rFonts w:hint="eastAsia" w:ascii="方正黑体简体" w:hAnsi="方正黑体简体" w:eastAsia="方正黑体简体" w:cs="方正黑体简体"/>
          <w:b w:val="0"/>
          <w:bCs w:val="0"/>
          <w:color w:val="auto"/>
          <w:sz w:val="28"/>
          <w:szCs w:val="28"/>
          <w:highlight w:val="none"/>
          <w:lang w:val="en-US" w:eastAsia="zh-CN"/>
        </w:rPr>
      </w:pPr>
    </w:p>
    <w:p w14:paraId="6B0D7818">
      <w:pPr>
        <w:pStyle w:val="9"/>
        <w:rPr>
          <w:rFonts w:hint="eastAsia" w:ascii="方正黑体简体" w:hAnsi="方正黑体简体" w:eastAsia="方正黑体简体" w:cs="方正黑体简体"/>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方正黑体简体">
    <w:panose1 w:val="02000000000000000000"/>
    <w:charset w:val="86"/>
    <w:family w:val="auto"/>
    <w:pitch w:val="default"/>
    <w:sig w:usb0="00000001" w:usb1="080E0000" w:usb2="00000000" w:usb3="00000000" w:csb0="00040000" w:csb1="00000000"/>
    <w:embedRegular r:id="rId1" w:fontKey="{F6112BE1-7C6D-429D-B70B-EF60459FA2C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5B7D76A2"/>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styleId="3">
    <w:name w:val="Subtitle"/>
    <w:basedOn w:val="1"/>
    <w:next w:val="1"/>
    <w:qFormat/>
    <w:uiPriority w:val="0"/>
    <w:pPr>
      <w:spacing w:line="312" w:lineRule="auto"/>
      <w:jc w:val="left"/>
      <w:outlineLvl w:val="1"/>
    </w:pPr>
    <w:rPr>
      <w:rFonts w:ascii="Cambria" w:hAnsi="Cambria" w:cs="Times New Roman"/>
      <w:b/>
      <w:bCs/>
      <w:color w:val="auto"/>
      <w:kern w:val="28"/>
      <w:sz w:val="21"/>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Body Text First Indent"/>
    <w:basedOn w:val="2"/>
    <w:unhideWhenUsed/>
    <w:qFormat/>
    <w:uiPriority w:val="99"/>
    <w:pPr>
      <w:ind w:firstLine="420" w:firstLineChars="100"/>
    </w:pPr>
  </w:style>
  <w:style w:type="paragraph" w:customStyle="1" w:styleId="9">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1995</Words>
  <Characters>2210</Characters>
  <Lines>0</Lines>
  <Paragraphs>0</Paragraphs>
  <TotalTime>4</TotalTime>
  <ScaleCrop>false</ScaleCrop>
  <LinksUpToDate>false</LinksUpToDate>
  <CharactersWithSpaces>2244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邱献宪</cp:lastModifiedBy>
  <dcterms:modified xsi:type="dcterms:W3CDTF">2026-07-23T07:07:35Z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eyJoZGlkIjoiYTIwN2RiNTI0NDUxMTM2MWJiYzM3ZTM5YzZlNjA2N2QiLCJ1c2VySWQiOiIyNDI2NDA0OTUifQ==</vt:lpwstr>
  </property>
  <property fmtid="{D5CDD505-2E9C-101B-9397-08002B2CF9AE}" pid="4" name="ICV">
    <vt:lpwstr>7B4D92D7131C4AA792701819A9A9A6D0_12</vt:lpwstr>
  </property>
</Properties>
</file>