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山东石油化工学院计算机学科平台升级与计算中心建设项目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SDGP370000000202602005744</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山东毕博项目管理有限公司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山东毕博项目管理有限公司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山东石油化工学院计算机学科平台升级与计算中心建设项目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SDGP370000000202602005744</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山东石油化工学院计算机学科平台升级与计算中心建设项目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本项目为山东石油化工学院计算机学科平台升级与计算中心建设项目，</w:t>
      </w:r>
      <w:r>
        <w:rPr>
          <w:rFonts w:ascii="仿宋_GB2312" w:hAnsi="仿宋_GB2312" w:cs="仿宋_GB2312" w:eastAsia="仿宋_GB2312"/>
        </w:rPr>
        <w:t>共分为</w:t>
      </w:r>
      <w:r>
        <w:rPr>
          <w:rFonts w:ascii="仿宋_GB2312" w:hAnsi="仿宋_GB2312" w:cs="仿宋_GB2312" w:eastAsia="仿宋_GB2312"/>
        </w:rPr>
        <w:t>1个包，具体采购内容及技术要求详见采购文件具体要求。</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3、供应商具有履行合同所必需的设备和专业技术能力：具有履行政府采购合同所必需的设备和专业技术能力声明函。（提供原件扫描件或复印件加盖公章）</w:t>
      </w:r>
    </w:p>
    <w:p>
      <w:pPr>
        <w:pStyle w:val="null5"/>
        <w:jc w:val="left"/>
      </w:pPr>
      <w:r>
        <w:rPr>
          <w:rFonts w:ascii="仿宋_GB2312" w:hAnsi="仿宋_GB2312" w:cs="仿宋_GB2312" w:eastAsia="仿宋_GB2312"/>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山东毕博项目管理有限公司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山东省济南市历下区姚家街道华润置地广场六区3号楼1505室</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赵松闯</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0531-86019872/13280015699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采购包1：700,000.00元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自响应文件提交截止之日起有效期为90日。响应文件未明确投标有效期或者少于前述规定天数的，其响应文件按无效响应处理。</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代理服务费收费标准：参照国家计价格（ 2002 ）1980号文件、国家发改办价格[2003]857号文件规定下浮40%收取。</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山东毕博项目管理有限公司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山东毕博项目管理有限公司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货物送到指定地点提出验收申请（因电子系统设置原因无法修改，后文验收合同总金额指当批次所供金额）</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货物送到指定地点后，按照合同条款和项目需求，由采购人进行验收，参照国家相关标准、要求执行。</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合同为采购人进行履约验收的主要依据。验收严格按照磋商文件、响应文件和采购合同进行，保证采购项目与相关文件内容的一致。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合同为采购人进行履约验收的主要依据。验收严格按照磋商文件、响应文件和采购合同进行，保证采购项目与相关文件内容的一致。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货物送到指定地点后，按照合同条款和项目需求，由采购人进行验收，参照国家相关标准、要求执行。</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山东毕博项目管理有限公司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山东毕博项目管理有限公司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联系人：赵松闯</w:t>
      </w:r>
    </w:p>
    <w:p>
      <w:pPr>
        <w:pStyle w:val="null5"/>
        <w:jc w:val="left"/>
      </w:pPr>
      <w:r>
        <w:rPr>
          <w:rFonts w:ascii="仿宋_GB2312" w:hAnsi="仿宋_GB2312" w:cs="仿宋_GB2312" w:eastAsia="仿宋_GB2312"/>
        </w:rPr>
        <w:t>联系电话：0531-86019872</w:t>
      </w:r>
    </w:p>
    <w:p>
      <w:pPr>
        <w:pStyle w:val="null5"/>
        <w:jc w:val="left"/>
      </w:pPr>
      <w:r>
        <w:rPr>
          <w:rFonts w:ascii="仿宋_GB2312" w:hAnsi="仿宋_GB2312" w:cs="仿宋_GB2312" w:eastAsia="仿宋_GB2312"/>
        </w:rPr>
        <w:t>地址：山东省济南市历下区姚家街道华润置地广场六区3号楼1505室</w:t>
      </w:r>
    </w:p>
    <w:p>
      <w:pPr>
        <w:pStyle w:val="null5"/>
        <w:jc w:val="left"/>
      </w:pPr>
      <w:r>
        <w:rPr>
          <w:rFonts w:ascii="仿宋_GB2312" w:hAnsi="仿宋_GB2312" w:cs="仿宋_GB2312" w:eastAsia="仿宋_GB2312"/>
        </w:rPr>
        <w:t>邮编：250000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700,000.00</w:t>
      </w:r>
    </w:p>
    <w:p>
      <w:pPr>
        <w:pStyle w:val="null5"/>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大模型计算卡等设备</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700,000.00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是</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大模型计算卡等设备</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700,000.00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本报价为含税全包价，含货物采购及配套全流程所有费用，采购人不再另行付费，满足采购文件全部履约要求</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大模型计算卡等设备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大模型国产服务器</w:t>
            </w:r>
          </w:p>
        </w:tc>
        <w:tc>
          <w:tcPr>
            <w:tcW w:type="dxa" w:w="2076"/>
          </w:tcPr>
          <w:p>
            <w:pPr>
              <w:pStyle w:val="null5"/>
              <w:jc w:val="left"/>
            </w:pPr>
            <w:r>
              <w:rPr>
                <w:rFonts w:ascii="仿宋_GB2312" w:hAnsi="仿宋_GB2312" w:cs="仿宋_GB2312" w:eastAsia="仿宋_GB2312"/>
              </w:rPr>
              <w:t>大模型国产服务器</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大模型计算卡</w:t>
            </w:r>
          </w:p>
        </w:tc>
        <w:tc>
          <w:tcPr>
            <w:tcW w:type="dxa" w:w="2076"/>
          </w:tcPr>
          <w:p>
            <w:pPr>
              <w:pStyle w:val="null5"/>
              <w:jc w:val="left"/>
            </w:pPr>
            <w:r>
              <w:rPr>
                <w:rFonts w:ascii="仿宋_GB2312" w:hAnsi="仿宋_GB2312" w:cs="仿宋_GB2312" w:eastAsia="仿宋_GB2312"/>
              </w:rPr>
              <w:t>大模型计算卡</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教学仪器</w:t>
            </w:r>
          </w:p>
        </w:tc>
        <w:tc>
          <w:tcPr>
            <w:tcW w:type="dxa" w:w="2492"/>
          </w:tcPr>
          <w:p>
            <w:pPr>
              <w:pStyle w:val="null5"/>
              <w:jc w:val="left"/>
            </w:pPr>
            <w:r>
              <w:rPr>
                <w:rFonts w:ascii="仿宋_GB2312" w:hAnsi="仿宋_GB2312" w:cs="仿宋_GB2312" w:eastAsia="仿宋_GB2312"/>
              </w:rPr>
              <w:t>大模型计算卡等设备</w:t>
            </w:r>
          </w:p>
        </w:tc>
        <w:tc>
          <w:tcPr>
            <w:tcW w:type="dxa" w:w="2492"/>
          </w:tcPr>
          <w:p>
            <w:pPr>
              <w:pStyle w:val="null5"/>
              <w:jc w:val="left"/>
            </w:pPr>
            <w:r>
              <w:rPr>
                <w:rFonts w:ascii="仿宋_GB2312" w:hAnsi="仿宋_GB2312" w:cs="仿宋_GB2312" w:eastAsia="仿宋_GB2312"/>
              </w:rPr>
              <w:t>大模型计算卡</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教学仪器</w:t>
            </w:r>
          </w:p>
        </w:tc>
        <w:tc>
          <w:tcPr>
            <w:tcW w:type="dxa" w:w="2492"/>
          </w:tcPr>
          <w:p>
            <w:pPr>
              <w:pStyle w:val="null5"/>
              <w:jc w:val="left"/>
            </w:pPr>
            <w:r>
              <w:rPr>
                <w:rFonts w:ascii="仿宋_GB2312" w:hAnsi="仿宋_GB2312" w:cs="仿宋_GB2312" w:eastAsia="仿宋_GB2312"/>
              </w:rPr>
              <w:t>大模型计算卡等设备</w:t>
            </w:r>
          </w:p>
        </w:tc>
        <w:tc>
          <w:tcPr>
            <w:tcW w:type="dxa" w:w="2492"/>
          </w:tcPr>
          <w:p>
            <w:pPr>
              <w:pStyle w:val="null5"/>
              <w:jc w:val="left"/>
            </w:pPr>
            <w:r>
              <w:rPr>
                <w:rFonts w:ascii="仿宋_GB2312" w:hAnsi="仿宋_GB2312" w:cs="仿宋_GB2312" w:eastAsia="仿宋_GB2312"/>
              </w:rPr>
              <w:t>所投产品属于《节能产品政府采购品目清单》中的优先采购的节能产品</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教学仪器</w:t>
            </w:r>
          </w:p>
        </w:tc>
        <w:tc>
          <w:tcPr>
            <w:tcW w:type="dxa" w:w="2492"/>
          </w:tcPr>
          <w:p>
            <w:pPr>
              <w:pStyle w:val="null5"/>
              <w:jc w:val="left"/>
            </w:pPr>
            <w:r>
              <w:rPr>
                <w:rFonts w:ascii="仿宋_GB2312" w:hAnsi="仿宋_GB2312" w:cs="仿宋_GB2312" w:eastAsia="仿宋_GB2312"/>
              </w:rPr>
              <w:t>大模型计算卡等设备</w:t>
            </w:r>
          </w:p>
        </w:tc>
        <w:tc>
          <w:tcPr>
            <w:tcW w:type="dxa" w:w="2492"/>
          </w:tcPr>
          <w:p>
            <w:pPr>
              <w:pStyle w:val="null5"/>
              <w:jc w:val="left"/>
            </w:pPr>
            <w:r>
              <w:rPr>
                <w:rFonts w:ascii="仿宋_GB2312" w:hAnsi="仿宋_GB2312" w:cs="仿宋_GB2312" w:eastAsia="仿宋_GB2312"/>
              </w:rPr>
              <w:t>所投产品属于《环境标志产品政府采购品目清单》中的优先采购环境标志产品</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标的名称：大模型计算卡等设备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大模型国产计算节点</w:t>
            </w:r>
          </w:p>
        </w:tc>
        <w:tc>
          <w:tcPr>
            <w:tcW w:type="dxa" w:w="2076"/>
          </w:tcPr>
          <w:p>
            <w:pPr>
              <w:pStyle w:val="null5"/>
              <w:jc w:val="left"/>
            </w:pPr>
            <w:r>
              <w:rPr>
                <w:rFonts w:ascii="仿宋_GB2312" w:hAnsi="仿宋_GB2312" w:cs="仿宋_GB2312" w:eastAsia="仿宋_GB2312"/>
              </w:rPr>
              <w:t>（1）处理器：≥2颗国产处理器，单颗CPU物理核心数≥24个，线程数≥48个，基础主频≥2.2GHz；</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大模型国产计算节点</w:t>
            </w:r>
          </w:p>
        </w:tc>
        <w:tc>
          <w:tcPr>
            <w:tcW w:type="dxa" w:w="2076"/>
          </w:tcPr>
          <w:p>
            <w:pPr>
              <w:pStyle w:val="null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2）内存：≥4条企业级32GB DDR4 RDIMM ECC内存；</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大模型国产计算节点</w:t>
            </w:r>
          </w:p>
        </w:tc>
        <w:tc>
          <w:tcPr>
            <w:tcW w:type="dxa" w:w="2076"/>
          </w:tcPr>
          <w:p>
            <w:pPr>
              <w:pStyle w:val="null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3）硬盘：≥2块企业级960GB SATA固态硬盘；要求在扩容的设备上组建Raid1；</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大模型国产计算节点</w:t>
            </w:r>
          </w:p>
        </w:tc>
        <w:tc>
          <w:tcPr>
            <w:tcW w:type="dxa" w:w="2076"/>
          </w:tcPr>
          <w:p>
            <w:pPr>
              <w:pStyle w:val="null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4）主板内存支持要求：≥24个DDR4内存插槽，支持RDIMM内存，工作频率≥3200MHz；</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大模型国产计算节点</w:t>
            </w:r>
          </w:p>
        </w:tc>
        <w:tc>
          <w:tcPr>
            <w:tcW w:type="dxa" w:w="2076"/>
          </w:tcPr>
          <w:p>
            <w:pPr>
              <w:pStyle w:val="null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5）主板硬盘支持要求：≥12个2.5”或≥12个3.5”SAS/SATA，≥2个板载M.2 SSD；支持≥1个OCP 3.0网卡插槽;</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大模型国产计算节点</w:t>
            </w:r>
          </w:p>
        </w:tc>
        <w:tc>
          <w:tcPr>
            <w:tcW w:type="dxa" w:w="2076"/>
          </w:tcPr>
          <w:p>
            <w:pPr>
              <w:pStyle w:val="null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6）主板其他支持要求：</w:t>
            </w:r>
          </w:p>
          <w:p>
            <w:pPr>
              <w:pStyle w:val="null5"/>
              <w:jc w:val="left"/>
            </w:pPr>
            <w:r>
              <w:rPr>
                <w:rFonts w:ascii="仿宋_GB2312" w:hAnsi="仿宋_GB2312" w:cs="仿宋_GB2312" w:eastAsia="仿宋_GB2312"/>
                <w:sz w:val="20"/>
                <w:color w:val="000000"/>
              </w:rPr>
              <w:t>1）支持≥1个RAID卡插槽；</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大模型国产计算节点</w:t>
            </w:r>
          </w:p>
        </w:tc>
        <w:tc>
          <w:tcPr>
            <w:tcW w:type="dxa" w:w="2076"/>
          </w:tcPr>
          <w:p>
            <w:pPr>
              <w:pStyle w:val="null5"/>
              <w:jc w:val="left"/>
            </w:pPr>
            <w:r>
              <w:rPr>
                <w:rFonts w:ascii="仿宋_GB2312" w:hAnsi="仿宋_GB2312" w:cs="仿宋_GB2312" w:eastAsia="仿宋_GB2312"/>
                <w:sz w:val="20"/>
                <w:color w:val="000000"/>
              </w:rPr>
              <w:t>2）≥4个USB接口；</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大模型国产计算节点</w:t>
            </w:r>
          </w:p>
        </w:tc>
        <w:tc>
          <w:tcPr>
            <w:tcW w:type="dxa" w:w="2076"/>
          </w:tcPr>
          <w:p>
            <w:pPr>
              <w:pStyle w:val="null5"/>
              <w:jc w:val="left"/>
            </w:pPr>
            <w:r>
              <w:rPr>
                <w:rFonts w:ascii="仿宋_GB2312" w:hAnsi="仿宋_GB2312" w:cs="仿宋_GB2312" w:eastAsia="仿宋_GB2312"/>
                <w:sz w:val="20"/>
                <w:color w:val="000000"/>
              </w:rPr>
              <w:t>3)≥1个COM；</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大模型国产计算节点</w:t>
            </w:r>
          </w:p>
        </w:tc>
        <w:tc>
          <w:tcPr>
            <w:tcW w:type="dxa" w:w="2076"/>
          </w:tcPr>
          <w:p>
            <w:pPr>
              <w:pStyle w:val="null5"/>
              <w:jc w:val="left"/>
            </w:pPr>
            <w:r>
              <w:rPr>
                <w:rFonts w:ascii="仿宋_GB2312" w:hAnsi="仿宋_GB2312" w:cs="仿宋_GB2312" w:eastAsia="仿宋_GB2312"/>
                <w:sz w:val="20"/>
                <w:color w:val="000000"/>
              </w:rPr>
              <w:t>4)≥2个VGA；</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大模型国产计算节点</w:t>
            </w:r>
          </w:p>
        </w:tc>
        <w:tc>
          <w:tcPr>
            <w:tcW w:type="dxa" w:w="2076"/>
          </w:tcPr>
          <w:p>
            <w:pPr>
              <w:pStyle w:val="null5"/>
              <w:jc w:val="left"/>
            </w:pPr>
            <w:r>
              <w:rPr>
                <w:rFonts w:ascii="仿宋_GB2312" w:hAnsi="仿宋_GB2312" w:cs="仿宋_GB2312" w:eastAsia="仿宋_GB2312"/>
                <w:sz w:val="20"/>
                <w:color w:val="000000"/>
              </w:rPr>
              <w:t>5)≥1个IPMI RJ45；</w:t>
            </w:r>
          </w:p>
        </w:tc>
      </w:tr>
      <w:tr>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大模型国产计算节点</w:t>
            </w:r>
          </w:p>
        </w:tc>
        <w:tc>
          <w:tcPr>
            <w:tcW w:type="dxa" w:w="2076"/>
          </w:tcPr>
          <w:p>
            <w:pPr>
              <w:pStyle w:val="null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7）PCI-E插槽：单台设备支持≥12个PCI-E4.0插槽，支持同时安装8张大模型计算卡，要求提供配件支持目前现有的GPU计算卡，实现即插即用，无需调试调优等操作流程；</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大模型国产计算节点</w:t>
            </w:r>
          </w:p>
        </w:tc>
        <w:tc>
          <w:tcPr>
            <w:tcW w:type="dxa" w:w="2076"/>
          </w:tcPr>
          <w:p>
            <w:pPr>
              <w:pStyle w:val="null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8）其他要求：成交供应商须配合采购人完成服务器部署，提供满足设备稳定运行的基础硬件环境适配方案，提供服务器固件、驱动、配套系统补丁及常规版本升级服务。</w:t>
            </w:r>
          </w:p>
        </w:tc>
      </w:tr>
      <w:tr>
        <w:tc>
          <w:tcPr>
            <w:tcW w:type="dxa" w:w="2076"/>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大模型计算卡（核心产品）</w:t>
            </w:r>
          </w:p>
        </w:tc>
        <w:tc>
          <w:tcPr>
            <w:tcW w:type="dxa" w:w="2076"/>
          </w:tcPr>
          <w:p>
            <w:pPr>
              <w:pStyle w:val="null5"/>
              <w:jc w:val="left"/>
            </w:pPr>
            <w:r>
              <w:rPr>
                <w:rFonts w:ascii="仿宋_GB2312" w:hAnsi="仿宋_GB2312" w:cs="仿宋_GB2312" w:eastAsia="仿宋_GB2312"/>
                <w:sz w:val="20"/>
                <w:color w:val="000000"/>
              </w:rPr>
              <w:t>1.配置≥4块48GB计算卡，单卡FP16和FP32计算精度≥90TFlops，Int8计算精度≥360Tops；须完全兼容采购人现有PlatformaxV5.1集群，提供完整配套集群软件（含软件授权），实现快捷式自动化部署，实现HPC与AI并行计算功能；并负责大模型参数调试、大模型应用上线及试运行，确保整体稳定运行;</w:t>
            </w:r>
          </w:p>
        </w:tc>
      </w:tr>
      <w:tr>
        <w:tc>
          <w:tcPr>
            <w:tcW w:type="dxa" w:w="2076"/>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大模型计算卡（核心产品）</w:t>
            </w:r>
          </w:p>
        </w:tc>
        <w:tc>
          <w:tcPr>
            <w:tcW w:type="dxa" w:w="2076"/>
          </w:tcPr>
          <w:p>
            <w:pPr>
              <w:pStyle w:val="null5"/>
              <w:jc w:val="left"/>
            </w:pPr>
            <w:r>
              <w:rPr>
                <w:rFonts w:ascii="仿宋_GB2312" w:hAnsi="仿宋_GB2312" w:cs="仿宋_GB2312" w:eastAsia="仿宋_GB2312"/>
                <w:sz w:val="20"/>
                <w:color w:val="000000"/>
              </w:rPr>
              <w:t>2.支持AI功能；</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大模型计算卡（核心产品）</w:t>
            </w:r>
          </w:p>
        </w:tc>
        <w:tc>
          <w:tcPr>
            <w:tcW w:type="dxa" w:w="2076"/>
          </w:tcPr>
          <w:p>
            <w:pPr>
              <w:pStyle w:val="null5"/>
              <w:jc w:val="left"/>
            </w:pPr>
            <w:r>
              <w:rPr>
                <w:rFonts w:ascii="仿宋_GB2312" w:hAnsi="仿宋_GB2312" w:cs="仿宋_GB2312" w:eastAsia="仿宋_GB2312"/>
                <w:sz w:val="20"/>
                <w:color w:val="000000"/>
              </w:rPr>
              <w:t>3.用户组管理功能，包括用户组创建、删除，角色设定，将用户加入或移出用户组、用户批量导入等。管理员可设置用户账号有效期，账号到期后，用户无法登录；到期后用户任务、数据、镜像保留。管理员可以限定用户镜像数量和占用空间。用户创建任务时，可设置最大运行时长，系统最大运行时长的由管理员进行设置，用户创建任务时，GPU、CPU、内存等相关资源的比例可根据模板自动设置，模板由管理员进行设置；</w:t>
            </w:r>
          </w:p>
        </w:tc>
      </w:tr>
      <w:tr>
        <w:tc>
          <w:tcPr>
            <w:tcW w:type="dxa" w:w="2076"/>
          </w:tcPr>
          <w:p>
            <w:pPr>
              <w:pStyle w:val="null5"/>
              <w:jc w:val="left"/>
            </w:pPr>
            <w:r>
              <w:rPr>
                <w:rFonts w:ascii="仿宋_GB2312" w:hAnsi="仿宋_GB2312" w:cs="仿宋_GB2312" w:eastAsia="仿宋_GB2312"/>
              </w:rPr>
              <w:t>16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大模型计算卡（核心产品）</w:t>
            </w:r>
          </w:p>
        </w:tc>
        <w:tc>
          <w:tcPr>
            <w:tcW w:type="dxa" w:w="2076"/>
          </w:tcPr>
          <w:p>
            <w:pPr>
              <w:pStyle w:val="null5"/>
              <w:jc w:val="left"/>
            </w:pPr>
            <w:r>
              <w:rPr>
                <w:rFonts w:ascii="仿宋_GB2312" w:hAnsi="仿宋_GB2312" w:cs="仿宋_GB2312" w:eastAsia="仿宋_GB2312"/>
                <w:sz w:val="20"/>
                <w:color w:val="000000"/>
              </w:rPr>
              <w:t>4.支持获取用户列表API接口,返回结果支持分页功能，返回用户信息；支持获取任务列表API接口，返回任务信息包含任务ID、任务起始时间、CPU配额、内存配额以及GPU配额等信息，支持GPU信息监控等功能；</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大模型计算卡（核心产品）</w:t>
            </w:r>
          </w:p>
        </w:tc>
        <w:tc>
          <w:tcPr>
            <w:tcW w:type="dxa" w:w="2076"/>
          </w:tcPr>
          <w:p>
            <w:pPr>
              <w:pStyle w:val="null5"/>
              <w:jc w:val="left"/>
            </w:pPr>
            <w:r>
              <w:rPr>
                <w:rFonts w:ascii="仿宋_GB2312" w:hAnsi="仿宋_GB2312" w:cs="仿宋_GB2312" w:eastAsia="仿宋_GB2312"/>
                <w:sz w:val="20"/>
                <w:color w:val="000000"/>
              </w:rPr>
              <w:t>5.支持离线训练，支持用户提交任务启动模型训练，提交时可指定入口程序、工作目录、机器学习框架、资源需求、分区和使用的镜像。</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大模型计算卡（核心产品）</w:t>
            </w:r>
          </w:p>
        </w:tc>
        <w:tc>
          <w:tcPr>
            <w:tcW w:type="dxa" w:w="2076"/>
          </w:tcPr>
          <w:p>
            <w:pPr>
              <w:pStyle w:val="null5"/>
              <w:jc w:val="left"/>
            </w:pPr>
            <w:r>
              <w:rPr>
                <w:rFonts w:ascii="仿宋_GB2312" w:hAnsi="仿宋_GB2312" w:cs="仿宋_GB2312" w:eastAsia="仿宋_GB2312"/>
                <w:sz w:val="20"/>
                <w:color w:val="000000"/>
              </w:rPr>
              <w:t>6.提供公共镜像、分区镜像、项目镜像、私有镜像多层级镜像管理功能；提供Tensorflow、PyTorch、MxNet、CUDA、Gromacs、NAMD、LAMPPS等各个版本镜像，用户创建交互式任务时，根据选择的交互式任务类型，对镜像进行自动配置；平台自动清理镜像垃圾，回收镜像仓库空间，避免存储资源的浪费；</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大模型计算卡（核心产品）</w:t>
            </w:r>
          </w:p>
        </w:tc>
        <w:tc>
          <w:tcPr>
            <w:tcW w:type="dxa" w:w="2076"/>
          </w:tcPr>
          <w:p>
            <w:pPr>
              <w:pStyle w:val="null5"/>
              <w:jc w:val="left"/>
            </w:pPr>
            <w:r>
              <w:rPr>
                <w:rFonts w:ascii="仿宋_GB2312" w:hAnsi="仿宋_GB2312" w:cs="仿宋_GB2312" w:eastAsia="仿宋_GB2312"/>
                <w:sz w:val="20"/>
                <w:color w:val="000000"/>
              </w:rPr>
              <w:t>7.支持启动模型训练任务时通过key-value对的形式设置超参数。支持使用TensorBoard、Visdom、VisualDL、MxBoard等工具对Tensorflow、PyTorch、MxNet的训练过程进行可视化。</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大模型计算卡（核心产品）</w:t>
            </w:r>
          </w:p>
        </w:tc>
        <w:tc>
          <w:tcPr>
            <w:tcW w:type="dxa" w:w="2076"/>
          </w:tcPr>
          <w:p>
            <w:pPr>
              <w:pStyle w:val="null5"/>
              <w:jc w:val="left"/>
            </w:pPr>
            <w:r>
              <w:rPr>
                <w:rFonts w:ascii="仿宋_GB2312" w:hAnsi="仿宋_GB2312" w:cs="仿宋_GB2312" w:eastAsia="仿宋_GB2312"/>
                <w:sz w:val="20"/>
                <w:color w:val="000000"/>
              </w:rPr>
              <w:t>8.支持根据任务的CPU、GPU和Mem的需求，以及对GPU卡型号的选择，使用k8s动态调度任务到最优的节点上，保证资源使用的效率。支持用户预约任务执行的时间和频率。支持运行失败的任务在指定次数内的自动重启。</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大模型计算卡（核心产品）</w:t>
            </w:r>
          </w:p>
        </w:tc>
        <w:tc>
          <w:tcPr>
            <w:tcW w:type="dxa" w:w="2076"/>
          </w:tcPr>
          <w:p>
            <w:pPr>
              <w:pStyle w:val="null5"/>
              <w:jc w:val="left"/>
            </w:pPr>
            <w:r>
              <w:rPr>
                <w:rFonts w:ascii="仿宋_GB2312" w:hAnsi="仿宋_GB2312" w:cs="仿宋_GB2312" w:eastAsia="仿宋_GB2312"/>
                <w:sz w:val="20"/>
                <w:color w:val="000000"/>
              </w:rPr>
              <w:t>9.支持通过命令行创建HPC任务后，平台检查分区、项目和个人配额是否满足需求，任务资源超配则删除任务；管理员可以开启交互式任务运行时长限制，当交互式任务运行时间超过限制，平台删除任务并释放资源；管理员可以查看交互式任务空闲时长，并且删除空闲时间过长的任务；</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大模型计算卡（核心产品）</w:t>
            </w:r>
          </w:p>
        </w:tc>
        <w:tc>
          <w:tcPr>
            <w:tcW w:type="dxa" w:w="2076"/>
          </w:tcPr>
          <w:p>
            <w:pPr>
              <w:pStyle w:val="null5"/>
              <w:jc w:val="left"/>
            </w:pPr>
            <w:r>
              <w:rPr>
                <w:rFonts w:ascii="仿宋_GB2312" w:hAnsi="仿宋_GB2312" w:cs="仿宋_GB2312" w:eastAsia="仿宋_GB2312"/>
                <w:sz w:val="20"/>
                <w:color w:val="000000"/>
              </w:rPr>
              <w:t>10.支持在Web GUI输入运行命令，设置CPU、GPU、Mem和task数量，提交HPC任务; 根据任务的CPU、GPU和Mem和其它需求，使用slurm动态调度任务到最优的节点上，保证资源使用的效率。支持通过Web GUI创建HPC配置调试任务; 创建配置调试任务时，根据所选择镜像的元数据，支持多种启动方式（至少包含native方式、ssh方式、Jupyter方式）；针对支持ssh的交互式任务，在本地IDE中进行代码同步和远程调试；</w:t>
            </w:r>
          </w:p>
        </w:tc>
      </w:tr>
      <w:tr>
        <w:tc>
          <w:tcPr>
            <w:tcW w:type="dxa" w:w="2076"/>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大模型计算卡（核心产品）</w:t>
            </w:r>
          </w:p>
        </w:tc>
        <w:tc>
          <w:tcPr>
            <w:tcW w:type="dxa" w:w="2076"/>
          </w:tcPr>
          <w:p>
            <w:pPr>
              <w:pStyle w:val="null5"/>
              <w:jc w:val="left"/>
            </w:pPr>
            <w:r>
              <w:rPr>
                <w:rFonts w:ascii="仿宋_GB2312" w:hAnsi="仿宋_GB2312" w:cs="仿宋_GB2312" w:eastAsia="仿宋_GB2312"/>
                <w:sz w:val="20"/>
                <w:color w:val="000000"/>
              </w:rPr>
              <w:t>11.管理员支持查看集群CPU、GPU、内存使用率，查看过去一个月CPU、GPU、内存使用趋势，查看分区CPU、GPU和内存配额雷达图，查看集群当前在线用户数量，查看集群运行、排队和空闲任务数量，查看和处理系统告警事件，查看集群用户的操作；支持将监控图表导出为xlsx文件。</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大模型计算卡（核心产品）</w:t>
            </w:r>
          </w:p>
        </w:tc>
        <w:tc>
          <w:tcPr>
            <w:tcW w:type="dxa" w:w="2076"/>
          </w:tcPr>
          <w:p>
            <w:pPr>
              <w:pStyle w:val="null5"/>
              <w:jc w:val="left"/>
            </w:pPr>
            <w:r>
              <w:rPr>
                <w:rFonts w:ascii="仿宋_GB2312" w:hAnsi="仿宋_GB2312" w:cs="仿宋_GB2312" w:eastAsia="仿宋_GB2312"/>
                <w:sz w:val="20"/>
                <w:color w:val="000000"/>
              </w:rPr>
              <w:t>12.支持通过气泡图展示任务在用户间的详细分布；支持通过直方图展示过去24小时用户CPU、GPU和内存资源使用量；支持通过桑基图查看用户、任务和资源的详细对应关系；可以自定义时间段查看用户任务的CPU、GPU和内存的资源使用量。</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大模型计算卡（核心产品）</w:t>
            </w:r>
          </w:p>
        </w:tc>
        <w:tc>
          <w:tcPr>
            <w:tcW w:type="dxa" w:w="2076"/>
          </w:tcPr>
          <w:p>
            <w:pPr>
              <w:pStyle w:val="null5"/>
              <w:jc w:val="left"/>
            </w:pPr>
            <w:r>
              <w:rPr>
                <w:rFonts w:ascii="仿宋_GB2312" w:hAnsi="仿宋_GB2312" w:cs="仿宋_GB2312" w:eastAsia="仿宋_GB2312"/>
                <w:sz w:val="20"/>
                <w:color w:val="000000"/>
              </w:rPr>
              <w:t>13.支持常用的分布式存储例如gluster、lustre；支持不同的分区、项目使用不同的存储卷；支持查看卷的使用百分比，展示卷关联用户的使用空间统计排名；支持在Web GUI上进行数据上传、下载、删除、压缩、解压、复制、移动和内容浏览，支持多种格式解压例如zip，tar.gz，tar，bz2等。</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售后服务要求</w:t>
            </w:r>
          </w:p>
        </w:tc>
        <w:tc>
          <w:tcPr>
            <w:tcW w:type="dxa" w:w="4153"/>
          </w:tcPr>
          <w:p>
            <w:pPr>
              <w:pStyle w:val="null5"/>
              <w:jc w:val="left"/>
            </w:pPr>
            <w:r>
              <w:rPr>
                <w:rFonts w:ascii="仿宋_GB2312" w:hAnsi="仿宋_GB2312" w:cs="仿宋_GB2312" w:eastAsia="仿宋_GB2312"/>
              </w:rPr>
              <w:t>（1）设备及产品供货服务 在设备及产品供货时，如出现不正常情况（如设备损坏、故障、达不到良好的效果、达不到技术规范或机器本身说明书的指标），供应商应在不延误项目完成时间的情况下从速免费替换。 （2）保修期服务 供应商对所提供设备实行至少一年免费保修。 本次所有产品均提供至少一年7*24小时维保服务、享受终身上门维修服务，在保修期内发现的由于产品本身的原因造成故障或损坏，供应商应免费修复；无法修复的应免费更换。保修期内，设备及产品的维修、更换等所需一切支出（包括技术人员旅费等支出）由供应商负责。 （3）保修期后服务 保修期后，供应商应对其提供的设备及产品提供终身上门技术服务，器材维修、更换只向采购人收取材料成本费。</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其他服务要求</w:t>
            </w:r>
          </w:p>
        </w:tc>
        <w:tc>
          <w:tcPr>
            <w:tcW w:type="dxa" w:w="4153"/>
          </w:tcPr>
          <w:p>
            <w:pPr>
              <w:pStyle w:val="null5"/>
              <w:jc w:val="left"/>
            </w:pPr>
            <w:r>
              <w:rPr>
                <w:rFonts w:ascii="仿宋_GB2312" w:hAnsi="仿宋_GB2312" w:cs="仿宋_GB2312" w:eastAsia="仿宋_GB2312"/>
              </w:rPr>
              <w:t>（1）本项目的成交供应商必须负责全部设备及产品的安装调试，直至达到良好的使用效果； （2）供应商必须书面承诺所供产品均为原厂正品，不得使用任何劣货、假货等产品。</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进度款，签订合同，设备安装调试完成、验收合格无质量问题及其他争议，采购人收到供应商发票后，达到付款条件起60个工作日内，支付合同总金额的95.0%</w:t>
            </w:r>
            <w:r>
              <w:br/>
            </w:r>
            <w:r>
              <w:rPr>
                <w:rFonts w:ascii="仿宋_GB2312" w:hAnsi="仿宋_GB2312" w:cs="仿宋_GB2312" w:eastAsia="仿宋_GB2312"/>
              </w:rPr>
              <w:t>2、</w:t>
            </w:r>
            <w:r>
              <w:rPr>
                <w:rFonts w:ascii="仿宋_GB2312" w:hAnsi="仿宋_GB2312" w:cs="仿宋_GB2312" w:eastAsia="仿宋_GB2312"/>
              </w:rPr>
              <w:t>其他，下⼀年度无息付清，达到付款条件起60个工作日内，支付合同总金额的5.0%</w:t>
            </w:r>
            <w:r>
              <w:br/>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合同签订后90日内完成全部货物的供货、安装、调试和培训工作。</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质保期：一年。</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合同履行期限：自本项目签订合同之日起至质保期结束。</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报价为含税全包价，包含完成全部供货所需全部成本，采购⼈不再另⾏⽀付其他费⽤；供应商仅能提供⼀套固定报价，不得设置多套备选报价；评审中报价经修正的，供应商须按要求电⼦签章确认，逾期未确认按⽆效响应处理；报价应客观合理，触发异常低价审查时须提供成本相关佐证材料，⽆法说明合理性的作⽆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4"/>
        </w:rPr>
        <w:t>详见第三章</w:t>
      </w:r>
      <w:r>
        <w:rPr>
          <w:rFonts w:ascii="仿宋_GB2312" w:hAnsi="仿宋_GB2312" w:cs="仿宋_GB2312" w:eastAsia="仿宋_GB2312"/>
          <w:sz w:val="24"/>
        </w:rPr>
        <w:t>“技术、服务及其他要求”中“3.2.技术要求”，“3.3.服务要求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4"/>
        </w:rPr>
        <w:t>详见第七章</w:t>
      </w:r>
      <w:r>
        <w:rPr>
          <w:rFonts w:ascii="仿宋_GB2312" w:hAnsi="仿宋_GB2312" w:cs="仿宋_GB2312" w:eastAsia="仿宋_GB2312"/>
          <w:sz w:val="24"/>
        </w:rPr>
        <w:t>“拟签订采购合同文本”。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资格证明材料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资格证明材料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具有履行政府采购合同所必需的设备和专业技术能力声明函。（提供原件扫描件或复印件加盖公章）</w:t>
            </w:r>
          </w:p>
        </w:tc>
        <w:tc>
          <w:tcPr>
            <w:tcW w:type="dxa" w:w="1661"/>
          </w:tcPr>
          <w:p>
            <w:pPr>
              <w:pStyle w:val="null5"/>
              <w:jc w:val="left"/>
            </w:pPr>
            <w:r>
              <w:rPr>
                <w:rFonts w:ascii="仿宋_GB2312" w:hAnsi="仿宋_GB2312" w:cs="仿宋_GB2312" w:eastAsia="仿宋_GB2312"/>
              </w:rPr>
              <w:t>资格证明材料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供应商具有依法缴纳税收和社会保障资金的良好记录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是否按采购文件规定要求签署、盖章</w:t>
            </w:r>
          </w:p>
        </w:tc>
        <w:tc>
          <w:tcPr>
            <w:tcW w:type="dxa" w:w="3322"/>
          </w:tcPr>
          <w:p>
            <w:pPr>
              <w:pStyle w:val="null5"/>
              <w:jc w:val="left"/>
            </w:pPr>
            <w:r>
              <w:rPr>
                <w:rFonts w:ascii="仿宋_GB2312" w:hAnsi="仿宋_GB2312" w:cs="仿宋_GB2312" w:eastAsia="仿宋_GB2312"/>
              </w:rPr>
              <w:t>按采购文件规定要求签署、盖章</w:t>
            </w:r>
          </w:p>
        </w:tc>
        <w:tc>
          <w:tcPr>
            <w:tcW w:type="dxa" w:w="1661"/>
          </w:tcPr>
          <w:p>
            <w:pPr>
              <w:pStyle w:val="null5"/>
              <w:jc w:val="left"/>
            </w:pPr>
            <w:r>
              <w:rPr>
                <w:rFonts w:ascii="仿宋_GB2312" w:hAnsi="仿宋_GB2312" w:cs="仿宋_GB2312" w:eastAsia="仿宋_GB2312"/>
              </w:rPr>
              <w:t>技术偏离表、开标（报价）一览表、项目实施人员（主要从业人员以及其技术资格）一览表、资格证明材料、封面、产品均为原厂正品承诺函、中小企业声明函、监狱企业证明函、残疾人福利性单位声明函、企业基本概况、法定代表人身份证明、法定代表人授权委托书、关于符合本国产品标准的声明函、产品成本占比承诺函、货物清单（包括产品彩页等）、售后服务能力与承诺、投标（响应）报价明细表、商务偏离表、项目全生命周期成分分析、供应商认为需要提交的其他文件、业绩一览表及证明材料、响应函、不参与串通投标承诺书</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是否按规定提供强制节能产品</w:t>
            </w:r>
          </w:p>
        </w:tc>
        <w:tc>
          <w:tcPr>
            <w:tcW w:type="dxa" w:w="3322"/>
          </w:tcPr>
          <w:p>
            <w:pPr>
              <w:pStyle w:val="null5"/>
              <w:jc w:val="left"/>
            </w:pPr>
            <w:r>
              <w:rPr>
                <w:rFonts w:ascii="仿宋_GB2312" w:hAnsi="仿宋_GB2312" w:cs="仿宋_GB2312" w:eastAsia="仿宋_GB2312"/>
              </w:rPr>
              <w:t>按文件规定提供强制节能产品（如有）</w:t>
            </w:r>
          </w:p>
        </w:tc>
        <w:tc>
          <w:tcPr>
            <w:tcW w:type="dxa" w:w="1661"/>
          </w:tcPr>
          <w:p>
            <w:pPr>
              <w:pStyle w:val="null5"/>
              <w:jc w:val="left"/>
            </w:pPr>
            <w:r>
              <w:rPr>
                <w:rFonts w:ascii="仿宋_GB2312" w:hAnsi="仿宋_GB2312" w:cs="仿宋_GB2312" w:eastAsia="仿宋_GB2312"/>
              </w:rPr>
              <w:t>节能、环境产品</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技术偏离表、商务偏离表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商务偏离表、技术偏离表、招标文件要求提其他必须提供的文件</w:t>
            </w:r>
          </w:p>
        </w:tc>
        <w:tc>
          <w:tcPr>
            <w:tcW w:type="dxa" w:w="1661"/>
          </w:tcPr>
          <w:p>
            <w:pPr>
              <w:pStyle w:val="null5"/>
              <w:jc w:val="left"/>
            </w:pPr>
            <w:r>
              <w:rPr>
                <w:rFonts w:ascii="仿宋_GB2312" w:hAnsi="仿宋_GB2312" w:cs="仿宋_GB2312" w:eastAsia="仿宋_GB2312"/>
              </w:rPr>
              <w:t>技术偏离表、投标（响应）报价明细表、开标（报价）一览表、商务偏离表、产品均为原厂正品承诺函、不参与串通投标承诺书、响应函、法定代表人身份证明、法定代表人授权委托书</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是否符合采购⽂件及法律、法规规定的其他情形</w:t>
            </w:r>
          </w:p>
        </w:tc>
        <w:tc>
          <w:tcPr>
            <w:tcW w:type="dxa" w:w="3322"/>
          </w:tcPr>
          <w:p>
            <w:pPr>
              <w:pStyle w:val="null5"/>
              <w:jc w:val="left"/>
            </w:pPr>
            <w:r>
              <w:rPr>
                <w:rFonts w:ascii="仿宋_GB2312" w:hAnsi="仿宋_GB2312" w:cs="仿宋_GB2312" w:eastAsia="仿宋_GB2312"/>
              </w:rPr>
              <w:t>符合采购⽂件及法律、法规规定的其他情形。</w:t>
            </w:r>
          </w:p>
        </w:tc>
        <w:tc>
          <w:tcPr>
            <w:tcW w:type="dxa" w:w="1661"/>
          </w:tcPr>
          <w:p>
            <w:pPr>
              <w:pStyle w:val="null5"/>
              <w:jc w:val="left"/>
            </w:pPr>
            <w:r>
              <w:rPr>
                <w:rFonts w:ascii="仿宋_GB2312" w:hAnsi="仿宋_GB2312" w:cs="仿宋_GB2312" w:eastAsia="仿宋_GB2312"/>
              </w:rPr>
              <w:t>货物清单（包括产品彩页等）、投标（响应）报价明细表、开标（报价）一览表、供应商认为需要提交的其他文件、资格证明材料、封面</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货物清单（包括产品彩页等）、供应商认为需要提交的其他文件、封面、企业基本概况</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技术部分51.00分</w:t>
            </w:r>
          </w:p>
          <w:p>
            <w:pPr>
              <w:pStyle w:val="null5"/>
            </w:pPr>
            <w:r>
              <w:rPr>
                <w:rFonts w:ascii="仿宋_GB2312" w:hAnsi="仿宋_GB2312" w:cs="仿宋_GB2312" w:eastAsia="仿宋_GB2312"/>
              </w:rPr>
              <w:t>商务部分9.00分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附加分9.10分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磋商小组从以下内容进行打分，有该项内容的得相应分值，每缺一项该项不得分。 （1）技术指标响应：根据供应商所报产品的技术标准与参数配置对磋商要求的响应程度以及技术指标的偏离情况进行评审，所报产品的所有参数配置与技术指标无偏离或正偏离得基准分15分；非实质性技术参数中，重要技术参数（带▲号项）每有一项有负偏离的情况，在评审基准分的基础上减1分；其他技术参数（不带▲号项），每有一项有负偏离的情况，在评审基准分的基础上减0.5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货物清单（包括产品彩页等）</w:t>
            </w:r>
          </w:p>
          <w:p>
            <w:pPr>
              <w:pStyle w:val="null5"/>
            </w:pPr>
            <w:r>
              <w:rPr>
                <w:rFonts w:ascii="仿宋_GB2312" w:hAnsi="仿宋_GB2312" w:cs="仿宋_GB2312" w:eastAsia="仿宋_GB2312"/>
              </w:rPr>
              <w:t>技术偏离表</w:t>
            </w:r>
          </w:p>
        </w:tc>
      </w:tr>
      <w:tr>
        <w:tc>
          <w:tcPr>
            <w:tcW w:type="dxa" w:w="831"/>
            <w:vMerge/>
          </w:tcPr>
          <w:p/>
        </w:tc>
        <w:tc>
          <w:tcPr>
            <w:tcW w:type="dxa" w:w="1661"/>
          </w:tcPr>
          <w:p>
            <w:pPr>
              <w:pStyle w:val="null5"/>
            </w:pPr>
            <w:r>
              <w:rPr>
                <w:rFonts w:ascii="仿宋_GB2312" w:hAnsi="仿宋_GB2312" w:cs="仿宋_GB2312" w:eastAsia="仿宋_GB2312"/>
              </w:rPr>
              <w:t>安装调试方案</w:t>
            </w:r>
          </w:p>
        </w:tc>
        <w:tc>
          <w:tcPr>
            <w:tcW w:type="dxa" w:w="2575"/>
          </w:tcPr>
          <w:p>
            <w:pPr>
              <w:pStyle w:val="null5"/>
            </w:pPr>
            <w:r>
              <w:rPr>
                <w:rFonts w:ascii="仿宋_GB2312" w:hAnsi="仿宋_GB2312" w:cs="仿宋_GB2312" w:eastAsia="仿宋_GB2312"/>
              </w:rPr>
              <w:t>安装调试方案：磋商小组成员根据方案响应情况进行综合评审，酌情打分，本项满分8分。存在瑕疵或不足的以0.5分为单位进行扣减，扣完为止；无此项内容不得分。瑕疵或不足是指（下同）：存在不适用项目实际情况的情形、凭空编造、内容前后不一致、前后逻辑错误、涉及的规范及标准错误、地点区域错误、不符合采购需求、针对性不强等。</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安装调试方案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质量管理措施：磋商小组成员根据方案响应情况进行综合评审，酌情打分，本项满分8分。存在瑕疵或不足的以0.5分为单位进行扣减，扣完为止；无此项内容不得分。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风险控制方案：磋商小组成员根据方案响应情况进行综合评审，酌情打分，本项满分8分。存在瑕疵或不足的以0.5分为单位进行扣减，扣完为止；无此项内容不得分。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应急处理方案：磋商小组成员根据方案响应情况进行综合评审，酌情打分，本项满分6分。存在瑕疵或不足的以0.5分为单位进行扣减，扣完为止；无此项内容不得分。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tcPr>
          <w:p/>
        </w:tc>
        <w:tc>
          <w:tcPr>
            <w:tcW w:type="dxa" w:w="1661"/>
          </w:tcPr>
          <w:p>
            <w:pPr>
              <w:pStyle w:val="null5"/>
            </w:pPr>
            <w:r>
              <w:rPr>
                <w:rFonts w:ascii="仿宋_GB2312" w:hAnsi="仿宋_GB2312" w:cs="仿宋_GB2312" w:eastAsia="仿宋_GB2312"/>
              </w:rPr>
              <w:t>培训及售后服务方案</w:t>
            </w:r>
          </w:p>
        </w:tc>
        <w:tc>
          <w:tcPr>
            <w:tcW w:type="dxa" w:w="2575"/>
          </w:tcPr>
          <w:p>
            <w:pPr>
              <w:pStyle w:val="null5"/>
            </w:pPr>
            <w:r>
              <w:rPr>
                <w:rFonts w:ascii="仿宋_GB2312" w:hAnsi="仿宋_GB2312" w:cs="仿宋_GB2312" w:eastAsia="仿宋_GB2312"/>
              </w:rPr>
              <w:t>培训及售后服务方案：磋商小组成员根据方案响应情况进行综合评审，酌情打分，本项满分6分。存在瑕疵或不足的以0.5分为单位进行扣减，扣完为止；无此项内容不得分。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培训及售后服务方案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至少包含核心产品且核心产品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vMerge/>
          </w:tcPr>
          <w:p/>
        </w:tc>
        <w:tc>
          <w:tcPr>
            <w:tcW w:type="dxa" w:w="1661"/>
          </w:tcPr>
          <w:p>
            <w:pPr>
              <w:pStyle w:val="null5"/>
            </w:pPr>
            <w:r>
              <w:rPr>
                <w:rFonts w:ascii="仿宋_GB2312" w:hAnsi="仿宋_GB2312" w:cs="仿宋_GB2312" w:eastAsia="仿宋_GB2312"/>
              </w:rPr>
              <w:t>售后服务承诺</w:t>
            </w:r>
          </w:p>
        </w:tc>
        <w:tc>
          <w:tcPr>
            <w:tcW w:type="dxa" w:w="2575"/>
          </w:tcPr>
          <w:p>
            <w:pPr>
              <w:pStyle w:val="null5"/>
            </w:pPr>
            <w:r>
              <w:rPr>
                <w:rFonts w:ascii="仿宋_GB2312" w:hAnsi="仿宋_GB2312" w:cs="仿宋_GB2312" w:eastAsia="仿宋_GB2312"/>
              </w:rPr>
              <w:t>（1）故障支持与解决： 供应商提供7×24小时(全天候)响应，接到故障通知后在12小时内到达并解决故障，得1分;供应商提供7×24小时(全天候)响应，接到故障通知后在18小时内到达并解决故障，得0.5分。 （2）供应商承诺所投产品（设备）整体系统质量免费保修（包括人工和部件）、上门服务年限均为2年（含）以上，得1分，否则不得分。 （3）供应商为采购人专门建立备品、备件库，设备（软件）出现故障，需要返厂维修时，提供备品备件的，得1分；否则不得分。 以上售后服务承诺须按磋商文件编制要求全部编制在响应文件中并加盖供应商电子签章，否则评委不予计分。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全生命周期成本合理性</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项目全生命周期成分分析</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山东石油化工学院计算机学科平台升级与计算中心建设项目响应报价低于全部通过符合性审查供应商响应报价平均值50%的，即山东石油化工学院计算机学科平台升级与计算中心建设项目响应报价&lt;全部通过符合性审查供应商响应报价平均值×50%。 （2）山东石油化工学院计算机学科平台升级与计算中心建设项目响应报价低于通过符合性审查且报价次低供应商响应报价50%的，即山东石油化工学院计算机学科平台升级与计算中心建设项目响应报价&lt;通过符合性审查且报价次低供应商响应报价×50%。 （3）山东石油化工学院计算机学科平台升级与计算中心建设项目响应报价低于最高限价45%的，即山东石油化工学院计算机学科平台升级与计算中心建设项目响应报价&lt;最高限价×45%。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采购人在评标办法中确定价格分值占总分值的比重（权重）为40%（即价格权值为40%）。 本招标项目按照低价优先法计算报价得分，即满足招标文件要求且投标价格最低的投标报价为评标基准价，其价格分为满分。其他投标人的价格分统一按照下列公式计算： 投标报价得分=（评标基准价／投标报价）×价格权值×100 投标人投标报价得分按“四舍五入”精确到小数点后两位。 投标报价最高限价与评标基准价之间为投标报价有效范围。</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节能、环保产品评分项（如有）</w:t>
            </w:r>
          </w:p>
        </w:tc>
        <w:tc>
          <w:tcPr>
            <w:tcW w:type="dxa" w:w="2575"/>
          </w:tcPr>
          <w:p>
            <w:pPr>
              <w:pStyle w:val="null5"/>
            </w:pPr>
            <w:r>
              <w:rPr>
                <w:rFonts w:ascii="仿宋_GB2312" w:hAnsi="仿宋_GB2312" w:cs="仿宋_GB2312" w:eastAsia="仿宋_GB2312"/>
              </w:rPr>
              <w:t>若响应的货物为品目清单内的节能或环境标志产品（不含品目清单强制采购范围产品），在其报价分值基础上分别根据节能或环境标志产品占最后总报价相应比例加分，计算公式如下： 报价部分加分=【（节能产品报价＋环境标志产品报价）/总报价】×价格评审总分值40×5%。 若响应的货物为品目清单内的节能或环境标志产品（不含品目清单强制采购范围产品），在其技术分值基础上分别根据节能或环境标志产品占最后总报价相应比例加分，计算公式如下： 技术部分加分=【（节能产品报价＋环境标志产品报价）/总报价】×技术评审总分值51×5%。</w:t>
            </w:r>
          </w:p>
        </w:tc>
        <w:tc>
          <w:tcPr>
            <w:tcW w:type="dxa" w:w="831"/>
          </w:tcPr>
          <w:p>
            <w:pPr>
              <w:pStyle w:val="null5"/>
              <w:jc w:val="center"/>
            </w:pPr>
            <w:r>
              <w:rPr>
                <w:rFonts w:ascii="仿宋_GB2312" w:hAnsi="仿宋_GB2312" w:cs="仿宋_GB2312" w:eastAsia="仿宋_GB2312"/>
              </w:rPr>
              <w:t>9.1000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节能、环境产品</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投标（响应）报价明细表、开标（报价）一览表、中小企业声明函、监狱企业证明函、残疾人福利性单位声明函</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本国产品相关价格扣除： 根据《国务院办公厅关于在政府采购中实施本国产品标准及相关政策的通知》（国办发〔2025〕34号）的规定： （1）当采购项目或者采购包中为单一产品时：投标人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投标人为该采购项目或者采购包提供的符合本国产品标准的产品成本之和占该投标人提供的全部产品成本之和的比例达到80%（以提供产品成本占比承诺函为准）以上且投标人其提供的本国产品出具符合要求的《关于符合本国产品标准的声明函》（格式详见附件）或财政部会同有关部门规定的有关证明文件的，依法对该投标人提供的全部产品给予价格评审优惠，即对该投标人提供的全部产品的总报价给予20%的价格扣除，用扣除后的价格参与评审。 注：（1）相关价格评审扣除优惠，均应该在投标人原始报价基础上计算。（2）下列产品不适用本国产品标准：房屋和构筑物；文物、陈列品、图书、档案；特种动植物；农林牧渔初级产品；矿与矿物；电力、燃气、热力、水；食品、饮料及烟草原料；无形资产。（3）仅有本国产品参与竞争的政府采购项目，不执行价格扣除。</w:t>
            </w:r>
          </w:p>
        </w:tc>
        <w:tc>
          <w:tcPr>
            <w:tcW w:type="dxa" w:w="1910"/>
          </w:tcPr>
          <w:p>
            <w:pPr>
              <w:pStyle w:val="null5"/>
              <w:jc w:val="left"/>
            </w:pPr>
            <w:r>
              <w:rPr>
                <w:rFonts w:ascii="仿宋_GB2312" w:hAnsi="仿宋_GB2312" w:cs="仿宋_GB2312" w:eastAsia="仿宋_GB2312"/>
              </w:rPr>
              <w:t>关于符合本国产品标准的声明函、产品成本占比承诺函、投标（响应）报价明细表、开标（报价）一览表</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559"/>
          </w:tcPr>
          <w:p>
            <w:pPr>
              <w:pStyle w:val="null5"/>
              <w:jc w:val="left"/>
            </w:pPr>
            <w:r>
              <w:rPr>
                <w:rFonts w:ascii="仿宋_GB2312" w:hAnsi="仿宋_GB2312" w:cs="仿宋_GB2312" w:eastAsia="仿宋_GB2312"/>
              </w:rPr>
              <w:t>1</w:t>
            </w:r>
          </w:p>
        </w:tc>
        <w:tc>
          <w:tcPr>
            <w:tcW w:type="dxa" w:w="2396"/>
          </w:tcPr>
          <w:p>
            <w:pPr>
              <w:pStyle w:val="null5"/>
              <w:jc w:val="left"/>
            </w:pPr>
            <w:r>
              <w:rPr>
                <w:rFonts w:ascii="仿宋_GB2312" w:hAnsi="仿宋_GB2312" w:cs="仿宋_GB2312" w:eastAsia="仿宋_GB2312"/>
              </w:rPr>
              <w:t>优先采购节能产品</w:t>
            </w:r>
          </w:p>
        </w:tc>
        <w:tc>
          <w:tcPr>
            <w:tcW w:type="dxa" w:w="2396"/>
          </w:tcPr>
          <w:p>
            <w:pPr>
              <w:pStyle w:val="null5"/>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5"/>
              <w:jc w:val="left"/>
            </w:pPr>
            <w:r>
              <w:rPr>
                <w:rFonts w:ascii="仿宋_GB2312" w:hAnsi="仿宋_GB2312" w:cs="仿宋_GB2312" w:eastAsia="仿宋_GB2312"/>
              </w:rPr>
              <w:t>节能、环境产品</w:t>
            </w:r>
          </w:p>
        </w:tc>
      </w:tr>
      <w:tr>
        <w:tc>
          <w:tcPr>
            <w:tcW w:type="dxa" w:w="559"/>
          </w:tcPr>
          <w:p>
            <w:pPr>
              <w:pStyle w:val="null5"/>
              <w:jc w:val="left"/>
            </w:pPr>
            <w:r>
              <w:rPr>
                <w:rFonts w:ascii="仿宋_GB2312" w:hAnsi="仿宋_GB2312" w:cs="仿宋_GB2312" w:eastAsia="仿宋_GB2312"/>
              </w:rPr>
              <w:t>2</w:t>
            </w:r>
          </w:p>
        </w:tc>
        <w:tc>
          <w:tcPr>
            <w:tcW w:type="dxa" w:w="2396"/>
          </w:tcPr>
          <w:p>
            <w:pPr>
              <w:pStyle w:val="null5"/>
              <w:jc w:val="left"/>
            </w:pPr>
            <w:r>
              <w:rPr>
                <w:rFonts w:ascii="仿宋_GB2312" w:hAnsi="仿宋_GB2312" w:cs="仿宋_GB2312" w:eastAsia="仿宋_GB2312"/>
              </w:rPr>
              <w:t>优先采购环境标志产品</w:t>
            </w:r>
          </w:p>
        </w:tc>
        <w:tc>
          <w:tcPr>
            <w:tcW w:type="dxa" w:w="2396"/>
          </w:tcPr>
          <w:p>
            <w:pPr>
              <w:pStyle w:val="null5"/>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5"/>
              <w:jc w:val="left"/>
            </w:pPr>
            <w:r>
              <w:rPr>
                <w:rFonts w:ascii="仿宋_GB2312" w:hAnsi="仿宋_GB2312" w:cs="仿宋_GB2312" w:eastAsia="仿宋_GB2312"/>
              </w:rPr>
              <w:t>节能、环境产品</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石油化工学院计算机学科平台升级与计算中心建设项目响应报价低于全部通过符合性审查供应商响应报价平均值50%的，即山东石油化工学院计算机学科平台升级与计算中心建设项目响应报价&lt;全部通过符合性审查供应商响应报价平均值×50%。</w:t>
              <w:br/>
              <w:t>（2）山东石油化工学院计算机学科平台升级与计算中心建设项目响应报价低于通过符合性审查且报价次低供应商响应报价50%的，即山东石油化工学院计算机学科平台升级与计算中心建设项目响应报价&lt;通过符合性审查且报价次低供应商响应报价×50%。</w:t>
              <w:br/>
              <w:t>（3）山东石油化工学院计算机学科平台升级与计算中心建设项目响应报价低于最高限价45%的，即山东石油化工学院计算机学科平台升级与计算中心建设项目响应报价&lt;最高限价×45%。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大模型计算卡等设备</w:t>
            </w:r>
          </w:p>
        </w:tc>
        <w:tc>
          <w:tcPr>
            <w:tcW w:type="dxa" w:w="2076"/>
          </w:tcPr>
          <w:p>
            <w:pPr>
              <w:pStyle w:val="null5"/>
              <w:jc w:val="left"/>
            </w:pPr>
            <w:r>
              <w:rPr>
                <w:rFonts w:ascii="仿宋_GB2312" w:hAnsi="仿宋_GB2312" w:cs="仿宋_GB2312" w:eastAsia="仿宋_GB2312"/>
              </w:rPr>
              <w:t>大模型国产计算节点</w:t>
            </w:r>
          </w:p>
        </w:tc>
      </w:tr>
      <w:tr>
        <w:tc>
          <w:tcPr>
            <w:tcW w:type="dxa" w:w="1038"/>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大模型计算卡等设备</w:t>
            </w:r>
          </w:p>
        </w:tc>
        <w:tc>
          <w:tcPr>
            <w:tcW w:type="dxa" w:w="2076"/>
          </w:tcPr>
          <w:p>
            <w:pPr>
              <w:pStyle w:val="null5"/>
              <w:jc w:val="left"/>
            </w:pPr>
            <w:r>
              <w:rPr>
                <w:rFonts w:ascii="仿宋_GB2312" w:hAnsi="仿宋_GB2312" w:cs="仿宋_GB2312" w:eastAsia="仿宋_GB2312"/>
              </w:rPr>
              <w:t>大模型计算卡</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详见附件：资格证明材料</w:t>
      </w:r>
    </w:p>
    <w:p>
      <w:pPr>
        <w:pStyle w:val="null5"/>
        <w:ind w:firstLine="960"/>
        <w:jc w:val="left"/>
      </w:pPr>
      <w:r>
        <w:rPr>
          <w:rFonts w:ascii="仿宋_GB2312" w:hAnsi="仿宋_GB2312" w:cs="仿宋_GB2312" w:eastAsia="仿宋_GB2312"/>
        </w:rPr>
        <w:t>详见附件：企业基本概况</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详见附件：售后服务能力与承诺</w:t>
      </w:r>
    </w:p>
    <w:p>
      <w:pPr>
        <w:pStyle w:val="null5"/>
        <w:ind w:firstLine="960"/>
        <w:jc w:val="left"/>
      </w:pPr>
      <w:r>
        <w:rPr>
          <w:rFonts w:ascii="仿宋_GB2312" w:hAnsi="仿宋_GB2312" w:cs="仿宋_GB2312" w:eastAsia="仿宋_GB2312"/>
        </w:rPr>
        <w:t>详见附件：节能、环境产品</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详见附件：中小企业声明函、监狱企业证明函、残疾人福利性单位声明函</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详见附件：货物清单（包括产品彩页等）</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详见附件：安装调试方案</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详见附件：培训及售后服务方案</w:t>
      </w:r>
    </w:p>
    <w:p>
      <w:pPr>
        <w:pStyle w:val="null5"/>
        <w:ind w:firstLine="960"/>
        <w:jc w:val="left"/>
      </w:pPr>
      <w:r>
        <w:rPr>
          <w:rFonts w:ascii="仿宋_GB2312" w:hAnsi="仿宋_GB2312" w:cs="仿宋_GB2312" w:eastAsia="仿宋_GB2312"/>
        </w:rPr>
        <w:t>详见附件：项目实施人员（主要从业人员以及其技术资格）一览表</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