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441901-2026-05194</w:t>
      </w:r>
    </w:p>
    <w:p>
      <w:pPr>
        <w:pStyle w:val="null3"/>
        <w:jc w:val="center"/>
        <w:outlineLvl w:val="3"/>
      </w:pPr>
      <w:r>
        <w:rPr>
          <w:sz w:val="24"/>
          <w:b/>
        </w:rPr>
        <w:t>采购项目编号：</w:t>
      </w:r>
      <w:r>
        <w:rPr>
          <w:sz w:val="24"/>
          <w:b/>
        </w:rPr>
        <w:t>441901-2026-05194</w:t>
      </w:r>
    </w:p>
    <w:p>
      <w:pPr>
        <w:pStyle w:val="null3"/>
        <w:jc w:val="center"/>
        <w:outlineLvl w:val="3"/>
      </w:pPr>
      <w:r>
        <w:rPr>
          <w:sz w:val="24"/>
          <w:b/>
        </w:rPr>
        <w:t>项目名称：</w:t>
      </w:r>
      <w:r>
        <w:rPr>
          <w:sz w:val="24"/>
          <w:b/>
        </w:rPr>
        <w:t>香港城市大学（东莞）2026年计算机科研设备（第一批）</w:t>
      </w:r>
    </w:p>
    <w:p>
      <w:pPr>
        <w:pStyle w:val="null3"/>
        <w:jc w:val="center"/>
        <w:outlineLvl w:val="3"/>
      </w:pPr>
      <w:r>
        <w:rPr>
          <w:sz w:val="24"/>
          <w:b/>
        </w:rPr>
        <w:t>采购人：</w:t>
      </w:r>
      <w:r>
        <w:rPr>
          <w:sz w:val="24"/>
          <w:b/>
        </w:rPr>
        <w:t>香港城市大学（东莞）</w:t>
      </w:r>
    </w:p>
    <w:p>
      <w:pPr>
        <w:pStyle w:val="null3"/>
        <w:jc w:val="center"/>
        <w:outlineLvl w:val="3"/>
      </w:pPr>
      <w:r>
        <w:rPr>
          <w:sz w:val="24"/>
          <w:b/>
        </w:rPr>
        <w:t>采购代理机构：</w:t>
      </w:r>
      <w:r>
        <w:rPr>
          <w:sz w:val="24"/>
          <w:b/>
        </w:rPr>
        <w:t>广东和丰招标代理有限公司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广东和丰招标代理有限公司</w:t>
      </w:r>
      <w:r>
        <w:rPr/>
        <w:t>受</w:t>
      </w:r>
      <w:r>
        <w:rPr/>
        <w:t>香港城市大学（东莞）</w:t>
      </w:r>
      <w:r>
        <w:rPr/>
        <w:t>的委托，采用</w:t>
      </w:r>
      <w:r>
        <w:rPr/>
        <w:t>公开招标</w:t>
      </w:r>
      <w:r>
        <w:rPr/>
        <w:t>方式组织采购</w:t>
      </w:r>
      <w:r>
        <w:rPr/>
        <w:t>香港城市大学（东莞）2026年计算机科研设备（第一批）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香港城市大学（东莞）2026年计算机科研设备（第一批）</w:t>
      </w:r>
    </w:p>
    <w:p>
      <w:pPr>
        <w:pStyle w:val="null3"/>
        <w:ind w:firstLine="480"/>
      </w:pPr>
      <w:r>
        <w:rPr/>
        <w:t>采购计划编号：</w:t>
      </w:r>
      <w:r>
        <w:rPr/>
        <w:t>441901-2026-05194</w:t>
      </w:r>
    </w:p>
    <w:p>
      <w:pPr>
        <w:pStyle w:val="null3"/>
        <w:ind w:firstLine="480"/>
      </w:pPr>
      <w:r>
        <w:rPr/>
        <w:t>采购项目编号：</w:t>
      </w:r>
      <w:r>
        <w:rPr/>
        <w:t>441901-2026-05194</w:t>
      </w:r>
    </w:p>
    <w:p>
      <w:pPr>
        <w:pStyle w:val="null3"/>
        <w:ind w:firstLine="480"/>
      </w:pPr>
      <w:r>
        <w:rPr/>
        <w:t>采购方式：</w:t>
      </w:r>
      <w:r>
        <w:rPr/>
        <w:t>公开招标</w:t>
      </w:r>
    </w:p>
    <w:p>
      <w:pPr>
        <w:pStyle w:val="null3"/>
        <w:ind w:firstLine="480"/>
      </w:pPr>
      <w:r>
        <w:rPr/>
        <w:t>预算金额：</w:t>
      </w:r>
      <w:r>
        <w:rPr/>
        <w:t>23,672,000.00</w:t>
      </w:r>
      <w:r>
        <w:rPr/>
        <w:t>元</w:t>
      </w:r>
    </w:p>
    <w:p>
      <w:pPr>
        <w:pStyle w:val="null3"/>
        <w:outlineLvl w:val="3"/>
      </w:pPr>
      <w:r>
        <w:rPr>
          <w:sz w:val="24"/>
          <w:b/>
        </w:rPr>
        <w:t>2.项目内容及需求情况（采购项目技术规格、参数及要求）</w:t>
      </w:r>
    </w:p>
    <w:p>
      <w:pPr>
        <w:pStyle w:val="null3"/>
      </w:pPr>
      <w:r>
        <w:rPr/>
        <w:t>采购包1(香港城市大学（东莞）2026年计算机科研设备（第一批）（采购包1）):</w:t>
      </w:r>
    </w:p>
    <w:p>
      <w:pPr>
        <w:pStyle w:val="null3"/>
      </w:pPr>
      <w:r>
        <w:rPr/>
        <w:t>采购包预算金额：8,048,000.00元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图形工作站</w:t>
            </w:r>
          </w:p>
        </w:tc>
        <w:tc>
          <w:tcPr>
            <w:tcW w:type="dxa" w:w="2136"/>
          </w:tcPr>
          <w:p>
            <w:pPr>
              <w:pStyle w:val="null3"/>
            </w:pPr>
            <w:r>
              <w:rPr/>
              <w:t>大规模基础模型研究算力平台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服务器</w:t>
            </w:r>
          </w:p>
        </w:tc>
        <w:tc>
          <w:tcPr>
            <w:tcW w:type="dxa" w:w="2136"/>
          </w:tcPr>
          <w:p>
            <w:pPr>
              <w:pStyle w:val="null3"/>
            </w:pPr>
            <w:r>
              <w:rPr/>
              <w:t>高吞吐量异构计算平台</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图形工作站</w:t>
            </w:r>
          </w:p>
        </w:tc>
        <w:tc>
          <w:tcPr>
            <w:tcW w:type="dxa" w:w="2136"/>
          </w:tcPr>
          <w:p>
            <w:pPr>
              <w:pStyle w:val="null3"/>
            </w:pPr>
            <w:r>
              <w:rPr/>
              <w:t>专业图形与AI工作站</w:t>
            </w:r>
          </w:p>
        </w:tc>
        <w:tc>
          <w:tcPr>
            <w:tcW w:type="dxa" w:w="1187"/>
          </w:tcPr>
          <w:p>
            <w:pPr>
              <w:pStyle w:val="null3"/>
            </w:pPr>
            <w:r>
              <w:rPr/>
              <w:t>16(台)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其他终端设备</w:t>
            </w:r>
          </w:p>
        </w:tc>
        <w:tc>
          <w:tcPr>
            <w:tcW w:type="dxa" w:w="2136"/>
          </w:tcPr>
          <w:p>
            <w:pPr>
              <w:pStyle w:val="null3"/>
            </w:pPr>
            <w:r>
              <w:rPr/>
              <w:t>边缘AI平台（核心端侧设备）</w:t>
            </w:r>
          </w:p>
        </w:tc>
        <w:tc>
          <w:tcPr>
            <w:tcW w:type="dxa" w:w="1187"/>
          </w:tcPr>
          <w:p>
            <w:pPr>
              <w:pStyle w:val="null3"/>
            </w:pPr>
            <w:r>
              <w:rPr/>
              <w:t>30(台)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液晶显示器</w:t>
            </w:r>
          </w:p>
        </w:tc>
        <w:tc>
          <w:tcPr>
            <w:tcW w:type="dxa" w:w="2136"/>
          </w:tcPr>
          <w:p>
            <w:pPr>
              <w:pStyle w:val="null3"/>
            </w:pPr>
            <w:r>
              <w:rPr/>
              <w:t>高分辨率显示器</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台式计算机</w:t>
            </w:r>
          </w:p>
        </w:tc>
        <w:tc>
          <w:tcPr>
            <w:tcW w:type="dxa" w:w="2136"/>
          </w:tcPr>
          <w:p>
            <w:pPr>
              <w:pStyle w:val="null3"/>
            </w:pPr>
            <w:r>
              <w:rPr/>
              <w:t>AI服务器管理前端</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台式计算机</w:t>
            </w:r>
          </w:p>
        </w:tc>
        <w:tc>
          <w:tcPr>
            <w:tcW w:type="dxa" w:w="2136"/>
          </w:tcPr>
          <w:p>
            <w:pPr>
              <w:pStyle w:val="null3"/>
            </w:pPr>
            <w:r>
              <w:rPr/>
              <w:t>实验室共享终端</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电子白板</w:t>
            </w:r>
          </w:p>
        </w:tc>
        <w:tc>
          <w:tcPr>
            <w:tcW w:type="dxa" w:w="2136"/>
          </w:tcPr>
          <w:p>
            <w:pPr>
              <w:pStyle w:val="null3"/>
            </w:pPr>
            <w:r>
              <w:rPr/>
              <w:t>电子白板智慧屏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pPr>
      <w:r>
        <w:rPr/>
        <w:t>采购包2(香港城市大学（东莞）2026年计算机科研设备（第一批）（采购包2）):</w:t>
      </w:r>
    </w:p>
    <w:p>
      <w:pPr>
        <w:pStyle w:val="null3"/>
      </w:pPr>
      <w:r>
        <w:rPr/>
        <w:t>采购包预算金额：9,264,000.00元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服务器</w:t>
            </w:r>
          </w:p>
        </w:tc>
        <w:tc>
          <w:tcPr>
            <w:tcW w:type="dxa" w:w="2136"/>
          </w:tcPr>
          <w:p>
            <w:pPr>
              <w:pStyle w:val="null3"/>
            </w:pPr>
            <w:r>
              <w:rPr/>
              <w:t>大规模基础模型研究算力平台</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服务器</w:t>
            </w:r>
          </w:p>
        </w:tc>
        <w:tc>
          <w:tcPr>
            <w:tcW w:type="dxa" w:w="2136"/>
          </w:tcPr>
          <w:p>
            <w:pPr>
              <w:pStyle w:val="null3"/>
            </w:pPr>
            <w:r>
              <w:rPr/>
              <w:t>高吞吐量异构计算平台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测绘仪器</w:t>
            </w:r>
          </w:p>
        </w:tc>
        <w:tc>
          <w:tcPr>
            <w:tcW w:type="dxa" w:w="2136"/>
          </w:tcPr>
          <w:p>
            <w:pPr>
              <w:pStyle w:val="null3"/>
            </w:pPr>
            <w:r>
              <w:rPr/>
              <w:t>激光雷达传感器系统</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液晶显示器</w:t>
            </w:r>
          </w:p>
        </w:tc>
        <w:tc>
          <w:tcPr>
            <w:tcW w:type="dxa" w:w="2136"/>
          </w:tcPr>
          <w:p>
            <w:pPr>
              <w:pStyle w:val="null3"/>
            </w:pPr>
            <w:r>
              <w:rPr/>
              <w:t>高分辨率显示器</w:t>
            </w:r>
          </w:p>
        </w:tc>
        <w:tc>
          <w:tcPr>
            <w:tcW w:type="dxa" w:w="1187"/>
          </w:tcPr>
          <w:p>
            <w:pPr>
              <w:pStyle w:val="null3"/>
            </w:pPr>
            <w:r>
              <w:rPr/>
              <w:t>32(台)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pPr>
      <w:r>
        <w:rPr/>
        <w:t>采购包3(香港城市大学（东莞）2026年计算机科研设备（第一批）（采购包3）):</w:t>
      </w:r>
    </w:p>
    <w:p>
      <w:pPr>
        <w:pStyle w:val="null3"/>
      </w:pPr>
      <w:r>
        <w:rPr/>
        <w:t>采购包预算金额：6,360,000.00元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服务器</w:t>
            </w:r>
          </w:p>
        </w:tc>
        <w:tc>
          <w:tcPr>
            <w:tcW w:type="dxa" w:w="2136"/>
          </w:tcPr>
          <w:p>
            <w:pPr>
              <w:pStyle w:val="null3"/>
            </w:pPr>
            <w:r>
              <w:rPr/>
              <w:t>大规模基础模型研究算力平台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服务器</w:t>
            </w:r>
          </w:p>
        </w:tc>
        <w:tc>
          <w:tcPr>
            <w:tcW w:type="dxa" w:w="2136"/>
          </w:tcPr>
          <w:p>
            <w:pPr>
              <w:pStyle w:val="null3"/>
            </w:pPr>
            <w:r>
              <w:rPr/>
              <w:t>高吞吐量异构计算平台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服务器</w:t>
            </w:r>
          </w:p>
        </w:tc>
        <w:tc>
          <w:tcPr>
            <w:tcW w:type="dxa" w:w="2136"/>
          </w:tcPr>
          <w:p>
            <w:pPr>
              <w:pStyle w:val="null3"/>
            </w:pPr>
            <w:r>
              <w:rPr/>
              <w:t>智能算法仿真与验证平台</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参照“采购需求”中的《资格条件承诺函》格式（或自拟格式）提供相关承诺。或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p>
      <w:pPr>
        <w:pStyle w:val="null3"/>
      </w:pPr>
      <w:r>
        <w:rPr/>
        <w:t>4）履行合同所必需的设备和专业技术能力：参照“采购需求”中的《资格条件承诺函》格式（或自拟格式）提供相关承诺。或提供履行合同所必需的设备和专业技术能力的证明资料。</w:t>
      </w:r>
    </w:p>
    <w:p>
      <w:pPr>
        <w:pStyle w:val="null3"/>
      </w:pPr>
      <w:r>
        <w:rPr/>
        <w:t>5）参加采购活动前3年内，在经营活动中没有重大违法记录：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采购包1（香港城市大学（东莞）2026年计算机科研设备（第一批）（采购包1））：</w:t>
      </w:r>
      <w:r>
        <w:rPr/>
        <w:t>本采购包不专门面向中小企业采购。</w:t>
      </w:r>
    </w:p>
    <w:p>
      <w:pPr>
        <w:pStyle w:val="null3"/>
        <w:jc w:val="left"/>
      </w:pPr>
      <w:r>
        <w:rPr/>
        <w:t>采购包2（香港城市大学（东莞）2026年计算机科研设备（第一批）（采购包2））：</w:t>
      </w:r>
      <w:r>
        <w:rPr/>
        <w:t>本采购包不专门面向中小企业采购。</w:t>
      </w:r>
    </w:p>
    <w:p>
      <w:pPr>
        <w:pStyle w:val="null3"/>
        <w:jc w:val="left"/>
      </w:pPr>
      <w:r>
        <w:rPr/>
        <w:t>采购包3（香港城市大学（东莞）2026年计算机科研设备（第一批）（采购包3））：</w:t>
      </w:r>
      <w:r>
        <w:rPr/>
        <w:t>本采购包不专门面向中小企业采购。</w:t>
      </w:r>
    </w:p>
    <w:p>
      <w:pPr>
        <w:pStyle w:val="null3"/>
        <w:outlineLvl w:val="3"/>
      </w:pPr>
      <w:r>
        <w:rPr>
          <w:sz w:val="24"/>
          <w:b/>
        </w:rPr>
        <w:t>3.本项目特定的资格要求：</w:t>
      </w:r>
    </w:p>
    <w:p>
      <w:pPr>
        <w:pStyle w:val="null3"/>
      </w:pPr>
      <w:r>
        <w:rPr/>
        <w:t>采购包1（香港城市大学（东莞）2026年计算机科研设备（第一批）（采购包1））：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采购包2（香港城市大学（东莞）2026年计算机科研设备（第一批）（采购包2））：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采购包3（香港城市大学（东莞）2026年计算机科研设备（第一批）（采购包3））：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广东和丰招标代理有限公司网站(http://www.hfzbdl.com)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香港城市大学（东莞）</w:t>
      </w:r>
    </w:p>
    <w:p>
      <w:pPr>
        <w:pStyle w:val="null3"/>
        <w:ind w:firstLine="480"/>
      </w:pPr>
      <w:r>
        <w:rPr/>
        <w:t xml:space="preserve"> 地址：</w:t>
      </w:r>
      <w:r>
        <w:rPr/>
        <w:t>广东省东莞市松山湖园区高雄路8号香港城市大学（东莞）</w:t>
      </w:r>
    </w:p>
    <w:p>
      <w:pPr>
        <w:pStyle w:val="null3"/>
        <w:ind w:firstLine="480"/>
      </w:pPr>
      <w:r>
        <w:rPr/>
        <w:t xml:space="preserve"> 联系方式：</w:t>
      </w:r>
      <w:r>
        <w:rPr/>
        <w:t>0769-21183091</w:t>
      </w:r>
    </w:p>
    <w:p>
      <w:pPr>
        <w:pStyle w:val="null3"/>
        <w:outlineLvl w:val="3"/>
      </w:pPr>
      <w:r>
        <w:rPr>
          <w:sz w:val="24"/>
          <w:b/>
        </w:rPr>
        <w:t xml:space="preserve"> 2.采购代理机构信息</w:t>
      </w:r>
    </w:p>
    <w:p>
      <w:pPr>
        <w:pStyle w:val="null3"/>
        <w:ind w:firstLine="480"/>
      </w:pPr>
      <w:r>
        <w:rPr/>
        <w:t xml:space="preserve"> 名称：</w:t>
      </w:r>
      <w:r>
        <w:rPr/>
        <w:t>广东和丰招标代理有限公司</w:t>
      </w:r>
    </w:p>
    <w:p>
      <w:pPr>
        <w:pStyle w:val="null3"/>
        <w:ind w:firstLine="480"/>
      </w:pPr>
      <w:r>
        <w:rPr/>
        <w:t xml:space="preserve"> 地址：</w:t>
      </w:r>
      <w:r>
        <w:rPr/>
        <w:t>广东省东莞市南城街道鸿禧中心B座413</w:t>
      </w:r>
    </w:p>
    <w:p>
      <w:pPr>
        <w:pStyle w:val="null3"/>
        <w:ind w:firstLine="480"/>
      </w:pPr>
      <w:r>
        <w:rPr/>
        <w:t xml:space="preserve"> 联系方式：</w:t>
      </w:r>
      <w:r>
        <w:rPr/>
        <w:t>0769-28681631</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0769-28681631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广东和丰招标代理有限公司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本项目共有</w:t>
      </w:r>
      <w:r>
        <w:rPr>
          <w:sz w:val="20"/>
        </w:rPr>
        <w:t>3</w:t>
      </w:r>
      <w:r>
        <w:rPr>
          <w:sz w:val="20"/>
        </w:rPr>
        <w:t>个采购包，各采购包具体采购内容详见本章对应包号的内容。</w:t>
      </w:r>
    </w:p>
    <w:p>
      <w:pPr>
        <w:pStyle w:val="null3"/>
        <w:ind w:firstLine="418"/>
      </w:pPr>
      <w:r>
        <w:rPr>
          <w:sz w:val="20"/>
        </w:rPr>
        <w:t>投标人应针对本项目所投采购包的内容及特点提供项目实施方案</w:t>
      </w:r>
      <w:r>
        <w:rPr>
          <w:sz w:val="20"/>
        </w:rPr>
        <w:t>(包括但不限于供货进度方案、安装调试方案、其他服务承诺方案等)、质量保证措施及方案（包括但不限于质量控制、采购、运输、存储等环节的质量控制方案、质量检验流程等）、售后服务方案（包括但不限于售后服务计划、售后服务人员组织架构、故障解决方案、备品备件情况等）。</w:t>
      </w:r>
    </w:p>
    <w:p>
      <w:pPr>
        <w:pStyle w:val="null3"/>
      </w:pPr>
      <w:r>
        <w:rPr>
          <w:sz w:val="20"/>
          <w:b/>
        </w:rPr>
        <w:t>二、各采购包适用的附件</w:t>
      </w:r>
    </w:p>
    <w:p>
      <w:pPr>
        <w:pStyle w:val="null3"/>
        <w:ind w:firstLine="420"/>
      </w:pPr>
      <w:r>
        <w:rPr>
          <w:sz w:val="20"/>
          <w:b/>
        </w:rPr>
        <w:t>附件</w:t>
      </w:r>
      <w:r>
        <w:rPr>
          <w:sz w:val="20"/>
          <w:b/>
        </w:rPr>
        <w:t>1：《资格条件承诺函》格式</w:t>
      </w:r>
    </w:p>
    <w:p>
      <w:pPr>
        <w:pStyle w:val="null3"/>
        <w:jc w:val="center"/>
      </w:pPr>
      <w:r>
        <w:rPr>
          <w:sz w:val="20"/>
          <w:b/>
        </w:rPr>
        <w:t>资格条件承诺函</w:t>
      </w:r>
    </w:p>
    <w:p>
      <w:pPr>
        <w:pStyle w:val="null3"/>
        <w:ind w:firstLine="420"/>
        <w:jc w:val="both"/>
      </w:pPr>
      <w:r>
        <w:rPr>
          <w:sz w:val="20"/>
        </w:rPr>
        <w:t>我方</w:t>
      </w:r>
      <w:r>
        <w:rPr>
          <w:sz w:val="20"/>
          <w:u w:val="single"/>
        </w:rPr>
        <w:t>（供应商名称）</w:t>
      </w:r>
      <w:r>
        <w:rPr>
          <w:sz w:val="20"/>
        </w:rPr>
        <w:t>符合《中华人民共和国政府采购法》第二十二条第一款第（二）项、第（三）项、第（四）项、第（五）项规定条件，具体包括：</w:t>
      </w:r>
    </w:p>
    <w:p>
      <w:pPr>
        <w:pStyle w:val="null3"/>
        <w:ind w:firstLine="420"/>
        <w:jc w:val="both"/>
      </w:pPr>
      <w:r>
        <w:rPr>
          <w:sz w:val="20"/>
        </w:rPr>
        <w:t>1.具有良好的商业信誉和健全的财务会计制度；</w:t>
      </w:r>
    </w:p>
    <w:p>
      <w:pPr>
        <w:pStyle w:val="null3"/>
        <w:ind w:firstLine="420"/>
        <w:jc w:val="both"/>
      </w:pPr>
      <w:r>
        <w:rPr>
          <w:sz w:val="20"/>
        </w:rPr>
        <w:t>2.具有履行合同所必需的设备和专业技术能力；</w:t>
      </w:r>
    </w:p>
    <w:p>
      <w:pPr>
        <w:pStyle w:val="null3"/>
        <w:ind w:firstLine="420"/>
        <w:jc w:val="both"/>
      </w:pPr>
      <w:r>
        <w:rPr>
          <w:sz w:val="20"/>
        </w:rPr>
        <w:t>3.具有依法缴纳税收和社会保障资金的良好记录；</w:t>
      </w:r>
    </w:p>
    <w:p>
      <w:pPr>
        <w:pStyle w:val="null3"/>
        <w:ind w:firstLine="420"/>
        <w:jc w:val="both"/>
      </w:pPr>
      <w:r>
        <w:rPr>
          <w:sz w:val="20"/>
        </w:rPr>
        <w:t>4.参加政府采购活动前三年内，在经营活动中没有重大违法记录。</w:t>
      </w:r>
    </w:p>
    <w:p>
      <w:pPr>
        <w:pStyle w:val="null3"/>
        <w:ind w:firstLine="420"/>
        <w:jc w:val="both"/>
      </w:pPr>
      <w:r>
        <w:rPr>
          <w:sz w:val="20"/>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0"/>
        </w:rPr>
        <w:t>特此承诺。</w:t>
      </w:r>
    </w:p>
    <w:p>
      <w:pPr>
        <w:pStyle w:val="null3"/>
        <w:ind w:firstLine="420"/>
        <w:jc w:val="right"/>
      </w:pPr>
      <w:r>
        <w:rPr>
          <w:sz w:val="20"/>
        </w:rPr>
        <w:t>供应商名称（公章）</w:t>
      </w:r>
    </w:p>
    <w:p>
      <w:pPr>
        <w:pStyle w:val="null3"/>
        <w:ind w:firstLine="420"/>
        <w:jc w:val="right"/>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pPr>
      <w:r>
        <w:rPr/>
        <w:t>采购包1（香港城市大学（东莞）2026年计算机科研设备（第一批）（采购包1））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中标人提供运输服务、安装服务、软件部署服务、调试测试服务。双方签订合同后，21天内送达采购人指定地点。设备送达采购人指定地点后，3天内完成设备的安装，5天内完成设备的调试。</w:t>
            </w:r>
          </w:p>
        </w:tc>
      </w:tr>
      <w:tr>
        <w:tc>
          <w:tcPr>
            <w:tcW w:type="dxa" w:w="4153"/>
          </w:tcPr>
          <w:p>
            <w:pPr>
              <w:pStyle w:val="null3"/>
            </w:pPr>
            <w:r>
              <w:rPr/>
              <w:t>标的提供的地点</w:t>
            </w:r>
          </w:p>
        </w:tc>
        <w:tc>
          <w:tcPr>
            <w:tcW w:type="dxa" w:w="4153"/>
          </w:tcPr>
          <w:p>
            <w:pPr>
              <w:pStyle w:val="null3"/>
            </w:pPr>
            <w:r>
              <w:rPr/>
              <w:t>香港城市大学（东莞）。</w:t>
            </w:r>
          </w:p>
        </w:tc>
      </w:tr>
      <w:tr>
        <w:tc>
          <w:tcPr>
            <w:tcW w:type="dxa" w:w="4153"/>
          </w:tcPr>
          <w:p>
            <w:pPr>
              <w:pStyle w:val="null3"/>
            </w:pPr>
            <w:r>
              <w:rPr/>
              <w:t>付款方式</w:t>
            </w:r>
          </w:p>
        </w:tc>
        <w:tc>
          <w:tcPr>
            <w:tcW w:type="dxa" w:w="4153"/>
          </w:tcPr>
          <w:p>
            <w:pPr>
              <w:pStyle w:val="null3"/>
            </w:pPr>
            <w:r>
              <w:rPr/>
              <w:t>1期：支付比例30%,采购人与中标人签订合同之日起并收到中标人开具的正式足额增值税发票后，采购人应在10个工作日内向中标人支付本合同金额的30%作为预付款；</w:t>
            </w:r>
          </w:p>
          <w:p>
            <w:pPr>
              <w:pStyle w:val="null3"/>
            </w:pPr>
            <w:r>
              <w:rPr/>
              <w:t>2期：支付比例50%,中标人按照双方签订合同的通用条款及专用条款附件与约定的实际交货内容及时间完成相关交货后,中标人开具的正式足额增值税发票给采购人，采购人应在收到发票后10个工作日内向中标人支付本合同金额的50%作为交货款；</w:t>
            </w:r>
          </w:p>
          <w:p>
            <w:pPr>
              <w:pStyle w:val="null3"/>
            </w:pPr>
            <w:r>
              <w:rPr/>
              <w:t>3期：支付比例20%,采购人按照双方签订合同的通用条款及专用条款附件的约定进行相应批次履约评价及验收,相应批次的履约评价完成且验收合格并收到中标人开具的正式足额增值税发票后，采购人应在10个工作日内向中标人支付合同剩余金额的20%。 注： 1.本项目资金来源为地方政府专项债资金（发债资金），相关付款程序严格遵守东莞市（或项目所在镇街）政府财政资金支付程序规定。因政府原因造成迟延支付的，采购人不构成违约，无需向中标人承担违约责任本项目费用。 2.按照东莞市政府财政资金支付程序，本项目计划列入2026年第三季度付款，采购人与中标人签订采购合同后，具体付款以财政资金支付审批结果为准。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当满足以下条件时，采购人才向中标人签发货物验收报告： （1）设备全新,外观无伤痕变形或明显修饰痕迹。 （2）如有国标，必须符合有关规定；如无国标，则按照行业标准；如无国标及行业标准，则按双方约定执行。投标文件提供的技术数据经实测证实是真实的。检验及质量保证期内达到的性能指标与要求一致，达到或优于相应标准。 （3）技术文件资料、备件等已按规定数量移交完毕。 （4）按照招标文件要求及投标文件提供的技术要求验收必须合格。 （5）投标人提供的各种文件载明的内容必须真实，其技术数据采购人有权要求投标人无偿提供采购人认可的第三方按照双方同意的试验方法进行检测。检测结果必须证明投标人提供的技术数据是真实的，否则视为不合格。 （6）在货物安装调试合格后，所有技术指标达到技术规范书要求，经验收合格后，双方共同签署验收报告。 （7）专家验收：最终验收时，验收小组不少于5人，由需求部门代表、资产管理部门代表、归口部门代表、项目负责人、相关专业技术人员等组成，验收合格后出具验收报告验收小组依据招标文件、中标人投标文件、合同及国家/行业标准，对所有设备的技术指标、配套资料等进行全面检验，并形成书面《最终验收报告》。验收报告需经所有小组成员签字确认。验收不合格的，中标人应在15日内完成整改并重新提交验收，整改期间采购人有权按合同约定追究中标人逾期交货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签订，1.采购合同应当自中标通知书发出三十个日历日内按照招标文件、采购需求部门起草的学校采购合同和中标人的投标文件签订书面采购合同，超出投标有效期未签订采购合同的，采购人有权取消其中标资格。 2.签订政府采购合同后，在两个工作日内，中标人需配合采购人将政府采购合同上传至广东政府采购智慧云平台进行公开和备案。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包括标的设备（原装、全新合格的设备）、相关附件、配套设施、税费、运费、保险费、仓储费、安装调试、培训、质保等的全部费用，在项目实施过程中出现报价内容的任何遗漏，均由中标人负责相关费用，采购人将不再支付任何费用。且投标报价不得超过项目总预算金额及各采购包的预算金额，否则视为无效报价。 2.货物的分项单价及分项总价报价不能超过对应的分项预算单价及分项预算总价，否则报价无效。</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运输及包装方式</w:t>
            </w:r>
          </w:p>
        </w:tc>
        <w:tc>
          <w:tcPr>
            <w:tcW w:type="dxa" w:w="2076"/>
          </w:tcPr>
          <w:p>
            <w:pPr>
              <w:pStyle w:val="null3"/>
              <w:jc w:val="left"/>
            </w:pPr>
            <w:r>
              <w:rPr/>
              <w:t>中标人负责产品正式验收合格前的一切费用（包括运输、包装、仓储、安装、保险等费用）。包装方式按照原厂出厂原标准，中标人承担由于其包装或其防护措施不妥而引起货物锈蚀、损坏和丢失等任何损失。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质保期/维保期</w:t>
            </w:r>
          </w:p>
        </w:tc>
        <w:tc>
          <w:tcPr>
            <w:tcW w:type="dxa" w:w="2076"/>
          </w:tcPr>
          <w:p>
            <w:pPr>
              <w:pStyle w:val="null3"/>
              <w:jc w:val="left"/>
            </w:pPr>
            <w:r>
              <w:rPr/>
              <w:t>质保期： 1.质保期3年，时间自采购人最终验收合格之日起计。质保期内，因产品自身设计、制造、材料等原因导致的任何故障或损坏，中标人应负责维修或更换，质保期内所产生的费用由中标人承担，采购人不另行支付。 2.质保期内因产品自身质量问题导致的故障，供方免费维修或更换，响应时间不超过4小时，到达现场时间不超过24小时。 维保期： 质保期满后，提供2年可选维保服务（费用另计），包含每半年一次巡检、固件升级、性能优化，故障维修仅收取零部件成本费。</w:t>
            </w:r>
          </w:p>
        </w:tc>
      </w:tr>
      <w:tr>
        <w:tc>
          <w:tcPr>
            <w:tcW w:type="dxa" w:w="2076"/>
          </w:tcPr>
          <w:p/>
        </w:tc>
        <w:tc>
          <w:tcPr>
            <w:tcW w:type="dxa" w:w="2076"/>
          </w:tcPr>
          <w:p>
            <w:pPr>
              <w:pStyle w:val="null3"/>
              <w:jc w:val="center"/>
            </w:pPr>
            <w:r>
              <w:rPr/>
              <w:t>4</w:t>
            </w:r>
          </w:p>
        </w:tc>
        <w:tc>
          <w:tcPr>
            <w:tcW w:type="dxa" w:w="2076"/>
          </w:tcPr>
          <w:p>
            <w:pPr>
              <w:pStyle w:val="null3"/>
              <w:jc w:val="left"/>
            </w:pPr>
            <w:r>
              <w:rPr/>
              <w:t>服务标准/售后服务要求</w:t>
            </w:r>
          </w:p>
        </w:tc>
        <w:tc>
          <w:tcPr>
            <w:tcW w:type="dxa" w:w="2076"/>
          </w:tcPr>
          <w:p>
            <w:pPr>
              <w:pStyle w:val="null3"/>
              <w:jc w:val="left"/>
            </w:pPr>
            <w:r>
              <w:rPr/>
              <w:t>1.质保期限：原厂硬件设备质保期内免费保修、所有软件终身免费保修升级。 2响应时效：电话报修后4小时上门服务、24小时内排除故障。 3.售后服务要求：所有硬件过免费质保期后按原价维修（按投标货物价格数量表所列价格，更换零部件的按合同签订时的零部件价格）、所有软件3年免费保修升级期过后按原价的进行维修升级，响应速度同质保期响应速度。</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1.投标人应派专业技术人员对采购人指定人员进行1天的免费培训及指导，直至其完全掌握设备的基本故障处理技术。 2.现场培训：投标人应提供现场技术培训，保证使用人员正常操作设备的各种功能。</w:t>
            </w:r>
          </w:p>
        </w:tc>
      </w:tr>
      <w:tr>
        <w:tc>
          <w:tcPr>
            <w:tcW w:type="dxa" w:w="2076"/>
          </w:tcPr>
          <w:p/>
        </w:tc>
        <w:tc>
          <w:tcPr>
            <w:tcW w:type="dxa" w:w="2076"/>
          </w:tcPr>
          <w:p>
            <w:pPr>
              <w:pStyle w:val="null3"/>
              <w:jc w:val="center"/>
            </w:pPr>
            <w:r>
              <w:rPr/>
              <w:t>6</w:t>
            </w:r>
          </w:p>
        </w:tc>
        <w:tc>
          <w:tcPr>
            <w:tcW w:type="dxa" w:w="2076"/>
          </w:tcPr>
          <w:p>
            <w:pPr>
              <w:pStyle w:val="null3"/>
              <w:jc w:val="left"/>
            </w:pPr>
            <w:r>
              <w:rPr/>
              <w:t>安装、调试、验收及相关技术文件、资料</w:t>
            </w:r>
          </w:p>
        </w:tc>
        <w:tc>
          <w:tcPr>
            <w:tcW w:type="dxa" w:w="2076"/>
          </w:tcPr>
          <w:p>
            <w:pPr>
              <w:pStyle w:val="null3"/>
              <w:jc w:val="left"/>
            </w:pPr>
            <w:r>
              <w:rPr/>
              <w:t>1.中标人将产品运输并卸至采购人指定地点，采购人将会同中标人及相关单位在到货后3个工作日内共同进行开箱检验。 2.中标人负责免费安装、调试。安装、调试完成后，由采购人组织技术验收和商务验收，中标人做好协助配合。验收合格后签署《验收报告》。 3.验收中如发现有质量不合格或型号规格、数量等与送货清单不符、提交的技术文件和资料不完整等情形，中标人应免费更换或补齐。 4.中标人应向采购人提供但不限于如下技术文件和资料： （1）产品安装、操作和维修保养手册； （2）产品使用说明书； （3）产品出厂检验合格证； （4）产品到货清单； （5）产品保修证明。</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发债资金管理特别条款</w:t>
            </w:r>
          </w:p>
        </w:tc>
        <w:tc>
          <w:tcPr>
            <w:tcW w:type="dxa" w:w="2076"/>
          </w:tcPr>
          <w:p>
            <w:pPr>
              <w:pStyle w:val="null3"/>
              <w:jc w:val="left"/>
            </w:pPr>
            <w:r>
              <w:rPr/>
              <w:t>1.专款专用：中标人知悉并同意，本合同项下资金来源于地方政府专项债券资金，必须严格用于本项目下的货物采购及相关服务，不得挪作他用。采购人有权要求中标人配合提供资金使用情况的说明或证明材料。 2.按进度申请拨付：实际支付时间取决于财政部门和债券资金监管机构的审批流程。采购人在收到中标人合规的付款申请及发票后，将按程序向财政部门申请拨付资金。因财政审批、国库集中支付或债券资金下达延迟导致的付款延迟，不视为采购人违约。 3.绩效评价配合：中标人应无条件配合采购人及上级财政、审计部门进行的项目绩效评价工作，按要求提供设备使用数据、课程开设记录、学生实训报告等佐证材料。 4.信息公开：本项目属于债券资金支持项目，采购人将按地方政府债务信息公开办法公示采购合同、验收报告、绩效评价结果等信息。中标人同意在不泄露其企业重要信息的前提下，配合进行必要的信息公开。</w:t>
            </w:r>
          </w:p>
        </w:tc>
      </w:tr>
      <w:tr>
        <w:tc>
          <w:tcPr>
            <w:tcW w:type="dxa" w:w="2076"/>
          </w:tcPr>
          <w:p/>
        </w:tc>
        <w:tc>
          <w:tcPr>
            <w:tcW w:type="dxa" w:w="2076"/>
          </w:tcPr>
          <w:p>
            <w:pPr>
              <w:pStyle w:val="null3"/>
              <w:jc w:val="center"/>
            </w:pPr>
            <w:r>
              <w:rPr/>
              <w:t>8</w:t>
            </w:r>
          </w:p>
        </w:tc>
        <w:tc>
          <w:tcPr>
            <w:tcW w:type="dxa" w:w="2076"/>
          </w:tcPr>
          <w:p>
            <w:pPr>
              <w:pStyle w:val="null3"/>
              <w:jc w:val="left"/>
            </w:pPr>
            <w:r>
              <w:rPr/>
              <w:t>发票类型</w:t>
            </w:r>
          </w:p>
        </w:tc>
        <w:tc>
          <w:tcPr>
            <w:tcW w:type="dxa" w:w="2076"/>
          </w:tcPr>
          <w:p>
            <w:pPr>
              <w:pStyle w:val="null3"/>
              <w:jc w:val="left"/>
            </w:pPr>
            <w:r>
              <w:rPr/>
              <w:t>增值税专用发票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图形工作站</w:t>
            </w:r>
          </w:p>
        </w:tc>
        <w:tc>
          <w:tcPr>
            <w:tcW w:type="dxa" w:w="831"/>
          </w:tcPr>
          <w:p>
            <w:pPr>
              <w:pStyle w:val="null3"/>
              <w:jc w:val="left"/>
            </w:pPr>
            <w:r>
              <w:rPr/>
              <w:t>大规模基础模型研究算力平台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3,240,000.00</w:t>
            </w:r>
          </w:p>
        </w:tc>
        <w:tc>
          <w:tcPr>
            <w:tcW w:type="dxa" w:w="831"/>
          </w:tcPr>
          <w:p>
            <w:pPr>
              <w:pStyle w:val="null3"/>
              <w:jc w:val="right"/>
            </w:pPr>
            <w:r>
              <w:rPr/>
              <w:t>3,240,000.00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服务器</w:t>
            </w:r>
          </w:p>
        </w:tc>
        <w:tc>
          <w:tcPr>
            <w:tcW w:type="dxa" w:w="831"/>
          </w:tcPr>
          <w:p>
            <w:pPr>
              <w:pStyle w:val="null3"/>
              <w:jc w:val="left"/>
            </w:pPr>
            <w:r>
              <w:rPr/>
              <w:t>高吞吐量异构计算平台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1,440,000.00</w:t>
            </w:r>
          </w:p>
        </w:tc>
        <w:tc>
          <w:tcPr>
            <w:tcW w:type="dxa" w:w="831"/>
          </w:tcPr>
          <w:p>
            <w:pPr>
              <w:pStyle w:val="null3"/>
              <w:jc w:val="right"/>
            </w:pPr>
            <w:r>
              <w:rPr/>
              <w:t>2,880,000.00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图形工作站</w:t>
            </w:r>
          </w:p>
        </w:tc>
        <w:tc>
          <w:tcPr>
            <w:tcW w:type="dxa" w:w="831"/>
          </w:tcPr>
          <w:p>
            <w:pPr>
              <w:pStyle w:val="null3"/>
              <w:jc w:val="left"/>
            </w:pPr>
            <w:r>
              <w:rPr/>
              <w:t>专业图形与AI工作站</w:t>
            </w:r>
          </w:p>
        </w:tc>
        <w:tc>
          <w:tcPr>
            <w:tcW w:type="dxa" w:w="831"/>
          </w:tcPr>
          <w:p>
            <w:pPr>
              <w:pStyle w:val="null3"/>
              <w:jc w:val="left"/>
            </w:pPr>
            <w:r>
              <w:rPr/>
              <w:t>台</w:t>
            </w:r>
          </w:p>
        </w:tc>
        <w:tc>
          <w:tcPr>
            <w:tcW w:type="dxa" w:w="831"/>
          </w:tcPr>
          <w:p>
            <w:pPr>
              <w:pStyle w:val="null3"/>
              <w:jc w:val="right"/>
            </w:pPr>
            <w:r>
              <w:rPr/>
              <w:t>16.00</w:t>
            </w:r>
          </w:p>
        </w:tc>
        <w:tc>
          <w:tcPr>
            <w:tcW w:type="dxa" w:w="831"/>
          </w:tcPr>
          <w:p>
            <w:pPr>
              <w:pStyle w:val="null3"/>
              <w:jc w:val="right"/>
            </w:pPr>
            <w:r>
              <w:rPr/>
              <w:t>72,000.00</w:t>
            </w:r>
          </w:p>
        </w:tc>
        <w:tc>
          <w:tcPr>
            <w:tcW w:type="dxa" w:w="831"/>
          </w:tcPr>
          <w:p>
            <w:pPr>
              <w:pStyle w:val="null3"/>
              <w:jc w:val="right"/>
            </w:pPr>
            <w:r>
              <w:rPr/>
              <w:t>1,152,000.00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其他终端设备</w:t>
            </w:r>
          </w:p>
        </w:tc>
        <w:tc>
          <w:tcPr>
            <w:tcW w:type="dxa" w:w="831"/>
          </w:tcPr>
          <w:p>
            <w:pPr>
              <w:pStyle w:val="null3"/>
              <w:jc w:val="left"/>
            </w:pPr>
            <w:r>
              <w:rPr/>
              <w:t>边缘AI平台（核心端侧设备）</w:t>
            </w:r>
          </w:p>
        </w:tc>
        <w:tc>
          <w:tcPr>
            <w:tcW w:type="dxa" w:w="831"/>
          </w:tcPr>
          <w:p>
            <w:pPr>
              <w:pStyle w:val="null3"/>
              <w:jc w:val="left"/>
            </w:pPr>
            <w:r>
              <w:rPr/>
              <w:t>台</w:t>
            </w:r>
          </w:p>
        </w:tc>
        <w:tc>
          <w:tcPr>
            <w:tcW w:type="dxa" w:w="831"/>
          </w:tcPr>
          <w:p>
            <w:pPr>
              <w:pStyle w:val="null3"/>
              <w:jc w:val="right"/>
            </w:pPr>
            <w:r>
              <w:rPr/>
              <w:t>30.00</w:t>
            </w:r>
          </w:p>
        </w:tc>
        <w:tc>
          <w:tcPr>
            <w:tcW w:type="dxa" w:w="831"/>
          </w:tcPr>
          <w:p>
            <w:pPr>
              <w:pStyle w:val="null3"/>
              <w:jc w:val="right"/>
            </w:pPr>
            <w:r>
              <w:rPr/>
              <w:t>20,000.00</w:t>
            </w:r>
          </w:p>
        </w:tc>
        <w:tc>
          <w:tcPr>
            <w:tcW w:type="dxa" w:w="831"/>
          </w:tcPr>
          <w:p>
            <w:pPr>
              <w:pStyle w:val="null3"/>
              <w:jc w:val="right"/>
            </w:pPr>
            <w:r>
              <w:rPr/>
              <w:t>600,000.00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液晶显示器</w:t>
            </w:r>
          </w:p>
        </w:tc>
        <w:tc>
          <w:tcPr>
            <w:tcW w:type="dxa" w:w="831"/>
          </w:tcPr>
          <w:p>
            <w:pPr>
              <w:pStyle w:val="null3"/>
              <w:jc w:val="left"/>
            </w:pPr>
            <w:r>
              <w:rPr/>
              <w:t>高分辨率显示器</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16,000.00</w:t>
            </w:r>
          </w:p>
        </w:tc>
        <w:tc>
          <w:tcPr>
            <w:tcW w:type="dxa" w:w="831"/>
          </w:tcPr>
          <w:p>
            <w:pPr>
              <w:pStyle w:val="null3"/>
              <w:jc w:val="right"/>
            </w:pPr>
            <w:r>
              <w:rPr/>
              <w:t>64,000.00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台式计算机</w:t>
            </w:r>
          </w:p>
        </w:tc>
        <w:tc>
          <w:tcPr>
            <w:tcW w:type="dxa" w:w="831"/>
          </w:tcPr>
          <w:p>
            <w:pPr>
              <w:pStyle w:val="null3"/>
              <w:jc w:val="left"/>
            </w:pPr>
            <w:r>
              <w:rPr/>
              <w:t>AI服务器管理前端</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11,000.00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台式计算机</w:t>
            </w:r>
          </w:p>
        </w:tc>
        <w:tc>
          <w:tcPr>
            <w:tcW w:type="dxa" w:w="831"/>
          </w:tcPr>
          <w:p>
            <w:pPr>
              <w:pStyle w:val="null3"/>
              <w:jc w:val="left"/>
            </w:pPr>
            <w:r>
              <w:rPr/>
              <w:t>实验室共享终端</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11,000.00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电子白板</w:t>
            </w:r>
          </w:p>
        </w:tc>
        <w:tc>
          <w:tcPr>
            <w:tcW w:type="dxa" w:w="831"/>
          </w:tcPr>
          <w:p>
            <w:pPr>
              <w:pStyle w:val="null3"/>
              <w:jc w:val="left"/>
            </w:pPr>
            <w:r>
              <w:rPr/>
              <w:t>电子白板智慧屏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详见附表八</w:t>
            </w:r>
          </w:p>
        </w:tc>
      </w:tr>
    </w:tbl>
    <w:p>
      <w:pPr>
        <w:pStyle w:val="null3"/>
      </w:pPr>
      <w:r>
        <w:rPr>
          <w:b/>
        </w:rPr>
        <w:t>附表</w:t>
      </w:r>
      <w:r>
        <w:rPr>
          <w:b/>
        </w:rPr>
        <w:t>一</w:t>
      </w:r>
      <w:r>
        <w:rPr>
          <w:b/>
        </w:rPr>
        <w:t>：</w:t>
      </w:r>
      <w:r>
        <w:rPr>
          <w:b/>
        </w:rPr>
        <w:t>大规模基础模型研究算力平台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平台：双宽</w:t>
            </w:r>
            <w:r>
              <w:rPr>
                <w:sz w:val="20"/>
              </w:rPr>
              <w:t>GPU分体液冷工作站*4台</w:t>
            </w:r>
          </w:p>
          <w:p>
            <w:pPr>
              <w:pStyle w:val="null3"/>
              <w:jc w:val="both"/>
            </w:pPr>
            <w:r>
              <w:rPr>
                <w:sz w:val="20"/>
              </w:rPr>
              <w:t>1、5U/全塔塔式工作站，CPU+双GPU全分体液冷散热;</w:t>
            </w:r>
          </w:p>
          <w:p>
            <w:pPr>
              <w:pStyle w:val="null3"/>
              <w:jc w:val="both"/>
            </w:pPr>
            <w:r>
              <w:rPr>
                <w:sz w:val="20"/>
              </w:rPr>
              <w:t>▲2、支持 Intel 酷睿 Ultra 系列处理器(Arrow Lake-S)含 Ultra 5、Ultra7、Ultra9全系列型号，最高TDP253W;</w:t>
            </w:r>
          </w:p>
          <w:p>
            <w:pPr>
              <w:pStyle w:val="null3"/>
              <w:jc w:val="both"/>
            </w:pPr>
            <w:r>
              <w:rPr>
                <w:sz w:val="20"/>
              </w:rPr>
              <w:t>3、支持4条DDR5 6000MMHzNon-ECC/ECC 内存，最大支持128GB;</w:t>
            </w:r>
          </w:p>
          <w:p>
            <w:pPr>
              <w:pStyle w:val="null3"/>
              <w:jc w:val="both"/>
            </w:pPr>
            <w:r>
              <w:rPr>
                <w:sz w:val="20"/>
              </w:rPr>
              <w:t>4、最大支持 6 个3.5"/2.5" HDD/SSD,3 个M.2 2280 NVMe (PCIe 5.0);</w:t>
            </w:r>
          </w:p>
          <w:p>
            <w:pPr>
              <w:pStyle w:val="null3"/>
              <w:jc w:val="both"/>
            </w:pPr>
            <w:r>
              <w:rPr>
                <w:sz w:val="20"/>
              </w:rPr>
              <w:t>5、3XPCIe5.0 x16插槽，其中2个CPU直连x16，支持x8/x8拆分;</w:t>
            </w:r>
          </w:p>
          <w:p>
            <w:pPr>
              <w:pStyle w:val="null3"/>
              <w:jc w:val="both"/>
            </w:pPr>
            <w:r>
              <w:rPr>
                <w:sz w:val="20"/>
              </w:rPr>
              <w:t>▲6、原生支持2张双宽GPU卡，适配液冷散热改装方案;</w:t>
            </w:r>
          </w:p>
          <w:p>
            <w:pPr>
              <w:pStyle w:val="null3"/>
              <w:jc w:val="both"/>
            </w:pPr>
            <w:r>
              <w:rPr>
                <w:sz w:val="20"/>
              </w:rPr>
              <w:t>7、板载2X2.5GbE+1X10GbE以太网口，支持WiFi7/蓝牙5.4;</w:t>
            </w:r>
          </w:p>
          <w:p>
            <w:pPr>
              <w:pStyle w:val="null3"/>
              <w:jc w:val="both"/>
            </w:pPr>
            <w:r>
              <w:rPr>
                <w:sz w:val="20"/>
              </w:rPr>
              <w:t>8、2600W ATX全模组电源，80PLUS金牌/钛金认证，单路+12V输出;</w:t>
            </w:r>
          </w:p>
          <w:p>
            <w:pPr>
              <w:pStyle w:val="null3"/>
              <w:jc w:val="both"/>
            </w:pPr>
            <w:r>
              <w:rPr>
                <w:sz w:val="20"/>
              </w:rPr>
              <w:t>9、含机箱、主板、电源、CPU水冷头、GPU液冷套件、一体式冷排/分体式水路组9件、配套包装箱;</w:t>
            </w:r>
          </w:p>
          <w:p>
            <w:pPr>
              <w:pStyle w:val="null3"/>
            </w:pPr>
            <w:r>
              <w:rPr>
                <w:sz w:val="20"/>
              </w:rPr>
              <w:t>10、可支持GPU:(1)数据中心级双宽算力卡</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CPU：配置≥1颗，单CPU规格≥20核心/20线程/3.9GHz/30MB/253W/6000MHz</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内存：配置总容量</w:t>
            </w:r>
            <w:r>
              <w:rPr>
                <w:sz w:val="20"/>
              </w:rPr>
              <w:t>≥128GB DDR5 5600内存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≥1 块2T NVME M.2 SSD 系统硬盘；≥1块 块4T NVME M.2 SSD数据硬盘</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算力卡：</w:t>
            </w:r>
          </w:p>
          <w:p>
            <w:pPr>
              <w:pStyle w:val="null3"/>
              <w:jc w:val="both"/>
            </w:pPr>
            <w:r>
              <w:rPr>
                <w:sz w:val="20"/>
              </w:rPr>
              <w:t>配置</w:t>
            </w:r>
            <w:r>
              <w:rPr>
                <w:sz w:val="20"/>
              </w:rPr>
              <w:t>≥2张；</w:t>
            </w:r>
          </w:p>
          <w:p>
            <w:pPr>
              <w:pStyle w:val="null3"/>
              <w:jc w:val="both"/>
            </w:pPr>
            <w:r>
              <w:rPr>
                <w:sz w:val="20"/>
              </w:rPr>
              <w:t>单卡算力规格</w:t>
            </w:r>
          </w:p>
          <w:p>
            <w:pPr>
              <w:pStyle w:val="null3"/>
              <w:jc w:val="both"/>
            </w:pPr>
            <w:r>
              <w:rPr>
                <w:sz w:val="20"/>
              </w:rPr>
              <w:t>FP64 24 TFLOPS；</w:t>
            </w:r>
          </w:p>
          <w:p>
            <w:pPr>
              <w:pStyle w:val="null3"/>
              <w:jc w:val="both"/>
            </w:pPr>
            <w:r>
              <w:rPr>
                <w:sz w:val="20"/>
              </w:rPr>
              <w:t>FP64 Tensor Core 48 TFLOPS；</w:t>
            </w:r>
          </w:p>
          <w:p>
            <w:pPr>
              <w:pStyle w:val="null3"/>
              <w:jc w:val="both"/>
            </w:pPr>
            <w:r>
              <w:rPr>
                <w:sz w:val="20"/>
              </w:rPr>
              <w:t>FP32 48 TFLOPS；</w:t>
            </w:r>
          </w:p>
          <w:p>
            <w:pPr>
              <w:pStyle w:val="null3"/>
              <w:jc w:val="both"/>
            </w:pPr>
            <w:r>
              <w:rPr>
                <w:sz w:val="20"/>
              </w:rPr>
              <w:t>TF32 Tensor Core 800 TFLOPS；</w:t>
            </w:r>
          </w:p>
          <w:p>
            <w:pPr>
              <w:pStyle w:val="null3"/>
              <w:jc w:val="both"/>
            </w:pPr>
            <w:r>
              <w:rPr>
                <w:sz w:val="20"/>
              </w:rPr>
              <w:t>BFLOAT16 1600 TFL0PS；</w:t>
            </w:r>
          </w:p>
          <w:p>
            <w:pPr>
              <w:pStyle w:val="null3"/>
              <w:jc w:val="both"/>
            </w:pPr>
            <w:r>
              <w:rPr>
                <w:sz w:val="20"/>
              </w:rPr>
              <w:t>FP16 Tensor Core 1600 TFLOPS；</w:t>
            </w:r>
          </w:p>
          <w:p>
            <w:pPr>
              <w:pStyle w:val="null3"/>
              <w:jc w:val="both"/>
            </w:pPr>
            <w:r>
              <w:rPr>
                <w:sz w:val="20"/>
              </w:rPr>
              <w:t>FP8 Tensor Core 3200 TFL0PS；</w:t>
            </w:r>
          </w:p>
          <w:p>
            <w:pPr>
              <w:pStyle w:val="null3"/>
            </w:pPr>
            <w:r>
              <w:rPr>
                <w:sz w:val="20"/>
              </w:rPr>
              <w:t>INT8 Tensor Core 3200 TFL0PS，显存≥96G</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网卡：配置</w:t>
            </w:r>
            <w:r>
              <w:rPr>
                <w:sz w:val="20"/>
              </w:rPr>
              <w:t>≥1*单口/1G/J45/</w:t>
            </w:r>
          </w:p>
        </w:tc>
      </w:tr>
      <w:tr>
        <w:tc>
          <w:tcPr>
            <w:tcW w:type="dxa" w:w="2076"/>
          </w:tcPr>
          <w:p/>
        </w:tc>
        <w:tc>
          <w:tcPr>
            <w:tcW w:type="dxa" w:w="415"/>
          </w:tcPr>
          <w:p>
            <w:pPr>
              <w:pStyle w:val="null3"/>
            </w:pPr>
            <w:r>
              <w:rPr/>
              <w:t>7</w:t>
            </w:r>
          </w:p>
        </w:tc>
        <w:tc>
          <w:tcPr>
            <w:tcW w:type="dxa" w:w="5814"/>
          </w:tcPr>
          <w:p>
            <w:pPr>
              <w:pStyle w:val="null3"/>
              <w:jc w:val="both"/>
            </w:pPr>
            <w:r>
              <w:rPr>
                <w:sz w:val="20"/>
              </w:rPr>
              <w:t>数据存储模块：</w:t>
            </w:r>
          </w:p>
          <w:p>
            <w:pPr>
              <w:pStyle w:val="null3"/>
              <w:jc w:val="both"/>
            </w:pPr>
            <w:r>
              <w:rPr>
                <w:sz w:val="20"/>
              </w:rPr>
              <w:t>1、服务器:4U/36</w:t>
            </w:r>
          </w:p>
          <w:p>
            <w:pPr>
              <w:pStyle w:val="null3"/>
              <w:jc w:val="both"/>
            </w:pPr>
            <w:r>
              <w:rPr>
                <w:sz w:val="20"/>
              </w:rPr>
              <w:t>★</w:t>
            </w:r>
            <w:r>
              <w:rPr>
                <w:sz w:val="20"/>
              </w:rPr>
              <w:t>2、CPU：配置≥2颗，单CPU≥12核心/24线程/主频2.1GHz/缓存18MB/功耗120W/</w:t>
            </w:r>
          </w:p>
          <w:p>
            <w:pPr>
              <w:pStyle w:val="null3"/>
              <w:jc w:val="both"/>
            </w:pPr>
            <w:r>
              <w:rPr>
                <w:sz w:val="20"/>
              </w:rPr>
              <w:t>3、内存：配置≥128G DDR4内存</w:t>
            </w:r>
          </w:p>
          <w:p>
            <w:pPr>
              <w:pStyle w:val="null3"/>
              <w:jc w:val="both"/>
            </w:pPr>
            <w:r>
              <w:rPr>
                <w:sz w:val="20"/>
              </w:rPr>
              <w:t>★</w:t>
            </w:r>
            <w:r>
              <w:rPr>
                <w:sz w:val="20"/>
              </w:rPr>
              <w:t>4、硬盘：配置≥2 块 480G SSD 系统硬盘；≥200T数据硬盘</w:t>
            </w:r>
          </w:p>
          <w:p>
            <w:pPr>
              <w:pStyle w:val="null3"/>
              <w:jc w:val="both"/>
            </w:pPr>
            <w:r>
              <w:rPr>
                <w:sz w:val="20"/>
              </w:rPr>
              <w:t>5、阵列卡：阵列卡：配置 ≥ 1块 直通阵列卡，要求支持，RAID/12Gb/s/3108/SAS/8643/RAID0,1,5,6,10,50,60,JBODRAID级别/2G；</w:t>
            </w:r>
            <w:r>
              <w:br/>
            </w:r>
            <w:r>
              <w:rPr>
                <w:sz w:val="20"/>
              </w:rPr>
              <w:t>6、网卡：配置 ≥ 1块*双口10G/光纤/网卡（含模块）；≥双口1G电口网卡*1，IMPI管理电口*1；</w:t>
            </w:r>
          </w:p>
          <w:p>
            <w:pPr>
              <w:pStyle w:val="null3"/>
              <w:jc w:val="both"/>
            </w:pPr>
            <w:r>
              <w:rPr>
                <w:sz w:val="20"/>
              </w:rPr>
              <w:t>7、支持≥2个1300W (N＋N冗余电源)</w:t>
            </w:r>
          </w:p>
          <w:p>
            <w:pPr>
              <w:pStyle w:val="null3"/>
              <w:jc w:val="both"/>
            </w:pPr>
            <w:r>
              <w:rPr>
                <w:sz w:val="20"/>
              </w:rPr>
              <w:t>8、含导轨、散热器</w:t>
            </w:r>
          </w:p>
          <w:p>
            <w:pPr>
              <w:pStyle w:val="null3"/>
              <w:jc w:val="both"/>
            </w:pPr>
            <w:r>
              <w:rPr>
                <w:sz w:val="20"/>
              </w:rPr>
              <w:t>9、存储软件：</w:t>
            </w:r>
          </w:p>
          <w:p>
            <w:pPr>
              <w:pStyle w:val="null3"/>
              <w:jc w:val="both"/>
            </w:pPr>
            <w:r>
              <w:rPr>
                <w:sz w:val="20"/>
              </w:rPr>
              <w:t>▲</w:t>
            </w:r>
            <w:r>
              <w:rPr>
                <w:sz w:val="20"/>
              </w:rPr>
              <w:t>（</w:t>
            </w:r>
            <w:r>
              <w:rPr>
                <w:sz w:val="20"/>
              </w:rPr>
              <w:t>1）.高可靠数据保护：基于ZFS文件系统，支持快照、克隆、数据压缩、校验和等功能，可实时检测并修复数据错误，配合RAID6双校验机制，实现双重数据冗余，允许同时损坏2块硬盘不丢失数据，保障AI训练、推理核心数据安全，满足项目数据高可靠要求。</w:t>
            </w:r>
          </w:p>
          <w:p>
            <w:pPr>
              <w:pStyle w:val="null3"/>
              <w:jc w:val="both"/>
            </w:pPr>
            <w:r>
              <w:rPr>
                <w:sz w:val="20"/>
              </w:rPr>
              <w:t>▲</w:t>
            </w:r>
            <w:r>
              <w:rPr>
                <w:sz w:val="20"/>
              </w:rPr>
              <w:t>（</w:t>
            </w:r>
            <w:r>
              <w:rPr>
                <w:sz w:val="20"/>
              </w:rPr>
              <w:t>2）.高性能存储吞吐：支持缓存加速（适配存储节点SSD缓存配置），优化存储IO性能，配合10G双光纤网卡，实际稳定吞吐可达≥2.0GB/s，可轻松承载≥12台计算节点的并发读写需求，无明显卡顿，支撑大规模AI模型训练的数据交互。</w:t>
            </w:r>
          </w:p>
          <w:p>
            <w:pPr>
              <w:pStyle w:val="null3"/>
              <w:jc w:val="both"/>
            </w:pPr>
            <w:r>
              <w:rPr>
                <w:sz w:val="20"/>
              </w:rPr>
              <w:t>▲</w:t>
            </w:r>
            <w:r>
              <w:rPr>
                <w:sz w:val="20"/>
              </w:rPr>
              <w:t>（</w:t>
            </w:r>
            <w:r>
              <w:rPr>
                <w:sz w:val="20"/>
              </w:rPr>
              <w:t>3）.便捷可视化管理：提供Web端可视化管理界面，操作简洁、运维高效，可远程监控存储节点状态、磁盘健康、读写速率、阵列状态，支持远程配置存储策略、创建共享目录、设置备份计划，无需专业运维人员，降低集群管理成本。</w:t>
            </w:r>
          </w:p>
          <w:p>
            <w:pPr>
              <w:pStyle w:val="null3"/>
              <w:jc w:val="both"/>
            </w:pPr>
            <w:r>
              <w:rPr>
                <w:sz w:val="20"/>
              </w:rPr>
              <w:t>▲</w:t>
            </w:r>
            <w:r>
              <w:rPr>
                <w:sz w:val="20"/>
              </w:rPr>
              <w:t>（</w:t>
            </w:r>
            <w:r>
              <w:rPr>
                <w:sz w:val="20"/>
              </w:rPr>
              <w:t>4）.灵活扩展能力：支持动态扩容，可根据集群业务需求，新增硬盘、扩展存储容量，无需停机，不影响现有业务运行；支持多节点集群部署（可后期扩展），适配集群规模升级需求，保障项目长期可扩展性。</w:t>
            </w:r>
          </w:p>
          <w:p>
            <w:pPr>
              <w:pStyle w:val="null3"/>
              <w:jc w:val="both"/>
            </w:pPr>
            <w:r>
              <w:rPr>
                <w:sz w:val="20"/>
              </w:rPr>
              <w:t>▲</w:t>
            </w:r>
            <w:r>
              <w:rPr>
                <w:sz w:val="20"/>
              </w:rPr>
              <w:t>（</w:t>
            </w:r>
            <w:r>
              <w:rPr>
                <w:sz w:val="20"/>
              </w:rPr>
              <w:t>5）.安全合规保障：支持用户权限精细化管理，可按计算节点、业务场景分配存储访问权限，防止数据泄露；支持日志审计功能，可记录所有存储操作日志，便于故障追溯、安全审计，符合项目安全合规要求。</w:t>
            </w:r>
          </w:p>
          <w:p>
            <w:pPr>
              <w:pStyle w:val="null3"/>
            </w:pPr>
            <w:r>
              <w:rPr>
                <w:sz w:val="20"/>
              </w:rPr>
              <w:t>▲</w:t>
            </w:r>
            <w:r>
              <w:rPr>
                <w:sz w:val="20"/>
              </w:rPr>
              <w:t>（</w:t>
            </w:r>
            <w:r>
              <w:rPr>
                <w:sz w:val="20"/>
              </w:rPr>
              <w:t>6）.数据备份与恢复：支持本地备份、异地备份、定时备份等多种备份策略，可灵活设置备份周期、备份范围，支持快速数据恢复，避免因硬件故障、误操作导致的数据丢失，保障业务连续性。</w:t>
            </w:r>
          </w:p>
        </w:tc>
      </w:tr>
      <w:tr>
        <w:tc>
          <w:tcPr>
            <w:tcW w:type="dxa" w:w="2076"/>
          </w:tcPr>
          <w:p/>
        </w:tc>
        <w:tc>
          <w:tcPr>
            <w:tcW w:type="dxa" w:w="415"/>
          </w:tcPr>
          <w:p>
            <w:pPr>
              <w:pStyle w:val="null3"/>
            </w:pPr>
            <w:r>
              <w:rPr/>
              <w:t>8</w:t>
            </w:r>
          </w:p>
        </w:tc>
        <w:tc>
          <w:tcPr>
            <w:tcW w:type="dxa" w:w="5814"/>
          </w:tcPr>
          <w:p>
            <w:pPr>
              <w:pStyle w:val="null3"/>
              <w:jc w:val="both"/>
            </w:pPr>
            <w:r>
              <w:rPr>
                <w:sz w:val="20"/>
              </w:rPr>
              <w:t>数据管理模块：</w:t>
            </w:r>
          </w:p>
          <w:p>
            <w:pPr>
              <w:pStyle w:val="null3"/>
              <w:jc w:val="both"/>
            </w:pPr>
            <w:r>
              <w:rPr>
                <w:sz w:val="20"/>
              </w:rPr>
              <w:t>1、服务器:2U机架式</w:t>
            </w:r>
            <w:r>
              <w:br/>
            </w:r>
            <w:r>
              <w:rPr>
                <w:sz w:val="20"/>
              </w:rPr>
              <w:t>2、CPU：配置≥2颗，单CPU≥12核心/24线程/主频2、1GHz/缓存18MB/功耗120W/；</w:t>
            </w:r>
            <w:r>
              <w:br/>
            </w:r>
            <w:r>
              <w:rPr>
                <w:sz w:val="20"/>
              </w:rPr>
              <w:t>3、内存：配置≥64G DDR4内存；</w:t>
            </w:r>
            <w:r>
              <w:br/>
            </w:r>
            <w:r>
              <w:rPr>
                <w:sz w:val="20"/>
              </w:rPr>
              <w:t>4、硬盘：配置≥2 块 480G SSD 系统硬盘；≥1块4T 数据硬盘；</w:t>
            </w:r>
            <w:r>
              <w:br/>
            </w:r>
            <w:r>
              <w:rPr>
                <w:sz w:val="20"/>
              </w:rPr>
              <w:t>5、阵列卡：配置 ≥ 1块 直通阵列卡，要求支持，RAID/12Gb/s/3008/SAS/2个8643/0,1,10，1ERAID级别</w:t>
            </w:r>
            <w:r>
              <w:br/>
            </w:r>
            <w:r>
              <w:rPr>
                <w:sz w:val="20"/>
              </w:rPr>
              <w:t>6、网卡：配置 ≥ 1块*双口10G/光纤/网卡（含模块）；≥双口1G电口网卡*1，IMPI管理电口*1；</w:t>
            </w:r>
          </w:p>
          <w:p>
            <w:pPr>
              <w:pStyle w:val="null3"/>
              <w:jc w:val="both"/>
            </w:pPr>
            <w:r>
              <w:rPr>
                <w:sz w:val="20"/>
              </w:rPr>
              <w:t>▲</w:t>
            </w:r>
            <w:r>
              <w:rPr>
                <w:sz w:val="20"/>
              </w:rPr>
              <w:t>7、集群管理软件：配置≥ 12个节点license，要求：</w:t>
            </w:r>
            <w:r>
              <w:br/>
            </w:r>
            <w:r>
              <w:rPr>
                <w:sz w:val="20"/>
              </w:rPr>
              <w:t>（</w:t>
            </w:r>
            <w:r>
              <w:rPr>
                <w:sz w:val="20"/>
              </w:rPr>
              <w:t>1）.提供商业版资源调度软件，提供软件著作权证书</w:t>
            </w:r>
            <w:r>
              <w:rPr>
                <w:sz w:val="20"/>
              </w:rPr>
              <w:t>（</w:t>
            </w:r>
            <w:r>
              <w:rPr>
                <w:sz w:val="20"/>
              </w:rPr>
              <w:t>提供证书复印件作为证明材料</w:t>
            </w:r>
            <w:r>
              <w:rPr>
                <w:sz w:val="20"/>
              </w:rPr>
              <w:t>）</w:t>
            </w:r>
          </w:p>
          <w:p>
            <w:pPr>
              <w:pStyle w:val="null3"/>
            </w:pPr>
            <w:r>
              <w:rPr>
                <w:sz w:val="20"/>
              </w:rPr>
              <w:t>（</w:t>
            </w:r>
            <w:r>
              <w:rPr>
                <w:sz w:val="20"/>
              </w:rPr>
              <w:t>2）.支持扩展混合云架构，1个账户同时提交作业至自建资源和云端资源；可以实时作业运行状态并区分账户执行权限（提供软件截图证明）；</w:t>
            </w:r>
            <w:r>
              <w:br/>
            </w:r>
            <w:r>
              <w:rPr>
                <w:sz w:val="20"/>
              </w:rPr>
              <w:t>（</w:t>
            </w:r>
            <w:r>
              <w:rPr>
                <w:sz w:val="20"/>
              </w:rPr>
              <w:t>3）.不限制用户数量，支持Web与客户端方式访问（提供软件截图证明）；</w:t>
            </w:r>
            <w:r>
              <w:br/>
            </w:r>
            <w:r>
              <w:rPr>
                <w:sz w:val="20"/>
              </w:rPr>
              <w:t>（</w:t>
            </w:r>
            <w:r>
              <w:rPr>
                <w:sz w:val="20"/>
              </w:rPr>
              <w:t>4）.支持常规提交作业和批量提交作业，集成LS-Dyna求解器软件,作业提交页面可以选择提交至本地多个节点资源并实现单任务跨多节点计算（提供软件截图证明）；</w:t>
            </w:r>
            <w:r>
              <w:br/>
            </w:r>
            <w:r>
              <w:rPr>
                <w:sz w:val="20"/>
              </w:rPr>
              <w:t>（</w:t>
            </w:r>
            <w:r>
              <w:rPr>
                <w:sz w:val="20"/>
              </w:rPr>
              <w:t>5）.支持多种作业提交方式，包括SSH命令行提交，界面批量提交，历史作业重新提交等功能（提供软件截图证明）；</w:t>
            </w:r>
            <w:r>
              <w:br/>
            </w:r>
            <w:r>
              <w:rPr>
                <w:sz w:val="20"/>
              </w:rPr>
              <w:t>（</w:t>
            </w:r>
            <w:r>
              <w:rPr>
                <w:sz w:val="20"/>
              </w:rPr>
              <w:t>6）.可以实时查询作业运行信息，如显示作业ID/作业名/作业状态/提交时间/运行时长/核数，以及算例大小/结果大小/排队原因等信息（提供软件截图证明）；</w:t>
            </w:r>
            <w:r>
              <w:br/>
            </w:r>
            <w:r>
              <w:rPr>
                <w:sz w:val="20"/>
              </w:rPr>
              <w:t>（</w:t>
            </w:r>
            <w:r>
              <w:rPr>
                <w:sz w:val="20"/>
              </w:rPr>
              <w:t>7）.能够实现运行作业的时间统计（提供软件截图证明）；</w:t>
            </w:r>
            <w:r>
              <w:br/>
            </w:r>
            <w:r>
              <w:rPr>
                <w:sz w:val="20"/>
              </w:rPr>
              <w:t>（</w:t>
            </w:r>
            <w:r>
              <w:rPr>
                <w:sz w:val="20"/>
              </w:rPr>
              <w:t>8）.能够监控作业所在节点的CPU利用率、内存利用率、共享存储读写速度、GPU卡利用率，自动保存每个作业的运行特征，出现性能故障时可以通过运行特征快速辅助诊断性能问题（提供软件截图证明）；</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高吞吐量异构计算平台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平台：</w:t>
            </w:r>
          </w:p>
          <w:p>
            <w:pPr>
              <w:pStyle w:val="null3"/>
              <w:jc w:val="both"/>
            </w:pPr>
            <w:r>
              <w:rPr>
                <w:sz w:val="20"/>
              </w:rPr>
              <w:t>1、4U机架式服务器</w:t>
            </w:r>
          </w:p>
          <w:p>
            <w:pPr>
              <w:pStyle w:val="null3"/>
              <w:jc w:val="both"/>
            </w:pPr>
            <w:r>
              <w:rPr>
                <w:sz w:val="20"/>
              </w:rPr>
              <w:t>▲2、支持 ≥ 2 颗 CPU，支持最高CPU功耗 270W；</w:t>
            </w:r>
          </w:p>
          <w:p>
            <w:pPr>
              <w:pStyle w:val="null3"/>
              <w:jc w:val="both"/>
            </w:pPr>
            <w:r>
              <w:rPr>
                <w:sz w:val="20"/>
              </w:rPr>
              <w:t>3、支持 ≥ 32 条 DDR4 3200 RECC 内存；</w:t>
            </w:r>
          </w:p>
          <w:p>
            <w:pPr>
              <w:pStyle w:val="null3"/>
              <w:jc w:val="both"/>
            </w:pPr>
            <w:r>
              <w:rPr>
                <w:sz w:val="20"/>
              </w:rPr>
              <w:t>4、前置 ≥ 6 * 2.5" 热插拔 NVMe/SAS/SATA 硬盘位；</w:t>
            </w:r>
          </w:p>
          <w:p>
            <w:pPr>
              <w:pStyle w:val="null3"/>
              <w:jc w:val="both"/>
            </w:pPr>
            <w:r>
              <w:rPr>
                <w:sz w:val="20"/>
              </w:rPr>
              <w:t>5、内置 ≥ 2 块 M.2 SSD（NVME 或 SATA）,尺寸2280/22110；</w:t>
            </w:r>
          </w:p>
          <w:p>
            <w:pPr>
              <w:pStyle w:val="null3"/>
              <w:jc w:val="both"/>
            </w:pPr>
            <w:r>
              <w:rPr>
                <w:sz w:val="20"/>
              </w:rPr>
              <w:t>6、标配 ≥  10个 PCIe 4.0 x16；</w:t>
            </w:r>
          </w:p>
          <w:p>
            <w:pPr>
              <w:pStyle w:val="null3"/>
              <w:jc w:val="both"/>
            </w:pPr>
            <w:r>
              <w:rPr>
                <w:sz w:val="20"/>
              </w:rPr>
              <w:t>7、配置≥2个 RJ45 10GbE 端口，带IPMI管理口*1；</w:t>
            </w:r>
          </w:p>
          <w:p>
            <w:pPr>
              <w:pStyle w:val="null3"/>
              <w:jc w:val="both"/>
            </w:pPr>
            <w:r>
              <w:rPr>
                <w:sz w:val="20"/>
              </w:rPr>
              <w:t>8、配置 ≥4个电源模组，单个电源模组 ≥ 3000W，支持 (N＋N冗余电源)；</w:t>
            </w:r>
          </w:p>
          <w:p>
            <w:pPr>
              <w:pStyle w:val="null3"/>
            </w:pPr>
            <w:r>
              <w:rPr>
                <w:sz w:val="20"/>
              </w:rPr>
              <w:t>9、含导轨、散热器；</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CPU：配置≥2颗，单CPU规格≥38核数/76线程/主频2.4 GHz/睿频 3.4GHz/缓存57M/功耗270W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内存：配置总容量</w:t>
            </w:r>
            <w:r>
              <w:rPr>
                <w:sz w:val="20"/>
              </w:rPr>
              <w:t>≥ 1TB DDR4内存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≥2 块 960G SSD 系统硬盘；≥2块 3.84T/2.5寸/NVME U.2数据硬盘</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0"/>
              </w:rPr>
              <w:t>算力卡：配置</w:t>
            </w:r>
            <w:r>
              <w:rPr>
                <w:sz w:val="20"/>
              </w:rPr>
              <w:t>≥8张；</w:t>
            </w:r>
          </w:p>
          <w:p>
            <w:pPr>
              <w:pStyle w:val="null3"/>
              <w:jc w:val="both"/>
            </w:pPr>
            <w:r>
              <w:rPr>
                <w:sz w:val="20"/>
              </w:rPr>
              <w:t>单卡算力规格</w:t>
            </w:r>
          </w:p>
          <w:p>
            <w:pPr>
              <w:pStyle w:val="null3"/>
              <w:jc w:val="both"/>
            </w:pPr>
            <w:r>
              <w:rPr>
                <w:sz w:val="20"/>
              </w:rPr>
              <w:t>FP64 9.7 TFLOPS</w:t>
            </w:r>
          </w:p>
          <w:p>
            <w:pPr>
              <w:pStyle w:val="null3"/>
              <w:jc w:val="both"/>
            </w:pPr>
            <w:r>
              <w:rPr>
                <w:sz w:val="20"/>
              </w:rPr>
              <w:t>FP64 Tensor Core 19.5 TFLOPS；</w:t>
            </w:r>
          </w:p>
          <w:p>
            <w:pPr>
              <w:pStyle w:val="null3"/>
              <w:jc w:val="both"/>
            </w:pPr>
            <w:r>
              <w:rPr>
                <w:sz w:val="20"/>
              </w:rPr>
              <w:t>FP32 19.5 TFLOPS</w:t>
            </w:r>
          </w:p>
          <w:p>
            <w:pPr>
              <w:pStyle w:val="null3"/>
              <w:jc w:val="both"/>
            </w:pPr>
            <w:r>
              <w:rPr>
                <w:sz w:val="20"/>
              </w:rPr>
              <w:t>TF32 Tensor Core 312 TFLOPS；</w:t>
            </w:r>
          </w:p>
          <w:p>
            <w:pPr>
              <w:pStyle w:val="null3"/>
              <w:jc w:val="both"/>
            </w:pPr>
            <w:r>
              <w:rPr>
                <w:sz w:val="20"/>
              </w:rPr>
              <w:t>BFLOAT16 624 TFL0PS；</w:t>
            </w:r>
          </w:p>
          <w:p>
            <w:pPr>
              <w:pStyle w:val="null3"/>
            </w:pPr>
            <w:r>
              <w:rPr>
                <w:sz w:val="20"/>
              </w:rPr>
              <w:t>INT8 Tensor Core 248 TFL0PS，显存≥80G</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阵列卡：配置</w:t>
            </w:r>
            <w:r>
              <w:rPr>
                <w:sz w:val="20"/>
              </w:rPr>
              <w:t>≥ 1块 直通阵列卡，要求支持RAID/12Gb/s/3008/SAS/2个8643/0,1,10，1ERAID级别</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网卡：配置</w:t>
            </w:r>
            <w:r>
              <w:rPr>
                <w:sz w:val="20"/>
              </w:rPr>
              <w:t>≥ 1块*含2*10G光模块双口/10G/光纤/以太网*1块；双口1G电口网卡*1块；≥1块*单口/100G/光纤/以太网+IB/QSFP56 网卡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专业图形与AI工作站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平台：</w:t>
            </w:r>
          </w:p>
          <w:p>
            <w:pPr>
              <w:pStyle w:val="null3"/>
              <w:jc w:val="both"/>
            </w:pPr>
            <w:r>
              <w:rPr>
                <w:sz w:val="20"/>
              </w:rPr>
              <w:t>1、5U塔式工作站，CPU+GPU液冷；</w:t>
            </w:r>
          </w:p>
          <w:p>
            <w:pPr>
              <w:pStyle w:val="null3"/>
              <w:jc w:val="both"/>
            </w:pPr>
            <w:r>
              <w:rPr>
                <w:sz w:val="20"/>
              </w:rPr>
              <w:t>▲2、支持≥1颗CPU；</w:t>
            </w:r>
          </w:p>
          <w:p>
            <w:pPr>
              <w:pStyle w:val="null3"/>
              <w:jc w:val="both"/>
            </w:pPr>
            <w:r>
              <w:rPr>
                <w:sz w:val="20"/>
              </w:rPr>
              <w:t>3、支持≥4根DDR5 non-ECC内存，最大128GB；</w:t>
            </w:r>
          </w:p>
          <w:p>
            <w:pPr>
              <w:pStyle w:val="null3"/>
              <w:jc w:val="both"/>
            </w:pPr>
            <w:r>
              <w:rPr>
                <w:sz w:val="20"/>
              </w:rPr>
              <w:t>4、支持≥4个SATA接口，2个3.5寸非热插拔HDD硬盘位和3个2.5寸SSD硬盘位；</w:t>
            </w:r>
          </w:p>
          <w:p>
            <w:pPr>
              <w:pStyle w:val="null3"/>
              <w:jc w:val="both"/>
            </w:pPr>
            <w:r>
              <w:rPr>
                <w:sz w:val="20"/>
              </w:rPr>
              <w:t>5、支持≥3个M.2 SSD；</w:t>
            </w:r>
          </w:p>
          <w:p>
            <w:pPr>
              <w:pStyle w:val="null3"/>
              <w:jc w:val="both"/>
            </w:pPr>
            <w:r>
              <w:rPr>
                <w:sz w:val="20"/>
              </w:rPr>
              <w:t>6、支持≥1*PCIE5.0 x16+3*PCIE4.0 x4（in x16）+1 * PCIE3.0 x1；集成1G网口*1</w:t>
            </w:r>
          </w:p>
          <w:p>
            <w:pPr>
              <w:pStyle w:val="null3"/>
              <w:jc w:val="both"/>
            </w:pPr>
            <w:r>
              <w:rPr>
                <w:sz w:val="20"/>
              </w:rPr>
              <w:t>7、支持≥1片液冷双宽GPU，最大功率450W；</w:t>
            </w:r>
          </w:p>
          <w:p>
            <w:pPr>
              <w:pStyle w:val="null3"/>
            </w:pPr>
            <w:r>
              <w:rPr>
                <w:sz w:val="20"/>
              </w:rPr>
              <w:t>8、支持≥1块1250W ATX 模组电源；</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CPU：配置≥1颗，CPU≥24核心/32线程/主频3.2GHz/缓存36MB/功耗125W/5600MHz</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w:t>
            </w:r>
            <w:r>
              <w:rPr>
                <w:sz w:val="20"/>
              </w:rPr>
              <w:t>≥128G DDR5内存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≥1块1T NVME M.2 SSD</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算力卡：配置</w:t>
            </w:r>
            <w:r>
              <w:rPr>
                <w:sz w:val="20"/>
              </w:rPr>
              <w:t>≥ 1块 RTX 5090D 32G显卡</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电源：配置</w:t>
            </w:r>
            <w:r>
              <w:rPr>
                <w:sz w:val="20"/>
              </w:rPr>
              <w:t>≥ 1块 1200W电源</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0"/>
              </w:rPr>
              <w:t>配件：配置</w:t>
            </w:r>
            <w:r>
              <w:rPr>
                <w:sz w:val="20"/>
              </w:rPr>
              <w:t>≥ 1套，机械键盘+鼠标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边缘AI平台（核心端侧设备）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边缘</w:t>
            </w:r>
            <w:r>
              <w:rPr>
                <w:sz w:val="20"/>
              </w:rPr>
              <w:t>AI平台（核心端侧设备）：配置≥AI性能≥270TOPS（INT8），GPU：2048CUDA核心+64Tensor核心，内存≥64GB LPDDR5，支持模型剪枝、量化、蒸馏部署，支持ROS2、TensorRT、TVM，具备USB-C、Ethernet、CSI摄像头接口，功耗≤50W</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高分辨率显示器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显示终端：全贴合高透光率玻璃面板，支持多角度、高度可调的人体工学支架设计，适配实验室多工位、长时间使用需求</w:t>
            </w:r>
          </w:p>
        </w:tc>
      </w:tr>
      <w:tr>
        <w:tc>
          <w:tcPr>
            <w:tcW w:type="dxa" w:w="2076"/>
          </w:tcPr>
          <w:p/>
        </w:tc>
        <w:tc>
          <w:tcPr>
            <w:tcW w:type="dxa" w:w="415"/>
          </w:tcPr>
          <w:p>
            <w:pPr>
              <w:pStyle w:val="null3"/>
            </w:pPr>
            <w:r>
              <w:rPr/>
              <w:t>2</w:t>
            </w:r>
          </w:p>
        </w:tc>
        <w:tc>
          <w:tcPr>
            <w:tcW w:type="dxa" w:w="5814"/>
          </w:tcPr>
          <w:p>
            <w:pPr>
              <w:pStyle w:val="null3"/>
            </w:pPr>
            <w:r>
              <w:rPr>
                <w:sz w:val="20"/>
              </w:rPr>
              <w:t>显示面板：</w:t>
            </w:r>
            <w:r>
              <w:rPr>
                <w:sz w:val="20"/>
              </w:rPr>
              <w:t>27 英寸超高清 5K 级显示面板，物理分辨率不低于 5120×2880，显示效果达到视网膜级标准，支持专业级色彩还原。</w:t>
            </w:r>
          </w:p>
        </w:tc>
      </w:tr>
      <w:tr>
        <w:tc>
          <w:tcPr>
            <w:tcW w:type="dxa" w:w="2076"/>
          </w:tcPr>
          <w:p/>
        </w:tc>
        <w:tc>
          <w:tcPr>
            <w:tcW w:type="dxa" w:w="415"/>
          </w:tcPr>
          <w:p>
            <w:pPr>
              <w:pStyle w:val="null3"/>
            </w:pPr>
            <w:r>
              <w:rPr/>
              <w:t>3</w:t>
            </w:r>
          </w:p>
        </w:tc>
        <w:tc>
          <w:tcPr>
            <w:tcW w:type="dxa" w:w="5814"/>
          </w:tcPr>
          <w:p>
            <w:pPr>
              <w:pStyle w:val="null3"/>
            </w:pPr>
            <w:r>
              <w:rPr>
                <w:sz w:val="20"/>
              </w:rPr>
              <w:t>色域：色域覆盖</w:t>
            </w:r>
            <w:r>
              <w:rPr>
                <w:sz w:val="20"/>
              </w:rPr>
              <w:t>100% P3 广色域，色深≥10bit，支持出厂校色与专业色彩校准。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AI服务器管理前端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计算架构：</w:t>
            </w:r>
            <w:r>
              <w:rPr>
                <w:sz w:val="20"/>
              </w:rPr>
              <w:t>AI加速单元与图形处理引擎，满足AI服务器前端管理、数据处理、多任务并行运算需求。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数据缓存：不低于</w:t>
            </w:r>
            <w:r>
              <w:rPr>
                <w:sz w:val="20"/>
              </w:rPr>
              <w:t>24GB高速统一缓存及512GB高速固态存储</w:t>
            </w:r>
          </w:p>
        </w:tc>
      </w:tr>
      <w:tr>
        <w:tc>
          <w:tcPr>
            <w:tcW w:type="dxa" w:w="2076"/>
          </w:tcPr>
          <w:p/>
        </w:tc>
        <w:tc>
          <w:tcPr>
            <w:tcW w:type="dxa" w:w="415"/>
          </w:tcPr>
          <w:p>
            <w:pPr>
              <w:pStyle w:val="null3"/>
            </w:pPr>
            <w:r>
              <w:rPr/>
              <w:t>3</w:t>
            </w:r>
          </w:p>
        </w:tc>
        <w:tc>
          <w:tcPr>
            <w:tcW w:type="dxa" w:w="5814"/>
          </w:tcPr>
          <w:p>
            <w:pPr>
              <w:pStyle w:val="null3"/>
            </w:pPr>
            <w:r>
              <w:rPr>
                <w:sz w:val="20"/>
              </w:rPr>
              <w:t>通信模块：内置高速网络通信模块，配备多功能扩展接口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实验室共享终端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计算架构：自研高性能计算架构，集成智能加速与图形处理引擎，可满足科研数据处理、多任务并行运算需求。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数据缓存：不低于</w:t>
            </w:r>
            <w:r>
              <w:rPr>
                <w:sz w:val="20"/>
              </w:rPr>
              <w:t>24GB 高速统一缓存及 1TB 高速存储</w:t>
            </w:r>
          </w:p>
        </w:tc>
      </w:tr>
      <w:tr>
        <w:tc>
          <w:tcPr>
            <w:tcW w:type="dxa" w:w="2076"/>
          </w:tcPr>
          <w:p/>
        </w:tc>
        <w:tc>
          <w:tcPr>
            <w:tcW w:type="dxa" w:w="415"/>
          </w:tcPr>
          <w:p>
            <w:pPr>
              <w:pStyle w:val="null3"/>
            </w:pPr>
            <w:r>
              <w:rPr/>
              <w:t>3</w:t>
            </w:r>
          </w:p>
        </w:tc>
        <w:tc>
          <w:tcPr>
            <w:tcW w:type="dxa" w:w="5814"/>
          </w:tcPr>
          <w:p>
            <w:pPr>
              <w:pStyle w:val="null3"/>
            </w:pPr>
            <w:r>
              <w:rPr>
                <w:sz w:val="20"/>
              </w:rPr>
              <w:t>视觉交互：支持广色域专业色彩还原，适配光学与图像类科研场景。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电子白板智慧屏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0"/>
              </w:rPr>
              <w:t>屏幕尺寸：</w:t>
            </w:r>
            <w:r>
              <w:rPr>
                <w:sz w:val="20"/>
              </w:rPr>
              <w:t>75英寸</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触摸屏类型：红外触摸</w:t>
            </w:r>
          </w:p>
        </w:tc>
      </w:tr>
      <w:tr>
        <w:tc>
          <w:tcPr>
            <w:tcW w:type="dxa" w:w="2076"/>
          </w:tcPr>
          <w:p/>
        </w:tc>
        <w:tc>
          <w:tcPr>
            <w:tcW w:type="dxa" w:w="415"/>
          </w:tcPr>
          <w:p>
            <w:pPr>
              <w:pStyle w:val="null3"/>
            </w:pPr>
            <w:r>
              <w:rPr/>
              <w:t>3</w:t>
            </w:r>
          </w:p>
        </w:tc>
        <w:tc>
          <w:tcPr>
            <w:tcW w:type="dxa" w:w="5814"/>
          </w:tcPr>
          <w:p>
            <w:pPr>
              <w:pStyle w:val="null3"/>
            </w:pPr>
            <w:r>
              <w:rPr>
                <w:sz w:val="20"/>
              </w:rPr>
              <w:t>色域值：</w:t>
            </w:r>
            <w:r>
              <w:rPr>
                <w:sz w:val="20"/>
              </w:rPr>
              <w:t>85%</w:t>
            </w:r>
          </w:p>
        </w:tc>
      </w:tr>
      <w:tr>
        <w:tc>
          <w:tcPr>
            <w:tcW w:type="dxa" w:w="2076"/>
          </w:tcPr>
          <w:p/>
        </w:tc>
        <w:tc>
          <w:tcPr>
            <w:tcW w:type="dxa" w:w="415"/>
          </w:tcPr>
          <w:p>
            <w:pPr>
              <w:pStyle w:val="null3"/>
            </w:pPr>
            <w:r>
              <w:rPr/>
              <w:t>4</w:t>
            </w:r>
          </w:p>
        </w:tc>
        <w:tc>
          <w:tcPr>
            <w:tcW w:type="dxa" w:w="5814"/>
          </w:tcPr>
          <w:p>
            <w:pPr>
              <w:pStyle w:val="null3"/>
            </w:pPr>
            <w:r>
              <w:rPr>
                <w:sz w:val="20"/>
              </w:rPr>
              <w:t>分辨率：</w:t>
            </w:r>
            <w:r>
              <w:rPr>
                <w:sz w:val="20"/>
              </w:rPr>
              <w:t>4K</w:t>
            </w:r>
          </w:p>
        </w:tc>
      </w:tr>
      <w:tr>
        <w:tc>
          <w:tcPr>
            <w:tcW w:type="dxa" w:w="2076"/>
          </w:tcPr>
          <w:p/>
        </w:tc>
        <w:tc>
          <w:tcPr>
            <w:tcW w:type="dxa" w:w="415"/>
          </w:tcPr>
          <w:p>
            <w:pPr>
              <w:pStyle w:val="null3"/>
            </w:pPr>
            <w:r>
              <w:rPr/>
              <w:t>5</w:t>
            </w:r>
          </w:p>
        </w:tc>
        <w:tc>
          <w:tcPr>
            <w:tcW w:type="dxa" w:w="5814"/>
          </w:tcPr>
          <w:p>
            <w:pPr>
              <w:pStyle w:val="null3"/>
            </w:pPr>
            <w:r>
              <w:rPr>
                <w:sz w:val="20"/>
              </w:rPr>
              <w:t>麦克风数量：</w:t>
            </w:r>
            <w:r>
              <w:rPr>
                <w:sz w:val="20"/>
              </w:rPr>
              <w:t>6阵列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采购包2（香港城市大学（东莞）2026年计算机科研设备（第一批）（采购包2））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中标人提供运输服务、安装服务、软件部署服务、调试测试服务。双方签订合同后，21天内送达采购人指定地点。设备送达采购人指定地点后，3天内完成设备的安装，5天内完成设备的调试。</w:t>
            </w:r>
          </w:p>
        </w:tc>
      </w:tr>
      <w:tr>
        <w:tc>
          <w:tcPr>
            <w:tcW w:type="dxa" w:w="4153"/>
          </w:tcPr>
          <w:p>
            <w:pPr>
              <w:pStyle w:val="null3"/>
            </w:pPr>
            <w:r>
              <w:rPr/>
              <w:t>标的提供的地点</w:t>
            </w:r>
          </w:p>
        </w:tc>
        <w:tc>
          <w:tcPr>
            <w:tcW w:type="dxa" w:w="4153"/>
          </w:tcPr>
          <w:p>
            <w:pPr>
              <w:pStyle w:val="null3"/>
            </w:pPr>
            <w:r>
              <w:rPr/>
              <w:t>香港城市大学（东莞）。</w:t>
            </w:r>
          </w:p>
        </w:tc>
      </w:tr>
      <w:tr>
        <w:tc>
          <w:tcPr>
            <w:tcW w:type="dxa" w:w="4153"/>
          </w:tcPr>
          <w:p>
            <w:pPr>
              <w:pStyle w:val="null3"/>
            </w:pPr>
            <w:r>
              <w:rPr/>
              <w:t>付款方式</w:t>
            </w:r>
          </w:p>
        </w:tc>
        <w:tc>
          <w:tcPr>
            <w:tcW w:type="dxa" w:w="4153"/>
          </w:tcPr>
          <w:p>
            <w:pPr>
              <w:pStyle w:val="null3"/>
            </w:pPr>
            <w:r>
              <w:rPr/>
              <w:t>1期：支付比例30%,采购人与中标人签订合同之日起并收到中标人开具的正式足额增值税发票后，采购人应在10个工作日内向中标人支付本合同金额的30%作为预付款；</w:t>
            </w:r>
          </w:p>
          <w:p>
            <w:pPr>
              <w:pStyle w:val="null3"/>
            </w:pPr>
            <w:r>
              <w:rPr/>
              <w:t>2期：支付比例50%,中标人按照双方签订合同的通用条款及专用条款附件与约定的实际交货内容及时间完成相关交货后,中标人开具的正式足额增值税发票给采购人，采购人应在收到发票后10个工作日内向中标人支付本合同金额的50%作为交货款；</w:t>
            </w:r>
          </w:p>
          <w:p>
            <w:pPr>
              <w:pStyle w:val="null3"/>
            </w:pPr>
            <w:r>
              <w:rPr/>
              <w:t>3期：支付比例20%,采购人按照双方签订合同的通用条款及专用条款附件的约定进行相应批次履约评价及验收,相应批次的履约评价完成且验收合格并收到中标人开具的正式足额增值税发票后，采购人应在10个工作日内向中标人支付合同剩余金额的20%。 注： 1.本项目资金来源为地方政府专项债资金（发债资金），相关付款程序严格遵守东莞市（或项目所在镇街）政府财政资金支付程序规定。因政府原因造成迟延支付的，采购人不构成违约，无需向中标人承担违约责任本项目费用。 2.按照东莞市政府财政资金支付程序，本项目计划列入2026年第三季度付款，采购人与中标人签订采购合同后，具体付款以财政资金支付审批结果为准。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当满足以下条件时，采购人才向中标人签发货物验收报告： （1）设备全新,外观无伤痕变形或明显修饰痕迹。 （2）如有国标，必须符合有关规定；如无国标，则按照行业标准；如无国标及行业标准，则按双方约定执行。投标文件提供的技术数据经实测证实是真实的。检验及质量保证期内达到的性能指标与要求一致，达到或优于相应标准。 （3）技术文件资料、备件等已按规定数量移交完毕。 （4）按照招标文件要求及投标文件提供的技术要求验收必须合格。 （5）投标人提供的各种文件载明的内容必须真实，其技术数据采购人有权要求投标人无偿提供采购人认可的第三方按照双方同意的试验方法进行检测。检测结果必须证明投标人提供的技术数据是真实的，否则视为不合格。 （6）在货物安装调试合格后，所有技术指标达到技术规范书要求，经验收合格后，双方共同签署验收报告。 （7）专家验收：最终验收时，验收小组不少于5人，由需求部门代表、资产管理部门代表、归口部门代表、项目负责人、相关专业技术人员等组成，验收合格后出具验收报告验收小组依据招标文件、中标人投标文件、合同及国家/行业标准，对所有设备的技术指标、配套资料等进行全面检验，并形成书面《最终验收报告》。验收报告需经所有小组成员签字确认。验收不合格的，中标人应在15日内完成整改并重新提交验收，整改期间采购人有权按合同约定追究中标人逾期交货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合同签订，1.采购合同应当自中标通知书发出三十个日历日内按照招标文件、采购需求部门起草的学校采购合同和中标人的投标文件签订书面采购合同，超出投标有效期未签订采购合同的，采购人有权取消其中标资格。 2.签订政府采购合同后，在两个工作日内，中标人需配合采购人将政府采购合同上传至广东政府采购智慧云平台进行公开和备案。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包括标的设备（原装、全新合格的设备）、相关附件、配套设施、税费、运费、保险费、仓储费、安装调试、培训、质保等的全部费用，在项目实施过程中出现报价内容的任何遗漏，均由中标人负责相关费用，采购人将不再支付任何费用。且投标报价不得超过项目总预算金额及各采购包的预算金额，否则视为无效报价。 2.货物的分项单价及分项总价报价不能超过对应的分项预算单价及分项预算总价，否则报价无效。</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运输及包装方式</w:t>
            </w:r>
          </w:p>
        </w:tc>
        <w:tc>
          <w:tcPr>
            <w:tcW w:type="dxa" w:w="2076"/>
          </w:tcPr>
          <w:p>
            <w:pPr>
              <w:pStyle w:val="null3"/>
              <w:jc w:val="left"/>
            </w:pPr>
            <w:r>
              <w:rPr/>
              <w:t>中标人负责产品正式验收合格前的一切费用（包括运输、包装、仓储、安装、保险等费用）。包装方式按照原厂出厂原标准，中标人承担由于其包装或其防护措施不妥而引起货物锈蚀、损坏和丢失等任何损失。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质保期/维保期</w:t>
            </w:r>
          </w:p>
        </w:tc>
        <w:tc>
          <w:tcPr>
            <w:tcW w:type="dxa" w:w="2076"/>
          </w:tcPr>
          <w:p>
            <w:pPr>
              <w:pStyle w:val="null3"/>
              <w:jc w:val="left"/>
            </w:pPr>
            <w:r>
              <w:rPr/>
              <w:t>质保期： 1.质保期3年，时间自采购人最终验收合格之日起计。质保期内，因产品自身设计、制造、材料等原因导致的任何故障或损坏，中标人应负责维修或更换，质保期内所产生的费用由中标人承担，采购人不另行支付。 2.质保期内因产品自身质量问题导致的故障，供方免费维修或更换，响应时间不超过4小时，到达现场时间不超过24小时。 维保期： 质保期满后，提供2年可选维保服务（费用另计），包含每半年一次巡检、固件升级、性能优化，故障维修仅收取零部件成本费。</w:t>
            </w:r>
          </w:p>
        </w:tc>
      </w:tr>
      <w:tr>
        <w:tc>
          <w:tcPr>
            <w:tcW w:type="dxa" w:w="2076"/>
          </w:tcPr>
          <w:p/>
        </w:tc>
        <w:tc>
          <w:tcPr>
            <w:tcW w:type="dxa" w:w="2076"/>
          </w:tcPr>
          <w:p>
            <w:pPr>
              <w:pStyle w:val="null3"/>
              <w:jc w:val="center"/>
            </w:pPr>
            <w:r>
              <w:rPr/>
              <w:t>4</w:t>
            </w:r>
          </w:p>
        </w:tc>
        <w:tc>
          <w:tcPr>
            <w:tcW w:type="dxa" w:w="2076"/>
          </w:tcPr>
          <w:p>
            <w:pPr>
              <w:pStyle w:val="null3"/>
              <w:jc w:val="left"/>
            </w:pPr>
            <w:r>
              <w:rPr/>
              <w:t>服务标准/售后服务要求</w:t>
            </w:r>
          </w:p>
        </w:tc>
        <w:tc>
          <w:tcPr>
            <w:tcW w:type="dxa" w:w="2076"/>
          </w:tcPr>
          <w:p>
            <w:pPr>
              <w:pStyle w:val="null3"/>
              <w:jc w:val="left"/>
            </w:pPr>
            <w:r>
              <w:rPr/>
              <w:t>1.质保期限：原厂硬件设备质保期内免费保修、所有软件终身免费保修升级。 2响应时效：电话报修后4小时上门服务、24小时内排除故障。 3.售后服务要求：所有硬件过免费质保期后按原价维修（按投标货物价格数量表所列价格，更换零部件的按合同签订时的零部件价格）、所有软件3年免费保修升级期过后按原价的进行维修升级，响应速度同质保期响应速度。</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1.投标人应派专业技术人员对采购人指定人员进行1天的免费培训及指导，直至其完全掌握设备的基本故障处理技术。 2.现场培训：投标人应提供现场技术培训，保证使用人员正常操作设备的各种功能。</w:t>
            </w:r>
          </w:p>
        </w:tc>
      </w:tr>
      <w:tr>
        <w:tc>
          <w:tcPr>
            <w:tcW w:type="dxa" w:w="2076"/>
          </w:tcPr>
          <w:p/>
        </w:tc>
        <w:tc>
          <w:tcPr>
            <w:tcW w:type="dxa" w:w="2076"/>
          </w:tcPr>
          <w:p>
            <w:pPr>
              <w:pStyle w:val="null3"/>
              <w:jc w:val="center"/>
            </w:pPr>
            <w:r>
              <w:rPr/>
              <w:t>6</w:t>
            </w:r>
          </w:p>
        </w:tc>
        <w:tc>
          <w:tcPr>
            <w:tcW w:type="dxa" w:w="2076"/>
          </w:tcPr>
          <w:p>
            <w:pPr>
              <w:pStyle w:val="null3"/>
              <w:jc w:val="left"/>
            </w:pPr>
            <w:r>
              <w:rPr/>
              <w:t>安装、调试、验收及相关技术文件、资料</w:t>
            </w:r>
          </w:p>
        </w:tc>
        <w:tc>
          <w:tcPr>
            <w:tcW w:type="dxa" w:w="2076"/>
          </w:tcPr>
          <w:p>
            <w:pPr>
              <w:pStyle w:val="null3"/>
              <w:jc w:val="left"/>
            </w:pPr>
            <w:r>
              <w:rPr/>
              <w:t>1.中标人将产品运输并卸至采购人指定地点，采购人将会同中标人及相关单位在到货后3个工作日内共同进行开箱检验。 2.中标人负责免费安装、调试。安装、调试完成后，由采购人组织技术验收和商务验收，中标人做好协助配合。验收合格后签署《验收报告》。 3.验收中如发现有质量不合格或型号规格、数量等与送货清单不符、提交的技术文件和资料不完整等情形，中标人应免费更换或补齐。 4.中标人应向采购人提供但不限于如下技术文件和资料： （1）产品安装、操作和维修保养手册； （2）产品使用说明书； （3）产品出厂检验合格证； （4）产品到货清单； （5）产品保修证明。</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发债资金管理特别条款</w:t>
            </w:r>
          </w:p>
        </w:tc>
        <w:tc>
          <w:tcPr>
            <w:tcW w:type="dxa" w:w="2076"/>
          </w:tcPr>
          <w:p>
            <w:pPr>
              <w:pStyle w:val="null3"/>
              <w:jc w:val="left"/>
            </w:pPr>
            <w:r>
              <w:rPr/>
              <w:t>1.专款专用：中标人知悉并同意，本合同项下资金来源于地方政府专项债券资金，必须严格用于本项目下的货物采购及相关服务，不得挪作他用。采购人有权要求中标人配合提供资金使用情况的说明或证明材料。 2.按进度申请拨付：实际支付时间取决于财政部门和债券资金监管机构的审批流程。采购人在收到中标人合规的付款申请及发票后，将按程序向财政部门申请拨付资金。因财政审批、国库集中支付或债券资金下达延迟导致的付款延迟，不视为采购人违约。 3.绩效评价配合：中标人应无条件配合采购人及上级财政、审计部门进行的项目绩效评价工作，按要求提供设备使用数据、课程开设记录、学生实训报告等佐证材料。 4.信息公开：本项目属于债券资金支持项目，采购人将按地方政府债务信息公开办法公示采购合同、验收报告、绩效评价结果等信息。中标人同意在不泄露其企业重要信息的前提下，配合进行必要的信息公开。</w:t>
            </w:r>
          </w:p>
        </w:tc>
      </w:tr>
      <w:tr>
        <w:tc>
          <w:tcPr>
            <w:tcW w:type="dxa" w:w="2076"/>
          </w:tcPr>
          <w:p/>
        </w:tc>
        <w:tc>
          <w:tcPr>
            <w:tcW w:type="dxa" w:w="2076"/>
          </w:tcPr>
          <w:p>
            <w:pPr>
              <w:pStyle w:val="null3"/>
              <w:jc w:val="center"/>
            </w:pPr>
            <w:r>
              <w:rPr/>
              <w:t>8</w:t>
            </w:r>
          </w:p>
        </w:tc>
        <w:tc>
          <w:tcPr>
            <w:tcW w:type="dxa" w:w="2076"/>
          </w:tcPr>
          <w:p>
            <w:pPr>
              <w:pStyle w:val="null3"/>
              <w:jc w:val="left"/>
            </w:pPr>
            <w:r>
              <w:rPr/>
              <w:t>发票类型</w:t>
            </w:r>
          </w:p>
        </w:tc>
        <w:tc>
          <w:tcPr>
            <w:tcW w:type="dxa" w:w="2076"/>
          </w:tcPr>
          <w:p>
            <w:pPr>
              <w:pStyle w:val="null3"/>
              <w:jc w:val="left"/>
            </w:pPr>
            <w:r>
              <w:rPr/>
              <w:t>增值税专用发票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服务器</w:t>
            </w:r>
          </w:p>
        </w:tc>
        <w:tc>
          <w:tcPr>
            <w:tcW w:type="dxa" w:w="831"/>
          </w:tcPr>
          <w:p>
            <w:pPr>
              <w:pStyle w:val="null3"/>
              <w:jc w:val="left"/>
            </w:pPr>
            <w:r>
              <w:rPr/>
              <w:t>大规模基础模型研究算力平台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3,240,000.00</w:t>
            </w:r>
          </w:p>
        </w:tc>
        <w:tc>
          <w:tcPr>
            <w:tcW w:type="dxa" w:w="831"/>
          </w:tcPr>
          <w:p>
            <w:pPr>
              <w:pStyle w:val="null3"/>
              <w:jc w:val="right"/>
            </w:pPr>
            <w:r>
              <w:rPr/>
              <w:t>6,480,000.00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服务器</w:t>
            </w:r>
          </w:p>
        </w:tc>
        <w:tc>
          <w:tcPr>
            <w:tcW w:type="dxa" w:w="831"/>
          </w:tcPr>
          <w:p>
            <w:pPr>
              <w:pStyle w:val="null3"/>
              <w:jc w:val="left"/>
            </w:pPr>
            <w:r>
              <w:rPr/>
              <w:t>高吞吐量异构计算平台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1,440,000.00</w:t>
            </w:r>
          </w:p>
        </w:tc>
        <w:tc>
          <w:tcPr>
            <w:tcW w:type="dxa" w:w="831"/>
          </w:tcPr>
          <w:p>
            <w:pPr>
              <w:pStyle w:val="null3"/>
              <w:jc w:val="right"/>
            </w:pPr>
            <w:r>
              <w:rPr/>
              <w:t>1,440,000.00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测绘仪器</w:t>
            </w:r>
          </w:p>
        </w:tc>
        <w:tc>
          <w:tcPr>
            <w:tcW w:type="dxa" w:w="831"/>
          </w:tcPr>
          <w:p>
            <w:pPr>
              <w:pStyle w:val="null3"/>
              <w:jc w:val="left"/>
            </w:pPr>
            <w:r>
              <w:rPr/>
              <w:t>激光雷达传感器系统</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240,000.00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液晶显示器</w:t>
            </w:r>
          </w:p>
        </w:tc>
        <w:tc>
          <w:tcPr>
            <w:tcW w:type="dxa" w:w="831"/>
          </w:tcPr>
          <w:p>
            <w:pPr>
              <w:pStyle w:val="null3"/>
              <w:jc w:val="left"/>
            </w:pPr>
            <w:r>
              <w:rPr/>
              <w:t>高分辨率显示器</w:t>
            </w:r>
          </w:p>
        </w:tc>
        <w:tc>
          <w:tcPr>
            <w:tcW w:type="dxa" w:w="831"/>
          </w:tcPr>
          <w:p>
            <w:pPr>
              <w:pStyle w:val="null3"/>
              <w:jc w:val="left"/>
            </w:pPr>
            <w:r>
              <w:rPr/>
              <w:t>台</w:t>
            </w:r>
          </w:p>
        </w:tc>
        <w:tc>
          <w:tcPr>
            <w:tcW w:type="dxa" w:w="831"/>
          </w:tcPr>
          <w:p>
            <w:pPr>
              <w:pStyle w:val="null3"/>
              <w:jc w:val="right"/>
            </w:pPr>
            <w:r>
              <w:rPr/>
              <w:t>32.00</w:t>
            </w:r>
          </w:p>
        </w:tc>
        <w:tc>
          <w:tcPr>
            <w:tcW w:type="dxa" w:w="831"/>
          </w:tcPr>
          <w:p>
            <w:pPr>
              <w:pStyle w:val="null3"/>
              <w:jc w:val="right"/>
            </w:pPr>
            <w:r>
              <w:rPr/>
              <w:t>12,000.00</w:t>
            </w:r>
          </w:p>
        </w:tc>
        <w:tc>
          <w:tcPr>
            <w:tcW w:type="dxa" w:w="831"/>
          </w:tcPr>
          <w:p>
            <w:pPr>
              <w:pStyle w:val="null3"/>
              <w:jc w:val="right"/>
            </w:pPr>
            <w:r>
              <w:rPr/>
              <w:t>384,000.00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大规模基础模型研究算力平台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机型：</w:t>
            </w:r>
            <w:r>
              <w:rPr>
                <w:sz w:val="20"/>
              </w:rPr>
              <w:t>4U 高性能异构计算服务器</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处理器：配置</w:t>
            </w:r>
            <w:r>
              <w:rPr>
                <w:sz w:val="20"/>
              </w:rPr>
              <w:t>≥2颗Intel Xeon Scalable 系列处理器，主频≥2Ghz，核心数≥ 64 核，缓存≥320 MB，TDP ≤330W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GPU：配置≥8块；每块显存≥141GB，内存带宽≥4.8TB/s，FP8 Tensor核心运算性能≥3341TFLOPS，FP16 Tensor核心运算性能≥1671TFLOPS，TF32 Tensor核心运算性能≥835TFLOPS, FP32性能≥60TFLOPS，FP64 Tensor核心运算性能≥60TFLOPS，FP64性能≥30TFLOPS，4卡 NVIDIA NVLink bridge≥ 900GB/s，本次配置2个NVIDIA[1.1] 4-way NVLink Bridge，最大散热设计功耗≥600w</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内存：配置</w:t>
            </w:r>
            <w:r>
              <w:rPr>
                <w:sz w:val="20"/>
              </w:rPr>
              <w:t>≥8根64GB DDR5 5600 RDIMM ECC内存条,最大支持32根内存插槽</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系统盘：配置</w:t>
            </w:r>
            <w:r>
              <w:rPr>
                <w:sz w:val="20"/>
              </w:rPr>
              <w:t>≥1块1.92TB SATA SSD硬盘</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0"/>
              </w:rPr>
              <w:t>数据盘：配置</w:t>
            </w:r>
            <w:r>
              <w:rPr>
                <w:sz w:val="20"/>
              </w:rPr>
              <w:t>≥5块10TB 7.2K SATA 3.5 英寸企业级硬盘</w:t>
            </w:r>
          </w:p>
        </w:tc>
      </w:tr>
      <w:tr>
        <w:tc>
          <w:tcPr>
            <w:tcW w:type="dxa" w:w="2076"/>
          </w:tcPr>
          <w:p/>
        </w:tc>
        <w:tc>
          <w:tcPr>
            <w:tcW w:type="dxa" w:w="415"/>
          </w:tcPr>
          <w:p>
            <w:pPr>
              <w:pStyle w:val="null3"/>
            </w:pPr>
            <w:r>
              <w:rPr/>
              <w:t>7</w:t>
            </w:r>
          </w:p>
        </w:tc>
        <w:tc>
          <w:tcPr>
            <w:tcW w:type="dxa" w:w="5814"/>
          </w:tcPr>
          <w:p>
            <w:pPr>
              <w:pStyle w:val="null3"/>
            </w:pPr>
            <w:r>
              <w:rPr>
                <w:sz w:val="20"/>
              </w:rPr>
              <w:t>阵列卡：配置</w:t>
            </w:r>
            <w:r>
              <w:rPr>
                <w:sz w:val="20"/>
              </w:rPr>
              <w:t>≥1张2GB 缓存RAID卡，支持RAID0/1/5/6等</w:t>
            </w:r>
          </w:p>
        </w:tc>
      </w:tr>
      <w:tr>
        <w:tc>
          <w:tcPr>
            <w:tcW w:type="dxa" w:w="2076"/>
          </w:tcPr>
          <w:p/>
        </w:tc>
        <w:tc>
          <w:tcPr>
            <w:tcW w:type="dxa" w:w="415"/>
          </w:tcPr>
          <w:p>
            <w:pPr>
              <w:pStyle w:val="null3"/>
            </w:pPr>
            <w:r>
              <w:rPr/>
              <w:t>8</w:t>
            </w:r>
          </w:p>
        </w:tc>
        <w:tc>
          <w:tcPr>
            <w:tcW w:type="dxa" w:w="5814"/>
          </w:tcPr>
          <w:p>
            <w:pPr>
              <w:pStyle w:val="null3"/>
            </w:pPr>
            <w:r>
              <w:rPr>
                <w:sz w:val="20"/>
              </w:rPr>
              <w:t>网卡：配置</w:t>
            </w:r>
            <w:r>
              <w:rPr>
                <w:sz w:val="20"/>
              </w:rPr>
              <w:t>≥1张双端口10GbE RJ45网卡，配置≥1张双端口 ConnectX-6 InfiniBand/以太网适配 100G IB网卡</w:t>
            </w:r>
          </w:p>
        </w:tc>
      </w:tr>
      <w:tr>
        <w:tc>
          <w:tcPr>
            <w:tcW w:type="dxa" w:w="2076"/>
          </w:tcPr>
          <w:p/>
        </w:tc>
        <w:tc>
          <w:tcPr>
            <w:tcW w:type="dxa" w:w="415"/>
          </w:tcPr>
          <w:p>
            <w:pPr>
              <w:pStyle w:val="null3"/>
            </w:pPr>
            <w:r>
              <w:rPr/>
              <w:t>9</w:t>
            </w:r>
          </w:p>
        </w:tc>
        <w:tc>
          <w:tcPr>
            <w:tcW w:type="dxa" w:w="5814"/>
          </w:tcPr>
          <w:p>
            <w:pPr>
              <w:pStyle w:val="null3"/>
            </w:pPr>
            <w:r>
              <w:rPr>
                <w:sz w:val="20"/>
              </w:rPr>
              <w:t>电源：配置</w:t>
            </w:r>
            <w:r>
              <w:rPr>
                <w:sz w:val="20"/>
              </w:rPr>
              <w:t>≥4颗2700W电源，支持2+2冗余</w:t>
            </w:r>
          </w:p>
        </w:tc>
      </w:tr>
      <w:tr>
        <w:tc>
          <w:tcPr>
            <w:tcW w:type="dxa" w:w="2076"/>
          </w:tcPr>
          <w:p/>
        </w:tc>
        <w:tc>
          <w:tcPr>
            <w:tcW w:type="dxa" w:w="415"/>
          </w:tcPr>
          <w:p>
            <w:pPr>
              <w:pStyle w:val="null3"/>
            </w:pPr>
            <w:r>
              <w:rPr/>
              <w:t>10</w:t>
            </w:r>
          </w:p>
        </w:tc>
        <w:tc>
          <w:tcPr>
            <w:tcW w:type="dxa" w:w="5814"/>
          </w:tcPr>
          <w:p>
            <w:pPr>
              <w:pStyle w:val="null3"/>
            </w:pPr>
            <w:r>
              <w:rPr>
                <w:sz w:val="20"/>
              </w:rPr>
              <w:t>保修：</w:t>
            </w:r>
            <w:r>
              <w:rPr>
                <w:sz w:val="20"/>
              </w:rPr>
              <w:t>3年原厂整机质保与技术支持</w:t>
            </w:r>
          </w:p>
        </w:tc>
      </w:tr>
      <w:tr>
        <w:tc>
          <w:tcPr>
            <w:tcW w:type="dxa" w:w="2076"/>
          </w:tcPr>
          <w:p/>
        </w:tc>
        <w:tc>
          <w:tcPr>
            <w:tcW w:type="dxa" w:w="415"/>
          </w:tcPr>
          <w:p>
            <w:pPr>
              <w:pStyle w:val="null3"/>
            </w:pPr>
            <w:r>
              <w:rPr/>
              <w:t>11</w:t>
            </w:r>
          </w:p>
        </w:tc>
        <w:tc>
          <w:tcPr>
            <w:tcW w:type="dxa" w:w="5814"/>
          </w:tcPr>
          <w:p>
            <w:pPr>
              <w:pStyle w:val="null3"/>
            </w:pPr>
            <w:r>
              <w:rPr>
                <w:sz w:val="20"/>
              </w:rPr>
              <w:t>软件配套：配置</w:t>
            </w:r>
            <w:r>
              <w:rPr>
                <w:sz w:val="20"/>
              </w:rPr>
              <w:t>1套基于Kubernetes+Docker+GPU 架构，定位机器学习上层应用，免去客户编写代码的麻烦，快速开始深度学习任务的平台软件。软件基于容器基础，内置多种深度学习框架，兼具细粒度的权限管控，完善的数据与镜像的存储、隔离，提供多种交互式开发及 API 接口，可满足多用户、多场景的需求。管理整个系统的资源与用户，实现计算资源的集中管理、统一分配，如 CPU、GPU、内存、存储等资源的集中管理、分配，用户端的资源相互隔离，以作业方式动态分配计算资源以及计算资源回收等。</w:t>
            </w:r>
          </w:p>
        </w:tc>
      </w:tr>
      <w:tr>
        <w:tc>
          <w:tcPr>
            <w:tcW w:type="dxa" w:w="2076"/>
          </w:tcPr>
          <w:p/>
        </w:tc>
        <w:tc>
          <w:tcPr>
            <w:tcW w:type="dxa" w:w="415"/>
          </w:tcPr>
          <w:p>
            <w:pPr>
              <w:pStyle w:val="null3"/>
            </w:pPr>
            <w:r>
              <w:rPr/>
              <w:t>12</w:t>
            </w:r>
          </w:p>
        </w:tc>
        <w:tc>
          <w:tcPr>
            <w:tcW w:type="dxa" w:w="5814"/>
          </w:tcPr>
          <w:p>
            <w:pPr>
              <w:pStyle w:val="null3"/>
            </w:pPr>
            <w:r>
              <w:rPr>
                <w:sz w:val="20"/>
              </w:rPr>
              <w:t>其他：提供视觉开源算法基础环境的功能，提供基于</w:t>
            </w:r>
            <w:r>
              <w:rPr>
                <w:sz w:val="20"/>
              </w:rPr>
              <w:t>Python应用的开发环境功能，算法数据和环境可根据实际需求定制开发功能</w:t>
            </w:r>
          </w:p>
        </w:tc>
      </w:tr>
      <w:tr>
        <w:tc>
          <w:tcPr>
            <w:tcW w:type="dxa" w:w="2076"/>
          </w:tcPr>
          <w:p/>
        </w:tc>
        <w:tc>
          <w:tcPr>
            <w:tcW w:type="dxa" w:w="415"/>
          </w:tcPr>
          <w:p>
            <w:pPr>
              <w:pStyle w:val="null3"/>
            </w:pPr>
            <w:r>
              <w:rPr/>
              <w:t>13</w:t>
            </w:r>
          </w:p>
        </w:tc>
        <w:tc>
          <w:tcPr>
            <w:tcW w:type="dxa" w:w="5814"/>
          </w:tcPr>
          <w:p>
            <w:pPr>
              <w:pStyle w:val="null3"/>
            </w:pPr>
            <w:r>
              <w:rPr>
                <w:sz w:val="20"/>
              </w:rPr>
              <w:t>其他：提供基于英伟达和英特尔环境下的标准视觉算法应用环境包集成功能，英特尔环境包需提供不同硬件环境的可执行编译功能，提供用户可直接在平台内进行环境包下载，也可通过平台提供的对外环境进行官方环境包下载的功能</w:t>
            </w:r>
          </w:p>
        </w:tc>
      </w:tr>
      <w:tr>
        <w:tc>
          <w:tcPr>
            <w:tcW w:type="dxa" w:w="2076"/>
          </w:tcPr>
          <w:p/>
        </w:tc>
        <w:tc>
          <w:tcPr>
            <w:tcW w:type="dxa" w:w="415"/>
          </w:tcPr>
          <w:p>
            <w:pPr>
              <w:pStyle w:val="null3"/>
            </w:pPr>
            <w:r>
              <w:rPr/>
              <w:t>14</w:t>
            </w:r>
          </w:p>
        </w:tc>
        <w:tc>
          <w:tcPr>
            <w:tcW w:type="dxa" w:w="5814"/>
          </w:tcPr>
          <w:p>
            <w:pPr>
              <w:pStyle w:val="null3"/>
            </w:pPr>
            <w:r>
              <w:rPr>
                <w:sz w:val="20"/>
              </w:rPr>
              <w:t>其他：视觉算法应用运行期间，能提供基础环境的监控功能，监控指标包含最大值，最小值，平均值等数字化信息，并针对数字信息在同界面提供实时曲线图展示功能，提供算法数据类型，应用程序入口，执行器等显示功能，针对运行期间的应用，提供</w:t>
            </w:r>
            <w:r>
              <w:rPr>
                <w:sz w:val="20"/>
              </w:rPr>
              <w:t>Log展示功能</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0"/>
              </w:rPr>
              <w:t>其他：硬件资源共享组件：支持基于底层基础硬件的共享功能，基础硬件共享由基于硬件的算法支持，共享需求提供</w:t>
            </w:r>
            <w:r>
              <w:rPr>
                <w:sz w:val="20"/>
              </w:rPr>
              <w:t>1/2,1/4,1/8功能，提供实际软件功能截图（非白皮书或彩页描述）并加盖投标人公章</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0"/>
              </w:rPr>
              <w:t>其他：管理员可以开启交互式任务运行时长限制，当交互式任务运行时间超过限制，平台删除任务并释放资源；管理员可以设置交互式任务数量限制，当数量超过限制时，用户无法提交交互式任务；管理员可以配置交互式任务资源模板，用户提交交互式任务时，单任务无法超过模板资源限制；管理员可以查看交互式任务空闲时长，并且删除空闲时间过长的任务，提供实际软件功能截图（非白皮书或彩页描述）并加盖投标人公章</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sz w:val="20"/>
              </w:rPr>
              <w:t>用户注册功能：用户注册功能</w:t>
            </w:r>
            <w:r>
              <w:rPr>
                <w:sz w:val="20"/>
              </w:rPr>
              <w:t>:应提供清晰开关，支持一键开启或关闭用户自行注册功能。支持对注册时的字段进行定义和管理，支持用户自行注册，提供实际软件功能截图（非白皮书或彩页描述）并加盖投标人公章</w:t>
            </w:r>
          </w:p>
        </w:tc>
      </w:tr>
      <w:tr>
        <w:tc>
          <w:tcPr>
            <w:tcW w:type="dxa" w:w="2076"/>
          </w:tcPr>
          <w:p/>
        </w:tc>
        <w:tc>
          <w:tcPr>
            <w:tcW w:type="dxa" w:w="415"/>
          </w:tcPr>
          <w:p>
            <w:pPr>
              <w:pStyle w:val="null3"/>
            </w:pPr>
            <w:r>
              <w:rPr/>
              <w:t>18</w:t>
            </w:r>
          </w:p>
        </w:tc>
        <w:tc>
          <w:tcPr>
            <w:tcW w:type="dxa" w:w="5814"/>
          </w:tcPr>
          <w:p>
            <w:pPr>
              <w:pStyle w:val="null3"/>
            </w:pPr>
            <w:r>
              <w:rPr>
                <w:sz w:val="20"/>
              </w:rPr>
              <w:t>安全员管理插件：安全员管理插件：提供安全员角色功能，安全审计员能对系统使用进行审计工作，提供对不良用户以及违规使用情况进行系统操作记录审计的功能</w:t>
            </w:r>
          </w:p>
        </w:tc>
      </w:tr>
      <w:tr>
        <w:tc>
          <w:tcPr>
            <w:tcW w:type="dxa" w:w="2076"/>
          </w:tcPr>
          <w:p/>
        </w:tc>
        <w:tc>
          <w:tcPr>
            <w:tcW w:type="dxa" w:w="415"/>
          </w:tcPr>
          <w:p>
            <w:pPr>
              <w:pStyle w:val="null3"/>
            </w:pPr>
            <w:r>
              <w:rPr/>
              <w:t>19</w:t>
            </w:r>
          </w:p>
        </w:tc>
        <w:tc>
          <w:tcPr>
            <w:tcW w:type="dxa" w:w="5814"/>
          </w:tcPr>
          <w:p>
            <w:pPr>
              <w:pStyle w:val="null3"/>
            </w:pPr>
            <w:r>
              <w:rPr>
                <w:sz w:val="20"/>
              </w:rPr>
              <w:t>公众号功能：公众号功能</w:t>
            </w:r>
            <w:r>
              <w:rPr>
                <w:sz w:val="20"/>
              </w:rPr>
              <w:t>:用户登录时可以选择关注软件公众号，关注后可在线查看用户手册包含普通用户与管理员手册，同时支持获取最新软件相关资讯和相关操作步骤，提供一个随时、随地、随身查看官方文档和寻求帮助的便捷渠道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高吞吐量异构计算平台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机型：</w:t>
            </w:r>
            <w:r>
              <w:rPr>
                <w:sz w:val="20"/>
              </w:rPr>
              <w:t>≥4U高性能异构计算服务器</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处理器：配置</w:t>
            </w:r>
            <w:r>
              <w:rPr>
                <w:sz w:val="20"/>
              </w:rPr>
              <w:t>≥2颗Intel Xeon系列处理器，主频≥2.6Ghz，核心数≥32核，缓存≥48 MB，TDP ≤240W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GPU：配置≥8块；每块显存≥80GB，内存带宽≥2039GB/s， INT8 Tensor核心运算性能≥1248TOPS，Tensor Float 32性能≥312TFLOPS, FP32性能≥19.5TFLOPS，FP64 Tensor核心运算性能≥19.5TFLOPS，FP64性能≥9.7TFLOPS， NVLink连接速率≥600GB/s，最大散热设计功耗≥400w</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内存：配置</w:t>
            </w:r>
            <w:r>
              <w:rPr>
                <w:sz w:val="20"/>
              </w:rPr>
              <w:t>≥16根64GB DDR4 3200 RDIMM ECC内存条</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系统盘：配置</w:t>
            </w:r>
            <w:r>
              <w:rPr>
                <w:sz w:val="20"/>
              </w:rPr>
              <w:t>≥1块7.68TB U.2 NVMe SSD硬盘</w:t>
            </w:r>
          </w:p>
        </w:tc>
      </w:tr>
      <w:tr>
        <w:tc>
          <w:tcPr>
            <w:tcW w:type="dxa" w:w="2076"/>
          </w:tcPr>
          <w:p/>
        </w:tc>
        <w:tc>
          <w:tcPr>
            <w:tcW w:type="dxa" w:w="415"/>
          </w:tcPr>
          <w:p>
            <w:pPr>
              <w:pStyle w:val="null3"/>
            </w:pPr>
            <w:r>
              <w:rPr/>
              <w:t>6</w:t>
            </w:r>
          </w:p>
        </w:tc>
        <w:tc>
          <w:tcPr>
            <w:tcW w:type="dxa" w:w="5814"/>
          </w:tcPr>
          <w:p>
            <w:pPr>
              <w:pStyle w:val="null3"/>
            </w:pPr>
            <w:r>
              <w:rPr>
                <w:sz w:val="20"/>
              </w:rPr>
              <w:t>网卡：配置</w:t>
            </w:r>
            <w:r>
              <w:rPr>
                <w:sz w:val="20"/>
              </w:rPr>
              <w:t>≥1张双端口 ConnectX-6 InfiniBand/以太网适配 100G IB网卡</w:t>
            </w:r>
          </w:p>
        </w:tc>
      </w:tr>
      <w:tr>
        <w:tc>
          <w:tcPr>
            <w:tcW w:type="dxa" w:w="2076"/>
          </w:tcPr>
          <w:p/>
        </w:tc>
        <w:tc>
          <w:tcPr>
            <w:tcW w:type="dxa" w:w="415"/>
          </w:tcPr>
          <w:p>
            <w:pPr>
              <w:pStyle w:val="null3"/>
            </w:pPr>
            <w:r>
              <w:rPr/>
              <w:t>7</w:t>
            </w:r>
          </w:p>
        </w:tc>
        <w:tc>
          <w:tcPr>
            <w:tcW w:type="dxa" w:w="5814"/>
          </w:tcPr>
          <w:p>
            <w:pPr>
              <w:pStyle w:val="null3"/>
            </w:pPr>
            <w:r>
              <w:rPr>
                <w:sz w:val="20"/>
              </w:rPr>
              <w:t>电源：配置</w:t>
            </w:r>
            <w:r>
              <w:rPr>
                <w:sz w:val="20"/>
              </w:rPr>
              <w:t>≥4颗3000W电源，支持2+2冗余</w:t>
            </w:r>
          </w:p>
        </w:tc>
      </w:tr>
      <w:tr>
        <w:tc>
          <w:tcPr>
            <w:tcW w:type="dxa" w:w="2076"/>
          </w:tcPr>
          <w:p/>
        </w:tc>
        <w:tc>
          <w:tcPr>
            <w:tcW w:type="dxa" w:w="415"/>
          </w:tcPr>
          <w:p>
            <w:pPr>
              <w:pStyle w:val="null3"/>
            </w:pPr>
            <w:r>
              <w:rPr/>
              <w:t>8</w:t>
            </w:r>
          </w:p>
        </w:tc>
        <w:tc>
          <w:tcPr>
            <w:tcW w:type="dxa" w:w="5814"/>
          </w:tcPr>
          <w:p>
            <w:pPr>
              <w:pStyle w:val="null3"/>
            </w:pPr>
            <w:r>
              <w:rPr>
                <w:sz w:val="20"/>
              </w:rPr>
              <w:t>保修：</w:t>
            </w:r>
            <w:r>
              <w:rPr>
                <w:sz w:val="20"/>
              </w:rPr>
              <w:t>3年原厂整机质保与技术支持</w:t>
            </w:r>
          </w:p>
        </w:tc>
      </w:tr>
      <w:tr>
        <w:tc>
          <w:tcPr>
            <w:tcW w:type="dxa" w:w="2076"/>
          </w:tcPr>
          <w:p/>
        </w:tc>
        <w:tc>
          <w:tcPr>
            <w:tcW w:type="dxa" w:w="415"/>
          </w:tcPr>
          <w:p>
            <w:pPr>
              <w:pStyle w:val="null3"/>
            </w:pPr>
            <w:r>
              <w:rPr/>
              <w:t>9</w:t>
            </w:r>
          </w:p>
        </w:tc>
        <w:tc>
          <w:tcPr>
            <w:tcW w:type="dxa" w:w="5814"/>
          </w:tcPr>
          <w:p>
            <w:pPr>
              <w:pStyle w:val="null3"/>
            </w:pPr>
            <w:r>
              <w:rPr>
                <w:sz w:val="20"/>
              </w:rPr>
              <w:t>软件配套：配置</w:t>
            </w:r>
            <w:r>
              <w:rPr>
                <w:sz w:val="20"/>
              </w:rPr>
              <w:t>1套基于Kubernetes+Docker+GPU 架构，定位机器学习上层应用，免去客户编写代码的麻烦，快速开始深度学习任务的平台软件。软件基于容器基础，内置多种深度学习框架，兼具细粒度的权限管控，完善的数据与镜像的存储、隔离，提供多种交互式开发及 API 接口，可满足多用户、多场景的需求。管理整个系统的资源与用户，实现计算资源的集中管理、统一分配，如 CPU、GPU、内存、存储等资源的集中管理、分配，用户端的资源相互隔离，以作业方式动态分配计算资源以及计算资源回收等。</w:t>
            </w:r>
          </w:p>
        </w:tc>
      </w:tr>
      <w:tr>
        <w:tc>
          <w:tcPr>
            <w:tcW w:type="dxa" w:w="2076"/>
          </w:tcPr>
          <w:p/>
        </w:tc>
        <w:tc>
          <w:tcPr>
            <w:tcW w:type="dxa" w:w="415"/>
          </w:tcPr>
          <w:p>
            <w:pPr>
              <w:pStyle w:val="null3"/>
            </w:pPr>
            <w:r>
              <w:rPr/>
              <w:t>10</w:t>
            </w:r>
          </w:p>
        </w:tc>
        <w:tc>
          <w:tcPr>
            <w:tcW w:type="dxa" w:w="5814"/>
          </w:tcPr>
          <w:p>
            <w:pPr>
              <w:pStyle w:val="null3"/>
            </w:pPr>
            <w:r>
              <w:rPr>
                <w:sz w:val="20"/>
              </w:rPr>
              <w:t>其他：提供视觉开源算法基础环境的功能，提供基于</w:t>
            </w:r>
            <w:r>
              <w:rPr>
                <w:sz w:val="20"/>
              </w:rPr>
              <w:t>Python应用的开发环境功能，算法数据和环境可根据实际需求定制开发功能</w:t>
            </w:r>
          </w:p>
        </w:tc>
      </w:tr>
      <w:tr>
        <w:tc>
          <w:tcPr>
            <w:tcW w:type="dxa" w:w="2076"/>
          </w:tcPr>
          <w:p/>
        </w:tc>
        <w:tc>
          <w:tcPr>
            <w:tcW w:type="dxa" w:w="415"/>
          </w:tcPr>
          <w:p>
            <w:pPr>
              <w:pStyle w:val="null3"/>
            </w:pPr>
            <w:r>
              <w:rPr/>
              <w:t>11</w:t>
            </w:r>
          </w:p>
        </w:tc>
        <w:tc>
          <w:tcPr>
            <w:tcW w:type="dxa" w:w="5814"/>
          </w:tcPr>
          <w:p>
            <w:pPr>
              <w:pStyle w:val="null3"/>
            </w:pPr>
            <w:r>
              <w:rPr>
                <w:sz w:val="20"/>
              </w:rPr>
              <w:t>其他：提供基于英伟达和英特尔环境下的标准视觉算法应用环境包集成功能，英特尔环境包需提供不同硬件环境的可执行编译功能，提供用户可直接在平台内进行环境包下载，也可通过平台提供的对外环境进行官方环境包下载的功能</w:t>
            </w:r>
          </w:p>
        </w:tc>
      </w:tr>
      <w:tr>
        <w:tc>
          <w:tcPr>
            <w:tcW w:type="dxa" w:w="2076"/>
          </w:tcPr>
          <w:p/>
        </w:tc>
        <w:tc>
          <w:tcPr>
            <w:tcW w:type="dxa" w:w="415"/>
          </w:tcPr>
          <w:p>
            <w:pPr>
              <w:pStyle w:val="null3"/>
            </w:pPr>
            <w:r>
              <w:rPr/>
              <w:t>12</w:t>
            </w:r>
          </w:p>
        </w:tc>
        <w:tc>
          <w:tcPr>
            <w:tcW w:type="dxa" w:w="5814"/>
          </w:tcPr>
          <w:p>
            <w:pPr>
              <w:pStyle w:val="null3"/>
            </w:pPr>
            <w:r>
              <w:rPr>
                <w:sz w:val="20"/>
              </w:rPr>
              <w:t>其他：视觉算法应用运行期间，能提供基础环境的监控功能，监控指标包含最大值，最小值，平均值等数字化信息，并针对数字信息在同界面提供实时曲线图展示功能，提供算法数据类型，应用程序入口，执行器等显示功能，针对运行期间的应用，提供</w:t>
            </w:r>
            <w:r>
              <w:rPr>
                <w:sz w:val="20"/>
              </w:rPr>
              <w:t>Log展示功能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0"/>
              </w:rPr>
              <w:t>其他：硬件资源共享组件：支持基于底层基础硬件的共享功能，基础硬件共享由基于硬件的算法支持，共享需求提供</w:t>
            </w:r>
            <w:r>
              <w:rPr>
                <w:sz w:val="20"/>
              </w:rPr>
              <w:t>1/2,1/4,1/8功能，提供实际软件功能截图（非白皮书或彩页描述）并加盖投标人公章。</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0"/>
              </w:rPr>
              <w:t>其他：管理员可以开启交互式任务运行时长限制，当交互式任务运行时间超过限制，平台删除任务并释放资源；管理员可以设置交互式任务数量限制，当数量超过限制时，用户无法提交交互式任务；管理员可以配置交互式任务资源模板，用户提交交互式任务时，单任务无法超过模板资源限制；管理员可以查看交互式任务空闲时长，并且删除空闲时间过长的任务，提供实际软件功能截图（非白皮书或彩页描述）并加盖投标人公章。</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0"/>
              </w:rPr>
              <w:t>用户注册功能：用户注册功能</w:t>
            </w:r>
            <w:r>
              <w:rPr>
                <w:sz w:val="20"/>
              </w:rPr>
              <w:t>:应提供清晰开关，支持一键开启或关闭用户自行注册功能。支持对注册时的字段进行定义和管理，支持用户自行注册，提供实际软件功能截图（非白皮书或彩页描述）并加盖投标人公章。</w:t>
            </w:r>
          </w:p>
        </w:tc>
      </w:tr>
      <w:tr>
        <w:tc>
          <w:tcPr>
            <w:tcW w:type="dxa" w:w="2076"/>
          </w:tcPr>
          <w:p/>
        </w:tc>
        <w:tc>
          <w:tcPr>
            <w:tcW w:type="dxa" w:w="415"/>
          </w:tcPr>
          <w:p>
            <w:pPr>
              <w:pStyle w:val="null3"/>
            </w:pPr>
            <w:r>
              <w:rPr/>
              <w:t>16</w:t>
            </w:r>
          </w:p>
        </w:tc>
        <w:tc>
          <w:tcPr>
            <w:tcW w:type="dxa" w:w="5814"/>
          </w:tcPr>
          <w:p>
            <w:pPr>
              <w:pStyle w:val="null3"/>
            </w:pPr>
            <w:r>
              <w:rPr>
                <w:sz w:val="20"/>
              </w:rPr>
              <w:t>安全员管理插件：安全员管理插件：提供安全员角色功能，安全审计员能对系统使用进行审计工作，提供对不良用户以及违规使用情况进行系统操作记录审计的功能</w:t>
            </w:r>
          </w:p>
        </w:tc>
      </w:tr>
      <w:tr>
        <w:tc>
          <w:tcPr>
            <w:tcW w:type="dxa" w:w="2076"/>
          </w:tcPr>
          <w:p/>
        </w:tc>
        <w:tc>
          <w:tcPr>
            <w:tcW w:type="dxa" w:w="415"/>
          </w:tcPr>
          <w:p>
            <w:pPr>
              <w:pStyle w:val="null3"/>
            </w:pPr>
            <w:r>
              <w:rPr/>
              <w:t>17</w:t>
            </w:r>
          </w:p>
        </w:tc>
        <w:tc>
          <w:tcPr>
            <w:tcW w:type="dxa" w:w="5814"/>
          </w:tcPr>
          <w:p>
            <w:pPr>
              <w:pStyle w:val="null3"/>
            </w:pPr>
            <w:r>
              <w:rPr>
                <w:sz w:val="20"/>
              </w:rPr>
              <w:t>公众号功能：用户登录时可以选择关注软件公众号，关注后可在线查看用户手册包含普通用户与管理员手册，同时支持获取最新软件相关资讯和相关操作步骤，提供一个随时、随地、随身查看官方文档和寻求帮助的便捷渠道</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激光雷达传感器系统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线数：</w:t>
            </w:r>
            <w:r>
              <w:rPr>
                <w:sz w:val="20"/>
              </w:rPr>
              <w:t>≥128</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激光波长：</w:t>
            </w:r>
            <w:r>
              <w:rPr>
                <w:sz w:val="20"/>
              </w:rPr>
              <w:t>≥905nm</w:t>
            </w:r>
          </w:p>
        </w:tc>
      </w:tr>
      <w:tr>
        <w:tc>
          <w:tcPr>
            <w:tcW w:type="dxa" w:w="2076"/>
          </w:tcPr>
          <w:p/>
        </w:tc>
        <w:tc>
          <w:tcPr>
            <w:tcW w:type="dxa" w:w="415"/>
          </w:tcPr>
          <w:p>
            <w:pPr>
              <w:pStyle w:val="null3"/>
            </w:pPr>
            <w:r>
              <w:rPr/>
              <w:t>3</w:t>
            </w:r>
          </w:p>
        </w:tc>
        <w:tc>
          <w:tcPr>
            <w:tcW w:type="dxa" w:w="5814"/>
          </w:tcPr>
          <w:p>
            <w:pPr>
              <w:pStyle w:val="null3"/>
            </w:pPr>
            <w:r>
              <w:rPr>
                <w:sz w:val="20"/>
              </w:rPr>
              <w:t>测距能力：</w:t>
            </w:r>
            <w:r>
              <w:rPr>
                <w:sz w:val="20"/>
              </w:rPr>
              <w:t>≥250m，并且在10%反射率下，测距≥240m：盲区：≤0.4m</w:t>
            </w:r>
          </w:p>
        </w:tc>
      </w:tr>
      <w:tr>
        <w:tc>
          <w:tcPr>
            <w:tcW w:type="dxa" w:w="2076"/>
          </w:tcPr>
          <w:p/>
        </w:tc>
        <w:tc>
          <w:tcPr>
            <w:tcW w:type="dxa" w:w="415"/>
          </w:tcPr>
          <w:p>
            <w:pPr>
              <w:pStyle w:val="null3"/>
            </w:pPr>
            <w:r>
              <w:rPr/>
              <w:t>4</w:t>
            </w:r>
          </w:p>
        </w:tc>
        <w:tc>
          <w:tcPr>
            <w:tcW w:type="dxa" w:w="5814"/>
          </w:tcPr>
          <w:p>
            <w:pPr>
              <w:pStyle w:val="null3"/>
            </w:pPr>
            <w:r>
              <w:rPr>
                <w:sz w:val="20"/>
              </w:rPr>
              <w:t>精度（典型值）：</w:t>
            </w:r>
            <w:r>
              <w:rPr>
                <w:sz w:val="20"/>
              </w:rPr>
              <w:t>≤2cm</w:t>
            </w:r>
          </w:p>
        </w:tc>
      </w:tr>
      <w:tr>
        <w:tc>
          <w:tcPr>
            <w:tcW w:type="dxa" w:w="2076"/>
          </w:tcPr>
          <w:p/>
        </w:tc>
        <w:tc>
          <w:tcPr>
            <w:tcW w:type="dxa" w:w="415"/>
          </w:tcPr>
          <w:p>
            <w:pPr>
              <w:pStyle w:val="null3"/>
            </w:pPr>
            <w:r>
              <w:rPr/>
              <w:t>5</w:t>
            </w:r>
          </w:p>
        </w:tc>
        <w:tc>
          <w:tcPr>
            <w:tcW w:type="dxa" w:w="5814"/>
          </w:tcPr>
          <w:p>
            <w:pPr>
              <w:pStyle w:val="null3"/>
            </w:pPr>
            <w:r>
              <w:rPr>
                <w:sz w:val="20"/>
              </w:rPr>
              <w:t>水平视场角：</w:t>
            </w:r>
            <w:r>
              <w:rPr>
                <w:sz w:val="20"/>
              </w:rPr>
              <w:t>≥360°</w:t>
            </w:r>
          </w:p>
        </w:tc>
      </w:tr>
      <w:tr>
        <w:tc>
          <w:tcPr>
            <w:tcW w:type="dxa" w:w="2076"/>
          </w:tcPr>
          <w:p/>
        </w:tc>
        <w:tc>
          <w:tcPr>
            <w:tcW w:type="dxa" w:w="415"/>
          </w:tcPr>
          <w:p>
            <w:pPr>
              <w:pStyle w:val="null3"/>
            </w:pPr>
            <w:r>
              <w:rPr/>
              <w:t>6</w:t>
            </w:r>
          </w:p>
        </w:tc>
        <w:tc>
          <w:tcPr>
            <w:tcW w:type="dxa" w:w="5814"/>
          </w:tcPr>
          <w:p>
            <w:pPr>
              <w:pStyle w:val="null3"/>
            </w:pPr>
            <w:r>
              <w:rPr>
                <w:sz w:val="20"/>
              </w:rPr>
              <w:t>垂直视场角：</w:t>
            </w:r>
            <w:r>
              <w:rPr>
                <w:sz w:val="20"/>
              </w:rPr>
              <w:t>≥70°</w:t>
            </w:r>
          </w:p>
        </w:tc>
      </w:tr>
      <w:tr>
        <w:tc>
          <w:tcPr>
            <w:tcW w:type="dxa" w:w="2076"/>
          </w:tcPr>
          <w:p/>
        </w:tc>
        <w:tc>
          <w:tcPr>
            <w:tcW w:type="dxa" w:w="415"/>
          </w:tcPr>
          <w:p>
            <w:pPr>
              <w:pStyle w:val="null3"/>
            </w:pPr>
            <w:r>
              <w:rPr/>
              <w:t>7</w:t>
            </w:r>
          </w:p>
        </w:tc>
        <w:tc>
          <w:tcPr>
            <w:tcW w:type="dxa" w:w="5814"/>
          </w:tcPr>
          <w:p>
            <w:pPr>
              <w:pStyle w:val="null3"/>
            </w:pPr>
            <w:r>
              <w:rPr>
                <w:sz w:val="20"/>
              </w:rPr>
              <w:t>防护等级：至少达到</w:t>
            </w:r>
            <w:r>
              <w:rPr>
                <w:sz w:val="20"/>
              </w:rPr>
              <w:t>IP67、IP6K9K</w:t>
            </w:r>
          </w:p>
        </w:tc>
      </w:tr>
      <w:tr>
        <w:tc>
          <w:tcPr>
            <w:tcW w:type="dxa" w:w="2076"/>
          </w:tcPr>
          <w:p/>
        </w:tc>
        <w:tc>
          <w:tcPr>
            <w:tcW w:type="dxa" w:w="415"/>
          </w:tcPr>
          <w:p>
            <w:pPr>
              <w:pStyle w:val="null3"/>
            </w:pPr>
            <w:r>
              <w:rPr/>
              <w:t>8</w:t>
            </w:r>
          </w:p>
        </w:tc>
        <w:tc>
          <w:tcPr>
            <w:tcW w:type="dxa" w:w="5814"/>
          </w:tcPr>
          <w:p>
            <w:pPr>
              <w:pStyle w:val="null3"/>
            </w:pPr>
            <w:r>
              <w:rPr>
                <w:sz w:val="20"/>
              </w:rPr>
              <w:t>时间同步方式：至少包含三种或三种以上</w:t>
            </w:r>
            <w:r>
              <w:rPr>
                <w:sz w:val="20"/>
              </w:rPr>
              <w:t>GPRMC with 1pps, PTP &amp; gPTP</w:t>
            </w:r>
          </w:p>
        </w:tc>
      </w:tr>
      <w:tr>
        <w:tc>
          <w:tcPr>
            <w:tcW w:type="dxa" w:w="2076"/>
          </w:tcPr>
          <w:p/>
        </w:tc>
        <w:tc>
          <w:tcPr>
            <w:tcW w:type="dxa" w:w="415"/>
          </w:tcPr>
          <w:p>
            <w:pPr>
              <w:pStyle w:val="null3"/>
            </w:pPr>
            <w:r>
              <w:rPr/>
              <w:t>9</w:t>
            </w:r>
          </w:p>
        </w:tc>
        <w:tc>
          <w:tcPr>
            <w:tcW w:type="dxa" w:w="5814"/>
          </w:tcPr>
          <w:p>
            <w:pPr>
              <w:pStyle w:val="null3"/>
            </w:pPr>
            <w:r>
              <w:rPr>
                <w:sz w:val="20"/>
              </w:rPr>
              <w:t>配置清单：激光雷达</w:t>
            </w:r>
            <w:r>
              <w:rPr>
                <w:sz w:val="20"/>
              </w:rPr>
              <w:t>4台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高分辨率显示器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专业显示终端：</w:t>
            </w:r>
            <w:r>
              <w:rPr>
                <w:sz w:val="20"/>
              </w:rPr>
              <w:t>IPS Black 超高清曲面面板，配备高度、俯仰、侧转可调的人体工学支架，适配实验室多任务并行、长时间科研作业需求。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显示面板：物理分辨率不低于</w:t>
            </w:r>
            <w:r>
              <w:rPr>
                <w:sz w:val="20"/>
              </w:rPr>
              <w:t>5120×2160，刷新率不低于 120Hz，显示效果达到专业级视网膜标准，支持多窗口分屏显示。</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色域：覆盖</w:t>
            </w:r>
            <w:r>
              <w:rPr>
                <w:sz w:val="20"/>
              </w:rPr>
              <w:t>99% DCI-P3、100% sRGB，出厂平均色准 ΔE＜2，支持专业色彩校准</w:t>
            </w:r>
          </w:p>
        </w:tc>
      </w:tr>
      <w:tr>
        <w:tc>
          <w:tcPr>
            <w:tcW w:type="dxa" w:w="2076"/>
          </w:tcPr>
          <w:p/>
        </w:tc>
        <w:tc>
          <w:tcPr>
            <w:tcW w:type="dxa" w:w="415"/>
          </w:tcPr>
          <w:p>
            <w:pPr>
              <w:pStyle w:val="null3"/>
            </w:pPr>
            <w:r>
              <w:rPr/>
              <w:t>4</w:t>
            </w:r>
          </w:p>
        </w:tc>
        <w:tc>
          <w:tcPr>
            <w:tcW w:type="dxa" w:w="5814"/>
          </w:tcPr>
          <w:p>
            <w:pPr>
              <w:pStyle w:val="null3"/>
            </w:pPr>
            <w:r>
              <w:rPr>
                <w:sz w:val="20"/>
              </w:rPr>
              <w:t>亮度：亮度不低于</w:t>
            </w:r>
            <w:r>
              <w:rPr>
                <w:sz w:val="20"/>
              </w:rPr>
              <w:t>600cd/㎡，对比度不低于 2000:1，通过专业护眼认证，支持 7×24 小时连续稳定运行，适配实验室全天候使用场景。</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采购包3（香港城市大学（东莞）2026年计算机科研设备（第一批）（采购包3））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中标人提供运输服务、安装服务、软件部署服务、调试测试服务。双方签订合同后，30天内送达采购人指定地点。设备送达采购人指定地点后，3天内完成设备的安装，5天内完成设备的调试。</w:t>
            </w:r>
          </w:p>
        </w:tc>
      </w:tr>
      <w:tr>
        <w:tc>
          <w:tcPr>
            <w:tcW w:type="dxa" w:w="4153"/>
          </w:tcPr>
          <w:p>
            <w:pPr>
              <w:pStyle w:val="null3"/>
            </w:pPr>
            <w:r>
              <w:rPr/>
              <w:t>标的提供的地点</w:t>
            </w:r>
          </w:p>
        </w:tc>
        <w:tc>
          <w:tcPr>
            <w:tcW w:type="dxa" w:w="4153"/>
          </w:tcPr>
          <w:p>
            <w:pPr>
              <w:pStyle w:val="null3"/>
            </w:pPr>
            <w:r>
              <w:rPr/>
              <w:t>香港城市大学（东莞）。</w:t>
            </w:r>
          </w:p>
        </w:tc>
      </w:tr>
      <w:tr>
        <w:tc>
          <w:tcPr>
            <w:tcW w:type="dxa" w:w="4153"/>
          </w:tcPr>
          <w:p>
            <w:pPr>
              <w:pStyle w:val="null3"/>
            </w:pPr>
            <w:r>
              <w:rPr/>
              <w:t>付款方式</w:t>
            </w:r>
          </w:p>
        </w:tc>
        <w:tc>
          <w:tcPr>
            <w:tcW w:type="dxa" w:w="4153"/>
          </w:tcPr>
          <w:p>
            <w:pPr>
              <w:pStyle w:val="null3"/>
            </w:pPr>
            <w:r>
              <w:rPr/>
              <w:t>1期：支付比例30%,采购人与中标人签订合同之日起并收到中标人开具的正式足额增值税发票后，采购人应在10个工作日内向中标人支付本合同金额的30%作为预付款；</w:t>
            </w:r>
          </w:p>
          <w:p>
            <w:pPr>
              <w:pStyle w:val="null3"/>
            </w:pPr>
            <w:r>
              <w:rPr/>
              <w:t>2期：支付比例50%,中标人按照双方签订合同的通用条款及专用条款附件与约定的实际交货内容及时间完成相关交货后,中标人开具的正式足额增值税发票给采购人，采购人应在收到发票后10个工作日内向中标人支付本合同金额的50%作为交货款；</w:t>
            </w:r>
          </w:p>
          <w:p>
            <w:pPr>
              <w:pStyle w:val="null3"/>
            </w:pPr>
            <w:r>
              <w:rPr/>
              <w:t>3期：支付比例20%,采购人按照双方签订合同的通用条款及专用条款附件的约定进行相应批次履约评价及验收,相应批次的履约评价完成且验收合格并收到中标人开具的正式足额增值税发票后，采购人应在10个工作日内向中标人支付合同剩余金额的20%。 注： 1.本项目资金来源为地方政府专项债资金（发债资金），相关付款程序严格遵守东莞市（或项目所在镇街）政府财政资金支付程序规定。因政府原因造成迟延支付的，采购人不构成违约，无需向中标人承担违约责任本项目费用。 2.按照东莞市政府财政资金支付程序，本项目计划列入2026年第三季度付款，采购人与中标人签订采购合同后，具体付款以财政资金支付审批结果为准。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当满足以下条件时，采购人才向中标人签发货物验收报告： （1）设备全新,外观无伤痕变形或明显修饰痕迹。 （2）如有国标，必须符合有关规定；如无国标，则按照行业标准；如无国标及行业标准，则按双方约定执行。投标文件提供的技术数据经实测证实是真实的。检验及质量保证期内达到的性能指标与要求一致，达到或优于相应标准。 （3）技术文件资料、备件等已按规定数量移交完毕。 （4）按照招标文件要求及投标文件提供的技术要求验收必须合格。 （5）投标人提供的各种文件载明的内容必须真实，其技术数据采购人有权要求投标人无偿提供采购人认可的第三方按照双方同意的试验方法进行检测。检测结果必须证明投标人提供的技术数据是真实的，否则视为不合格。 （6）在货物安装调试合格后，所有技术指标达到技术规范书要求，经验收合格后，双方共同签署验收报告。 （7）专家验收：最终验收时，验收小组不少于5人，由需求部门代表、资产管理部门代表、归口部门代表、项目负责人、相关专业技术人员等组成，验收合格后出具验收报告验收小组依据招标文件、中标人投标文件、合同及国家/行业标准，对所有设备的技术指标、配套资料等进行全面检验，并形成书面《最终验收报告》。验收报告需经所有小组成员签字确认。验收不合格的，中标人应在15日内完成整改并重新提交验收，整改期间采购人有权按合同约定追究中标人逾期交货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合同签订，1.采购合同应当自中标通知书发出三十个日历日内按照招标文件、采购需求部门起草的学校采购合同和中标人的投标文件签订书面采购合同，超出投标有效期未签订采购合同的，采购人有权取消其中标资格。 2.签订政府采购合同后，在两个工作日内，中标人需配合采购人将政府采购合同上传至广东政府采购智慧云平台进行公开和备案。</w:t>
            </w:r>
          </w:p>
          <w:p>
            <w:pPr>
              <w:pStyle w:val="null3"/>
            </w:pPr>
            <w:r>
              <w:rPr/>
              <w:t>二、人员要求，①投入本项目的项目团队负责人具有由人力资源和社会保障相关部门（含原人事部门）或工业和信息化相关部门颁发的系统集成项目管理工程师证书；②投入本项目的技术团队(项目团队负责人除外)不少于2人。</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报价应包括标的设备（原装、全新合格的设备）、相关附件、配套设施、税费、运费、保险费、仓储费、安装调试、培训、质保等的全部费用，在项目实施过程中出现报价内容的任何遗漏，均由中标人负责相关费用，采购人将不再支付任何费用。且投标报价不得超过项目总预算金额及各采购包的预算金额，否则视为无效报价。 2.货物的分项单价及分项总价报价不能超过对应的分项预算单价及分项预算总价，否则报价无效。</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运输及包装方式</w:t>
            </w:r>
          </w:p>
        </w:tc>
        <w:tc>
          <w:tcPr>
            <w:tcW w:type="dxa" w:w="2076"/>
          </w:tcPr>
          <w:p>
            <w:pPr>
              <w:pStyle w:val="null3"/>
              <w:jc w:val="left"/>
            </w:pPr>
            <w:r>
              <w:rPr/>
              <w:t>中标人负责产品正式验收合格前的一切费用（包括运输、包装、仓储、安装、保险等费用）。包装方式按照原厂出厂原标准，中标人承担由于其包装或其防护措施不妥而引起货物锈蚀、损坏和丢失等任何损失。</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质保期/维保期</w:t>
            </w:r>
          </w:p>
        </w:tc>
        <w:tc>
          <w:tcPr>
            <w:tcW w:type="dxa" w:w="2076"/>
          </w:tcPr>
          <w:p>
            <w:pPr>
              <w:pStyle w:val="null3"/>
              <w:jc w:val="left"/>
            </w:pPr>
            <w:r>
              <w:rPr/>
              <w:t>质保期： 1.质保期3年，时间自采购人最终验收合格之日起计。质保期内，因产品自身设计、制造、材料等原因导致的任何故障或损坏，中标人应负责维修或更换，质保期内所产生的费用由中标人承担，采购人不另行支付。 2.质保期内因产品自身质量问题导致的故障，供方免费维修或更换，响应时间不超过4小时，到达现场时间不超过24小时。 维保期： 质保期满后，提供2年可选维保服务（费用另计），包含每半年一次巡检、固件升级、性能优化，故障维修仅收取零部件成本费。</w:t>
            </w:r>
          </w:p>
        </w:tc>
      </w:tr>
      <w:tr>
        <w:tc>
          <w:tcPr>
            <w:tcW w:type="dxa" w:w="2076"/>
          </w:tcPr>
          <w:p/>
        </w:tc>
        <w:tc>
          <w:tcPr>
            <w:tcW w:type="dxa" w:w="2076"/>
          </w:tcPr>
          <w:p>
            <w:pPr>
              <w:pStyle w:val="null3"/>
              <w:jc w:val="center"/>
            </w:pPr>
            <w:r>
              <w:rPr/>
              <w:t>4</w:t>
            </w:r>
          </w:p>
        </w:tc>
        <w:tc>
          <w:tcPr>
            <w:tcW w:type="dxa" w:w="2076"/>
          </w:tcPr>
          <w:p>
            <w:pPr>
              <w:pStyle w:val="null3"/>
              <w:jc w:val="left"/>
            </w:pPr>
            <w:r>
              <w:rPr/>
              <w:t>服务标准/售后服务要求</w:t>
            </w:r>
          </w:p>
        </w:tc>
        <w:tc>
          <w:tcPr>
            <w:tcW w:type="dxa" w:w="2076"/>
          </w:tcPr>
          <w:p>
            <w:pPr>
              <w:pStyle w:val="null3"/>
              <w:jc w:val="left"/>
            </w:pPr>
            <w:r>
              <w:rPr/>
              <w:t>1.质保期限：原厂硬件设备质保期内免费保修、所有软件终身免费保修升级。 2响应时效：电话报修后4小时上门服务、24小时内排除故障。 3.售后服务要求：所有硬件过免费质保期后按原价维修（按投标货物价格数量表所列价格，更换零部件的按合同签订时的零部件价格）、所有软件3年免费保修升级期过后按原价的进行维修升级，响应速度同质保期响应速度。</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1.投标人应派专业技术人员对采购人指定人员进行1天的免费培训及指导，直至其完全掌握设备的基本故障处理技术。 2.现场培训：投标人应提供现场技术培训，保证使用人员正常操作设备的各种功能。</w:t>
            </w:r>
          </w:p>
        </w:tc>
      </w:tr>
      <w:tr>
        <w:tc>
          <w:tcPr>
            <w:tcW w:type="dxa" w:w="2076"/>
          </w:tcPr>
          <w:p/>
        </w:tc>
        <w:tc>
          <w:tcPr>
            <w:tcW w:type="dxa" w:w="2076"/>
          </w:tcPr>
          <w:p>
            <w:pPr>
              <w:pStyle w:val="null3"/>
              <w:jc w:val="center"/>
            </w:pPr>
            <w:r>
              <w:rPr/>
              <w:t>6</w:t>
            </w:r>
          </w:p>
        </w:tc>
        <w:tc>
          <w:tcPr>
            <w:tcW w:type="dxa" w:w="2076"/>
          </w:tcPr>
          <w:p>
            <w:pPr>
              <w:pStyle w:val="null3"/>
              <w:jc w:val="left"/>
            </w:pPr>
            <w:r>
              <w:rPr/>
              <w:t>安装、调试、验收及相关技术文件、资料</w:t>
            </w:r>
          </w:p>
        </w:tc>
        <w:tc>
          <w:tcPr>
            <w:tcW w:type="dxa" w:w="2076"/>
          </w:tcPr>
          <w:p>
            <w:pPr>
              <w:pStyle w:val="null3"/>
              <w:jc w:val="left"/>
            </w:pPr>
            <w:r>
              <w:rPr/>
              <w:t>1.中标人将产品运输并卸至采购人指定地点，采购人将会同中标人及相关单位在到货后3个工作日内共同进行开箱检验。 2.中标人负责免费安装、调试。安装、调试完成后，由采购人组织技术验收和商务验收，中标人做好协助配合。验收合格后签署《验收报告》。 3.验收中如发现有质量不合格或型号规格、数量等与送货清单不符、提交的技术文件和资料不完整等情形，中标人应免费更换或补齐。 4.中标人应向采购人提供但不限于如下技术文件和资料： （1）产品安装、操作和维修保养手册； （2）产品使用说明书； （3）产品出厂检验合格证； （4）产品到货清单； （5）产品保修证明。</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发债资金管理特别条款</w:t>
            </w:r>
          </w:p>
        </w:tc>
        <w:tc>
          <w:tcPr>
            <w:tcW w:type="dxa" w:w="2076"/>
          </w:tcPr>
          <w:p>
            <w:pPr>
              <w:pStyle w:val="null3"/>
              <w:jc w:val="left"/>
            </w:pPr>
            <w:r>
              <w:rPr/>
              <w:t>1.专款专用：中标人知悉并同意，本合同项下资金来源于地方政府专项债券资金，必须严格用于本项目下的货物采购及相关服务，不得挪作他用。采购人有权要求中标人配合提供资金使用情况的说明或证明材料。 2.按进度申请拨付：实际支付时间取决于财政部门和债券资金监管机构的审批流程。采购人在收到中标人合规的付款申请及发票后，将按程序向财政部门申请拨付资金。因财政审批、国库集中支付或债券资金下达延迟导致的付款延迟，不视为采购人违约。 3.绩效评价配合：中标人应无条件配合采购人及上级财政、审计部门进行的项目绩效评价工作，按要求提供设备使用数据、课程开设记录、学生实训报告等佐证材料。 4.信息公开：本项目属于债券资金支持项目，采购人将按地方政府债务信息公开办法公示采购合同、验收报告、绩效评价结果等信息。中标人同意在不泄露其企业重要信息的前提下，配合进行必要的信息公开。</w:t>
            </w:r>
          </w:p>
        </w:tc>
      </w:tr>
      <w:tr>
        <w:tc>
          <w:tcPr>
            <w:tcW w:type="dxa" w:w="2076"/>
          </w:tcPr>
          <w:p/>
        </w:tc>
        <w:tc>
          <w:tcPr>
            <w:tcW w:type="dxa" w:w="2076"/>
          </w:tcPr>
          <w:p>
            <w:pPr>
              <w:pStyle w:val="null3"/>
              <w:jc w:val="center"/>
            </w:pPr>
            <w:r>
              <w:rPr/>
              <w:t>8</w:t>
            </w:r>
          </w:p>
        </w:tc>
        <w:tc>
          <w:tcPr>
            <w:tcW w:type="dxa" w:w="2076"/>
          </w:tcPr>
          <w:p>
            <w:pPr>
              <w:pStyle w:val="null3"/>
              <w:jc w:val="left"/>
            </w:pPr>
            <w:r>
              <w:rPr/>
              <w:t>发票类型</w:t>
            </w:r>
          </w:p>
        </w:tc>
        <w:tc>
          <w:tcPr>
            <w:tcW w:type="dxa" w:w="2076"/>
          </w:tcPr>
          <w:p>
            <w:pPr>
              <w:pStyle w:val="null3"/>
              <w:jc w:val="left"/>
            </w:pPr>
            <w:r>
              <w:rPr/>
              <w:t>增值税专用发票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服务器</w:t>
            </w:r>
          </w:p>
        </w:tc>
        <w:tc>
          <w:tcPr>
            <w:tcW w:type="dxa" w:w="831"/>
          </w:tcPr>
          <w:p>
            <w:pPr>
              <w:pStyle w:val="null3"/>
              <w:jc w:val="left"/>
            </w:pPr>
            <w:r>
              <w:rPr/>
              <w:t>大规模基础模型研究算力平台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3,240,000.00</w:t>
            </w:r>
          </w:p>
        </w:tc>
        <w:tc>
          <w:tcPr>
            <w:tcW w:type="dxa" w:w="831"/>
          </w:tcPr>
          <w:p>
            <w:pPr>
              <w:pStyle w:val="null3"/>
              <w:jc w:val="right"/>
            </w:pPr>
            <w:r>
              <w:rPr/>
              <w:t>3,240,000.00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服务器</w:t>
            </w:r>
          </w:p>
        </w:tc>
        <w:tc>
          <w:tcPr>
            <w:tcW w:type="dxa" w:w="831"/>
          </w:tcPr>
          <w:p>
            <w:pPr>
              <w:pStyle w:val="null3"/>
              <w:jc w:val="left"/>
            </w:pPr>
            <w:r>
              <w:rPr/>
              <w:t>高吞吐量异构计算平台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1,440,000.00</w:t>
            </w:r>
          </w:p>
        </w:tc>
        <w:tc>
          <w:tcPr>
            <w:tcW w:type="dxa" w:w="831"/>
          </w:tcPr>
          <w:p>
            <w:pPr>
              <w:pStyle w:val="null3"/>
              <w:jc w:val="right"/>
            </w:pPr>
            <w:r>
              <w:rPr/>
              <w:t>1,440,000.00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服务器</w:t>
            </w:r>
          </w:p>
        </w:tc>
        <w:tc>
          <w:tcPr>
            <w:tcW w:type="dxa" w:w="831"/>
          </w:tcPr>
          <w:p>
            <w:pPr>
              <w:pStyle w:val="null3"/>
              <w:jc w:val="left"/>
            </w:pPr>
            <w:r>
              <w:rPr/>
              <w:t>智能算法仿真与验证平台</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420,000.00</w:t>
            </w:r>
          </w:p>
        </w:tc>
        <w:tc>
          <w:tcPr>
            <w:tcW w:type="dxa" w:w="831"/>
          </w:tcPr>
          <w:p>
            <w:pPr>
              <w:pStyle w:val="null3"/>
              <w:jc w:val="right"/>
            </w:pPr>
            <w:r>
              <w:rPr/>
              <w:t>1,680,000.00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大规模基础模型研究算力平台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规格：机架式服务器，高度</w:t>
            </w:r>
            <w:r>
              <w:rPr>
                <w:sz w:val="20"/>
              </w:rPr>
              <w:t>≥8U；</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处理器：配置</w:t>
            </w:r>
            <w:r>
              <w:rPr>
                <w:sz w:val="20"/>
              </w:rPr>
              <w:t>≥2 颗X86处理器，每颗核心数≥48核，主频≥2.1GHz，睿频≥3.8GHz，缓存≥105MB，TDP≥350W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w:t>
            </w:r>
            <w:r>
              <w:rPr>
                <w:sz w:val="20"/>
              </w:rPr>
              <w:t>≥24条64GB DDR5 5600MHz 服务器内存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≥1块1.92TB NVME U.2 SSD硬盘，配置≥3块20TB SATA HDD硬盘；</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算力单元</w:t>
            </w:r>
            <w:r>
              <w:rPr>
                <w:sz w:val="20"/>
              </w:rPr>
              <w:t>(GPU)：额外增加算力单元，数量≥8个，单个可提供≥34TFLOPS FP64性能，单个可提供≥67TFLOPS FP32性能，单个可提供≥1979TFLOPS FP16 Tensor Core性能，单个显存不低于80GB，传输带宽≥900GB/s，采用SXM规格；</w:t>
            </w:r>
          </w:p>
        </w:tc>
      </w:tr>
      <w:tr>
        <w:tc>
          <w:tcPr>
            <w:tcW w:type="dxa" w:w="2076"/>
          </w:tcPr>
          <w:p/>
        </w:tc>
        <w:tc>
          <w:tcPr>
            <w:tcW w:type="dxa" w:w="415"/>
          </w:tcPr>
          <w:p>
            <w:pPr>
              <w:pStyle w:val="null3"/>
            </w:pPr>
            <w:r>
              <w:rPr/>
              <w:t>6</w:t>
            </w:r>
          </w:p>
        </w:tc>
        <w:tc>
          <w:tcPr>
            <w:tcW w:type="dxa" w:w="5814"/>
          </w:tcPr>
          <w:p>
            <w:pPr>
              <w:pStyle w:val="null3"/>
            </w:pPr>
            <w:r>
              <w:rPr>
                <w:sz w:val="20"/>
              </w:rPr>
              <w:t>网络：配置</w:t>
            </w:r>
            <w:r>
              <w:rPr>
                <w:sz w:val="20"/>
              </w:rPr>
              <w:t>≥2个10G网口</w:t>
            </w:r>
          </w:p>
        </w:tc>
      </w:tr>
      <w:tr>
        <w:tc>
          <w:tcPr>
            <w:tcW w:type="dxa" w:w="2076"/>
          </w:tcPr>
          <w:p/>
        </w:tc>
        <w:tc>
          <w:tcPr>
            <w:tcW w:type="dxa" w:w="415"/>
          </w:tcPr>
          <w:p>
            <w:pPr>
              <w:pStyle w:val="null3"/>
            </w:pPr>
            <w:r>
              <w:rPr/>
              <w:t>7</w:t>
            </w:r>
          </w:p>
        </w:tc>
        <w:tc>
          <w:tcPr>
            <w:tcW w:type="dxa" w:w="5814"/>
          </w:tcPr>
          <w:p>
            <w:pPr>
              <w:pStyle w:val="null3"/>
            </w:pPr>
            <w:r>
              <w:rPr>
                <w:sz w:val="20"/>
              </w:rPr>
              <w:t>电源：配置</w:t>
            </w:r>
            <w:r>
              <w:rPr>
                <w:sz w:val="20"/>
              </w:rPr>
              <w:t>≥4个3000W+2个2000W冗余电源</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rPr>
              <w:t>底层架构：支持任务重启功能，任务重启过程中，任务中的所有数据不丢失，容器</w:t>
            </w:r>
            <w:r>
              <w:rPr>
                <w:sz w:val="20"/>
              </w:rPr>
              <w:t>ID保持不变。（提供软件功能截图）</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0"/>
              </w:rPr>
              <w:t>显存切分：支持对</w:t>
            </w:r>
            <w:r>
              <w:rPr>
                <w:sz w:val="20"/>
              </w:rPr>
              <w:t>CUDA架构GPU运算卡显存切分，显存切分最小颗粒度1MB</w:t>
            </w:r>
            <w:r>
              <w:rPr>
                <w:sz w:val="20"/>
              </w:rPr>
              <w:t>。</w:t>
            </w:r>
            <w:r>
              <w:rPr>
                <w:sz w:val="20"/>
              </w:rPr>
              <w:t>(提供软件功能截图)</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0"/>
              </w:rPr>
              <w:t>重置系统</w:t>
            </w:r>
            <w:r>
              <w:rPr>
                <w:sz w:val="20"/>
              </w:rPr>
              <w:t>/更换镜像：对任务环境或者系统盘进行更换，更换完毕后，缓存盘与数据盘中的数据不丢失</w:t>
            </w:r>
            <w:r>
              <w:rPr>
                <w:sz w:val="20"/>
              </w:rPr>
              <w:t>。</w:t>
            </w:r>
            <w:r>
              <w:rPr>
                <w:sz w:val="20"/>
              </w:rPr>
              <w:t>(提供软件功能截图)</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0"/>
              </w:rPr>
              <w:t>设备自带安全管理：</w:t>
            </w:r>
            <w:r>
              <w:rPr>
                <w:sz w:val="20"/>
              </w:rPr>
              <w:t>具备勒索病毒整体防护机制，可直观展示最近七天勒索病毒防护效果，包括已处置的恶意文件数量、已拦截可疑行为次数、已阻止的未知进程操作次数、已阻止的暴力破解攻击次数</w:t>
            </w:r>
            <w:r>
              <w:rPr>
                <w:sz w:val="20"/>
              </w:rPr>
              <w:t>；支持勒索可疑行为检测，实现精准告警和自动拦截</w:t>
            </w:r>
            <w:r>
              <w:rPr>
                <w:sz w:val="20"/>
              </w:rPr>
              <w:t>。</w:t>
            </w:r>
            <w:r>
              <w:rPr>
                <w:sz w:val="20"/>
              </w:rPr>
              <w:t>（需提供产品截图证明）</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0"/>
              </w:rPr>
              <w:t>数据保护机制：</w:t>
            </w:r>
            <w:r>
              <w:rPr>
                <w:sz w:val="20"/>
              </w:rPr>
              <w:t>支持基于异常行为</w:t>
            </w:r>
            <w:r>
              <w:rPr>
                <w:sz w:val="20"/>
              </w:rPr>
              <w:t>AI的实时监测，实现文件动态备份，发生勒索事件时，支持自动删除原始文件夹中被加密的文件夹并隔离文件；支持文件恢复密码保护，用户下发文件恢复操作时需要经过认证校验，确保文件恢复操作的合法性；支持SSH远程登录二次认证；支持设置验证码验证或自定义密码验证，支持设置登录认证提示、生效时间段和免二次认证白名单</w:t>
            </w:r>
            <w:r>
              <w:rPr>
                <w:sz w:val="20"/>
              </w:rPr>
              <w:t>。</w:t>
            </w:r>
            <w:r>
              <w:rPr>
                <w:sz w:val="20"/>
              </w:rPr>
              <w:t>（提供产品截图证明）</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0"/>
              </w:rPr>
              <w:t>扩展性存储设备管理：支持添加</w:t>
            </w:r>
            <w:r>
              <w:rPr>
                <w:sz w:val="20"/>
              </w:rPr>
              <w:t>NFS、GlusterFS、Ceph、Lustre、GPFS、Minio等存储，同时可以配置存储绑定的计算节点设备</w:t>
            </w:r>
            <w:r>
              <w:rPr>
                <w:sz w:val="20"/>
              </w:rPr>
              <w:t>。</w:t>
            </w:r>
            <w:r>
              <w:rPr>
                <w:sz w:val="20"/>
              </w:rPr>
              <w:t>（提供软件功能截图）</w:t>
            </w:r>
          </w:p>
        </w:tc>
      </w:tr>
      <w:tr>
        <w:tc>
          <w:tcPr>
            <w:tcW w:type="dxa" w:w="2076"/>
          </w:tcPr>
          <w:p/>
        </w:tc>
        <w:tc>
          <w:tcPr>
            <w:tcW w:type="dxa" w:w="415"/>
          </w:tcPr>
          <w:p>
            <w:pPr>
              <w:pStyle w:val="null3"/>
            </w:pPr>
            <w:r>
              <w:rPr/>
              <w:t>14</w:t>
            </w:r>
          </w:p>
        </w:tc>
        <w:tc>
          <w:tcPr>
            <w:tcW w:type="dxa" w:w="5814"/>
          </w:tcPr>
          <w:p>
            <w:pPr>
              <w:pStyle w:val="null3"/>
              <w:jc w:val="both"/>
            </w:pPr>
            <w:r>
              <w:rPr>
                <w:sz w:val="20"/>
              </w:rPr>
              <w:t>随机应用：</w:t>
            </w:r>
          </w:p>
          <w:p>
            <w:pPr>
              <w:pStyle w:val="null3"/>
              <w:jc w:val="both"/>
            </w:pPr>
            <w:r>
              <w:rPr>
                <w:sz w:val="20"/>
              </w:rPr>
              <w:t>1.资源调度：采用B/S架构，支持主流浏览器。支持HPC和docker容器类混合调度。调度管理-调度策略：提供先来先服务、优先级抢占、公平共享、节点资源独占等多种调度策略作业调度支持多队列管理，各个队列可设置不同管理策略、根据用户作业的运行情况动态调整用户优先级;支持作业绝对优先级。</w:t>
            </w:r>
          </w:p>
          <w:p>
            <w:pPr>
              <w:pStyle w:val="null3"/>
              <w:jc w:val="both"/>
            </w:pPr>
            <w:r>
              <w:rPr>
                <w:sz w:val="20"/>
              </w:rPr>
              <w:t>2.图形化界面：提供计算过程图形界面显示，支持以HTML5纯浏览器或可视化客户端工具的方式实时显示计算过程图形、曲线，能够在纯浏览器和客户端模式下自由切换。图形界面具有实时帧率和网络流量监控功能。提供在线日志查看，通过浏览器实时查看计算日志输出，支持文件内容实时更新。</w:t>
            </w:r>
          </w:p>
          <w:p>
            <w:pPr>
              <w:pStyle w:val="null3"/>
              <w:jc w:val="both"/>
            </w:pPr>
            <w:r>
              <w:rPr>
                <w:sz w:val="20"/>
              </w:rPr>
              <w:t>3.混合管理：支持CPU计算服务器、GPU计算服务器统一管理。支持Linux与Windows操作系统的混合管理。</w:t>
            </w:r>
          </w:p>
          <w:p>
            <w:pPr>
              <w:pStyle w:val="null3"/>
              <w:jc w:val="both"/>
            </w:pPr>
            <w:r>
              <w:rPr>
                <w:sz w:val="20"/>
              </w:rPr>
              <w:t>4.应用仓库：提供“应用仓库”功能，能够集中管理和发布高性能计算应用等。能够设置应用访问权限，如应用与用户绑定、应用与设备绑定等。支持通过拖拉组件的方式自定义仿真计算提交页面，以及在线编辑和测试集成脚本。</w:t>
            </w:r>
          </w:p>
          <w:p>
            <w:pPr>
              <w:pStyle w:val="null3"/>
              <w:jc w:val="both"/>
            </w:pPr>
            <w:r>
              <w:rPr>
                <w:sz w:val="20"/>
              </w:rPr>
              <w:t>5.算力单元剖分：提供GPU 细粒度剖分功能。在共享模式GPU 绑定时，可根据作业的资源需求，将一块GPU 的显存及流处理器进行细粒度剖分，剖分颗粒按照不同的GPU能力进行划分（最小到MB粒度），供不同用户的多个计算作业共享使用同一块GPU 卡，每一个作业使用的GPU 资源不会超过剖分出来的显存大小和流处理器数量。使用该功能时用户无需修改计算作业的源程序，既可以支持容器作业，也可以支持物理服务器或虚拟机上运行的普通计算作业。</w:t>
            </w:r>
          </w:p>
          <w:p>
            <w:pPr>
              <w:pStyle w:val="null3"/>
              <w:jc w:val="both"/>
            </w:pPr>
            <w:r>
              <w:rPr>
                <w:sz w:val="20"/>
              </w:rPr>
              <w:t>6.便携工具箱：支持Web Terminal，Jupyter，CodeServer，Tensorboard，Desktop，网盘存储等功能。</w:t>
            </w:r>
          </w:p>
          <w:p>
            <w:pPr>
              <w:pStyle w:val="null3"/>
              <w:jc w:val="both"/>
            </w:pPr>
            <w:r>
              <w:rPr>
                <w:sz w:val="20"/>
              </w:rPr>
              <w:t>7.运算卡配置：支持对运算卡进行配置，包含独享、切分配置以及故障隔离等操作。</w:t>
            </w:r>
          </w:p>
          <w:p>
            <w:pPr>
              <w:pStyle w:val="null3"/>
            </w:pPr>
            <w:r>
              <w:rPr>
                <w:sz w:val="20"/>
              </w:rPr>
              <w:t>8.镜像上传：支持用户push、pull自定义镜像，推送过程中增加权限校验，用户名与密码与整体平台用户一致</w:t>
            </w:r>
            <w:r>
              <w:rPr>
                <w:sz w:val="2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高吞吐量异构计算平台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规格：机架式服务器，高度</w:t>
            </w:r>
            <w:r>
              <w:rPr>
                <w:sz w:val="20"/>
              </w:rPr>
              <w:t>≥4U</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处理器：配置</w:t>
            </w:r>
            <w:r>
              <w:rPr>
                <w:sz w:val="20"/>
              </w:rPr>
              <w:t>≥2 颗X86处理器，每颗核心数≥40核，主频≥2.3GHz，睿频≥3.4GHz，缓存≥60MB，TDP≥270W</w:t>
            </w:r>
            <w:r>
              <w:rPr>
                <w:sz w:val="20"/>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w:t>
            </w:r>
            <w:r>
              <w:rPr>
                <w:sz w:val="20"/>
              </w:rPr>
              <w:t>≥16条64GB DDR4 3200MHz 服务器内存</w:t>
            </w:r>
            <w:r>
              <w:rPr>
                <w:sz w:val="20"/>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≥2块960GB NVME U.2 SSD硬盘，配置≥2块1.92T/SATA/SSD/2.5</w:t>
            </w:r>
            <w:r>
              <w:rPr>
                <w:sz w:val="21"/>
              </w:rPr>
              <w:t>"</w:t>
            </w:r>
            <w:r>
              <w:rPr>
                <w:sz w:val="20"/>
              </w:rPr>
              <w:t>企业级</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算力单元</w:t>
            </w:r>
            <w:r>
              <w:rPr>
                <w:sz w:val="20"/>
              </w:rPr>
              <w:t>(GPU)：额外增加算力单元，数量≥8个，单个可提供≥9.7TFLOPS FP64性能，单个可提供≥19.5TFLOPS FP32性能，单个可提供≥624TFLOPS FP16 Tensor Core性能，单个显存不低于80GB，传输带宽≥600GB/s，采用SXM规格</w:t>
            </w:r>
          </w:p>
        </w:tc>
      </w:tr>
      <w:tr>
        <w:tc>
          <w:tcPr>
            <w:tcW w:type="dxa" w:w="2076"/>
          </w:tcPr>
          <w:p/>
        </w:tc>
        <w:tc>
          <w:tcPr>
            <w:tcW w:type="dxa" w:w="415"/>
          </w:tcPr>
          <w:p>
            <w:pPr>
              <w:pStyle w:val="null3"/>
            </w:pPr>
            <w:r>
              <w:rPr/>
              <w:t>6</w:t>
            </w:r>
          </w:p>
        </w:tc>
        <w:tc>
          <w:tcPr>
            <w:tcW w:type="dxa" w:w="5814"/>
          </w:tcPr>
          <w:p>
            <w:pPr>
              <w:pStyle w:val="null3"/>
            </w:pPr>
            <w:r>
              <w:rPr>
                <w:sz w:val="20"/>
              </w:rPr>
              <w:t>网络：配置</w:t>
            </w:r>
            <w:r>
              <w:rPr>
                <w:sz w:val="20"/>
              </w:rPr>
              <w:t>≥1个双口100G IB网卡</w:t>
            </w:r>
          </w:p>
        </w:tc>
      </w:tr>
      <w:tr>
        <w:tc>
          <w:tcPr>
            <w:tcW w:type="dxa" w:w="2076"/>
          </w:tcPr>
          <w:p/>
        </w:tc>
        <w:tc>
          <w:tcPr>
            <w:tcW w:type="dxa" w:w="415"/>
          </w:tcPr>
          <w:p>
            <w:pPr>
              <w:pStyle w:val="null3"/>
            </w:pPr>
            <w:r>
              <w:rPr/>
              <w:t>7</w:t>
            </w:r>
          </w:p>
        </w:tc>
        <w:tc>
          <w:tcPr>
            <w:tcW w:type="dxa" w:w="5814"/>
          </w:tcPr>
          <w:p>
            <w:pPr>
              <w:pStyle w:val="null3"/>
            </w:pPr>
            <w:r>
              <w:rPr>
                <w:sz w:val="20"/>
              </w:rPr>
              <w:t>电源：配置</w:t>
            </w:r>
            <w:r>
              <w:rPr>
                <w:sz w:val="20"/>
              </w:rPr>
              <w:t>≥4个3000W冗余电源</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rPr>
              <w:t>底层架构：支持任务重启功能，任务重启过程中，任务中的所有数据不丢失，容器</w:t>
            </w:r>
            <w:r>
              <w:rPr>
                <w:sz w:val="20"/>
              </w:rPr>
              <w:t>ID保持不变。（提供软件功能截图）</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0"/>
              </w:rPr>
              <w:t>显存切分：支持对</w:t>
            </w:r>
            <w:r>
              <w:rPr>
                <w:sz w:val="20"/>
              </w:rPr>
              <w:t>CUDA架构GPU运算卡显存切分，显存切分最小颗粒度1MB。（提供软件功能截图）</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0"/>
              </w:rPr>
              <w:t>重置系统</w:t>
            </w:r>
            <w:r>
              <w:rPr>
                <w:sz w:val="20"/>
              </w:rPr>
              <w:t>/更换镜像：对任务环境或者系统盘进行更换，更换完毕后，缓存盘与数据盘中的数据不丢失。（提供软件功能截图）</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0"/>
              </w:rPr>
              <w:t>设备自带安全管理：</w:t>
            </w:r>
            <w:r>
              <w:rPr>
                <w:sz w:val="20"/>
              </w:rPr>
              <w:t>具备勒索病毒整体防护机制，可直观展示最近七天勒索病毒防护效果，包括已处置的恶意文件数量、已拦截可疑行为次数、已阻止的未知进程操作次数、已阻止的暴力破解攻击次数</w:t>
            </w:r>
            <w:r>
              <w:rPr>
                <w:sz w:val="20"/>
              </w:rPr>
              <w:t>；支持勒索可疑行为检测，实现精准告警和自动拦截。（需提供产品截图证明）</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0"/>
              </w:rPr>
              <w:t>数据保护机制：</w:t>
            </w:r>
            <w:r>
              <w:rPr>
                <w:sz w:val="20"/>
              </w:rPr>
              <w:t>支持基于异常行为</w:t>
            </w:r>
            <w:r>
              <w:rPr>
                <w:sz w:val="20"/>
              </w:rPr>
              <w:t>AI的实时监测，实现文件动态备份，发生勒索事件时，支持自动删除原始文件夹中被加密的文件夹并隔离文件；支持文件恢复密码保护，用户下发文件恢复操作时需要经过认证校验，确保文件恢复操作的合法性；支持SSH远程登录二次认证；支持设置验证码验证或自定义密码验证，支持设置登录认证提示、生效时间段和免二次认证白名单</w:t>
            </w:r>
            <w:r>
              <w:rPr>
                <w:sz w:val="20"/>
              </w:rPr>
              <w:t>。</w:t>
            </w:r>
            <w:r>
              <w:rPr>
                <w:sz w:val="20"/>
              </w:rPr>
              <w:t>（提供产品截图证明）</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0"/>
              </w:rPr>
              <w:t>扩展性：存储设备管理，支持添加</w:t>
            </w:r>
            <w:r>
              <w:rPr>
                <w:sz w:val="20"/>
              </w:rPr>
              <w:t>NFS、GlusterFS、Ceph、Lustre、GPFS、Minio等存储，同时可以配置存储绑定的计算节点设备。（提供软件功能截图）</w:t>
            </w:r>
          </w:p>
        </w:tc>
      </w:tr>
      <w:tr>
        <w:tc>
          <w:tcPr>
            <w:tcW w:type="dxa" w:w="2076"/>
          </w:tcPr>
          <w:p/>
        </w:tc>
        <w:tc>
          <w:tcPr>
            <w:tcW w:type="dxa" w:w="415"/>
          </w:tcPr>
          <w:p>
            <w:pPr>
              <w:pStyle w:val="null3"/>
            </w:pPr>
            <w:r>
              <w:rPr/>
              <w:t>14</w:t>
            </w:r>
          </w:p>
        </w:tc>
        <w:tc>
          <w:tcPr>
            <w:tcW w:type="dxa" w:w="5814"/>
          </w:tcPr>
          <w:p>
            <w:pPr>
              <w:pStyle w:val="null3"/>
              <w:jc w:val="both"/>
            </w:pPr>
            <w:r>
              <w:rPr>
                <w:sz w:val="20"/>
              </w:rPr>
              <w:t>随机系统应用：</w:t>
            </w:r>
          </w:p>
          <w:p>
            <w:pPr>
              <w:pStyle w:val="null3"/>
              <w:jc w:val="both"/>
            </w:pPr>
            <w:r>
              <w:rPr>
                <w:sz w:val="20"/>
              </w:rPr>
              <w:t>1.资源调度：采用B/S架构，支持主流浏览器。支持HPC和docker容器类混合调度。调度管理-调度策略：提供先来先服务、优先级抢占、公平共享、节点资源独占等多种调度策略作业调度支持多队列管理，各个队列可设置不同管理策略、根据用户作业的运行情况动态调整用户优先级;支持作业绝对优先级。</w:t>
            </w:r>
          </w:p>
          <w:p>
            <w:pPr>
              <w:pStyle w:val="null3"/>
              <w:jc w:val="both"/>
            </w:pPr>
            <w:r>
              <w:rPr>
                <w:sz w:val="20"/>
              </w:rPr>
              <w:t>2.图形化界面：提供计算过程图形界面显示，支持以HTML5纯浏览器或可视化客户端工具的方式实时显示计算过程图形、曲线，能够在纯浏览器和客户端模式下自由切换。图形界面具有实时帧率和网络流量监控功能。提供在线日志查看，通过浏览器实时查看计算日志输出，支持文件内容实时更新。</w:t>
            </w:r>
          </w:p>
          <w:p>
            <w:pPr>
              <w:pStyle w:val="null3"/>
              <w:jc w:val="both"/>
            </w:pPr>
            <w:r>
              <w:rPr>
                <w:sz w:val="20"/>
              </w:rPr>
              <w:t>3.混合管理：支持CPU计算服务器、GPU计算服务器统一管理。支持Linux与Windows操作系统的混合管理。</w:t>
            </w:r>
          </w:p>
          <w:p>
            <w:pPr>
              <w:pStyle w:val="null3"/>
              <w:jc w:val="both"/>
            </w:pPr>
            <w:r>
              <w:rPr>
                <w:sz w:val="20"/>
              </w:rPr>
              <w:t>4.应用仓库：提供“应用仓库”功能，能够集中管理和发布高性能计算应用等。能够设置应用访问权限，如应用与用户绑定、应用与设备绑定等。支持通过拖拉组件的方式自定义仿真计算提交页面，以及在线编辑和测试集成脚本。</w:t>
            </w:r>
          </w:p>
          <w:p>
            <w:pPr>
              <w:pStyle w:val="null3"/>
              <w:jc w:val="both"/>
            </w:pPr>
            <w:r>
              <w:rPr>
                <w:sz w:val="20"/>
              </w:rPr>
              <w:t>5.算力单元剖分：提供GPU 细粒度剖分功能。在共享模式GPU 绑定时，可根据作业的资源需求，将一块GPU 的显存及流处理器进行细粒度剖分，剖分颗粒按照不同的GPU能力进行划分（最小到MB粒度），供不同用户的多个计算作业共享使用同一块GPU 卡，每一个作业使用的GPU 资源不会超过剖分出来的显存大小和流处理器数量。使用该功能时用户无需修改计算作业的源程序，既可以支持容器作业，也可以支持物理服务器或虚拟机上运行的普通计算作业。</w:t>
            </w:r>
          </w:p>
          <w:p>
            <w:pPr>
              <w:pStyle w:val="null3"/>
              <w:jc w:val="both"/>
            </w:pPr>
            <w:r>
              <w:rPr>
                <w:sz w:val="20"/>
              </w:rPr>
              <w:t>6.便携工具箱：支持Web Terminal，Jupyter，CodeServer，Tensorboard，Desktop，网盘存储等功能。</w:t>
            </w:r>
          </w:p>
          <w:p>
            <w:pPr>
              <w:pStyle w:val="null3"/>
              <w:jc w:val="both"/>
            </w:pPr>
            <w:r>
              <w:rPr>
                <w:sz w:val="20"/>
              </w:rPr>
              <w:t>7.运算卡配置：支持对运算卡进行配置，包含独享、切分配置以及故障隔离等操作。</w:t>
            </w:r>
          </w:p>
          <w:p>
            <w:pPr>
              <w:pStyle w:val="null3"/>
            </w:pPr>
            <w:r>
              <w:rPr>
                <w:sz w:val="20"/>
              </w:rPr>
              <w:t>8.镜像上传：支持用户push、pull自定义镜像，推送过程中增加权限校验，用户名与密码与整体平台用户一致。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智能算法仿真与验证平台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规格：机架式服务器，高度</w:t>
            </w:r>
            <w:r>
              <w:rPr>
                <w:sz w:val="20"/>
              </w:rPr>
              <w:t>≥4U</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0"/>
              </w:rPr>
              <w:t>处理器：配置</w:t>
            </w:r>
            <w:r>
              <w:rPr>
                <w:sz w:val="20"/>
              </w:rPr>
              <w:t>≥2 颗X86处理器，每颗核心数≥32核，主频≥2.1GHz，睿频≥4.0GHz，缓存≥160MB，TDP≥270W</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0"/>
              </w:rPr>
              <w:t>内存：配置</w:t>
            </w:r>
            <w:r>
              <w:rPr>
                <w:sz w:val="20"/>
              </w:rPr>
              <w:t>≥8条64GB DDR4 3200MHz 服务器内存</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0"/>
              </w:rPr>
              <w:t>硬盘：配置</w:t>
            </w:r>
            <w:r>
              <w:rPr>
                <w:sz w:val="20"/>
              </w:rPr>
              <w:t>≥1块1.92TB NVME U.2 SSD硬盘，配置≥2块20TB SATA HDD硬盘；</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0"/>
              </w:rPr>
              <w:t>算力单元</w:t>
            </w:r>
            <w:r>
              <w:rPr>
                <w:sz w:val="20"/>
              </w:rPr>
              <w:t>(GPU)：额外增加算力单元，数量≥8个，单个可提供≥1.3TFLOPS FP64性能，单个可提供≥83TFLOPS FP32性能，单个可提供≥1321TFLOPS FP16 Tensor Core性能，单个显存不低于24GB，传输带宽≥1008GB/s，采用PCIe规格，单涡轮散热、双宽设计、功耗450W。</w:t>
            </w:r>
          </w:p>
        </w:tc>
      </w:tr>
      <w:tr>
        <w:tc>
          <w:tcPr>
            <w:tcW w:type="dxa" w:w="2076"/>
          </w:tcPr>
          <w:p/>
        </w:tc>
        <w:tc>
          <w:tcPr>
            <w:tcW w:type="dxa" w:w="415"/>
          </w:tcPr>
          <w:p>
            <w:pPr>
              <w:pStyle w:val="null3"/>
            </w:pPr>
            <w:r>
              <w:rPr/>
              <w:t>6</w:t>
            </w:r>
          </w:p>
        </w:tc>
        <w:tc>
          <w:tcPr>
            <w:tcW w:type="dxa" w:w="5814"/>
          </w:tcPr>
          <w:p>
            <w:pPr>
              <w:pStyle w:val="null3"/>
            </w:pPr>
            <w:r>
              <w:rPr>
                <w:sz w:val="20"/>
              </w:rPr>
              <w:t>网络：配置</w:t>
            </w:r>
            <w:r>
              <w:rPr>
                <w:sz w:val="20"/>
              </w:rPr>
              <w:t>≥1个四口千兆以太网卡</w:t>
            </w:r>
          </w:p>
        </w:tc>
      </w:tr>
      <w:tr>
        <w:tc>
          <w:tcPr>
            <w:tcW w:type="dxa" w:w="2076"/>
          </w:tcPr>
          <w:p/>
        </w:tc>
        <w:tc>
          <w:tcPr>
            <w:tcW w:type="dxa" w:w="415"/>
          </w:tcPr>
          <w:p>
            <w:pPr>
              <w:pStyle w:val="null3"/>
            </w:pPr>
            <w:r>
              <w:rPr/>
              <w:t>7</w:t>
            </w:r>
          </w:p>
        </w:tc>
        <w:tc>
          <w:tcPr>
            <w:tcW w:type="dxa" w:w="5814"/>
          </w:tcPr>
          <w:p>
            <w:pPr>
              <w:pStyle w:val="null3"/>
            </w:pPr>
            <w:r>
              <w:rPr>
                <w:sz w:val="20"/>
              </w:rPr>
              <w:t>电源：配置</w:t>
            </w:r>
            <w:r>
              <w:rPr>
                <w:sz w:val="20"/>
              </w:rPr>
              <w:t>≥4个2700W冗余电源</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sz w:val="20"/>
              </w:rPr>
              <w:t>底层架构：支持任务重启功能，任务重启过程中，任务中的所有数据不丢失，容器</w:t>
            </w:r>
            <w:r>
              <w:rPr>
                <w:sz w:val="20"/>
              </w:rPr>
              <w:t>ID保持不变。（提供软件功能截图）</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0"/>
              </w:rPr>
              <w:t>显存切分：支持对</w:t>
            </w:r>
            <w:r>
              <w:rPr>
                <w:sz w:val="20"/>
              </w:rPr>
              <w:t>CUDA架构GPU运算卡显存切分，显存切分最小颗粒度1MB，提供软件功能截图</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sz w:val="20"/>
              </w:rPr>
              <w:t>重置系统</w:t>
            </w:r>
            <w:r>
              <w:rPr>
                <w:sz w:val="20"/>
              </w:rPr>
              <w:t>/更换镜像：对任务环境或者系统盘进行更换，更换完毕后，缓存盘与数据盘中的数据不丢失。（提供软件功能截图）</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0"/>
              </w:rPr>
              <w:t>设备自带安全管理：</w:t>
            </w:r>
            <w:r>
              <w:rPr>
                <w:sz w:val="20"/>
              </w:rPr>
              <w:t>具备勒索病毒整体防护机制，可直观展示最近七天勒索病毒防护效果，包括已处置的恶意文件数量、已拦截可疑行为次数、已阻止的未知进程操作次数、已阻止的暴力破解攻击次数</w:t>
            </w:r>
            <w:r>
              <w:rPr>
                <w:sz w:val="20"/>
              </w:rPr>
              <w:t>；支持勒索可疑行为检测，实现精准告警和自动拦截</w:t>
            </w:r>
            <w:r>
              <w:rPr>
                <w:sz w:val="20"/>
              </w:rPr>
              <w:t>。</w:t>
            </w:r>
            <w:r>
              <w:rPr>
                <w:sz w:val="20"/>
              </w:rPr>
              <w:t>（需提供产品截图证明）</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0"/>
              </w:rPr>
              <w:t>数据保护机制：</w:t>
            </w:r>
            <w:r>
              <w:rPr>
                <w:sz w:val="20"/>
              </w:rPr>
              <w:t>支持基于异常行为</w:t>
            </w:r>
            <w:r>
              <w:rPr>
                <w:sz w:val="20"/>
              </w:rPr>
              <w:t>AI的实时监测，实现文件动态备份，发生勒索事件时，支持自动删除原始文件夹中被加密的文件夹并隔离文件；支持文件恢复密码保护，用户下发文件恢复操作时需要经过认证校验，确保文件恢复操作的合法性；支持SSH远程登录二次认证；支持设置验证码验证或自定义密码验证，支持设置登录认证提示、生效时间段和免二次认证白名单</w:t>
            </w:r>
            <w:r>
              <w:rPr>
                <w:sz w:val="20"/>
              </w:rPr>
              <w:t>。</w:t>
            </w:r>
            <w:r>
              <w:rPr>
                <w:sz w:val="20"/>
              </w:rPr>
              <w:t>（提供产品截图证明）</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sz w:val="20"/>
              </w:rPr>
              <w:t>扩展性：存储设备管理，支持添加</w:t>
            </w:r>
            <w:r>
              <w:rPr>
                <w:sz w:val="20"/>
              </w:rPr>
              <w:t>NFS、GlusterFS、Ceph、Lustre、GPFS、Minio等存储，同时可以配置存储绑定的计算节点设备。（提供软件功能截图）</w:t>
            </w:r>
          </w:p>
        </w:tc>
      </w:tr>
      <w:tr>
        <w:tc>
          <w:tcPr>
            <w:tcW w:type="dxa" w:w="2076"/>
          </w:tcPr>
          <w:p/>
        </w:tc>
        <w:tc>
          <w:tcPr>
            <w:tcW w:type="dxa" w:w="415"/>
          </w:tcPr>
          <w:p>
            <w:pPr>
              <w:pStyle w:val="null3"/>
            </w:pPr>
            <w:r>
              <w:rPr/>
              <w:t>14</w:t>
            </w:r>
          </w:p>
        </w:tc>
        <w:tc>
          <w:tcPr>
            <w:tcW w:type="dxa" w:w="5814"/>
          </w:tcPr>
          <w:p>
            <w:pPr>
              <w:pStyle w:val="null3"/>
              <w:jc w:val="both"/>
            </w:pPr>
            <w:r>
              <w:rPr>
                <w:sz w:val="20"/>
              </w:rPr>
              <w:t>随机系统应用：</w:t>
            </w:r>
          </w:p>
          <w:p>
            <w:pPr>
              <w:pStyle w:val="null3"/>
              <w:jc w:val="both"/>
            </w:pPr>
            <w:r>
              <w:rPr>
                <w:sz w:val="20"/>
              </w:rPr>
              <w:t>1.资源调度：采用B/S架构，支持主流浏览器。支持HPC和docker容器类混合调度。调度管理-调度策略：提供先来先服务、优先级抢占、公平共享、节点资源独占等多种调度策略作业调度支持多队列管理，各个队列可设置不同管理策略、根据用户作业的运行情况动态调整用户优先级;支持作业绝对优先级。</w:t>
            </w:r>
          </w:p>
          <w:p>
            <w:pPr>
              <w:pStyle w:val="null3"/>
              <w:jc w:val="both"/>
            </w:pPr>
            <w:r>
              <w:rPr>
                <w:sz w:val="20"/>
              </w:rPr>
              <w:t>2.图形化界面：提供计算过程图形界面显示，支持以HTML5纯浏览器或可视化客户端工具的方式实时显示计算过程图形、曲线，能够在纯浏览器和客户端模式下自由切换。图形界面具有实时帧率和网络流量监控功能。提供在线日志查看，通过浏览器实时查看计算日志输出，支持文件内容实时更新。</w:t>
            </w:r>
          </w:p>
          <w:p>
            <w:pPr>
              <w:pStyle w:val="null3"/>
              <w:jc w:val="both"/>
            </w:pPr>
            <w:r>
              <w:rPr>
                <w:sz w:val="20"/>
              </w:rPr>
              <w:t>3.混合管理：支持CPU计算服务器、GPU计算服务器统一管理。支持Linux与Windows操作系统的混合管理。</w:t>
            </w:r>
          </w:p>
          <w:p>
            <w:pPr>
              <w:pStyle w:val="null3"/>
              <w:jc w:val="both"/>
            </w:pPr>
            <w:r>
              <w:rPr>
                <w:sz w:val="20"/>
              </w:rPr>
              <w:t>4.应用仓库：提供“应用仓库”功能，能够集中管理和发布高性能计算应用等。能够设置应用访问权限，如应用与用户绑定、应用与设备绑定等。支持通过拖拉组件的方式自定义仿真计算提交页面，以及在线编辑和测试集成脚本。</w:t>
            </w:r>
          </w:p>
          <w:p>
            <w:pPr>
              <w:pStyle w:val="null3"/>
              <w:jc w:val="both"/>
            </w:pPr>
            <w:r>
              <w:rPr>
                <w:sz w:val="20"/>
              </w:rPr>
              <w:t>5.算力单元剖分：提供GPU 细粒度剖分功能。在共享模式GPU 绑定时，可根据作业的资源需求，将一块GPU 的显存及流处理器进行细粒度剖分，剖分颗粒按照不同的GPU能力进行划分（最小到MB粒度），供不同用户的多个计算作业共享使用同一块GPU 卡，每一个作业使用的GPU 资源不会超过剖分出来的显存大小和流处理器数量。使用该功能时用户无需修改计算作业的源程序，既可以支持容器作业，也可以支持物理服务器或虚拟机上运行的普通计算作业。</w:t>
            </w:r>
          </w:p>
          <w:p>
            <w:pPr>
              <w:pStyle w:val="null3"/>
              <w:jc w:val="both"/>
            </w:pPr>
            <w:r>
              <w:rPr>
                <w:sz w:val="20"/>
              </w:rPr>
              <w:t>6.便携工具箱：支持Web Terminal，Jupyter，CodeServer，Tensorboard，Desktop，网盘存储等功能。</w:t>
            </w:r>
          </w:p>
          <w:p>
            <w:pPr>
              <w:pStyle w:val="null3"/>
            </w:pPr>
            <w:r>
              <w:rPr>
                <w:sz w:val="20"/>
              </w:rPr>
              <w:t>7.运算卡配置：支持对运算卡进行配置，包含独享、切分配置以及故障隔离等操作。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1.采购代理机构：本项目是指广东和丰招标代理有限公司，负责整个采购活动的组织，依法负责编制和发布招标文件，对招标文件拥有最终的解释权，不以任何身份出任评标委员会成员。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香港城市大学（东莞）</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采购机构代理服务收费标准：各采购包参照国家计委[计价格[2002]1980号]文和国家发改委[发改价格[2011]534号]文的收费标准统一下浮20%收取，按差额定率累进法计算，以中标人中标总金额作为收费的计算依据。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一、中小企业划型标准，本项目对应的中小企业划分标准所属行业均为：工业。工业划型标准为：从业人员1000人以下或营　业收入40000万元以下的为中小微型企业。其中，从业人员300人及以上，且营　业收入2000万元及以上的为中型企业；从业人员20人及以上，且营　业收入300万元及以上的为小型企业；从业人员20人以下或营　业收入300万元以下的为微型企业。</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广东和丰招标代理有限公司</w:t>
      </w:r>
      <w:r>
        <w:rPr/>
        <w:t>代收。具体操作要求详见</w:t>
      </w:r>
      <w:r>
        <w:rPr/>
        <w:t>广东和丰招标代理有限公司</w:t>
      </w:r>
      <w:r>
        <w:rPr/>
        <w:t>有关指引，递交事宜请自行咨询</w:t>
      </w:r>
      <w:r>
        <w:rPr/>
        <w:t>广东和丰招标代理有限公司</w:t>
      </w:r>
      <w:r>
        <w:rPr/>
        <w:t>；请各投标人在投标文件递交截止时间前按须知前附表规定的金额递交至</w:t>
      </w:r>
      <w:r>
        <w:rPr/>
        <w:t>广东和丰招标代理有限公司</w:t>
      </w:r>
      <w:r>
        <w:rPr/>
        <w:t>，到账情况以开标时</w:t>
      </w:r>
      <w:r>
        <w:rPr/>
        <w:t>广东和丰招标代理有限公司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广东和丰招标代理有限公司网站(http://www.hfzbdl.com)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广东和丰招标代理有限公司网站(http://www.hfzbdl.com)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0769-28681631</w:t>
      </w:r>
    </w:p>
    <w:p>
      <w:pPr>
        <w:pStyle w:val="null3"/>
        <w:ind w:firstLine="480"/>
      </w:pPr>
      <w:r>
        <w:rPr/>
        <w:t>传真：</w:t>
      </w:r>
      <w:r>
        <w:rPr/>
        <w:t>/</w:t>
      </w:r>
    </w:p>
    <w:p>
      <w:pPr>
        <w:pStyle w:val="null3"/>
        <w:ind w:firstLine="480"/>
      </w:pPr>
      <w:r>
        <w:rPr/>
        <w:t>邮箱：</w:t>
      </w:r>
      <w:r>
        <w:rPr/>
        <w:t>1187581729@qq.com</w:t>
      </w:r>
    </w:p>
    <w:p>
      <w:pPr>
        <w:pStyle w:val="null3"/>
        <w:ind w:firstLine="480"/>
      </w:pPr>
      <w:r>
        <w:rPr/>
        <w:t>地址：</w:t>
      </w:r>
      <w:r>
        <w:rPr/>
        <w:t>东莞市南城街道鸿禧中心B座413</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香港城市大学（东莞）2026年计算机科研设备（第一批）（采购包1）)：综合评分法,是指投标文件满足招标文件全部实质性要求，且按照评审因素的量化指标评审得分最高的投标人为中标候选人的评标方法。（最低报价不是中标的唯一依据。）</w:t>
      </w:r>
    </w:p>
    <w:p>
      <w:pPr>
        <w:pStyle w:val="null3"/>
      </w:pPr>
      <w:r>
        <w:rPr/>
        <w:t>采购包2(香港城市大学（东莞）2026年计算机科研设备（第一批）（采购包2）)：综合评分法,是指投标文件满足招标文件全部实质性要求，且按照评审因素的量化指标评审得分最高的投标人为中标候选人的评标方法。（最低报价不是中标的唯一依据。）</w:t>
      </w:r>
    </w:p>
    <w:p>
      <w:pPr>
        <w:pStyle w:val="null3"/>
      </w:pPr>
      <w:r>
        <w:rPr/>
        <w:t>采购包3(香港城市大学（东莞）2026年计算机科研设备（第一批）（采购包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广东和丰招标代理有限公司</w:t>
      </w:r>
      <w:r>
        <w:rPr/>
        <w:t>统一对外发布。</w:t>
      </w:r>
    </w:p>
    <w:p>
      <w:pPr>
        <w:pStyle w:val="null3"/>
        <w:ind w:firstLine="480"/>
      </w:pPr>
      <w:r>
        <w:rPr/>
        <w:t>（2）对</w:t>
      </w:r>
      <w:r>
        <w:rPr/>
        <w:t>广东和丰招标代理有限公司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采购包1（香港城市大学（东莞）2026年计算机科研设备（第一批）（采购包1））：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采购包2（香港城市大学（东莞）2026年计算机科研设备（第一批）（采购包2））：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采购包3（香港城市大学（东莞）2026年计算机科研设备（第一批）（采购包3））：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采购包1（香港城市大学（东莞）2026年计算机科研设备（第一批）（采购包1））：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采购需求”中的《资格条件承诺函》格式（或自拟格式）提供相关承诺。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参照“采购需求”中的《资格条件承诺函》格式（或自拟格式）提供相关承诺。或提供履行合同所必需的设备和专业技术能力的证明资料。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采购包2（香港城市大学（东莞）2026年计算机科研设备（第一批）（采购包2））：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采购需求”中的《资格条件承诺函》格式（或自拟格式）提供相关承诺。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参照“采购需求”中的《资格条件承诺函》格式（或自拟格式）提供相关承诺。或提供履行合同所必需的设备和专业技术能力的证明资料。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采购包3（香港城市大学（东莞）2026年计算机科研设备（第一批）（采购包3））：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采购需求”中的《资格条件承诺函》格式（或自拟格式）提供相关承诺。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采购需求”中的《资格条件承诺函》格式（或自拟格式）提供相关承诺。或提供近三年任意一年的年度财务状况报告或基本开户行出具的资信证明，注册未满一年的供应商提供投标截止日前6个月内任意1个月的财务状况报告或者基本户开户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参照“采购需求”中的《资格条件承诺函》格式（或自拟格式）提供相关承诺。或提供履行合同所必需的设备和专业技术能力的证明资料。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采购需求”中的《资格条件承诺函》格式（或参照投标函格式或自拟格式）提供相关承诺。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采购包1（香港城市大学（东莞）2026年计算机科研设备（第一批）（采购包1））：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标的提供的时间</w:t>
            </w:r>
          </w:p>
        </w:tc>
        <w:tc>
          <w:tcPr>
            <w:tcW w:type="dxa" w:w="4238"/>
          </w:tcPr>
          <w:p>
            <w:pPr>
              <w:pStyle w:val="null3"/>
            </w:pPr>
            <w:r>
              <w:rPr/>
              <w:t>标的提供的时间满足招标文件要求。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投标有效期按招标文件要求。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满足招标文件的报价要求。</w:t>
            </w:r>
          </w:p>
        </w:tc>
      </w:tr>
      <w:tr>
        <w:tc>
          <w:tcPr>
            <w:tcW w:type="dxa" w:w="890"/>
          </w:tcPr>
          <w:p>
            <w:pPr>
              <w:pStyle w:val="null3"/>
            </w:pPr>
            <w:r>
              <w:rPr/>
              <w:t>4</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5</w:t>
            </w:r>
          </w:p>
        </w:tc>
        <w:tc>
          <w:tcPr>
            <w:tcW w:type="dxa" w:w="3178"/>
          </w:tcPr>
          <w:p>
            <w:pPr>
              <w:pStyle w:val="null3"/>
            </w:pPr>
            <w:r>
              <w:rPr/>
              <w:t>带“★”实质性条款响应</w:t>
            </w:r>
          </w:p>
        </w:tc>
        <w:tc>
          <w:tcPr>
            <w:tcW w:type="dxa" w:w="4238"/>
          </w:tcPr>
          <w:p>
            <w:pPr>
              <w:pStyle w:val="null3"/>
            </w:pPr>
            <w:r>
              <w:rPr/>
              <w:t>投标人响应招标文件提出标注“★”条款的要求和条件。</w:t>
            </w:r>
          </w:p>
        </w:tc>
      </w:tr>
      <w:tr>
        <w:tc>
          <w:tcPr>
            <w:tcW w:type="dxa" w:w="890"/>
          </w:tcPr>
          <w:p>
            <w:pPr>
              <w:pStyle w:val="null3"/>
            </w:pPr>
            <w:r>
              <w:rPr/>
              <w:t>6</w:t>
            </w:r>
          </w:p>
        </w:tc>
        <w:tc>
          <w:tcPr>
            <w:tcW w:type="dxa" w:w="3178"/>
          </w:tcPr>
          <w:p>
            <w:pPr>
              <w:pStyle w:val="null3"/>
            </w:pPr>
            <w:r>
              <w:rPr/>
              <w:t>投标人提交的投标方案唯一性</w:t>
            </w:r>
          </w:p>
        </w:tc>
        <w:tc>
          <w:tcPr>
            <w:tcW w:type="dxa" w:w="4238"/>
          </w:tcPr>
          <w:p>
            <w:pPr>
              <w:pStyle w:val="null3"/>
            </w:pPr>
            <w:r>
              <w:rPr/>
              <w:t>未将一个包中的内容拆开进行部分投标且投标方案唯一。</w:t>
            </w:r>
          </w:p>
        </w:tc>
      </w:tr>
      <w:tr>
        <w:tc>
          <w:tcPr>
            <w:tcW w:type="dxa" w:w="890"/>
          </w:tcPr>
          <w:p>
            <w:pPr>
              <w:pStyle w:val="null3"/>
            </w:pPr>
            <w:r>
              <w:rPr/>
              <w:t>7</w:t>
            </w:r>
          </w:p>
        </w:tc>
        <w:tc>
          <w:tcPr>
            <w:tcW w:type="dxa" w:w="3178"/>
          </w:tcPr>
          <w:p>
            <w:pPr>
              <w:pStyle w:val="null3"/>
            </w:pPr>
            <w:r>
              <w:rPr/>
              <w:t>不属于法律、法规、规章及招标文件规定无效投标的其他情形</w:t>
            </w:r>
          </w:p>
        </w:tc>
        <w:tc>
          <w:tcPr>
            <w:tcW w:type="dxa" w:w="4238"/>
          </w:tcPr>
          <w:p>
            <w:pPr>
              <w:pStyle w:val="null3"/>
            </w:pPr>
            <w:r>
              <w:rPr/>
              <w:t>不属于法律、法规、规章及招标文件规定无效投标的其他情形。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在评审过程中出现下列情形之一的，评审委员会应当启动异常低价投标（响应）审查程序：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采购包2（香港城市大学（东莞）2026年计算机科研设备（第一批）（采购包2））：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标的提供的时间</w:t>
            </w:r>
          </w:p>
        </w:tc>
        <w:tc>
          <w:tcPr>
            <w:tcW w:type="dxa" w:w="4238"/>
          </w:tcPr>
          <w:p>
            <w:pPr>
              <w:pStyle w:val="null3"/>
            </w:pPr>
            <w:r>
              <w:rPr/>
              <w:t>标的提供的时间满足招标文件要求。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投标有效期按招标文件要求。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满足招标文件的报价要求。</w:t>
            </w:r>
          </w:p>
        </w:tc>
      </w:tr>
      <w:tr>
        <w:tc>
          <w:tcPr>
            <w:tcW w:type="dxa" w:w="890"/>
          </w:tcPr>
          <w:p>
            <w:pPr>
              <w:pStyle w:val="null3"/>
            </w:pPr>
            <w:r>
              <w:rPr/>
              <w:t>4</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5</w:t>
            </w:r>
          </w:p>
        </w:tc>
        <w:tc>
          <w:tcPr>
            <w:tcW w:type="dxa" w:w="3178"/>
          </w:tcPr>
          <w:p>
            <w:pPr>
              <w:pStyle w:val="null3"/>
            </w:pPr>
            <w:r>
              <w:rPr/>
              <w:t>带“★”实质性条款响应</w:t>
            </w:r>
          </w:p>
        </w:tc>
        <w:tc>
          <w:tcPr>
            <w:tcW w:type="dxa" w:w="4238"/>
          </w:tcPr>
          <w:p>
            <w:pPr>
              <w:pStyle w:val="null3"/>
            </w:pPr>
            <w:r>
              <w:rPr/>
              <w:t>投标人响应招标文件提出标注“★”条款的要求和条件。</w:t>
            </w:r>
          </w:p>
        </w:tc>
      </w:tr>
      <w:tr>
        <w:tc>
          <w:tcPr>
            <w:tcW w:type="dxa" w:w="890"/>
          </w:tcPr>
          <w:p>
            <w:pPr>
              <w:pStyle w:val="null3"/>
            </w:pPr>
            <w:r>
              <w:rPr/>
              <w:t>6</w:t>
            </w:r>
          </w:p>
        </w:tc>
        <w:tc>
          <w:tcPr>
            <w:tcW w:type="dxa" w:w="3178"/>
          </w:tcPr>
          <w:p>
            <w:pPr>
              <w:pStyle w:val="null3"/>
            </w:pPr>
            <w:r>
              <w:rPr/>
              <w:t>投标人提交的投标方案唯一性</w:t>
            </w:r>
          </w:p>
        </w:tc>
        <w:tc>
          <w:tcPr>
            <w:tcW w:type="dxa" w:w="4238"/>
          </w:tcPr>
          <w:p>
            <w:pPr>
              <w:pStyle w:val="null3"/>
            </w:pPr>
            <w:r>
              <w:rPr/>
              <w:t>未将一个包中的内容拆开进行部分投标且投标方案唯一。</w:t>
            </w:r>
          </w:p>
        </w:tc>
      </w:tr>
      <w:tr>
        <w:tc>
          <w:tcPr>
            <w:tcW w:type="dxa" w:w="890"/>
          </w:tcPr>
          <w:p>
            <w:pPr>
              <w:pStyle w:val="null3"/>
            </w:pPr>
            <w:r>
              <w:rPr/>
              <w:t>7</w:t>
            </w:r>
          </w:p>
        </w:tc>
        <w:tc>
          <w:tcPr>
            <w:tcW w:type="dxa" w:w="3178"/>
          </w:tcPr>
          <w:p>
            <w:pPr>
              <w:pStyle w:val="null3"/>
            </w:pPr>
            <w:r>
              <w:rPr/>
              <w:t>不属于法律、法规、规章及招标文件规定无效投标的其他情形</w:t>
            </w:r>
          </w:p>
        </w:tc>
        <w:tc>
          <w:tcPr>
            <w:tcW w:type="dxa" w:w="4238"/>
          </w:tcPr>
          <w:p>
            <w:pPr>
              <w:pStyle w:val="null3"/>
            </w:pPr>
            <w:r>
              <w:rPr/>
              <w:t>不属于法律、法规、规章及招标文件规定无效投标的其他情形。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在评审过程中出现下列情形之一的，评审委员会应当启动异常低价投标（响应）审查程序：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采购包3（香港城市大学（东莞）2026年计算机科研设备（第一批）（采购包3））：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标的提供的时间</w:t>
            </w:r>
          </w:p>
        </w:tc>
        <w:tc>
          <w:tcPr>
            <w:tcW w:type="dxa" w:w="4238"/>
          </w:tcPr>
          <w:p>
            <w:pPr>
              <w:pStyle w:val="null3"/>
            </w:pPr>
            <w:r>
              <w:rPr/>
              <w:t>标的提供的时间满足招标文件要求。</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投标有效期按招标文件要求。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满足招标文件的报价要求。</w:t>
            </w:r>
          </w:p>
        </w:tc>
      </w:tr>
      <w:tr>
        <w:tc>
          <w:tcPr>
            <w:tcW w:type="dxa" w:w="890"/>
          </w:tcPr>
          <w:p>
            <w:pPr>
              <w:pStyle w:val="null3"/>
            </w:pPr>
            <w:r>
              <w:rPr/>
              <w:t>4</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5</w:t>
            </w:r>
          </w:p>
        </w:tc>
        <w:tc>
          <w:tcPr>
            <w:tcW w:type="dxa" w:w="3178"/>
          </w:tcPr>
          <w:p>
            <w:pPr>
              <w:pStyle w:val="null3"/>
            </w:pPr>
            <w:r>
              <w:rPr/>
              <w:t>带“★”实质性条款响应</w:t>
            </w:r>
          </w:p>
        </w:tc>
        <w:tc>
          <w:tcPr>
            <w:tcW w:type="dxa" w:w="4238"/>
          </w:tcPr>
          <w:p>
            <w:pPr>
              <w:pStyle w:val="null3"/>
            </w:pPr>
            <w:r>
              <w:rPr/>
              <w:t>投标人响应招标文件提出标注“★”条款的要求和条件。</w:t>
            </w:r>
          </w:p>
        </w:tc>
      </w:tr>
      <w:tr>
        <w:tc>
          <w:tcPr>
            <w:tcW w:type="dxa" w:w="890"/>
          </w:tcPr>
          <w:p>
            <w:pPr>
              <w:pStyle w:val="null3"/>
            </w:pPr>
            <w:r>
              <w:rPr/>
              <w:t>6</w:t>
            </w:r>
          </w:p>
        </w:tc>
        <w:tc>
          <w:tcPr>
            <w:tcW w:type="dxa" w:w="3178"/>
          </w:tcPr>
          <w:p>
            <w:pPr>
              <w:pStyle w:val="null3"/>
            </w:pPr>
            <w:r>
              <w:rPr/>
              <w:t>投标人提交的投标方案唯一性</w:t>
            </w:r>
          </w:p>
        </w:tc>
        <w:tc>
          <w:tcPr>
            <w:tcW w:type="dxa" w:w="4238"/>
          </w:tcPr>
          <w:p>
            <w:pPr>
              <w:pStyle w:val="null3"/>
            </w:pPr>
            <w:r>
              <w:rPr/>
              <w:t>未将一个包中的内容拆开进行部分投标且投标方案唯一。</w:t>
            </w:r>
          </w:p>
        </w:tc>
      </w:tr>
      <w:tr>
        <w:tc>
          <w:tcPr>
            <w:tcW w:type="dxa" w:w="890"/>
          </w:tcPr>
          <w:p>
            <w:pPr>
              <w:pStyle w:val="null3"/>
            </w:pPr>
            <w:r>
              <w:rPr/>
              <w:t>7</w:t>
            </w:r>
          </w:p>
        </w:tc>
        <w:tc>
          <w:tcPr>
            <w:tcW w:type="dxa" w:w="3178"/>
          </w:tcPr>
          <w:p>
            <w:pPr>
              <w:pStyle w:val="null3"/>
            </w:pPr>
            <w:r>
              <w:rPr/>
              <w:t>不属于法律、法规、规章及招标文件规定无效投标的其他情形</w:t>
            </w:r>
          </w:p>
        </w:tc>
        <w:tc>
          <w:tcPr>
            <w:tcW w:type="dxa" w:w="4238"/>
          </w:tcPr>
          <w:p>
            <w:pPr>
              <w:pStyle w:val="null3"/>
            </w:pPr>
            <w:r>
              <w:rPr/>
              <w:t>不属于法律、法规、规章及招标文件规定无效投标的其他情形。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在评审过程中出现下列情形之一的，评审委员会应当启动异常低价投标（响应）审查程序：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采购包1(香港城市大学（东莞）2026年计算机科研设备（第一批）（采购包1）):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技术参数的响应情况 (27.0分)</w:t>
            </w:r>
          </w:p>
        </w:tc>
        <w:tc>
          <w:tcPr>
            <w:tcW w:type="dxa" w:w="5076"/>
          </w:tcPr>
          <w:p>
            <w:pPr>
              <w:pStyle w:val="null3"/>
              <w:jc w:val="left"/>
            </w:pPr>
            <w:r>
              <w:rPr/>
              <w:t>对采购需求的响应程度，包括需求理解深度、对技术参数的响应程度进行评分，每有一项“▲”参数满足或优于要求的，每项得1分，最高得分27分。 1.如本项目采购需求有要求提供具体证明材料的，需按要求提供，不提供或提供资料不完整视为负偏离；如采购需求无明确要求提供证明材料，则以投标人提供的《技术和服务要求响应表》响应情况为准，不按要求提供或提供不符的视为负偏离。 2.本采购包“▲”条款合计27个。</w:t>
            </w:r>
          </w:p>
        </w:tc>
      </w:tr>
      <w:tr>
        <w:tc>
          <w:tcPr>
            <w:tcW w:type="dxa" w:w="922"/>
            <w:gridSpan w:val="2"/>
            <w:vMerge/>
          </w:tcPr>
          <w:p/>
        </w:tc>
        <w:tc>
          <w:tcPr>
            <w:tcW w:type="dxa" w:w="2307"/>
          </w:tcPr>
          <w:p>
            <w:pPr>
              <w:pStyle w:val="null3"/>
              <w:jc w:val="left"/>
            </w:pPr>
            <w:r>
              <w:rPr/>
              <w:t>项目实施方案 (11.0分)</w:t>
            </w:r>
          </w:p>
        </w:tc>
        <w:tc>
          <w:tcPr>
            <w:tcW w:type="dxa" w:w="5076"/>
          </w:tcPr>
          <w:p>
            <w:pPr>
              <w:pStyle w:val="null3"/>
              <w:jc w:val="left"/>
            </w:pPr>
            <w:r>
              <w:rPr/>
              <w:t>根据各投标人针对本项目所提供的项目实施方案(包括但不限于供货进度方案、安装调试方案、其他服务承诺方案等)进行评审： ①项目实施方案有明确详细的计划和步骤，履约有科学、合理可行的进度计划安排，其他服务承诺丰富、全面且可行，能完全结合项目实际情况且完全满足或优于本项目采购需求要求的得11分； ②项目实施方案有较明确的计划和步骤，履约有较为合理可行的进度计划安排，其他服务承诺较全面且较可行，能部分结合项目实际情况且能满足本项目采购需求要求的得8分； ③项目实施方案有基本的计划和步骤，履约进度计划安排基本合理可行，其他服务承诺基本完整，未结合项目实际情况但能基本满足本项目采购需求要求的，得5分； ④项目实施方案没有计划和步骤，履约进度计划不合理，未提供其他服务承诺，难以满足本项目采购需求要求的得2分； ⑤未提供方案不得分。</w:t>
            </w:r>
          </w:p>
        </w:tc>
      </w:tr>
      <w:tr>
        <w:tc>
          <w:tcPr>
            <w:tcW w:type="dxa" w:w="922"/>
            <w:gridSpan w:val="2"/>
            <w:vMerge/>
          </w:tcPr>
          <w:p/>
        </w:tc>
        <w:tc>
          <w:tcPr>
            <w:tcW w:type="dxa" w:w="2307"/>
          </w:tcPr>
          <w:p>
            <w:pPr>
              <w:pStyle w:val="null3"/>
              <w:jc w:val="left"/>
            </w:pPr>
            <w:r>
              <w:rPr/>
              <w:t>质量保证措施及方案 (11.0分)</w:t>
            </w:r>
          </w:p>
        </w:tc>
        <w:tc>
          <w:tcPr>
            <w:tcW w:type="dxa" w:w="5076"/>
          </w:tcPr>
          <w:p>
            <w:pPr>
              <w:pStyle w:val="null3"/>
              <w:jc w:val="left"/>
            </w:pPr>
            <w:r>
              <w:rPr/>
              <w:t>根据各投标人针对本项目所提供的质量保证措施及方案（包括但不限于质量控制、采购、运输、存储等环节的质量控制方案、质量检验流程等）进行评分： ①针对本项目有详细完整的质量保障措施，全面覆盖了产品采购、运输、存储等各环节的质量控制要求，明确上述各环节所需的人员和物资，设备质量检验流程具体完善，能够全面保障设备的品质和安全，完全满足且优于采购需求的，得11分； ②针对本项目有完整的质量保障措施，有较为具体的产品采购、运输、存储等各环节的质量控制要求，明确上述各环节所需的人员和物资，设备质量检验流程较为具体完善，能够较好的保障设备的品质和安全，完全满足采购需求的，得8分； ③针对本项目有基本的质量保障措施，基本覆盖了产品采购、运输、存储等各环节的质量控制要求，设备质量检验流程简单，基本可以保障设备的品质和安全，基本满足采购需求的，得5分； ④针对本项目的质量保障措施有缺漏，方案简略、针对性薄弱，不能保障设备的质量的，得2分； ⑤未提供方案不得分。</w:t>
            </w:r>
          </w:p>
        </w:tc>
      </w:tr>
      <w:tr>
        <w:tc>
          <w:tcPr>
            <w:tcW w:type="dxa" w:w="922"/>
            <w:gridSpan w:val="2"/>
            <w:vMerge/>
          </w:tcPr>
          <w:p/>
        </w:tc>
        <w:tc>
          <w:tcPr>
            <w:tcW w:type="dxa" w:w="2307"/>
          </w:tcPr>
          <w:p>
            <w:pPr>
              <w:pStyle w:val="null3"/>
              <w:jc w:val="left"/>
            </w:pPr>
            <w:r>
              <w:rPr/>
              <w:t>售后服务方案 (11.0分)</w:t>
            </w:r>
          </w:p>
        </w:tc>
        <w:tc>
          <w:tcPr>
            <w:tcW w:type="dxa" w:w="5076"/>
          </w:tcPr>
          <w:p>
            <w:pPr>
              <w:pStyle w:val="null3"/>
              <w:jc w:val="left"/>
            </w:pPr>
            <w:r>
              <w:rPr/>
              <w:t>根据各投标人针对本项目所提供的售后服务方案（包括但不限于售后服务计划、售后服务人员组织架构、故障解决方案、备品备件情况等）进行评分： ①售后服务计划清晰明确、详细具体，售后服务人员组织架构完善、专业技术力量投入充足、技术人员组织安排及跟进处理流程详细具体合理，针对设备故障维修有详细的应对措施及相应的解决方案，备品备件储备充足、调配机制高效，能满足设备全生命周期维护需求，售后服务方案内容详尽，完全满足且优于采购需求的，得11分； ②售后服务计划明确具体，售后服务人员组织架构完善、专业技术力量投入充足、技术人员组织安排及跟进处理流程合理，针对设备故障维修有相应的应对措施及解决方案，备品备件储备合理、调配流程规范，能保障设备正常运行，售后服务方案各项内容较详细，完全满足采购需求的，得8分； ③有售后服务计划，有售后服务人员、有技术人员组织安排及跟进处理流程，针对设备故障维修有应对措施及解决方案，有基础备品备件储备及调配安排，售后服务方案内容基本可行，基本满足采购需求的，得5分； ④售后服务计划不够清晰，售后服务人员组织架构不够完善、技术人员组织安排及跟进处理流程不够具体，对设备故障维修的应对措施及解决方案不够合理，备品备件情况描述模糊、储备不足或调配机制不健全，售后服务方案内容有缺漏，得2分； ⑤未提供方案不得分。</w:t>
            </w:r>
          </w:p>
        </w:tc>
      </w:tr>
      <w:tr>
        <w:tc>
          <w:tcPr>
            <w:tcW w:type="dxa" w:w="922"/>
            <w:gridSpan w:val="2"/>
          </w:tcPr>
          <w:p>
            <w:pPr>
              <w:pStyle w:val="null3"/>
              <w:jc w:val="center"/>
            </w:pPr>
            <w:r>
              <w:rPr/>
              <w:t>商务部分</w:t>
            </w:r>
          </w:p>
        </w:tc>
        <w:tc>
          <w:tcPr>
            <w:tcW w:type="dxa" w:w="2307"/>
          </w:tcPr>
          <w:p>
            <w:pPr>
              <w:pStyle w:val="null3"/>
              <w:jc w:val="left"/>
            </w:pPr>
            <w:r>
              <w:rPr/>
              <w:t>业绩 (10.0分)</w:t>
            </w:r>
          </w:p>
        </w:tc>
        <w:tc>
          <w:tcPr>
            <w:tcW w:type="dxa" w:w="5076"/>
          </w:tcPr>
          <w:p>
            <w:pPr>
              <w:pStyle w:val="null3"/>
              <w:jc w:val="left"/>
            </w:pPr>
            <w:r>
              <w:rPr/>
              <w:t>依据投标人具有的同类教学设备或科研设备或与本采购包采购标的类似的设备供货项目业绩进行评审，每提供一个得2分，最高10分。 注：须提供合同复印件关键页并加盖投标人公章。重要提醒:投标人须在项目业绩佐证材料中，对符合要求的内容进行明确框选；若所提供的佐证材料内容难以清晰辨识，应补充相关说明材料，否则评标委员会将有权对该相关业绩不予认可。</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采购包2(香港城市大学（东莞）2026年计算机科研设备（第一批）（采购包2）):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技术参数的响应情况 (24.0分)</w:t>
            </w:r>
          </w:p>
        </w:tc>
        <w:tc>
          <w:tcPr>
            <w:tcW w:type="dxa" w:w="5076"/>
          </w:tcPr>
          <w:p>
            <w:pPr>
              <w:pStyle w:val="null3"/>
              <w:jc w:val="left"/>
            </w:pPr>
            <w:r>
              <w:rPr/>
              <w:t>对采购需求的响应程度，包括需求理解深度、对技术参数的响应程度进行评分，每有一项“▲”参数满足或优于要求的，每项得2分，最高得分24分。 1.如本项目采购需求有要求提供具体证明材料的，需按要求提供，不提供或提供资料不完整视为负偏离；如采购需求无明确要求提供证明材料，则以投标人提供的《技术和服务要求响应表》响应情况为准，不按要求提供或提供不符的视为负偏离。 2.本项目“▲”条款合计12个。</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根据各投标人针对本项目所提供的项目实施方案(包括但不限于供货进度方案、安装调试方案、其他服务承诺方案等)进行评审： ①项目实施方案有明确详细的计划和步骤，履约有科学、合理可行的进度计划安排，其他服务承诺丰富、全面且可行，能完全结合项目实际情况且完全满足或优于本项目采购需求要求的得12分； ②项目实施方案有较明确的计划和步骤，履约有较为合理可行的进度计划安排，其他服务承诺较全面且较可行，能部分结合项目实际情况且能满足本项目采购需求要求的得8分； ③项目实施方案有基本的计划和步骤，履约进度计划安排基本合理可行，其他服务承诺基本完整，未结合项目实际情况但能基本满足本项目采购需求要求的，得4分； ④项目实施方案没有计划和步骤，履约进度计划不合理，未提供其他服务承诺，难以满足本项目采购需求要求的得1分； ⑤未提供方案不得分。</w:t>
            </w:r>
          </w:p>
        </w:tc>
      </w:tr>
      <w:tr>
        <w:tc>
          <w:tcPr>
            <w:tcW w:type="dxa" w:w="922"/>
            <w:gridSpan w:val="2"/>
            <w:vMerge/>
          </w:tcPr>
          <w:p/>
        </w:tc>
        <w:tc>
          <w:tcPr>
            <w:tcW w:type="dxa" w:w="2307"/>
          </w:tcPr>
          <w:p>
            <w:pPr>
              <w:pStyle w:val="null3"/>
              <w:jc w:val="left"/>
            </w:pPr>
            <w:r>
              <w:rPr/>
              <w:t>质量保证措施及方案 (12.0分)</w:t>
            </w:r>
          </w:p>
        </w:tc>
        <w:tc>
          <w:tcPr>
            <w:tcW w:type="dxa" w:w="5076"/>
          </w:tcPr>
          <w:p>
            <w:pPr>
              <w:pStyle w:val="null3"/>
              <w:jc w:val="left"/>
            </w:pPr>
            <w:r>
              <w:rPr/>
              <w:t>根据各投标人针对本项目所提供的质量保证措施及方案（包括但不限于质量控制、采购、运输、存储等环节的质量控制方案、质量检验流程等）进行评分： ①针对本项目有详细完整的质量保障措施，全面覆盖了产品采购、运输、存储等各环节的质量控制要求，明确上述各环节所需的人员和物资，设备质量检验流程具体完善，能够全面保障设备的品质和安全，完全满足且优于采购需求的，得12分； ②针对本项目有完整的质量保障措施，有较为具体的产品采购、运输、存储等各环节的质量控制要求，明确上述各环节所需的人员和物资，设备质量检验流程较为具体完善，能够较好的保障设备的品质和安全，完全满足采购需求的，得8分； ③针对本项目有基本的质量保障措施，基本覆盖了产品采购、运输、存储等各环节的质量控制要求，设备质量检验流程简单，基本可以保障设备的品质和安全，基本满足采购需求的，得4分； ④针对本项目的质量保障措施有缺漏，方案简略、针对性薄弱，不能保障设备的质量的，得1分； ⑤未提供方案不得分。</w:t>
            </w:r>
          </w:p>
        </w:tc>
      </w:tr>
      <w:tr>
        <w:tc>
          <w:tcPr>
            <w:tcW w:type="dxa" w:w="922"/>
            <w:gridSpan w:val="2"/>
            <w:vMerge/>
          </w:tcPr>
          <w:p/>
        </w:tc>
        <w:tc>
          <w:tcPr>
            <w:tcW w:type="dxa" w:w="2307"/>
          </w:tcPr>
          <w:p>
            <w:pPr>
              <w:pStyle w:val="null3"/>
              <w:jc w:val="left"/>
            </w:pPr>
            <w:r>
              <w:rPr/>
              <w:t>售后服务方案 (12.0分)</w:t>
            </w:r>
          </w:p>
        </w:tc>
        <w:tc>
          <w:tcPr>
            <w:tcW w:type="dxa" w:w="5076"/>
          </w:tcPr>
          <w:p>
            <w:pPr>
              <w:pStyle w:val="null3"/>
              <w:jc w:val="left"/>
            </w:pPr>
            <w:r>
              <w:rPr/>
              <w:t>根据各投标人针对本项目所提供的售后服务方案（包括但不限于售后服务计划、售后服务人员组织架构、故障解决方案、备品备件情况等）进行评分： ①售后服务计划清晰明确、详细具体，售后服务人员组织架构完善、专业技术力量投入充足、技术人员组织安排及跟进处理流程详细具体合理，针对设备故障维修有详细的应对措施及相应的解决方案，备品备件储备充足、调配机制高效，能满足设备全生命周期维护需求，售后服务方案内容详尽，完全满足且优于采购需求的，得12分； ②售后服务计划明确具体，售后服务人员组织架构完善、专业技术力量投入充足、技术人员组织安排及跟进处理流程合理，针对设备故障维修有相应的应对措施及解决方案，备品备件储备合理、调配流程规范，能保障设备正常运行，售后服务方案各项内容较详细，完全满足采购需求的，得8分； ③有售后服务计划，有售后服务人员、有技术人员组织安排及跟进处理流程，针对设备故障维修有应对措施及解决方案，有基础备品备件储备及调配安排，售后服务方案内容基本可行，基本满足采购需求的，得4分； ④售后服务计划不够清晰，售后服务人员组织架构不够完善、技术人员组织安排及跟进处理流程不够具体，对设备故障维修的应对措施及解决方案不够合理，备品备件情况描述模糊、储备不足或调配机制不健全，售后服务方案内容有缺漏，得1分； ⑤未提供方案不得分。</w:t>
            </w:r>
          </w:p>
        </w:tc>
      </w:tr>
      <w:tr>
        <w:tc>
          <w:tcPr>
            <w:tcW w:type="dxa" w:w="922"/>
            <w:gridSpan w:val="2"/>
          </w:tcPr>
          <w:p>
            <w:pPr>
              <w:pStyle w:val="null3"/>
              <w:jc w:val="center"/>
            </w:pPr>
            <w:r>
              <w:rPr/>
              <w:t>商务部分</w:t>
            </w:r>
          </w:p>
        </w:tc>
        <w:tc>
          <w:tcPr>
            <w:tcW w:type="dxa" w:w="2307"/>
          </w:tcPr>
          <w:p>
            <w:pPr>
              <w:pStyle w:val="null3"/>
              <w:jc w:val="left"/>
            </w:pPr>
            <w:r>
              <w:rPr/>
              <w:t>业绩 (10.0分)</w:t>
            </w:r>
          </w:p>
        </w:tc>
        <w:tc>
          <w:tcPr>
            <w:tcW w:type="dxa" w:w="5076"/>
          </w:tcPr>
          <w:p>
            <w:pPr>
              <w:pStyle w:val="null3"/>
              <w:jc w:val="left"/>
            </w:pPr>
            <w:r>
              <w:rPr/>
              <w:t>依据投标人具有的同类教学设备或科研设备或与本采购包采购标的类似的设备供货项目业绩进行评审，每提供一个得2分，最高10分。 注：须提供合同复印件关键页并加盖投标人公章。重要提醒:投标人须在项目业绩佐证材料中，对符合要求的内容进行明确框选；若所提供的佐证材料内容难以清晰辨识，应补充相关说明材料，否则评标委员会将有权对该相关业绩不予认可。</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采购包3(香港城市大学（东莞）2026年计算机科研设备（第一批）（采购包3）):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技术部分57.0分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技术参数的响应情况 (36.0分)</w:t>
            </w:r>
          </w:p>
        </w:tc>
        <w:tc>
          <w:tcPr>
            <w:tcW w:type="dxa" w:w="5076"/>
          </w:tcPr>
          <w:p>
            <w:pPr>
              <w:pStyle w:val="null3"/>
              <w:jc w:val="left"/>
            </w:pPr>
            <w:r>
              <w:rPr/>
              <w:t>对采购需求的响应程度，包括需求理解深度、对技术参数的响应程度进行评分，每有一项“▲”参数满足或优于要求的，每项得2分，最高得分36分。 1.如本项目采购需求有要求提供具体证明材料的，需按要求提供，不提供或提供资料不完整视为负偏离；如采购需求无明确要求提供证明材料，则以投标人提供的《技术和服务要求响应表》响应情况为准，不按要求提供或提供不符的视为负偏离。 2.本项目“▲”条款合计18个。</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根据各投标人针对本项目所提供的项目实施方案(包括但不限于供货进度方案、安装调试方案、其他服务承诺方案等)进行评审： ①项目实施方案有明确详细的计划和步骤，履约有科学、合理可行的进度计划安排，其他服务承诺丰富、全面且可行，能完全结合项目实际情况且完全满足或优于本项目采购需求要求的得7分； ②项目实施方案有较明确的计划和步骤，履约有较为合理可行的进度计划安排，其他服务承诺较全面且较可行，能部分结合项目实际情况且能满足本项目采购需求要求的得5分； ③项目实施方案有基本的计划和步骤，履约进度计划安排基本合理可行，其他服务承诺基本完整，未结合项目实际情况但能基本满足本项目采购需求要求的，得3分； ④项目实施方案没有计划和步骤，履约进度计划不合理，未提供其他服务承诺，难以满足本项目采购需求要求的得1分； ⑤未提供方案不得分。</w:t>
            </w:r>
          </w:p>
        </w:tc>
      </w:tr>
      <w:tr>
        <w:tc>
          <w:tcPr>
            <w:tcW w:type="dxa" w:w="922"/>
            <w:gridSpan w:val="2"/>
            <w:vMerge/>
          </w:tcPr>
          <w:p/>
        </w:tc>
        <w:tc>
          <w:tcPr>
            <w:tcW w:type="dxa" w:w="2307"/>
          </w:tcPr>
          <w:p>
            <w:pPr>
              <w:pStyle w:val="null3"/>
              <w:jc w:val="left"/>
            </w:pPr>
            <w:r>
              <w:rPr/>
              <w:t>质量保证措施及方案 (7.0分)</w:t>
            </w:r>
          </w:p>
        </w:tc>
        <w:tc>
          <w:tcPr>
            <w:tcW w:type="dxa" w:w="5076"/>
          </w:tcPr>
          <w:p>
            <w:pPr>
              <w:pStyle w:val="null3"/>
              <w:jc w:val="left"/>
            </w:pPr>
            <w:r>
              <w:rPr/>
              <w:t>根据各投标人针对本项目所提供的质量保证措施及方案（包括但不限于质量控制、采购、运输、存储等环节的质量控制方案、质量检验流程等）进行评分： ①针对本项目有详细完整的质量保障措施，全面覆盖了产品采购、运输、存储等各环节的质量控制要求，明确上述各环节所需的人员和物资，设备质量检验流程具体完善，能够全面保障设备的品质和安全，完全满足且优于采购需求的，得7分； ②针对本项目有完整的质量保障措施，有较为具体的产品采购、运输、存储等各环节的质量控制要求，明确上述各环节所需的人员和物资，设备质量检验流程较为具体完善，能够较好的保障设备的品质和安全，完全满足采购需求的，得5分； ③针对本项目有基本的质量保障措施，基本覆盖了产品采购、运输、存储等各环节的质量控制要求，设备质量检验流程简单，基本可以保障设备的品质和安全，基本满足采购需求的，得3分； ④针对本项目的质量保障措施有缺漏，方案简略、针对性薄弱，不能保障设备的质量的，得1分； ⑤未提供方案不得分。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根据各投标人针对本项目所提供的售后服务方案（包括但不限于售后服务计划、售后服务人员组织架构、故障解决方案、备品备件情况等）进行评分： ①售后服务计划清晰明确、详细具体，售后服务人员组织架构完善、专业技术力量投入充足、技术人员组织安排及跟进处理流程详细具体合理，针对设备故障维修有详细的应对措施及相应的解决方案，备品备件储备充足、调配机制高效，能满足设备全生命周期维护需求，售后服务方案内容详尽，完全满足且优于采购需求的，得7分； ②售后服务计划明确具体，售后服务人员组织架构完善、专业技术力量投入充足、技术人员组织安排及跟进处理流程合理，针对设备故障维修有相应的应对措施及解决方案，备品备件储备合理、调配流程规范，能保障设备正常运行，售后服务方案各项内容较详细，完全满足采购需求的，得5分； ③有售后服务计划，有售后服务人员、有技术人员组织安排及跟进处理流程，针对设备故障维修有应对措施及解决方案，有基础备品备件储备及调配安排，售后服务方案内容基本可行，基本满足采购需求的，得3分； ④售后服务计划不够清晰，售后服务人员组织架构不够完善、技术人员组织安排及跟进处理流程不够具体，对设备故障维修的应对措施及解决方案不够合理，备品备件情况描述模糊、储备不足或调配机制不健全，售后服务方案内容有缺漏，得1分； ⑤未提供方案不得分。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(10.0分)</w:t>
            </w:r>
          </w:p>
        </w:tc>
        <w:tc>
          <w:tcPr>
            <w:tcW w:type="dxa" w:w="5076"/>
          </w:tcPr>
          <w:p>
            <w:pPr>
              <w:pStyle w:val="null3"/>
              <w:jc w:val="left"/>
            </w:pPr>
            <w:r>
              <w:rPr/>
              <w:t>依据投标人具有的同类教学设备或科研设备或与本采购包采购标的类似的设备供货项目业绩进行评审，每提供一个得2分，最高10分。 注：须提供合同复印件关键页并加盖投标人公章。重要提醒:投标人须在项目业绩佐证材料中，对符合要求的内容进行明确框选；若所提供的佐证材料内容难以清晰辨识，应补充相关说明材料，否则评标委员会将有权对该相关业绩不予认可。</w:t>
            </w:r>
          </w:p>
        </w:tc>
      </w:tr>
      <w:tr>
        <w:tc>
          <w:tcPr>
            <w:tcW w:type="dxa" w:w="922"/>
            <w:gridSpan w:val="2"/>
            <w:vMerge/>
          </w:tcPr>
          <w:p/>
        </w:tc>
        <w:tc>
          <w:tcPr>
            <w:tcW w:type="dxa" w:w="2307"/>
          </w:tcPr>
          <w:p>
            <w:pPr>
              <w:pStyle w:val="null3"/>
              <w:jc w:val="left"/>
            </w:pPr>
            <w:r>
              <w:rPr/>
              <w:t>拟投入技术团队情况 (3.0分)</w:t>
            </w:r>
          </w:p>
        </w:tc>
        <w:tc>
          <w:tcPr>
            <w:tcW w:type="dxa" w:w="5076"/>
          </w:tcPr>
          <w:p>
            <w:pPr>
              <w:pStyle w:val="null3"/>
              <w:jc w:val="left"/>
            </w:pPr>
            <w:r>
              <w:rPr/>
              <w:t>根据投入的项目团队成员资质情况进行评审： ①投入本项目的项目团队负责人具有由人力资源和社会保障相关部门（含原人事部门）或工业和信息化相关部门颁发的系统集成项目管理工程师证书，得1分，不具备不得分； ②投入本项目的技术团队（项目团队负责人除外）为3人及以上的，得2分；为2人的，得1分，其他情况不得分； 注：1.提供项目实施团队一览表； 2.提供相关人员证书复印件。 3.同时提供投标人为上述人员缴纳的最近6个月（不含开标当月）任意1个月的社保证明复印件并加盖投标人公章，不提供证明材料不得分。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由高到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按技术部分得分由高到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按技术部分得分由高到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合同详见招标公告附件：香港城市大学（东莞）货物采购合同模板</w:t>
      </w:r>
      <w:r>
        <w:rPr>
          <w:sz w:val="36"/>
          <w:b/>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441901-2026-05194</w:t>
      </w:r>
    </w:p>
    <w:p>
      <w:pPr>
        <w:pStyle w:val="null3"/>
        <w:jc w:val="center"/>
        <w:outlineLvl w:val="3"/>
      </w:pPr>
      <w:r>
        <w:rPr>
          <w:sz w:val="24"/>
          <w:b/>
        </w:rPr>
        <w:t>采购项目编号：</w:t>
      </w:r>
      <w:r>
        <w:rPr>
          <w:sz w:val="24"/>
          <w:b/>
        </w:rPr>
        <w:t>441901-2026-05194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广东和丰招标代理有限公司</w:t>
      </w:r>
    </w:p>
    <w:p>
      <w:pPr>
        <w:pStyle w:val="null3"/>
        <w:ind w:firstLine="480"/>
      </w:pPr>
      <w:r>
        <w:rPr/>
        <w:t xml:space="preserve"> 你方组织的</w:t>
      </w:r>
      <w:r>
        <w:rPr>
          <w:u w:val="single"/>
        </w:rPr>
        <w:t>“</w:t>
      </w:r>
      <w:r>
        <w:rPr>
          <w:u w:val="single"/>
        </w:rPr>
        <w:t>香港城市大学（东莞）2026年计算机科研设备（第一批）</w:t>
      </w:r>
      <w:r>
        <w:rPr>
          <w:u w:val="single"/>
        </w:rPr>
        <w:t>”</w:t>
      </w:r>
      <w:r>
        <w:rPr/>
        <w:t>项目的招标[采购项目编号为：</w:t>
      </w:r>
      <w:r>
        <w:rPr>
          <w:u w:val="single"/>
        </w:rPr>
        <w:t>441901-2026-05194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香港城市大学（东莞）2026年计算机科研设备（第一批）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广东和丰招标代理有限公司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香港城市大学（东莞）2026年计算机科研设备（第一批）</w:t>
      </w:r>
      <w:r>
        <w:rPr/>
        <w:t>”项目采购[采购项目编号为</w:t>
      </w:r>
      <w:r>
        <w:rPr/>
        <w:t>441901-2026-05194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香港城市大学（东莞）</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广东和丰招标代理有限公司</w:t>
      </w:r>
    </w:p>
    <w:p>
      <w:pPr>
        <w:pStyle w:val="null3"/>
        <w:ind w:firstLine="480"/>
      </w:pPr>
      <w:r>
        <w:rPr/>
        <w:t xml:space="preserve"> 如果我方在贵采购代理机构组织的</w:t>
      </w:r>
      <w:r>
        <w:rPr/>
        <w:t>香港城市大学（东莞）2026年计算机科研设备（第一批）</w:t>
      </w:r>
      <w:r>
        <w:rPr/>
        <w:t>招标中获中标（采购项目编号：</w:t>
      </w:r>
      <w:r>
        <w:rPr/>
        <w:t>441901-2026-05194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广东和丰招标代理有限公司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广东和丰招标代理有限公司</w:t>
      </w:r>
    </w:p>
    <w:p>
      <w:pPr>
        <w:pStyle w:val="null3"/>
        <w:ind w:firstLine="480"/>
      </w:pPr>
      <w:r>
        <w:rPr/>
        <w:t>我单位已登记并准备参与“</w:t>
      </w:r>
      <w:r>
        <w:rPr/>
        <w:t>香港城市大学（东莞）2026年计算机科研设备（第一批）</w:t>
      </w:r>
      <w:r>
        <w:rPr/>
        <w:t>”项目（采购项目编号：</w:t>
      </w:r>
      <w:r>
        <w:rPr/>
        <w:t>441901-2026-05194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