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BEBF4">
      <w:pPr>
        <w:pStyle w:val="4"/>
        <w:spacing w:before="156" w:after="156"/>
        <w:jc w:val="center"/>
        <w:rPr>
          <w:color w:val="auto"/>
        </w:rPr>
      </w:pPr>
      <w:r>
        <w:rPr>
          <w:rFonts w:hint="eastAsia"/>
          <w:color w:val="auto"/>
        </w:rPr>
        <w:t>拟签订采购合同文本</w:t>
      </w:r>
    </w:p>
    <w:p w14:paraId="7DF8CA7C">
      <w:pPr>
        <w:tabs>
          <w:tab w:val="left" w:pos="0"/>
        </w:tabs>
        <w:wordWrap w:val="0"/>
        <w:topLinePunct/>
        <w:spacing w:line="440" w:lineRule="exact"/>
        <w:ind w:firstLine="480" w:firstLineChars="200"/>
        <w:rPr>
          <w:rFonts w:ascii="宋体" w:hAnsi="宋体" w:eastAsia="宋体" w:cs="Calibri"/>
          <w:color w:val="auto"/>
          <w:sz w:val="24"/>
          <w:szCs w:val="24"/>
        </w:rPr>
      </w:pPr>
    </w:p>
    <w:p w14:paraId="04B59001">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bookmarkStart w:id="1" w:name="_GoBack"/>
      <w:bookmarkEnd w:id="1"/>
    </w:p>
    <w:p w14:paraId="3732C9CA">
      <w:pPr>
        <w:spacing w:line="44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签订地点：</w:t>
      </w:r>
      <w:r>
        <w:rPr>
          <w:rFonts w:hint="eastAsia" w:ascii="仿宋" w:hAnsi="仿宋" w:eastAsia="仿宋" w:cs="仿宋"/>
          <w:color w:val="auto"/>
          <w:sz w:val="24"/>
          <w:szCs w:val="24"/>
          <w:highlight w:val="none"/>
          <w:u w:val="single"/>
        </w:rPr>
        <w:t xml:space="preserve">                </w:t>
      </w:r>
    </w:p>
    <w:p w14:paraId="0E8CBF77">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EE9325D">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采购人（甲方）：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E820D26">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D312596">
      <w:pPr>
        <w:spacing w:line="440" w:lineRule="exact"/>
        <w:rPr>
          <w:rFonts w:hint="eastAsia" w:ascii="仿宋" w:hAnsi="仿宋" w:eastAsia="仿宋" w:cs="仿宋"/>
          <w:color w:val="auto"/>
          <w:sz w:val="24"/>
          <w:highlight w:val="none"/>
        </w:rPr>
      </w:pPr>
    </w:p>
    <w:p w14:paraId="2D9487E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根据《中华人民共和国政府采购法》、《中华人民共和国民法典》及</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政府采购中心</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采购项目（项目编号</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号</w:t>
      </w:r>
      <w:r>
        <w:rPr>
          <w:rFonts w:hint="eastAsia" w:ascii="仿宋" w:hAnsi="仿宋" w:eastAsia="仿宋" w:cs="仿宋"/>
          <w:color w:val="auto"/>
          <w:sz w:val="24"/>
          <w:highlight w:val="none"/>
        </w:rPr>
        <w:t>）的采购文件、乙方的响应文件及成交通知书，甲、乙双方同意签订本合同。详细技术说明及其他有关合同项目的特定信息由合同附件予以说明，合同附件及本项目的采购文件、响应文件、成交通知书等均为本合同不可分割的部分。双方同意共同遵守如下条款：</w:t>
      </w:r>
    </w:p>
    <w:p w14:paraId="49606908">
      <w:pPr>
        <w:numPr>
          <w:ilvl w:val="0"/>
          <w:numId w:val="1"/>
        </w:numPr>
        <w:spacing w:after="120" w:afterLines="50" w:line="440" w:lineRule="exact"/>
        <w:ind w:left="896" w:hanging="482"/>
        <w:rPr>
          <w:rFonts w:hint="eastAsia" w:ascii="仿宋" w:hAnsi="仿宋" w:eastAsia="仿宋" w:cs="仿宋"/>
          <w:color w:val="auto"/>
          <w:sz w:val="24"/>
          <w:highlight w:val="none"/>
        </w:rPr>
      </w:pPr>
      <w:r>
        <w:rPr>
          <w:rFonts w:hint="eastAsia" w:ascii="仿宋" w:hAnsi="仿宋" w:eastAsia="仿宋" w:cs="仿宋"/>
          <w:color w:val="auto"/>
          <w:sz w:val="24"/>
          <w:highlight w:val="none"/>
        </w:rPr>
        <w:t>合同货物</w:t>
      </w:r>
    </w:p>
    <w:tbl>
      <w:tblPr>
        <w:tblStyle w:val="2"/>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83"/>
        <w:gridCol w:w="1053"/>
        <w:gridCol w:w="724"/>
        <w:gridCol w:w="724"/>
        <w:gridCol w:w="902"/>
        <w:gridCol w:w="1084"/>
        <w:gridCol w:w="1188"/>
        <w:gridCol w:w="1264"/>
      </w:tblGrid>
      <w:tr w14:paraId="5CBFE4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929" w:type="pct"/>
            <w:tcBorders>
              <w:top w:val="single" w:color="auto" w:sz="4" w:space="0"/>
              <w:left w:val="single" w:color="auto" w:sz="4" w:space="0"/>
              <w:bottom w:val="single" w:color="auto" w:sz="4" w:space="0"/>
              <w:right w:val="single" w:color="auto" w:sz="4" w:space="0"/>
            </w:tcBorders>
            <w:noWrap w:val="0"/>
            <w:vAlign w:val="center"/>
          </w:tcPr>
          <w:p w14:paraId="51F532C4">
            <w:pPr>
              <w:spacing w:line="28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货物品名</w:t>
            </w:r>
          </w:p>
        </w:tc>
        <w:tc>
          <w:tcPr>
            <w:tcW w:w="618" w:type="pct"/>
            <w:tcBorders>
              <w:top w:val="single" w:color="auto" w:sz="4" w:space="0"/>
              <w:left w:val="single" w:color="auto" w:sz="4" w:space="0"/>
              <w:bottom w:val="single" w:color="auto" w:sz="4" w:space="0"/>
              <w:right w:val="single" w:color="auto" w:sz="4" w:space="0"/>
            </w:tcBorders>
            <w:noWrap w:val="0"/>
            <w:vAlign w:val="center"/>
          </w:tcPr>
          <w:p w14:paraId="4A4CB7A7">
            <w:pPr>
              <w:spacing w:line="2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w:t>
            </w:r>
          </w:p>
          <w:p w14:paraId="5797ED08">
            <w:pPr>
              <w:spacing w:line="2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w:t>
            </w:r>
          </w:p>
        </w:tc>
        <w:tc>
          <w:tcPr>
            <w:tcW w:w="425" w:type="pct"/>
            <w:tcBorders>
              <w:top w:val="single" w:color="auto" w:sz="4" w:space="0"/>
              <w:left w:val="single" w:color="auto" w:sz="4" w:space="0"/>
              <w:bottom w:val="single" w:color="auto" w:sz="4" w:space="0"/>
              <w:right w:val="single" w:color="auto" w:sz="4" w:space="0"/>
            </w:tcBorders>
            <w:noWrap w:val="0"/>
            <w:vAlign w:val="top"/>
          </w:tcPr>
          <w:p w14:paraId="07DDACBE">
            <w:pPr>
              <w:spacing w:line="2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p w14:paraId="42B4DBCF">
            <w:pPr>
              <w:spacing w:line="2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参数</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5A597D57">
            <w:pPr>
              <w:spacing w:line="2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1DB46CB">
            <w:pPr>
              <w:spacing w:line="280" w:lineRule="exact"/>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636" w:type="pct"/>
            <w:tcBorders>
              <w:top w:val="single" w:color="auto" w:sz="4" w:space="0"/>
              <w:left w:val="single" w:color="auto" w:sz="4" w:space="0"/>
              <w:bottom w:val="single" w:color="auto" w:sz="4" w:space="0"/>
              <w:right w:val="single" w:color="auto" w:sz="4" w:space="0"/>
            </w:tcBorders>
            <w:noWrap w:val="0"/>
            <w:vAlign w:val="center"/>
          </w:tcPr>
          <w:p w14:paraId="4A7F8F2C">
            <w:pPr>
              <w:spacing w:line="28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03721693">
            <w:pPr>
              <w:spacing w:line="2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697" w:type="pct"/>
            <w:tcBorders>
              <w:top w:val="single" w:color="auto" w:sz="4" w:space="0"/>
              <w:left w:val="single" w:color="auto" w:sz="4" w:space="0"/>
              <w:bottom w:val="single" w:color="auto" w:sz="4" w:space="0"/>
              <w:right w:val="single" w:color="auto" w:sz="4" w:space="0"/>
            </w:tcBorders>
            <w:noWrap w:val="0"/>
            <w:vAlign w:val="center"/>
          </w:tcPr>
          <w:p w14:paraId="1E3481F3">
            <w:pPr>
              <w:spacing w:line="28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w:t>
            </w:r>
          </w:p>
          <w:p w14:paraId="5CAF9618">
            <w:pPr>
              <w:spacing w:line="280" w:lineRule="exact"/>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742" w:type="pct"/>
            <w:tcBorders>
              <w:top w:val="single" w:color="auto" w:sz="4" w:space="0"/>
              <w:left w:val="single" w:color="auto" w:sz="4" w:space="0"/>
              <w:bottom w:val="single" w:color="auto" w:sz="4" w:space="0"/>
              <w:right w:val="single" w:color="auto" w:sz="4" w:space="0"/>
            </w:tcBorders>
            <w:noWrap w:val="0"/>
            <w:vAlign w:val="center"/>
          </w:tcPr>
          <w:p w14:paraId="3D66F83F">
            <w:pPr>
              <w:spacing w:line="280" w:lineRule="exact"/>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781363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929" w:type="pct"/>
            <w:tcBorders>
              <w:top w:val="single" w:color="auto" w:sz="4" w:space="0"/>
              <w:left w:val="single" w:color="auto" w:sz="4" w:space="0"/>
              <w:bottom w:val="single" w:color="auto" w:sz="4" w:space="0"/>
              <w:right w:val="single" w:color="auto" w:sz="4" w:space="0"/>
            </w:tcBorders>
            <w:noWrap w:val="0"/>
            <w:vAlign w:val="center"/>
          </w:tcPr>
          <w:p w14:paraId="7F4B357E">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18" w:type="pct"/>
            <w:tcBorders>
              <w:top w:val="single" w:color="auto" w:sz="4" w:space="0"/>
              <w:left w:val="single" w:color="auto" w:sz="4" w:space="0"/>
              <w:bottom w:val="single" w:color="auto" w:sz="4" w:space="0"/>
              <w:right w:val="single" w:color="auto" w:sz="4" w:space="0"/>
            </w:tcBorders>
            <w:noWrap w:val="0"/>
            <w:vAlign w:val="center"/>
          </w:tcPr>
          <w:p w14:paraId="129968AD">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425" w:type="pct"/>
            <w:tcBorders>
              <w:top w:val="single" w:color="auto" w:sz="4" w:space="0"/>
              <w:left w:val="single" w:color="auto" w:sz="4" w:space="0"/>
              <w:bottom w:val="single" w:color="auto" w:sz="4" w:space="0"/>
              <w:right w:val="single" w:color="auto" w:sz="4" w:space="0"/>
            </w:tcBorders>
            <w:noWrap w:val="0"/>
            <w:vAlign w:val="top"/>
          </w:tcPr>
          <w:p w14:paraId="3B63191A">
            <w:pPr>
              <w:spacing w:line="440" w:lineRule="exact"/>
              <w:jc w:val="center"/>
              <w:rPr>
                <w:rFonts w:hint="eastAsia" w:ascii="仿宋" w:hAnsi="仿宋" w:eastAsia="仿宋" w:cs="仿宋"/>
                <w:color w:val="auto"/>
                <w:sz w:val="24"/>
                <w:szCs w:val="24"/>
                <w:highlight w:val="none"/>
              </w:rPr>
            </w:pPr>
          </w:p>
        </w:tc>
        <w:tc>
          <w:tcPr>
            <w:tcW w:w="425" w:type="pct"/>
            <w:tcBorders>
              <w:top w:val="single" w:color="auto" w:sz="4" w:space="0"/>
              <w:left w:val="single" w:color="auto" w:sz="4" w:space="0"/>
              <w:bottom w:val="single" w:color="auto" w:sz="4" w:space="0"/>
              <w:right w:val="single" w:color="auto" w:sz="4" w:space="0"/>
            </w:tcBorders>
            <w:noWrap w:val="0"/>
            <w:vAlign w:val="center"/>
          </w:tcPr>
          <w:p w14:paraId="33065544">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16F05AB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36" w:type="pct"/>
            <w:tcBorders>
              <w:top w:val="single" w:color="auto" w:sz="4" w:space="0"/>
              <w:left w:val="single" w:color="auto" w:sz="4" w:space="0"/>
              <w:bottom w:val="single" w:color="auto" w:sz="4" w:space="0"/>
              <w:right w:val="single" w:color="auto" w:sz="4" w:space="0"/>
            </w:tcBorders>
            <w:noWrap w:val="0"/>
            <w:vAlign w:val="center"/>
          </w:tcPr>
          <w:p w14:paraId="53F68314">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97" w:type="pct"/>
            <w:tcBorders>
              <w:top w:val="single" w:color="auto" w:sz="4" w:space="0"/>
              <w:left w:val="single" w:color="auto" w:sz="4" w:space="0"/>
              <w:bottom w:val="single" w:color="auto" w:sz="4" w:space="0"/>
              <w:right w:val="single" w:color="auto" w:sz="4" w:space="0"/>
            </w:tcBorders>
            <w:noWrap w:val="0"/>
            <w:vAlign w:val="center"/>
          </w:tcPr>
          <w:p w14:paraId="3993A808">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742" w:type="pct"/>
            <w:tcBorders>
              <w:top w:val="single" w:color="auto" w:sz="4" w:space="0"/>
              <w:left w:val="single" w:color="auto" w:sz="4" w:space="0"/>
              <w:bottom w:val="single" w:color="auto" w:sz="4" w:space="0"/>
              <w:right w:val="single" w:color="auto" w:sz="4" w:space="0"/>
            </w:tcBorders>
            <w:noWrap w:val="0"/>
            <w:vAlign w:val="center"/>
          </w:tcPr>
          <w:p w14:paraId="19999F22">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r>
      <w:tr w14:paraId="285638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929" w:type="pct"/>
            <w:tcBorders>
              <w:top w:val="single" w:color="auto" w:sz="4" w:space="0"/>
              <w:left w:val="single" w:color="auto" w:sz="4" w:space="0"/>
              <w:bottom w:val="single" w:color="auto" w:sz="4" w:space="0"/>
              <w:right w:val="single" w:color="auto" w:sz="4" w:space="0"/>
            </w:tcBorders>
            <w:noWrap w:val="0"/>
            <w:vAlign w:val="center"/>
          </w:tcPr>
          <w:p w14:paraId="2F5B1AF1">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18" w:type="pct"/>
            <w:tcBorders>
              <w:top w:val="single" w:color="auto" w:sz="4" w:space="0"/>
              <w:left w:val="single" w:color="auto" w:sz="4" w:space="0"/>
              <w:bottom w:val="single" w:color="auto" w:sz="4" w:space="0"/>
              <w:right w:val="single" w:color="auto" w:sz="4" w:space="0"/>
            </w:tcBorders>
            <w:noWrap w:val="0"/>
            <w:vAlign w:val="center"/>
          </w:tcPr>
          <w:p w14:paraId="4F0BED8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425" w:type="pct"/>
            <w:tcBorders>
              <w:top w:val="single" w:color="auto" w:sz="4" w:space="0"/>
              <w:left w:val="single" w:color="auto" w:sz="4" w:space="0"/>
              <w:bottom w:val="single" w:color="auto" w:sz="4" w:space="0"/>
              <w:right w:val="single" w:color="auto" w:sz="4" w:space="0"/>
            </w:tcBorders>
            <w:noWrap w:val="0"/>
            <w:vAlign w:val="top"/>
          </w:tcPr>
          <w:p w14:paraId="06929D35">
            <w:pPr>
              <w:spacing w:line="440" w:lineRule="exact"/>
              <w:jc w:val="center"/>
              <w:rPr>
                <w:rFonts w:hint="eastAsia" w:ascii="仿宋" w:hAnsi="仿宋" w:eastAsia="仿宋" w:cs="仿宋"/>
                <w:color w:val="auto"/>
                <w:sz w:val="24"/>
                <w:szCs w:val="24"/>
                <w:highlight w:val="none"/>
              </w:rPr>
            </w:pPr>
          </w:p>
        </w:tc>
        <w:tc>
          <w:tcPr>
            <w:tcW w:w="425" w:type="pct"/>
            <w:tcBorders>
              <w:top w:val="single" w:color="auto" w:sz="4" w:space="0"/>
              <w:left w:val="single" w:color="auto" w:sz="4" w:space="0"/>
              <w:bottom w:val="single" w:color="auto" w:sz="4" w:space="0"/>
              <w:right w:val="single" w:color="auto" w:sz="4" w:space="0"/>
            </w:tcBorders>
            <w:noWrap w:val="0"/>
            <w:vAlign w:val="center"/>
          </w:tcPr>
          <w:p w14:paraId="273E25FE">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1907568A">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36" w:type="pct"/>
            <w:tcBorders>
              <w:top w:val="single" w:color="auto" w:sz="4" w:space="0"/>
              <w:left w:val="single" w:color="auto" w:sz="4" w:space="0"/>
              <w:bottom w:val="single" w:color="auto" w:sz="4" w:space="0"/>
              <w:right w:val="single" w:color="auto" w:sz="4" w:space="0"/>
            </w:tcBorders>
            <w:noWrap w:val="0"/>
            <w:vAlign w:val="center"/>
          </w:tcPr>
          <w:p w14:paraId="4DC653F9">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697" w:type="pct"/>
            <w:tcBorders>
              <w:top w:val="single" w:color="auto" w:sz="4" w:space="0"/>
              <w:left w:val="single" w:color="auto" w:sz="4" w:space="0"/>
              <w:bottom w:val="single" w:color="auto" w:sz="4" w:space="0"/>
              <w:right w:val="single" w:color="auto" w:sz="4" w:space="0"/>
            </w:tcBorders>
            <w:noWrap w:val="0"/>
            <w:vAlign w:val="center"/>
          </w:tcPr>
          <w:p w14:paraId="5CD0DF4B">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742" w:type="pct"/>
            <w:tcBorders>
              <w:top w:val="single" w:color="auto" w:sz="4" w:space="0"/>
              <w:left w:val="single" w:color="auto" w:sz="4" w:space="0"/>
              <w:bottom w:val="single" w:color="auto" w:sz="4" w:space="0"/>
              <w:right w:val="single" w:color="auto" w:sz="4" w:space="0"/>
            </w:tcBorders>
            <w:noWrap w:val="0"/>
            <w:vAlign w:val="center"/>
          </w:tcPr>
          <w:p w14:paraId="3D06FFAC">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r>
    </w:tbl>
    <w:p w14:paraId="730CEE96">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二、合同总价</w:t>
      </w:r>
    </w:p>
    <w:p w14:paraId="521AAA9D">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合同总价为大写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4"/>
          <w:highlight w:val="none"/>
        </w:rPr>
        <w:t>元整（：￥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4"/>
          <w:highlight w:val="none"/>
        </w:rPr>
        <w:t>元），该合同总价已包括但不仅限于货物设计、材料、制造、人工、服务、知识产权、包装、运输、保险、安全、安装、调试、检测、验收合格交付使用之前及保修期内保修服务与备用物件等所有因履行本合同产生和可能产生的其他有关各项的含税费用。本合同执行期间合同总价不变，甲方无须另向乙方支付本合同规定之外的其他任何费用。</w:t>
      </w:r>
    </w:p>
    <w:p w14:paraId="08F8156D">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三、质量要求</w:t>
      </w:r>
    </w:p>
    <w:p w14:paraId="2B847F33">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（一）乙方须提供未使用的、全新的货物（含零部件、配件等），表面无划伤、无碰撞痕迹，且权属清楚，不得侵害他人的知识产权。</w:t>
      </w:r>
    </w:p>
    <w:p w14:paraId="23C75646">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（二）货物必须符合或优于国家（行业）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标准，以及本项目采购文件。</w:t>
      </w:r>
    </w:p>
    <w:p w14:paraId="3B7BDD03">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（三）乙方须在本合同签订之日起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日内送交货物成品样品给甲方确认，在甲方出具样品确认书并封存成品样品外观尺寸后，乙方才能按样生产，并以此样品作为验收样品；每台货物上，均应有产品质量检验合格标志。</w:t>
      </w:r>
    </w:p>
    <w:p w14:paraId="4AC2774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（四）货物质量出现问题，乙方应负责三包（包修、包换、包退），费用由乙方承担，甲方有权到乙方生产场地检查货物质量和生产进度。</w:t>
      </w:r>
    </w:p>
    <w:p w14:paraId="64F4F788">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（五）货物交付后后由于甲方使用不当造成的质量问题，乙方亦应负责修理，但费用由甲方承担。</w:t>
      </w:r>
    </w:p>
    <w:p w14:paraId="3DC21525">
      <w:pPr>
        <w:spacing w:line="440" w:lineRule="exact"/>
        <w:ind w:firstLine="468" w:firstLineChars="195"/>
        <w:rPr>
          <w:rFonts w:hint="eastAsia" w:ascii="仿宋" w:hAnsi="仿宋" w:eastAsia="仿宋" w:cs="仿宋"/>
          <w:color w:val="auto"/>
          <w:sz w:val="24"/>
          <w:highlight w:val="none"/>
        </w:rPr>
      </w:pPr>
      <w:r>
        <w:rPr>
          <w:rFonts w:hint="eastAsia" w:ascii="仿宋" w:hAnsi="仿宋" w:eastAsia="仿宋" w:cs="仿宋"/>
          <w:color w:val="auto"/>
          <w:sz w:val="24"/>
          <w:highlight w:val="none"/>
        </w:rPr>
        <w:t>四、交货及验收</w:t>
      </w:r>
    </w:p>
    <w:p w14:paraId="0C2C0ABB">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（一）在合同签订生效之日起</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日内货到甲方指定地点，随即在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日内全部完成安装调试验收合格交付使用，并且最迟应在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日前全部完成安装调试并验收合格交付使用(如因甲方的原因造成合同延迟签订或验收的，则时间顺延)。申请验收时须提供产品质检部门从同类产品中抽样检查合格的检测报告等随机附件。</w:t>
      </w:r>
    </w:p>
    <w:p w14:paraId="6113F5B3">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（二）验收由甲方组织，乙方配合进行。</w:t>
      </w:r>
    </w:p>
    <w:p w14:paraId="18209FE3">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1.货物在乙方通知安装调试完毕并申请验收后</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日内初步验收。初步验收合格后，进入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天试用期；试用期间发生一般性质量问题，修复后试用相应顺延；试用期结束无质量问题后</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日内开展最终验收，如质量验收合格，双方签署《质量验收合格证明书》。</w:t>
      </w:r>
    </w:p>
    <w:p w14:paraId="06E1F041">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验收标准：按国家有关规定以及甲方采购文件的质量要求和技术指标、乙方的响应文件及承诺与本合同约定标准进行验收；甲乙双方如对质量要求和技术指标的约定标准有相互抵触或异议的事项，由甲方在采购文件与响应文件中按质量要求和技术指标比较优胜的原则确定该项的约定标准进行验收。</w:t>
      </w:r>
    </w:p>
    <w:p w14:paraId="425A12A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验收时如发现所交付的货物有短装、次品、损坏或其它不符合标准及本合同规定之情形者，甲方应做出详尽的现场记录，或由甲乙双方签署备忘录，且此现场记录或备忘录可用作补充、缺失和更换损坏部件的有效证据。由此产生的时间延误与有关费用由乙方承担，验收期限相应顺延。</w:t>
      </w:r>
    </w:p>
    <w:p w14:paraId="0B0FCCA8">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4.如最终质量验收合格，双方签署质量验收报告，质量验收报告签署之日为货物交付之日。</w:t>
      </w:r>
    </w:p>
    <w:p w14:paraId="4C4CDD02">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highlight w:val="none"/>
        </w:rPr>
        <w:t xml:space="preserve"> </w:t>
      </w:r>
      <w:r>
        <w:rPr>
          <w:rFonts w:hint="eastAsia" w:ascii="仿宋" w:hAnsi="仿宋" w:eastAsia="仿宋" w:cs="仿宋"/>
          <w:color w:val="auto"/>
          <w:sz w:val="24"/>
          <w:highlight w:val="none"/>
        </w:rPr>
        <w:t>项目未验收前，乙方须自行对所供设备设施是否符合合同约定负全责，若出现乙方因疏忽或认知偏差等自身原因，造成所供设备设施品牌、型号、配置、质量、功能要求等与合同约定明显不符，但乙方未能及时发现或未采取有效措施止损纠错，致所供设备设施已运送到甲方指定的地点进行了拆封、安装、调试、试用等，但又须撤除、收回和更换等给乙方自身带来损失的，所有损失均由乙方自行承担，甲方不承担任何责任；若乙方还给甲方造成了直接或间接损失的，乙方还须向甲方做出经济赔偿。对于应撤除和收回的设备设施，乙方在发现后或甲方告知后的3日内应派专人自行上门撤除和收回，若未按时撤除和收回的，甲方对这部分设备设施不承担任何监管责任，如果这些设备设施丢失或损失，甲方概不负责，所有损失和责任均由乙方自行承担。如果设备未及时撤除和收回，或该安装而未及时安装，占用了甲方宝贵和有限的场地资源，明显影响了甲方正常工作和生活秩序的，甲方有权搬离这些设备另行租用房屋或场地存放，产生的运费及房屋或场地租用费由乙方自行支付，若还造成了其它损失的，均由乙方自行负责，甲方不承担任何责任。</w:t>
      </w:r>
    </w:p>
    <w:p w14:paraId="5B5E038E">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（三）货物安装完成后</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日内，甲方无故不进行验收工作并已使用货物的，视同已安装调试完成并验收合格。</w:t>
      </w:r>
    </w:p>
    <w:p w14:paraId="4D746902">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应将所提供货物的装箱清单、配件、随机工具、用户使用手册、原厂保修卡等资料交付给甲方；乙方不能完整交付货物及本款规定的单证和工具的，必须在货物交付前负责补齐，否则视为未按合同约定交货。</w:t>
      </w:r>
    </w:p>
    <w:p w14:paraId="14274929">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其他未尽事宜严格按照《财政部关于进一步加强政府采购需求和履约验收管理的指导意见》(财库〔2016〕205号)的要求及政府采购合同、采购文件及承诺约定进行验收收。乙方承诺在签署本合同前已经完全了解和知悉上述有关的文件和规范等。</w:t>
      </w:r>
    </w:p>
    <w:p w14:paraId="049E091E">
      <w:pPr>
        <w:spacing w:line="48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五、履约保证金</w:t>
      </w:r>
    </w:p>
    <w:p w14:paraId="47E9CDB9">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（一）乙方可以支票、汇票、本票或者金融机构、担保机构出具见索即付的保函（</w:t>
      </w:r>
      <w:r>
        <w:rPr>
          <w:rFonts w:hint="eastAsia" w:ascii="仿宋" w:hAnsi="仿宋" w:eastAsia="仿宋" w:cs="仿宋"/>
          <w:color w:val="auto"/>
          <w:sz w:val="24"/>
        </w:rPr>
        <w:t>保函有效期限至少延至本项目</w:t>
      </w:r>
      <w:r>
        <w:rPr>
          <w:rFonts w:hint="eastAsia" w:ascii="仿宋" w:hAnsi="仿宋" w:eastAsia="仿宋" w:cs="仿宋"/>
          <w:color w:val="auto"/>
          <w:sz w:val="24"/>
          <w:lang w:val="en-US" w:eastAsia="zh-CN"/>
        </w:rPr>
        <w:t>最终验收合格之日</w:t>
      </w:r>
      <w:r>
        <w:rPr>
          <w:rFonts w:hint="eastAsia" w:ascii="仿宋" w:hAnsi="仿宋" w:eastAsia="仿宋" w:cs="仿宋"/>
          <w:color w:val="auto"/>
          <w:sz w:val="24"/>
        </w:rPr>
        <w:t>，否则不予验收</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highlight w:val="none"/>
        </w:rPr>
        <w:t>等非现金形式提交，履约保证金的数额为政府采购合同金额的</w:t>
      </w:r>
      <w:r>
        <w:rPr>
          <w:rFonts w:hint="eastAsia" w:ascii="仿宋" w:hAnsi="仿宋" w:eastAsia="仿宋" w:cs="仿宋"/>
          <w:color w:val="auto"/>
          <w:kern w:val="0"/>
          <w:sz w:val="28"/>
          <w:szCs w:val="28"/>
          <w:highlight w:val="none"/>
          <w:u w:val="single"/>
        </w:rPr>
        <w:t>5%</w:t>
      </w:r>
      <w:r>
        <w:rPr>
          <w:rFonts w:hint="eastAsia" w:ascii="仿宋" w:hAnsi="仿宋" w:eastAsia="仿宋" w:cs="仿宋"/>
          <w:color w:val="auto"/>
          <w:sz w:val="24"/>
          <w:highlight w:val="none"/>
        </w:rPr>
        <w:t>。履约保证金缴纳到甲方账户，户名：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；开户银行：</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；账号：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highlight w:val="none"/>
        </w:rPr>
        <w:t>。乙方若因自身原因不按规定履约的，包括在约定时限内拒不按要求签订政府采购合同的，或无正当理由项目推进严重滞后致项目完成逾期超过15日的，或项目因时限要求紧但所供设备设施的品牌、型号、配置、质量、功能要求等与合同约定明显不符，为节省成本或牟取更多不正当的利润，故意延拖时间拒不及时整改，项目将逾期才能完成会给甲方造成严重不良后果或损失的，履约保证金不予退还或扣作违约金的一部分，同时上报财政等部门处理。在质保期内，设备因任何质量缺陷而发生毁坏或不能进行正常工作时，供应商未在售后服务响应时间内免费为用户维修以及更换零（部）件，保证正常使用的或同一设备、同一质量问题连续两次维修仍无法正常使用，供应商未在售后服务响应时间内更换同品牌、同型号新设备的，采购人有权自行维修、更换零（部）件或更换同品牌、同型号新设备，所需费用从供应商履约保证金中扣除或采取其他恰当方式追偿。</w:t>
      </w:r>
    </w:p>
    <w:p w14:paraId="454EE58D">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（二）在项目通过验收后且乙方无违约情形时，甲方须全额退还乙方缴纳的履约保证金；甲方接到乙方项目按约定事项已经履行完毕的书面文件和相应的支付凭证资料后 7个工作日内，退还供应商100%履约保证金，不计利息。</w:t>
      </w:r>
    </w:p>
    <w:p w14:paraId="08EB0BCC">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六、付款方式</w:t>
      </w:r>
    </w:p>
    <w:p w14:paraId="72D19E3D">
      <w:pPr>
        <w:spacing w:line="44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(一)全部货物经最终验收合格签署质量验收报告且乙方无违约情形后，甲方财务部门接到乙方通知和支付凭证资料文件以及由甲方确认无违约行为的正式书面文件后</w:t>
      </w:r>
      <w:bookmarkStart w:id="0" w:name="_Hlk173587413"/>
      <w:r>
        <w:rPr>
          <w:rFonts w:hint="eastAsia" w:ascii="仿宋" w:hAnsi="仿宋" w:eastAsia="仿宋" w:cs="仿宋"/>
          <w:b/>
          <w:bCs/>
          <w:color w:val="auto"/>
          <w:sz w:val="24"/>
          <w:szCs w:val="24"/>
          <w:highlight w:val="none"/>
        </w:rPr>
        <w:t>一次支付，</w:t>
      </w:r>
      <w:bookmarkEnd w:id="0"/>
      <w:r>
        <w:rPr>
          <w:rFonts w:hint="eastAsia" w:ascii="仿宋" w:hAnsi="仿宋" w:eastAsia="仿宋" w:cs="仿宋"/>
          <w:color w:val="auto"/>
          <w:sz w:val="24"/>
          <w:szCs w:val="24"/>
          <w:highlight w:val="none"/>
        </w:rPr>
        <w:t>在</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szCs w:val="24"/>
          <w:highlight w:val="none"/>
        </w:rPr>
        <w:t>日内，提交支付凭证资料给财政国库支付执行机构办理财政国库支付手续，并由其向中标人核拨合同总价的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szCs w:val="24"/>
          <w:highlight w:val="none"/>
        </w:rPr>
        <w:t>%款项。</w:t>
      </w:r>
    </w:p>
    <w:p w14:paraId="64E0231D">
      <w:pPr>
        <w:spacing w:line="44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(二)甲方付款</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sz w:val="24"/>
          <w:szCs w:val="24"/>
          <w:highlight w:val="none"/>
        </w:rPr>
        <w:t>个工作日前，乙方须向甲方出具提供合法有效完整的完税发票及符合合同约定付款条件的凭证资料等进行支付结算，否则甲方有权拒绝或暂缓支付款项，由此导致的逾期付款责任由乙方承担。</w:t>
      </w:r>
      <w:r>
        <w:rPr>
          <w:rFonts w:hint="eastAsia" w:ascii="仿宋" w:hAnsi="仿宋" w:eastAsia="仿宋" w:cs="仿宋"/>
          <w:color w:val="auto"/>
          <w:sz w:val="24"/>
          <w:szCs w:val="24"/>
          <w:highlight w:val="none"/>
        </w:rPr>
        <w:tab/>
      </w:r>
    </w:p>
    <w:p w14:paraId="4CED9F70">
      <w:pPr>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七、培训要求</w:t>
      </w:r>
    </w:p>
    <w:p w14:paraId="4EB8BF8B">
      <w:pPr>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（一）乙方需制定详细的培训方案，对本项目所涉及的所有技术人员进行全面的培训，保证甲方所有参加培训人员都能够充分理解，熟练掌握设备的操作和日常维护，并具备独立工作的能力。</w:t>
      </w:r>
    </w:p>
    <w:p w14:paraId="1941B06F">
      <w:pPr>
        <w:spacing w:line="48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（二）培训的内容及方案应由双方协商制定。乙方应当提前将培训内容和方案初稿提交甲方协商，并在协商确认后按照双方确认的培训内容和方案开展培训。</w:t>
      </w:r>
    </w:p>
    <w:p w14:paraId="6E9A27BD">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（三）乙方前来进行技术培训的人员的费用已包括在本合同总价中，甲方不再另行支付；培训应在安装调试期间完成，最迟不超过验收合格前，否则验收不合格。</w:t>
      </w:r>
    </w:p>
    <w:p w14:paraId="25DB4C50">
      <w:pPr>
        <w:spacing w:line="440" w:lineRule="exact"/>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八、质保期和售后服务</w:t>
      </w:r>
    </w:p>
    <w:p w14:paraId="72F9957E">
      <w:pPr>
        <w:spacing w:line="440" w:lineRule="exact"/>
        <w:ind w:firstLine="489" w:firstLineChars="20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（一）质保期为验收合格后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lang w:eastAsia="zh-CN"/>
        </w:rPr>
        <w:t>三</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rPr>
        <w:t>年，自最终质量验收合格报告出具之日起计算。质保期内出现质量问题，乙方在接到通知后小时内响应到场，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小时内完成维修或更换，并承担修理调换的费用。在质保期内，任何因质量缺陷而发生毁坏或不能进行正常工作时，乙方应免费为用户维修和更换零、部件，确保质量和正常使用。</w:t>
      </w:r>
    </w:p>
    <w:p w14:paraId="75021140">
      <w:pPr>
        <w:spacing w:line="440" w:lineRule="exact"/>
        <w:ind w:firstLine="489" w:firstLineChars="20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同一设备、同一质量问题连续两次维修仍无法正常使用的，须在三日内更换同品牌、同型号新设备，确保甲方正常使用，否则视作乙方违约，乙方应立即全额退还质量货物价款并按照质量货物合同价的支付违约金和赔偿甲方损失（包括但不仅限于甲方重新购买货物更换质量货物产生的费用和安装、调试等费用），且乙方还应承担其他违约责任。更换后的产品质量实行“三包”服务，重新计算质保期。</w:t>
      </w:r>
    </w:p>
    <w:p w14:paraId="2117B61E">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（三）质保期满后，乙方对所提供的产品实行终身成本维修，对该产品的所有零部件的维修及更换只收取成本费用，不收取人工技术费用；乙方质量保证期承诺优于采购文件的，按乙方实际承诺执行。</w:t>
      </w:r>
    </w:p>
    <w:p w14:paraId="26DBC232">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（四）乙方须指派专人负责与甲方联系服务、售后服务事宜。乙方联系人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rPr>
        <w:t xml:space="preserve">。如甲方 </w:t>
      </w:r>
      <w:r>
        <w:rPr>
          <w:rFonts w:hint="eastAsia" w:ascii="仿宋" w:hAnsi="仿宋" w:eastAsia="仿宋" w:cs="仿宋"/>
          <w:color w:val="auto"/>
          <w:kern w:val="0"/>
          <w:sz w:val="24"/>
          <w:szCs w:val="24"/>
          <w:highlight w:val="none"/>
          <w:u w:val="single"/>
        </w:rPr>
        <w:t xml:space="preserve"> 2</w:t>
      </w:r>
      <w:r>
        <w:rPr>
          <w:rFonts w:hint="eastAsia" w:ascii="仿宋" w:hAnsi="仿宋" w:eastAsia="仿宋" w:cs="仿宋"/>
          <w:color w:val="auto"/>
          <w:sz w:val="24"/>
          <w:szCs w:val="24"/>
          <w:highlight w:val="none"/>
        </w:rPr>
        <w:t>小时内经</w:t>
      </w:r>
      <w:r>
        <w:rPr>
          <w:rFonts w:hint="eastAsia" w:ascii="仿宋" w:hAnsi="仿宋" w:eastAsia="仿宋" w:cs="仿宋"/>
          <w:color w:val="auto"/>
          <w:kern w:val="0"/>
          <w:sz w:val="24"/>
          <w:szCs w:val="24"/>
          <w:highlight w:val="none"/>
          <w:u w:val="single"/>
        </w:rPr>
        <w:t>3</w:t>
      </w:r>
      <w:r>
        <w:rPr>
          <w:rFonts w:hint="eastAsia" w:ascii="仿宋" w:hAnsi="仿宋" w:eastAsia="仿宋" w:cs="仿宋"/>
          <w:color w:val="auto"/>
          <w:sz w:val="24"/>
          <w:szCs w:val="24"/>
          <w:highlight w:val="none"/>
        </w:rPr>
        <w:t>次联系仍无法联系上乙方联系人，导致的无法及时维修，属于乙方违约，乙方应承担违约责任；如乙方联系人或联系电话发生变更应立即书面通知甲方，否则导致无法联系，由乙方承担违约责任。</w:t>
      </w:r>
    </w:p>
    <w:p w14:paraId="50B03BC8">
      <w:pPr>
        <w:spacing w:line="480" w:lineRule="exact"/>
        <w:ind w:firstLine="489" w:firstLineChars="204"/>
        <w:rPr>
          <w:rFonts w:hint="eastAsia" w:ascii="仿宋" w:hAnsi="仿宋" w:eastAsia="仿宋" w:cs="仿宋"/>
          <w:color w:val="auto"/>
          <w:sz w:val="24"/>
          <w:highlight w:val="none"/>
        </w:rPr>
      </w:pPr>
      <w:r>
        <w:rPr>
          <w:rFonts w:hint="eastAsia" w:ascii="仿宋" w:hAnsi="仿宋" w:eastAsia="仿宋" w:cs="仿宋"/>
          <w:color w:val="auto"/>
          <w:sz w:val="24"/>
          <w:highlight w:val="none"/>
        </w:rPr>
        <w:t> 九、违约责任</w:t>
      </w:r>
    </w:p>
    <w:p w14:paraId="4EB85318">
      <w:pPr>
        <w:spacing w:line="440" w:lineRule="exact"/>
        <w:ind w:firstLine="352" w:firstLineChars="147"/>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lang w:eastAsia="zh-CN"/>
        </w:rPr>
        <w:t>供应商未按约定交货或延迟交货的，每逾期一日天按合同总金额 1 %支付违约金（不可抗力的因素除外），采购人可直接从履约保证金中扣除；履约保证金不足的，采购人有权扣除供应商相应货款或采取其他方式追偿。</w:t>
      </w:r>
    </w:p>
    <w:p w14:paraId="3003832E">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val="en-US" w:eastAsia="zh-CN"/>
        </w:rPr>
        <w:t>在合同履行中存在</w:t>
      </w:r>
      <w:r>
        <w:rPr>
          <w:rFonts w:hint="eastAsia" w:ascii="仿宋" w:hAnsi="仿宋" w:eastAsia="仿宋" w:cs="仿宋"/>
          <w:color w:val="auto"/>
          <w:sz w:val="24"/>
          <w:highlight w:val="none"/>
        </w:rPr>
        <w:t>下列</w:t>
      </w:r>
      <w:r>
        <w:rPr>
          <w:rFonts w:hint="eastAsia" w:ascii="仿宋" w:hAnsi="仿宋" w:eastAsia="仿宋" w:cs="仿宋"/>
          <w:color w:val="auto"/>
          <w:sz w:val="24"/>
          <w:highlight w:val="none"/>
          <w:lang w:val="en-US" w:eastAsia="zh-CN"/>
        </w:rPr>
        <w:t>任一</w:t>
      </w:r>
      <w:r>
        <w:rPr>
          <w:rFonts w:hint="eastAsia" w:ascii="仿宋" w:hAnsi="仿宋" w:eastAsia="仿宋" w:cs="仿宋"/>
          <w:color w:val="auto"/>
          <w:sz w:val="24"/>
          <w:highlight w:val="none"/>
        </w:rPr>
        <w:t>情形</w:t>
      </w:r>
      <w:r>
        <w:rPr>
          <w:rFonts w:hint="eastAsia" w:ascii="仿宋" w:hAnsi="仿宋" w:eastAsia="仿宋" w:cs="仿宋"/>
          <w:color w:val="auto"/>
          <w:sz w:val="24"/>
          <w:highlight w:val="none"/>
          <w:lang w:val="en-US" w:eastAsia="zh-CN"/>
        </w:rPr>
        <w:t>视为根本违约，</w:t>
      </w:r>
      <w:r>
        <w:rPr>
          <w:rFonts w:hint="eastAsia" w:ascii="仿宋" w:hAnsi="仿宋" w:eastAsia="仿宋" w:cs="仿宋"/>
          <w:color w:val="auto"/>
          <w:sz w:val="24"/>
          <w:highlight w:val="none"/>
        </w:rPr>
        <w:t>采购人有权单方无条件解除本合同</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供应商须向采购人支付合同总金额10%的违约金</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造成采购人</w:t>
      </w:r>
      <w:r>
        <w:rPr>
          <w:rFonts w:hint="eastAsia" w:ascii="仿宋" w:hAnsi="仿宋" w:eastAsia="仿宋" w:cs="仿宋"/>
          <w:color w:val="auto"/>
          <w:sz w:val="24"/>
          <w:highlight w:val="none"/>
          <w:lang w:val="en-US" w:eastAsia="zh-CN"/>
        </w:rPr>
        <w:t>损失</w:t>
      </w:r>
      <w:r>
        <w:rPr>
          <w:rFonts w:hint="eastAsia" w:ascii="仿宋" w:hAnsi="仿宋" w:eastAsia="仿宋" w:cs="仿宋"/>
          <w:color w:val="auto"/>
          <w:sz w:val="24"/>
          <w:highlight w:val="none"/>
        </w:rPr>
        <w:t>（包含直接经济损失、间接损失、维权产生的律师费、鉴定费、诉讼费等全部合理费用）的，</w:t>
      </w:r>
      <w:r>
        <w:rPr>
          <w:rFonts w:hint="eastAsia" w:ascii="仿宋" w:hAnsi="仿宋" w:eastAsia="仿宋" w:cs="仿宋"/>
          <w:color w:val="auto"/>
          <w:sz w:val="24"/>
          <w:highlight w:val="none"/>
          <w:lang w:val="en-US" w:eastAsia="zh-CN"/>
        </w:rPr>
        <w:t>还应</w:t>
      </w:r>
      <w:r>
        <w:rPr>
          <w:rFonts w:hint="eastAsia" w:ascii="仿宋" w:hAnsi="仿宋" w:eastAsia="仿宋" w:cs="仿宋"/>
          <w:color w:val="auto"/>
          <w:sz w:val="24"/>
          <w:highlight w:val="none"/>
        </w:rPr>
        <w:t>赔偿</w:t>
      </w:r>
      <w:r>
        <w:rPr>
          <w:rFonts w:hint="eastAsia" w:ascii="仿宋" w:hAnsi="仿宋" w:eastAsia="仿宋" w:cs="仿宋"/>
          <w:color w:val="auto"/>
          <w:sz w:val="24"/>
          <w:highlight w:val="none"/>
          <w:lang w:val="en-US" w:eastAsia="zh-CN"/>
        </w:rPr>
        <w:t>损失</w:t>
      </w:r>
      <w:r>
        <w:rPr>
          <w:rFonts w:hint="eastAsia" w:ascii="仿宋" w:hAnsi="仿宋" w:eastAsia="仿宋" w:cs="仿宋"/>
          <w:color w:val="auto"/>
          <w:sz w:val="24"/>
          <w:highlight w:val="none"/>
        </w:rPr>
        <w:t>。违约金及赔偿款项，采购人可优先从履约保证金、未支付货款中抵扣，不足部分依法向供应商追偿。</w:t>
      </w:r>
    </w:p>
    <w:p w14:paraId="3F1CB915">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供应商所供产品的品牌、型号、配置、质量、功能等核心技术及参数指标，与合同约定存在</w:t>
      </w:r>
      <w:r>
        <w:rPr>
          <w:rFonts w:hint="eastAsia" w:ascii="仿宋" w:hAnsi="仿宋" w:eastAsia="仿宋" w:cs="仿宋"/>
          <w:color w:val="auto"/>
          <w:sz w:val="24"/>
          <w:highlight w:val="none"/>
          <w:lang w:val="en-US" w:eastAsia="zh-CN"/>
        </w:rPr>
        <w:t>明显</w:t>
      </w:r>
      <w:r>
        <w:rPr>
          <w:rFonts w:hint="eastAsia" w:ascii="仿宋" w:hAnsi="仿宋" w:eastAsia="仿宋" w:cs="仿宋"/>
          <w:color w:val="auto"/>
          <w:sz w:val="24"/>
          <w:highlight w:val="none"/>
        </w:rPr>
        <w:t>不符的；</w:t>
      </w:r>
    </w:p>
    <w:p w14:paraId="08FA259A">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供应商</w:t>
      </w:r>
      <w:r>
        <w:rPr>
          <w:rFonts w:hint="eastAsia" w:ascii="仿宋" w:hAnsi="仿宋" w:eastAsia="仿宋" w:cs="仿宋"/>
          <w:color w:val="auto"/>
          <w:sz w:val="24"/>
          <w:highlight w:val="none"/>
          <w:lang w:val="en-US" w:eastAsia="zh-CN"/>
        </w:rPr>
        <w:t>逾期</w:t>
      </w:r>
      <w:r>
        <w:rPr>
          <w:rFonts w:hint="eastAsia" w:ascii="仿宋" w:hAnsi="仿宋" w:eastAsia="仿宋" w:cs="仿宋"/>
          <w:color w:val="auto"/>
          <w:sz w:val="24"/>
          <w:highlight w:val="none"/>
        </w:rPr>
        <w:t>供货</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经催告后仍不履行供货义务</w:t>
      </w:r>
      <w:r>
        <w:rPr>
          <w:rFonts w:hint="eastAsia" w:ascii="仿宋" w:hAnsi="仿宋" w:eastAsia="仿宋" w:cs="仿宋"/>
          <w:color w:val="auto"/>
          <w:sz w:val="24"/>
          <w:highlight w:val="none"/>
        </w:rPr>
        <w:t>，最终导致项目无法按期实施完成，给采购人造成不良后果或经济损失的。</w:t>
      </w:r>
    </w:p>
    <w:p w14:paraId="652F7DF9">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供应商交付货物</w:t>
      </w:r>
      <w:r>
        <w:rPr>
          <w:rFonts w:hint="eastAsia" w:ascii="仿宋" w:hAnsi="仿宋" w:eastAsia="仿宋" w:cs="仿宋"/>
          <w:color w:val="auto"/>
          <w:sz w:val="24"/>
          <w:highlight w:val="none"/>
          <w:lang w:val="en-US" w:eastAsia="zh-CN"/>
        </w:rPr>
        <w:t>验收</w:t>
      </w:r>
      <w:r>
        <w:rPr>
          <w:rFonts w:hint="eastAsia" w:ascii="仿宋" w:hAnsi="仿宋" w:eastAsia="仿宋" w:cs="仿宋"/>
          <w:color w:val="auto"/>
          <w:sz w:val="24"/>
          <w:highlight w:val="none"/>
        </w:rPr>
        <w:t>不合格，采购人整改通知送达之日起10日内</w:t>
      </w:r>
      <w:r>
        <w:rPr>
          <w:rFonts w:hint="eastAsia" w:ascii="仿宋" w:hAnsi="仿宋" w:eastAsia="仿宋" w:cs="仿宋"/>
          <w:color w:val="auto"/>
          <w:sz w:val="24"/>
          <w:highlight w:val="none"/>
          <w:lang w:val="en-US" w:eastAsia="zh-CN"/>
        </w:rPr>
        <w:t>未更换</w:t>
      </w:r>
      <w:r>
        <w:rPr>
          <w:rFonts w:hint="eastAsia" w:ascii="仿宋" w:hAnsi="仿宋" w:eastAsia="仿宋" w:cs="仿宋"/>
          <w:color w:val="auto"/>
          <w:sz w:val="24"/>
          <w:highlight w:val="none"/>
        </w:rPr>
        <w:t>合格货物或更换后经三次验收仍不合格的；</w:t>
      </w:r>
    </w:p>
    <w:p w14:paraId="48E021AB">
      <w:pPr>
        <w:spacing w:line="440" w:lineRule="exact"/>
        <w:ind w:firstLine="352" w:firstLineChars="147"/>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若双方因产品质量问题发生争议，采购人可送交具有法定资格条件的专业机构鉴定或检测。鉴定</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检测</w:t>
      </w:r>
      <w:r>
        <w:rPr>
          <w:rFonts w:hint="eastAsia" w:ascii="仿宋" w:hAnsi="仿宋" w:eastAsia="仿宋" w:cs="仿宋"/>
          <w:color w:val="auto"/>
          <w:sz w:val="24"/>
          <w:highlight w:val="none"/>
        </w:rPr>
        <w:t>费</w:t>
      </w:r>
      <w:r>
        <w:rPr>
          <w:rFonts w:hint="eastAsia" w:ascii="仿宋" w:hAnsi="仿宋" w:eastAsia="仿宋" w:cs="仿宋"/>
          <w:color w:val="auto"/>
          <w:sz w:val="24"/>
          <w:highlight w:val="none"/>
          <w:lang w:val="en-US" w:eastAsia="zh-CN"/>
        </w:rPr>
        <w:t>用</w:t>
      </w:r>
      <w:r>
        <w:rPr>
          <w:rFonts w:hint="eastAsia" w:ascii="仿宋" w:hAnsi="仿宋" w:eastAsia="仿宋" w:cs="仿宋"/>
          <w:color w:val="auto"/>
          <w:sz w:val="24"/>
          <w:highlight w:val="none"/>
        </w:rPr>
        <w:t>由供应商先行垫付，供应商拒绝垫付、逾期垫付或拒不配合鉴定工作的，视为质量不合格，供应商违约。若鉴定或检测结果认定产品质量符合本</w:t>
      </w:r>
      <w:r>
        <w:rPr>
          <w:rFonts w:hint="eastAsia" w:ascii="仿宋" w:hAnsi="仿宋" w:eastAsia="仿宋" w:cs="仿宋"/>
          <w:color w:val="auto"/>
          <w:sz w:val="24"/>
          <w:highlight w:val="none"/>
          <w:lang w:val="en-US" w:eastAsia="zh-CN"/>
        </w:rPr>
        <w:t>采购项目</w:t>
      </w:r>
      <w:r>
        <w:rPr>
          <w:rFonts w:hint="eastAsia" w:ascii="仿宋" w:hAnsi="仿宋" w:eastAsia="仿宋" w:cs="仿宋"/>
          <w:color w:val="auto"/>
          <w:sz w:val="24"/>
          <w:highlight w:val="none"/>
        </w:rPr>
        <w:t>规定标准的，鉴定</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检测</w:t>
      </w:r>
      <w:r>
        <w:rPr>
          <w:rFonts w:hint="eastAsia" w:ascii="仿宋" w:hAnsi="仿宋" w:eastAsia="仿宋" w:cs="仿宋"/>
          <w:color w:val="auto"/>
          <w:sz w:val="24"/>
          <w:highlight w:val="none"/>
        </w:rPr>
        <w:t>费</w:t>
      </w:r>
      <w:r>
        <w:rPr>
          <w:rFonts w:hint="eastAsia" w:ascii="仿宋" w:hAnsi="仿宋" w:eastAsia="仿宋" w:cs="仿宋"/>
          <w:color w:val="auto"/>
          <w:sz w:val="24"/>
          <w:highlight w:val="none"/>
          <w:lang w:val="en-US" w:eastAsia="zh-CN"/>
        </w:rPr>
        <w:t>用</w:t>
      </w:r>
      <w:r>
        <w:rPr>
          <w:rFonts w:hint="eastAsia" w:ascii="仿宋" w:hAnsi="仿宋" w:eastAsia="仿宋" w:cs="仿宋"/>
          <w:color w:val="auto"/>
          <w:sz w:val="24"/>
          <w:highlight w:val="none"/>
        </w:rPr>
        <w:t>由采购人承担；若鉴定或检测结果认定产品质量不符合本</w:t>
      </w:r>
      <w:r>
        <w:rPr>
          <w:rFonts w:hint="eastAsia" w:ascii="仿宋" w:hAnsi="仿宋" w:eastAsia="仿宋" w:cs="仿宋"/>
          <w:color w:val="auto"/>
          <w:sz w:val="24"/>
          <w:highlight w:val="none"/>
          <w:lang w:val="en-US" w:eastAsia="zh-CN"/>
        </w:rPr>
        <w:t>采购项目</w:t>
      </w:r>
      <w:r>
        <w:rPr>
          <w:rFonts w:hint="eastAsia" w:ascii="仿宋" w:hAnsi="仿宋" w:eastAsia="仿宋" w:cs="仿宋"/>
          <w:color w:val="auto"/>
          <w:sz w:val="24"/>
          <w:highlight w:val="none"/>
        </w:rPr>
        <w:t>规定标准的，鉴定</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检测</w:t>
      </w:r>
      <w:r>
        <w:rPr>
          <w:rFonts w:hint="eastAsia" w:ascii="仿宋" w:hAnsi="仿宋" w:eastAsia="仿宋" w:cs="仿宋"/>
          <w:color w:val="auto"/>
          <w:sz w:val="24"/>
          <w:highlight w:val="none"/>
        </w:rPr>
        <w:t>费</w:t>
      </w:r>
      <w:r>
        <w:rPr>
          <w:rFonts w:hint="eastAsia" w:ascii="仿宋" w:hAnsi="仿宋" w:eastAsia="仿宋" w:cs="仿宋"/>
          <w:color w:val="auto"/>
          <w:sz w:val="24"/>
          <w:highlight w:val="none"/>
          <w:lang w:val="en-US" w:eastAsia="zh-CN"/>
        </w:rPr>
        <w:t>用</w:t>
      </w:r>
      <w:r>
        <w:rPr>
          <w:rFonts w:hint="eastAsia" w:ascii="仿宋" w:hAnsi="仿宋" w:eastAsia="仿宋" w:cs="仿宋"/>
          <w:color w:val="auto"/>
          <w:sz w:val="24"/>
          <w:highlight w:val="none"/>
        </w:rPr>
        <w:t>由供应商承担，供应商须在鉴定结果出具后10日内无条件更换合格的产品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逾期未更换的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则视为供应商违约</w:t>
      </w:r>
      <w:r>
        <w:rPr>
          <w:rFonts w:hint="eastAsia" w:ascii="仿宋" w:hAnsi="仿宋" w:eastAsia="仿宋" w:cs="仿宋"/>
          <w:color w:val="auto"/>
          <w:sz w:val="24"/>
          <w:highlight w:val="none"/>
          <w:lang w:eastAsia="zh-CN"/>
        </w:rPr>
        <w:t>。</w:t>
      </w:r>
    </w:p>
    <w:p w14:paraId="50228568">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rPr>
        <w:t>本合同履行过程中产生的一切争议，双方优先通过友好协商解决；协商不成的，可提请项目属地相关主管部门调解；协商、调解均无果的，双方可依法向项目所在地人民法院提起诉讼维权。</w:t>
      </w:r>
    </w:p>
    <w:p w14:paraId="06EC3085">
      <w:pPr>
        <w:spacing w:line="440" w:lineRule="exact"/>
        <w:ind w:firstLine="352" w:firstLineChars="147"/>
        <w:rPr>
          <w:rFonts w:hint="eastAsia" w:ascii="仿宋" w:hAnsi="仿宋" w:eastAsia="仿宋" w:cs="仿宋"/>
          <w:color w:val="auto"/>
          <w:sz w:val="24"/>
          <w:highlight w:val="none"/>
        </w:rPr>
      </w:pPr>
      <w:r>
        <w:rPr>
          <w:rFonts w:hint="eastAsia" w:ascii="仿宋" w:hAnsi="仿宋" w:eastAsia="仿宋" w:cs="仿宋"/>
          <w:color w:val="auto"/>
          <w:sz w:val="24"/>
          <w:highlight w:val="none"/>
        </w:rPr>
        <w:t>十一、其他</w:t>
      </w:r>
    </w:p>
    <w:p w14:paraId="4EB3FD2A">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（一）如有未尽事宜，由双方依法订立补充合同。</w:t>
      </w:r>
    </w:p>
    <w:p w14:paraId="19EF23EF">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（二）本合同经双方法定代表人或其授权委托代理人签字并加盖公章后生效。</w:t>
      </w:r>
    </w:p>
    <w:p w14:paraId="2BEFC7DC">
      <w:pPr>
        <w:spacing w:line="440" w:lineRule="exact"/>
        <w:ind w:firstLine="436" w:firstLineChars="182"/>
        <w:rPr>
          <w:rFonts w:hint="eastAsia" w:ascii="仿宋" w:hAnsi="仿宋" w:eastAsia="仿宋" w:cs="仿宋"/>
          <w:color w:val="auto"/>
          <w:sz w:val="24"/>
          <w:highlight w:val="none"/>
        </w:rPr>
      </w:pPr>
      <w:r>
        <w:rPr>
          <w:rFonts w:hint="eastAsia" w:ascii="仿宋" w:hAnsi="仿宋" w:eastAsia="仿宋" w:cs="仿宋"/>
          <w:color w:val="auto"/>
          <w:sz w:val="24"/>
          <w:highlight w:val="none"/>
        </w:rPr>
        <w:t>（三）本合同一式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份，甲方、乙方、</w:t>
      </w:r>
      <w:r>
        <w:rPr>
          <w:rFonts w:hint="eastAsia" w:ascii="仿宋" w:hAnsi="仿宋" w:eastAsia="仿宋" w:cs="仿宋"/>
          <w:snapToGrid w:val="0"/>
          <w:color w:val="auto"/>
          <w:kern w:val="0"/>
          <w:sz w:val="24"/>
          <w:highlight w:val="none"/>
          <w:u w:val="single"/>
        </w:rPr>
        <w:t>高县</w:t>
      </w:r>
      <w:r>
        <w:rPr>
          <w:rFonts w:hint="eastAsia" w:ascii="仿宋" w:hAnsi="仿宋" w:eastAsia="仿宋" w:cs="仿宋"/>
          <w:color w:val="auto"/>
          <w:sz w:val="24"/>
          <w:highlight w:val="none"/>
        </w:rPr>
        <w:t>财政局、</w:t>
      </w:r>
      <w:r>
        <w:rPr>
          <w:rFonts w:hint="eastAsia" w:ascii="仿宋" w:hAnsi="仿宋" w:eastAsia="仿宋" w:cs="仿宋"/>
          <w:snapToGrid w:val="0"/>
          <w:color w:val="auto"/>
          <w:kern w:val="0"/>
          <w:sz w:val="24"/>
          <w:highlight w:val="none"/>
          <w:u w:val="single"/>
        </w:rPr>
        <w:t xml:space="preserve"> 宜宾市政府采购中心高县分中心</w:t>
      </w:r>
      <w:r>
        <w:rPr>
          <w:rFonts w:hint="eastAsia" w:ascii="仿宋" w:hAnsi="仿宋" w:eastAsia="仿宋" w:cs="仿宋"/>
          <w:color w:val="auto"/>
          <w:sz w:val="24"/>
          <w:highlight w:val="none"/>
        </w:rPr>
        <w:t>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w:t>
      </w:r>
    </w:p>
    <w:tbl>
      <w:tblPr>
        <w:tblStyle w:val="2"/>
        <w:tblW w:w="0" w:type="auto"/>
        <w:tblInd w:w="0" w:type="dxa"/>
        <w:tblLayout w:type="autofit"/>
        <w:tblCellMar>
          <w:top w:w="0" w:type="dxa"/>
          <w:left w:w="108" w:type="dxa"/>
          <w:bottom w:w="0" w:type="dxa"/>
          <w:right w:w="108" w:type="dxa"/>
        </w:tblCellMar>
      </w:tblPr>
      <w:tblGrid>
        <w:gridCol w:w="4261"/>
        <w:gridCol w:w="4261"/>
      </w:tblGrid>
      <w:tr w14:paraId="003D539D">
        <w:tblPrEx>
          <w:tblCellMar>
            <w:top w:w="0" w:type="dxa"/>
            <w:left w:w="108" w:type="dxa"/>
            <w:bottom w:w="0" w:type="dxa"/>
            <w:right w:w="108" w:type="dxa"/>
          </w:tblCellMar>
        </w:tblPrEx>
        <w:tc>
          <w:tcPr>
            <w:tcW w:w="4643" w:type="dxa"/>
            <w:noWrap w:val="0"/>
            <w:vAlign w:val="top"/>
          </w:tcPr>
          <w:p w14:paraId="2352D035">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宋体" w:eastAsia="仿宋_GB2312"/>
                <w:color w:val="auto"/>
                <w:sz w:val="24"/>
                <w:szCs w:val="24"/>
                <w:highlight w:val="none"/>
              </w:rPr>
              <w:t>甲方：</w:t>
            </w:r>
            <w:r>
              <w:rPr>
                <w:rFonts w:hint="eastAsia" w:ascii="仿宋_GB2312" w:hAnsi="Times New Roman" w:eastAsia="仿宋_GB2312"/>
                <w:color w:val="auto"/>
                <w:sz w:val="24"/>
                <w:szCs w:val="24"/>
                <w:highlight w:val="none"/>
                <w:u w:val="single"/>
              </w:rPr>
              <w:t xml:space="preserve">  </w:t>
            </w:r>
            <w:r>
              <w:rPr>
                <w:rFonts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u w:val="single"/>
              </w:rPr>
              <w:t xml:space="preserve"> </w:t>
            </w:r>
            <w:r>
              <w:rPr>
                <w:rFonts w:hint="eastAsia" w:ascii="仿宋_GB2312" w:hAnsi="宋体" w:eastAsia="仿宋_GB2312"/>
                <w:color w:val="auto"/>
                <w:sz w:val="24"/>
                <w:szCs w:val="24"/>
                <w:highlight w:val="none"/>
              </w:rPr>
              <w:t>（盖章）</w:t>
            </w:r>
            <w:r>
              <w:rPr>
                <w:rFonts w:hint="eastAsia" w:ascii="仿宋_GB2312" w:hAnsi="Times New Roman" w:eastAsia="仿宋_GB2312"/>
                <w:color w:val="auto"/>
                <w:sz w:val="24"/>
                <w:szCs w:val="24"/>
                <w:highlight w:val="none"/>
              </w:rPr>
              <w:t xml:space="preserve"> </w:t>
            </w:r>
          </w:p>
          <w:p w14:paraId="21FE3FA8">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宋体" w:eastAsia="仿宋_GB2312"/>
                <w:color w:val="auto"/>
                <w:sz w:val="24"/>
                <w:szCs w:val="24"/>
                <w:highlight w:val="none"/>
              </w:rPr>
              <w:t>甲方代表：</w:t>
            </w:r>
            <w:r>
              <w:rPr>
                <w:rFonts w:hint="eastAsia" w:ascii="仿宋_GB2312" w:hAnsi="Times New Roman" w:eastAsia="仿宋_GB2312"/>
                <w:color w:val="auto"/>
                <w:sz w:val="24"/>
                <w:szCs w:val="24"/>
                <w:highlight w:val="none"/>
              </w:rPr>
              <w:t xml:space="preserve">          </w:t>
            </w:r>
          </w:p>
          <w:p w14:paraId="7163804F">
            <w:pPr>
              <w:spacing w:line="400" w:lineRule="exact"/>
              <w:ind w:left="0" w:leftChars="-33" w:hanging="69" w:hangingChars="29"/>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地址：</w:t>
            </w:r>
            <w:r>
              <w:rPr>
                <w:rFonts w:hint="eastAsia" w:ascii="仿宋_GB2312" w:hAnsi="Times New Roman" w:eastAsia="仿宋_GB2312"/>
                <w:color w:val="auto"/>
                <w:sz w:val="24"/>
                <w:szCs w:val="24"/>
                <w:highlight w:val="none"/>
              </w:rPr>
              <w:t xml:space="preserve">                        </w:t>
            </w:r>
          </w:p>
          <w:p w14:paraId="367AF6F1">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宋体" w:eastAsia="仿宋_GB2312"/>
                <w:color w:val="auto"/>
                <w:sz w:val="24"/>
                <w:szCs w:val="24"/>
                <w:highlight w:val="none"/>
              </w:rPr>
              <w:t>开户银行：</w:t>
            </w:r>
            <w:r>
              <w:rPr>
                <w:rFonts w:hint="eastAsia" w:ascii="仿宋_GB2312" w:hAnsi="Times New Roman" w:eastAsia="仿宋_GB2312"/>
                <w:color w:val="auto"/>
                <w:sz w:val="24"/>
                <w:szCs w:val="24"/>
                <w:highlight w:val="none"/>
              </w:rPr>
              <w:t xml:space="preserve">                        </w:t>
            </w:r>
          </w:p>
          <w:p w14:paraId="0D665705">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宋体" w:eastAsia="仿宋_GB2312"/>
                <w:color w:val="auto"/>
                <w:sz w:val="24"/>
                <w:szCs w:val="24"/>
                <w:highlight w:val="none"/>
              </w:rPr>
              <w:t>账号：</w:t>
            </w:r>
            <w:r>
              <w:rPr>
                <w:rFonts w:hint="eastAsia" w:ascii="仿宋_GB2312" w:hAnsi="Times New Roman" w:eastAsia="仿宋_GB2312"/>
                <w:color w:val="auto"/>
                <w:sz w:val="24"/>
                <w:szCs w:val="24"/>
                <w:highlight w:val="none"/>
              </w:rPr>
              <w:t xml:space="preserve">                            </w:t>
            </w:r>
          </w:p>
          <w:p w14:paraId="11303589">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宋体" w:eastAsia="仿宋_GB2312"/>
                <w:color w:val="auto"/>
                <w:sz w:val="24"/>
                <w:szCs w:val="24"/>
                <w:highlight w:val="none"/>
              </w:rPr>
              <w:t>电话：</w:t>
            </w:r>
            <w:r>
              <w:rPr>
                <w:rFonts w:hint="eastAsia" w:ascii="仿宋_GB2312" w:hAnsi="Times New Roman" w:eastAsia="仿宋_GB2312"/>
                <w:color w:val="auto"/>
                <w:sz w:val="24"/>
                <w:szCs w:val="24"/>
                <w:highlight w:val="none"/>
              </w:rPr>
              <w:t xml:space="preserve">                                          </w:t>
            </w:r>
          </w:p>
          <w:p w14:paraId="783A7AB0">
            <w:pPr>
              <w:spacing w:line="400" w:lineRule="exact"/>
              <w:ind w:left="0" w:leftChars="-33" w:hanging="69" w:hangingChars="29"/>
              <w:rPr>
                <w:rFonts w:hint="eastAsia" w:ascii="仿宋_GB2312" w:hAnsi="Times New Roman" w:eastAsia="仿宋_GB2312"/>
                <w:color w:val="auto"/>
                <w:sz w:val="24"/>
                <w:szCs w:val="24"/>
                <w:highlight w:val="none"/>
              </w:rPr>
            </w:pPr>
            <w:r>
              <w:rPr>
                <w:rFonts w:hint="eastAsia" w:ascii="仿宋_GB2312" w:hAnsi="Times New Roman" w:eastAsia="仿宋_GB2312"/>
                <w:color w:val="auto"/>
                <w:sz w:val="24"/>
                <w:szCs w:val="24"/>
                <w:highlight w:val="none"/>
              </w:rPr>
              <w:t>签约日期：</w:t>
            </w:r>
            <w:r>
              <w:rPr>
                <w:rFonts w:hint="eastAsia" w:ascii="仿宋_GB2312" w:hAnsi="Times New Roman" w:eastAsia="仿宋_GB2312"/>
                <w:color w:val="auto"/>
                <w:sz w:val="24"/>
                <w:szCs w:val="24"/>
                <w:highlight w:val="none"/>
                <w:u w:val="single"/>
              </w:rPr>
              <w:t xml:space="preserve">  </w:t>
            </w:r>
            <w:r>
              <w:rPr>
                <w:rFonts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年</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月</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 xml:space="preserve">日  </w:t>
            </w:r>
          </w:p>
        </w:tc>
        <w:tc>
          <w:tcPr>
            <w:tcW w:w="4643" w:type="dxa"/>
            <w:noWrap w:val="0"/>
            <w:vAlign w:val="top"/>
          </w:tcPr>
          <w:p w14:paraId="2278D673">
            <w:pPr>
              <w:spacing w:line="400" w:lineRule="exact"/>
              <w:jc w:val="left"/>
              <w:rPr>
                <w:rFonts w:hint="eastAsia" w:ascii="仿宋_GB2312" w:hAnsi="Times New Roman" w:eastAsia="仿宋_GB2312"/>
                <w:color w:val="auto"/>
                <w:highlight w:val="none"/>
              </w:rPr>
            </w:pPr>
            <w:r>
              <w:rPr>
                <w:rFonts w:hint="eastAsia" w:ascii="仿宋_GB2312" w:hAnsi="Times New Roman" w:eastAsia="仿宋_GB2312"/>
                <w:color w:val="auto"/>
                <w:sz w:val="24"/>
                <w:szCs w:val="24"/>
                <w:highlight w:val="none"/>
              </w:rPr>
              <w:t>乙方：</w:t>
            </w:r>
            <w:r>
              <w:rPr>
                <w:rFonts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（盖章）</w:t>
            </w:r>
          </w:p>
          <w:p w14:paraId="2B09B9FE">
            <w:pPr>
              <w:spacing w:line="400" w:lineRule="exact"/>
              <w:jc w:val="left"/>
              <w:rPr>
                <w:rFonts w:hint="eastAsia" w:ascii="仿宋_GB2312" w:hAnsi="Times New Roman" w:eastAsia="仿宋_GB2312"/>
                <w:color w:val="auto"/>
                <w:highlight w:val="none"/>
              </w:rPr>
            </w:pPr>
            <w:r>
              <w:rPr>
                <w:rFonts w:hint="eastAsia" w:ascii="仿宋_GB2312" w:hAnsi="Times New Roman" w:eastAsia="仿宋_GB2312"/>
                <w:color w:val="auto"/>
                <w:sz w:val="24"/>
                <w:szCs w:val="24"/>
                <w:highlight w:val="none"/>
              </w:rPr>
              <w:t>乙方代表：</w:t>
            </w:r>
          </w:p>
          <w:p w14:paraId="2528DEF0">
            <w:pPr>
              <w:spacing w:line="400" w:lineRule="exact"/>
              <w:jc w:val="left"/>
              <w:rPr>
                <w:rFonts w:hint="eastAsia" w:ascii="仿宋_GB2312" w:hAnsi="Times New Roman" w:eastAsia="仿宋_GB2312"/>
                <w:color w:val="auto"/>
                <w:highlight w:val="none"/>
              </w:rPr>
            </w:pPr>
            <w:r>
              <w:rPr>
                <w:rFonts w:hint="eastAsia" w:ascii="仿宋_GB2312" w:hAnsi="Times New Roman" w:eastAsia="仿宋_GB2312"/>
                <w:color w:val="auto"/>
                <w:sz w:val="24"/>
                <w:szCs w:val="24"/>
                <w:highlight w:val="none"/>
              </w:rPr>
              <w:t>地址：</w:t>
            </w:r>
          </w:p>
          <w:p w14:paraId="5A5B7EAC">
            <w:pPr>
              <w:spacing w:line="400" w:lineRule="exact"/>
              <w:jc w:val="left"/>
              <w:rPr>
                <w:rFonts w:hint="eastAsia" w:ascii="仿宋_GB2312" w:hAnsi="Times New Roman" w:eastAsia="仿宋_GB2312"/>
                <w:color w:val="auto"/>
                <w:highlight w:val="none"/>
              </w:rPr>
            </w:pPr>
            <w:r>
              <w:rPr>
                <w:rFonts w:hint="eastAsia" w:ascii="仿宋_GB2312" w:hAnsi="Times New Roman" w:eastAsia="仿宋_GB2312"/>
                <w:color w:val="auto"/>
                <w:sz w:val="24"/>
                <w:szCs w:val="24"/>
                <w:highlight w:val="none"/>
              </w:rPr>
              <w:t>开户银行：</w:t>
            </w:r>
          </w:p>
          <w:p w14:paraId="5EB33F98">
            <w:pPr>
              <w:spacing w:line="400" w:lineRule="exact"/>
              <w:jc w:val="left"/>
              <w:rPr>
                <w:rFonts w:hint="eastAsia" w:ascii="仿宋_GB2312" w:hAnsi="Times New Roman" w:eastAsia="仿宋_GB2312"/>
                <w:color w:val="auto"/>
                <w:highlight w:val="none"/>
              </w:rPr>
            </w:pPr>
            <w:r>
              <w:rPr>
                <w:rFonts w:hint="eastAsia" w:ascii="仿宋_GB2312" w:hAnsi="Times New Roman" w:eastAsia="仿宋_GB2312"/>
                <w:color w:val="auto"/>
                <w:sz w:val="24"/>
                <w:szCs w:val="24"/>
                <w:highlight w:val="none"/>
              </w:rPr>
              <w:t>账号：</w:t>
            </w:r>
          </w:p>
          <w:p w14:paraId="3E6E1B74">
            <w:pPr>
              <w:spacing w:line="400" w:lineRule="exact"/>
              <w:jc w:val="left"/>
              <w:rPr>
                <w:rFonts w:ascii="仿宋_GB2312" w:hAnsi="Times New Roman" w:eastAsia="仿宋_GB2312"/>
                <w:color w:val="auto"/>
                <w:sz w:val="24"/>
                <w:szCs w:val="24"/>
                <w:highlight w:val="none"/>
              </w:rPr>
            </w:pPr>
            <w:r>
              <w:rPr>
                <w:rFonts w:hint="eastAsia" w:ascii="仿宋_GB2312" w:hAnsi="Times New Roman" w:eastAsia="仿宋_GB2312"/>
                <w:color w:val="auto"/>
                <w:sz w:val="24"/>
                <w:szCs w:val="24"/>
                <w:highlight w:val="none"/>
              </w:rPr>
              <w:t>电话：</w:t>
            </w:r>
          </w:p>
          <w:p w14:paraId="14C3D948">
            <w:pPr>
              <w:spacing w:line="400" w:lineRule="exact"/>
              <w:jc w:val="left"/>
              <w:rPr>
                <w:rFonts w:hint="eastAsia" w:ascii="仿宋_GB2312" w:hAnsi="Times New Roman" w:eastAsia="仿宋_GB2312"/>
                <w:color w:val="auto"/>
                <w:sz w:val="24"/>
                <w:szCs w:val="24"/>
                <w:highlight w:val="none"/>
              </w:rPr>
            </w:pPr>
            <w:r>
              <w:rPr>
                <w:rFonts w:hint="eastAsia" w:ascii="仿宋_GB2312" w:hAnsi="Times New Roman" w:eastAsia="仿宋_GB2312"/>
                <w:color w:val="auto"/>
                <w:sz w:val="24"/>
                <w:szCs w:val="24"/>
                <w:highlight w:val="none"/>
              </w:rPr>
              <w:t>签约日期：</w:t>
            </w:r>
            <w:r>
              <w:rPr>
                <w:rFonts w:hint="eastAsia" w:ascii="仿宋_GB2312" w:hAnsi="Times New Roman" w:eastAsia="仿宋_GB2312"/>
                <w:color w:val="auto"/>
                <w:sz w:val="24"/>
                <w:szCs w:val="24"/>
                <w:highlight w:val="none"/>
                <w:u w:val="single"/>
              </w:rPr>
              <w:t xml:space="preserve">  </w:t>
            </w:r>
            <w:r>
              <w:rPr>
                <w:rFonts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年</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月</w:t>
            </w:r>
            <w:r>
              <w:rPr>
                <w:rFonts w:hint="eastAsia" w:ascii="仿宋_GB2312" w:hAnsi="Times New Roman" w:eastAsia="仿宋_GB2312"/>
                <w:color w:val="auto"/>
                <w:sz w:val="24"/>
                <w:szCs w:val="24"/>
                <w:highlight w:val="none"/>
                <w:u w:val="single"/>
              </w:rPr>
              <w:t xml:space="preserve">   </w:t>
            </w:r>
            <w:r>
              <w:rPr>
                <w:rFonts w:hint="eastAsia" w:ascii="仿宋_GB2312" w:hAnsi="Times New Roman" w:eastAsia="仿宋_GB2312"/>
                <w:color w:val="auto"/>
                <w:sz w:val="24"/>
                <w:szCs w:val="24"/>
                <w:highlight w:val="none"/>
              </w:rPr>
              <w:t>日</w:t>
            </w:r>
          </w:p>
        </w:tc>
      </w:tr>
    </w:tbl>
    <w:p w14:paraId="614F36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580274"/>
    <w:multiLevelType w:val="multilevel"/>
    <w:tmpl w:val="75580274"/>
    <w:lvl w:ilvl="0" w:tentative="0">
      <w:start w:val="1"/>
      <w:numFmt w:val="japaneseCounting"/>
      <w:lvlText w:val="%1、"/>
      <w:lvlJc w:val="left"/>
      <w:pPr>
        <w:ind w:left="893" w:hanging="48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116B0"/>
    <w:rsid w:val="1F511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14、“第一章”一级标题"/>
    <w:basedOn w:val="5"/>
    <w:qFormat/>
    <w:uiPriority w:val="0"/>
    <w:pPr>
      <w:tabs>
        <w:tab w:val="left" w:pos="0"/>
      </w:tabs>
      <w:spacing w:before="50" w:beforeLines="50" w:after="50" w:afterLines="50"/>
      <w:jc w:val="center"/>
      <w:outlineLvl w:val="0"/>
    </w:pPr>
    <w:rPr>
      <w:b/>
      <w:sz w:val="36"/>
    </w:rPr>
  </w:style>
  <w:style w:type="paragraph" w:customStyle="1" w:styleId="5">
    <w:name w:val="01、普通正文"/>
    <w:basedOn w:val="1"/>
    <w:qFormat/>
    <w:uiPriority w:val="0"/>
    <w:pPr>
      <w:tabs>
        <w:tab w:val="left" w:pos="0"/>
      </w:tabs>
      <w:wordWrap w:val="0"/>
      <w:topLinePunct/>
    </w:pPr>
    <w:rPr>
      <w:rFonts w:ascii="宋体" w:hAnsi="宋体" w:eastAsia="宋体" w:cs="Times New Roman"/>
      <w:snapToGrid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2026-08-11T07:32:00Z</dcterms:created>
  <dc:creator>薄荷</dc:creator>
  <cp:lastModifiedBy>薄荷</cp:lastModifiedBy>
  <dcterms:modified xsi:type="dcterms:W3CDTF">2026-08-11T07:32:50Z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EBF57683F41C4D6C80347E5E9AD09785_11</vt:lpwstr>
  </property>
  <property fmtid="{D5CDD505-2E9C-101B-9397-08002B2CF9AE}" pid="4" name="KSOTemplateDocerSaveRecord">
    <vt:lpwstr>eyJoZGlkIjoiYTVlM2U2MzVjYmI3YjM4MDNmNzRkMWZlYjZiNDVlY2UiLCJ1c2VySWQiOiI2NjYwMDMwOTMifQ==</vt:lpwstr>
  </property>
</Properties>
</file>