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版本号：N510187202600012020260813002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成都七中东部学校2026年便携式计算机采购项目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N5101872026000120</w:t>
      </w:r>
    </w:p>
    <w:p>
      <w:pPr>
        <w:pStyle w:val="null3"/>
        <w:jc w:val="left"/>
        <w:outlineLvl w:val="2"/>
      </w:pPr>
      <w:r>
        <w:rPr>
          <w:rFonts w:ascii="仿宋_GB2312" w:hAnsi="仿宋_GB2312" w:cs="仿宋_GB2312" w:eastAsia="仿宋_GB2312"/>
          <w:sz w:val="28"/>
          <w:b/>
        </w:rPr>
        <w:t>成都东部新区第七中学校（成都七中东部学校）</w:t>
      </w:r>
    </w:p>
    <w:p>
      <w:pPr>
        <w:pStyle w:val="null3"/>
        <w:jc w:val="center"/>
        <w:outlineLvl w:val="2"/>
      </w:pPr>
      <w:r>
        <w:rPr>
          <w:rFonts w:ascii="仿宋_GB2312" w:hAnsi="仿宋_GB2312" w:cs="仿宋_GB2312" w:eastAsia="仿宋_GB2312"/>
          <w:sz w:val="28"/>
          <w:b/>
        </w:rPr>
        <w:t>成都东部新区政府采购中心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成都东部新区政府采购中心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成都东部新区第七中学校（成都七中东部学校）</w:t>
      </w:r>
      <w:r>
        <w:rPr>
          <w:rFonts w:ascii="仿宋_GB2312" w:hAnsi="仿宋_GB2312" w:cs="仿宋_GB2312" w:eastAsia="仿宋_GB2312"/>
        </w:rPr>
        <w:t xml:space="preserve"> 委托，拟对 </w:t>
      </w:r>
      <w:r>
        <w:rPr>
          <w:rFonts w:ascii="仿宋_GB2312" w:hAnsi="仿宋_GB2312" w:cs="仿宋_GB2312" w:eastAsia="仿宋_GB2312"/>
        </w:rPr>
        <w:t>成都七中东部学校2026年便携式计算机采购项目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成都市东部新区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N5101872026000120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成都七中东部学校2026年便携式计算机采购项目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8"/>
        </w:rPr>
        <w:t>本项目</w:t>
      </w:r>
      <w:r>
        <w:rPr>
          <w:rFonts w:ascii="仿宋_GB2312" w:hAnsi="仿宋_GB2312" w:cs="仿宋_GB2312" w:eastAsia="仿宋_GB2312"/>
          <w:sz w:val="28"/>
        </w:rPr>
        <w:t>1</w:t>
      </w:r>
      <w:r>
        <w:rPr>
          <w:rFonts w:ascii="仿宋_GB2312" w:hAnsi="仿宋_GB2312" w:cs="仿宋_GB2312" w:eastAsia="仿宋_GB2312"/>
          <w:sz w:val="28"/>
        </w:rPr>
        <w:t>个包，成都七中东部学校</w:t>
      </w:r>
      <w:r>
        <w:rPr>
          <w:rFonts w:ascii="仿宋_GB2312" w:hAnsi="仿宋_GB2312" w:cs="仿宋_GB2312" w:eastAsia="仿宋_GB2312"/>
          <w:sz w:val="28"/>
        </w:rPr>
        <w:t>2026年便携式计算机采购项目供应商。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成都东部新区第七中学校（成都七中东部学校）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成都东部新区墨池路777号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028-81367700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成都东部新区政府采购中心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成都东部新区三岔街道公园大道2055号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邓涵丹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028-86360238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采购包1：347,500.00元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成都东部新区第七中学校（成都七中东部学校）</w:t>
      </w:r>
      <w:r>
        <w:rPr>
          <w:rFonts w:ascii="仿宋_GB2312" w:hAnsi="仿宋_GB2312" w:cs="仿宋_GB2312" w:eastAsia="仿宋_GB2312"/>
        </w:rPr>
        <w:t xml:space="preserve"> 和 </w:t>
      </w:r>
      <w:r>
        <w:rPr>
          <w:rFonts w:ascii="仿宋_GB2312" w:hAnsi="仿宋_GB2312" w:cs="仿宋_GB2312" w:eastAsia="仿宋_GB2312"/>
        </w:rPr>
        <w:t>成都东部新区政府采购中心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成都东部新区第七中学校（成都七中东部学校）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成都东部新区政府采购中心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按照本项目采购文件中“技术要求”及中标文件进行验收。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招标文件要求、中标人的投标文件及承诺、签订的合同进行；验收时如发现所交付的货物有短装、次品、损坏或其它不符合标准及本合同约定之情形者，采购方做出详尽的现场记 录或由双方签署备忘录，此现场记录或备忘录可用作补充、缺失和更换损坏部件的有效证据，由此产生的时间延误与有关费用由中标方承担，验收期限相应顺延。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成都东部新区第七中学校（成都七中东部学校）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联系电话：028-81367700</w:t>
      </w:r>
    </w:p>
    <w:p>
      <w:pPr>
        <w:pStyle w:val="null3"/>
        <w:jc w:val="left"/>
      </w:pPr>
      <w:r>
        <w:rPr>
          <w:rFonts w:ascii="仿宋_GB2312" w:hAnsi="仿宋_GB2312" w:cs="仿宋_GB2312" w:eastAsia="仿宋_GB2312"/>
        </w:rPr>
        <w:t>地址： 成都东部新区墨池路777号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联系人：邓涵丹</w:t>
      </w:r>
    </w:p>
    <w:p>
      <w:pPr>
        <w:pStyle w:val="null3"/>
        <w:jc w:val="left"/>
      </w:pPr>
      <w:r>
        <w:rPr>
          <w:rFonts w:ascii="仿宋_GB2312" w:hAnsi="仿宋_GB2312" w:cs="仿宋_GB2312" w:eastAsia="仿宋_GB2312"/>
        </w:rPr>
        <w:t>联系电话： 028-86360238</w:t>
      </w:r>
    </w:p>
    <w:p>
      <w:pPr>
        <w:pStyle w:val="null3"/>
        <w:jc w:val="left"/>
      </w:pPr>
      <w:r>
        <w:rPr>
          <w:rFonts w:ascii="仿宋_GB2312" w:hAnsi="仿宋_GB2312" w:cs="仿宋_GB2312" w:eastAsia="仿宋_GB2312"/>
        </w:rPr>
        <w:t>地址：成都东部新区三岔街道公园大道2055号</w:t>
      </w:r>
    </w:p>
    <w:p>
      <w:pPr>
        <w:pStyle w:val="null3"/>
        <w:jc w:val="left"/>
      </w:pPr>
      <w:r>
        <w:rPr>
          <w:rFonts w:ascii="仿宋_GB2312" w:hAnsi="仿宋_GB2312" w:cs="仿宋_GB2312" w:eastAsia="仿宋_GB2312"/>
        </w:rPr>
        <w:t>邮编：641400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347,500.00</w:t>
      </w:r>
    </w:p>
    <w:p>
      <w:pPr>
        <w:pStyle w:val="null3"/>
        <w:jc w:val="left"/>
      </w:pPr>
      <w:r>
        <w:rPr>
          <w:rFonts w:ascii="仿宋_GB2312" w:hAnsi="仿宋_GB2312" w:cs="仿宋_GB2312" w:eastAsia="仿宋_GB2312"/>
        </w:rPr>
        <w:t>采购包最高限价（元）: 347,500.00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A02010108 便携式计算机</w:t>
            </w:r>
          </w:p>
        </w:tc>
        <w:tc>
          <w:tcPr>
            <w:tcW w:type="dxa" w:w="821"/>
          </w:tcPr>
          <w:p>
            <w:pPr>
              <w:pStyle w:val="null3"/>
              <w:jc w:val="left"/>
            </w:pPr>
            <w:r>
              <w:rPr>
                <w:rFonts w:ascii="仿宋_GB2312" w:hAnsi="仿宋_GB2312" w:cs="仿宋_GB2312" w:eastAsia="仿宋_GB2312"/>
              </w:rPr>
              <w:t>便捷式计算机</w:t>
            </w:r>
          </w:p>
        </w:tc>
        <w:tc>
          <w:tcPr>
            <w:tcW w:type="dxa" w:w="821"/>
          </w:tcPr>
          <w:p>
            <w:pPr>
              <w:pStyle w:val="null3"/>
              <w:jc w:val="right"/>
            </w:pPr>
            <w:r>
              <w:rPr>
                <w:rFonts w:ascii="仿宋_GB2312" w:hAnsi="仿宋_GB2312" w:cs="仿宋_GB2312" w:eastAsia="仿宋_GB2312"/>
              </w:rPr>
              <w:t>50.00（台）</w:t>
            </w:r>
          </w:p>
        </w:tc>
        <w:tc>
          <w:tcPr>
            <w:tcW w:type="dxa" w:w="821"/>
          </w:tcPr>
          <w:p>
            <w:pPr>
              <w:pStyle w:val="null3"/>
              <w:jc w:val="right"/>
            </w:pPr>
            <w:r>
              <w:rPr>
                <w:rFonts w:ascii="仿宋_GB2312" w:hAnsi="仿宋_GB2312" w:cs="仿宋_GB2312" w:eastAsia="仿宋_GB2312"/>
              </w:rPr>
              <w:t>347,500.00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便捷式计算机</w:t>
            </w:r>
          </w:p>
        </w:tc>
        <w:tc>
          <w:tcPr>
            <w:tcW w:type="dxa" w:w="1138"/>
          </w:tcPr>
          <w:p>
            <w:pPr>
              <w:pStyle w:val="null3"/>
              <w:jc w:val="center"/>
            </w:pPr>
            <w:r>
              <w:rPr>
                <w:rFonts w:ascii="仿宋_GB2312" w:hAnsi="仿宋_GB2312" w:cs="仿宋_GB2312" w:eastAsia="仿宋_GB2312"/>
              </w:rPr>
              <w:t>50.00（台）</w:t>
            </w:r>
          </w:p>
        </w:tc>
        <w:tc>
          <w:tcPr>
            <w:tcW w:type="dxa" w:w="1365"/>
          </w:tcPr>
          <w:p>
            <w:pPr>
              <w:pStyle w:val="null3"/>
              <w:jc w:val="center"/>
            </w:pPr>
            <w:r>
              <w:rPr>
                <w:rFonts w:ascii="仿宋_GB2312" w:hAnsi="仿宋_GB2312" w:cs="仿宋_GB2312" w:eastAsia="仿宋_GB2312"/>
              </w:rPr>
              <w:t>347,500.00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便捷式计算机</w:t>
            </w:r>
          </w:p>
        </w:tc>
        <w:tc>
          <w:tcPr>
            <w:tcW w:type="dxa" w:w="2492"/>
          </w:tcPr>
          <w:p>
            <w:pPr>
              <w:pStyle w:val="null3"/>
              <w:jc w:val="left"/>
            </w:pPr>
            <w:r>
              <w:rPr>
                <w:rFonts w:ascii="仿宋_GB2312" w:hAnsi="仿宋_GB2312" w:cs="仿宋_GB2312" w:eastAsia="仿宋_GB2312"/>
              </w:rPr>
              <w:t>便捷式计算机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便捷式计算机</w:t>
            </w:r>
          </w:p>
        </w:tc>
        <w:tc>
          <w:tcPr>
            <w:tcW w:type="dxa" w:w="2492"/>
          </w:tcPr>
          <w:p>
            <w:pPr>
              <w:pStyle w:val="null3"/>
              <w:jc w:val="left"/>
            </w:pPr>
            <w:r>
              <w:rPr>
                <w:rFonts w:ascii="仿宋_GB2312" w:hAnsi="仿宋_GB2312" w:cs="仿宋_GB2312" w:eastAsia="仿宋_GB2312"/>
              </w:rPr>
              <w:t>便捷式计算机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便捷式计算机</w:t>
            </w:r>
          </w:p>
        </w:tc>
        <w:tc>
          <w:tcPr>
            <w:tcW w:type="dxa" w:w="2492"/>
          </w:tcPr>
          <w:p>
            <w:pPr>
              <w:pStyle w:val="null3"/>
              <w:jc w:val="left"/>
            </w:pPr>
            <w:r>
              <w:rPr>
                <w:rFonts w:ascii="仿宋_GB2312" w:hAnsi="仿宋_GB2312" w:cs="仿宋_GB2312" w:eastAsia="仿宋_GB2312"/>
              </w:rPr>
              <w:t>便捷式计算机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标的名称：便捷式计算机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68"/>
              <w:gridCol w:w="670"/>
              <w:gridCol w:w="2919"/>
              <w:gridCol w:w="670"/>
              <w:gridCol w:w="670"/>
            </w:tblGrid>
            <w:tr>
              <w:tc>
                <w:tcPr>
                  <w:tcW w:type="dxa" w:w="6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b/>
                      <w:color w:val="000000"/>
                    </w:rPr>
                    <w:t>序号</w:t>
                  </w:r>
                </w:p>
              </w:tc>
              <w:tc>
                <w:tcPr>
                  <w:tcW w:type="dxa" w:w="6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b/>
                      <w:color w:val="000000"/>
                    </w:rPr>
                    <w:t>产品名称</w:t>
                  </w:r>
                </w:p>
              </w:tc>
              <w:tc>
                <w:tcPr>
                  <w:tcW w:type="dxa" w:w="29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b/>
                      <w:color w:val="000000"/>
                    </w:rPr>
                    <w:t>产品技术参数</w:t>
                  </w:r>
                </w:p>
              </w:tc>
              <w:tc>
                <w:tcPr>
                  <w:tcW w:type="dxa" w:w="6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w:t>
                  </w:r>
                  <w:r>
                    <w:rPr>
                      <w:rFonts w:ascii="仿宋_GB2312" w:hAnsi="仿宋_GB2312" w:cs="仿宋_GB2312" w:eastAsia="仿宋_GB2312"/>
                      <w:sz w:val="28"/>
                      <w:b/>
                      <w:color w:val="000000"/>
                    </w:rPr>
                    <w:t>数量</w:t>
                  </w:r>
                </w:p>
              </w:tc>
              <w:tc>
                <w:tcPr>
                  <w:tcW w:type="dxa" w:w="6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w:t>
                  </w:r>
                  <w:r>
                    <w:rPr>
                      <w:rFonts w:ascii="仿宋_GB2312" w:hAnsi="仿宋_GB2312" w:cs="仿宋_GB2312" w:eastAsia="仿宋_GB2312"/>
                      <w:sz w:val="28"/>
                      <w:b/>
                      <w:color w:val="000000"/>
                    </w:rPr>
                    <w:t>单位</w:t>
                  </w:r>
                </w:p>
              </w:tc>
            </w:tr>
            <w:tr>
              <w:tc>
                <w:tcPr>
                  <w:tcW w:type="dxa" w:w="668"/>
                  <w:vMerge/>
                  <w:tcBorders>
                    <w:top w:val="single" w:color="000000" w:sz="4"/>
                    <w:left w:val="single" w:color="000000" w:sz="4"/>
                    <w:bottom w:val="single" w:color="000000" w:sz="4"/>
                    <w:right w:val="single" w:color="000000" w:sz="4"/>
                  </w:tcBorders>
                </w:tcPr>
                <w:p/>
              </w:tc>
              <w:tc>
                <w:tcPr>
                  <w:tcW w:type="dxa" w:w="670"/>
                  <w:vMerge/>
                  <w:tcBorders>
                    <w:top w:val="single" w:color="000000" w:sz="4"/>
                    <w:left w:val="none" w:color="000000" w:sz="4"/>
                    <w:bottom w:val="single" w:color="000000" w:sz="4"/>
                    <w:right w:val="single" w:color="000000" w:sz="4"/>
                  </w:tcBorders>
                </w:tcPr>
                <w:p/>
              </w:tc>
              <w:tc>
                <w:tcPr>
                  <w:tcW w:type="dxa" w:w="2919"/>
                  <w:vMerge/>
                  <w:tcBorders>
                    <w:top w:val="single" w:color="000000" w:sz="4"/>
                    <w:left w:val="none" w:color="000000" w:sz="4"/>
                    <w:bottom w:val="single" w:color="000000" w:sz="4"/>
                    <w:right w:val="single" w:color="000000" w:sz="4"/>
                  </w:tcBorders>
                </w:tcPr>
                <w:p/>
              </w:tc>
              <w:tc>
                <w:tcPr>
                  <w:tcW w:type="dxa" w:w="670"/>
                  <w:vMerge/>
                  <w:tcBorders>
                    <w:top w:val="single" w:color="000000" w:sz="4"/>
                    <w:left w:val="none" w:color="000000" w:sz="4"/>
                    <w:bottom w:val="single" w:color="000000" w:sz="4"/>
                    <w:right w:val="single" w:color="000000" w:sz="4"/>
                  </w:tcBorders>
                </w:tcPr>
                <w:p/>
              </w:tc>
              <w:tc>
                <w:tcPr>
                  <w:tcW w:type="dxa" w:w="670"/>
                  <w:vMerge/>
                  <w:tcBorders>
                    <w:top w:val="single" w:color="000000" w:sz="4"/>
                    <w:left w:val="none" w:color="000000" w:sz="4"/>
                    <w:bottom w:val="single" w:color="000000" w:sz="4"/>
                    <w:right w:val="single" w:color="000000" w:sz="4"/>
                  </w:tcBorders>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color w:val="000000"/>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color w:val="000000"/>
                    </w:rPr>
                    <w:t>便捷式计算机</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★1、CPU 规格：ARM架构，物理核心数≥8核、最高主频≥2.0GHz、线程数≥12线程；</w:t>
                  </w:r>
                </w:p>
                <w:p>
                  <w:pPr>
                    <w:pStyle w:val="null3"/>
                    <w:spacing w:before="105" w:after="105"/>
                    <w:jc w:val="left"/>
                  </w:pPr>
                  <w:r>
                    <w:rPr>
                      <w:rFonts w:ascii="仿宋_GB2312" w:hAnsi="仿宋_GB2312" w:cs="仿宋_GB2312" w:eastAsia="仿宋_GB2312"/>
                      <w:sz w:val="28"/>
                      <w:color w:val="000000"/>
                    </w:rPr>
                    <w:t>★2、内存配置容量：≥16GB，支持DDR5或LPDDR5及以上内存类型；内存速率≥4800MT/s。</w:t>
                  </w:r>
                </w:p>
                <w:p>
                  <w:pPr>
                    <w:pStyle w:val="null3"/>
                    <w:spacing w:before="105" w:after="105"/>
                    <w:jc w:val="left"/>
                  </w:pPr>
                  <w:r>
                    <w:rPr>
                      <w:rFonts w:ascii="仿宋_GB2312" w:hAnsi="仿宋_GB2312" w:cs="仿宋_GB2312" w:eastAsia="仿宋_GB2312"/>
                      <w:sz w:val="28"/>
                      <w:color w:val="000000"/>
                    </w:rPr>
                    <w:t>★3、固态硬盘容量≥512GB。</w:t>
                  </w:r>
                </w:p>
                <w:p>
                  <w:pPr>
                    <w:pStyle w:val="null3"/>
                    <w:spacing w:before="105" w:after="105"/>
                    <w:jc w:val="left"/>
                  </w:pPr>
                  <w:r>
                    <w:rPr>
                      <w:rFonts w:ascii="仿宋_GB2312" w:hAnsi="仿宋_GB2312" w:cs="仿宋_GB2312" w:eastAsia="仿宋_GB2312"/>
                      <w:sz w:val="28"/>
                      <w:color w:val="000000"/>
                    </w:rPr>
                    <w:t>4、集成显卡或独立显卡（若配置独立显卡，显存容量≥2GB）</w:t>
                  </w:r>
                </w:p>
                <w:p>
                  <w:pPr>
                    <w:pStyle w:val="null3"/>
                    <w:spacing w:before="105" w:after="105"/>
                    <w:jc w:val="left"/>
                  </w:pPr>
                  <w:r>
                    <w:rPr>
                      <w:rFonts w:ascii="仿宋_GB2312" w:hAnsi="仿宋_GB2312" w:cs="仿宋_GB2312" w:eastAsia="仿宋_GB2312"/>
                      <w:sz w:val="28"/>
                      <w:color w:val="000000"/>
                    </w:rPr>
                    <w:t>5、显示屏尺寸≥14英寸，显示屏分辨率≥1920x1080，屏幕材质：OLED屏。</w:t>
                  </w:r>
                </w:p>
                <w:p>
                  <w:pPr>
                    <w:pStyle w:val="null3"/>
                    <w:spacing w:before="105" w:after="105"/>
                    <w:jc w:val="left"/>
                  </w:pPr>
                  <w:r>
                    <w:rPr>
                      <w:rFonts w:ascii="仿宋_GB2312" w:hAnsi="仿宋_GB2312" w:cs="仿宋_GB2312" w:eastAsia="仿宋_GB2312"/>
                      <w:sz w:val="28"/>
                      <w:color w:val="000000"/>
                    </w:rPr>
                    <w:t>★6、刷新率：</w:t>
                  </w:r>
                  <w:r>
                    <w:rPr>
                      <w:rFonts w:ascii="仿宋_GB2312" w:hAnsi="仿宋_GB2312" w:cs="仿宋_GB2312" w:eastAsia="仿宋_GB2312"/>
                      <w:sz w:val="28"/>
                      <w:color w:val="000000"/>
                    </w:rPr>
                    <w:t>≥60Hz</w:t>
                  </w:r>
                  <w:r>
                    <w:br/>
                  </w:r>
                  <w:r>
                    <w:rPr>
                      <w:rFonts w:ascii="仿宋_GB2312" w:hAnsi="仿宋_GB2312" w:cs="仿宋_GB2312" w:eastAsia="仿宋_GB2312"/>
                      <w:sz w:val="28"/>
                      <w:color w:val="000000"/>
                    </w:rPr>
                    <w:t>7、HDMI接口≥1个，Type-C接口≥1个。</w:t>
                  </w:r>
                </w:p>
                <w:p>
                  <w:pPr>
                    <w:pStyle w:val="null3"/>
                    <w:spacing w:before="105" w:after="105"/>
                    <w:jc w:val="left"/>
                  </w:pPr>
                  <w:r>
                    <w:rPr>
                      <w:rFonts w:ascii="仿宋_GB2312" w:hAnsi="仿宋_GB2312" w:cs="仿宋_GB2312" w:eastAsia="仿宋_GB2312"/>
                      <w:sz w:val="28"/>
                      <w:color w:val="000000"/>
                    </w:rPr>
                    <w:t>8、有线网卡数量≥1，无线网卡数量≥1</w:t>
                  </w:r>
                  <w:r>
                    <w:br/>
                  </w:r>
                  <w:r>
                    <w:rPr>
                      <w:rFonts w:ascii="仿宋_GB2312" w:hAnsi="仿宋_GB2312" w:cs="仿宋_GB2312" w:eastAsia="仿宋_GB2312"/>
                      <w:sz w:val="28"/>
                      <w:color w:val="000000"/>
                    </w:rPr>
                    <w:t>9、整机平均无故障时间MTBF(m1)≥3万小时。</w:t>
                  </w:r>
                </w:p>
                <w:p>
                  <w:pPr>
                    <w:pStyle w:val="null3"/>
                    <w:spacing w:before="105" w:after="105"/>
                    <w:jc w:val="left"/>
                  </w:pPr>
                  <w:r>
                    <w:rPr>
                      <w:rFonts w:ascii="仿宋_GB2312" w:hAnsi="仿宋_GB2312" w:cs="仿宋_GB2312" w:eastAsia="仿宋_GB2312"/>
                      <w:sz w:val="28"/>
                      <w:color w:val="000000"/>
                    </w:rPr>
                    <w:t>10、整机重量≤1.6kg。</w:t>
                  </w:r>
                </w:p>
                <w:p>
                  <w:pPr>
                    <w:pStyle w:val="null3"/>
                    <w:spacing w:before="105" w:after="105"/>
                    <w:jc w:val="left"/>
                  </w:pPr>
                  <w:r>
                    <w:rPr>
                      <w:rFonts w:ascii="仿宋_GB2312" w:hAnsi="仿宋_GB2312" w:cs="仿宋_GB2312" w:eastAsia="仿宋_GB2312"/>
                      <w:sz w:val="28"/>
                      <w:color w:val="000000"/>
                    </w:rPr>
                    <w:t>11、配鼠标、笔记本包。</w:t>
                  </w:r>
                </w:p>
                <w:p>
                  <w:pPr>
                    <w:pStyle w:val="null3"/>
                    <w:spacing w:before="105" w:after="105"/>
                    <w:jc w:val="left"/>
                  </w:pPr>
                  <w:r>
                    <w:rPr>
                      <w:rFonts w:ascii="仿宋_GB2312" w:hAnsi="仿宋_GB2312" w:cs="仿宋_GB2312" w:eastAsia="仿宋_GB2312"/>
                      <w:sz w:val="28"/>
                      <w:color w:val="000000"/>
                    </w:rPr>
                    <w:t>★12、关键部件安全要求：中央处理器（CPU）通过中国信息安全测评中心（www.itsec.gov.cn)或国家保密科技评测中心（www.nsstec.org.cn)安全可靠评测，符合安全可靠测评II级要求。</w:t>
                  </w:r>
                </w:p>
                <w:p>
                  <w:pPr>
                    <w:pStyle w:val="null3"/>
                    <w:spacing w:before="105" w:after="105"/>
                    <w:jc w:val="left"/>
                  </w:pPr>
                  <w:r>
                    <w:rPr>
                      <w:rFonts w:ascii="仿宋_GB2312" w:hAnsi="仿宋_GB2312" w:cs="仿宋_GB2312" w:eastAsia="仿宋_GB2312"/>
                      <w:sz w:val="28"/>
                      <w:color w:val="000000"/>
                    </w:rPr>
                    <w:t>招标要求：带</w:t>
                  </w:r>
                  <w:r>
                    <w:rPr>
                      <w:rFonts w:ascii="仿宋_GB2312" w:hAnsi="仿宋_GB2312" w:cs="仿宋_GB2312" w:eastAsia="仿宋_GB2312"/>
                      <w:sz w:val="28"/>
                      <w:color w:val="000000"/>
                    </w:rPr>
                    <w:t>“★” 项为必须满足项</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color w:val="000000"/>
                    </w:rPr>
                    <w:t>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color w:val="000000"/>
                    </w:rPr>
                    <w:t>台</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631"/>
              <w:jc w:val="left"/>
            </w:pPr>
            <w:r>
              <w:rPr>
                <w:rFonts w:ascii="仿宋_GB2312" w:hAnsi="仿宋_GB2312" w:cs="仿宋_GB2312" w:eastAsia="仿宋_GB2312"/>
                <w:sz w:val="28"/>
              </w:rPr>
              <w:t>1、</w:t>
            </w:r>
            <w:r>
              <w:rPr>
                <w:rFonts w:ascii="仿宋_GB2312" w:hAnsi="仿宋_GB2312" w:cs="仿宋_GB2312" w:eastAsia="仿宋_GB2312"/>
                <w:sz w:val="28"/>
              </w:rPr>
              <w:t>报价应是最终用户验收合格后的总价，包括但不限于设备、辅材材料、包装、运输、安装调试、人工、保险、所有税费、验收合格交付使用及保修期内保修服务与备用物件和</w:t>
            </w:r>
            <w:r>
              <w:rPr>
                <w:rFonts w:ascii="仿宋_GB2312" w:hAnsi="仿宋_GB2312" w:cs="仿宋_GB2312" w:eastAsia="仿宋_GB2312"/>
                <w:sz w:val="28"/>
              </w:rPr>
              <w:t>招标文件</w:t>
            </w:r>
            <w:r>
              <w:rPr>
                <w:rFonts w:ascii="仿宋_GB2312" w:hAnsi="仿宋_GB2312" w:cs="仿宋_GB2312" w:eastAsia="仿宋_GB2312"/>
                <w:sz w:val="28"/>
              </w:rPr>
              <w:t>规定的其它全部费用。</w:t>
            </w:r>
          </w:p>
          <w:p>
            <w:pPr>
              <w:pStyle w:val="null3"/>
              <w:ind w:firstLine="631"/>
              <w:jc w:val="left"/>
            </w:pPr>
            <w:r>
              <w:rPr>
                <w:rFonts w:ascii="仿宋_GB2312" w:hAnsi="仿宋_GB2312" w:cs="仿宋_GB2312" w:eastAsia="仿宋_GB2312"/>
                <w:sz w:val="28"/>
              </w:rPr>
              <w:t>2、</w:t>
            </w:r>
            <w:r>
              <w:rPr>
                <w:rFonts w:ascii="仿宋_GB2312" w:hAnsi="仿宋_GB2312" w:cs="仿宋_GB2312" w:eastAsia="仿宋_GB2312"/>
                <w:sz w:val="28"/>
              </w:rPr>
              <w:t>交货验收时须提供产品质检部门从同一批次产品中抽样检查合格的检测报告。</w:t>
            </w:r>
          </w:p>
          <w:p>
            <w:pPr>
              <w:pStyle w:val="null3"/>
              <w:ind w:firstLine="631"/>
              <w:jc w:val="left"/>
            </w:pPr>
            <w:r>
              <w:rPr>
                <w:rFonts w:ascii="仿宋_GB2312" w:hAnsi="仿宋_GB2312" w:cs="仿宋_GB2312" w:eastAsia="仿宋_GB2312"/>
                <w:sz w:val="28"/>
              </w:rPr>
              <w:t>3、</w:t>
            </w:r>
            <w:r>
              <w:rPr>
                <w:rFonts w:ascii="仿宋_GB2312" w:hAnsi="仿宋_GB2312" w:cs="仿宋_GB2312" w:eastAsia="仿宋_GB2312"/>
                <w:sz w:val="28"/>
              </w:rPr>
              <w:t>甲方验收时，有权在中标人提交的货物中随机抽取不高于中标总金额</w:t>
            </w:r>
            <w:r>
              <w:rPr>
                <w:rFonts w:ascii="仿宋_GB2312" w:hAnsi="仿宋_GB2312" w:cs="仿宋_GB2312" w:eastAsia="仿宋_GB2312"/>
                <w:sz w:val="28"/>
              </w:rPr>
              <w:t>5%的货物送至双方协商约定书面确认的国家认可的检测机构进行检测（不排除破坏性检测），检测费用由乙方承担，若检测不合格或质量低于中标文件响应的，视为验收不合格（乙方须补齐用于检测的货物数量）。（检测费用包含在本次报价中）</w:t>
            </w:r>
          </w:p>
          <w:p>
            <w:pPr>
              <w:pStyle w:val="null3"/>
              <w:ind w:firstLine="631"/>
              <w:jc w:val="left"/>
            </w:pPr>
            <w:r>
              <w:rPr>
                <w:rFonts w:ascii="仿宋_GB2312" w:hAnsi="仿宋_GB2312" w:cs="仿宋_GB2312" w:eastAsia="仿宋_GB2312"/>
                <w:sz w:val="28"/>
              </w:rPr>
              <w:t>4、</w:t>
            </w:r>
            <w:r>
              <w:rPr>
                <w:rFonts w:ascii="仿宋_GB2312" w:hAnsi="仿宋_GB2312" w:cs="仿宋_GB2312" w:eastAsia="仿宋_GB2312"/>
                <w:sz w:val="28"/>
              </w:rPr>
              <w:t>本项目不可竞争费用为货物安装调试过程中涉及的水费及电费，由中标供应商支付，总费用为固定预算金额的</w:t>
            </w:r>
            <w:r>
              <w:rPr>
                <w:rFonts w:ascii="仿宋_GB2312" w:hAnsi="仿宋_GB2312" w:cs="仿宋_GB2312" w:eastAsia="仿宋_GB2312"/>
                <w:sz w:val="28"/>
              </w:rPr>
              <w:t>3‰元。（此项费用不包含在报价中）</w:t>
            </w:r>
          </w:p>
          <w:p>
            <w:pPr>
              <w:pStyle w:val="null3"/>
              <w:ind w:firstLine="631"/>
              <w:jc w:val="left"/>
            </w:pPr>
            <w:r>
              <w:rPr>
                <w:rFonts w:ascii="仿宋_GB2312" w:hAnsi="仿宋_GB2312" w:cs="仿宋_GB2312" w:eastAsia="仿宋_GB2312"/>
                <w:sz w:val="28"/>
              </w:rPr>
              <w:t>5、</w:t>
            </w:r>
            <w:r>
              <w:rPr>
                <w:rFonts w:ascii="仿宋_GB2312" w:hAnsi="仿宋_GB2312" w:cs="仿宋_GB2312" w:eastAsia="仿宋_GB2312"/>
                <w:sz w:val="28"/>
              </w:rPr>
              <w:t>乙方负责产品的安装、调试。产品安装调试完毕后，乙方应就产品的安装、调试、操作、维修、保养等对采购人维修技术人员及操作人员进行培训，直至甲方的技术人员能独立操作，同时能完成一般常见故障的维修工作。所需的费用包括在响应报价中。</w:t>
            </w:r>
          </w:p>
          <w:p>
            <w:pPr>
              <w:pStyle w:val="null3"/>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中标人应在合同签订后15日内完成货物交付和安装调试且保证交付货物的正常使用。如因特殊情况无法正常交付，经招标人书面确认后依据实际情况确定交货时间。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成都七中东部学校（成都东部新区三岔街道墨池路777号）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预付款付款条件：财政专项资金下达至采购人，合同签订且中标人向采购人出具合法有效完整的完税发票及凭证资料后。达到该付款条件起10个工作日内，支付合同总金额的40.0%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尾款付款条件：财政专项资金下达至采购人，中标人按照约定时间内完成本项目的设备安装调试工作，经采购人验收合格后，且中标人向采购人出具合法有效完整的完税发票及凭证资料。达到该付款条件起10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详见2.6.6履约验收方案</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1、验收合格之日起，投标人提供至少 60 个月（5年）的质保期（保修期），质保期（保修期）内所提供的维修、维护、清洗、培训、技术服务、备品备件、交通、人工等所有服务所涉及的费用均包含在本次报价中。 2、培训服务：中标人须对招标人相关人员进行现场培训，直至可独立熟练操作为止； 3、维修服务：质保期（保修期）内出现设备故障或质量问题，中标人在接到通知后须立即响应、24 小时内到场、48 小时内完成维修或提供备件；24 个月内设备故障达 3 次（含）以上，必须更换全新的设备； 4、现场服务：项目完工并通过验收后，中标人至少提供不低于三次现场技术指导服务，培训讲师不低于一名； 5、备品备件：质保期（保修期）内，若遇活动安排，中标人须提供相应的备品、备件，以确保设施设备在出现突发性故障时能及时更换，保障设施设备的正常进行； 6、继续培训服务：质保期（保修期）内，若因项目招标人相关人员人事变动等引起的继续培训服务需求，中标人须提供继续培训服务。（提供单独的承诺函并加盖投标人公章）</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违约责任：违约责任： （注：以下甲方指本项目招标人，乙方指本项目中标人） 1、甲方违约责任：甲方无正当理由拒收货物的，甲方应偿付合同总价千分之一的违约金； 甲方应按合同所约定的金额和时间支付合同款项，否则，每逾期支付一天，按应付金额的万分之五承担违约金，但累计违约金不得超过未付价款的千分之一。 2、乙方违约责任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未完成安装调试正常使用的货物视为逾期交付货物，因特殊情况无法正常交付，经甲方书面确认后依据实际情况确定交货时间】，除应及时交足货物外，应向甲方偿付合同总额的百分之一/天的违约金；逾期交货超过7天，甲方有权终止合同，乙方则应按合同总价的百分之十的款额向甲方偿付赔偿金，并须全额退还甲方已经付给乙方的货款及其利息。 （3）乙方货物经双方协商约定书面确认具有法定资格条件的质量技术监督机构检测后，如检测结果认定货物质量不符合本合同规定标准的，则视为乙方没有按时交货而违约，乙方须在7天内无条件更换合格的货物，如逾期不能更换合格的货物，甲方有权终止本合同，乙方应另付合同总价的百分之十的赔偿金给甲方，并须全额退还甲方已经付给乙方的货款及其利息。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 （5）如因乙方货物逾期交付对甲方教学秩序造成影响，乙方须按甲方要求无条件执行解决方案，所有费用由乙方承担。 （6）乙方偿付的违约金不足以弥补甲方损失的，还应按甲方损失尚未弥补的部分，支付赔偿金给甲方。 争议解决办法 1、因货物的质量问题发生争议，由质量技术监督部门或其指定的质量鉴定机构进行质量鉴定。鉴定费由乙方承担。 2、合同履行期间，若双方发生争议，可协商或由有关部门调解解决，协商或调解不成的，由当事人依法维护其合法权益，任何一方均有权向甲方所在地有管辖权的人民法院起诉。</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①供应商若为企业法人：提供“统一社会信用代码营业执照”；②若为事业法人：提供“统一社会信用代码法人登记证书”；③若为其他组织：提供“对应主管部门颁发的准许执业证明文件或营业执照”；④若为自然人：提供“身份证明文件”。以上提供扫描件。以上材料需在项目电子化交易系统中按要求进行电子签章。 （2）供应商需在使用投标(响应)客户端编制响应文件时，按要求填写《投标（响应）函》完成承诺并进行电子签章。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满足招标文件实质性要求</w:t>
            </w:r>
          </w:p>
        </w:tc>
        <w:tc>
          <w:tcPr>
            <w:tcW w:type="dxa" w:w="3322"/>
          </w:tcPr>
          <w:p>
            <w:pPr>
              <w:pStyle w:val="null3"/>
              <w:jc w:val="left"/>
            </w:pPr>
            <w:r>
              <w:rPr>
                <w:rFonts w:ascii="仿宋_GB2312" w:hAnsi="仿宋_GB2312" w:cs="仿宋_GB2312" w:eastAsia="仿宋_GB2312"/>
              </w:rPr>
              <w:t>提供满足招标文件实质性要求的证明材料。（注：除招标文件中明确要求进行响应或承诺或提供证明材料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投标人应提交的相关证明材料,产品技术参数响应表,投标文件封面,服务应答表,报价表,商务、服务要求应答表.docx,投标（响应）函,其他资料及相关说明等.docx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详见附件：商务、服务要求应答表.docx</w:t>
      </w:r>
    </w:p>
    <w:p>
      <w:pPr>
        <w:pStyle w:val="null3"/>
        <w:ind w:firstLine="960"/>
        <w:jc w:val="left"/>
      </w:pPr>
      <w:r>
        <w:rPr>
          <w:rFonts w:ascii="仿宋_GB2312" w:hAnsi="仿宋_GB2312" w:cs="仿宋_GB2312" w:eastAsia="仿宋_GB2312"/>
        </w:rPr>
        <w:t>详见附件：其他资料及相关说明等.docx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详见附件：成都东部新区第七中学校（成都七中东部学校）XXXXXXXXXXXXX项目政府采购合同（草案）.docx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