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版本号：N513211202600026420260810001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教学网络机房升级改造(二次)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N5132112026000264</w:t>
      </w:r>
    </w:p>
    <w:p>
      <w:pPr>
        <w:pStyle w:val="null3"/>
        <w:jc w:val="left"/>
        <w:outlineLvl w:val="2"/>
      </w:pPr>
      <w:r>
        <w:rPr>
          <w:rFonts w:ascii="仿宋_GB2312" w:hAnsi="仿宋_GB2312" w:cs="仿宋_GB2312" w:eastAsia="仿宋_GB2312"/>
          <w:sz w:val="28"/>
          <w:b/>
        </w:rPr>
        <w:t>阿坝开放大学</w:t>
      </w:r>
    </w:p>
    <w:p>
      <w:pPr>
        <w:pStyle w:val="null3"/>
        <w:jc w:val="center"/>
        <w:outlineLvl w:val="2"/>
      </w:pPr>
      <w:r>
        <w:rPr>
          <w:rFonts w:ascii="仿宋_GB2312" w:hAnsi="仿宋_GB2312" w:cs="仿宋_GB2312" w:eastAsia="仿宋_GB2312"/>
          <w:sz w:val="28"/>
          <w:b/>
        </w:rPr>
        <w:t>阿坝藏族羌族自治州政府采购中心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阿坝藏族羌族自治州政府采购中心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阿坝开放大学</w:t>
      </w:r>
      <w:r>
        <w:rPr>
          <w:rFonts w:ascii="仿宋_GB2312" w:hAnsi="仿宋_GB2312" w:cs="仿宋_GB2312" w:eastAsia="仿宋_GB2312"/>
        </w:rPr>
        <w:t xml:space="preserve"> 委托，拟对 </w:t>
      </w:r>
      <w:r>
        <w:rPr>
          <w:rFonts w:ascii="仿宋_GB2312" w:hAnsi="仿宋_GB2312" w:cs="仿宋_GB2312" w:eastAsia="仿宋_GB2312"/>
        </w:rPr>
        <w:t>教学网络机房升级改造(二次)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阿坝藏族羌族自治州州本级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N5132112026000264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教学网络机房升级改造(二次)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台式计算机购置、学生显示课桌购置、教师显示讲桌购置、学生座椅购置、防静电地板更换及强弱电线路改造等。</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阿坝开放大学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汶川县雁门乡江爱大道1号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泽老师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13558587577</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阿坝藏族羌族自治州政府采购中心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四川省成都市二环路西三段30号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028-83395850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60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阿坝开放大学</w:t>
      </w:r>
      <w:r>
        <w:rPr>
          <w:rFonts w:ascii="仿宋_GB2312" w:hAnsi="仿宋_GB2312" w:cs="仿宋_GB2312" w:eastAsia="仿宋_GB2312"/>
        </w:rPr>
        <w:t xml:space="preserve"> 和 </w:t>
      </w:r>
      <w:r>
        <w:rPr>
          <w:rFonts w:ascii="仿宋_GB2312" w:hAnsi="仿宋_GB2312" w:cs="仿宋_GB2312" w:eastAsia="仿宋_GB2312"/>
        </w:rPr>
        <w:t>阿坝藏族羌族自治州政府采购中心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阿坝开放大学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阿坝藏族羌族自治州政府采购中心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供货完成且供应商提出验收申请之日起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采购文件约定的技术要求的履约情况</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采购文件约定的商务要求的履约情况</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国家有关规定、采购文件的服务要求、供应商的响应文件及 承诺以及合同约定标准。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其他事项参照《财政部关于进一步加强政府采购需求和 履约验收管理的指导意见》（财库〔2016〕205 号）、《政府采购需求管理办法》（财 库〔2021〕22 号）文件规定进行验收。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阿坝开放大学</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阿坝藏族羌族自治州政府采购中心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阿坝藏族羌族自治州政府采购中心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联系人：泽老师</w:t>
      </w:r>
    </w:p>
    <w:p>
      <w:pPr>
        <w:pStyle w:val="null3"/>
        <w:jc w:val="left"/>
      </w:pPr>
      <w:r>
        <w:rPr>
          <w:rFonts w:ascii="仿宋_GB2312" w:hAnsi="仿宋_GB2312" w:cs="仿宋_GB2312" w:eastAsia="仿宋_GB2312"/>
        </w:rPr>
        <w:t>联系电话：13558587577</w:t>
      </w:r>
    </w:p>
    <w:p>
      <w:pPr>
        <w:pStyle w:val="null3"/>
        <w:jc w:val="left"/>
      </w:pPr>
      <w:r>
        <w:rPr>
          <w:rFonts w:ascii="仿宋_GB2312" w:hAnsi="仿宋_GB2312" w:cs="仿宋_GB2312" w:eastAsia="仿宋_GB2312"/>
        </w:rPr>
        <w:t>地址： 阿坝开放大学</w:t>
      </w:r>
    </w:p>
    <w:p>
      <w:pPr>
        <w:pStyle w:val="null3"/>
        <w:jc w:val="left"/>
      </w:pPr>
      <w:r>
        <w:rPr>
          <w:rFonts w:ascii="仿宋_GB2312" w:hAnsi="仿宋_GB2312" w:cs="仿宋_GB2312" w:eastAsia="仿宋_GB2312"/>
        </w:rPr>
        <w:t>邮编：623000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1,000,000.00</w:t>
      </w:r>
    </w:p>
    <w:p>
      <w:pPr>
        <w:pStyle w:val="null3"/>
        <w:jc w:val="left"/>
      </w:pPr>
      <w:r>
        <w:rPr>
          <w:rFonts w:ascii="仿宋_GB2312" w:hAnsi="仿宋_GB2312" w:cs="仿宋_GB2312" w:eastAsia="仿宋_GB2312"/>
        </w:rPr>
        <w:t>采购包最高限价（元）: 1,000,000.00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管理台式计算机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3,700.00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教师台式计算机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3,700.00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学生台式计算机</w:t>
            </w:r>
          </w:p>
        </w:tc>
        <w:tc>
          <w:tcPr>
            <w:tcW w:type="dxa" w:w="821"/>
          </w:tcPr>
          <w:p>
            <w:pPr>
              <w:pStyle w:val="null3"/>
              <w:jc w:val="right"/>
            </w:pPr>
            <w:r>
              <w:rPr>
                <w:rFonts w:ascii="仿宋_GB2312" w:hAnsi="仿宋_GB2312" w:cs="仿宋_GB2312" w:eastAsia="仿宋_GB2312"/>
              </w:rPr>
              <w:t>110.00（台）</w:t>
            </w:r>
          </w:p>
        </w:tc>
        <w:tc>
          <w:tcPr>
            <w:tcW w:type="dxa" w:w="821"/>
          </w:tcPr>
          <w:p>
            <w:pPr>
              <w:pStyle w:val="null3"/>
              <w:jc w:val="right"/>
            </w:pPr>
            <w:r>
              <w:rPr>
                <w:rFonts w:ascii="仿宋_GB2312" w:hAnsi="仿宋_GB2312" w:cs="仿宋_GB2312" w:eastAsia="仿宋_GB2312"/>
              </w:rPr>
              <w:t>407,000.00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云交换机</w:t>
            </w:r>
          </w:p>
        </w:tc>
        <w:tc>
          <w:tcPr>
            <w:tcW w:type="dxa" w:w="821"/>
          </w:tcPr>
          <w:p>
            <w:pPr>
              <w:pStyle w:val="null3"/>
              <w:jc w:val="right"/>
            </w:pPr>
            <w:r>
              <w:rPr>
                <w:rFonts w:ascii="仿宋_GB2312" w:hAnsi="仿宋_GB2312" w:cs="仿宋_GB2312" w:eastAsia="仿宋_GB2312"/>
              </w:rPr>
              <w:t>2.00（项）</w:t>
            </w:r>
          </w:p>
        </w:tc>
        <w:tc>
          <w:tcPr>
            <w:tcW w:type="dxa" w:w="821"/>
          </w:tcPr>
          <w:p>
            <w:pPr>
              <w:pStyle w:val="null3"/>
              <w:jc w:val="right"/>
            </w:pPr>
            <w:r>
              <w:rPr>
                <w:rFonts w:ascii="仿宋_GB2312" w:hAnsi="仿宋_GB2312" w:cs="仿宋_GB2312" w:eastAsia="仿宋_GB2312"/>
              </w:rPr>
              <w:t>9,600.00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强电改造</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55,662.50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弱电工改造</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61,289.70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防静电地板改造</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75,943.80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学生显示课桌</w:t>
            </w:r>
          </w:p>
        </w:tc>
        <w:tc>
          <w:tcPr>
            <w:tcW w:type="dxa" w:w="821"/>
          </w:tcPr>
          <w:p>
            <w:pPr>
              <w:pStyle w:val="null3"/>
              <w:jc w:val="right"/>
            </w:pPr>
            <w:r>
              <w:rPr>
                <w:rFonts w:ascii="仿宋_GB2312" w:hAnsi="仿宋_GB2312" w:cs="仿宋_GB2312" w:eastAsia="仿宋_GB2312"/>
              </w:rPr>
              <w:t>110.00（张）</w:t>
            </w:r>
          </w:p>
        </w:tc>
        <w:tc>
          <w:tcPr>
            <w:tcW w:type="dxa" w:w="821"/>
          </w:tcPr>
          <w:p>
            <w:pPr>
              <w:pStyle w:val="null3"/>
              <w:jc w:val="right"/>
            </w:pPr>
            <w:r>
              <w:rPr>
                <w:rFonts w:ascii="仿宋_GB2312" w:hAnsi="仿宋_GB2312" w:cs="仿宋_GB2312" w:eastAsia="仿宋_GB2312"/>
              </w:rPr>
              <w:t>366,080.00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学生座椅</w:t>
            </w:r>
          </w:p>
        </w:tc>
        <w:tc>
          <w:tcPr>
            <w:tcW w:type="dxa" w:w="821"/>
          </w:tcPr>
          <w:p>
            <w:pPr>
              <w:pStyle w:val="null3"/>
              <w:jc w:val="right"/>
            </w:pPr>
            <w:r>
              <w:rPr>
                <w:rFonts w:ascii="仿宋_GB2312" w:hAnsi="仿宋_GB2312" w:cs="仿宋_GB2312" w:eastAsia="仿宋_GB2312"/>
              </w:rPr>
              <w:t>110.00（张）</w:t>
            </w:r>
          </w:p>
        </w:tc>
        <w:tc>
          <w:tcPr>
            <w:tcW w:type="dxa" w:w="821"/>
          </w:tcPr>
          <w:p>
            <w:pPr>
              <w:pStyle w:val="null3"/>
              <w:jc w:val="right"/>
            </w:pPr>
            <w:r>
              <w:rPr>
                <w:rFonts w:ascii="仿宋_GB2312" w:hAnsi="仿宋_GB2312" w:cs="仿宋_GB2312" w:eastAsia="仿宋_GB2312"/>
              </w:rPr>
              <w:t>14,300.00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教师显示讲桌</w:t>
            </w:r>
          </w:p>
        </w:tc>
        <w:tc>
          <w:tcPr>
            <w:tcW w:type="dxa" w:w="821"/>
          </w:tcPr>
          <w:p>
            <w:pPr>
              <w:pStyle w:val="null3"/>
              <w:jc w:val="right"/>
            </w:pPr>
            <w:r>
              <w:rPr>
                <w:rFonts w:ascii="仿宋_GB2312" w:hAnsi="仿宋_GB2312" w:cs="仿宋_GB2312" w:eastAsia="仿宋_GB2312"/>
              </w:rPr>
              <w:t>1.00（张）</w:t>
            </w:r>
          </w:p>
        </w:tc>
        <w:tc>
          <w:tcPr>
            <w:tcW w:type="dxa" w:w="821"/>
          </w:tcPr>
          <w:p>
            <w:pPr>
              <w:pStyle w:val="null3"/>
              <w:jc w:val="right"/>
            </w:pPr>
            <w:r>
              <w:rPr>
                <w:rFonts w:ascii="仿宋_GB2312" w:hAnsi="仿宋_GB2312" w:cs="仿宋_GB2312" w:eastAsia="仿宋_GB2312"/>
              </w:rPr>
              <w:t>2,724.00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管理台式计算机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3,700.00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教师台式计算机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3,700.00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学生台式计算机</w:t>
            </w:r>
          </w:p>
        </w:tc>
        <w:tc>
          <w:tcPr>
            <w:tcW w:type="dxa" w:w="1138"/>
          </w:tcPr>
          <w:p>
            <w:pPr>
              <w:pStyle w:val="null3"/>
              <w:jc w:val="center"/>
            </w:pPr>
            <w:r>
              <w:rPr>
                <w:rFonts w:ascii="仿宋_GB2312" w:hAnsi="仿宋_GB2312" w:cs="仿宋_GB2312" w:eastAsia="仿宋_GB2312"/>
              </w:rPr>
              <w:t>110.00（台）</w:t>
            </w:r>
          </w:p>
        </w:tc>
        <w:tc>
          <w:tcPr>
            <w:tcW w:type="dxa" w:w="1365"/>
          </w:tcPr>
          <w:p>
            <w:pPr>
              <w:pStyle w:val="null3"/>
              <w:jc w:val="center"/>
            </w:pPr>
            <w:r>
              <w:rPr>
                <w:rFonts w:ascii="仿宋_GB2312" w:hAnsi="仿宋_GB2312" w:cs="仿宋_GB2312" w:eastAsia="仿宋_GB2312"/>
              </w:rPr>
              <w:t>407,000.00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云交换机</w:t>
            </w:r>
          </w:p>
        </w:tc>
        <w:tc>
          <w:tcPr>
            <w:tcW w:type="dxa" w:w="1138"/>
          </w:tcPr>
          <w:p>
            <w:pPr>
              <w:pStyle w:val="null3"/>
              <w:jc w:val="center"/>
            </w:pPr>
            <w:r>
              <w:rPr>
                <w:rFonts w:ascii="仿宋_GB2312" w:hAnsi="仿宋_GB2312" w:cs="仿宋_GB2312" w:eastAsia="仿宋_GB2312"/>
              </w:rPr>
              <w:t>2.00（项）</w:t>
            </w:r>
          </w:p>
        </w:tc>
        <w:tc>
          <w:tcPr>
            <w:tcW w:type="dxa" w:w="1365"/>
          </w:tcPr>
          <w:p>
            <w:pPr>
              <w:pStyle w:val="null3"/>
              <w:jc w:val="center"/>
            </w:pPr>
            <w:r>
              <w:rPr>
                <w:rFonts w:ascii="仿宋_GB2312" w:hAnsi="仿宋_GB2312" w:cs="仿宋_GB2312" w:eastAsia="仿宋_GB2312"/>
              </w:rPr>
              <w:t>9,600.00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强电改造</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55,662.50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弱电工改造</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61,289.70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防静电地板改造</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75,943.80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学生显示课桌</w:t>
            </w:r>
          </w:p>
        </w:tc>
        <w:tc>
          <w:tcPr>
            <w:tcW w:type="dxa" w:w="1138"/>
          </w:tcPr>
          <w:p>
            <w:pPr>
              <w:pStyle w:val="null3"/>
              <w:jc w:val="center"/>
            </w:pPr>
            <w:r>
              <w:rPr>
                <w:rFonts w:ascii="仿宋_GB2312" w:hAnsi="仿宋_GB2312" w:cs="仿宋_GB2312" w:eastAsia="仿宋_GB2312"/>
              </w:rPr>
              <w:t>110.00（张）</w:t>
            </w:r>
          </w:p>
        </w:tc>
        <w:tc>
          <w:tcPr>
            <w:tcW w:type="dxa" w:w="1365"/>
          </w:tcPr>
          <w:p>
            <w:pPr>
              <w:pStyle w:val="null3"/>
              <w:jc w:val="center"/>
            </w:pPr>
            <w:r>
              <w:rPr>
                <w:rFonts w:ascii="仿宋_GB2312" w:hAnsi="仿宋_GB2312" w:cs="仿宋_GB2312" w:eastAsia="仿宋_GB2312"/>
              </w:rPr>
              <w:t>366,080.00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学生座椅</w:t>
            </w:r>
          </w:p>
        </w:tc>
        <w:tc>
          <w:tcPr>
            <w:tcW w:type="dxa" w:w="1138"/>
          </w:tcPr>
          <w:p>
            <w:pPr>
              <w:pStyle w:val="null3"/>
              <w:jc w:val="center"/>
            </w:pPr>
            <w:r>
              <w:rPr>
                <w:rFonts w:ascii="仿宋_GB2312" w:hAnsi="仿宋_GB2312" w:cs="仿宋_GB2312" w:eastAsia="仿宋_GB2312"/>
              </w:rPr>
              <w:t>110.00（张）</w:t>
            </w:r>
          </w:p>
        </w:tc>
        <w:tc>
          <w:tcPr>
            <w:tcW w:type="dxa" w:w="1365"/>
          </w:tcPr>
          <w:p>
            <w:pPr>
              <w:pStyle w:val="null3"/>
              <w:jc w:val="center"/>
            </w:pPr>
            <w:r>
              <w:rPr>
                <w:rFonts w:ascii="仿宋_GB2312" w:hAnsi="仿宋_GB2312" w:cs="仿宋_GB2312" w:eastAsia="仿宋_GB2312"/>
              </w:rPr>
              <w:t>14,300.00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教师显示讲桌</w:t>
            </w:r>
          </w:p>
        </w:tc>
        <w:tc>
          <w:tcPr>
            <w:tcW w:type="dxa" w:w="1138"/>
          </w:tcPr>
          <w:p>
            <w:pPr>
              <w:pStyle w:val="null3"/>
              <w:jc w:val="center"/>
            </w:pPr>
            <w:r>
              <w:rPr>
                <w:rFonts w:ascii="仿宋_GB2312" w:hAnsi="仿宋_GB2312" w:cs="仿宋_GB2312" w:eastAsia="仿宋_GB2312"/>
              </w:rPr>
              <w:t>1.00（张）</w:t>
            </w:r>
          </w:p>
        </w:tc>
        <w:tc>
          <w:tcPr>
            <w:tcW w:type="dxa" w:w="1365"/>
          </w:tcPr>
          <w:p>
            <w:pPr>
              <w:pStyle w:val="null3"/>
              <w:jc w:val="center"/>
            </w:pPr>
            <w:r>
              <w:rPr>
                <w:rFonts w:ascii="仿宋_GB2312" w:hAnsi="仿宋_GB2312" w:cs="仿宋_GB2312" w:eastAsia="仿宋_GB2312"/>
              </w:rPr>
              <w:t>2,724.00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教师台式计算机</w:t>
            </w:r>
          </w:p>
        </w:tc>
        <w:tc>
          <w:tcPr>
            <w:tcW w:type="dxa" w:w="2492"/>
          </w:tcPr>
          <w:p>
            <w:pPr>
              <w:pStyle w:val="null3"/>
              <w:jc w:val="left"/>
            </w:pPr>
            <w:r>
              <w:rPr>
                <w:rFonts w:ascii="仿宋_GB2312" w:hAnsi="仿宋_GB2312" w:cs="仿宋_GB2312" w:eastAsia="仿宋_GB2312"/>
              </w:rPr>
              <w:t>教师台式计算机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学生台式计算机</w:t>
            </w:r>
          </w:p>
        </w:tc>
        <w:tc>
          <w:tcPr>
            <w:tcW w:type="dxa" w:w="2492"/>
          </w:tcPr>
          <w:p>
            <w:pPr>
              <w:pStyle w:val="null3"/>
              <w:jc w:val="left"/>
            </w:pPr>
            <w:r>
              <w:rPr>
                <w:rFonts w:ascii="仿宋_GB2312" w:hAnsi="仿宋_GB2312" w:cs="仿宋_GB2312" w:eastAsia="仿宋_GB2312"/>
              </w:rPr>
              <w:t>学生台式计算机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管理台式计算机</w:t>
            </w:r>
          </w:p>
        </w:tc>
        <w:tc>
          <w:tcPr>
            <w:tcW w:type="dxa" w:w="2492"/>
          </w:tcPr>
          <w:p>
            <w:pPr>
              <w:pStyle w:val="null3"/>
              <w:jc w:val="left"/>
            </w:pPr>
            <w:r>
              <w:rPr>
                <w:rFonts w:ascii="仿宋_GB2312" w:hAnsi="仿宋_GB2312" w:cs="仿宋_GB2312" w:eastAsia="仿宋_GB2312"/>
              </w:rPr>
              <w:t>台式计算机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教师台式计算机</w:t>
            </w:r>
          </w:p>
        </w:tc>
        <w:tc>
          <w:tcPr>
            <w:tcW w:type="dxa" w:w="2492"/>
          </w:tcPr>
          <w:p>
            <w:pPr>
              <w:pStyle w:val="null3"/>
              <w:jc w:val="left"/>
            </w:pPr>
            <w:r>
              <w:rPr>
                <w:rFonts w:ascii="仿宋_GB2312" w:hAnsi="仿宋_GB2312" w:cs="仿宋_GB2312" w:eastAsia="仿宋_GB2312"/>
              </w:rPr>
              <w:t>台式计算机</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学生台式计算机</w:t>
            </w:r>
          </w:p>
        </w:tc>
        <w:tc>
          <w:tcPr>
            <w:tcW w:type="dxa" w:w="2492"/>
          </w:tcPr>
          <w:p>
            <w:pPr>
              <w:pStyle w:val="null3"/>
              <w:jc w:val="left"/>
            </w:pPr>
            <w:r>
              <w:rPr>
                <w:rFonts w:ascii="仿宋_GB2312" w:hAnsi="仿宋_GB2312" w:cs="仿宋_GB2312" w:eastAsia="仿宋_GB2312"/>
              </w:rPr>
              <w:t>台式计算机</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学生显示课桌</w:t>
            </w:r>
          </w:p>
        </w:tc>
        <w:tc>
          <w:tcPr>
            <w:tcW w:type="dxa" w:w="2492"/>
          </w:tcPr>
          <w:p>
            <w:pPr>
              <w:pStyle w:val="null3"/>
              <w:jc w:val="left"/>
            </w:pPr>
            <w:r>
              <w:rPr>
                <w:rFonts w:ascii="仿宋_GB2312" w:hAnsi="仿宋_GB2312" w:cs="仿宋_GB2312" w:eastAsia="仿宋_GB2312"/>
              </w:rPr>
              <w:t>显示器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教师显示讲桌</w:t>
            </w:r>
          </w:p>
        </w:tc>
        <w:tc>
          <w:tcPr>
            <w:tcW w:type="dxa" w:w="2492"/>
          </w:tcPr>
          <w:p>
            <w:pPr>
              <w:pStyle w:val="null3"/>
              <w:jc w:val="left"/>
            </w:pPr>
            <w:r>
              <w:rPr>
                <w:rFonts w:ascii="仿宋_GB2312" w:hAnsi="仿宋_GB2312" w:cs="仿宋_GB2312" w:eastAsia="仿宋_GB2312"/>
              </w:rPr>
              <w:t>显示器</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强电改造</w:t>
            </w:r>
          </w:p>
        </w:tc>
        <w:tc>
          <w:tcPr>
            <w:tcW w:type="dxa" w:w="2492"/>
          </w:tcPr>
          <w:p>
            <w:pPr>
              <w:pStyle w:val="null3"/>
              <w:jc w:val="left"/>
            </w:pPr>
            <w:r>
              <w:rPr>
                <w:rFonts w:ascii="仿宋_GB2312" w:hAnsi="仿宋_GB2312" w:cs="仿宋_GB2312" w:eastAsia="仿宋_GB2312"/>
              </w:rPr>
              <w:t>教师灯、黑板灯、讲台灯</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管理台式计算机</w:t>
            </w:r>
          </w:p>
        </w:tc>
        <w:tc>
          <w:tcPr>
            <w:tcW w:type="dxa" w:w="2492"/>
          </w:tcPr>
          <w:p>
            <w:pPr>
              <w:pStyle w:val="null3"/>
              <w:jc w:val="left"/>
            </w:pPr>
            <w:r>
              <w:rPr>
                <w:rFonts w:ascii="仿宋_GB2312" w:hAnsi="仿宋_GB2312" w:cs="仿宋_GB2312" w:eastAsia="仿宋_GB2312"/>
              </w:rPr>
              <w:t>台式计算机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教师台式计算机</w:t>
            </w:r>
          </w:p>
        </w:tc>
        <w:tc>
          <w:tcPr>
            <w:tcW w:type="dxa" w:w="2492"/>
          </w:tcPr>
          <w:p>
            <w:pPr>
              <w:pStyle w:val="null3"/>
              <w:jc w:val="left"/>
            </w:pPr>
            <w:r>
              <w:rPr>
                <w:rFonts w:ascii="仿宋_GB2312" w:hAnsi="仿宋_GB2312" w:cs="仿宋_GB2312" w:eastAsia="仿宋_GB2312"/>
              </w:rPr>
              <w:t>台式计算机</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学生台式计算机</w:t>
            </w:r>
          </w:p>
        </w:tc>
        <w:tc>
          <w:tcPr>
            <w:tcW w:type="dxa" w:w="2492"/>
          </w:tcPr>
          <w:p>
            <w:pPr>
              <w:pStyle w:val="null3"/>
              <w:jc w:val="left"/>
            </w:pPr>
            <w:r>
              <w:rPr>
                <w:rFonts w:ascii="仿宋_GB2312" w:hAnsi="仿宋_GB2312" w:cs="仿宋_GB2312" w:eastAsia="仿宋_GB2312"/>
              </w:rPr>
              <w:t>台式计算机</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强电改造</w:t>
            </w:r>
          </w:p>
        </w:tc>
        <w:tc>
          <w:tcPr>
            <w:tcW w:type="dxa" w:w="2492"/>
          </w:tcPr>
          <w:p>
            <w:pPr>
              <w:pStyle w:val="null3"/>
              <w:jc w:val="left"/>
            </w:pPr>
            <w:r>
              <w:rPr>
                <w:rFonts w:ascii="仿宋_GB2312" w:hAnsi="仿宋_GB2312" w:cs="仿宋_GB2312" w:eastAsia="仿宋_GB2312"/>
              </w:rPr>
              <w:t>教室灯、黑板灯、讲台灯</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弱电工改造</w:t>
            </w:r>
          </w:p>
        </w:tc>
        <w:tc>
          <w:tcPr>
            <w:tcW w:type="dxa" w:w="2492"/>
          </w:tcPr>
          <w:p>
            <w:pPr>
              <w:pStyle w:val="null3"/>
              <w:jc w:val="left"/>
            </w:pPr>
            <w:r>
              <w:rPr>
                <w:rFonts w:ascii="仿宋_GB2312" w:hAnsi="仿宋_GB2312" w:cs="仿宋_GB2312" w:eastAsia="仿宋_GB2312"/>
              </w:rPr>
              <w:t>PVC线管</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防静电地板改造</w:t>
            </w:r>
          </w:p>
        </w:tc>
        <w:tc>
          <w:tcPr>
            <w:tcW w:type="dxa" w:w="2492"/>
          </w:tcPr>
          <w:p>
            <w:pPr>
              <w:pStyle w:val="null3"/>
              <w:jc w:val="left"/>
            </w:pPr>
            <w:r>
              <w:rPr>
                <w:rFonts w:ascii="仿宋_GB2312" w:hAnsi="仿宋_GB2312" w:cs="仿宋_GB2312" w:eastAsia="仿宋_GB2312"/>
              </w:rPr>
              <w:t>腻子膏、乳胶漆、钢质防火门、水泥</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学生显示课桌</w:t>
            </w:r>
          </w:p>
        </w:tc>
        <w:tc>
          <w:tcPr>
            <w:tcW w:type="dxa" w:w="2492"/>
          </w:tcPr>
          <w:p>
            <w:pPr>
              <w:pStyle w:val="null3"/>
              <w:jc w:val="left"/>
            </w:pPr>
            <w:r>
              <w:rPr>
                <w:rFonts w:ascii="仿宋_GB2312" w:hAnsi="仿宋_GB2312" w:cs="仿宋_GB2312" w:eastAsia="仿宋_GB2312"/>
              </w:rPr>
              <w:t>课桌</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学生座椅</w:t>
            </w:r>
          </w:p>
        </w:tc>
        <w:tc>
          <w:tcPr>
            <w:tcW w:type="dxa" w:w="2492"/>
          </w:tcPr>
          <w:p>
            <w:pPr>
              <w:pStyle w:val="null3"/>
              <w:jc w:val="left"/>
            </w:pPr>
            <w:r>
              <w:rPr>
                <w:rFonts w:ascii="仿宋_GB2312" w:hAnsi="仿宋_GB2312" w:cs="仿宋_GB2312" w:eastAsia="仿宋_GB2312"/>
              </w:rPr>
              <w:t>座椅</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教师显示讲桌</w:t>
            </w:r>
          </w:p>
        </w:tc>
        <w:tc>
          <w:tcPr>
            <w:tcW w:type="dxa" w:w="2492"/>
          </w:tcPr>
          <w:p>
            <w:pPr>
              <w:pStyle w:val="null3"/>
              <w:jc w:val="left"/>
            </w:pPr>
            <w:r>
              <w:rPr>
                <w:rFonts w:ascii="仿宋_GB2312" w:hAnsi="仿宋_GB2312" w:cs="仿宋_GB2312" w:eastAsia="仿宋_GB2312"/>
              </w:rPr>
              <w:t>讲桌</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标的名称：管理台式计算机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管理台式计算机</w:t>
            </w:r>
          </w:p>
        </w:tc>
        <w:tc>
          <w:tcPr>
            <w:tcW w:type="dxa" w:w="5814"/>
          </w:tcPr>
          <w:p>
            <w:pPr>
              <w:pStyle w:val="null3"/>
              <w:spacing w:before="105" w:after="105"/>
              <w:jc w:val="left"/>
            </w:pPr>
            <w:r>
              <w:rPr>
                <w:rFonts w:ascii="仿宋_GB2312" w:hAnsi="仿宋_GB2312" w:cs="仿宋_GB2312" w:eastAsia="仿宋_GB2312"/>
                <w:sz w:val="21"/>
              </w:rPr>
              <w:t>★1.CPU：要求使用CPU，核心不少于8个，主频不低于2.7GHz;内存：≥16G DDR4;硬盘：≥512GB M.2;显示输出：具备HDMI 2.0;有线网络：RJ45≥1， 支持10/100/1000Mbps; IO接口：Type-C≥1，USB2.0≥4，USB3.2≥2，耳机接口≥1 ，麦克风接口≥1</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、机箱尺寸</w:t>
            </w:r>
            <w:r>
              <w:rPr>
                <w:rFonts w:ascii="仿宋_GB2312" w:hAnsi="仿宋_GB2312" w:cs="仿宋_GB2312" w:eastAsia="仿宋_GB2312"/>
                <w:sz w:val="21"/>
              </w:rPr>
              <w:t>≤189*184*37mm</w:t>
            </w:r>
          </w:p>
          <w:p>
            <w:pPr>
              <w:pStyle w:val="null3"/>
              <w:spacing w:before="105" w:after="105"/>
              <w:jc w:val="left"/>
            </w:pPr>
            <w:r>
              <w:rPr>
                <w:rFonts w:ascii="仿宋_GB2312" w:hAnsi="仿宋_GB2312" w:cs="仿宋_GB2312" w:eastAsia="仿宋_GB2312"/>
                <w:sz w:val="21"/>
              </w:rPr>
              <w:t xml:space="preserve">3. </w:t>
            </w:r>
            <w:r>
              <w:rPr>
                <w:rFonts w:ascii="仿宋_GB2312" w:hAnsi="仿宋_GB2312" w:cs="仿宋_GB2312" w:eastAsia="仿宋_GB2312"/>
                <w:sz w:val="21"/>
              </w:rPr>
              <w:t>提供集中控制功能，可连接所有学生课桌，用于控制学生课桌屏幕的翻转或升降；控制器采用</w:t>
            </w:r>
            <w:r>
              <w:rPr>
                <w:rFonts w:ascii="仿宋_GB2312" w:hAnsi="仿宋_GB2312" w:cs="仿宋_GB2312" w:eastAsia="仿宋_GB2312"/>
                <w:sz w:val="21"/>
              </w:rPr>
              <w:t>4英寸ISP窄边超薄全面屏，分辨率不低于720×720，面板厚度不高于6mm；全贴合多点电容式触控屏幕,支持手势操控</w:t>
            </w:r>
            <w:r>
              <w:rPr>
                <w:rFonts w:ascii="仿宋_GB2312" w:hAnsi="仿宋_GB2312" w:cs="仿宋_GB2312" w:eastAsia="仿宋_GB2312"/>
                <w:sz w:val="21"/>
              </w:rPr>
              <w:t>。</w:t>
            </w:r>
          </w:p>
          <w:p>
            <w:pPr>
              <w:pStyle w:val="null3"/>
              <w:spacing w:before="105" w:after="105"/>
              <w:jc w:val="left"/>
            </w:pPr>
            <w:r>
              <w:rPr>
                <w:rFonts w:ascii="仿宋_GB2312" w:hAnsi="仿宋_GB2312" w:cs="仿宋_GB2312" w:eastAsia="仿宋_GB2312"/>
                <w:sz w:val="21"/>
              </w:rPr>
              <w:t>4.管理平台采用B/S架构，中文图形化操作界面，通过浏览器即可管理云桌面终端设备；支持终端批量配置，通过管理平台批量修改终端设备的计算机名、IP地址、分辨率、时间同步等设置。（提供此功能界面截图证明）</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5.为满足国产化系统要求，云桌面管理平台支持在</w:t>
            </w:r>
            <w:r>
              <w:rPr>
                <w:rFonts w:ascii="仿宋_GB2312" w:hAnsi="仿宋_GB2312" w:cs="仿宋_GB2312" w:eastAsia="仿宋_GB2312"/>
                <w:sz w:val="21"/>
              </w:rPr>
              <w:t>国产系统搭建，</w:t>
            </w:r>
            <w:r>
              <w:rPr>
                <w:rFonts w:ascii="仿宋_GB2312" w:hAnsi="仿宋_GB2312" w:cs="仿宋_GB2312" w:eastAsia="仿宋_GB2312"/>
                <w:sz w:val="21"/>
              </w:rPr>
              <w:t>满足国家考试系统</w:t>
            </w:r>
            <w:r>
              <w:rPr>
                <w:rFonts w:ascii="仿宋_GB2312" w:hAnsi="仿宋_GB2312" w:cs="仿宋_GB2312" w:eastAsia="仿宋_GB2312"/>
                <w:sz w:val="21"/>
              </w:rPr>
              <w:t>要求</w:t>
            </w:r>
            <w:r>
              <w:rPr>
                <w:rFonts w:ascii="仿宋_GB2312" w:hAnsi="仿宋_GB2312" w:cs="仿宋_GB2312" w:eastAsia="仿宋_GB2312"/>
                <w:sz w:val="21"/>
              </w:rPr>
              <w:t>支持对终端的操作系统镜像生成与统一分发管理。（提供此功能界面截图证明）</w:t>
            </w:r>
          </w:p>
          <w:p>
            <w:pPr>
              <w:pStyle w:val="null3"/>
              <w:jc w:val="both"/>
            </w:pPr>
            <w:r>
              <w:rPr>
                <w:rFonts w:ascii="仿宋_GB2312" w:hAnsi="仿宋_GB2312" w:cs="仿宋_GB2312" w:eastAsia="仿宋_GB2312"/>
                <w:sz w:val="21"/>
              </w:rPr>
              <w:t>6.支持桌面高可用，即终端设备在运行桌面时网络中断或管理平台连接中断时，正在操作的教学业务不受影响，依然可使用当前云桌面镜像继续开</w:t>
            </w:r>
            <w:r>
              <w:rPr>
                <w:rFonts w:ascii="仿宋_GB2312" w:hAnsi="仿宋_GB2312" w:cs="仿宋_GB2312" w:eastAsia="仿宋_GB2312"/>
                <w:sz w:val="21"/>
              </w:rPr>
              <w:t>展业务，打开的程序也不会中断，保障业务连续性。</w:t>
            </w:r>
          </w:p>
          <w:p>
            <w:pPr>
              <w:pStyle w:val="null3"/>
              <w:spacing w:before="105" w:after="105"/>
              <w:jc w:val="left"/>
            </w:pPr>
            <w:r>
              <w:rPr>
                <w:rFonts w:ascii="仿宋_GB2312" w:hAnsi="仿宋_GB2312" w:cs="仿宋_GB2312" w:eastAsia="仿宋_GB2312"/>
                <w:sz w:val="21"/>
              </w:rPr>
              <w:t>7.可远程设置终端默认启动的云桌面镜像，支持同时为批量设备设置默认启动的云桌面镜像，可通过管理平台指定启动镜像且多个镜像系统环境可快速切换，支持为相同分组下或批量选中的不同型号的设备分别指定切换启动的镜像，无镜像切换数量限制。</w:t>
            </w:r>
          </w:p>
          <w:p>
            <w:pPr>
              <w:pStyle w:val="null3"/>
              <w:spacing w:before="105" w:after="105"/>
              <w:jc w:val="left"/>
            </w:pPr>
            <w:r>
              <w:rPr>
                <w:rFonts w:ascii="仿宋_GB2312" w:hAnsi="仿宋_GB2312" w:cs="仿宋_GB2312" w:eastAsia="仿宋_GB2312"/>
                <w:sz w:val="21"/>
              </w:rPr>
              <w:t>▲8.支持在镜像下发时进行组内网络探测与网速传输测试以确保网络达到最佳可用状态；可检测终端的TCP、UDP 、HTTP等网络协议端口是否被异常占用以确保云桌面环境的正常使用。（提供此功能界面截图证明）</w:t>
            </w:r>
          </w:p>
          <w:p>
            <w:pPr>
              <w:pStyle w:val="null3"/>
              <w:spacing w:before="105" w:after="105"/>
              <w:jc w:val="left"/>
            </w:pPr>
            <w:r>
              <w:rPr>
                <w:rFonts w:ascii="仿宋_GB2312" w:hAnsi="仿宋_GB2312" w:cs="仿宋_GB2312" w:eastAsia="仿宋_GB2312"/>
                <w:sz w:val="21"/>
              </w:rPr>
              <w:t>▲9.可通过管理平台进行唤醒、关机、重启、远程查看、控制、命令、配置更改、切换镜像、外设管控、硬件信息查看看等功能。（提供此功能界面截图证明）</w:t>
            </w:r>
          </w:p>
          <w:p>
            <w:pPr>
              <w:pStyle w:val="null3"/>
              <w:spacing w:before="105" w:after="105"/>
              <w:jc w:val="left"/>
            </w:pPr>
            <w:r>
              <w:rPr>
                <w:rFonts w:ascii="仿宋_GB2312" w:hAnsi="仿宋_GB2312" w:cs="仿宋_GB2312" w:eastAsia="仿宋_GB2312"/>
                <w:sz w:val="21"/>
              </w:rPr>
              <w:t>▲10.支持更新镜像时锁定终端屏幕和更新时隐藏下载窗口；支持系统镜像下发后自动执行关机、重启等操作。（提供此功能界面截图证明）</w:t>
            </w:r>
          </w:p>
          <w:p>
            <w:pPr>
              <w:pStyle w:val="null3"/>
              <w:spacing w:before="105" w:after="105"/>
              <w:jc w:val="left"/>
            </w:pPr>
            <w:r>
              <w:rPr>
                <w:rFonts w:ascii="仿宋_GB2312" w:hAnsi="仿宋_GB2312" w:cs="仿宋_GB2312" w:eastAsia="仿宋_GB2312"/>
                <w:sz w:val="21"/>
              </w:rPr>
              <w:t>▲11.支持硬件资产管理：收集平台中所有云桌面终端的硬件配置与状态信息，包括终端名称、主板型号、CPU型号、内存容量、最近运行时间、合计运行时间、硬件变更和记录信息等；支持平台收集所有终端的运行状态信息，包含但不限于终端名称、CPU温度、开机时间、硬盘信息等。（提供此功能界面截图证明）</w:t>
            </w:r>
          </w:p>
          <w:p>
            <w:pPr>
              <w:pStyle w:val="null3"/>
              <w:spacing w:before="105" w:after="105"/>
              <w:jc w:val="left"/>
            </w:pPr>
            <w:r>
              <w:rPr>
                <w:rFonts w:ascii="仿宋_GB2312" w:hAnsi="仿宋_GB2312" w:cs="仿宋_GB2312" w:eastAsia="仿宋_GB2312"/>
                <w:sz w:val="21"/>
              </w:rPr>
              <w:t>12.支持平台收集所有终端的软件信息，包含但不限于程序名称、运行次数、运行时长、版本、程序大小等。</w:t>
            </w:r>
          </w:p>
          <w:p>
            <w:pPr>
              <w:pStyle w:val="null3"/>
              <w:spacing w:before="105" w:after="105"/>
              <w:jc w:val="left"/>
            </w:pPr>
            <w:r>
              <w:rPr>
                <w:rFonts w:ascii="仿宋_GB2312" w:hAnsi="仿宋_GB2312" w:cs="仿宋_GB2312" w:eastAsia="仿宋_GB2312"/>
                <w:sz w:val="21"/>
              </w:rPr>
              <w:t>▲13.可通过配置IO服务器的方式在网络带宽不佳时，将主服务器内镜像提前下发至IO服务器，通过IO服务器分发镜像，实现数据分流，提升局域网内镜像的更新速度。(提供此功能界面截图证明）</w:t>
            </w:r>
          </w:p>
          <w:p>
            <w:pPr>
              <w:pStyle w:val="null3"/>
              <w:spacing w:before="105" w:after="105"/>
              <w:jc w:val="left"/>
            </w:pPr>
            <w:r>
              <w:rPr>
                <w:rFonts w:ascii="仿宋_GB2312" w:hAnsi="仿宋_GB2312" w:cs="仿宋_GB2312" w:eastAsia="仿宋_GB2312"/>
                <w:sz w:val="21"/>
              </w:rPr>
              <w:t>▲14.云桌面提供网盘功能即支持用户在终端登录网盘，实现数据漫游与数据共享；支持用户将网盘中的文件分享给其他用户，其他用户可通过链接和提取码查看文件。（提供此功能界面截图证明）</w:t>
            </w:r>
          </w:p>
          <w:p>
            <w:pPr>
              <w:pStyle w:val="null3"/>
              <w:spacing w:before="105" w:after="105"/>
              <w:jc w:val="left"/>
            </w:pPr>
            <w:r>
              <w:rPr>
                <w:rFonts w:ascii="仿宋_GB2312" w:hAnsi="仿宋_GB2312" w:cs="仿宋_GB2312" w:eastAsia="仿宋_GB2312"/>
                <w:sz w:val="21"/>
              </w:rPr>
              <w:t>15.为提升学校管理效率，软件管理平台支持批量管理终端计算机名、IP地址、分辨率、时间同步等配置信息，同时支持针对不同的终端群组设置不同的安全管控策略。</w:t>
            </w:r>
          </w:p>
          <w:p>
            <w:pPr>
              <w:pStyle w:val="null3"/>
              <w:spacing w:before="105" w:after="105"/>
              <w:jc w:val="left"/>
            </w:pPr>
            <w:r>
              <w:rPr>
                <w:rFonts w:ascii="仿宋_GB2312" w:hAnsi="仿宋_GB2312" w:cs="仿宋_GB2312" w:eastAsia="仿宋_GB2312"/>
                <w:sz w:val="21"/>
              </w:rPr>
              <w:t>16.为了提升机房的统一部署与更新时间，减少老师的操作步骤与等待时间，支持镜像下发时的策略设置，更新镜像时锁定终端屏幕和更新时隐藏下载窗口；支持系统镜像下发后自动执行关机、重启等操作。（提供此功能界面截图证明）</w:t>
            </w:r>
          </w:p>
          <w:p>
            <w:pPr>
              <w:pStyle w:val="null3"/>
              <w:spacing w:before="105" w:after="105"/>
              <w:jc w:val="left"/>
            </w:pPr>
            <w:r>
              <w:rPr>
                <w:rFonts w:ascii="仿宋_GB2312" w:hAnsi="仿宋_GB2312" w:cs="仿宋_GB2312" w:eastAsia="仿宋_GB2312"/>
                <w:sz w:val="21"/>
              </w:rPr>
              <w:t>17.要求提供对应云桌面产品的软件著作权证书。（需提供证书复印件并加盖公章）。</w:t>
            </w:r>
          </w:p>
          <w:p>
            <w:pPr>
              <w:pStyle w:val="null3"/>
              <w:spacing w:before="105" w:after="105"/>
              <w:jc w:val="left"/>
            </w:pPr>
            <w:r>
              <w:rPr>
                <w:rFonts w:ascii="仿宋_GB2312" w:hAnsi="仿宋_GB2312" w:cs="仿宋_GB2312" w:eastAsia="仿宋_GB2312"/>
                <w:sz w:val="21"/>
              </w:rPr>
              <w:t>▲18.</w:t>
            </w:r>
            <w:r>
              <w:rPr>
                <w:rFonts w:ascii="仿宋_GB2312" w:hAnsi="仿宋_GB2312" w:cs="仿宋_GB2312" w:eastAsia="仿宋_GB2312"/>
                <w:sz w:val="21"/>
              </w:rPr>
              <w:t>要求所投产品中所包含的终端、显示器、云桌面相关软件、电子教室或教学相关软件</w:t>
            </w:r>
            <w:r>
              <w:rPr>
                <w:rFonts w:ascii="仿宋_GB2312" w:hAnsi="仿宋_GB2312" w:cs="仿宋_GB2312" w:eastAsia="仿宋_GB2312"/>
                <w:sz w:val="21"/>
              </w:rPr>
              <w:t>具有兼容性</w:t>
            </w:r>
            <w:r>
              <w:rPr>
                <w:rFonts w:ascii="仿宋_GB2312" w:hAnsi="仿宋_GB2312" w:cs="仿宋_GB2312" w:eastAsia="仿宋_GB2312"/>
                <w:sz w:val="21"/>
              </w:rPr>
              <w:t>。</w:t>
            </w:r>
          </w:p>
          <w:p>
            <w:pPr>
              <w:pStyle w:val="null3"/>
              <w:spacing w:before="105" w:after="105"/>
              <w:jc w:val="left"/>
            </w:pPr>
            <w:r>
              <w:rPr>
                <w:rFonts w:ascii="仿宋_GB2312" w:hAnsi="仿宋_GB2312" w:cs="仿宋_GB2312" w:eastAsia="仿宋_GB2312"/>
                <w:sz w:val="21"/>
              </w:rPr>
              <w:t>19.为满足学校各类考试需求，包括但不限于国家计算机一、二级等级考试、社会职称考试等，支持ATA、NCRE等考试模式，支持设置考试专属镜像并在考试开始前将考试镜像设置为隐藏模式，不被破坏。为方便后期溯源备查考试结果并可快速进入下一场考试，支持管理员自定义保留考试桌面保留的周期时间，即在保留学生完整桌面、系统环境、文件数据的同时，可快速部署下一场考试桌面。</w:t>
            </w:r>
          </w:p>
          <w:p>
            <w:pPr>
              <w:pStyle w:val="null3"/>
              <w:spacing w:before="105" w:after="105"/>
              <w:jc w:val="left"/>
            </w:pPr>
            <w:r>
              <w:rPr>
                <w:rFonts w:ascii="仿宋_GB2312" w:hAnsi="仿宋_GB2312" w:cs="仿宋_GB2312" w:eastAsia="仿宋_GB2312"/>
                <w:sz w:val="21"/>
              </w:rPr>
              <w:t>▲20.为方便学校掌握终端硬件运行情况，支持平台收集所有终端的运行状态信息，包含但不限于终端名称、CPU温度、开机时间、硬盘信息等。（提供此功能界面截图证明）</w:t>
            </w:r>
          </w:p>
          <w:p>
            <w:pPr>
              <w:pStyle w:val="null3"/>
              <w:spacing w:before="105" w:after="105"/>
              <w:jc w:val="left"/>
            </w:pPr>
            <w:r>
              <w:rPr>
                <w:rFonts w:ascii="仿宋_GB2312" w:hAnsi="仿宋_GB2312" w:cs="仿宋_GB2312" w:eastAsia="仿宋_GB2312"/>
                <w:sz w:val="21"/>
              </w:rPr>
              <w:t>★21.提供</w:t>
            </w:r>
            <w:r>
              <w:rPr>
                <w:rFonts w:ascii="仿宋_GB2312" w:hAnsi="仿宋_GB2312" w:cs="仿宋_GB2312" w:eastAsia="仿宋_GB2312"/>
                <w:sz w:val="21"/>
              </w:rPr>
              <w:t>为期三年的质保服务。</w:t>
            </w:r>
          </w:p>
          <w:p>
            <w:pPr>
              <w:pStyle w:val="null3"/>
              <w:spacing w:before="105" w:after="105"/>
              <w:jc w:val="left"/>
            </w:pPr>
            <w:r>
              <w:rPr>
                <w:rFonts w:ascii="仿宋_GB2312" w:hAnsi="仿宋_GB2312" w:cs="仿宋_GB2312" w:eastAsia="仿宋_GB2312"/>
                <w:sz w:val="21"/>
              </w:rPr>
              <w:t>22.所配套软件均需提供软件著作权证书。</w:t>
            </w:r>
            <w:r>
              <w:rPr>
                <w:rFonts w:ascii="仿宋_GB2312" w:hAnsi="仿宋_GB2312" w:cs="仿宋_GB2312" w:eastAsia="仿宋_GB2312"/>
                <w:sz w:val="21"/>
              </w:rPr>
              <w:t>（提供证明材料）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23.设备总体要求：所有台式计算机技术参数需满足财政部、工业和信息化部的《台式计算机政府采购需求标准（2023年版）》中其他带“*”项技术指标要求（提供承诺函，加盖供应商公章）；  </w:t>
            </w:r>
          </w:p>
        </w:tc>
      </w:tr>
    </w:tbl>
    <w:p>
      <w:pPr>
        <w:pStyle w:val="null3"/>
        <w:jc w:val="left"/>
      </w:pPr>
      <w:r>
        <w:rPr>
          <w:rFonts w:ascii="仿宋_GB2312" w:hAnsi="仿宋_GB2312" w:cs="仿宋_GB2312" w:eastAsia="仿宋_GB2312"/>
        </w:rPr>
        <w:t>标的名称：教师台式计算机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教师台式计算机</w:t>
            </w:r>
          </w:p>
        </w:tc>
        <w:tc>
          <w:tcPr>
            <w:tcW w:type="dxa" w:w="5814"/>
          </w:tcPr>
          <w:p>
            <w:pPr>
              <w:pStyle w:val="null3"/>
              <w:spacing w:before="105" w:after="105"/>
              <w:ind w:firstLine="350"/>
              <w:jc w:val="left"/>
            </w:pPr>
            <w:r>
              <w:rPr>
                <w:rFonts w:ascii="仿宋_GB2312" w:hAnsi="仿宋_GB2312" w:cs="仿宋_GB2312" w:eastAsia="仿宋_GB2312"/>
                <w:sz w:val="21"/>
              </w:rPr>
              <w:t>★1.</w:t>
            </w:r>
            <w:r>
              <w:rPr>
                <w:rFonts w:ascii="仿宋_GB2312" w:hAnsi="仿宋_GB2312" w:cs="仿宋_GB2312" w:eastAsia="仿宋_GB2312"/>
                <w:sz w:val="21"/>
              </w:rPr>
              <w:t>机箱尺寸</w:t>
            </w:r>
            <w:r>
              <w:rPr>
                <w:rFonts w:ascii="仿宋_GB2312" w:hAnsi="仿宋_GB2312" w:cs="仿宋_GB2312" w:eastAsia="仿宋_GB2312"/>
                <w:sz w:val="21"/>
              </w:rPr>
              <w:t>≤189*184*37mm；</w:t>
            </w:r>
          </w:p>
          <w:p>
            <w:pPr>
              <w:pStyle w:val="null3"/>
              <w:spacing w:before="105" w:after="105"/>
              <w:ind w:firstLine="350"/>
              <w:jc w:val="left"/>
            </w:pPr>
            <w:r>
              <w:rPr>
                <w:rFonts w:ascii="仿宋_GB2312" w:hAnsi="仿宋_GB2312" w:cs="仿宋_GB2312" w:eastAsia="仿宋_GB2312"/>
                <w:sz w:val="21"/>
              </w:rPr>
              <w:t>★</w:t>
            </w:r>
            <w:r>
              <w:rPr>
                <w:rFonts w:ascii="仿宋_GB2312" w:hAnsi="仿宋_GB2312" w:cs="仿宋_GB2312" w:eastAsia="仿宋_GB2312"/>
                <w:sz w:val="21"/>
              </w:rPr>
              <w:t>2.算力终端要求：CPU：要求使用CPU，核心不少于8个，主频</w:t>
            </w:r>
            <w:r>
              <w:rPr>
                <w:rFonts w:ascii="仿宋_GB2312" w:hAnsi="仿宋_GB2312" w:cs="仿宋_GB2312" w:eastAsia="仿宋_GB2312"/>
                <w:sz w:val="24"/>
              </w:rPr>
              <w:t>≥</w:t>
            </w:r>
            <w:r>
              <w:rPr>
                <w:rFonts w:ascii="仿宋_GB2312" w:hAnsi="仿宋_GB2312" w:cs="仿宋_GB2312" w:eastAsia="仿宋_GB2312"/>
                <w:sz w:val="21"/>
              </w:rPr>
              <w:t>2.7GHz;内存：≥16G DDR4;硬盘：≥512GB M.2;显示输出：具备HDMI 2.0;有线网络：RJ45≥1， 支持</w:t>
            </w:r>
            <w:r>
              <w:rPr>
                <w:rFonts w:ascii="仿宋_GB2312" w:hAnsi="仿宋_GB2312" w:cs="仿宋_GB2312" w:eastAsia="仿宋_GB2312"/>
                <w:sz w:val="21"/>
              </w:rPr>
              <w:t>10/100/1000Mbps; IO接口：Type-C≥1，USB2.0≥4，USB3.2≥2，耳机接口≥1 ，麦克风接口≥1。</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3.提供为期三年的</w:t>
            </w:r>
            <w:r>
              <w:rPr>
                <w:rFonts w:ascii="仿宋_GB2312" w:hAnsi="仿宋_GB2312" w:cs="仿宋_GB2312" w:eastAsia="仿宋_GB2312"/>
                <w:sz w:val="21"/>
              </w:rPr>
              <w:t>质保服务。</w:t>
            </w:r>
          </w:p>
          <w:p>
            <w:pPr>
              <w:pStyle w:val="null3"/>
              <w:spacing w:before="105" w:after="105"/>
              <w:ind w:firstLine="350"/>
              <w:jc w:val="left"/>
            </w:pPr>
            <w:r>
              <w:rPr>
                <w:rFonts w:ascii="仿宋_GB2312" w:hAnsi="仿宋_GB2312" w:cs="仿宋_GB2312" w:eastAsia="仿宋_GB2312"/>
                <w:sz w:val="21"/>
              </w:rPr>
              <w:t>▲</w:t>
            </w:r>
            <w:r>
              <w:rPr>
                <w:rFonts w:ascii="仿宋_GB2312" w:hAnsi="仿宋_GB2312" w:cs="仿宋_GB2312" w:eastAsia="仿宋_GB2312"/>
                <w:sz w:val="21"/>
              </w:rPr>
              <w:t>4.支持用户自主报障功能，即当</w:t>
            </w:r>
            <w:r>
              <w:rPr>
                <w:rFonts w:ascii="仿宋_GB2312" w:hAnsi="仿宋_GB2312" w:cs="仿宋_GB2312" w:eastAsia="仿宋_GB2312"/>
                <w:sz w:val="21"/>
              </w:rPr>
              <w:t>学生</w:t>
            </w:r>
            <w:r>
              <w:rPr>
                <w:rFonts w:ascii="仿宋_GB2312" w:hAnsi="仿宋_GB2312" w:cs="仿宋_GB2312" w:eastAsia="仿宋_GB2312"/>
                <w:sz w:val="21"/>
              </w:rPr>
              <w:t>终端</w:t>
            </w:r>
            <w:r>
              <w:rPr>
                <w:rFonts w:ascii="仿宋_GB2312" w:hAnsi="仿宋_GB2312" w:cs="仿宋_GB2312" w:eastAsia="仿宋_GB2312"/>
                <w:sz w:val="21"/>
              </w:rPr>
              <w:t>遇到故障时，用户可将故障说明提交至管理平台，管理员可通过管理平台进行远程协助排除故障。</w:t>
            </w:r>
            <w:r>
              <w:rPr>
                <w:rFonts w:ascii="仿宋_GB2312" w:hAnsi="仿宋_GB2312" w:cs="仿宋_GB2312" w:eastAsia="仿宋_GB2312"/>
                <w:sz w:val="21"/>
              </w:rPr>
              <w:t>(提供此功能界面截图证明）</w:t>
            </w:r>
          </w:p>
          <w:p>
            <w:pPr>
              <w:pStyle w:val="null3"/>
              <w:spacing w:before="105" w:after="105"/>
              <w:ind w:firstLine="350"/>
              <w:jc w:val="left"/>
            </w:pPr>
            <w:r>
              <w:rPr>
                <w:rFonts w:ascii="仿宋_GB2312" w:hAnsi="仿宋_GB2312" w:cs="仿宋_GB2312" w:eastAsia="仿宋_GB2312"/>
                <w:sz w:val="21"/>
              </w:rPr>
              <w:t>▲</w:t>
            </w:r>
            <w:r>
              <w:rPr>
                <w:rFonts w:ascii="仿宋_GB2312" w:hAnsi="仿宋_GB2312" w:cs="仿宋_GB2312" w:eastAsia="仿宋_GB2312"/>
                <w:sz w:val="21"/>
              </w:rPr>
              <w:t>5.支持</w:t>
            </w:r>
            <w:r>
              <w:rPr>
                <w:rFonts w:ascii="仿宋_GB2312" w:hAnsi="仿宋_GB2312" w:cs="仿宋_GB2312" w:eastAsia="仿宋_GB2312"/>
                <w:sz w:val="24"/>
              </w:rPr>
              <w:t>主流操作</w:t>
            </w:r>
            <w:r>
              <w:rPr>
                <w:rFonts w:ascii="仿宋_GB2312" w:hAnsi="仿宋_GB2312" w:cs="仿宋_GB2312" w:eastAsia="仿宋_GB2312"/>
                <w:sz w:val="21"/>
              </w:rPr>
              <w:t>全</w:t>
            </w:r>
            <w:r>
              <w:rPr>
                <w:rFonts w:ascii="仿宋_GB2312" w:hAnsi="仿宋_GB2312" w:cs="仿宋_GB2312" w:eastAsia="仿宋_GB2312"/>
                <w:sz w:val="21"/>
              </w:rPr>
              <w:t>系列，支持从管理端或客户端自主选择启动环境；且多个系统环境可快速切换。</w:t>
            </w:r>
            <w:r>
              <w:rPr>
                <w:rFonts w:ascii="仿宋_GB2312" w:hAnsi="仿宋_GB2312" w:cs="仿宋_GB2312" w:eastAsia="仿宋_GB2312"/>
                <w:sz w:val="21"/>
              </w:rPr>
              <w:t>(提供此功能界面截图证明）</w:t>
            </w:r>
          </w:p>
          <w:p>
            <w:pPr>
              <w:pStyle w:val="null3"/>
              <w:spacing w:before="105" w:after="105"/>
              <w:ind w:firstLine="350"/>
              <w:jc w:val="left"/>
            </w:pPr>
            <w:r>
              <w:rPr>
                <w:rFonts w:ascii="仿宋_GB2312" w:hAnsi="仿宋_GB2312" w:cs="仿宋_GB2312" w:eastAsia="仿宋_GB2312"/>
                <w:sz w:val="21"/>
              </w:rPr>
              <w:t>★</w:t>
            </w:r>
            <w:r>
              <w:rPr>
                <w:rFonts w:ascii="仿宋_GB2312" w:hAnsi="仿宋_GB2312" w:cs="仿宋_GB2312" w:eastAsia="仿宋_GB2312"/>
                <w:sz w:val="21"/>
              </w:rPr>
              <w:t>6.为满足要求，云桌面客户端支持部署在兆芯、海光、飞腾和龙芯架构的国产芯</w:t>
            </w:r>
            <w:r>
              <w:rPr>
                <w:rFonts w:ascii="仿宋_GB2312" w:hAnsi="仿宋_GB2312" w:cs="仿宋_GB2312" w:eastAsia="仿宋_GB2312"/>
                <w:sz w:val="21"/>
              </w:rPr>
              <w:t>片终端设备上，实现异构设备的统一管理。</w:t>
            </w:r>
            <w:r>
              <w:rPr>
                <w:rFonts w:ascii="仿宋_GB2312" w:hAnsi="仿宋_GB2312" w:cs="仿宋_GB2312" w:eastAsia="仿宋_GB2312"/>
                <w:sz w:val="21"/>
              </w:rPr>
              <w:t>(提供此功能界面截图证明）</w:t>
            </w:r>
          </w:p>
          <w:p>
            <w:pPr>
              <w:pStyle w:val="null3"/>
              <w:spacing w:before="105" w:after="105"/>
              <w:jc w:val="left"/>
            </w:pPr>
            <w:r>
              <w:rPr>
                <w:rFonts w:ascii="仿宋_GB2312" w:hAnsi="仿宋_GB2312" w:cs="仿宋_GB2312" w:eastAsia="仿宋_GB2312"/>
                <w:sz w:val="24"/>
              </w:rPr>
              <w:t>7</w:t>
            </w:r>
            <w:r>
              <w:rPr>
                <w:rFonts w:ascii="仿宋_GB2312" w:hAnsi="仿宋_GB2312" w:cs="仿宋_GB2312" w:eastAsia="仿宋_GB2312"/>
                <w:sz w:val="24"/>
              </w:rPr>
              <w:t>.可实时监看学生终端桌面，支持设定绑定的网络，支持设置同时浏览的学生端数量，支持切换显示的时间间隔，包括手动、自动切换，自动切换支持秒数设置。</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支持网络白板功能，老师可以实时开启与关闭电子画板，提供铅笔、直线、圆形、矩形、橡皮、文字输入工具；老师授课过程中误操作，可以随时撤销之前操作；支持打开文档、图片、当前桌面作为电子画板的底图。（提供此功能界面截图证明并加盖公章）</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.支持采集老师端USB摄像头画面并直播到学生终端。</w:t>
            </w:r>
          </w:p>
          <w:p>
            <w:pPr>
              <w:pStyle w:val="null3"/>
              <w:spacing w:before="105" w:after="105"/>
              <w:jc w:val="left"/>
            </w:pPr>
            <w:r>
              <w:rPr>
                <w:rFonts w:ascii="仿宋_GB2312" w:hAnsi="仿宋_GB2312" w:cs="仿宋_GB2312" w:eastAsia="仿宋_GB2312"/>
                <w:sz w:val="24"/>
              </w:rPr>
              <w:t>10</w:t>
            </w:r>
            <w:r>
              <w:rPr>
                <w:rFonts w:ascii="仿宋_GB2312" w:hAnsi="仿宋_GB2312" w:cs="仿宋_GB2312" w:eastAsia="仿宋_GB2312"/>
                <w:sz w:val="24"/>
              </w:rPr>
              <w:t>.学生端可主动提交文件传输给教师终端，可传送文件与文件夹，文件及文件夹的大小没有限制。</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.支持教师终端设置批量执行命令，如打开画板、计算器，学生终端会自动开启这些工具；管理员也可以新建与删除命令。（提供此功能界面截图证明并加盖公章）</w:t>
            </w:r>
          </w:p>
          <w:p>
            <w:pPr>
              <w:pStyle w:val="null3"/>
              <w:spacing w:before="105" w:after="105"/>
              <w:jc w:val="left"/>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.支持教师端按分组设置定时关机/定时重启/定时唤醒/定时黑屏/定时解除黑屏.</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.支持教师端远程限制学生上网，设置黑白名单并且可以查看学生端上网的访问网页记录。（提供此功能界面截图证明并加盖公章）</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14</w:t>
            </w:r>
            <w:r>
              <w:rPr>
                <w:rFonts w:ascii="仿宋_GB2312" w:hAnsi="仿宋_GB2312" w:cs="仿宋_GB2312" w:eastAsia="仿宋_GB2312"/>
                <w:sz w:val="24"/>
              </w:rPr>
              <w:t>.提供备课与教学云空间功能，老师可将课件、教材等上传至云空间，避免因使用U盘导致的病毒交叉感染；云空间支持文件分享功能，可通过链接和提取码的方式分享给其他老师或学生，构建校内资源与知识共享平台。(提供此功能界面截图证明）</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考虑教学场景软硬件交互复杂、兼容适配及统一售后运维需求，投标人所投终端、显示器、云桌面系统软件、电子教室教学软件，优先选用同一品牌原厂成套产品；若采用多品牌组合方案，投标人须提供完整兼容性测试报告、跨厂商联合运维服务承诺，保障整体系统稳定运行。</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.支持对</w:t>
            </w:r>
            <w:r>
              <w:rPr>
                <w:rFonts w:ascii="仿宋_GB2312" w:hAnsi="仿宋_GB2312" w:cs="仿宋_GB2312" w:eastAsia="仿宋_GB2312"/>
                <w:sz w:val="24"/>
                <w:u w:val="single"/>
              </w:rPr>
              <w:t>学生</w:t>
            </w:r>
            <w:r>
              <w:rPr>
                <w:rFonts w:ascii="仿宋_GB2312" w:hAnsi="仿宋_GB2312" w:cs="仿宋_GB2312" w:eastAsia="仿宋_GB2312"/>
                <w:sz w:val="24"/>
              </w:rPr>
              <w:t>终端端口进行分类控制，包括但不限于控制所有</w:t>
            </w:r>
            <w:r>
              <w:rPr>
                <w:rFonts w:ascii="仿宋_GB2312" w:hAnsi="仿宋_GB2312" w:cs="仿宋_GB2312" w:eastAsia="仿宋_GB2312"/>
                <w:sz w:val="24"/>
              </w:rPr>
              <w:t>USB 存储接口、光盘驱动器接口、USB存储设备接口、打印机接口、1394接口、串并口接口、蓝牙驱动器接口等。(提供此功能界面截图证明）</w:t>
            </w:r>
          </w:p>
          <w:p>
            <w:pPr>
              <w:pStyle w:val="null3"/>
              <w:spacing w:before="105" w:after="105"/>
              <w:jc w:val="left"/>
            </w:pPr>
            <w:r>
              <w:rPr>
                <w:rFonts w:ascii="仿宋_GB2312" w:hAnsi="仿宋_GB2312" w:cs="仿宋_GB2312" w:eastAsia="仿宋_GB2312"/>
                <w:sz w:val="21"/>
              </w:rPr>
              <w:t>17、</w:t>
            </w:r>
            <w:r>
              <w:rPr>
                <w:rFonts w:ascii="仿宋_GB2312" w:hAnsi="仿宋_GB2312" w:cs="仿宋_GB2312" w:eastAsia="仿宋_GB2312"/>
                <w:sz w:val="21"/>
              </w:rPr>
              <w:t>所配套软件均需提供软件著作权证书。（提供证明材料）</w:t>
            </w:r>
          </w:p>
          <w:p>
            <w:pPr>
              <w:pStyle w:val="null3"/>
              <w:spacing w:before="105" w:after="105"/>
              <w:jc w:val="left"/>
            </w:pPr>
            <w:r>
              <w:rPr>
                <w:rFonts w:ascii="仿宋_GB2312" w:hAnsi="仿宋_GB2312" w:cs="仿宋_GB2312" w:eastAsia="仿宋_GB2312"/>
                <w:sz w:val="21"/>
              </w:rPr>
              <w:t>★18.设备总体要求：所有台式计算机的技术参数需满足财政部、工业和信息化部的《台式计算机政府采购需求标准（2023年版）》中其他带“*”项技术指标要求（提供承诺函，加盖供应商公章）；</w:t>
            </w:r>
          </w:p>
        </w:tc>
      </w:tr>
    </w:tbl>
    <w:p>
      <w:pPr>
        <w:pStyle w:val="null3"/>
        <w:jc w:val="left"/>
      </w:pPr>
      <w:r>
        <w:rPr>
          <w:rFonts w:ascii="仿宋_GB2312" w:hAnsi="仿宋_GB2312" w:cs="仿宋_GB2312" w:eastAsia="仿宋_GB2312"/>
        </w:rPr>
        <w:t>标的名称：学生台式计算机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学生台式计算机</w:t>
            </w:r>
          </w:p>
        </w:tc>
        <w:tc>
          <w:tcPr>
            <w:tcW w:type="dxa" w:w="5814"/>
          </w:tcPr>
          <w:p>
            <w:pPr>
              <w:pStyle w:val="null3"/>
              <w:spacing w:before="105" w:after="105"/>
              <w:jc w:val="left"/>
            </w:pPr>
            <w:r>
              <w:rPr>
                <w:rFonts w:ascii="仿宋_GB2312" w:hAnsi="仿宋_GB2312" w:cs="仿宋_GB2312" w:eastAsia="仿宋_GB2312"/>
                <w:sz w:val="21"/>
              </w:rPr>
              <w:t>★1.算力终端要求：CPU：要求使用CPU，核心不少于8个，主频不低于2.7GHz;内存：≥16G DDR4;硬盘：≥512GB M.2;显示输出：具备HDMI 2.0;有线网络：RJ45≥1， 支持10/100/1000Mbps; IO接口：Type-C≥1，USB2.0≥4，USB3.2≥2，耳机接口≥1 ，麦克风接口≥1，</w:t>
            </w:r>
            <w:r>
              <w:rPr>
                <w:rFonts w:ascii="仿宋_GB2312" w:hAnsi="仿宋_GB2312" w:cs="仿宋_GB2312" w:eastAsia="仿宋_GB2312"/>
                <w:sz w:val="21"/>
              </w:rPr>
              <w:t>支持千兆接入，支持考场用耳麦话筒接入</w:t>
            </w:r>
            <w:r>
              <w:rPr>
                <w:rFonts w:ascii="仿宋_GB2312" w:hAnsi="仿宋_GB2312" w:cs="仿宋_GB2312" w:eastAsia="仿宋_GB2312"/>
                <w:sz w:val="21"/>
              </w:rPr>
              <w:t>。</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机箱</w:t>
            </w:r>
            <w:r>
              <w:rPr>
                <w:rFonts w:ascii="仿宋_GB2312" w:hAnsi="仿宋_GB2312" w:cs="仿宋_GB2312" w:eastAsia="仿宋_GB2312"/>
                <w:sz w:val="21"/>
              </w:rPr>
              <w:t>尺寸</w:t>
            </w:r>
            <w:r>
              <w:rPr>
                <w:rFonts w:ascii="仿宋_GB2312" w:hAnsi="仿宋_GB2312" w:cs="仿宋_GB2312" w:eastAsia="仿宋_GB2312"/>
                <w:sz w:val="21"/>
              </w:rPr>
              <w:t>≤</w:t>
            </w:r>
            <w:r>
              <w:rPr>
                <w:rFonts w:ascii="仿宋_GB2312" w:hAnsi="仿宋_GB2312" w:cs="仿宋_GB2312" w:eastAsia="仿宋_GB2312"/>
                <w:sz w:val="21"/>
              </w:rPr>
              <w:t>189*184*37mm；</w:t>
            </w:r>
          </w:p>
          <w:p>
            <w:pPr>
              <w:pStyle w:val="null3"/>
              <w:spacing w:before="105" w:after="105"/>
              <w:jc w:val="left"/>
            </w:pPr>
            <w:r>
              <w:rPr>
                <w:rFonts w:ascii="仿宋_GB2312" w:hAnsi="仿宋_GB2312" w:cs="仿宋_GB2312" w:eastAsia="仿宋_GB2312"/>
                <w:sz w:val="21"/>
              </w:rPr>
              <w:t>★3.整套设备及部件均提供为期三年的</w:t>
            </w:r>
            <w:r>
              <w:rPr>
                <w:rFonts w:ascii="仿宋_GB2312" w:hAnsi="仿宋_GB2312" w:cs="仿宋_GB2312" w:eastAsia="仿宋_GB2312"/>
                <w:sz w:val="21"/>
              </w:rPr>
              <w:t>质保服务。</w:t>
            </w:r>
          </w:p>
          <w:p>
            <w:pPr>
              <w:pStyle w:val="null3"/>
              <w:spacing w:before="105" w:after="105"/>
              <w:jc w:val="left"/>
            </w:pPr>
            <w:r>
              <w:rPr>
                <w:rFonts w:ascii="仿宋_GB2312" w:hAnsi="仿宋_GB2312" w:cs="仿宋_GB2312" w:eastAsia="仿宋_GB2312"/>
                <w:sz w:val="21"/>
              </w:rPr>
              <w:t>4.所配套软件</w:t>
            </w:r>
            <w:r>
              <w:rPr>
                <w:rFonts w:ascii="仿宋_GB2312" w:hAnsi="仿宋_GB2312" w:cs="仿宋_GB2312" w:eastAsia="仿宋_GB2312"/>
                <w:sz w:val="21"/>
              </w:rPr>
              <w:t>提供软件著作权证书。</w:t>
            </w:r>
            <w:r>
              <w:rPr>
                <w:rFonts w:ascii="仿宋_GB2312" w:hAnsi="仿宋_GB2312" w:cs="仿宋_GB2312" w:eastAsia="仿宋_GB2312"/>
                <w:sz w:val="21"/>
              </w:rPr>
              <w:t>（</w:t>
            </w:r>
            <w:r>
              <w:rPr>
                <w:rFonts w:ascii="仿宋_GB2312" w:hAnsi="仿宋_GB2312" w:cs="仿宋_GB2312" w:eastAsia="仿宋_GB2312"/>
                <w:sz w:val="21"/>
              </w:rPr>
              <w:t>提供证明材料）</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5.设备总体要求：所有台式计算机技术参数需满足财政部、工业和信息化部的《台式计算机政府采购需求标准（2023年版）》中其他带“*”项技术指标要求（提供承诺函，加盖供应商公章）；    </w:t>
            </w:r>
            <w:r>
              <w:rPr>
                <w:rFonts w:ascii="仿宋_GB2312" w:hAnsi="仿宋_GB2312" w:cs="仿宋_GB2312" w:eastAsia="仿宋_GB2312"/>
                <w:sz w:val="21"/>
              </w:rPr>
              <w:t xml:space="preserve">  </w:t>
            </w:r>
          </w:p>
        </w:tc>
      </w:tr>
    </w:tbl>
    <w:p>
      <w:pPr>
        <w:pStyle w:val="null3"/>
        <w:jc w:val="left"/>
      </w:pPr>
      <w:r>
        <w:rPr>
          <w:rFonts w:ascii="仿宋_GB2312" w:hAnsi="仿宋_GB2312" w:cs="仿宋_GB2312" w:eastAsia="仿宋_GB2312"/>
        </w:rPr>
        <w:t>标的名称：云交换机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云交换机</w:t>
            </w:r>
          </w:p>
        </w:tc>
        <w:tc>
          <w:tcPr>
            <w:tcW w:type="dxa" w:w="5814"/>
          </w:tcPr>
          <w:p>
            <w:pPr>
              <w:pStyle w:val="null3"/>
              <w:jc w:val="left"/>
            </w:pPr>
            <w:r>
              <w:rPr>
                <w:rFonts w:ascii="仿宋_GB2312" w:hAnsi="仿宋_GB2312" w:cs="仿宋_GB2312" w:eastAsia="仿宋_GB2312"/>
                <w:sz w:val="21"/>
              </w:rPr>
              <w:t>1.支持 1G 全双工电口数量64 个，10G 全双工光口数量 4 个；</w:t>
            </w:r>
          </w:p>
          <w:p>
            <w:pPr>
              <w:pStyle w:val="null3"/>
              <w:jc w:val="left"/>
            </w:pPr>
            <w:r>
              <w:rPr>
                <w:rFonts w:ascii="仿宋_GB2312" w:hAnsi="仿宋_GB2312" w:cs="仿宋_GB2312" w:eastAsia="仿宋_GB2312"/>
                <w:sz w:val="21"/>
              </w:rPr>
              <w:t>2.交换容量达到 420Gbps（交换芯片容量），包转发率达到 240Mpps；</w:t>
            </w:r>
          </w:p>
          <w:p>
            <w:pPr>
              <w:pStyle w:val="null3"/>
              <w:jc w:val="left"/>
            </w:pPr>
            <w:r>
              <w:rPr>
                <w:rFonts w:ascii="仿宋_GB2312" w:hAnsi="仿宋_GB2312" w:cs="仿宋_GB2312" w:eastAsia="仿宋_GB2312"/>
                <w:sz w:val="21"/>
              </w:rPr>
              <w:t>3.具备 1 个 Console 接口、1 个 MGMT 接口、1 个 USB 管理接口，风扇模块数量 3 个；</w:t>
            </w:r>
          </w:p>
          <w:p>
            <w:pPr>
              <w:pStyle w:val="null3"/>
              <w:jc w:val="left"/>
            </w:pPr>
            <w:r>
              <w:rPr>
                <w:rFonts w:ascii="仿宋_GB2312" w:hAnsi="仿宋_GB2312" w:cs="仿宋_GB2312" w:eastAsia="仿宋_GB2312"/>
                <w:sz w:val="21"/>
              </w:rPr>
              <w:t>4.MAC 地址表项数量32K，ARP 表项数量 12K；</w:t>
            </w:r>
          </w:p>
          <w:p>
            <w:pPr>
              <w:pStyle w:val="null3"/>
              <w:jc w:val="left"/>
            </w:pPr>
            <w:r>
              <w:rPr>
                <w:rFonts w:ascii="仿宋_GB2312" w:hAnsi="仿宋_GB2312" w:cs="仿宋_GB2312" w:eastAsia="仿宋_GB2312"/>
                <w:sz w:val="21"/>
              </w:rPr>
              <w:t>5.支持采用低功耗的 ARM 处理器，并运行开源开放型的网络操作系统；</w:t>
            </w:r>
          </w:p>
          <w:p>
            <w:pPr>
              <w:pStyle w:val="null3"/>
              <w:jc w:val="left"/>
            </w:pPr>
            <w:r>
              <w:rPr>
                <w:rFonts w:ascii="仿宋_GB2312" w:hAnsi="仿宋_GB2312" w:cs="仿宋_GB2312" w:eastAsia="仿宋_GB2312"/>
                <w:sz w:val="21"/>
              </w:rPr>
              <w:t>6.拥有良好的系统扩展性能，新功能模块或者第三方软件能够以容器形式运行；</w:t>
            </w:r>
          </w:p>
          <w:p>
            <w:pPr>
              <w:pStyle w:val="null3"/>
              <w:jc w:val="left"/>
            </w:pPr>
            <w:r>
              <w:rPr>
                <w:rFonts w:ascii="仿宋_GB2312" w:hAnsi="仿宋_GB2312" w:cs="仿宋_GB2312" w:eastAsia="仿宋_GB2312"/>
                <w:sz w:val="21"/>
              </w:rPr>
              <w:t>7.当功能模块出现故障时，可通过热补丁一键修复，且不会对系统的正常运行造成影响；</w:t>
            </w:r>
          </w:p>
          <w:p>
            <w:pPr>
              <w:pStyle w:val="null3"/>
              <w:jc w:val="left"/>
            </w:pPr>
            <w:r>
              <w:rPr>
                <w:rFonts w:ascii="仿宋_GB2312" w:hAnsi="仿宋_GB2312" w:cs="仿宋_GB2312" w:eastAsia="仿宋_GB2312"/>
                <w:sz w:val="21"/>
              </w:rPr>
              <w:t>8.支持端口镜像功能，其中镜像源端口与目的端口既可以是物理端口也可以是 VLAN，并且不存在镜像端口数量的限制；</w:t>
            </w:r>
          </w:p>
          <w:p>
            <w:pPr>
              <w:pStyle w:val="null3"/>
              <w:jc w:val="left"/>
            </w:pPr>
            <w:r>
              <w:rPr>
                <w:rFonts w:ascii="仿宋_GB2312" w:hAnsi="仿宋_GB2312" w:cs="仿宋_GB2312" w:eastAsia="仿宋_GB2312"/>
                <w:sz w:val="21"/>
              </w:rPr>
              <w:t>9.支持依据终端 APR 报文信息自动生成 32 位主机路由，以简化网络的配置与部署流程；</w:t>
            </w:r>
          </w:p>
          <w:p>
            <w:pPr>
              <w:pStyle w:val="null3"/>
              <w:jc w:val="left"/>
            </w:pPr>
            <w:r>
              <w:rPr>
                <w:rFonts w:ascii="仿宋_GB2312" w:hAnsi="仿宋_GB2312" w:cs="仿宋_GB2312" w:eastAsia="仿宋_GB2312"/>
                <w:sz w:val="21"/>
              </w:rPr>
              <w:t>10.支持静态路由以及 BGP、OSPF、ISIS 等动态路由协议；</w:t>
            </w:r>
          </w:p>
          <w:p>
            <w:pPr>
              <w:pStyle w:val="null3"/>
              <w:jc w:val="left"/>
            </w:pPr>
            <w:r>
              <w:rPr>
                <w:rFonts w:ascii="仿宋_GB2312" w:hAnsi="仿宋_GB2312" w:cs="仿宋_GB2312" w:eastAsia="仿宋_GB2312"/>
                <w:sz w:val="21"/>
              </w:rPr>
              <w:t>11.支持 DHCP v4/v6 的 Server/Relay/Snooping 功能；</w:t>
            </w:r>
          </w:p>
          <w:p>
            <w:pPr>
              <w:pStyle w:val="null3"/>
              <w:jc w:val="left"/>
            </w:pPr>
            <w:r>
              <w:rPr>
                <w:rFonts w:ascii="仿宋_GB2312" w:hAnsi="仿宋_GB2312" w:cs="仿宋_GB2312" w:eastAsia="仿宋_GB2312"/>
                <w:sz w:val="21"/>
              </w:rPr>
              <w:t>12.支持动态 ARP 检测功能；支持 IPSG v4/v6 保护功能；</w:t>
            </w:r>
          </w:p>
          <w:p>
            <w:pPr>
              <w:pStyle w:val="null3"/>
              <w:jc w:val="left"/>
            </w:pPr>
            <w:r>
              <w:rPr>
                <w:rFonts w:ascii="仿宋_GB2312" w:hAnsi="仿宋_GB2312" w:cs="仿宋_GB2312" w:eastAsia="仿宋_GB2312"/>
                <w:sz w:val="21"/>
              </w:rPr>
              <w:t>13支持 CPU 保护策略，有效防止因高速数据流而致使 CPU 占用率过高的情况发生；</w:t>
            </w:r>
          </w:p>
          <w:p>
            <w:pPr>
              <w:pStyle w:val="null3"/>
              <w:jc w:val="left"/>
            </w:pPr>
            <w:r>
              <w:rPr>
                <w:rFonts w:ascii="仿宋_GB2312" w:hAnsi="仿宋_GB2312" w:cs="仿宋_GB2312" w:eastAsia="仿宋_GB2312"/>
                <w:sz w:val="21"/>
              </w:rPr>
              <w:t>14.支持从远端服务器自动加载预配置文件，从而实现设备的快速上线操作。</w:t>
            </w:r>
          </w:p>
          <w:p>
            <w:pPr>
              <w:pStyle w:val="null3"/>
              <w:jc w:val="both"/>
            </w:pPr>
            <w:r>
              <w:rPr>
                <w:rFonts w:ascii="仿宋_GB2312" w:hAnsi="仿宋_GB2312" w:cs="仿宋_GB2312" w:eastAsia="仿宋_GB2312"/>
                <w:sz w:val="21"/>
              </w:rPr>
              <w:t>★15.提供3年</w:t>
            </w:r>
            <w:r>
              <w:rPr>
                <w:rFonts w:ascii="仿宋_GB2312" w:hAnsi="仿宋_GB2312" w:cs="仿宋_GB2312" w:eastAsia="仿宋_GB2312"/>
                <w:sz w:val="21"/>
              </w:rPr>
              <w:t>整机质保服务。</w:t>
            </w:r>
          </w:p>
        </w:tc>
      </w:tr>
    </w:tbl>
    <w:p>
      <w:pPr>
        <w:pStyle w:val="null3"/>
        <w:jc w:val="left"/>
      </w:pPr>
      <w:r>
        <w:rPr>
          <w:rFonts w:ascii="仿宋_GB2312" w:hAnsi="仿宋_GB2312" w:cs="仿宋_GB2312" w:eastAsia="仿宋_GB2312"/>
        </w:rPr>
        <w:t>标的名称：强电改造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强电改造</w:t>
            </w:r>
          </w:p>
        </w:tc>
        <w:tc>
          <w:tcPr>
            <w:tcW w:type="dxa" w:w="5814"/>
          </w:tcPr>
          <w:tbl>
            <w:tblPr>
              <w:tblBorders>
                <w:top w:val="single"/>
                <w:left w:val="single"/>
                <w:bottom w:val="single"/>
                <w:right w:val="single"/>
                <w:insideH w:val="single"/>
                <w:insideV w:val="single"/>
              </w:tblBorders>
            </w:tblPr>
            <w:tblGrid>
              <w:gridCol w:w="5598"/>
            </w:tblGrid>
            <w:tr>
              <w:tc>
                <w:tcPr>
                  <w:tcW w:type="dxa" w:w="55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rPr>
                    <w:t>1</w:t>
                  </w:r>
                  <w:r>
                    <w:rPr>
                      <w:rFonts w:ascii="仿宋_GB2312" w:hAnsi="仿宋_GB2312" w:cs="仿宋_GB2312" w:eastAsia="仿宋_GB2312"/>
                      <w:sz w:val="21"/>
                    </w:rPr>
                    <w:t>、金属喷塑强电桥架：①规格:200*100mm,厚度≧1.2mm，数量45米；②规格:100*100mm,厚度≧1.2mm，数量48米。</w:t>
                  </w:r>
                  <w:r>
                    <w:br/>
                  </w:r>
                  <w:r>
                    <w:rPr>
                      <w:rFonts w:ascii="仿宋_GB2312" w:hAnsi="仿宋_GB2312" w:cs="仿宋_GB2312" w:eastAsia="仿宋_GB2312"/>
                      <w:sz w:val="21"/>
                    </w:rPr>
                    <w:t xml:space="preserve"> 2、金属软管：DN16包塑阻燃金属软管，数量300米。</w:t>
                  </w:r>
                  <w:r>
                    <w:br/>
                  </w:r>
                  <w:r>
                    <w:rPr>
                      <w:rFonts w:ascii="仿宋_GB2312" w:hAnsi="仿宋_GB2312" w:cs="仿宋_GB2312" w:eastAsia="仿宋_GB2312"/>
                      <w:sz w:val="21"/>
                    </w:rPr>
                    <w:t xml:space="preserve"> 3、配电箱：拆除现有空开，配置总漏电保护开关，并增加10个32A单极漏电保护器(用于分散插座负载)，需符合国家标准。</w:t>
                  </w:r>
                </w:p>
                <w:p>
                  <w:pPr>
                    <w:pStyle w:val="null3"/>
                    <w:jc w:val="left"/>
                  </w:pPr>
                  <w:r>
                    <w:rPr>
                      <w:rFonts w:ascii="仿宋_GB2312" w:hAnsi="仿宋_GB2312" w:cs="仿宋_GB2312" w:eastAsia="仿宋_GB2312"/>
                      <w:sz w:val="21"/>
                    </w:rPr>
                    <w:t>4、电线：国标BV2.5m㎡单芯硬铜线(红、蓝、黄绿分色)，数量750米;国标BV4m㎡单芯硬铜线，数量300米。</w:t>
                  </w:r>
                  <w:r>
                    <w:br/>
                  </w:r>
                  <w:r>
                    <w:rPr>
                      <w:rFonts w:ascii="仿宋_GB2312" w:hAnsi="仿宋_GB2312" w:cs="仿宋_GB2312" w:eastAsia="仿宋_GB2312"/>
                      <w:sz w:val="21"/>
                    </w:rPr>
                    <w:t xml:space="preserve"> 5、学生插座:3孔位新国标组合插座(或墙面插座)，最大承受功率2500W，自带安全保护门，数量114个。</w:t>
                  </w:r>
                  <w:r>
                    <w:br/>
                  </w:r>
                  <w:r>
                    <w:rPr>
                      <w:rFonts w:ascii="仿宋_GB2312" w:hAnsi="仿宋_GB2312" w:cs="仿宋_GB2312" w:eastAsia="仿宋_GB2312"/>
                      <w:sz w:val="21"/>
                    </w:rPr>
                    <w:t xml:space="preserve"> 6、空调回路改造:使用BV6mm2电线铺设空调专线，配套安装16A三孔空调专用插座，数量2个。</w:t>
                  </w:r>
                  <w:r>
                    <w:br/>
                  </w:r>
                  <w:r>
                    <w:rPr>
                      <w:rFonts w:ascii="仿宋_GB2312" w:hAnsi="仿宋_GB2312" w:cs="仿宋_GB2312" w:eastAsia="仿宋_GB2312"/>
                      <w:sz w:val="21"/>
                    </w:rPr>
                    <w:t xml:space="preserve"> 7、备用插座面板:86型暗装面板，10A五孔插座，数量2个。</w:t>
                  </w:r>
                  <w:r>
                    <w:br/>
                  </w:r>
                  <w:r>
                    <w:rPr>
                      <w:rFonts w:ascii="仿宋_GB2312" w:hAnsi="仿宋_GB2312" w:cs="仿宋_GB2312" w:eastAsia="仿宋_GB2312"/>
                      <w:sz w:val="21"/>
                    </w:rPr>
                    <w:t xml:space="preserve"> 8、教室护眼灯:规格≧1195*295*30mm，功率38W。核心参数要求:显色指数Ra≥90，色温4500K-5000K，无可视频闪，防蓝光等级RG0，材质:铝材边框+PMMA导光板;材质:铝材边框+PMMA导光板,数量28盏。讲台专用护眼灯:参数同上，数量3盏。配套国标BV2.5mm2电线150米。</w:t>
                  </w:r>
                  <w:r>
                    <w:br/>
                  </w:r>
                  <w:r>
                    <w:rPr>
                      <w:rFonts w:ascii="仿宋_GB2312" w:hAnsi="仿宋_GB2312" w:cs="仿宋_GB2312" w:eastAsia="仿宋_GB2312"/>
                      <w:sz w:val="21"/>
                    </w:rPr>
                    <w:t xml:space="preserve"> 9、辅材：PVC线管、锁扣、扎带、盖板等，数量1批。</w:t>
                  </w:r>
                </w:p>
                <w:p>
                  <w:pPr>
                    <w:pStyle w:val="null3"/>
                    <w:jc w:val="left"/>
                  </w:pPr>
                  <w:r>
                    <w:rPr>
                      <w:rFonts w:ascii="仿宋_GB2312" w:hAnsi="仿宋_GB2312" w:cs="仿宋_GB2312" w:eastAsia="仿宋_GB2312"/>
                      <w:sz w:val="21"/>
                    </w:rPr>
                    <w:t>10、强电改造属于隐蔽工程，在施工完成后提供完整的电路走向图以备后期检修。</w:t>
                  </w:r>
                </w:p>
              </w:tc>
            </w:tr>
          </w:tbl>
          <w:p/>
        </w:tc>
      </w:tr>
    </w:tbl>
    <w:p>
      <w:pPr>
        <w:pStyle w:val="null3"/>
        <w:jc w:val="left"/>
      </w:pPr>
      <w:r>
        <w:rPr>
          <w:rFonts w:ascii="仿宋_GB2312" w:hAnsi="仿宋_GB2312" w:cs="仿宋_GB2312" w:eastAsia="仿宋_GB2312"/>
        </w:rPr>
        <w:t>标的名称：弱电工改造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弱电改造</w:t>
            </w:r>
          </w:p>
        </w:tc>
        <w:tc>
          <w:tcPr>
            <w:tcW w:type="dxa" w:w="5814"/>
          </w:tcPr>
          <w:p>
            <w:pPr>
              <w:pStyle w:val="null3"/>
              <w:jc w:val="left"/>
            </w:pPr>
            <w:r>
              <w:rPr>
                <w:rFonts w:ascii="仿宋_GB2312" w:hAnsi="仿宋_GB2312" w:cs="仿宋_GB2312" w:eastAsia="仿宋_GB2312"/>
                <w:sz w:val="22"/>
              </w:rPr>
              <w:t>1、金属喷塑弱电桥架:①规格300*100mm，</w:t>
            </w:r>
            <w:r>
              <w:rPr>
                <w:rFonts w:ascii="仿宋_GB2312" w:hAnsi="仿宋_GB2312" w:cs="仿宋_GB2312" w:eastAsia="仿宋_GB2312"/>
                <w:sz w:val="22"/>
              </w:rPr>
              <w:t>符合国家标准,</w:t>
            </w:r>
            <w:r>
              <w:rPr>
                <w:rFonts w:ascii="仿宋_GB2312" w:hAnsi="仿宋_GB2312" w:cs="仿宋_GB2312" w:eastAsia="仿宋_GB2312"/>
                <w:sz w:val="22"/>
              </w:rPr>
              <w:t>厚度</w:t>
            </w:r>
            <w:r>
              <w:rPr>
                <w:rFonts w:ascii="仿宋_GB2312" w:hAnsi="仿宋_GB2312" w:cs="仿宋_GB2312" w:eastAsia="仿宋_GB2312"/>
                <w:sz w:val="22"/>
              </w:rPr>
              <w:t>≥1.2mm，数量20米; ②规格100*100mm，</w:t>
            </w:r>
            <w:r>
              <w:rPr>
                <w:rFonts w:ascii="仿宋_GB2312" w:hAnsi="仿宋_GB2312" w:cs="仿宋_GB2312" w:eastAsia="仿宋_GB2312"/>
                <w:sz w:val="22"/>
              </w:rPr>
              <w:t>符合国家标准,</w:t>
            </w:r>
            <w:r>
              <w:rPr>
                <w:rFonts w:ascii="仿宋_GB2312" w:hAnsi="仿宋_GB2312" w:cs="仿宋_GB2312" w:eastAsia="仿宋_GB2312"/>
                <w:sz w:val="22"/>
              </w:rPr>
              <w:t xml:space="preserve">厚度≥1.0mm，数量48米。         </w:t>
            </w:r>
            <w:r>
              <w:br/>
            </w:r>
            <w:r>
              <w:rPr>
                <w:rFonts w:ascii="仿宋_GB2312" w:hAnsi="仿宋_GB2312" w:cs="仿宋_GB2312" w:eastAsia="仿宋_GB2312"/>
                <w:sz w:val="22"/>
              </w:rPr>
              <w:t>2、网络机柜:42U标准机柜，尺寸600mm*600mm*2000mm，黑色网孔门。含散热风扇、3个8孔位PDU电源插排、2块固定层板及配套安装螺丝。数量1套。</w:t>
            </w:r>
            <w:r>
              <w:br/>
            </w:r>
            <w:r>
              <w:rPr>
                <w:rFonts w:ascii="仿宋_GB2312" w:hAnsi="仿宋_GB2312" w:cs="仿宋_GB2312" w:eastAsia="仿宋_GB2312"/>
                <w:sz w:val="22"/>
              </w:rPr>
              <w:t>3、网线:六类非屏蔽对绞线(CAT6UTP)，</w:t>
            </w:r>
            <w:r>
              <w:rPr>
                <w:rFonts w:ascii="仿宋_GB2312" w:hAnsi="仿宋_GB2312" w:cs="仿宋_GB2312" w:eastAsia="仿宋_GB2312"/>
                <w:sz w:val="22"/>
              </w:rPr>
              <w:t>符合国家标准要求的</w:t>
            </w:r>
            <w:r>
              <w:rPr>
                <w:rFonts w:ascii="仿宋_GB2312" w:hAnsi="仿宋_GB2312" w:cs="仿宋_GB2312" w:eastAsia="仿宋_GB2312"/>
                <w:sz w:val="22"/>
              </w:rPr>
              <w:t>无氧铜材质，单芯线径</w:t>
            </w:r>
            <w:r>
              <w:rPr>
                <w:rFonts w:ascii="仿宋_GB2312" w:hAnsi="仿宋_GB2312" w:cs="仿宋_GB2312" w:eastAsia="仿宋_GB2312"/>
                <w:sz w:val="22"/>
              </w:rPr>
              <w:t>≥0.55mm，数量3660米。</w:t>
            </w:r>
          </w:p>
          <w:p>
            <w:pPr>
              <w:pStyle w:val="null3"/>
              <w:jc w:val="left"/>
            </w:pPr>
            <w:r>
              <w:rPr>
                <w:rFonts w:ascii="仿宋_GB2312" w:hAnsi="仿宋_GB2312" w:cs="仿宋_GB2312" w:eastAsia="仿宋_GB2312"/>
                <w:sz w:val="22"/>
              </w:rPr>
              <w:t>4、配线架:24口六类非屏蔽网络配线架，19英寸标准机架式，含模块，数量5个；</w:t>
            </w:r>
            <w:r>
              <w:rPr>
                <w:rFonts w:ascii="仿宋_GB2312" w:hAnsi="仿宋_GB2312" w:cs="仿宋_GB2312" w:eastAsia="仿宋_GB2312"/>
                <w:sz w:val="22"/>
              </w:rPr>
              <w:t>理线器:标准1U金属理线器(带盖板)，黑色，数量5个</w:t>
            </w:r>
            <w:r>
              <w:rPr>
                <w:rFonts w:ascii="仿宋_GB2312" w:hAnsi="仿宋_GB2312" w:cs="仿宋_GB2312" w:eastAsia="仿宋_GB2312"/>
                <w:sz w:val="22"/>
              </w:rPr>
              <w:t>(与配线架1:1配套)</w:t>
            </w:r>
            <w:r>
              <w:rPr>
                <w:rFonts w:ascii="仿宋_GB2312" w:hAnsi="仿宋_GB2312" w:cs="仿宋_GB2312" w:eastAsia="仿宋_GB2312"/>
                <w:sz w:val="22"/>
              </w:rPr>
              <w:t>。</w:t>
            </w:r>
            <w:r>
              <w:br/>
            </w:r>
            <w:r>
              <w:rPr>
                <w:rFonts w:ascii="仿宋_GB2312" w:hAnsi="仿宋_GB2312" w:cs="仿宋_GB2312" w:eastAsia="仿宋_GB2312"/>
                <w:sz w:val="22"/>
              </w:rPr>
              <w:t>5、成品网线跳线:3米长，六类非屏蔽跳线，</w:t>
            </w:r>
            <w:r>
              <w:rPr>
                <w:rFonts w:ascii="仿宋_GB2312" w:hAnsi="仿宋_GB2312" w:cs="仿宋_GB2312" w:eastAsia="仿宋_GB2312"/>
                <w:sz w:val="22"/>
              </w:rPr>
              <w:t>无氧铜</w:t>
            </w:r>
            <w:r>
              <w:rPr>
                <w:rFonts w:ascii="仿宋_GB2312" w:hAnsi="仿宋_GB2312" w:cs="仿宋_GB2312" w:eastAsia="仿宋_GB2312"/>
                <w:sz w:val="22"/>
              </w:rPr>
              <w:t>材质符合国家标准</w:t>
            </w:r>
            <w:r>
              <w:rPr>
                <w:rFonts w:ascii="仿宋_GB2312" w:hAnsi="仿宋_GB2312" w:cs="仿宋_GB2312" w:eastAsia="仿宋_GB2312"/>
                <w:sz w:val="22"/>
              </w:rPr>
              <w:t>，线径</w:t>
            </w:r>
            <w:r>
              <w:rPr>
                <w:rFonts w:ascii="仿宋_GB2312" w:hAnsi="仿宋_GB2312" w:cs="仿宋_GB2312" w:eastAsia="仿宋_GB2312"/>
                <w:sz w:val="22"/>
              </w:rPr>
              <w:t>≥0.55mm，数量116根。</w:t>
            </w:r>
            <w:r>
              <w:br/>
            </w:r>
            <w:r>
              <w:rPr>
                <w:rFonts w:ascii="仿宋_GB2312" w:hAnsi="仿宋_GB2312" w:cs="仿宋_GB2312" w:eastAsia="仿宋_GB2312"/>
                <w:sz w:val="22"/>
              </w:rPr>
              <w:t>6、双口面板:86型双口网络面板，含配套六类网络模块，数量1个</w:t>
            </w:r>
            <w:r>
              <w:rPr>
                <w:rFonts w:ascii="仿宋_GB2312" w:hAnsi="仿宋_GB2312" w:cs="仿宋_GB2312" w:eastAsia="仿宋_GB2312"/>
                <w:sz w:val="22"/>
              </w:rPr>
              <w:t>。</w:t>
            </w:r>
            <w:r>
              <w:br/>
            </w:r>
            <w:r>
              <w:rPr>
                <w:rFonts w:ascii="仿宋_GB2312" w:hAnsi="仿宋_GB2312" w:cs="仿宋_GB2312" w:eastAsia="仿宋_GB2312"/>
                <w:sz w:val="22"/>
              </w:rPr>
              <w:t>7、水晶头:六类非屏蔽水晶头，无氧铜</w:t>
            </w:r>
            <w:r>
              <w:rPr>
                <w:rFonts w:ascii="仿宋_GB2312" w:hAnsi="仿宋_GB2312" w:cs="仿宋_GB2312" w:eastAsia="仿宋_GB2312"/>
                <w:sz w:val="22"/>
              </w:rPr>
              <w:t>材质符合国家标准</w:t>
            </w:r>
            <w:r>
              <w:rPr>
                <w:rFonts w:ascii="仿宋_GB2312" w:hAnsi="仿宋_GB2312" w:cs="仿宋_GB2312" w:eastAsia="仿宋_GB2312"/>
                <w:sz w:val="22"/>
              </w:rPr>
              <w:t>，数量200个。</w:t>
            </w:r>
            <w:r>
              <w:br/>
            </w:r>
            <w:r>
              <w:rPr>
                <w:rFonts w:ascii="仿宋_GB2312" w:hAnsi="仿宋_GB2312" w:cs="仿宋_GB2312" w:eastAsia="仿宋_GB2312"/>
                <w:sz w:val="22"/>
              </w:rPr>
              <w:t>8、监控系统改造:包含8个网络监控摄像头的线路整改与安装调试，硬盘录像机移机及系统恢复，配套PVC线管、弯头等辅材。数量1项。</w:t>
            </w:r>
          </w:p>
          <w:p>
            <w:pPr>
              <w:pStyle w:val="null3"/>
              <w:jc w:val="left"/>
            </w:pPr>
            <w:r>
              <w:rPr>
                <w:rFonts w:ascii="仿宋_GB2312" w:hAnsi="仿宋_GB2312" w:cs="仿宋_GB2312" w:eastAsia="仿宋_GB2312"/>
                <w:sz w:val="22"/>
              </w:rPr>
              <w:t>9、辅材:扎带、标签纸(用于线缆打标)、机柜螺丝等，数量1批。</w:t>
            </w:r>
          </w:p>
        </w:tc>
      </w:tr>
    </w:tbl>
    <w:p>
      <w:pPr>
        <w:pStyle w:val="null3"/>
        <w:jc w:val="left"/>
      </w:pPr>
      <w:r>
        <w:rPr>
          <w:rFonts w:ascii="仿宋_GB2312" w:hAnsi="仿宋_GB2312" w:cs="仿宋_GB2312" w:eastAsia="仿宋_GB2312"/>
        </w:rPr>
        <w:t>标的名称：防静电地板改造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防静电地板改造</w:t>
            </w:r>
          </w:p>
        </w:tc>
        <w:tc>
          <w:tcPr>
            <w:tcW w:type="dxa" w:w="5814"/>
          </w:tcPr>
          <w:tbl>
            <w:tblPr>
              <w:tblBorders>
                <w:top w:val="single"/>
                <w:left w:val="single"/>
                <w:bottom w:val="single"/>
                <w:right w:val="single"/>
                <w:insideH w:val="single"/>
                <w:insideV w:val="single"/>
              </w:tblBorders>
            </w:tblPr>
            <w:tblGrid>
              <w:gridCol w:w="5598"/>
            </w:tblGrid>
            <w:tr>
              <w:tc>
                <w:tcPr>
                  <w:tcW w:type="dxa" w:w="55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1、全钢陶瓷防静电地板：规格600mm*600mm*38mm；均布载荷每平方700公斤；集中载荷150公斤，防静电功能层+基材层9.2mm，填充 / 加强层28mm，底部保护层0.5mm，导电边缘0.5mm，防静电电阻值10⁶-10⁹Ω；防火A级，含支架（规格尺寸：支架上托盘68*68*3mm，下托85*85*2mm，管径25mm,厚度0.8mm，横梁28*20*570mm，厚度0.8mm），墙壁收口条，走廊区域十字支架加固，含人工搬运货物上楼（无电梯），面积180m²。</w:t>
                  </w:r>
                </w:p>
                <w:p>
                  <w:pPr>
                    <w:pStyle w:val="null3"/>
                    <w:jc w:val="left"/>
                  </w:pPr>
                  <w:r>
                    <w:rPr>
                      <w:rFonts w:ascii="仿宋_GB2312" w:hAnsi="仿宋_GB2312" w:cs="仿宋_GB2312" w:eastAsia="仿宋_GB2312"/>
                      <w:sz w:val="22"/>
                      <w:color w:val="000000"/>
                    </w:rPr>
                    <w:t>2.修补、</w:t>
                  </w:r>
                  <w:r>
                    <w:rPr>
                      <w:rFonts w:ascii="仿宋_GB2312" w:hAnsi="仿宋_GB2312" w:cs="仿宋_GB2312" w:eastAsia="仿宋_GB2312"/>
                      <w:sz w:val="22"/>
                      <w:color w:val="000000"/>
                    </w:rPr>
                    <w:t>拆除等</w:t>
                  </w:r>
                  <w:r>
                    <w:rPr>
                      <w:rFonts w:ascii="仿宋_GB2312" w:hAnsi="仿宋_GB2312" w:cs="仿宋_GB2312" w:eastAsia="仿宋_GB2312"/>
                      <w:sz w:val="22"/>
                      <w:color w:val="000000"/>
                    </w:rPr>
                    <w:t>：（1）墙面修补，腻子膏，乳胶漆，数量1项；（2）陶瓷静电地板开孔，单扇静电地板16孔径*2个；（3）讲台地面拆除及找平：讲台混凝土硬化拆除，厚度19cm，面积约6m²，拆除后水泥砂浆找平，建渣清运下楼(无电梯)并运输市内建渣排放点。</w:t>
                  </w:r>
                  <w:r>
                    <w:br/>
                  </w:r>
                  <w:r>
                    <w:rPr>
                      <w:rFonts w:ascii="仿宋_GB2312" w:hAnsi="仿宋_GB2312" w:cs="仿宋_GB2312" w:eastAsia="仿宋_GB2312"/>
                      <w:sz w:val="22"/>
                      <w:color w:val="000000"/>
                    </w:rPr>
                    <w:t xml:space="preserve"> 3、防火门：1、产品名称 钢质防火门；防火等级：乙级；整体尺寸：宽 1470mm × 高 2000mm ；板材厚度 框厚 1.2mm / 板厚 0.8mm ；框型与花型普框，六方块花 ；门扇结构：子母；门洞扩开，建渣清运下楼(无电梯)并运输市内建渣排放点，数量2樘。</w:t>
                  </w:r>
                </w:p>
              </w:tc>
            </w:tr>
          </w:tbl>
          <w:p/>
        </w:tc>
      </w:tr>
    </w:tbl>
    <w:p>
      <w:pPr>
        <w:pStyle w:val="null3"/>
        <w:jc w:val="left"/>
      </w:pPr>
      <w:r>
        <w:rPr>
          <w:rFonts w:ascii="仿宋_GB2312" w:hAnsi="仿宋_GB2312" w:cs="仿宋_GB2312" w:eastAsia="仿宋_GB2312"/>
        </w:rPr>
        <w:t>标的名称：学生显示课桌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学生显示课桌</w:t>
            </w:r>
          </w:p>
        </w:tc>
        <w:tc>
          <w:tcPr>
            <w:tcW w:type="dxa" w:w="5814"/>
          </w:tcPr>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1.为达成计算机教室多场景应用之目标，课桌产品需具备灵活的显示器收纳功能，收纳完成后桌面应保持平整，以契合常规课程教学需求</w:t>
            </w:r>
            <w:r>
              <w:rPr>
                <w:rFonts w:ascii="仿宋_GB2312" w:hAnsi="仿宋_GB2312" w:cs="仿宋_GB2312" w:eastAsia="仿宋_GB2312"/>
                <w:sz w:val="21"/>
              </w:rPr>
              <w:t>；课桌尺寸不小于</w:t>
            </w:r>
            <w:r>
              <w:rPr>
                <w:rFonts w:ascii="仿宋_GB2312" w:hAnsi="仿宋_GB2312" w:cs="仿宋_GB2312" w:eastAsia="仿宋_GB2312"/>
                <w:sz w:val="21"/>
              </w:rPr>
              <w:t>8</w:t>
            </w:r>
            <w:r>
              <w:rPr>
                <w:rFonts w:ascii="仿宋_GB2312" w:hAnsi="仿宋_GB2312" w:cs="仿宋_GB2312" w:eastAsia="仿宋_GB2312"/>
                <w:sz w:val="21"/>
              </w:rPr>
              <w:t>00mm*600mm*750mm</w:t>
            </w:r>
            <w:r>
              <w:rPr>
                <w:rFonts w:ascii="仿宋_GB2312" w:hAnsi="仿宋_GB2312" w:cs="仿宋_GB2312" w:eastAsia="仿宋_GB2312"/>
                <w:sz w:val="21"/>
              </w:rPr>
              <w:t>；</w:t>
            </w:r>
          </w:p>
          <w:p>
            <w:pPr>
              <w:pStyle w:val="null3"/>
              <w:spacing w:before="105" w:after="105"/>
              <w:jc w:val="left"/>
            </w:pPr>
            <w:r>
              <w:rPr>
                <w:rFonts w:ascii="仿宋_GB2312" w:hAnsi="仿宋_GB2312" w:cs="仿宋_GB2312" w:eastAsia="仿宋_GB2312"/>
                <w:sz w:val="21"/>
              </w:rPr>
              <w:t>2.兼容扩展20L以内塔式机箱，扩展塔式机箱后支持与学生终端共用显示器、键鼠，可灵活切换</w:t>
            </w:r>
            <w:r>
              <w:rPr>
                <w:rFonts w:ascii="仿宋_GB2312" w:hAnsi="仿宋_GB2312" w:cs="仿宋_GB2312" w:eastAsia="仿宋_GB2312"/>
                <w:sz w:val="21"/>
              </w:rPr>
              <w:t>；</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.显示器收纳结构寿命≥5000次，提供证明</w:t>
            </w:r>
            <w:r>
              <w:rPr>
                <w:rFonts w:ascii="仿宋_GB2312" w:hAnsi="仿宋_GB2312" w:cs="仿宋_GB2312" w:eastAsia="仿宋_GB2312"/>
                <w:sz w:val="21"/>
              </w:rPr>
              <w:t>；</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.课桌的设计应遵循人体工程学原理，保障学生在使用时能维持正确的坐姿与书写姿势</w:t>
            </w:r>
            <w:r>
              <w:rPr>
                <w:rFonts w:ascii="仿宋_GB2312" w:hAnsi="仿宋_GB2312" w:cs="仿宋_GB2312" w:eastAsia="仿宋_GB2312"/>
                <w:sz w:val="21"/>
              </w:rPr>
              <w:t>，显示器角度可调节范围不低于</w:t>
            </w:r>
            <w:r>
              <w:rPr>
                <w:rFonts w:ascii="仿宋_GB2312" w:hAnsi="仿宋_GB2312" w:cs="仿宋_GB2312" w:eastAsia="仿宋_GB2312"/>
                <w:sz w:val="21"/>
              </w:rPr>
              <w:t>0°~105°，显示器可在0°~105°任意位置停止；</w:t>
            </w:r>
            <w:r>
              <w:rPr>
                <w:rFonts w:ascii="仿宋_GB2312" w:hAnsi="仿宋_GB2312" w:cs="仿宋_GB2312" w:eastAsia="仿宋_GB2312"/>
                <w:sz w:val="21"/>
              </w:rPr>
              <w:t>。当显示器收纳后，课桌整体高度不得低于</w:t>
            </w:r>
            <w:r>
              <w:rPr>
                <w:rFonts w:ascii="仿宋_GB2312" w:hAnsi="仿宋_GB2312" w:cs="仿宋_GB2312" w:eastAsia="仿宋_GB2312"/>
                <w:sz w:val="21"/>
              </w:rPr>
              <w:t>750 毫米，桌面下方腿部空间高度不低于 580 毫米</w:t>
            </w:r>
            <w:r>
              <w:rPr>
                <w:rFonts w:ascii="仿宋_GB2312" w:hAnsi="仿宋_GB2312" w:cs="仿宋_GB2312" w:eastAsia="仿宋_GB2312"/>
                <w:sz w:val="21"/>
              </w:rPr>
              <w:t>；</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.为确保课桌的耐用性以及结构强度，课桌的主体结构采用全金属材质</w:t>
            </w:r>
            <w:r>
              <w:rPr>
                <w:rFonts w:ascii="仿宋_GB2312" w:hAnsi="仿宋_GB2312" w:cs="仿宋_GB2312" w:eastAsia="仿宋_GB2312"/>
                <w:sz w:val="21"/>
              </w:rPr>
              <w:t>，承重结构金属厚度不低于</w:t>
            </w:r>
            <w:r>
              <w:rPr>
                <w:rFonts w:ascii="仿宋_GB2312" w:hAnsi="仿宋_GB2312" w:cs="仿宋_GB2312" w:eastAsia="仿宋_GB2312"/>
                <w:sz w:val="21"/>
              </w:rPr>
              <w:t>1.2mm，</w:t>
            </w:r>
            <w:r>
              <w:rPr>
                <w:rFonts w:ascii="仿宋_GB2312" w:hAnsi="仿宋_GB2312" w:cs="仿宋_GB2312" w:eastAsia="仿宋_GB2312"/>
                <w:sz w:val="21"/>
              </w:rPr>
              <w:t>，桌面主要结构为金属材质，确保耐久和对显示器的保护，前侧采用优质</w:t>
            </w:r>
            <w:r>
              <w:rPr>
                <w:rFonts w:ascii="仿宋_GB2312" w:hAnsi="仿宋_GB2312" w:cs="仿宋_GB2312" w:eastAsia="仿宋_GB2312"/>
                <w:sz w:val="21"/>
              </w:rPr>
              <w:t>PVC鸭舌封边，硬度高，不易磨花，具有防火性能</w:t>
            </w:r>
            <w:r>
              <w:rPr>
                <w:rFonts w:ascii="仿宋_GB2312" w:hAnsi="仿宋_GB2312" w:cs="仿宋_GB2312" w:eastAsia="仿宋_GB2312"/>
                <w:sz w:val="21"/>
              </w:rPr>
              <w:t>；</w:t>
            </w:r>
          </w:p>
          <w:p>
            <w:pPr>
              <w:pStyle w:val="null3"/>
              <w:spacing w:before="105" w:after="105"/>
              <w:jc w:val="left"/>
            </w:pPr>
            <w:r>
              <w:rPr>
                <w:rFonts w:ascii="仿宋_GB2312" w:hAnsi="仿宋_GB2312" w:cs="仿宋_GB2312" w:eastAsia="仿宋_GB2312"/>
                <w:sz w:val="21"/>
              </w:rPr>
              <w:t>6</w:t>
            </w:r>
            <w:r>
              <w:rPr>
                <w:rFonts w:ascii="仿宋_GB2312" w:hAnsi="仿宋_GB2312" w:cs="仿宋_GB2312" w:eastAsia="仿宋_GB2312"/>
                <w:sz w:val="21"/>
              </w:rPr>
              <w:t>.课桌内置人体工学有线键鼠及23.8英寸（可视区域）高清显示器，显示器分辨率不低于1920*1080，刷新率不低于75Hz；键鼠需具备防盗窃、防拔插设计，线材耐磨抗拉扯。每套课桌</w:t>
            </w:r>
            <w:r>
              <w:rPr>
                <w:rFonts w:ascii="仿宋_GB2312" w:hAnsi="仿宋_GB2312" w:cs="仿宋_GB2312" w:eastAsia="仿宋_GB2312"/>
                <w:sz w:val="21"/>
              </w:rPr>
              <w:t>须</w:t>
            </w:r>
            <w:r>
              <w:rPr>
                <w:rFonts w:ascii="仿宋_GB2312" w:hAnsi="仿宋_GB2312" w:cs="仿宋_GB2312" w:eastAsia="仿宋_GB2312"/>
                <w:sz w:val="21"/>
              </w:rPr>
              <w:t>配套提供</w:t>
            </w:r>
            <w:r>
              <w:rPr>
                <w:rFonts w:ascii="仿宋_GB2312" w:hAnsi="仿宋_GB2312" w:cs="仿宋_GB2312" w:eastAsia="仿宋_GB2312"/>
                <w:sz w:val="21"/>
              </w:rPr>
              <w:t>1</w:t>
            </w:r>
            <w:r>
              <w:rPr>
                <w:rFonts w:ascii="仿宋_GB2312" w:hAnsi="仿宋_GB2312" w:cs="仿宋_GB2312" w:eastAsia="仿宋_GB2312"/>
                <w:sz w:val="21"/>
              </w:rPr>
              <w:t>把</w:t>
            </w:r>
            <w:r>
              <w:rPr>
                <w:rFonts w:ascii="仿宋_GB2312" w:hAnsi="仿宋_GB2312" w:cs="仿宋_GB2312" w:eastAsia="仿宋_GB2312"/>
                <w:sz w:val="21"/>
              </w:rPr>
              <w:t>钢架方凳，其规格尺寸要求长、宽、高均不小于</w:t>
            </w:r>
            <w:r>
              <w:rPr>
                <w:rFonts w:ascii="仿宋_GB2312" w:hAnsi="仿宋_GB2312" w:cs="仿宋_GB2312" w:eastAsia="仿宋_GB2312"/>
                <w:sz w:val="21"/>
              </w:rPr>
              <w:t>340mm *240mm*450mm</w:t>
            </w:r>
            <w:r>
              <w:rPr>
                <w:rFonts w:ascii="仿宋_GB2312" w:hAnsi="仿宋_GB2312" w:cs="仿宋_GB2312" w:eastAsia="仿宋_GB2312"/>
                <w:sz w:val="21"/>
              </w:rPr>
              <w:t>，且凳面颜色应与课桌桌面颜色保持一致（验收时以采购人确认的样品为准）</w:t>
            </w:r>
            <w:r>
              <w:rPr>
                <w:rFonts w:ascii="仿宋_GB2312" w:hAnsi="仿宋_GB2312" w:cs="仿宋_GB2312" w:eastAsia="仿宋_GB2312"/>
                <w:sz w:val="21"/>
              </w:rPr>
              <w:t>；</w:t>
            </w:r>
          </w:p>
          <w:p>
            <w:pPr>
              <w:pStyle w:val="null3"/>
              <w:spacing w:before="105" w:after="105"/>
              <w:jc w:val="left"/>
            </w:pPr>
            <w:r>
              <w:rPr>
                <w:rFonts w:ascii="仿宋_GB2312" w:hAnsi="仿宋_GB2312" w:cs="仿宋_GB2312" w:eastAsia="仿宋_GB2312"/>
                <w:sz w:val="21"/>
              </w:rPr>
              <w:t>7</w:t>
            </w:r>
            <w:r>
              <w:rPr>
                <w:rFonts w:ascii="仿宋_GB2312" w:hAnsi="仿宋_GB2312" w:cs="仿宋_GB2312" w:eastAsia="仿宋_GB2312"/>
                <w:sz w:val="21"/>
              </w:rPr>
              <w:t>.为便于在不同教学场景之间迅速、便捷地进行切换操作，学生应能够独立</w:t>
            </w:r>
            <w:r>
              <w:rPr>
                <w:rFonts w:ascii="仿宋_GB2312" w:hAnsi="仿宋_GB2312" w:cs="仿宋_GB2312" w:eastAsia="仿宋_GB2312"/>
                <w:sz w:val="21"/>
              </w:rPr>
              <w:t>通过按键</w:t>
            </w:r>
            <w:r>
              <w:rPr>
                <w:rFonts w:ascii="仿宋_GB2312" w:hAnsi="仿宋_GB2312" w:cs="仿宋_GB2312" w:eastAsia="仿宋_GB2312"/>
                <w:sz w:val="21"/>
              </w:rPr>
              <w:t>控制显示器的收纳，提升教学过程中的操作便利性与灵活性。</w:t>
            </w:r>
          </w:p>
          <w:p>
            <w:pPr>
              <w:pStyle w:val="null3"/>
              <w:spacing w:before="105" w:after="105"/>
              <w:jc w:val="left"/>
            </w:pPr>
            <w:r>
              <w:rPr>
                <w:rFonts w:ascii="仿宋_GB2312" w:hAnsi="仿宋_GB2312" w:cs="仿宋_GB2312" w:eastAsia="仿宋_GB2312"/>
                <w:sz w:val="21"/>
              </w:rPr>
              <w:t>8.支持防夹手功能，显示器收纳过程中遇异物后可自动反转，显示屏向反向运动。</w:t>
            </w:r>
          </w:p>
          <w:p>
            <w:pPr>
              <w:pStyle w:val="null3"/>
              <w:spacing w:before="105" w:after="105"/>
              <w:jc w:val="left"/>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学生</w:t>
            </w:r>
            <w:r>
              <w:rPr>
                <w:rFonts w:ascii="仿宋_GB2312" w:hAnsi="仿宋_GB2312" w:cs="仿宋_GB2312" w:eastAsia="仿宋_GB2312"/>
                <w:sz w:val="21"/>
              </w:rPr>
              <w:t>终端可嵌入课桌中，与课桌形成一个整体，共同采用一路输入电源，电源内置保险丝，保障设备及用电安全。</w:t>
            </w:r>
          </w:p>
          <w:p>
            <w:pPr>
              <w:pStyle w:val="null3"/>
              <w:spacing w:before="105" w:after="105"/>
              <w:jc w:val="left"/>
            </w:pPr>
            <w:r>
              <w:rPr>
                <w:rFonts w:ascii="仿宋_GB2312" w:hAnsi="仿宋_GB2312" w:cs="仿宋_GB2312" w:eastAsia="仿宋_GB2312"/>
                <w:sz w:val="21"/>
              </w:rPr>
              <w:t>10</w:t>
            </w:r>
            <w:r>
              <w:rPr>
                <w:rFonts w:ascii="仿宋_GB2312" w:hAnsi="仿宋_GB2312" w:cs="仿宋_GB2312" w:eastAsia="仿宋_GB2312"/>
                <w:sz w:val="21"/>
              </w:rPr>
              <w:t>.要求显示器支持HDMI高清输入接口，支持</w:t>
            </w:r>
            <w:r>
              <w:rPr>
                <w:rFonts w:ascii="仿宋_GB2312" w:hAnsi="仿宋_GB2312" w:cs="仿宋_GB2312" w:eastAsia="仿宋_GB2312"/>
                <w:sz w:val="21"/>
              </w:rPr>
              <w:t>学生终端</w:t>
            </w:r>
            <w:r>
              <w:rPr>
                <w:rFonts w:ascii="仿宋_GB2312" w:hAnsi="仿宋_GB2312" w:cs="仿宋_GB2312" w:eastAsia="仿宋_GB2312"/>
                <w:sz w:val="21"/>
              </w:rPr>
              <w:t>与</w:t>
            </w:r>
            <w:r>
              <w:rPr>
                <w:rFonts w:ascii="仿宋_GB2312" w:hAnsi="仿宋_GB2312" w:cs="仿宋_GB2312" w:eastAsia="仿宋_GB2312"/>
                <w:sz w:val="21"/>
              </w:rPr>
              <w:t>扩展</w:t>
            </w:r>
            <w:r>
              <w:rPr>
                <w:rFonts w:ascii="仿宋_GB2312" w:hAnsi="仿宋_GB2312" w:cs="仿宋_GB2312" w:eastAsia="仿宋_GB2312"/>
                <w:sz w:val="21"/>
              </w:rPr>
              <w:t>主机共用显示器。</w:t>
            </w:r>
          </w:p>
          <w:p>
            <w:pPr>
              <w:pStyle w:val="null3"/>
              <w:spacing w:before="105" w:after="105"/>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.显示器收纳控制要求支持三种方式（1）中控控制；（2）集中遥控控制；（3）单独按键控制。支持一键锁定功能，锁定后学生无法自行翻起或升起显示器。</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.因课程教学需要，要求课桌配置摄像头舱位，收纳摄像头及显示器后桌面应平整，提供产品资料证明。</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.在考试场景下，提供私密性保障屏风</w:t>
            </w:r>
            <w:r>
              <w:rPr>
                <w:rFonts w:ascii="仿宋_GB2312" w:hAnsi="仿宋_GB2312" w:cs="仿宋_GB2312" w:eastAsia="仿宋_GB2312"/>
                <w:sz w:val="21"/>
              </w:rPr>
              <w:t>；屏风颜色要求每学生位两侧采用磨砂白色，前侧采用透明材质；屏风</w:t>
            </w:r>
            <w:r>
              <w:rPr>
                <w:rFonts w:ascii="仿宋_GB2312" w:hAnsi="仿宋_GB2312" w:cs="仿宋_GB2312" w:eastAsia="仿宋_GB2312"/>
                <w:sz w:val="21"/>
              </w:rPr>
              <w:t>高度不低于</w:t>
            </w:r>
            <w:r>
              <w:rPr>
                <w:rFonts w:ascii="仿宋_GB2312" w:hAnsi="仿宋_GB2312" w:cs="仿宋_GB2312" w:eastAsia="仿宋_GB2312"/>
                <w:sz w:val="21"/>
              </w:rPr>
              <w:t>450mm，安装屏风后</w:t>
            </w:r>
            <w:r>
              <w:rPr>
                <w:rFonts w:ascii="仿宋_GB2312" w:hAnsi="仿宋_GB2312" w:cs="仿宋_GB2312" w:eastAsia="仿宋_GB2312"/>
                <w:sz w:val="21"/>
              </w:rPr>
              <w:t>课桌</w:t>
            </w:r>
            <w:r>
              <w:rPr>
                <w:rFonts w:ascii="仿宋_GB2312" w:hAnsi="仿宋_GB2312" w:cs="仿宋_GB2312" w:eastAsia="仿宋_GB2312"/>
                <w:sz w:val="21"/>
              </w:rPr>
              <w:t>总高度不低于</w:t>
            </w:r>
            <w:r>
              <w:rPr>
                <w:rFonts w:ascii="仿宋_GB2312" w:hAnsi="仿宋_GB2312" w:cs="仿宋_GB2312" w:eastAsia="仿宋_GB2312"/>
                <w:sz w:val="21"/>
              </w:rPr>
              <w:t>1200mm；形成独立空间，起到良好的隔音隔断效果，确保能最大程度降低相邻学生之间考试时的互相干扰和影响。</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学生</w:t>
            </w:r>
            <w:r>
              <w:rPr>
                <w:rFonts w:ascii="仿宋_GB2312" w:hAnsi="仿宋_GB2312" w:cs="仿宋_GB2312" w:eastAsia="仿宋_GB2312"/>
                <w:sz w:val="21"/>
              </w:rPr>
              <w:t>显示</w:t>
            </w:r>
            <w:r>
              <w:rPr>
                <w:rFonts w:ascii="仿宋_GB2312" w:hAnsi="仿宋_GB2312" w:cs="仿宋_GB2312" w:eastAsia="仿宋_GB2312"/>
                <w:sz w:val="21"/>
              </w:rPr>
              <w:t>课桌</w:t>
            </w:r>
            <w:r>
              <w:rPr>
                <w:rFonts w:ascii="仿宋_GB2312" w:hAnsi="仿宋_GB2312" w:cs="仿宋_GB2312" w:eastAsia="仿宋_GB2312"/>
                <w:sz w:val="21"/>
              </w:rPr>
              <w:t>按</w:t>
            </w:r>
            <w:r>
              <w:rPr>
                <w:rFonts w:ascii="仿宋_GB2312" w:hAnsi="仿宋_GB2312" w:cs="仿宋_GB2312" w:eastAsia="仿宋_GB2312"/>
                <w:sz w:val="21"/>
              </w:rPr>
              <w:t>附件中“</w:t>
            </w:r>
            <w:r>
              <w:rPr>
                <w:rFonts w:ascii="仿宋_GB2312" w:hAnsi="仿宋_GB2312" w:cs="仿宋_GB2312" w:eastAsia="仿宋_GB2312"/>
                <w:sz w:val="21"/>
              </w:rPr>
              <w:t>学生</w:t>
            </w:r>
            <w:r>
              <w:rPr>
                <w:rFonts w:ascii="仿宋_GB2312" w:hAnsi="仿宋_GB2312" w:cs="仿宋_GB2312" w:eastAsia="仿宋_GB2312"/>
                <w:sz w:val="21"/>
              </w:rPr>
              <w:t>显示</w:t>
            </w:r>
            <w:r>
              <w:rPr>
                <w:rFonts w:ascii="仿宋_GB2312" w:hAnsi="仿宋_GB2312" w:cs="仿宋_GB2312" w:eastAsia="仿宋_GB2312"/>
                <w:sz w:val="21"/>
              </w:rPr>
              <w:t>课桌</w:t>
            </w:r>
            <w:r>
              <w:rPr>
                <w:rFonts w:ascii="仿宋_GB2312" w:hAnsi="仿宋_GB2312" w:cs="仿宋_GB2312" w:eastAsia="仿宋_GB2312"/>
                <w:sz w:val="21"/>
              </w:rPr>
              <w:t>附图</w:t>
            </w:r>
            <w:r>
              <w:rPr>
                <w:rFonts w:ascii="仿宋_GB2312" w:hAnsi="仿宋_GB2312" w:cs="仿宋_GB2312" w:eastAsia="仿宋_GB2312"/>
                <w:sz w:val="21"/>
              </w:rPr>
              <w:t>”制作</w:t>
            </w:r>
            <w:r>
              <w:rPr>
                <w:rFonts w:ascii="仿宋_GB2312" w:hAnsi="仿宋_GB2312" w:cs="仿宋_GB2312" w:eastAsia="仿宋_GB2312"/>
                <w:sz w:val="21"/>
              </w:rPr>
              <w:t>。</w:t>
            </w:r>
          </w:p>
        </w:tc>
      </w:tr>
    </w:tbl>
    <w:p>
      <w:pPr>
        <w:pStyle w:val="null3"/>
        <w:jc w:val="left"/>
      </w:pPr>
      <w:r>
        <w:rPr>
          <w:rFonts w:ascii="仿宋_GB2312" w:hAnsi="仿宋_GB2312" w:cs="仿宋_GB2312" w:eastAsia="仿宋_GB2312"/>
        </w:rPr>
        <w:t>标的名称：学生座椅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学生座椅</w:t>
            </w:r>
          </w:p>
        </w:tc>
        <w:tc>
          <w:tcPr>
            <w:tcW w:type="dxa" w:w="5814"/>
          </w:tcPr>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1、规格尺寸≥340mm*240mm*450mm，要求与桌面同色；</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2、凳面采用2.5cm厚E0级别三聚氰胺板材，优质PVC圆角封边，硬度高，不易磨花，具有防火性能，经过防虫，防腐等化学处理，甲醛释放量符合国家标准；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3、凳腿采用25*25mm方管，壁管厚度不低于1.0mm，外表为全环保喷塑工艺，环保无味，耐用，凳脚底部使用专用ABS防滑垫，防止凳子滑动.</w:t>
            </w:r>
          </w:p>
        </w:tc>
      </w:tr>
    </w:tbl>
    <w:p>
      <w:pPr>
        <w:pStyle w:val="null3"/>
        <w:jc w:val="left"/>
      </w:pPr>
      <w:r>
        <w:rPr>
          <w:rFonts w:ascii="仿宋_GB2312" w:hAnsi="仿宋_GB2312" w:cs="仿宋_GB2312" w:eastAsia="仿宋_GB2312"/>
        </w:rPr>
        <w:t>标的名称：教师显示讲桌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教师显示讲桌</w:t>
            </w:r>
          </w:p>
        </w:tc>
        <w:tc>
          <w:tcPr>
            <w:tcW w:type="dxa" w:w="5814"/>
          </w:tcPr>
          <w:p>
            <w:pPr>
              <w:pStyle w:val="null3"/>
              <w:spacing w:before="105" w:after="105"/>
              <w:jc w:val="left"/>
            </w:pPr>
            <w:r>
              <w:rPr>
                <w:rFonts w:ascii="仿宋_GB2312" w:hAnsi="仿宋_GB2312" w:cs="仿宋_GB2312" w:eastAsia="仿宋_GB2312"/>
                <w:sz w:val="21"/>
              </w:rPr>
              <w:t>★1.为达成计算机教室多场景应用之目标，讲桌产品需具备灵活的显示器收纳功能，收纳完成后桌面应保持平整，以契合常规课程教学需求；讲桌尺寸不小于1400mm*600mm*750mm；</w:t>
            </w:r>
          </w:p>
          <w:p>
            <w:pPr>
              <w:pStyle w:val="null3"/>
              <w:spacing w:before="105" w:after="105"/>
              <w:jc w:val="left"/>
            </w:pPr>
            <w:r>
              <w:rPr>
                <w:rFonts w:ascii="仿宋_GB2312" w:hAnsi="仿宋_GB2312" w:cs="仿宋_GB2312" w:eastAsia="仿宋_GB2312"/>
                <w:sz w:val="21"/>
              </w:rPr>
              <w:t>2.兼容扩展20L以内塔式机箱，扩展塔式机箱后支持与讲桌内置算力终端共用显示器、键鼠，可灵活切换。</w:t>
            </w:r>
          </w:p>
          <w:p>
            <w:pPr>
              <w:pStyle w:val="null3"/>
              <w:spacing w:before="105" w:after="105"/>
              <w:jc w:val="left"/>
            </w:pPr>
            <w:r>
              <w:rPr>
                <w:rFonts w:ascii="仿宋_GB2312" w:hAnsi="仿宋_GB2312" w:cs="仿宋_GB2312" w:eastAsia="仿宋_GB2312"/>
                <w:sz w:val="21"/>
              </w:rPr>
              <w:t xml:space="preserve">★3.讲桌的设计应遵循人体工程学原理，保障教师在使用时能维持正确的坐姿与书写姿势，显示器角度可调节范围不低于90°~105°；当显示器收纳后，课桌整体高度不得低于 750 毫米，桌面下方腿部空间高度不低于 580 毫米； </w:t>
            </w:r>
          </w:p>
          <w:p>
            <w:pPr>
              <w:pStyle w:val="null3"/>
              <w:spacing w:before="105" w:after="105"/>
              <w:jc w:val="left"/>
            </w:pPr>
            <w:r>
              <w:rPr>
                <w:rFonts w:ascii="仿宋_GB2312" w:hAnsi="仿宋_GB2312" w:cs="仿宋_GB2312" w:eastAsia="仿宋_GB2312"/>
                <w:sz w:val="21"/>
              </w:rPr>
              <w:t>★4.为确保讲桌的耐用性以及结构强度，主体结构应采用全金属材质，承重结构金属厚度不低于1.2mm，桌面采用2.5cm厚E0级别三聚氰胺板材，优质PVC圆角封边，硬度高，不易磨花，具有防火性能，经过防虫，防腐等化学处理，甲醛释放量符合国家标准；</w:t>
            </w:r>
          </w:p>
          <w:p>
            <w:pPr>
              <w:pStyle w:val="null3"/>
              <w:spacing w:before="105" w:after="105"/>
              <w:jc w:val="left"/>
            </w:pPr>
            <w:r>
              <w:rPr>
                <w:rFonts w:ascii="仿宋_GB2312" w:hAnsi="仿宋_GB2312" w:cs="仿宋_GB2312" w:eastAsia="仿宋_GB2312"/>
                <w:sz w:val="21"/>
              </w:rPr>
              <w:t>★5.讲桌内置人体工学有线键鼠及23.8英寸高清显示器，显示器分辨率≥1920*1080@75Hz；配套提供弓形椅，外扩尺寸≥99*53*57cm；</w:t>
            </w:r>
          </w:p>
          <w:p>
            <w:pPr>
              <w:pStyle w:val="null3"/>
              <w:spacing w:before="105" w:after="105"/>
              <w:jc w:val="left"/>
            </w:pPr>
            <w:r>
              <w:rPr>
                <w:rFonts w:ascii="仿宋_GB2312" w:hAnsi="仿宋_GB2312" w:cs="仿宋_GB2312" w:eastAsia="仿宋_GB2312"/>
                <w:sz w:val="21"/>
              </w:rPr>
              <w:t>▲6.为便于在不同教学场景之间迅速、便捷地进行切换操作，教师应能够独立且手动控制显示器的收纳，提升教学过程中的操作便利性与灵活性。收纳结构寿命≥5000次，提供证明；</w:t>
            </w:r>
          </w:p>
          <w:p>
            <w:pPr>
              <w:pStyle w:val="null3"/>
              <w:spacing w:before="105" w:after="105"/>
              <w:jc w:val="left"/>
            </w:pPr>
            <w:r>
              <w:rPr>
                <w:rFonts w:ascii="仿宋_GB2312" w:hAnsi="仿宋_GB2312" w:cs="仿宋_GB2312" w:eastAsia="仿宋_GB2312"/>
                <w:sz w:val="21"/>
              </w:rPr>
              <w:t>▲7.讲桌的整体结构设计应当经过严谨科学的设计，具备卓越的稳定性与平衡性，有效降低发生侧翻事故的风险概率，切实保障学生在使用过程中的人身安全，提供证明；</w:t>
            </w:r>
          </w:p>
          <w:p>
            <w:pPr>
              <w:pStyle w:val="null3"/>
              <w:spacing w:before="105" w:after="105"/>
              <w:jc w:val="left"/>
            </w:pPr>
            <w:r>
              <w:rPr>
                <w:rFonts w:ascii="仿宋_GB2312" w:hAnsi="仿宋_GB2312" w:cs="仿宋_GB2312" w:eastAsia="仿宋_GB2312"/>
                <w:sz w:val="21"/>
              </w:rPr>
              <w:t>▲8.为学生营造健康的学习环境，讲桌中可能含有的各类有害物质，如甲醛、重金属、挥发性有机化合物等，其含量必须符合国家标准所规定的限量要求，提供证明；</w:t>
            </w:r>
          </w:p>
          <w:p>
            <w:pPr>
              <w:pStyle w:val="null3"/>
              <w:spacing w:before="105" w:after="105"/>
              <w:jc w:val="left"/>
            </w:pPr>
            <w:r>
              <w:rPr>
                <w:rFonts w:ascii="仿宋_GB2312" w:hAnsi="仿宋_GB2312" w:cs="仿宋_GB2312" w:eastAsia="仿宋_GB2312"/>
                <w:sz w:val="21"/>
              </w:rPr>
              <w:t>9. 管理终端与教师终端可嵌入讲桌中，与讲桌形成一个整体，教师终端与显示器可共同采用一路输入电源，电源内置保险丝，保障设备及用电安全</w:t>
            </w:r>
          </w:p>
          <w:p>
            <w:pPr>
              <w:pStyle w:val="null3"/>
              <w:jc w:val="left"/>
            </w:pPr>
            <w:r>
              <w:rPr>
                <w:rFonts w:ascii="仿宋_GB2312" w:hAnsi="仿宋_GB2312" w:cs="仿宋_GB2312" w:eastAsia="仿宋_GB2312"/>
                <w:sz w:val="21"/>
              </w:rPr>
              <w:t>▲10.要求显示器支持HDMI高清输入接口，支持教师终端与管理终端共用讲桌显示器。</w:t>
            </w:r>
          </w:p>
          <w:p>
            <w:pPr>
              <w:pStyle w:val="null3"/>
              <w:spacing w:before="105" w:after="105"/>
              <w:jc w:val="left"/>
            </w:pPr>
            <w:r>
              <w:rPr>
                <w:rFonts w:ascii="仿宋_GB2312" w:hAnsi="仿宋_GB2312" w:cs="仿宋_GB2312" w:eastAsia="仿宋_GB2312"/>
                <w:sz w:val="21"/>
              </w:rPr>
              <w:t>★11. 教师显示讲桌按附件中“教师显示讲桌附图”制作。</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80天</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阿坝州汶川县</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1付款条件：全部货物安装调试和试运行完毕并验收合格之日起，采购 人收到中标人提供的等额票据凭证资料以后，达到该付款条件起10个工作日内，支付合同总金额的100.00%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项目验收由采购人组织，中标人配合进行；采购人有权 邀请第三方机构或质检部门等共同验收。 （1）验收标准 按国家有关规定以及采购人招 标文件的质量要求和技术指标等每一项技术和商务要求、中标人的投标文件及承诺与本 合同约定标准进行验收； 甲乙双方如对质量要求和技术指标的约定标准有相互抵触或异 议的事项，由采购人在招标与投标文件中按质量要求和技术指标比较优胜的原则确定该 项的约定标准进行验收。 （2）验收程序：项目验收分中标方出厂自验、安装调试初验 及最终验收三个阶段。 ①出厂自验：中标人在货物出厂前，应按产品技术标准规定的检 验项目和试验方法进行全面检验，中标人应随同货物提供产品环保证明、质量合格证 书，其结果符合必须本项目验收标准的要求。 ②安装调试初验：中标人按照合同约定时 间内完成本项目的设备安装调试工作，设备安装、调试过程，中标人应作详细检验记 录；安装调试检验结果应符合本项目验收标准，检验记录应真实并提供给采购人。 ③最 终验收：初验合格后中标人按采购人要求准备验收资料并提交验收申请。由采购人组织 验收小组，中标人配合，按国家规定的标准要求、本项目验收标准、合同约定进行 最终验收，验收合格后采购人向中标人出具合格验收报告。 （3）其他未尽事宜应严格按照《财政部关于进一步加强政府采购需求和履约验收管理的指导意见》(财库〔2016〕 205号)的要求进行验收。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（1）投标人应有完善的技术支持与服务体系，并能 提供相关服务； （2）提供7×24小时的技术支持服务。接到采购人系统故障报修应30分 钟内响应，3小时内到达现场，12小时内不能排除故障的应提供备用机，以保证系统的正 常运转； （3）故障问题解决后24小时内，应向采购人提交问题处理报告，说明问题种 类、问题原因、问题解决中使用的方法及造成的损失等情况； （4）在质保期内(质保期 三年)，投标人对所投产品提供每年不少于2次的巡检和维护保养。当采购人有重要活动 时，投标人应当提供现场技术保障服务； （5）投标人承诺项目全部设备的各种部件均 保证齐备、充足供应，若因设备升级更新等原因不能保障供应造成采购人损失的，投标 人承担全部赔偿责任。</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 xml:space="preserve"> （一）违约责任 1、采购人违约责任 （1）采 购人无正当理由拒收货物、拒付货款的，采购人应向中标人偿付拒付货款10％的违约 金。 （2）采购人未按合同规定的期限向中标人支付货款的，每逾期1日采购人向中标人 偿付欠款总额的0.1‰违约金，但累计违约金总额不超过欠款总额的1％。 2、中标人违 约责任 （1）中标人所交付的货物不符合本合同规定的，采购人有权拒收，同时中标人 应向采购人支付合同总价20％的违约金。中标人应在得到采购人通知之日起10个工作日 内采取补救措施。若中标人上述期限内所提供的货物仍不符合规定，中标人应向采购人 另行支付合同总价20%的违约金，同时采购人有权单方面无条件解除合同。 （2）中标人 无正当理由逾期交付货物的，每逾期1日，中标人向采购人偿付逾期交货部分货款总金额 的3%的违约金。如中标人逾期交货达10日，采购人有权解除合同，采购人解除合同的通 43/45 2026/2/6 10:18 知自到达中标人时生效。在此情况下，中标人给采购人造成的实际损失高于违约金的， 对高出违约金的部分中标人应予以赔偿。 （3）中标人保证在项目验收合格之日起，设 备在一年内运行（使用）过程中无任何质量问题，若在一年内存在质量问题，中标人须 按采人要求完成整改；同时，在中标人承诺的或国家规定的质量保证期内（取两者中最 长的期限），如经中标人2次维修，货物仍不能达到合同约定的质量标准、运行效果的， 采购人有权要求中标人更换为全新合格货物并按本条第1款处理，且中标人还须赔偿采购 人因此遭受的损失。 （4）中标人保证本合同货物的权利无瑕疵，包括货物所有权及知 识产权等权利无瑕疵。如产生了任何的纠纷、索赔或诉讼等，中标人除应向采购人返还 已收款项外，还应另按合同总价的20%向采购人支付违约金并赔偿因此给采购人造成的一 切损失。 （5）中标人应支付的违约金等费用，采购人有权从未付款中予以扣除。 （6）若因中标人原因导致采购人解除合同的，采购人已支付的款项中标人应全部退还并 按同期LPR向采购人支付利息（自中标人收款之日起算），未付款项，采购人有权不予支 付。 3、一方偿付的违约金不足以弥补另一方损失的，还应按另一方损失尚未弥补的部 分，支付赔偿金给另一方。 （二）争议解决的办法 1、因货物的质量问题发生争议的， 应当邀请国家认可的质量检测机构对货物质量进行鉴定。货物符合标准的，鉴定费由采 购人承担；货物不符合质量标准的，鉴定费由中标人承担。 2、在解释或者执行本合同 的过程中发生争议时，双方应通过协商方式解决。 3、经协商不能解决的争议，双方可 选择以下第（1）种方式解决： （1）向采购人所在地有管辖权的法院提起诉讼； （2） 向汶川仲裁委员会提出仲裁。 4、在法院审理和仲裁期间，除有争议部分外，本合同其 他部分可以履行的仍应按合同条款继续履行。</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一、供应商需提供针对本项目的实施方案、售后服务方案和履约能力。二、质量要求:1.产品满足国家及行业相关规范标准,所涉及标准全部以国家及行业相关规范标准最新标准为准；2.涉及3C产品的，需提供3C认证证书复印件或相关承诺。 三、此项目无电梯，所有货物均需人工搬运，费用包含在报价中。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 xml:space="preserve"> 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响应文件的完整性、有效性和响应程度进行审查</w:t>
            </w:r>
          </w:p>
        </w:tc>
        <w:tc>
          <w:tcPr>
            <w:tcW w:type="dxa" w:w="3322"/>
          </w:tcPr>
          <w:p>
            <w:pPr>
              <w:pStyle w:val="null3"/>
              <w:jc w:val="left"/>
            </w:pPr>
            <w:r>
              <w:rPr>
                <w:rFonts w:ascii="仿宋_GB2312" w:hAnsi="仿宋_GB2312" w:cs="仿宋_GB2312" w:eastAsia="仿宋_GB2312"/>
              </w:rPr>
              <w:t>按采购文件要求进行评审</w:t>
            </w:r>
          </w:p>
        </w:tc>
        <w:tc>
          <w:tcPr>
            <w:tcW w:type="dxa" w:w="1661"/>
          </w:tcPr>
          <w:p>
            <w:pPr>
              <w:pStyle w:val="null3"/>
              <w:jc w:val="left"/>
            </w:pPr>
            <w:r>
              <w:rPr>
                <w:rFonts w:ascii="仿宋_GB2312" w:hAnsi="仿宋_GB2312" w:cs="仿宋_GB2312" w:eastAsia="仿宋_GB2312"/>
              </w:rPr>
              <w:t>售后服务方案.docx,产品技术参数响应表,中小企业声明函,报价表,供应商认为需要提供的文件和材料.docx,节能产品认证证书.docx,项目实施方案.docx,履约能力.docx,残疾人福利性单位声明函,环境标志产品认证证书.docx,投标文件封面,服务应答表,投标（响应）函,监狱企业的证明文件</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第三章技术、服务及其他要求中“ ★”条款审查</w:t>
            </w:r>
          </w:p>
        </w:tc>
        <w:tc>
          <w:tcPr>
            <w:tcW w:type="dxa" w:w="3322"/>
          </w:tcPr>
          <w:p>
            <w:pPr>
              <w:pStyle w:val="null3"/>
              <w:jc w:val="left"/>
            </w:pPr>
            <w:r>
              <w:rPr>
                <w:rFonts w:ascii="仿宋_GB2312" w:hAnsi="仿宋_GB2312" w:cs="仿宋_GB2312" w:eastAsia="仿宋_GB2312"/>
              </w:rPr>
              <w:t>满足技术、服务及其他要求中“★”条款的要求</w:t>
            </w:r>
          </w:p>
        </w:tc>
        <w:tc>
          <w:tcPr>
            <w:tcW w:type="dxa" w:w="1661"/>
          </w:tcPr>
          <w:p>
            <w:pPr>
              <w:pStyle w:val="null3"/>
              <w:jc w:val="left"/>
            </w:pPr>
            <w:r>
              <w:rPr>
                <w:rFonts w:ascii="仿宋_GB2312" w:hAnsi="仿宋_GB2312" w:cs="仿宋_GB2312" w:eastAsia="仿宋_GB2312"/>
              </w:rPr>
              <w:t>产品技术参数响应表,服务应答表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供应商提供2022年1月1日（含）至今具有的类似项目，每有1个得1分，最多得4分。（提供合同复印件或中标（中选/成交）通知书复印件加盖供应商公章。）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提供的项目实施方案（含①项目组织方案、②项目进度计划（进度节点时间、进度内容）、③质量控制与措施、④应急预案、⑤验收方案）进行综合评审，以上内容齐全且完全满足项目需求的，得15分，每缺少一项内容扣3分，每有一项内容不完善或不具备可实施性的扣1.5分，本项分值扣完为止。（注：不完善或不具备可实施性指方案内容与本项目（包件）需求不符或无关、引用或适用的法律法规（规范标准）或其他规范性文件错误或失效、项目（包件）名称错误、地点区域错误、 方案标题与实际内容不相符合、套用其他项目方案、照搬采购文件内容且未作出进一步描述的任意一种情形。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技术参数响应</w:t>
            </w:r>
          </w:p>
        </w:tc>
        <w:tc>
          <w:tcPr>
            <w:tcW w:type="dxa" w:w="2575"/>
          </w:tcPr>
          <w:p>
            <w:pPr>
              <w:pStyle w:val="null3"/>
              <w:jc w:val="left"/>
            </w:pPr>
            <w:r>
              <w:rPr>
                <w:rFonts w:ascii="仿宋_GB2312" w:hAnsi="仿宋_GB2312" w:cs="仿宋_GB2312" w:eastAsia="仿宋_GB2312"/>
              </w:rPr>
              <w:t>根据投标人对招标文件“技术参数及要求 ”的响应程度进行评分。本项最高得39分。评分原则为：1、带“★”号的技术参数为实质性要求，不参与评分。2.带“▲”号的技术参数共24条，完全响应得36分，每有一项负偏离扣1.5分。 3. 非“★”和“▲”号的技术参数共60条，完全响应得3分，每有一项负偏离扣0.05分。 注：技术参数不响应或不按要求提供相关材料，都视为负偏离；技术条款的计算按每个产品项下 “1” 、 “2” 、 “3” …标号作为计算条数。</w:t>
            </w:r>
          </w:p>
        </w:tc>
        <w:tc>
          <w:tcPr>
            <w:tcW w:type="dxa" w:w="831"/>
          </w:tcPr>
          <w:p>
            <w:pPr>
              <w:pStyle w:val="null3"/>
              <w:jc w:val="center"/>
            </w:pPr>
            <w:r>
              <w:rPr>
                <w:rFonts w:ascii="仿宋_GB2312" w:hAnsi="仿宋_GB2312" w:cs="仿宋_GB2312" w:eastAsia="仿宋_GB2312"/>
              </w:rPr>
              <w:t>39.0000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根据供应商针对本项目 制定的售后服务方案包 括：①维修响应时间， ②售后服务电话，③项 目特点制定备品备件， ④人员配备及培训计 划，⑤售后服务保障措施，⑥供应商紧急故障 处理方案，根据方案的合理性、全面性进行综合评审。以上内容齐全且完全满足项目需求的 得12分，每缺少一项内容扣2分，每有一项内容不完善，不清晰、不 详尽或不具备可实施性的扣1分，本项分值扣完为止。注：不完善 或不具备可实施性指方 案内容与本项目（包 件）需求不符或无关、 引用或适用的法律法规 （规范标准）或其他规 范性文件错误或失效、 项目（包件）名称错 误、地点区域错误、方案标题与实际内容不相符合、套用其他项目方 案、照搬采购文件内容 且未作出进一步描述的 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投标人响应的优先采购的节能产品，确定具有节能产品认证证书的数量，合并计入优先采购产品认证证书数量。说明：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节能产品认证证书.docx</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环境标志产品认证证书.docx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详见附件：项目实施方案.docx</w:t>
      </w:r>
    </w:p>
    <w:p>
      <w:pPr>
        <w:pStyle w:val="null3"/>
        <w:ind w:firstLine="960"/>
        <w:jc w:val="left"/>
      </w:pPr>
      <w:r>
        <w:rPr>
          <w:rFonts w:ascii="仿宋_GB2312" w:hAnsi="仿宋_GB2312" w:cs="仿宋_GB2312" w:eastAsia="仿宋_GB2312"/>
        </w:rPr>
        <w:t>详见附件：售后服务方案.docx</w:t>
      </w:r>
    </w:p>
    <w:p>
      <w:pPr>
        <w:pStyle w:val="null3"/>
        <w:ind w:firstLine="960"/>
        <w:jc w:val="left"/>
      </w:pPr>
      <w:r>
        <w:rPr>
          <w:rFonts w:ascii="仿宋_GB2312" w:hAnsi="仿宋_GB2312" w:cs="仿宋_GB2312" w:eastAsia="仿宋_GB2312"/>
        </w:rPr>
        <w:t>详见附件：履约能力.docx</w:t>
      </w:r>
    </w:p>
    <w:p>
      <w:pPr>
        <w:pStyle w:val="null3"/>
        <w:ind w:firstLine="960"/>
        <w:jc w:val="left"/>
      </w:pPr>
      <w:r>
        <w:rPr>
          <w:rFonts w:ascii="仿宋_GB2312" w:hAnsi="仿宋_GB2312" w:cs="仿宋_GB2312" w:eastAsia="仿宋_GB2312"/>
        </w:rPr>
        <w:t>详见附件：供应商认为需要提供的文件和材料.docx</w:t>
      </w:r>
    </w:p>
    <w:p>
      <w:pPr>
        <w:pStyle w:val="null3"/>
        <w:ind w:firstLine="960"/>
        <w:jc w:val="left"/>
      </w:pPr>
      <w:r>
        <w:rPr>
          <w:rFonts w:ascii="仿宋_GB2312" w:hAnsi="仿宋_GB2312" w:cs="仿宋_GB2312" w:eastAsia="仿宋_GB2312"/>
        </w:rPr>
        <w:t>详见附件：环境标志产品认证证书.docx</w:t>
      </w:r>
    </w:p>
    <w:p>
      <w:pPr>
        <w:pStyle w:val="null3"/>
        <w:ind w:firstLine="960"/>
        <w:jc w:val="left"/>
      </w:pPr>
      <w:r>
        <w:rPr>
          <w:rFonts w:ascii="仿宋_GB2312" w:hAnsi="仿宋_GB2312" w:cs="仿宋_GB2312" w:eastAsia="仿宋_GB2312"/>
        </w:rPr>
        <w:t>详见附件：节能产品认证证书.docx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