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6ABD18">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eastAsia" w:ascii="仿宋_GB2312" w:hAnsi="仿宋" w:eastAsia="仿宋_GB2312"/>
          <w:bCs/>
          <w:sz w:val="44"/>
          <w:szCs w:val="44"/>
          <w:highlight w:val="none"/>
        </w:rPr>
      </w:pPr>
      <w:r>
        <w:rPr>
          <w:rFonts w:hint="eastAsia" w:ascii="仿宋_GB2312" w:hAnsi="仿宋" w:eastAsia="仿宋_GB2312"/>
          <w:b/>
          <w:bCs w:val="0"/>
          <w:sz w:val="44"/>
          <w:szCs w:val="44"/>
          <w:highlight w:val="none"/>
        </w:rPr>
        <w:t>拟签订采购合同文本</w:t>
      </w:r>
    </w:p>
    <w:p w14:paraId="33114842">
      <w:pPr>
        <w:spacing w:line="360" w:lineRule="auto"/>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eastAsia="zh-CN"/>
        </w:rPr>
        <w:t xml:space="preserve">甲方（采购人）： </w:t>
      </w:r>
    </w:p>
    <w:p w14:paraId="5F983D81">
      <w:pPr>
        <w:spacing w:line="360" w:lineRule="auto"/>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eastAsia="zh-CN"/>
        </w:rPr>
        <w:t xml:space="preserve">乙方（成交供应商）： </w:t>
      </w:r>
    </w:p>
    <w:p w14:paraId="039A7E50">
      <w:pPr>
        <w:wordWrap w:val="0"/>
        <w:spacing w:line="360" w:lineRule="auto"/>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u w:val="single"/>
          <w:lang w:eastAsia="zh-CN"/>
        </w:rPr>
        <w:t>计算机教室设备采购项目(项目编号：SXHC2026-199)</w:t>
      </w:r>
      <w:r>
        <w:rPr>
          <w:rFonts w:hint="eastAsia" w:ascii="仿宋_GB2312" w:hAnsi="仿宋_GB2312" w:eastAsia="仿宋_GB2312" w:cs="仿宋_GB2312"/>
          <w:bCs/>
          <w:sz w:val="28"/>
          <w:szCs w:val="28"/>
          <w:lang w:eastAsia="zh-CN"/>
        </w:rPr>
        <w:t>，由陕西华采招标有限公司组织竞争性</w:t>
      </w:r>
      <w:r>
        <w:rPr>
          <w:rFonts w:hint="eastAsia" w:ascii="仿宋_GB2312" w:hAnsi="仿宋_GB2312" w:eastAsia="仿宋_GB2312" w:cs="仿宋_GB2312"/>
          <w:bCs/>
          <w:sz w:val="28"/>
          <w:szCs w:val="28"/>
          <w:lang w:val="en-US" w:eastAsia="zh-CN"/>
        </w:rPr>
        <w:t>谈判</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u w:val="single"/>
          <w:lang w:eastAsia="zh-CN"/>
        </w:rPr>
        <w:t xml:space="preserve">       </w:t>
      </w:r>
      <w:r>
        <w:rPr>
          <w:rFonts w:hint="eastAsia" w:ascii="仿宋_GB2312" w:hAnsi="仿宋_GB2312" w:eastAsia="仿宋_GB2312" w:cs="仿宋_GB2312"/>
          <w:bCs/>
          <w:sz w:val="28"/>
          <w:szCs w:val="28"/>
          <w:lang w:eastAsia="zh-CN"/>
        </w:rPr>
        <w:t>(以下简称“甲方”)确定</w:t>
      </w:r>
      <w:r>
        <w:rPr>
          <w:rFonts w:hint="eastAsia" w:ascii="仿宋_GB2312" w:hAnsi="仿宋_GB2312" w:eastAsia="仿宋_GB2312" w:cs="仿宋_GB2312"/>
          <w:bCs/>
          <w:sz w:val="28"/>
          <w:szCs w:val="28"/>
          <w:u w:val="single"/>
          <w:lang w:eastAsia="zh-CN"/>
        </w:rPr>
        <w:t xml:space="preserve">         </w:t>
      </w:r>
      <w:r>
        <w:rPr>
          <w:rFonts w:hint="eastAsia" w:ascii="仿宋_GB2312" w:hAnsi="仿宋_GB2312" w:eastAsia="仿宋_GB2312" w:cs="仿宋_GB2312"/>
          <w:bCs/>
          <w:sz w:val="28"/>
          <w:szCs w:val="28"/>
          <w:lang w:eastAsia="zh-CN"/>
        </w:rPr>
        <w:t>（以下简称“乙方”）为该项目的成交供应商。</w:t>
      </w:r>
    </w:p>
    <w:p w14:paraId="13D9A341">
      <w:pPr>
        <w:kinsoku/>
        <w:spacing w:line="360" w:lineRule="auto"/>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eastAsia="zh-CN"/>
        </w:rPr>
        <w:t>依据《中华人民共和国民法典》和《中华人民共和国政府采购法》之规定，经双方在平等、自愿、互利的基础上，签订本合同，共同信守。</w:t>
      </w:r>
    </w:p>
    <w:p w14:paraId="15588108">
      <w:pPr>
        <w:kinsoku/>
        <w:spacing w:line="576" w:lineRule="exact"/>
        <w:ind w:firstLine="482" w:firstLineChars="200"/>
        <w:rPr>
          <w:rFonts w:hint="eastAsia" w:ascii="仿宋_GB2312" w:hAnsi="仿宋_GB2312" w:eastAsia="仿宋_GB2312" w:cs="仿宋_GB2312"/>
          <w:b/>
          <w:bCs/>
          <w:sz w:val="28"/>
          <w:szCs w:val="28"/>
          <w:lang w:val="zh-CN" w:eastAsia="zh-CN"/>
        </w:rPr>
      </w:pPr>
      <w:r>
        <w:rPr>
          <w:rFonts w:hint="eastAsia" w:ascii="仿宋_GB2312" w:hAnsi="仿宋" w:eastAsia="仿宋_GB2312"/>
          <w:b/>
          <w:sz w:val="24"/>
          <w:szCs w:val="24"/>
          <w:lang w:eastAsia="zh-CN"/>
        </w:rPr>
        <w:t>一、</w:t>
      </w:r>
      <w:r>
        <w:rPr>
          <w:rFonts w:hint="eastAsia" w:ascii="仿宋_GB2312" w:hAnsi="仿宋_GB2312" w:eastAsia="仿宋_GB2312" w:cs="仿宋_GB2312"/>
          <w:b/>
          <w:bCs/>
          <w:sz w:val="28"/>
          <w:szCs w:val="28"/>
          <w:lang w:val="zh-CN" w:eastAsia="zh-CN"/>
        </w:rPr>
        <w:t>合同标的</w:t>
      </w:r>
      <w:r>
        <w:rPr>
          <w:rFonts w:hint="eastAsia" w:ascii="仿宋_GB2312" w:hAnsi="仿宋_GB2312" w:eastAsia="仿宋_GB2312" w:cs="仿宋_GB2312"/>
          <w:b/>
          <w:bCs/>
          <w:sz w:val="28"/>
          <w:szCs w:val="28"/>
          <w:lang w:eastAsia="zh-CN"/>
        </w:rPr>
        <w:t>物内容</w:t>
      </w:r>
      <w:r>
        <w:rPr>
          <w:rFonts w:hint="eastAsia" w:ascii="仿宋_GB2312" w:hAnsi="仿宋_GB2312" w:eastAsia="仿宋_GB2312" w:cs="仿宋_GB2312"/>
          <w:b/>
          <w:bCs/>
          <w:sz w:val="28"/>
          <w:szCs w:val="28"/>
          <w:lang w:val="zh-CN" w:eastAsia="zh-CN"/>
        </w:rPr>
        <w:t>及数量</w:t>
      </w:r>
    </w:p>
    <w:p w14:paraId="71A53B97">
      <w:pPr>
        <w:kinsoku/>
        <w:spacing w:line="576" w:lineRule="exact"/>
        <w:ind w:firstLine="560" w:firstLineChars="200"/>
        <w:rPr>
          <w:rFonts w:hint="eastAsia" w:ascii="仿宋_GB2312" w:hAnsi="仿宋_GB2312" w:eastAsia="仿宋_GB2312" w:cs="仿宋_GB2312"/>
          <w:bCs/>
          <w:sz w:val="28"/>
          <w:szCs w:val="28"/>
          <w:lang w:val="zh-CN" w:eastAsia="zh-CN"/>
        </w:rPr>
      </w:pPr>
      <w:r>
        <w:rPr>
          <w:rFonts w:hint="eastAsia" w:ascii="仿宋_GB2312" w:hAnsi="仿宋_GB2312" w:eastAsia="仿宋_GB2312" w:cs="仿宋_GB2312"/>
          <w:bCs/>
          <w:sz w:val="28"/>
          <w:szCs w:val="28"/>
          <w:lang w:val="zh-CN" w:eastAsia="zh-CN"/>
        </w:rPr>
        <w:t>乙方向甲方提供下列货物（产品）：</w:t>
      </w:r>
    </w:p>
    <w:tbl>
      <w:tblPr>
        <w:tblStyle w:val="13"/>
        <w:tblW w:w="5000" w:type="pct"/>
        <w:tblInd w:w="0" w:type="dxa"/>
        <w:tblLayout w:type="autofit"/>
        <w:tblCellMar>
          <w:top w:w="0" w:type="dxa"/>
          <w:left w:w="108" w:type="dxa"/>
          <w:bottom w:w="0" w:type="dxa"/>
          <w:right w:w="108" w:type="dxa"/>
        </w:tblCellMar>
      </w:tblPr>
      <w:tblGrid>
        <w:gridCol w:w="1139"/>
        <w:gridCol w:w="1145"/>
        <w:gridCol w:w="1140"/>
        <w:gridCol w:w="1140"/>
        <w:gridCol w:w="1140"/>
        <w:gridCol w:w="1156"/>
        <w:gridCol w:w="1264"/>
        <w:gridCol w:w="1167"/>
      </w:tblGrid>
      <w:tr w14:paraId="221FFE06">
        <w:tblPrEx>
          <w:tblCellMar>
            <w:top w:w="0" w:type="dxa"/>
            <w:left w:w="108" w:type="dxa"/>
            <w:bottom w:w="0" w:type="dxa"/>
            <w:right w:w="108" w:type="dxa"/>
          </w:tblCellMar>
        </w:tblPrEx>
        <w:trPr>
          <w:trHeight w:val="1215" w:hRule="atLeast"/>
        </w:trPr>
        <w:tc>
          <w:tcPr>
            <w:tcW w:w="613" w:type="pct"/>
            <w:tcBorders>
              <w:top w:val="single" w:color="000000" w:sz="4" w:space="0"/>
              <w:left w:val="single" w:color="000000" w:sz="4" w:space="0"/>
              <w:bottom w:val="single" w:color="000000" w:sz="4" w:space="0"/>
              <w:right w:val="single" w:color="000000" w:sz="4" w:space="0"/>
            </w:tcBorders>
            <w:noWrap w:val="0"/>
            <w:vAlign w:val="center"/>
          </w:tcPr>
          <w:p w14:paraId="152DA930">
            <w:pPr>
              <w:kinsoku/>
              <w:spacing w:line="576" w:lineRule="exact"/>
              <w:jc w:val="center"/>
              <w:textAlignment w:val="center"/>
              <w:rPr>
                <w:rFonts w:hint="eastAsia" w:ascii="仿宋_GB2312" w:hAnsi="宋体" w:eastAsia="仿宋_GB2312" w:cs="仿宋_GB2312"/>
                <w:sz w:val="28"/>
                <w:szCs w:val="28"/>
              </w:rPr>
            </w:pPr>
            <w:r>
              <w:rPr>
                <w:rFonts w:hint="eastAsia" w:ascii="仿宋_GB2312" w:hAnsi="宋体" w:eastAsia="仿宋_GB2312" w:cs="仿宋_GB2312"/>
                <w:sz w:val="28"/>
                <w:szCs w:val="28"/>
                <w:lang w:eastAsia="zh-CN" w:bidi="ar"/>
              </w:rPr>
              <w:t>序号</w:t>
            </w:r>
          </w:p>
        </w:tc>
        <w:tc>
          <w:tcPr>
            <w:tcW w:w="615" w:type="pct"/>
            <w:tcBorders>
              <w:top w:val="single" w:color="000000" w:sz="4" w:space="0"/>
              <w:left w:val="single" w:color="000000" w:sz="4" w:space="0"/>
              <w:bottom w:val="single" w:color="000000" w:sz="4" w:space="0"/>
              <w:right w:val="single" w:color="000000" w:sz="4" w:space="0"/>
            </w:tcBorders>
            <w:noWrap w:val="0"/>
            <w:vAlign w:val="center"/>
          </w:tcPr>
          <w:p w14:paraId="63B0C3D2">
            <w:pPr>
              <w:kinsoku/>
              <w:spacing w:line="576" w:lineRule="exact"/>
              <w:jc w:val="center"/>
              <w:textAlignment w:val="center"/>
              <w:rPr>
                <w:rFonts w:hint="eastAsia" w:ascii="仿宋_GB2312" w:hAnsi="宋体" w:eastAsia="仿宋_GB2312" w:cs="仿宋_GB2312"/>
                <w:sz w:val="28"/>
                <w:szCs w:val="28"/>
                <w:lang w:eastAsia="zh-CN" w:bidi="ar"/>
              </w:rPr>
            </w:pPr>
            <w:r>
              <w:rPr>
                <w:rFonts w:hint="eastAsia" w:ascii="仿宋_GB2312" w:hAnsi="宋体" w:eastAsia="仿宋_GB2312" w:cs="仿宋_GB2312"/>
                <w:sz w:val="28"/>
                <w:szCs w:val="28"/>
                <w:lang w:eastAsia="zh-CN" w:bidi="ar"/>
              </w:rPr>
              <w:t>货物</w:t>
            </w:r>
          </w:p>
          <w:p w14:paraId="4A81C486">
            <w:pPr>
              <w:kinsoku/>
              <w:spacing w:line="576" w:lineRule="exact"/>
              <w:jc w:val="center"/>
              <w:textAlignment w:val="center"/>
              <w:rPr>
                <w:rFonts w:hint="eastAsia" w:ascii="仿宋_GB2312" w:hAnsi="宋体" w:eastAsia="仿宋_GB2312" w:cs="仿宋_GB2312"/>
                <w:sz w:val="28"/>
                <w:szCs w:val="28"/>
              </w:rPr>
            </w:pPr>
            <w:r>
              <w:rPr>
                <w:rFonts w:hint="eastAsia" w:ascii="仿宋_GB2312" w:hAnsi="宋体" w:eastAsia="仿宋_GB2312" w:cs="仿宋_GB2312"/>
                <w:sz w:val="28"/>
                <w:szCs w:val="28"/>
                <w:lang w:eastAsia="zh-CN" w:bidi="ar"/>
              </w:rPr>
              <w:t>名称</w:t>
            </w:r>
          </w:p>
        </w:tc>
        <w:tc>
          <w:tcPr>
            <w:tcW w:w="613" w:type="pct"/>
            <w:tcBorders>
              <w:top w:val="single" w:color="000000" w:sz="4" w:space="0"/>
              <w:left w:val="single" w:color="000000" w:sz="4" w:space="0"/>
              <w:bottom w:val="single" w:color="000000" w:sz="4" w:space="0"/>
              <w:right w:val="single" w:color="000000" w:sz="4" w:space="0"/>
            </w:tcBorders>
            <w:noWrap w:val="0"/>
            <w:vAlign w:val="center"/>
          </w:tcPr>
          <w:p w14:paraId="01AF7F69">
            <w:pPr>
              <w:kinsoku/>
              <w:spacing w:line="576" w:lineRule="exact"/>
              <w:jc w:val="center"/>
              <w:textAlignment w:val="center"/>
              <w:rPr>
                <w:rFonts w:hint="eastAsia" w:ascii="仿宋_GB2312" w:hAnsi="宋体" w:eastAsia="仿宋_GB2312" w:cs="仿宋_GB2312"/>
                <w:sz w:val="28"/>
                <w:szCs w:val="28"/>
              </w:rPr>
            </w:pPr>
            <w:r>
              <w:rPr>
                <w:rFonts w:hint="eastAsia" w:ascii="仿宋_GB2312" w:hAnsi="宋体" w:eastAsia="仿宋_GB2312" w:cs="仿宋_GB2312"/>
                <w:sz w:val="28"/>
                <w:szCs w:val="28"/>
                <w:lang w:eastAsia="zh-CN" w:bidi="ar"/>
              </w:rPr>
              <w:t>品牌/型号</w:t>
            </w:r>
          </w:p>
        </w:tc>
        <w:tc>
          <w:tcPr>
            <w:tcW w:w="613" w:type="pct"/>
            <w:tcBorders>
              <w:top w:val="single" w:color="000000" w:sz="4" w:space="0"/>
              <w:left w:val="single" w:color="000000" w:sz="4" w:space="0"/>
              <w:bottom w:val="single" w:color="000000" w:sz="4" w:space="0"/>
              <w:right w:val="single" w:color="000000" w:sz="4" w:space="0"/>
            </w:tcBorders>
            <w:noWrap w:val="0"/>
            <w:vAlign w:val="center"/>
          </w:tcPr>
          <w:p w14:paraId="387D6E22">
            <w:pPr>
              <w:kinsoku/>
              <w:spacing w:line="576" w:lineRule="exact"/>
              <w:jc w:val="center"/>
              <w:textAlignment w:val="center"/>
              <w:rPr>
                <w:rFonts w:hint="eastAsia" w:ascii="仿宋_GB2312" w:hAnsi="宋体" w:eastAsia="仿宋_GB2312" w:cs="仿宋_GB2312"/>
                <w:sz w:val="28"/>
                <w:szCs w:val="28"/>
              </w:rPr>
            </w:pPr>
            <w:r>
              <w:rPr>
                <w:rFonts w:hint="eastAsia" w:ascii="仿宋_GB2312" w:hAnsi="宋体" w:eastAsia="仿宋_GB2312" w:cs="仿宋_GB2312"/>
                <w:sz w:val="28"/>
                <w:szCs w:val="28"/>
                <w:lang w:eastAsia="zh-CN" w:bidi="ar"/>
              </w:rPr>
              <w:t>规格</w:t>
            </w:r>
          </w:p>
        </w:tc>
        <w:tc>
          <w:tcPr>
            <w:tcW w:w="613" w:type="pct"/>
            <w:tcBorders>
              <w:top w:val="single" w:color="000000" w:sz="4" w:space="0"/>
              <w:left w:val="single" w:color="000000" w:sz="4" w:space="0"/>
              <w:bottom w:val="single" w:color="000000" w:sz="4" w:space="0"/>
              <w:right w:val="single" w:color="000000" w:sz="4" w:space="0"/>
            </w:tcBorders>
            <w:noWrap w:val="0"/>
            <w:vAlign w:val="center"/>
          </w:tcPr>
          <w:p w14:paraId="6358EF14">
            <w:pPr>
              <w:kinsoku/>
              <w:spacing w:line="576" w:lineRule="exact"/>
              <w:jc w:val="center"/>
              <w:textAlignment w:val="center"/>
              <w:rPr>
                <w:rFonts w:hint="eastAsia" w:ascii="仿宋_GB2312" w:hAnsi="宋体" w:eastAsia="仿宋_GB2312" w:cs="仿宋_GB2312"/>
                <w:sz w:val="28"/>
                <w:szCs w:val="28"/>
              </w:rPr>
            </w:pPr>
            <w:r>
              <w:rPr>
                <w:rFonts w:hint="eastAsia" w:ascii="仿宋_GB2312" w:hAnsi="宋体" w:eastAsia="仿宋_GB2312" w:cs="仿宋_GB2312"/>
                <w:sz w:val="28"/>
                <w:szCs w:val="28"/>
                <w:lang w:eastAsia="zh-CN" w:bidi="ar"/>
              </w:rPr>
              <w:t>单位</w:t>
            </w:r>
          </w:p>
        </w:tc>
        <w:tc>
          <w:tcPr>
            <w:tcW w:w="619" w:type="pct"/>
            <w:tcBorders>
              <w:top w:val="single" w:color="000000" w:sz="4" w:space="0"/>
              <w:left w:val="single" w:color="000000" w:sz="4" w:space="0"/>
              <w:bottom w:val="single" w:color="000000" w:sz="4" w:space="0"/>
              <w:right w:val="single" w:color="000000" w:sz="4" w:space="0"/>
            </w:tcBorders>
            <w:noWrap w:val="0"/>
            <w:vAlign w:val="center"/>
          </w:tcPr>
          <w:p w14:paraId="0D89707A">
            <w:pPr>
              <w:kinsoku/>
              <w:spacing w:line="576" w:lineRule="exact"/>
              <w:jc w:val="center"/>
              <w:textAlignment w:val="center"/>
              <w:rPr>
                <w:rFonts w:hint="eastAsia" w:ascii="仿宋_GB2312" w:hAnsi="宋体" w:eastAsia="仿宋_GB2312" w:cs="仿宋_GB2312"/>
                <w:sz w:val="28"/>
                <w:szCs w:val="28"/>
              </w:rPr>
            </w:pPr>
            <w:r>
              <w:rPr>
                <w:rFonts w:hint="eastAsia" w:ascii="仿宋_GB2312" w:hAnsi="宋体" w:eastAsia="仿宋_GB2312" w:cs="仿宋_GB2312"/>
                <w:sz w:val="28"/>
                <w:szCs w:val="28"/>
                <w:lang w:eastAsia="zh-CN" w:bidi="ar"/>
              </w:rPr>
              <w:t>数量</w:t>
            </w:r>
          </w:p>
        </w:tc>
        <w:tc>
          <w:tcPr>
            <w:tcW w:w="680" w:type="pct"/>
            <w:tcBorders>
              <w:top w:val="single" w:color="000000" w:sz="4" w:space="0"/>
              <w:left w:val="single" w:color="000000" w:sz="4" w:space="0"/>
              <w:bottom w:val="single" w:color="000000" w:sz="4" w:space="0"/>
              <w:right w:val="single" w:color="000000" w:sz="4" w:space="0"/>
            </w:tcBorders>
            <w:noWrap w:val="0"/>
            <w:vAlign w:val="center"/>
          </w:tcPr>
          <w:p w14:paraId="5BFDB66E">
            <w:pPr>
              <w:kinsoku/>
              <w:spacing w:line="576" w:lineRule="exact"/>
              <w:jc w:val="center"/>
              <w:textAlignment w:val="center"/>
              <w:rPr>
                <w:rFonts w:hint="eastAsia" w:ascii="仿宋_GB2312" w:hAnsi="宋体" w:eastAsia="仿宋_GB2312" w:cs="仿宋_GB2312"/>
                <w:sz w:val="28"/>
                <w:szCs w:val="28"/>
              </w:rPr>
            </w:pPr>
            <w:r>
              <w:rPr>
                <w:rFonts w:hint="eastAsia" w:ascii="仿宋_GB2312" w:hAnsi="宋体" w:eastAsia="仿宋_GB2312" w:cs="仿宋_GB2312"/>
                <w:sz w:val="28"/>
                <w:szCs w:val="28"/>
                <w:lang w:eastAsia="zh-CN" w:bidi="ar"/>
              </w:rPr>
              <w:t>单价（元）</w:t>
            </w:r>
          </w:p>
        </w:tc>
        <w:tc>
          <w:tcPr>
            <w:tcW w:w="628" w:type="pct"/>
            <w:tcBorders>
              <w:top w:val="single" w:color="000000" w:sz="4" w:space="0"/>
              <w:left w:val="single" w:color="000000" w:sz="4" w:space="0"/>
              <w:bottom w:val="single" w:color="000000" w:sz="4" w:space="0"/>
              <w:right w:val="single" w:color="000000" w:sz="4" w:space="0"/>
            </w:tcBorders>
            <w:noWrap w:val="0"/>
            <w:vAlign w:val="center"/>
          </w:tcPr>
          <w:p w14:paraId="7D493883">
            <w:pPr>
              <w:kinsoku/>
              <w:spacing w:line="576" w:lineRule="exact"/>
              <w:jc w:val="center"/>
              <w:textAlignment w:val="center"/>
              <w:rPr>
                <w:rFonts w:hint="eastAsia" w:ascii="仿宋_GB2312" w:hAnsi="宋体" w:eastAsia="仿宋_GB2312" w:cs="仿宋_GB2312"/>
                <w:sz w:val="28"/>
                <w:szCs w:val="28"/>
              </w:rPr>
            </w:pPr>
            <w:r>
              <w:rPr>
                <w:rFonts w:hint="eastAsia" w:ascii="仿宋_GB2312" w:hAnsi="宋体" w:eastAsia="仿宋_GB2312" w:cs="仿宋_GB2312"/>
                <w:sz w:val="28"/>
                <w:szCs w:val="28"/>
                <w:lang w:eastAsia="zh-CN" w:bidi="ar"/>
              </w:rPr>
              <w:t>金额 （元）</w:t>
            </w:r>
          </w:p>
        </w:tc>
      </w:tr>
      <w:tr w14:paraId="601E912B">
        <w:tblPrEx>
          <w:tblCellMar>
            <w:top w:w="0" w:type="dxa"/>
            <w:left w:w="108" w:type="dxa"/>
            <w:bottom w:w="0" w:type="dxa"/>
            <w:right w:w="108" w:type="dxa"/>
          </w:tblCellMar>
        </w:tblPrEx>
        <w:trPr>
          <w:trHeight w:val="405" w:hRule="atLeast"/>
        </w:trPr>
        <w:tc>
          <w:tcPr>
            <w:tcW w:w="613" w:type="pct"/>
            <w:tcBorders>
              <w:top w:val="single" w:color="000000" w:sz="4" w:space="0"/>
              <w:left w:val="single" w:color="000000" w:sz="4" w:space="0"/>
              <w:bottom w:val="single" w:color="000000" w:sz="4" w:space="0"/>
              <w:right w:val="single" w:color="000000" w:sz="4" w:space="0"/>
            </w:tcBorders>
            <w:noWrap w:val="0"/>
            <w:vAlign w:val="top"/>
          </w:tcPr>
          <w:p w14:paraId="458DFF48">
            <w:pPr>
              <w:kinsoku/>
              <w:spacing w:line="576" w:lineRule="exact"/>
              <w:jc w:val="both"/>
              <w:rPr>
                <w:rFonts w:hint="eastAsia" w:ascii="仿宋_GB2312" w:hAnsi="宋体" w:eastAsia="仿宋_GB2312" w:cs="仿宋_GB2312"/>
                <w:sz w:val="28"/>
                <w:szCs w:val="28"/>
              </w:rPr>
            </w:pPr>
          </w:p>
        </w:tc>
        <w:tc>
          <w:tcPr>
            <w:tcW w:w="615" w:type="pct"/>
            <w:tcBorders>
              <w:top w:val="single" w:color="000000" w:sz="4" w:space="0"/>
              <w:left w:val="single" w:color="000000" w:sz="4" w:space="0"/>
              <w:bottom w:val="single" w:color="000000" w:sz="4" w:space="0"/>
              <w:right w:val="single" w:color="000000" w:sz="4" w:space="0"/>
            </w:tcBorders>
            <w:noWrap w:val="0"/>
            <w:vAlign w:val="top"/>
          </w:tcPr>
          <w:p w14:paraId="1B01A527">
            <w:pPr>
              <w:kinsoku/>
              <w:spacing w:line="576" w:lineRule="exact"/>
              <w:jc w:val="both"/>
              <w:rPr>
                <w:rFonts w:hint="eastAsia" w:ascii="仿宋_GB2312" w:hAnsi="宋体" w:eastAsia="仿宋_GB2312" w:cs="仿宋_GB2312"/>
                <w:sz w:val="28"/>
                <w:szCs w:val="28"/>
              </w:rPr>
            </w:pPr>
          </w:p>
        </w:tc>
        <w:tc>
          <w:tcPr>
            <w:tcW w:w="613" w:type="pct"/>
            <w:tcBorders>
              <w:top w:val="single" w:color="000000" w:sz="4" w:space="0"/>
              <w:left w:val="single" w:color="000000" w:sz="4" w:space="0"/>
              <w:bottom w:val="single" w:color="000000" w:sz="4" w:space="0"/>
              <w:right w:val="single" w:color="000000" w:sz="4" w:space="0"/>
            </w:tcBorders>
            <w:noWrap w:val="0"/>
            <w:vAlign w:val="top"/>
          </w:tcPr>
          <w:p w14:paraId="53A8DFC5">
            <w:pPr>
              <w:kinsoku/>
              <w:spacing w:line="576" w:lineRule="exact"/>
              <w:jc w:val="both"/>
              <w:rPr>
                <w:rFonts w:hint="eastAsia" w:ascii="仿宋_GB2312" w:hAnsi="宋体" w:eastAsia="仿宋_GB2312" w:cs="仿宋_GB2312"/>
                <w:sz w:val="28"/>
                <w:szCs w:val="28"/>
              </w:rPr>
            </w:pPr>
          </w:p>
        </w:tc>
        <w:tc>
          <w:tcPr>
            <w:tcW w:w="613" w:type="pct"/>
            <w:tcBorders>
              <w:top w:val="single" w:color="000000" w:sz="4" w:space="0"/>
              <w:left w:val="single" w:color="000000" w:sz="4" w:space="0"/>
              <w:bottom w:val="single" w:color="000000" w:sz="4" w:space="0"/>
              <w:right w:val="single" w:color="000000" w:sz="4" w:space="0"/>
            </w:tcBorders>
            <w:noWrap w:val="0"/>
            <w:vAlign w:val="top"/>
          </w:tcPr>
          <w:p w14:paraId="4DF82B67">
            <w:pPr>
              <w:kinsoku/>
              <w:spacing w:line="576" w:lineRule="exact"/>
              <w:jc w:val="both"/>
              <w:rPr>
                <w:rFonts w:hint="eastAsia" w:ascii="仿宋_GB2312" w:hAnsi="宋体" w:eastAsia="仿宋_GB2312" w:cs="仿宋_GB2312"/>
                <w:sz w:val="28"/>
                <w:szCs w:val="28"/>
              </w:rPr>
            </w:pPr>
          </w:p>
        </w:tc>
        <w:tc>
          <w:tcPr>
            <w:tcW w:w="613" w:type="pct"/>
            <w:tcBorders>
              <w:top w:val="single" w:color="000000" w:sz="4" w:space="0"/>
              <w:left w:val="single" w:color="000000" w:sz="4" w:space="0"/>
              <w:bottom w:val="single" w:color="000000" w:sz="4" w:space="0"/>
              <w:right w:val="single" w:color="000000" w:sz="4" w:space="0"/>
            </w:tcBorders>
            <w:noWrap w:val="0"/>
            <w:vAlign w:val="top"/>
          </w:tcPr>
          <w:p w14:paraId="35AB1FDE">
            <w:pPr>
              <w:kinsoku/>
              <w:spacing w:line="576" w:lineRule="exact"/>
              <w:jc w:val="both"/>
              <w:rPr>
                <w:rFonts w:hint="eastAsia" w:ascii="仿宋_GB2312" w:hAnsi="宋体" w:eastAsia="仿宋_GB2312" w:cs="仿宋_GB2312"/>
                <w:sz w:val="28"/>
                <w:szCs w:val="28"/>
              </w:rPr>
            </w:pPr>
          </w:p>
        </w:tc>
        <w:tc>
          <w:tcPr>
            <w:tcW w:w="619" w:type="pct"/>
            <w:tcBorders>
              <w:top w:val="single" w:color="000000" w:sz="4" w:space="0"/>
              <w:left w:val="single" w:color="000000" w:sz="4" w:space="0"/>
              <w:bottom w:val="single" w:color="000000" w:sz="4" w:space="0"/>
              <w:right w:val="single" w:color="000000" w:sz="4" w:space="0"/>
            </w:tcBorders>
            <w:noWrap w:val="0"/>
            <w:vAlign w:val="top"/>
          </w:tcPr>
          <w:p w14:paraId="47B87D99">
            <w:pPr>
              <w:kinsoku/>
              <w:spacing w:line="576" w:lineRule="exact"/>
              <w:jc w:val="both"/>
              <w:rPr>
                <w:rFonts w:hint="eastAsia" w:ascii="仿宋_GB2312" w:hAnsi="宋体" w:eastAsia="仿宋_GB2312" w:cs="仿宋_GB2312"/>
                <w:sz w:val="28"/>
                <w:szCs w:val="28"/>
              </w:rPr>
            </w:pPr>
          </w:p>
        </w:tc>
        <w:tc>
          <w:tcPr>
            <w:tcW w:w="680" w:type="pct"/>
            <w:tcBorders>
              <w:top w:val="single" w:color="000000" w:sz="4" w:space="0"/>
              <w:left w:val="single" w:color="000000" w:sz="4" w:space="0"/>
              <w:bottom w:val="single" w:color="000000" w:sz="4" w:space="0"/>
              <w:right w:val="single" w:color="000000" w:sz="4" w:space="0"/>
            </w:tcBorders>
            <w:noWrap w:val="0"/>
            <w:vAlign w:val="top"/>
          </w:tcPr>
          <w:p w14:paraId="3F97F53A">
            <w:pPr>
              <w:kinsoku/>
              <w:spacing w:line="576" w:lineRule="exact"/>
              <w:jc w:val="both"/>
              <w:rPr>
                <w:rFonts w:hint="eastAsia" w:ascii="仿宋_GB2312" w:hAnsi="宋体" w:eastAsia="仿宋_GB2312" w:cs="仿宋_GB2312"/>
                <w:sz w:val="28"/>
                <w:szCs w:val="28"/>
              </w:rPr>
            </w:pPr>
          </w:p>
        </w:tc>
        <w:tc>
          <w:tcPr>
            <w:tcW w:w="628" w:type="pct"/>
            <w:tcBorders>
              <w:top w:val="single" w:color="000000" w:sz="4" w:space="0"/>
              <w:left w:val="single" w:color="000000" w:sz="4" w:space="0"/>
              <w:bottom w:val="single" w:color="000000" w:sz="4" w:space="0"/>
              <w:right w:val="single" w:color="000000" w:sz="4" w:space="0"/>
            </w:tcBorders>
            <w:noWrap w:val="0"/>
            <w:vAlign w:val="top"/>
          </w:tcPr>
          <w:p w14:paraId="2885A404">
            <w:pPr>
              <w:kinsoku/>
              <w:spacing w:line="576" w:lineRule="exact"/>
              <w:jc w:val="both"/>
              <w:rPr>
                <w:rFonts w:hint="eastAsia" w:ascii="仿宋_GB2312" w:hAnsi="宋体" w:eastAsia="仿宋_GB2312" w:cs="仿宋_GB2312"/>
                <w:sz w:val="28"/>
                <w:szCs w:val="28"/>
              </w:rPr>
            </w:pPr>
          </w:p>
        </w:tc>
      </w:tr>
      <w:tr w14:paraId="4C0417D0">
        <w:tblPrEx>
          <w:tblCellMar>
            <w:top w:w="0" w:type="dxa"/>
            <w:left w:w="108" w:type="dxa"/>
            <w:bottom w:w="0" w:type="dxa"/>
            <w:right w:w="108" w:type="dxa"/>
          </w:tblCellMar>
        </w:tblPrEx>
        <w:trPr>
          <w:trHeight w:val="405" w:hRule="atLeast"/>
        </w:trPr>
        <w:tc>
          <w:tcPr>
            <w:tcW w:w="613" w:type="pct"/>
            <w:tcBorders>
              <w:top w:val="single" w:color="000000" w:sz="4" w:space="0"/>
              <w:left w:val="single" w:color="000000" w:sz="4" w:space="0"/>
              <w:bottom w:val="single" w:color="000000" w:sz="4" w:space="0"/>
              <w:right w:val="single" w:color="000000" w:sz="4" w:space="0"/>
            </w:tcBorders>
            <w:noWrap w:val="0"/>
            <w:vAlign w:val="top"/>
          </w:tcPr>
          <w:p w14:paraId="06606711">
            <w:pPr>
              <w:kinsoku/>
              <w:spacing w:line="576" w:lineRule="exact"/>
              <w:jc w:val="both"/>
              <w:rPr>
                <w:rFonts w:hint="eastAsia" w:ascii="仿宋_GB2312" w:hAnsi="宋体" w:eastAsia="仿宋_GB2312" w:cs="仿宋_GB2312"/>
                <w:sz w:val="28"/>
                <w:szCs w:val="28"/>
              </w:rPr>
            </w:pPr>
          </w:p>
        </w:tc>
        <w:tc>
          <w:tcPr>
            <w:tcW w:w="615" w:type="pct"/>
            <w:tcBorders>
              <w:top w:val="single" w:color="000000" w:sz="4" w:space="0"/>
              <w:left w:val="single" w:color="000000" w:sz="4" w:space="0"/>
              <w:bottom w:val="single" w:color="000000" w:sz="4" w:space="0"/>
              <w:right w:val="single" w:color="000000" w:sz="4" w:space="0"/>
            </w:tcBorders>
            <w:noWrap w:val="0"/>
            <w:vAlign w:val="top"/>
          </w:tcPr>
          <w:p w14:paraId="3BCE8EBE">
            <w:pPr>
              <w:kinsoku/>
              <w:spacing w:line="576" w:lineRule="exact"/>
              <w:jc w:val="both"/>
              <w:rPr>
                <w:rFonts w:hint="eastAsia" w:ascii="仿宋_GB2312" w:hAnsi="宋体" w:eastAsia="仿宋_GB2312" w:cs="仿宋_GB2312"/>
                <w:sz w:val="28"/>
                <w:szCs w:val="28"/>
              </w:rPr>
            </w:pPr>
          </w:p>
        </w:tc>
        <w:tc>
          <w:tcPr>
            <w:tcW w:w="613" w:type="pct"/>
            <w:tcBorders>
              <w:top w:val="single" w:color="000000" w:sz="4" w:space="0"/>
              <w:left w:val="single" w:color="000000" w:sz="4" w:space="0"/>
              <w:bottom w:val="single" w:color="000000" w:sz="4" w:space="0"/>
              <w:right w:val="single" w:color="000000" w:sz="4" w:space="0"/>
            </w:tcBorders>
            <w:noWrap w:val="0"/>
            <w:vAlign w:val="top"/>
          </w:tcPr>
          <w:p w14:paraId="054D7B06">
            <w:pPr>
              <w:kinsoku/>
              <w:spacing w:line="576" w:lineRule="exact"/>
              <w:jc w:val="both"/>
              <w:rPr>
                <w:rFonts w:hint="eastAsia" w:ascii="仿宋_GB2312" w:hAnsi="宋体" w:eastAsia="仿宋_GB2312" w:cs="仿宋_GB2312"/>
                <w:sz w:val="28"/>
                <w:szCs w:val="28"/>
              </w:rPr>
            </w:pPr>
          </w:p>
        </w:tc>
        <w:tc>
          <w:tcPr>
            <w:tcW w:w="613" w:type="pct"/>
            <w:tcBorders>
              <w:top w:val="single" w:color="000000" w:sz="4" w:space="0"/>
              <w:left w:val="single" w:color="000000" w:sz="4" w:space="0"/>
              <w:bottom w:val="single" w:color="000000" w:sz="4" w:space="0"/>
              <w:right w:val="single" w:color="000000" w:sz="4" w:space="0"/>
            </w:tcBorders>
            <w:noWrap w:val="0"/>
            <w:vAlign w:val="top"/>
          </w:tcPr>
          <w:p w14:paraId="242B3185">
            <w:pPr>
              <w:kinsoku/>
              <w:spacing w:line="576" w:lineRule="exact"/>
              <w:jc w:val="both"/>
              <w:rPr>
                <w:rFonts w:hint="eastAsia" w:ascii="仿宋_GB2312" w:hAnsi="宋体" w:eastAsia="仿宋_GB2312" w:cs="仿宋_GB2312"/>
                <w:sz w:val="28"/>
                <w:szCs w:val="28"/>
              </w:rPr>
            </w:pPr>
          </w:p>
        </w:tc>
        <w:tc>
          <w:tcPr>
            <w:tcW w:w="613" w:type="pct"/>
            <w:tcBorders>
              <w:top w:val="single" w:color="000000" w:sz="4" w:space="0"/>
              <w:left w:val="single" w:color="000000" w:sz="4" w:space="0"/>
              <w:bottom w:val="single" w:color="000000" w:sz="4" w:space="0"/>
              <w:right w:val="single" w:color="000000" w:sz="4" w:space="0"/>
            </w:tcBorders>
            <w:noWrap w:val="0"/>
            <w:vAlign w:val="top"/>
          </w:tcPr>
          <w:p w14:paraId="780B23D3">
            <w:pPr>
              <w:kinsoku/>
              <w:spacing w:line="576" w:lineRule="exact"/>
              <w:jc w:val="both"/>
              <w:rPr>
                <w:rFonts w:hint="eastAsia" w:ascii="仿宋_GB2312" w:hAnsi="宋体" w:eastAsia="仿宋_GB2312" w:cs="仿宋_GB2312"/>
                <w:sz w:val="28"/>
                <w:szCs w:val="28"/>
              </w:rPr>
            </w:pPr>
          </w:p>
        </w:tc>
        <w:tc>
          <w:tcPr>
            <w:tcW w:w="619" w:type="pct"/>
            <w:tcBorders>
              <w:top w:val="single" w:color="000000" w:sz="4" w:space="0"/>
              <w:left w:val="single" w:color="000000" w:sz="4" w:space="0"/>
              <w:bottom w:val="single" w:color="000000" w:sz="4" w:space="0"/>
              <w:right w:val="single" w:color="000000" w:sz="4" w:space="0"/>
            </w:tcBorders>
            <w:noWrap w:val="0"/>
            <w:vAlign w:val="top"/>
          </w:tcPr>
          <w:p w14:paraId="3966B92C">
            <w:pPr>
              <w:kinsoku/>
              <w:spacing w:line="576" w:lineRule="exact"/>
              <w:jc w:val="both"/>
              <w:rPr>
                <w:rFonts w:hint="eastAsia" w:ascii="仿宋_GB2312" w:hAnsi="宋体" w:eastAsia="仿宋_GB2312" w:cs="仿宋_GB2312"/>
                <w:sz w:val="28"/>
                <w:szCs w:val="28"/>
              </w:rPr>
            </w:pPr>
          </w:p>
        </w:tc>
        <w:tc>
          <w:tcPr>
            <w:tcW w:w="680" w:type="pct"/>
            <w:tcBorders>
              <w:top w:val="single" w:color="000000" w:sz="4" w:space="0"/>
              <w:left w:val="single" w:color="000000" w:sz="4" w:space="0"/>
              <w:bottom w:val="single" w:color="000000" w:sz="4" w:space="0"/>
              <w:right w:val="single" w:color="000000" w:sz="4" w:space="0"/>
            </w:tcBorders>
            <w:noWrap w:val="0"/>
            <w:vAlign w:val="top"/>
          </w:tcPr>
          <w:p w14:paraId="111CD0D6">
            <w:pPr>
              <w:kinsoku/>
              <w:spacing w:line="576" w:lineRule="exact"/>
              <w:jc w:val="both"/>
              <w:rPr>
                <w:rFonts w:hint="eastAsia" w:ascii="仿宋_GB2312" w:hAnsi="宋体" w:eastAsia="仿宋_GB2312" w:cs="仿宋_GB2312"/>
                <w:sz w:val="28"/>
                <w:szCs w:val="28"/>
              </w:rPr>
            </w:pPr>
          </w:p>
        </w:tc>
        <w:tc>
          <w:tcPr>
            <w:tcW w:w="628" w:type="pct"/>
            <w:tcBorders>
              <w:top w:val="single" w:color="000000" w:sz="4" w:space="0"/>
              <w:left w:val="single" w:color="000000" w:sz="4" w:space="0"/>
              <w:bottom w:val="single" w:color="000000" w:sz="4" w:space="0"/>
              <w:right w:val="single" w:color="000000" w:sz="4" w:space="0"/>
            </w:tcBorders>
            <w:noWrap w:val="0"/>
            <w:vAlign w:val="top"/>
          </w:tcPr>
          <w:p w14:paraId="3C886007">
            <w:pPr>
              <w:kinsoku/>
              <w:spacing w:line="576" w:lineRule="exact"/>
              <w:jc w:val="both"/>
              <w:rPr>
                <w:rFonts w:hint="eastAsia" w:ascii="仿宋_GB2312" w:hAnsi="宋体" w:eastAsia="仿宋_GB2312" w:cs="仿宋_GB2312"/>
                <w:sz w:val="28"/>
                <w:szCs w:val="28"/>
              </w:rPr>
            </w:pPr>
          </w:p>
        </w:tc>
      </w:tr>
      <w:tr w14:paraId="7FEE8AAD">
        <w:tblPrEx>
          <w:tblCellMar>
            <w:top w:w="0" w:type="dxa"/>
            <w:left w:w="108" w:type="dxa"/>
            <w:bottom w:w="0" w:type="dxa"/>
            <w:right w:w="108" w:type="dxa"/>
          </w:tblCellMar>
        </w:tblPrEx>
        <w:trPr>
          <w:trHeight w:val="405" w:hRule="atLeast"/>
        </w:trPr>
        <w:tc>
          <w:tcPr>
            <w:tcW w:w="613" w:type="pct"/>
            <w:tcBorders>
              <w:top w:val="single" w:color="000000" w:sz="4" w:space="0"/>
              <w:left w:val="single" w:color="000000" w:sz="4" w:space="0"/>
              <w:bottom w:val="single" w:color="000000" w:sz="4" w:space="0"/>
              <w:right w:val="single" w:color="000000" w:sz="4" w:space="0"/>
            </w:tcBorders>
            <w:noWrap w:val="0"/>
            <w:vAlign w:val="top"/>
          </w:tcPr>
          <w:p w14:paraId="3F32D12A">
            <w:pPr>
              <w:kinsoku/>
              <w:spacing w:line="576" w:lineRule="exact"/>
              <w:jc w:val="both"/>
              <w:rPr>
                <w:rFonts w:hint="eastAsia" w:ascii="仿宋_GB2312" w:hAnsi="宋体" w:eastAsia="仿宋_GB2312" w:cs="仿宋_GB2312"/>
                <w:sz w:val="28"/>
                <w:szCs w:val="28"/>
              </w:rPr>
            </w:pPr>
          </w:p>
        </w:tc>
        <w:tc>
          <w:tcPr>
            <w:tcW w:w="615" w:type="pct"/>
            <w:tcBorders>
              <w:top w:val="single" w:color="000000" w:sz="4" w:space="0"/>
              <w:left w:val="single" w:color="000000" w:sz="4" w:space="0"/>
              <w:bottom w:val="single" w:color="000000" w:sz="4" w:space="0"/>
              <w:right w:val="single" w:color="000000" w:sz="4" w:space="0"/>
            </w:tcBorders>
            <w:noWrap w:val="0"/>
            <w:vAlign w:val="top"/>
          </w:tcPr>
          <w:p w14:paraId="69E101A7">
            <w:pPr>
              <w:kinsoku/>
              <w:spacing w:line="576" w:lineRule="exact"/>
              <w:jc w:val="both"/>
              <w:rPr>
                <w:rFonts w:hint="eastAsia" w:ascii="仿宋_GB2312" w:hAnsi="宋体" w:eastAsia="仿宋_GB2312" w:cs="仿宋_GB2312"/>
                <w:sz w:val="28"/>
                <w:szCs w:val="28"/>
              </w:rPr>
            </w:pPr>
          </w:p>
        </w:tc>
        <w:tc>
          <w:tcPr>
            <w:tcW w:w="613" w:type="pct"/>
            <w:tcBorders>
              <w:top w:val="single" w:color="000000" w:sz="4" w:space="0"/>
              <w:left w:val="single" w:color="000000" w:sz="4" w:space="0"/>
              <w:bottom w:val="single" w:color="000000" w:sz="4" w:space="0"/>
              <w:right w:val="single" w:color="000000" w:sz="4" w:space="0"/>
            </w:tcBorders>
            <w:noWrap w:val="0"/>
            <w:vAlign w:val="top"/>
          </w:tcPr>
          <w:p w14:paraId="1C012567">
            <w:pPr>
              <w:kinsoku/>
              <w:spacing w:line="576" w:lineRule="exact"/>
              <w:jc w:val="both"/>
              <w:rPr>
                <w:rFonts w:hint="eastAsia" w:ascii="仿宋_GB2312" w:hAnsi="宋体" w:eastAsia="仿宋_GB2312" w:cs="仿宋_GB2312"/>
                <w:sz w:val="28"/>
                <w:szCs w:val="28"/>
              </w:rPr>
            </w:pPr>
          </w:p>
        </w:tc>
        <w:tc>
          <w:tcPr>
            <w:tcW w:w="613" w:type="pct"/>
            <w:tcBorders>
              <w:top w:val="single" w:color="000000" w:sz="4" w:space="0"/>
              <w:left w:val="single" w:color="000000" w:sz="4" w:space="0"/>
              <w:bottom w:val="single" w:color="000000" w:sz="4" w:space="0"/>
              <w:right w:val="single" w:color="000000" w:sz="4" w:space="0"/>
            </w:tcBorders>
            <w:noWrap w:val="0"/>
            <w:vAlign w:val="top"/>
          </w:tcPr>
          <w:p w14:paraId="4AA86F7A">
            <w:pPr>
              <w:kinsoku/>
              <w:spacing w:line="576" w:lineRule="exact"/>
              <w:jc w:val="both"/>
              <w:rPr>
                <w:rFonts w:hint="eastAsia" w:ascii="仿宋_GB2312" w:hAnsi="仿宋_GB2312" w:eastAsia="仿宋_GB2312" w:cs="仿宋_GB2312"/>
                <w:sz w:val="28"/>
                <w:szCs w:val="28"/>
              </w:rPr>
            </w:pPr>
          </w:p>
        </w:tc>
        <w:tc>
          <w:tcPr>
            <w:tcW w:w="613" w:type="pct"/>
            <w:tcBorders>
              <w:top w:val="single" w:color="000000" w:sz="4" w:space="0"/>
              <w:left w:val="single" w:color="000000" w:sz="4" w:space="0"/>
              <w:bottom w:val="single" w:color="000000" w:sz="4" w:space="0"/>
              <w:right w:val="single" w:color="000000" w:sz="4" w:space="0"/>
            </w:tcBorders>
            <w:noWrap w:val="0"/>
            <w:vAlign w:val="top"/>
          </w:tcPr>
          <w:p w14:paraId="0F2271B6">
            <w:pPr>
              <w:kinsoku/>
              <w:spacing w:line="576" w:lineRule="exact"/>
              <w:jc w:val="both"/>
              <w:rPr>
                <w:rFonts w:hint="eastAsia" w:ascii="仿宋_GB2312" w:hAnsi="仿宋_GB2312" w:eastAsia="仿宋_GB2312" w:cs="仿宋_GB2312"/>
                <w:sz w:val="28"/>
                <w:szCs w:val="28"/>
              </w:rPr>
            </w:pPr>
          </w:p>
        </w:tc>
        <w:tc>
          <w:tcPr>
            <w:tcW w:w="619" w:type="pct"/>
            <w:tcBorders>
              <w:top w:val="single" w:color="000000" w:sz="4" w:space="0"/>
              <w:left w:val="single" w:color="000000" w:sz="4" w:space="0"/>
              <w:bottom w:val="single" w:color="000000" w:sz="4" w:space="0"/>
              <w:right w:val="single" w:color="000000" w:sz="4" w:space="0"/>
            </w:tcBorders>
            <w:noWrap w:val="0"/>
            <w:vAlign w:val="top"/>
          </w:tcPr>
          <w:p w14:paraId="25C8B326">
            <w:pPr>
              <w:kinsoku/>
              <w:spacing w:line="576" w:lineRule="exact"/>
              <w:jc w:val="both"/>
              <w:rPr>
                <w:rFonts w:hint="eastAsia" w:ascii="仿宋_GB2312" w:hAnsi="仿宋_GB2312" w:eastAsia="仿宋_GB2312" w:cs="仿宋_GB2312"/>
                <w:sz w:val="28"/>
                <w:szCs w:val="28"/>
              </w:rPr>
            </w:pPr>
          </w:p>
        </w:tc>
        <w:tc>
          <w:tcPr>
            <w:tcW w:w="680" w:type="pct"/>
            <w:tcBorders>
              <w:top w:val="single" w:color="000000" w:sz="4" w:space="0"/>
              <w:left w:val="single" w:color="000000" w:sz="4" w:space="0"/>
              <w:bottom w:val="single" w:color="000000" w:sz="4" w:space="0"/>
              <w:right w:val="single" w:color="000000" w:sz="4" w:space="0"/>
            </w:tcBorders>
            <w:noWrap w:val="0"/>
            <w:vAlign w:val="top"/>
          </w:tcPr>
          <w:p w14:paraId="7997C8AC">
            <w:pPr>
              <w:kinsoku/>
              <w:spacing w:line="576" w:lineRule="exact"/>
              <w:jc w:val="both"/>
              <w:rPr>
                <w:rFonts w:hint="eastAsia" w:ascii="仿宋_GB2312" w:hAnsi="仿宋_GB2312" w:eastAsia="仿宋_GB2312" w:cs="仿宋_GB2312"/>
                <w:sz w:val="28"/>
                <w:szCs w:val="28"/>
              </w:rPr>
            </w:pPr>
          </w:p>
        </w:tc>
        <w:tc>
          <w:tcPr>
            <w:tcW w:w="628" w:type="pct"/>
            <w:tcBorders>
              <w:top w:val="single" w:color="000000" w:sz="4" w:space="0"/>
              <w:left w:val="single" w:color="000000" w:sz="4" w:space="0"/>
              <w:bottom w:val="single" w:color="000000" w:sz="4" w:space="0"/>
              <w:right w:val="single" w:color="000000" w:sz="4" w:space="0"/>
            </w:tcBorders>
            <w:noWrap w:val="0"/>
            <w:vAlign w:val="top"/>
          </w:tcPr>
          <w:p w14:paraId="63FFE560">
            <w:pPr>
              <w:kinsoku/>
              <w:spacing w:line="576" w:lineRule="exact"/>
              <w:jc w:val="both"/>
              <w:rPr>
                <w:rFonts w:hint="eastAsia" w:ascii="仿宋_GB2312" w:hAnsi="仿宋_GB2312" w:eastAsia="仿宋_GB2312" w:cs="仿宋_GB2312"/>
                <w:sz w:val="28"/>
                <w:szCs w:val="28"/>
              </w:rPr>
            </w:pPr>
          </w:p>
        </w:tc>
      </w:tr>
      <w:tr w14:paraId="042812EF">
        <w:tblPrEx>
          <w:tblCellMar>
            <w:top w:w="0" w:type="dxa"/>
            <w:left w:w="108" w:type="dxa"/>
            <w:bottom w:w="0" w:type="dxa"/>
            <w:right w:w="108" w:type="dxa"/>
          </w:tblCellMar>
        </w:tblPrEx>
        <w:trPr>
          <w:trHeight w:val="850" w:hRule="atLeast"/>
        </w:trPr>
        <w:tc>
          <w:tcPr>
            <w:tcW w:w="1229" w:type="pct"/>
            <w:gridSpan w:val="2"/>
            <w:tcBorders>
              <w:top w:val="single" w:color="000000" w:sz="4" w:space="0"/>
              <w:left w:val="single" w:color="000000" w:sz="4" w:space="0"/>
              <w:bottom w:val="single" w:color="000000" w:sz="4" w:space="0"/>
              <w:right w:val="single" w:color="000000" w:sz="4" w:space="0"/>
            </w:tcBorders>
            <w:noWrap w:val="0"/>
            <w:vAlign w:val="center"/>
          </w:tcPr>
          <w:p w14:paraId="595F37FD">
            <w:pPr>
              <w:kinsoku/>
              <w:spacing w:line="576" w:lineRule="exact"/>
              <w:jc w:val="center"/>
              <w:textAlignment w:val="center"/>
              <w:rPr>
                <w:rFonts w:hint="eastAsia" w:ascii="仿宋_GB2312" w:hAnsi="宋体" w:eastAsia="仿宋_GB2312" w:cs="仿宋_GB2312"/>
                <w:sz w:val="28"/>
                <w:szCs w:val="28"/>
              </w:rPr>
            </w:pPr>
            <w:r>
              <w:rPr>
                <w:rFonts w:hint="eastAsia" w:ascii="仿宋_GB2312" w:hAnsi="宋体" w:eastAsia="仿宋_GB2312" w:cs="仿宋_GB2312"/>
                <w:sz w:val="28"/>
                <w:szCs w:val="28"/>
                <w:lang w:eastAsia="zh-CN" w:bidi="ar"/>
              </w:rPr>
              <w:t>合计</w:t>
            </w:r>
          </w:p>
        </w:tc>
        <w:tc>
          <w:tcPr>
            <w:tcW w:w="2461" w:type="pct"/>
            <w:gridSpan w:val="4"/>
            <w:tcBorders>
              <w:top w:val="single" w:color="000000" w:sz="4" w:space="0"/>
              <w:left w:val="single" w:color="000000" w:sz="4" w:space="0"/>
              <w:bottom w:val="single" w:color="000000" w:sz="4" w:space="0"/>
              <w:right w:val="single" w:color="000000" w:sz="4" w:space="0"/>
            </w:tcBorders>
            <w:noWrap w:val="0"/>
            <w:vAlign w:val="center"/>
          </w:tcPr>
          <w:p w14:paraId="419C64AA">
            <w:pPr>
              <w:kinsoku/>
              <w:spacing w:line="576" w:lineRule="exact"/>
              <w:textAlignment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bidi="ar"/>
              </w:rPr>
              <w:t>大写</w:t>
            </w:r>
          </w:p>
        </w:tc>
        <w:tc>
          <w:tcPr>
            <w:tcW w:w="1308" w:type="pct"/>
            <w:gridSpan w:val="2"/>
            <w:tcBorders>
              <w:top w:val="single" w:color="000000" w:sz="4" w:space="0"/>
              <w:left w:val="single" w:color="000000" w:sz="4" w:space="0"/>
              <w:bottom w:val="single" w:color="000000" w:sz="4" w:space="0"/>
              <w:right w:val="single" w:color="000000" w:sz="4" w:space="0"/>
            </w:tcBorders>
            <w:noWrap w:val="0"/>
            <w:vAlign w:val="center"/>
          </w:tcPr>
          <w:p w14:paraId="66032933">
            <w:pPr>
              <w:kinsoku/>
              <w:spacing w:line="576" w:lineRule="exact"/>
              <w:ind w:firstLine="560" w:firstLineChars="200"/>
              <w:textAlignment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bidi="ar"/>
              </w:rPr>
              <w:t>¥</w:t>
            </w:r>
          </w:p>
        </w:tc>
      </w:tr>
    </w:tbl>
    <w:p w14:paraId="6C1EE23A">
      <w:pPr>
        <w:widowControl w:val="0"/>
        <w:kinsoku/>
        <w:spacing w:line="360" w:lineRule="auto"/>
        <w:ind w:firstLine="562" w:firstLineChars="200"/>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eastAsia="zh-CN"/>
        </w:rPr>
        <w:t>二</w:t>
      </w:r>
      <w:r>
        <w:rPr>
          <w:rFonts w:hint="eastAsia" w:ascii="仿宋_GB2312" w:hAnsi="仿宋_GB2312" w:eastAsia="仿宋_GB2312" w:cs="仿宋_GB2312"/>
          <w:b/>
          <w:sz w:val="28"/>
          <w:szCs w:val="28"/>
        </w:rPr>
        <w:t>、合同价款</w:t>
      </w:r>
    </w:p>
    <w:p w14:paraId="28FC7B87">
      <w:pPr>
        <w:widowControl w:val="0"/>
        <w:kinsoku/>
        <w:spacing w:line="360" w:lineRule="auto"/>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（一）合同总价款为人民币（大写）</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lang w:eastAsia="zh-CN"/>
        </w:rPr>
        <w:t>（</w:t>
      </w:r>
      <w:r>
        <w:rPr>
          <w:rFonts w:hint="eastAsia" w:ascii="微软雅黑" w:hAnsi="微软雅黑" w:eastAsia="微软雅黑" w:cs="微软雅黑"/>
          <w:sz w:val="28"/>
          <w:szCs w:val="28"/>
          <w:lang w:eastAsia="zh-CN"/>
        </w:rPr>
        <w:t>￥</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lang w:eastAsia="zh-CN"/>
        </w:rPr>
        <w:t>）。</w:t>
      </w:r>
    </w:p>
    <w:p w14:paraId="6F248BAC">
      <w:pPr>
        <w:widowControl w:val="0"/>
        <w:kinsoku/>
        <w:spacing w:line="360" w:lineRule="auto"/>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（二）</w:t>
      </w:r>
      <w:r>
        <w:rPr>
          <w:rFonts w:hint="eastAsia" w:ascii="仿宋_GB2312" w:hAnsi="仿宋" w:eastAsia="仿宋_GB2312"/>
          <w:bCs/>
          <w:sz w:val="28"/>
          <w:szCs w:val="28"/>
          <w:lang w:eastAsia="zh-CN"/>
        </w:rPr>
        <w:t>合同价款是指本次</w:t>
      </w:r>
      <w:r>
        <w:rPr>
          <w:rFonts w:hint="eastAsia" w:ascii="仿宋_GB2312" w:hAnsi="仿宋" w:eastAsia="仿宋_GB2312"/>
          <w:bCs/>
          <w:sz w:val="28"/>
          <w:szCs w:val="28"/>
          <w:lang w:val="zh-CN" w:eastAsia="zh-CN"/>
        </w:rPr>
        <w:t>服务内容所需的全部费用,</w:t>
      </w:r>
      <w:r>
        <w:rPr>
          <w:rFonts w:hint="eastAsia" w:ascii="仿宋_GB2312" w:hAnsi="仿宋" w:eastAsia="仿宋_GB2312"/>
          <w:bCs/>
          <w:sz w:val="28"/>
          <w:szCs w:val="28"/>
          <w:lang w:eastAsia="zh-CN"/>
        </w:rPr>
        <w:t xml:space="preserve"> 包括但不限于</w:t>
      </w:r>
      <w:r>
        <w:rPr>
          <w:rFonts w:hint="eastAsia" w:ascii="仿宋_GB2312" w:hAnsi="仿宋_GB2312" w:eastAsia="仿宋_GB2312" w:cs="仿宋_GB2312"/>
          <w:color w:val="auto"/>
          <w:sz w:val="28"/>
          <w:szCs w:val="28"/>
          <w:lang w:val="zh-CN" w:eastAsia="zh-CN"/>
        </w:rPr>
        <w:t>完成采购内容所需的</w:t>
      </w:r>
      <w:r>
        <w:rPr>
          <w:rFonts w:hint="eastAsia" w:ascii="仿宋_GB2312" w:hAnsi="仿宋_GB2312" w:eastAsia="仿宋_GB2312" w:cs="仿宋_GB2312"/>
          <w:color w:val="auto"/>
          <w:sz w:val="28"/>
          <w:szCs w:val="28"/>
          <w:lang w:eastAsia="zh-CN"/>
        </w:rPr>
        <w:t>设备费、安装费、管理费、运输费、</w:t>
      </w:r>
      <w:r>
        <w:rPr>
          <w:rFonts w:hint="eastAsia" w:ascii="仿宋_GB2312" w:hAnsi="仿宋_GB2312" w:eastAsia="仿宋_GB2312" w:cs="仿宋_GB2312"/>
          <w:color w:val="auto"/>
          <w:sz w:val="28"/>
          <w:szCs w:val="28"/>
          <w:lang w:val="zh-CN" w:eastAsia="zh-CN"/>
        </w:rPr>
        <w:t>直接费、间接费、利润、税金及其他相关的一切费用</w:t>
      </w:r>
      <w:r>
        <w:rPr>
          <w:rFonts w:hint="eastAsia" w:ascii="仿宋_GB2312" w:hAnsi="仿宋_GB2312" w:eastAsia="仿宋_GB2312" w:cs="仿宋_GB2312"/>
          <w:color w:val="auto"/>
          <w:sz w:val="28"/>
          <w:szCs w:val="28"/>
          <w:lang w:eastAsia="zh-CN"/>
        </w:rPr>
        <w:t>。</w:t>
      </w:r>
    </w:p>
    <w:p w14:paraId="39828A9E">
      <w:pPr>
        <w:spacing w:line="360" w:lineRule="auto"/>
        <w:ind w:firstLine="560" w:firstLineChars="200"/>
        <w:rPr>
          <w:rFonts w:hint="eastAsia" w:ascii="仿宋_GB2312" w:hAnsi="仿宋" w:eastAsia="仿宋_GB2312"/>
          <w:bCs/>
          <w:sz w:val="28"/>
          <w:szCs w:val="28"/>
          <w:lang w:eastAsia="zh-CN"/>
        </w:rPr>
      </w:pPr>
      <w:r>
        <w:rPr>
          <w:rFonts w:hint="eastAsia" w:ascii="仿宋_GB2312" w:hAnsi="仿宋_GB2312" w:eastAsia="仿宋_GB2312" w:cs="仿宋_GB2312"/>
          <w:sz w:val="28"/>
          <w:szCs w:val="28"/>
          <w:lang w:eastAsia="zh-CN"/>
        </w:rPr>
        <w:t>（三）合同总价一次性包死，不受市场价格变化因素的影响</w:t>
      </w:r>
      <w:r>
        <w:rPr>
          <w:rFonts w:hint="eastAsia" w:ascii="仿宋_GB2312" w:hAnsi="仿宋" w:eastAsia="仿宋_GB2312"/>
          <w:bCs/>
          <w:sz w:val="28"/>
          <w:szCs w:val="28"/>
          <w:lang w:val="zh-CN" w:eastAsia="zh-CN"/>
        </w:rPr>
        <w:t>。</w:t>
      </w:r>
    </w:p>
    <w:p w14:paraId="2A7494F8">
      <w:pPr>
        <w:spacing w:line="360" w:lineRule="auto"/>
        <w:ind w:firstLine="562" w:firstLineChars="200"/>
        <w:rPr>
          <w:rFonts w:hint="eastAsia" w:ascii="仿宋_GB2312" w:hAnsi="仿宋" w:eastAsia="仿宋_GB2312"/>
          <w:b/>
          <w:bCs/>
          <w:sz w:val="28"/>
          <w:szCs w:val="28"/>
          <w:lang w:eastAsia="zh-CN"/>
        </w:rPr>
      </w:pPr>
      <w:r>
        <w:rPr>
          <w:rFonts w:hint="eastAsia" w:ascii="仿宋_GB2312" w:hAnsi="仿宋" w:eastAsia="仿宋_GB2312"/>
          <w:b/>
          <w:bCs/>
          <w:sz w:val="28"/>
          <w:szCs w:val="28"/>
          <w:lang w:eastAsia="zh-CN"/>
        </w:rPr>
        <w:t>三、款项结算</w:t>
      </w:r>
    </w:p>
    <w:p w14:paraId="199C2348">
      <w:pPr>
        <w:widowControl w:val="0"/>
        <w:kinsoku/>
        <w:spacing w:line="360" w:lineRule="auto"/>
        <w:ind w:firstLine="560" w:firstLineChars="200"/>
        <w:textAlignment w:val="auto"/>
        <w:rPr>
          <w:rFonts w:hint="eastAsia" w:ascii="仿宋_GB2312" w:hAnsi="仿宋_GB2312" w:eastAsia="仿宋_GB2312" w:cs="仿宋_GB2312"/>
          <w:sz w:val="28"/>
          <w:szCs w:val="28"/>
          <w:highlight w:val="yellow"/>
          <w:lang w:eastAsia="zh-CN"/>
        </w:rPr>
      </w:pPr>
      <w:r>
        <w:rPr>
          <w:rFonts w:hint="eastAsia" w:ascii="仿宋_GB2312" w:hAnsi="仿宋_GB2312" w:eastAsia="仿宋_GB2312" w:cs="仿宋_GB2312"/>
          <w:bCs/>
          <w:color w:val="auto"/>
          <w:sz w:val="28"/>
          <w:szCs w:val="28"/>
          <w:highlight w:val="none"/>
          <w:lang w:eastAsia="zh-CN"/>
        </w:rPr>
        <w:t>（一）项款支</w:t>
      </w:r>
      <w:r>
        <w:rPr>
          <w:rFonts w:hint="eastAsia" w:ascii="仿宋_GB2312" w:hAnsi="仿宋_GB2312" w:eastAsia="仿宋_GB2312" w:cs="仿宋_GB2312"/>
          <w:sz w:val="28"/>
          <w:szCs w:val="28"/>
          <w:highlight w:val="none"/>
          <w:lang w:eastAsia="zh-CN"/>
        </w:rPr>
        <w:t>付:</w:t>
      </w:r>
    </w:p>
    <w:p w14:paraId="2109BA6A">
      <w:pPr>
        <w:widowControl w:val="0"/>
        <w:kinsoku/>
        <w:spacing w:line="360" w:lineRule="auto"/>
        <w:ind w:firstLine="560" w:firstLineChars="200"/>
        <w:textAlignment w:val="auto"/>
        <w:rPr>
          <w:rFonts w:hint="eastAsia" w:ascii="仿宋_GB2312" w:hAnsi="仿宋_GB2312" w:eastAsia="仿宋_GB2312" w:cs="仿宋_GB2312"/>
          <w:bCs/>
          <w:color w:val="auto"/>
          <w:sz w:val="28"/>
          <w:szCs w:val="28"/>
          <w:highlight w:val="yellow"/>
          <w:lang w:eastAsia="zh-CN"/>
        </w:rPr>
      </w:pPr>
      <w:r>
        <w:rPr>
          <w:rFonts w:hint="eastAsia" w:ascii="仿宋_GB2312" w:hAnsi="仿宋_GB2312" w:eastAsia="仿宋_GB2312" w:cs="仿宋_GB2312"/>
          <w:snapToGrid/>
          <w:color w:val="auto"/>
          <w:sz w:val="28"/>
          <w:szCs w:val="28"/>
          <w:highlight w:val="none"/>
          <w:lang w:eastAsia="zh-CN"/>
        </w:rPr>
        <w:t>自合同签订生效后</w:t>
      </w:r>
      <w:r>
        <w:rPr>
          <w:rFonts w:hint="eastAsia" w:ascii="仿宋_GB2312" w:hAnsi="仿宋_GB2312" w:eastAsia="仿宋_GB2312" w:cs="仿宋_GB2312"/>
          <w:snapToGrid/>
          <w:color w:val="auto"/>
          <w:sz w:val="28"/>
          <w:szCs w:val="28"/>
          <w:highlight w:val="none"/>
          <w:lang w:val="en-US" w:eastAsia="zh-CN"/>
        </w:rPr>
        <w:t>20</w:t>
      </w:r>
      <w:r>
        <w:rPr>
          <w:rFonts w:hint="eastAsia" w:ascii="仿宋_GB2312" w:hAnsi="仿宋_GB2312" w:eastAsia="仿宋_GB2312" w:cs="仿宋_GB2312"/>
          <w:snapToGrid/>
          <w:color w:val="auto"/>
          <w:sz w:val="28"/>
          <w:szCs w:val="28"/>
          <w:highlight w:val="none"/>
          <w:lang w:eastAsia="zh-CN"/>
        </w:rPr>
        <w:t>日历天内完成供货、安装、调试及验收工作</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乙方</w:t>
      </w:r>
      <w:r>
        <w:rPr>
          <w:rFonts w:hint="eastAsia" w:ascii="仿宋_GB2312" w:hAnsi="仿宋_GB2312" w:eastAsia="仿宋_GB2312" w:cs="仿宋_GB2312"/>
          <w:sz w:val="28"/>
          <w:szCs w:val="28"/>
          <w:highlight w:val="none"/>
          <w:lang w:eastAsia="zh-CN"/>
        </w:rPr>
        <w:t>开具足额发票及收据后，达到付款条件起30个工作日内，支付合同总金额的</w:t>
      </w:r>
      <w:r>
        <w:rPr>
          <w:rFonts w:hint="eastAsia" w:ascii="仿宋_GB2312" w:hAnsi="仿宋_GB2312" w:eastAsia="仿宋_GB2312" w:cs="仿宋_GB2312"/>
          <w:sz w:val="28"/>
          <w:szCs w:val="28"/>
          <w:highlight w:val="none"/>
          <w:lang w:val="en-US" w:eastAsia="zh-CN"/>
        </w:rPr>
        <w:t>10</w:t>
      </w:r>
      <w:r>
        <w:rPr>
          <w:rFonts w:hint="eastAsia" w:ascii="仿宋_GB2312" w:hAnsi="仿宋_GB2312" w:eastAsia="仿宋_GB2312" w:cs="仿宋_GB2312"/>
          <w:sz w:val="28"/>
          <w:szCs w:val="28"/>
          <w:highlight w:val="none"/>
          <w:lang w:eastAsia="zh-CN"/>
        </w:rPr>
        <w:t>0.00%。</w:t>
      </w:r>
    </w:p>
    <w:p w14:paraId="4388BEB1">
      <w:pPr>
        <w:widowControl w:val="0"/>
        <w:kinsoku/>
        <w:spacing w:line="360" w:lineRule="auto"/>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（二）支付方式：银行转账。</w:t>
      </w:r>
    </w:p>
    <w:p w14:paraId="396CDBF9">
      <w:pPr>
        <w:widowControl w:val="0"/>
        <w:kinsoku/>
        <w:spacing w:line="360" w:lineRule="auto"/>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（三）结算方式：乙方在接受付款前，根据支付方式开具发票给甲方。</w:t>
      </w:r>
    </w:p>
    <w:p w14:paraId="1DF453C8">
      <w:pPr>
        <w:spacing w:line="360" w:lineRule="auto"/>
        <w:ind w:firstLine="562" w:firstLineChars="200"/>
        <w:rPr>
          <w:rFonts w:hint="eastAsia" w:ascii="仿宋_GB2312" w:hAnsi="仿宋" w:eastAsia="仿宋_GB2312"/>
          <w:b/>
          <w:sz w:val="28"/>
          <w:szCs w:val="28"/>
          <w:lang w:eastAsia="zh-CN"/>
        </w:rPr>
      </w:pPr>
      <w:r>
        <w:rPr>
          <w:rFonts w:hint="eastAsia" w:ascii="仿宋_GB2312" w:hAnsi="仿宋" w:eastAsia="仿宋_GB2312"/>
          <w:b/>
          <w:bCs/>
          <w:sz w:val="28"/>
          <w:szCs w:val="28"/>
          <w:lang w:eastAsia="zh-CN"/>
        </w:rPr>
        <w:t>四、</w:t>
      </w:r>
      <w:r>
        <w:rPr>
          <w:rFonts w:hint="eastAsia" w:ascii="仿宋_GB2312" w:hAnsi="仿宋" w:eastAsia="仿宋_GB2312"/>
          <w:b/>
          <w:sz w:val="28"/>
          <w:szCs w:val="28"/>
          <w:lang w:eastAsia="zh-CN"/>
        </w:rPr>
        <w:t>交货地点及交货期</w:t>
      </w:r>
    </w:p>
    <w:p w14:paraId="0F2D4039">
      <w:pPr>
        <w:spacing w:line="360" w:lineRule="auto"/>
        <w:ind w:firstLine="560" w:firstLineChars="200"/>
        <w:rPr>
          <w:rFonts w:hint="eastAsia" w:ascii="仿宋_GB2312" w:hAnsi="仿宋" w:eastAsia="仿宋_GB2312"/>
          <w:bCs/>
          <w:sz w:val="28"/>
          <w:szCs w:val="28"/>
          <w:highlight w:val="none"/>
          <w:lang w:eastAsia="zh-CN"/>
        </w:rPr>
      </w:pPr>
      <w:r>
        <w:rPr>
          <w:rFonts w:hint="eastAsia" w:ascii="仿宋_GB2312" w:hAnsi="仿宋" w:eastAsia="仿宋_GB2312"/>
          <w:bCs/>
          <w:sz w:val="28"/>
          <w:szCs w:val="28"/>
          <w:highlight w:val="none"/>
          <w:lang w:eastAsia="zh-CN"/>
        </w:rPr>
        <w:t>（一）交货地点：</w:t>
      </w:r>
      <w:r>
        <w:rPr>
          <w:rFonts w:hint="eastAsia" w:ascii="仿宋_GB2312" w:hAnsi="仿宋_GB2312" w:eastAsia="仿宋_GB2312" w:cs="仿宋_GB2312"/>
          <w:snapToGrid/>
          <w:color w:val="auto"/>
          <w:sz w:val="28"/>
          <w:szCs w:val="28"/>
          <w:highlight w:val="none"/>
          <w:lang w:eastAsia="zh-CN"/>
        </w:rPr>
        <w:t>西安高新区第二十七小学，具体以</w:t>
      </w:r>
      <w:r>
        <w:rPr>
          <w:rFonts w:hint="eastAsia" w:ascii="仿宋_GB2312" w:hAnsi="仿宋_GB2312" w:eastAsia="仿宋_GB2312" w:cs="仿宋_GB2312"/>
          <w:snapToGrid/>
          <w:color w:val="auto"/>
          <w:sz w:val="28"/>
          <w:szCs w:val="28"/>
          <w:highlight w:val="none"/>
          <w:lang w:val="en-US" w:eastAsia="zh-CN"/>
        </w:rPr>
        <w:t>甲方</w:t>
      </w:r>
      <w:r>
        <w:rPr>
          <w:rFonts w:hint="eastAsia" w:ascii="仿宋_GB2312" w:hAnsi="仿宋_GB2312" w:eastAsia="仿宋_GB2312" w:cs="仿宋_GB2312"/>
          <w:snapToGrid/>
          <w:color w:val="auto"/>
          <w:sz w:val="28"/>
          <w:szCs w:val="28"/>
          <w:highlight w:val="none"/>
          <w:lang w:eastAsia="zh-CN"/>
        </w:rPr>
        <w:t>指定地点为准</w:t>
      </w:r>
      <w:r>
        <w:rPr>
          <w:rFonts w:hint="eastAsia" w:ascii="仿宋_GB2312" w:hAnsi="仿宋" w:eastAsia="仿宋_GB2312"/>
          <w:bCs/>
          <w:sz w:val="28"/>
          <w:szCs w:val="28"/>
          <w:highlight w:val="none"/>
          <w:lang w:eastAsia="zh-CN"/>
        </w:rPr>
        <w:t>。</w:t>
      </w:r>
    </w:p>
    <w:p w14:paraId="089874E8">
      <w:pPr>
        <w:spacing w:line="360" w:lineRule="auto"/>
        <w:ind w:firstLine="560" w:firstLineChars="200"/>
        <w:rPr>
          <w:rFonts w:hint="eastAsia"/>
          <w:highlight w:val="none"/>
          <w:lang w:eastAsia="zh-CN"/>
        </w:rPr>
      </w:pPr>
      <w:r>
        <w:rPr>
          <w:rFonts w:hint="eastAsia" w:ascii="仿宋_GB2312" w:hAnsi="仿宋" w:eastAsia="仿宋_GB2312"/>
          <w:bCs/>
          <w:sz w:val="28"/>
          <w:szCs w:val="28"/>
          <w:highlight w:val="none"/>
          <w:lang w:eastAsia="zh-CN"/>
        </w:rPr>
        <w:t>（二）交货期：</w:t>
      </w:r>
      <w:r>
        <w:rPr>
          <w:rFonts w:hint="eastAsia" w:ascii="仿宋_GB2312" w:hAnsi="仿宋_GB2312" w:eastAsia="仿宋_GB2312" w:cs="仿宋_GB2312"/>
          <w:snapToGrid/>
          <w:color w:val="auto"/>
          <w:sz w:val="28"/>
          <w:szCs w:val="28"/>
          <w:highlight w:val="none"/>
          <w:lang w:eastAsia="zh-CN"/>
        </w:rPr>
        <w:t>自合同签订生效后</w:t>
      </w:r>
      <w:r>
        <w:rPr>
          <w:rFonts w:hint="eastAsia" w:ascii="仿宋_GB2312" w:hAnsi="仿宋_GB2312" w:eastAsia="仿宋_GB2312" w:cs="仿宋_GB2312"/>
          <w:snapToGrid/>
          <w:color w:val="auto"/>
          <w:sz w:val="28"/>
          <w:szCs w:val="28"/>
          <w:highlight w:val="none"/>
          <w:lang w:val="en-US" w:eastAsia="zh-CN"/>
        </w:rPr>
        <w:t>20</w:t>
      </w:r>
      <w:r>
        <w:rPr>
          <w:rFonts w:hint="eastAsia" w:ascii="仿宋_GB2312" w:hAnsi="仿宋_GB2312" w:eastAsia="仿宋_GB2312" w:cs="仿宋_GB2312"/>
          <w:snapToGrid/>
          <w:color w:val="auto"/>
          <w:sz w:val="28"/>
          <w:szCs w:val="28"/>
          <w:highlight w:val="none"/>
          <w:lang w:eastAsia="zh-CN"/>
        </w:rPr>
        <w:t>日历天内完成供货、安装、调试及验收工作</w:t>
      </w:r>
      <w:r>
        <w:rPr>
          <w:rFonts w:hint="eastAsia" w:ascii="仿宋_GB2312" w:hAnsi="仿宋_GB2312" w:eastAsia="仿宋_GB2312" w:cs="仿宋_GB2312"/>
          <w:sz w:val="28"/>
          <w:szCs w:val="28"/>
          <w:highlight w:val="none"/>
          <w:lang w:eastAsia="zh-CN"/>
        </w:rPr>
        <w:t>。</w:t>
      </w:r>
    </w:p>
    <w:p w14:paraId="03C001AD">
      <w:pPr>
        <w:spacing w:line="360" w:lineRule="auto"/>
        <w:ind w:firstLine="562" w:firstLineChars="200"/>
        <w:rPr>
          <w:rFonts w:hint="eastAsia" w:ascii="仿宋_GB2312" w:hAnsi="仿宋" w:eastAsia="仿宋_GB2312"/>
          <w:b/>
          <w:bCs/>
          <w:sz w:val="28"/>
          <w:szCs w:val="28"/>
          <w:lang w:eastAsia="zh-CN"/>
        </w:rPr>
      </w:pPr>
      <w:r>
        <w:rPr>
          <w:rFonts w:hint="eastAsia" w:ascii="仿宋_GB2312" w:hAnsi="仿宋" w:eastAsia="仿宋_GB2312"/>
          <w:b/>
          <w:bCs/>
          <w:sz w:val="28"/>
          <w:szCs w:val="28"/>
          <w:lang w:eastAsia="zh-CN"/>
        </w:rPr>
        <w:t>五、双方的权利和义务</w:t>
      </w:r>
    </w:p>
    <w:p w14:paraId="2EADDC5B">
      <w:pPr>
        <w:kinsoku/>
        <w:spacing w:line="360" w:lineRule="auto"/>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eastAsia="zh-CN"/>
        </w:rPr>
        <w:t>（一）甲方的权利与义务</w:t>
      </w:r>
    </w:p>
    <w:p w14:paraId="3150736F">
      <w:pPr>
        <w:kinsoku/>
        <w:spacing w:line="360" w:lineRule="auto"/>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eastAsia="zh-CN"/>
        </w:rPr>
        <w:t>1、积极配合乙方安装、调试、验收工作。</w:t>
      </w:r>
    </w:p>
    <w:p w14:paraId="10A69684">
      <w:pPr>
        <w:kinsoku/>
        <w:spacing w:line="360" w:lineRule="auto"/>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eastAsia="zh-CN"/>
        </w:rPr>
        <w:t>2、组织使用单位严格按照招标文件及投标文件要求和标准验收货物。</w:t>
      </w:r>
    </w:p>
    <w:p w14:paraId="4D849D04">
      <w:pPr>
        <w:kinsoku/>
        <w:spacing w:line="360" w:lineRule="auto"/>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eastAsia="zh-CN"/>
        </w:rPr>
        <w:t>（二）乙方的权利与义务。</w:t>
      </w:r>
    </w:p>
    <w:p w14:paraId="29E62BCF">
      <w:pPr>
        <w:kinsoku/>
        <w:spacing w:line="360" w:lineRule="auto"/>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eastAsia="zh-CN"/>
        </w:rPr>
        <w:t>1、保证对其出售的产品享有合法的权利，不存在任何未曾向甲方透露的担保物权，如抵押权、质押权、留置权。</w:t>
      </w:r>
    </w:p>
    <w:p w14:paraId="3F92F045">
      <w:pPr>
        <w:kinsoku/>
        <w:spacing w:line="360" w:lineRule="auto"/>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eastAsia="zh-CN"/>
        </w:rPr>
        <w:t>2、保证对其出售的产品或其任何一部分没有侵犯第三方的专利权、版权、商标权或其他权利。</w:t>
      </w:r>
    </w:p>
    <w:p w14:paraId="5F6D0EEA">
      <w:pPr>
        <w:kinsoku/>
        <w:spacing w:line="360" w:lineRule="auto"/>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eastAsia="zh-CN"/>
        </w:rPr>
        <w:t>3、负责产品的运输、安装与调试，并在合同约定的时间内完工，运输及安装全过程中的安全由乙方负责。</w:t>
      </w:r>
    </w:p>
    <w:p w14:paraId="5FDAFCDB">
      <w:pPr>
        <w:spacing w:line="360" w:lineRule="auto"/>
        <w:ind w:firstLine="560" w:firstLineChars="200"/>
        <w:rPr>
          <w:rFonts w:ascii="仿宋_GB2312" w:hAnsi="仿宋" w:eastAsia="仿宋_GB2312"/>
          <w:bCs/>
          <w:sz w:val="28"/>
          <w:szCs w:val="28"/>
          <w:lang w:eastAsia="zh-CN"/>
        </w:rPr>
      </w:pPr>
      <w:r>
        <w:rPr>
          <w:rFonts w:hint="eastAsia" w:ascii="仿宋_GB2312" w:hAnsi="仿宋_GB2312" w:eastAsia="仿宋_GB2312" w:cs="仿宋_GB2312"/>
          <w:bCs/>
          <w:sz w:val="28"/>
          <w:szCs w:val="28"/>
          <w:lang w:eastAsia="zh-CN"/>
        </w:rPr>
        <w:t>4、按照合同约定要求甲方及时付款</w:t>
      </w:r>
      <w:r>
        <w:rPr>
          <w:rFonts w:hint="eastAsia" w:ascii="仿宋_GB2312" w:hAnsi="仿宋" w:eastAsia="仿宋_GB2312"/>
          <w:bCs/>
          <w:sz w:val="24"/>
          <w:szCs w:val="24"/>
          <w:lang w:eastAsia="zh-CN"/>
        </w:rPr>
        <w:t>。</w:t>
      </w:r>
    </w:p>
    <w:p w14:paraId="4A11D6C1">
      <w:pPr>
        <w:widowControl w:val="0"/>
        <w:kinsoku/>
        <w:autoSpaceDE/>
        <w:autoSpaceDN/>
        <w:spacing w:line="360" w:lineRule="auto"/>
        <w:ind w:firstLine="562" w:firstLineChars="200"/>
        <w:textAlignment w:val="auto"/>
        <w:rPr>
          <w:rFonts w:ascii="仿宋_GB2312" w:hAnsi="仿宋" w:eastAsia="仿宋_GB2312"/>
          <w:b/>
          <w:bCs/>
          <w:sz w:val="28"/>
          <w:szCs w:val="28"/>
          <w:lang w:eastAsia="zh-CN"/>
        </w:rPr>
      </w:pPr>
      <w:r>
        <w:rPr>
          <w:rFonts w:hint="eastAsia" w:ascii="仿宋_GB2312" w:hAnsi="仿宋" w:eastAsia="仿宋_GB2312"/>
          <w:b/>
          <w:bCs/>
          <w:sz w:val="28"/>
          <w:szCs w:val="28"/>
          <w:lang w:eastAsia="zh-CN"/>
        </w:rPr>
        <w:t>六、运输及包装要求</w:t>
      </w:r>
    </w:p>
    <w:p w14:paraId="765BF913">
      <w:pPr>
        <w:widowControl w:val="0"/>
        <w:kinsoku/>
        <w:autoSpaceDE/>
        <w:autoSpaceDN/>
        <w:spacing w:line="360" w:lineRule="auto"/>
        <w:ind w:firstLine="560" w:firstLineChars="200"/>
        <w:textAlignment w:val="auto"/>
        <w:rPr>
          <w:rFonts w:hint="eastAsia" w:ascii="仿宋_GB2312" w:hAnsi="仿宋" w:eastAsia="仿宋_GB2312"/>
          <w:sz w:val="28"/>
          <w:szCs w:val="28"/>
          <w:lang w:eastAsia="zh-CN"/>
        </w:rPr>
      </w:pPr>
      <w:r>
        <w:rPr>
          <w:rFonts w:hint="eastAsia" w:ascii="仿宋_GB2312" w:hAnsi="仿宋" w:eastAsia="仿宋_GB2312"/>
          <w:sz w:val="28"/>
          <w:szCs w:val="28"/>
          <w:lang w:eastAsia="zh-CN"/>
        </w:rPr>
        <w:t>（一）乙方负责所有产品的运输，确保采购产品安全、完整到达甲方指定地点。运杂费用已包含在合同总价内，包括从产品供应地点所含的运输费、装卸费、安装费、保险费等。</w:t>
      </w:r>
    </w:p>
    <w:p w14:paraId="63BDA10D">
      <w:pPr>
        <w:widowControl w:val="0"/>
        <w:kinsoku/>
        <w:autoSpaceDE/>
        <w:autoSpaceDN/>
        <w:spacing w:line="360" w:lineRule="auto"/>
        <w:ind w:firstLine="560" w:firstLineChars="200"/>
        <w:textAlignment w:val="auto"/>
        <w:rPr>
          <w:rFonts w:hint="eastAsia" w:ascii="仿宋_GB2312" w:hAnsi="仿宋" w:eastAsia="仿宋_GB2312"/>
          <w:sz w:val="28"/>
          <w:szCs w:val="28"/>
          <w:lang w:eastAsia="zh-CN"/>
        </w:rPr>
      </w:pPr>
      <w:r>
        <w:rPr>
          <w:rFonts w:hint="eastAsia" w:ascii="仿宋_GB2312" w:hAnsi="仿宋" w:eastAsia="仿宋_GB2312"/>
          <w:sz w:val="28"/>
          <w:szCs w:val="28"/>
          <w:lang w:eastAsia="zh-CN"/>
        </w:rPr>
        <w:t>（二）运输方式由乙方自行选择，但必须保证按期交货；所有采购产品在运输、搬运的过程中，造成甲方损失的，由乙方为甲方修复或更新。</w:t>
      </w:r>
    </w:p>
    <w:p w14:paraId="7838F357">
      <w:pPr>
        <w:widowControl w:val="0"/>
        <w:kinsoku/>
        <w:autoSpaceDE/>
        <w:autoSpaceDN/>
        <w:spacing w:line="360" w:lineRule="auto"/>
        <w:ind w:firstLine="560" w:firstLineChars="200"/>
        <w:textAlignment w:val="auto"/>
        <w:rPr>
          <w:rFonts w:hint="eastAsia" w:ascii="仿宋_GB2312" w:hAnsi="仿宋" w:eastAsia="仿宋_GB2312"/>
          <w:sz w:val="28"/>
          <w:szCs w:val="28"/>
          <w:lang w:eastAsia="zh-CN"/>
        </w:rPr>
      </w:pPr>
      <w:r>
        <w:rPr>
          <w:rFonts w:hint="eastAsia" w:ascii="仿宋_GB2312" w:hAnsi="仿宋" w:eastAsia="仿宋_GB2312"/>
          <w:sz w:val="28"/>
          <w:szCs w:val="28"/>
          <w:lang w:eastAsia="zh-CN"/>
        </w:rPr>
        <w:t>（三）涉及的商品包装和快递包装，均应符合国家及行业要求，包装应适应于远距离运输、防潮、防震、防锈和防野蛮装卸，以确保货物安全无损运抵指定地点。</w:t>
      </w:r>
    </w:p>
    <w:p w14:paraId="001A321A">
      <w:pPr>
        <w:widowControl w:val="0"/>
        <w:kinsoku/>
        <w:autoSpaceDE/>
        <w:autoSpaceDN/>
        <w:spacing w:line="360" w:lineRule="auto"/>
        <w:ind w:firstLine="562" w:firstLineChars="200"/>
        <w:textAlignment w:val="auto"/>
        <w:rPr>
          <w:rFonts w:hint="eastAsia" w:ascii="仿宋_GB2312" w:hAnsi="仿宋" w:eastAsia="仿宋_GB2312"/>
          <w:b/>
          <w:bCs/>
          <w:sz w:val="28"/>
          <w:szCs w:val="28"/>
          <w:lang w:eastAsia="zh-CN"/>
        </w:rPr>
      </w:pPr>
      <w:r>
        <w:rPr>
          <w:rFonts w:hint="eastAsia" w:ascii="仿宋_GB2312" w:hAnsi="仿宋" w:eastAsia="仿宋_GB2312"/>
          <w:b/>
          <w:bCs/>
          <w:sz w:val="28"/>
          <w:szCs w:val="28"/>
          <w:lang w:eastAsia="zh-CN"/>
        </w:rPr>
        <w:t>七、质量保证</w:t>
      </w:r>
    </w:p>
    <w:p w14:paraId="58956BA2">
      <w:pPr>
        <w:widowControl w:val="0"/>
        <w:kinsoku/>
        <w:autoSpaceDE/>
        <w:autoSpaceDN/>
        <w:spacing w:line="360" w:lineRule="auto"/>
        <w:ind w:firstLine="560" w:firstLineChars="200"/>
        <w:textAlignment w:val="auto"/>
        <w:rPr>
          <w:rFonts w:hint="eastAsia" w:ascii="仿宋_GB2312" w:hAnsi="仿宋" w:eastAsia="仿宋_GB2312"/>
          <w:sz w:val="28"/>
          <w:szCs w:val="28"/>
          <w:lang w:eastAsia="zh-CN"/>
        </w:rPr>
      </w:pPr>
      <w:r>
        <w:rPr>
          <w:rFonts w:hint="eastAsia" w:ascii="仿宋_GB2312" w:hAnsi="仿宋" w:eastAsia="仿宋_GB2312"/>
          <w:sz w:val="28"/>
          <w:szCs w:val="28"/>
          <w:lang w:eastAsia="zh-CN"/>
        </w:rPr>
        <w:t>（一）乙方须提供全新的、未使用过的合格正品产品（含零部件、配件等），完全符合合同规定的质量、规格和性能的要求。</w:t>
      </w:r>
    </w:p>
    <w:p w14:paraId="622520DB">
      <w:pPr>
        <w:widowControl w:val="0"/>
        <w:kinsoku/>
        <w:autoSpaceDE/>
        <w:autoSpaceDN/>
        <w:spacing w:line="360" w:lineRule="auto"/>
        <w:ind w:firstLine="560" w:firstLineChars="200"/>
        <w:textAlignment w:val="auto"/>
        <w:rPr>
          <w:rFonts w:hint="eastAsia" w:ascii="仿宋_GB2312" w:hAnsi="仿宋" w:eastAsia="仿宋_GB2312"/>
          <w:sz w:val="28"/>
          <w:szCs w:val="28"/>
          <w:lang w:eastAsia="zh-CN"/>
        </w:rPr>
      </w:pPr>
      <w:r>
        <w:rPr>
          <w:rFonts w:hint="eastAsia" w:ascii="仿宋_GB2312" w:hAnsi="仿宋" w:eastAsia="仿宋_GB2312"/>
          <w:sz w:val="28"/>
          <w:szCs w:val="28"/>
          <w:lang w:eastAsia="zh-CN"/>
        </w:rPr>
        <w:t>（二）质量标准按照最新颁布的国家标准、行业标准或制造商企业标准确定，上述标准不一致的，以严格标准为准。</w:t>
      </w:r>
    </w:p>
    <w:p w14:paraId="07B4E388">
      <w:pPr>
        <w:widowControl w:val="0"/>
        <w:kinsoku/>
        <w:autoSpaceDE/>
        <w:autoSpaceDN/>
        <w:spacing w:line="360" w:lineRule="auto"/>
        <w:ind w:firstLine="560" w:firstLineChars="200"/>
        <w:textAlignment w:val="auto"/>
        <w:rPr>
          <w:rFonts w:hint="eastAsia" w:ascii="仿宋_GB2312" w:hAnsi="仿宋" w:eastAsia="仿宋_GB2312"/>
          <w:sz w:val="28"/>
          <w:szCs w:val="28"/>
          <w:lang w:eastAsia="zh-CN"/>
        </w:rPr>
      </w:pPr>
      <w:r>
        <w:rPr>
          <w:rFonts w:hint="eastAsia" w:ascii="仿宋_GB2312" w:hAnsi="仿宋" w:eastAsia="仿宋_GB2312"/>
          <w:sz w:val="28"/>
          <w:szCs w:val="28"/>
          <w:lang w:eastAsia="zh-CN"/>
        </w:rPr>
        <w:t>（三）乙方所提供产品还应符合国家和陕西省有关安全、环保、节能之规定，“3C”认证的货物（产品）应加贴“3C”认证标志。</w:t>
      </w:r>
    </w:p>
    <w:p w14:paraId="494BD436">
      <w:pPr>
        <w:widowControl w:val="0"/>
        <w:kinsoku/>
        <w:autoSpaceDE/>
        <w:autoSpaceDN/>
        <w:spacing w:line="360" w:lineRule="auto"/>
        <w:ind w:firstLine="560" w:firstLineChars="200"/>
        <w:textAlignment w:val="auto"/>
        <w:rPr>
          <w:rFonts w:hint="eastAsia" w:ascii="仿宋_GB2312" w:hAnsi="仿宋" w:eastAsia="仿宋_GB2312"/>
          <w:sz w:val="28"/>
          <w:szCs w:val="28"/>
          <w:lang w:eastAsia="zh-CN"/>
        </w:rPr>
      </w:pPr>
      <w:r>
        <w:rPr>
          <w:rFonts w:hint="eastAsia" w:ascii="仿宋_GB2312" w:hAnsi="仿宋" w:eastAsia="仿宋_GB2312"/>
          <w:sz w:val="28"/>
          <w:szCs w:val="28"/>
          <w:lang w:eastAsia="zh-CN"/>
        </w:rPr>
        <w:t>（四）产品质保期</w:t>
      </w:r>
      <w:r>
        <w:rPr>
          <w:rFonts w:hint="eastAsia" w:ascii="仿宋_GB2312" w:hAnsi="仿宋" w:eastAsia="仿宋_GB2312"/>
          <w:sz w:val="28"/>
          <w:szCs w:val="28"/>
          <w:u w:val="single"/>
          <w:lang w:eastAsia="zh-CN"/>
        </w:rPr>
        <w:t xml:space="preserve">      </w:t>
      </w:r>
      <w:r>
        <w:rPr>
          <w:rFonts w:hint="eastAsia" w:ascii="仿宋_GB2312" w:hAnsi="仿宋" w:eastAsia="仿宋_GB2312"/>
          <w:sz w:val="28"/>
          <w:szCs w:val="28"/>
          <w:lang w:eastAsia="zh-CN"/>
        </w:rPr>
        <w:t>年，质保期起始时间为验收合格之日。产品在质保期出现质量问题，乙方应负责三包（包修、包换、包退），费用由乙方负担，甲方有权到乙方生产场地检查产品质量和生产进度。</w:t>
      </w:r>
    </w:p>
    <w:p w14:paraId="7D52EF02">
      <w:pPr>
        <w:widowControl w:val="0"/>
        <w:kinsoku/>
        <w:autoSpaceDE/>
        <w:autoSpaceDN/>
        <w:spacing w:line="360" w:lineRule="auto"/>
        <w:ind w:firstLine="562" w:firstLineChars="200"/>
        <w:textAlignment w:val="auto"/>
        <w:rPr>
          <w:rFonts w:hint="eastAsia" w:ascii="仿宋_GB2312" w:hAnsi="仿宋" w:eastAsia="仿宋_GB2312"/>
          <w:b/>
          <w:bCs/>
          <w:sz w:val="28"/>
          <w:szCs w:val="28"/>
          <w:lang w:eastAsia="zh-CN"/>
        </w:rPr>
      </w:pPr>
      <w:r>
        <w:rPr>
          <w:rFonts w:hint="eastAsia" w:ascii="仿宋_GB2312" w:hAnsi="仿宋" w:eastAsia="仿宋_GB2312"/>
          <w:b/>
          <w:bCs/>
          <w:sz w:val="28"/>
          <w:szCs w:val="28"/>
          <w:lang w:eastAsia="zh-CN"/>
        </w:rPr>
        <w:t>八、售后服务</w:t>
      </w:r>
    </w:p>
    <w:p w14:paraId="54DCD741">
      <w:pPr>
        <w:widowControl w:val="0"/>
        <w:kinsoku/>
        <w:autoSpaceDE/>
        <w:autoSpaceDN/>
        <w:spacing w:line="360" w:lineRule="auto"/>
        <w:ind w:firstLine="560" w:firstLineChars="200"/>
        <w:textAlignment w:val="auto"/>
        <w:rPr>
          <w:rFonts w:hint="eastAsia" w:ascii="仿宋_GB2312" w:hAnsi="仿宋" w:eastAsia="仿宋_GB2312"/>
          <w:sz w:val="28"/>
          <w:szCs w:val="28"/>
          <w:lang w:eastAsia="zh-CN"/>
        </w:rPr>
      </w:pPr>
      <w:r>
        <w:rPr>
          <w:rFonts w:hint="eastAsia" w:ascii="仿宋_GB2312" w:hAnsi="仿宋" w:eastAsia="仿宋_GB2312"/>
          <w:sz w:val="28"/>
          <w:szCs w:val="28"/>
          <w:lang w:eastAsia="zh-CN"/>
        </w:rPr>
        <w:t>乙方应按照国家有关法律法规和“三包”规定以及</w:t>
      </w:r>
      <w:r>
        <w:rPr>
          <w:rFonts w:hint="eastAsia" w:ascii="仿宋_GB2312" w:hAnsi="仿宋" w:eastAsia="仿宋_GB2312"/>
          <w:sz w:val="28"/>
          <w:szCs w:val="28"/>
          <w:lang w:val="en-US" w:eastAsia="zh-CN"/>
        </w:rPr>
        <w:t>谈判</w:t>
      </w:r>
      <w:r>
        <w:rPr>
          <w:rFonts w:hint="eastAsia" w:ascii="仿宋_GB2312" w:hAnsi="仿宋" w:eastAsia="仿宋_GB2312"/>
          <w:sz w:val="28"/>
          <w:szCs w:val="28"/>
          <w:lang w:eastAsia="zh-CN"/>
        </w:rPr>
        <w:t>文件要求和响应文件中的“售后要求”提供售后服务，但至少包括以下方面：</w:t>
      </w:r>
    </w:p>
    <w:p w14:paraId="598302A6">
      <w:pPr>
        <w:widowControl w:val="0"/>
        <w:kinsoku/>
        <w:autoSpaceDE/>
        <w:autoSpaceDN/>
        <w:spacing w:line="360" w:lineRule="auto"/>
        <w:ind w:firstLine="560" w:firstLineChars="200"/>
        <w:textAlignment w:val="auto"/>
        <w:rPr>
          <w:rFonts w:hint="eastAsia" w:ascii="仿宋_GB2312" w:hAnsi="仿宋" w:eastAsia="仿宋_GB2312"/>
          <w:sz w:val="28"/>
          <w:szCs w:val="28"/>
          <w:lang w:eastAsia="zh-CN"/>
        </w:rPr>
      </w:pPr>
      <w:r>
        <w:rPr>
          <w:rFonts w:hint="eastAsia" w:ascii="仿宋_GB2312" w:hAnsi="仿宋" w:eastAsia="仿宋_GB2312"/>
          <w:sz w:val="28"/>
          <w:szCs w:val="28"/>
          <w:lang w:eastAsia="zh-CN"/>
        </w:rPr>
        <w:t>（一）乙方必须按照合同约定和投标文件的实质性响应，在质保期内免费承担维保。质保期结束前，进行全面保养维护，确保正常运行，质保期后对产品维修只收取成本费。</w:t>
      </w:r>
    </w:p>
    <w:p w14:paraId="05F0EF8E">
      <w:pPr>
        <w:widowControl w:val="0"/>
        <w:kinsoku/>
        <w:autoSpaceDE/>
        <w:autoSpaceDN/>
        <w:spacing w:line="360" w:lineRule="auto"/>
        <w:ind w:firstLine="560" w:firstLineChars="200"/>
        <w:textAlignment w:val="auto"/>
        <w:rPr>
          <w:rFonts w:hint="eastAsia" w:ascii="仿宋_GB2312" w:hAnsi="仿宋" w:eastAsia="仿宋_GB2312"/>
          <w:sz w:val="28"/>
          <w:szCs w:val="28"/>
          <w:lang w:eastAsia="zh-CN"/>
        </w:rPr>
      </w:pPr>
      <w:r>
        <w:rPr>
          <w:rFonts w:hint="eastAsia" w:ascii="仿宋_GB2312" w:hAnsi="仿宋" w:eastAsia="仿宋_GB2312"/>
          <w:sz w:val="28"/>
          <w:szCs w:val="28"/>
          <w:lang w:eastAsia="zh-CN"/>
        </w:rPr>
        <w:t>（二）乙方应保证以优惠价格提供长期备件的供应，乙方有义务尽快提供所需要更换的部件，对于要求紧急部件，乙方应安排最快的方式运输。</w:t>
      </w:r>
    </w:p>
    <w:p w14:paraId="7463C0BD">
      <w:pPr>
        <w:widowControl w:val="0"/>
        <w:kinsoku/>
        <w:autoSpaceDE/>
        <w:autoSpaceDN/>
        <w:spacing w:line="360" w:lineRule="auto"/>
        <w:ind w:firstLine="560" w:firstLineChars="200"/>
        <w:textAlignment w:val="auto"/>
        <w:rPr>
          <w:rFonts w:hint="eastAsia" w:ascii="仿宋_GB2312" w:hAnsi="仿宋" w:eastAsia="仿宋_GB2312"/>
          <w:sz w:val="28"/>
          <w:szCs w:val="28"/>
          <w:lang w:eastAsia="zh-CN"/>
        </w:rPr>
      </w:pPr>
      <w:r>
        <w:rPr>
          <w:rFonts w:hint="eastAsia" w:ascii="仿宋_GB2312" w:hAnsi="仿宋" w:eastAsia="仿宋_GB2312"/>
          <w:sz w:val="28"/>
          <w:szCs w:val="28"/>
          <w:lang w:eastAsia="zh-CN"/>
        </w:rPr>
        <w:t>（三）乙方对其所提供软硬件设备、材料等配件的供应,长期提供维修服务，并提供技术咨询等服务。质保期内应无偿负责维修和替换等工作。超出质保期只收取维修所需原设备、材料成本费用。</w:t>
      </w:r>
    </w:p>
    <w:p w14:paraId="506B4DFA">
      <w:pPr>
        <w:widowControl w:val="0"/>
        <w:kinsoku/>
        <w:autoSpaceDE/>
        <w:autoSpaceDN/>
        <w:spacing w:line="360" w:lineRule="auto"/>
        <w:ind w:firstLine="560" w:firstLineChars="200"/>
        <w:textAlignment w:val="auto"/>
        <w:rPr>
          <w:rFonts w:hint="eastAsia" w:ascii="仿宋_GB2312" w:hAnsi="仿宋" w:eastAsia="仿宋_GB2312"/>
          <w:sz w:val="28"/>
          <w:szCs w:val="28"/>
          <w:lang w:eastAsia="zh-CN"/>
        </w:rPr>
      </w:pPr>
      <w:r>
        <w:rPr>
          <w:rFonts w:hint="eastAsia" w:ascii="仿宋_GB2312" w:hAnsi="仿宋" w:eastAsia="仿宋_GB2312"/>
          <w:sz w:val="28"/>
          <w:szCs w:val="28"/>
          <w:lang w:eastAsia="zh-CN"/>
        </w:rPr>
        <w:t>（四）服务响应时限：7*24小时服务，提供售后服务电话（应具有：固定电话、移动电话、传真）。</w:t>
      </w:r>
    </w:p>
    <w:p w14:paraId="77E87619">
      <w:pPr>
        <w:widowControl w:val="0"/>
        <w:kinsoku/>
        <w:autoSpaceDE/>
        <w:autoSpaceDN/>
        <w:spacing w:line="360" w:lineRule="auto"/>
        <w:ind w:firstLine="560" w:firstLineChars="200"/>
        <w:textAlignment w:val="auto"/>
        <w:rPr>
          <w:rFonts w:hint="eastAsia" w:ascii="仿宋_GB2312" w:hAnsi="仿宋" w:eastAsia="仿宋_GB2312"/>
          <w:sz w:val="28"/>
          <w:szCs w:val="28"/>
          <w:lang w:eastAsia="zh-CN"/>
        </w:rPr>
      </w:pPr>
      <w:r>
        <w:rPr>
          <w:rFonts w:hint="eastAsia" w:ascii="仿宋_GB2312" w:hAnsi="仿宋" w:eastAsia="仿宋_GB2312"/>
          <w:sz w:val="28"/>
          <w:szCs w:val="28"/>
          <w:lang w:eastAsia="zh-CN"/>
        </w:rPr>
        <w:t>（五）派专人对学校提供售后服务，并每月定期对所提供的软硬件设备、材料等进行巡检，做好巡检记录。</w:t>
      </w:r>
    </w:p>
    <w:p w14:paraId="7D155FE9">
      <w:pPr>
        <w:widowControl w:val="0"/>
        <w:kinsoku/>
        <w:autoSpaceDE/>
        <w:autoSpaceDN/>
        <w:spacing w:line="360" w:lineRule="auto"/>
        <w:ind w:firstLine="560" w:firstLineChars="200"/>
        <w:textAlignment w:val="auto"/>
        <w:rPr>
          <w:rFonts w:hint="eastAsia" w:ascii="仿宋_GB2312" w:hAnsi="仿宋" w:eastAsia="仿宋_GB2312"/>
          <w:sz w:val="28"/>
          <w:szCs w:val="28"/>
          <w:lang w:eastAsia="zh-CN"/>
        </w:rPr>
      </w:pPr>
      <w:r>
        <w:rPr>
          <w:rFonts w:hint="eastAsia" w:ascii="仿宋_GB2312" w:hAnsi="仿宋" w:eastAsia="仿宋_GB2312"/>
          <w:sz w:val="28"/>
          <w:szCs w:val="28"/>
          <w:lang w:eastAsia="zh-CN"/>
        </w:rPr>
        <w:t>（六）维修工作时间不大于24小时，更换工作时间不大于72小时。</w:t>
      </w:r>
    </w:p>
    <w:p w14:paraId="30586001">
      <w:pPr>
        <w:widowControl w:val="0"/>
        <w:kinsoku/>
        <w:autoSpaceDE/>
        <w:autoSpaceDN/>
        <w:spacing w:line="360" w:lineRule="auto"/>
        <w:ind w:firstLine="560" w:firstLineChars="200"/>
        <w:textAlignment w:val="auto"/>
        <w:rPr>
          <w:rFonts w:hint="eastAsia" w:ascii="仿宋_GB2312" w:hAnsi="仿宋" w:eastAsia="仿宋_GB2312"/>
          <w:sz w:val="28"/>
          <w:szCs w:val="28"/>
          <w:lang w:eastAsia="zh-CN"/>
        </w:rPr>
      </w:pPr>
      <w:r>
        <w:rPr>
          <w:rFonts w:hint="eastAsia" w:ascii="仿宋_GB2312" w:hAnsi="仿宋" w:eastAsia="仿宋_GB2312"/>
          <w:sz w:val="28"/>
          <w:szCs w:val="28"/>
          <w:lang w:eastAsia="zh-CN"/>
        </w:rPr>
        <w:t>（七）乙方应无偿对学校指定人员在现场进行维护、使用说明的培训，使甲方能够完成现场日常操作，技术人员能完成系统维护工作，并制作维护使用手册。</w:t>
      </w:r>
    </w:p>
    <w:p w14:paraId="2AE42154">
      <w:pPr>
        <w:widowControl w:val="0"/>
        <w:kinsoku/>
        <w:autoSpaceDE/>
        <w:autoSpaceDN/>
        <w:spacing w:line="360" w:lineRule="auto"/>
        <w:ind w:firstLine="562" w:firstLineChars="200"/>
        <w:textAlignment w:val="auto"/>
        <w:rPr>
          <w:rFonts w:hint="eastAsia" w:ascii="仿宋_GB2312" w:hAnsi="仿宋" w:eastAsia="仿宋_GB2312"/>
          <w:b/>
          <w:bCs/>
          <w:sz w:val="28"/>
          <w:szCs w:val="28"/>
          <w:lang w:eastAsia="zh-CN"/>
        </w:rPr>
      </w:pPr>
      <w:r>
        <w:rPr>
          <w:rFonts w:hint="eastAsia" w:ascii="仿宋_GB2312" w:hAnsi="仿宋" w:eastAsia="仿宋_GB2312"/>
          <w:b/>
          <w:bCs/>
          <w:sz w:val="28"/>
          <w:szCs w:val="28"/>
          <w:lang w:eastAsia="zh-CN"/>
        </w:rPr>
        <w:t>九、验收</w:t>
      </w:r>
    </w:p>
    <w:p w14:paraId="734413FC">
      <w:pPr>
        <w:widowControl w:val="0"/>
        <w:kinsoku/>
        <w:autoSpaceDE/>
        <w:autoSpaceDN/>
        <w:spacing w:line="360" w:lineRule="auto"/>
        <w:ind w:firstLine="560" w:firstLineChars="200"/>
        <w:textAlignment w:val="auto"/>
        <w:rPr>
          <w:rFonts w:hint="eastAsia" w:ascii="仿宋_GB2312" w:hAnsi="仿宋" w:eastAsia="仿宋_GB2312"/>
          <w:sz w:val="28"/>
          <w:szCs w:val="28"/>
          <w:lang w:eastAsia="zh-CN"/>
        </w:rPr>
      </w:pPr>
      <w:r>
        <w:rPr>
          <w:rFonts w:hint="eastAsia" w:ascii="仿宋_GB2312" w:hAnsi="仿宋" w:eastAsia="仿宋_GB2312"/>
          <w:sz w:val="28"/>
          <w:szCs w:val="28"/>
          <w:lang w:eastAsia="zh-CN"/>
        </w:rPr>
        <w:t>（一）本项目验收费用，由乙方自行承担。</w:t>
      </w:r>
    </w:p>
    <w:p w14:paraId="09CDFFF6">
      <w:pPr>
        <w:widowControl w:val="0"/>
        <w:kinsoku/>
        <w:autoSpaceDE/>
        <w:autoSpaceDN/>
        <w:spacing w:line="360" w:lineRule="auto"/>
        <w:ind w:firstLine="560" w:firstLineChars="200"/>
        <w:textAlignment w:val="auto"/>
        <w:rPr>
          <w:rFonts w:hint="eastAsia" w:ascii="仿宋_GB2312" w:hAnsi="仿宋" w:eastAsia="仿宋_GB2312"/>
          <w:sz w:val="28"/>
          <w:szCs w:val="28"/>
          <w:lang w:eastAsia="zh-CN"/>
        </w:rPr>
      </w:pPr>
      <w:r>
        <w:rPr>
          <w:rFonts w:hint="eastAsia" w:ascii="仿宋_GB2312" w:hAnsi="仿宋" w:eastAsia="仿宋_GB2312"/>
          <w:sz w:val="28"/>
          <w:szCs w:val="28"/>
          <w:lang w:eastAsia="zh-CN"/>
        </w:rPr>
        <w:t>（二）设备到达甲方指定地点后，乙方须提供质检部门产品抽样检查合格的检测报告（或生产厂家自检报告）及所提供货物（产品）的合格证、装箱清单等资料交付给甲方，并组织现场开箱请点验货。所到设备的型号和数量必须与合同一致，采购人和供应商共同签署到货验收单。未签收到货验收单的货物不得擅自开箱安装。</w:t>
      </w:r>
    </w:p>
    <w:p w14:paraId="343893B0">
      <w:pPr>
        <w:widowControl w:val="0"/>
        <w:kinsoku/>
        <w:autoSpaceDE/>
        <w:autoSpaceDN/>
        <w:spacing w:line="360" w:lineRule="auto"/>
        <w:ind w:firstLine="560" w:firstLineChars="200"/>
        <w:textAlignment w:val="auto"/>
        <w:rPr>
          <w:rFonts w:hint="eastAsia" w:ascii="仿宋_GB2312" w:hAnsi="仿宋" w:eastAsia="仿宋_GB2312"/>
          <w:sz w:val="28"/>
          <w:szCs w:val="28"/>
          <w:lang w:eastAsia="zh-CN"/>
        </w:rPr>
      </w:pPr>
      <w:r>
        <w:rPr>
          <w:rFonts w:hint="eastAsia" w:ascii="仿宋_GB2312" w:hAnsi="仿宋" w:eastAsia="仿宋_GB2312"/>
          <w:sz w:val="28"/>
          <w:szCs w:val="28"/>
          <w:lang w:eastAsia="zh-CN"/>
        </w:rPr>
        <w:t>（三）验收依据：</w:t>
      </w:r>
    </w:p>
    <w:p w14:paraId="290E5ED0">
      <w:pPr>
        <w:widowControl w:val="0"/>
        <w:kinsoku/>
        <w:autoSpaceDE/>
        <w:autoSpaceDN/>
        <w:spacing w:line="360" w:lineRule="auto"/>
        <w:ind w:firstLine="560" w:firstLineChars="200"/>
        <w:textAlignment w:val="auto"/>
        <w:rPr>
          <w:rFonts w:hint="eastAsia" w:ascii="仿宋_GB2312" w:hAnsi="仿宋" w:eastAsia="仿宋_GB2312"/>
          <w:sz w:val="28"/>
          <w:szCs w:val="28"/>
          <w:lang w:eastAsia="zh-CN"/>
        </w:rPr>
      </w:pPr>
      <w:r>
        <w:rPr>
          <w:rFonts w:hint="eastAsia" w:ascii="仿宋_GB2312" w:hAnsi="仿宋" w:eastAsia="仿宋_GB2312"/>
          <w:sz w:val="28"/>
          <w:szCs w:val="28"/>
          <w:lang w:eastAsia="zh-CN"/>
        </w:rPr>
        <w:t>1、本合同及附加文本；</w:t>
      </w:r>
    </w:p>
    <w:p w14:paraId="6DAE560C">
      <w:pPr>
        <w:widowControl w:val="0"/>
        <w:kinsoku/>
        <w:autoSpaceDE/>
        <w:autoSpaceDN/>
        <w:spacing w:line="360" w:lineRule="auto"/>
        <w:ind w:firstLine="560" w:firstLineChars="200"/>
        <w:textAlignment w:val="auto"/>
        <w:rPr>
          <w:rFonts w:hint="eastAsia" w:ascii="仿宋_GB2312" w:hAnsi="仿宋" w:eastAsia="仿宋_GB2312"/>
          <w:sz w:val="28"/>
          <w:szCs w:val="28"/>
          <w:lang w:eastAsia="zh-CN"/>
        </w:rPr>
      </w:pPr>
      <w:r>
        <w:rPr>
          <w:rFonts w:hint="eastAsia" w:ascii="仿宋_GB2312" w:hAnsi="仿宋" w:eastAsia="仿宋_GB2312"/>
          <w:sz w:val="28"/>
          <w:szCs w:val="28"/>
          <w:lang w:eastAsia="zh-CN"/>
        </w:rPr>
        <w:t>2、谈判文件、乙方的响应文件及澄清（承诺）函；</w:t>
      </w:r>
    </w:p>
    <w:p w14:paraId="67418461">
      <w:pPr>
        <w:widowControl w:val="0"/>
        <w:kinsoku/>
        <w:autoSpaceDE/>
        <w:autoSpaceDN/>
        <w:spacing w:line="360" w:lineRule="auto"/>
        <w:ind w:firstLine="560" w:firstLineChars="200"/>
        <w:textAlignment w:val="auto"/>
        <w:rPr>
          <w:rFonts w:hint="eastAsia" w:ascii="仿宋_GB2312" w:hAnsi="仿宋" w:eastAsia="仿宋_GB2312"/>
          <w:b/>
          <w:sz w:val="28"/>
          <w:szCs w:val="28"/>
          <w:lang w:eastAsia="zh-CN"/>
        </w:rPr>
      </w:pPr>
      <w:r>
        <w:rPr>
          <w:rFonts w:hint="eastAsia" w:ascii="仿宋_GB2312" w:hAnsi="仿宋" w:eastAsia="仿宋_GB2312"/>
          <w:sz w:val="28"/>
          <w:szCs w:val="28"/>
          <w:lang w:eastAsia="zh-CN"/>
        </w:rPr>
        <w:t>3、国家相应的标准、规范。</w:t>
      </w:r>
    </w:p>
    <w:p w14:paraId="5CCA1B25">
      <w:pPr>
        <w:widowControl w:val="0"/>
        <w:kinsoku/>
        <w:autoSpaceDE/>
        <w:autoSpaceDN/>
        <w:spacing w:line="360" w:lineRule="auto"/>
        <w:ind w:firstLine="562" w:firstLineChars="200"/>
        <w:textAlignment w:val="auto"/>
        <w:rPr>
          <w:rFonts w:hint="eastAsia" w:ascii="仿宋_GB2312" w:hAnsi="仿宋_GB2312" w:eastAsia="仿宋_GB2312" w:cs="仿宋_GB2312"/>
          <w:b/>
          <w:bCs/>
          <w:color w:val="auto"/>
          <w:sz w:val="28"/>
          <w:szCs w:val="28"/>
          <w:lang w:eastAsia="zh-CN"/>
        </w:rPr>
      </w:pPr>
      <w:r>
        <w:rPr>
          <w:rFonts w:hint="eastAsia" w:ascii="仿宋_GB2312" w:hAnsi="仿宋" w:eastAsia="仿宋_GB2312"/>
          <w:b/>
          <w:sz w:val="28"/>
          <w:szCs w:val="28"/>
          <w:lang w:eastAsia="zh-CN"/>
        </w:rPr>
        <w:t>十、</w:t>
      </w:r>
      <w:r>
        <w:rPr>
          <w:rFonts w:hint="eastAsia" w:ascii="仿宋_GB2312" w:hAnsi="仿宋_GB2312" w:eastAsia="仿宋_GB2312" w:cs="仿宋_GB2312"/>
          <w:b/>
          <w:bCs/>
          <w:color w:val="auto"/>
          <w:sz w:val="28"/>
          <w:szCs w:val="28"/>
          <w:lang w:eastAsia="zh-CN"/>
        </w:rPr>
        <w:t>保密制度</w:t>
      </w:r>
    </w:p>
    <w:p w14:paraId="3A89E28F">
      <w:pPr>
        <w:widowControl w:val="0"/>
        <w:kinsoku/>
        <w:autoSpaceDE/>
        <w:autoSpaceDN/>
        <w:spacing w:line="360" w:lineRule="auto"/>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 xml:space="preserve">（一）乙方必须按国家有关保密法律法规的要求，采取有效的保密措施，严防甲方提供给乙方的成果和资料泄密。由于乙方原因造成成果资料泄密，一切责任乙方承担。 </w:t>
      </w:r>
    </w:p>
    <w:p w14:paraId="0D96619E">
      <w:pPr>
        <w:widowControl w:val="0"/>
        <w:kinsoku/>
        <w:autoSpaceDE/>
        <w:autoSpaceDN/>
        <w:spacing w:line="360" w:lineRule="auto"/>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（二）乙方不得利用甲方因执行本合同提供给乙方的成果和资料从事任何商业性活动。</w:t>
      </w:r>
    </w:p>
    <w:p w14:paraId="50DF6C11">
      <w:pPr>
        <w:widowControl w:val="0"/>
        <w:kinsoku/>
        <w:autoSpaceDE/>
        <w:autoSpaceDN/>
        <w:spacing w:line="360" w:lineRule="auto"/>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 xml:space="preserve">（三）乙方应妥善保管项目相关资料及成果文件，未经甲方许可，不得复制、转让（借）、公开或销毁。乙方应与项目组所有成员签订保密协议，并将保密协议报送甲方备案。 </w:t>
      </w:r>
    </w:p>
    <w:p w14:paraId="3DA93D70">
      <w:pPr>
        <w:widowControl w:val="0"/>
        <w:kinsoku/>
        <w:autoSpaceDE/>
        <w:autoSpaceDN/>
        <w:spacing w:line="360" w:lineRule="auto"/>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 xml:space="preserve">（四）除法律规定或合同另有约定外，未经甲方同意，乙方不得将甲方提供的相关资料、数据和图件泄露给第三方。 </w:t>
      </w:r>
    </w:p>
    <w:p w14:paraId="44D0C73C">
      <w:pPr>
        <w:widowControl w:val="0"/>
        <w:spacing w:line="360" w:lineRule="auto"/>
        <w:ind w:firstLine="560" w:firstLineChars="200"/>
        <w:rPr>
          <w:rFonts w:hint="eastAsia" w:ascii="仿宋_GB2312" w:eastAsia="仿宋_GB2312"/>
          <w:sz w:val="28"/>
          <w:szCs w:val="28"/>
          <w:lang w:eastAsia="zh-CN"/>
        </w:rPr>
      </w:pPr>
      <w:r>
        <w:rPr>
          <w:rFonts w:hint="eastAsia" w:ascii="仿宋_GB2312" w:hAnsi="仿宋_GB2312" w:eastAsia="仿宋_GB2312" w:cs="仿宋_GB2312"/>
          <w:color w:val="auto"/>
          <w:sz w:val="28"/>
          <w:szCs w:val="28"/>
          <w:lang w:eastAsia="zh-CN"/>
        </w:rPr>
        <w:t>（五）本合同的解除或终止不免除乙方应承担的保密义务</w:t>
      </w:r>
      <w:r>
        <w:rPr>
          <w:rFonts w:hint="eastAsia" w:ascii="仿宋_GB2312" w:eastAsia="仿宋_GB2312"/>
          <w:sz w:val="28"/>
          <w:szCs w:val="28"/>
          <w:lang w:eastAsia="zh-CN"/>
        </w:rPr>
        <w:t>。</w:t>
      </w:r>
    </w:p>
    <w:p w14:paraId="52237BD8">
      <w:pPr>
        <w:widowControl w:val="0"/>
        <w:kinsoku/>
        <w:wordWrap w:val="0"/>
        <w:autoSpaceDE/>
        <w:autoSpaceDN/>
        <w:adjustRightInd/>
        <w:snapToGrid/>
        <w:spacing w:line="360" w:lineRule="auto"/>
        <w:ind w:firstLine="562" w:firstLineChars="200"/>
        <w:textAlignment w:val="auto"/>
        <w:rPr>
          <w:rFonts w:hint="eastAsia" w:ascii="仿宋_GB2312" w:hAnsi="仿宋" w:eastAsia="仿宋_GB2312"/>
          <w:b/>
          <w:sz w:val="28"/>
          <w:szCs w:val="28"/>
          <w:lang w:eastAsia="zh-CN"/>
        </w:rPr>
      </w:pPr>
      <w:r>
        <w:rPr>
          <w:rFonts w:hint="eastAsia" w:ascii="仿宋_GB2312" w:hAnsi="仿宋" w:eastAsia="仿宋_GB2312"/>
          <w:b/>
          <w:sz w:val="28"/>
          <w:szCs w:val="28"/>
          <w:lang w:eastAsia="zh-CN"/>
        </w:rPr>
        <w:t>十一、其他事项</w:t>
      </w:r>
    </w:p>
    <w:p w14:paraId="7F48D7AA">
      <w:pPr>
        <w:widowControl w:val="0"/>
        <w:kinsoku/>
        <w:spacing w:line="360" w:lineRule="auto"/>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（一）乙方不得将项目转让、分包给其它单位或个人。</w:t>
      </w:r>
    </w:p>
    <w:p w14:paraId="0ACDA3A5">
      <w:pPr>
        <w:spacing w:line="360" w:lineRule="auto"/>
        <w:ind w:firstLine="560" w:firstLineChars="200"/>
        <w:rPr>
          <w:rFonts w:hint="eastAsia" w:ascii="仿宋_GB2312" w:hAnsi="仿宋" w:eastAsia="仿宋_GB2312"/>
          <w:bCs/>
          <w:sz w:val="28"/>
          <w:szCs w:val="28"/>
          <w:lang w:eastAsia="zh-CN"/>
        </w:rPr>
      </w:pPr>
      <w:r>
        <w:rPr>
          <w:rFonts w:hint="eastAsia" w:ascii="仿宋_GB2312" w:hAnsi="仿宋_GB2312" w:eastAsia="仿宋_GB2312" w:cs="仿宋_GB2312"/>
          <w:bCs/>
          <w:sz w:val="28"/>
          <w:szCs w:val="28"/>
          <w:lang w:eastAsia="zh-CN"/>
        </w:rPr>
        <w:t>（二）乙方的响应文件和承诺等内容将列入合同</w:t>
      </w:r>
      <w:r>
        <w:rPr>
          <w:rFonts w:hint="eastAsia" w:ascii="仿宋_GB2312" w:hAnsi="仿宋" w:eastAsia="仿宋_GB2312"/>
          <w:bCs/>
          <w:sz w:val="28"/>
          <w:szCs w:val="28"/>
          <w:lang w:eastAsia="zh-CN"/>
        </w:rPr>
        <w:t>。</w:t>
      </w:r>
    </w:p>
    <w:p w14:paraId="116E2BA6">
      <w:pPr>
        <w:spacing w:line="360" w:lineRule="auto"/>
        <w:ind w:firstLine="562" w:firstLineChars="200"/>
        <w:rPr>
          <w:rFonts w:hint="eastAsia" w:ascii="仿宋_GB2312" w:hAnsi="仿宋" w:eastAsia="仿宋_GB2312"/>
          <w:b/>
          <w:sz w:val="28"/>
          <w:szCs w:val="28"/>
          <w:lang w:eastAsia="zh-CN"/>
        </w:rPr>
      </w:pPr>
      <w:r>
        <w:rPr>
          <w:rFonts w:hint="eastAsia" w:ascii="仿宋_GB2312" w:hAnsi="仿宋" w:eastAsia="仿宋_GB2312"/>
          <w:b/>
          <w:sz w:val="28"/>
          <w:szCs w:val="28"/>
          <w:lang w:eastAsia="zh-CN"/>
        </w:rPr>
        <w:t>十二、违约责任</w:t>
      </w:r>
    </w:p>
    <w:p w14:paraId="64485477">
      <w:pPr>
        <w:spacing w:line="360" w:lineRule="auto"/>
        <w:ind w:firstLine="63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eastAsia="zh-CN"/>
        </w:rPr>
        <w:t>（一）按《中华人民共和国民法典》中的相关条款执行。</w:t>
      </w:r>
    </w:p>
    <w:p w14:paraId="06B67396">
      <w:pPr>
        <w:spacing w:line="360" w:lineRule="auto"/>
        <w:ind w:firstLine="63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eastAsia="zh-CN"/>
        </w:rPr>
        <w:t>（二）按合同要求提供产品质量不能满足</w:t>
      </w:r>
      <w:r>
        <w:rPr>
          <w:rFonts w:hint="eastAsia" w:ascii="仿宋_GB2312" w:hAnsi="仿宋_GB2312" w:eastAsia="仿宋_GB2312" w:cs="仿宋_GB2312"/>
          <w:sz w:val="28"/>
          <w:szCs w:val="28"/>
          <w:lang w:eastAsia="zh-CN"/>
        </w:rPr>
        <w:t>本次采购要求</w:t>
      </w:r>
      <w:r>
        <w:rPr>
          <w:rFonts w:hint="eastAsia" w:ascii="仿宋_GB2312" w:hAnsi="仿宋_GB2312" w:eastAsia="仿宋_GB2312" w:cs="仿宋_GB2312"/>
          <w:bCs/>
          <w:sz w:val="28"/>
          <w:szCs w:val="28"/>
          <w:lang w:eastAsia="zh-CN"/>
        </w:rPr>
        <w:t>，乙方必须无条件更换产品，提高技术，完善质量，否则，甲方会同监督机构、采购代理机构有权终止合同并对乙方违约行为进行追究，同时按政府采购供应商管理办法进行相应的处罚。</w:t>
      </w:r>
    </w:p>
    <w:p w14:paraId="00ACC46E">
      <w:pPr>
        <w:spacing w:line="360" w:lineRule="auto"/>
        <w:ind w:firstLine="560" w:firstLineChars="200"/>
        <w:rPr>
          <w:rFonts w:hint="eastAsia"/>
          <w:lang w:eastAsia="zh-CN"/>
        </w:rPr>
      </w:pPr>
      <w:r>
        <w:rPr>
          <w:rFonts w:hint="eastAsia" w:ascii="仿宋_GB2312" w:hAnsi="仿宋_GB2312" w:eastAsia="仿宋_GB2312" w:cs="仿宋_GB2312"/>
          <w:bCs/>
          <w:sz w:val="28"/>
          <w:szCs w:val="28"/>
          <w:lang w:eastAsia="zh-CN"/>
        </w:rPr>
        <w:t>（三）任何一方因不可抗力原因不能履行协议时，应尽快通知对方，双方均设法补偿。如仍无法履约协议，可协商延缓或撤销协议，双方责任免除</w:t>
      </w:r>
      <w:r>
        <w:rPr>
          <w:rFonts w:hint="eastAsia" w:ascii="仿宋_GB2312" w:hAnsi="仿宋" w:eastAsia="仿宋_GB2312"/>
          <w:bCs/>
          <w:sz w:val="28"/>
          <w:szCs w:val="28"/>
          <w:lang w:eastAsia="zh-CN"/>
        </w:rPr>
        <w:t>。</w:t>
      </w:r>
    </w:p>
    <w:p w14:paraId="0A10CD95">
      <w:pPr>
        <w:spacing w:line="360" w:lineRule="auto"/>
        <w:ind w:firstLine="562" w:firstLineChars="200"/>
        <w:rPr>
          <w:rFonts w:hint="eastAsia" w:ascii="仿宋_GB2312" w:hAnsi="仿宋" w:eastAsia="仿宋_GB2312"/>
          <w:b/>
          <w:sz w:val="28"/>
          <w:szCs w:val="28"/>
          <w:lang w:eastAsia="zh-CN"/>
        </w:rPr>
      </w:pPr>
      <w:r>
        <w:rPr>
          <w:rFonts w:hint="eastAsia" w:ascii="仿宋_GB2312" w:hAnsi="仿宋" w:eastAsia="仿宋_GB2312"/>
          <w:b/>
          <w:sz w:val="28"/>
          <w:szCs w:val="28"/>
          <w:lang w:eastAsia="zh-CN"/>
        </w:rPr>
        <w:t>十三、合同争议解决的方式</w:t>
      </w:r>
    </w:p>
    <w:p w14:paraId="18B6AB98">
      <w:pPr>
        <w:spacing w:line="360" w:lineRule="auto"/>
        <w:ind w:firstLine="560" w:firstLineChars="200"/>
        <w:rPr>
          <w:rFonts w:hint="eastAsia" w:ascii="仿宋_GB2312" w:hAnsi="仿宋" w:eastAsia="仿宋_GB2312"/>
          <w:bCs/>
          <w:sz w:val="28"/>
          <w:szCs w:val="28"/>
          <w:lang w:eastAsia="zh-CN"/>
        </w:rPr>
      </w:pPr>
      <w:r>
        <w:rPr>
          <w:rFonts w:hint="eastAsia" w:ascii="仿宋_GB2312" w:hAnsi="仿宋" w:eastAsia="仿宋_GB2312"/>
          <w:bCs/>
          <w:sz w:val="28"/>
          <w:szCs w:val="28"/>
          <w:lang w:eastAsia="zh-CN"/>
        </w:rPr>
        <w:t>本合同在履行过程中发生的争议，由甲、乙双方当事人协商解决，协商不成的按下列第</w:t>
      </w:r>
      <w:r>
        <w:rPr>
          <w:rFonts w:hint="eastAsia" w:ascii="仿宋_GB2312" w:hAnsi="仿宋" w:eastAsia="仿宋_GB2312"/>
          <w:bCs/>
          <w:sz w:val="28"/>
          <w:szCs w:val="28"/>
          <w:u w:val="single"/>
          <w:lang w:eastAsia="zh-CN"/>
        </w:rPr>
        <w:t>（二）</w:t>
      </w:r>
      <w:r>
        <w:rPr>
          <w:rFonts w:hint="eastAsia" w:ascii="仿宋_GB2312" w:hAnsi="仿宋" w:eastAsia="仿宋_GB2312"/>
          <w:bCs/>
          <w:sz w:val="28"/>
          <w:szCs w:val="28"/>
          <w:lang w:eastAsia="zh-CN"/>
        </w:rPr>
        <w:t>种方式解决：</w:t>
      </w:r>
    </w:p>
    <w:p w14:paraId="729405B0">
      <w:pPr>
        <w:spacing w:line="360" w:lineRule="auto"/>
        <w:ind w:firstLine="560" w:firstLineChars="200"/>
        <w:rPr>
          <w:rFonts w:hint="eastAsia" w:ascii="仿宋_GB2312" w:hAnsi="仿宋" w:eastAsia="仿宋_GB2312"/>
          <w:bCs/>
          <w:sz w:val="28"/>
          <w:szCs w:val="28"/>
          <w:lang w:eastAsia="zh-CN"/>
        </w:rPr>
      </w:pPr>
      <w:r>
        <w:rPr>
          <w:rFonts w:hint="eastAsia" w:ascii="仿宋_GB2312" w:hAnsi="仿宋" w:eastAsia="仿宋_GB2312"/>
          <w:bCs/>
          <w:sz w:val="28"/>
          <w:szCs w:val="28"/>
          <w:lang w:eastAsia="zh-CN"/>
        </w:rPr>
        <w:t>（一）提交西安仲裁委员会仲裁；</w:t>
      </w:r>
    </w:p>
    <w:p w14:paraId="299C6614">
      <w:pPr>
        <w:spacing w:line="360" w:lineRule="auto"/>
        <w:ind w:firstLine="560" w:firstLineChars="200"/>
        <w:rPr>
          <w:rFonts w:hint="eastAsia" w:ascii="仿宋_GB2312" w:hAnsi="仿宋" w:eastAsia="仿宋_GB2312"/>
          <w:bCs/>
          <w:sz w:val="28"/>
          <w:szCs w:val="28"/>
          <w:lang w:eastAsia="zh-CN"/>
        </w:rPr>
      </w:pPr>
      <w:r>
        <w:rPr>
          <w:rFonts w:hint="eastAsia" w:ascii="仿宋_GB2312" w:hAnsi="仿宋" w:eastAsia="仿宋_GB2312"/>
          <w:bCs/>
          <w:sz w:val="28"/>
          <w:szCs w:val="28"/>
          <w:lang w:eastAsia="zh-CN"/>
        </w:rPr>
        <w:t>（二）依法向甲方所在地人民法院起诉。</w:t>
      </w:r>
    </w:p>
    <w:p w14:paraId="2875FB6E">
      <w:pPr>
        <w:spacing w:line="360" w:lineRule="auto"/>
        <w:ind w:firstLine="562" w:firstLineChars="200"/>
        <w:rPr>
          <w:rFonts w:hint="eastAsia" w:ascii="仿宋_GB2312" w:hAnsi="仿宋" w:eastAsia="仿宋_GB2312"/>
          <w:b/>
          <w:sz w:val="28"/>
          <w:szCs w:val="28"/>
          <w:lang w:eastAsia="zh-CN"/>
        </w:rPr>
      </w:pPr>
      <w:r>
        <w:rPr>
          <w:rFonts w:hint="eastAsia" w:ascii="仿宋_GB2312" w:hAnsi="仿宋" w:eastAsia="仿宋_GB2312"/>
          <w:b/>
          <w:sz w:val="28"/>
          <w:szCs w:val="28"/>
          <w:lang w:eastAsia="zh-CN"/>
        </w:rPr>
        <w:t>十四、合同生效</w:t>
      </w:r>
    </w:p>
    <w:p w14:paraId="23FCDDE6">
      <w:pPr>
        <w:widowControl w:val="0"/>
        <w:spacing w:line="360" w:lineRule="auto"/>
        <w:ind w:firstLine="560" w:firstLineChars="200"/>
        <w:rPr>
          <w:rFonts w:hint="eastAsia" w:ascii="仿宋_GB2312" w:hAnsi="仿宋" w:eastAsia="仿宋_GB2312"/>
          <w:bCs/>
          <w:sz w:val="28"/>
          <w:szCs w:val="28"/>
          <w:lang w:eastAsia="zh-CN"/>
        </w:rPr>
      </w:pPr>
      <w:r>
        <w:rPr>
          <w:rFonts w:hint="eastAsia" w:ascii="仿宋_GB2312" w:hAnsi="仿宋" w:eastAsia="仿宋_GB2312"/>
          <w:bCs/>
          <w:sz w:val="28"/>
          <w:szCs w:val="28"/>
          <w:lang w:eastAsia="zh-CN"/>
        </w:rPr>
        <w:t>（一）本合同须经甲、乙双方的法定代表人（授权代表）在合同书上签字并加盖本单位公章后正式生效。</w:t>
      </w:r>
    </w:p>
    <w:p w14:paraId="3FD7A0F8">
      <w:pPr>
        <w:widowControl w:val="0"/>
        <w:spacing w:line="360" w:lineRule="auto"/>
        <w:ind w:firstLine="560" w:firstLineChars="200"/>
        <w:rPr>
          <w:rFonts w:ascii="仿宋_GB2312" w:hAnsi="仿宋" w:eastAsia="仿宋_GB2312"/>
          <w:bCs/>
          <w:sz w:val="28"/>
          <w:szCs w:val="28"/>
          <w:lang w:eastAsia="zh-CN"/>
        </w:rPr>
      </w:pPr>
      <w:r>
        <w:rPr>
          <w:rFonts w:hint="eastAsia" w:ascii="仿宋_GB2312" w:hAnsi="仿宋" w:eastAsia="仿宋_GB2312"/>
          <w:bCs/>
          <w:sz w:val="28"/>
          <w:szCs w:val="28"/>
          <w:lang w:eastAsia="zh-CN"/>
        </w:rPr>
        <w:t>（二）合同生效后，甲、乙双方须严格执行本合同条款的规定，全面履行合同，违者按《中华人民共和国民法典》的有关规定承担相应责任。</w:t>
      </w:r>
    </w:p>
    <w:p w14:paraId="637270E4">
      <w:pPr>
        <w:spacing w:line="360" w:lineRule="auto"/>
        <w:ind w:firstLine="560" w:firstLineChars="200"/>
        <w:rPr>
          <w:rFonts w:hint="eastAsia" w:ascii="仿宋_GB2312" w:hAnsi="仿宋" w:eastAsia="仿宋_GB2312"/>
          <w:bCs/>
          <w:sz w:val="28"/>
          <w:szCs w:val="28"/>
          <w:lang w:eastAsia="zh-CN"/>
        </w:rPr>
      </w:pPr>
      <w:r>
        <w:rPr>
          <w:rFonts w:hint="eastAsia" w:ascii="仿宋_GB2312" w:hAnsi="仿宋" w:eastAsia="仿宋_GB2312"/>
          <w:bCs/>
          <w:sz w:val="28"/>
          <w:szCs w:val="28"/>
          <w:lang w:eastAsia="zh-CN"/>
        </w:rPr>
        <w:t>（三）本合同一式</w:t>
      </w:r>
      <w:r>
        <w:rPr>
          <w:rFonts w:hint="eastAsia" w:ascii="仿宋_GB2312" w:hAnsi="仿宋" w:eastAsia="仿宋_GB2312"/>
          <w:bCs/>
          <w:sz w:val="28"/>
          <w:szCs w:val="28"/>
          <w:u w:val="single"/>
          <w:lang w:eastAsia="zh-CN"/>
        </w:rPr>
        <w:t xml:space="preserve">   </w:t>
      </w:r>
      <w:r>
        <w:rPr>
          <w:rFonts w:hint="eastAsia" w:ascii="仿宋_GB2312" w:hAnsi="仿宋" w:eastAsia="仿宋_GB2312"/>
          <w:bCs/>
          <w:sz w:val="28"/>
          <w:szCs w:val="28"/>
          <w:lang w:eastAsia="zh-CN"/>
        </w:rPr>
        <w:t>份，甲乙双方各执</w:t>
      </w:r>
      <w:r>
        <w:rPr>
          <w:rFonts w:hint="eastAsia" w:ascii="仿宋_GB2312" w:hAnsi="仿宋" w:eastAsia="仿宋_GB2312"/>
          <w:bCs/>
          <w:sz w:val="28"/>
          <w:szCs w:val="28"/>
          <w:u w:val="single"/>
          <w:lang w:eastAsia="zh-CN"/>
        </w:rPr>
        <w:t xml:space="preserve">    </w:t>
      </w:r>
      <w:r>
        <w:rPr>
          <w:rFonts w:hint="eastAsia" w:ascii="仿宋_GB2312" w:hAnsi="仿宋" w:eastAsia="仿宋_GB2312"/>
          <w:bCs/>
          <w:sz w:val="28"/>
          <w:szCs w:val="28"/>
          <w:lang w:eastAsia="zh-CN"/>
        </w:rPr>
        <w:t>份。</w:t>
      </w:r>
    </w:p>
    <w:p w14:paraId="772CFAE1">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（四）本合同如有未尽事宜，甲、乙双方协商解决</w:t>
      </w:r>
      <w:bookmarkStart w:id="0" w:name="_GoBack"/>
      <w:bookmarkEnd w:id="0"/>
      <w:r>
        <w:rPr>
          <w:rFonts w:hint="eastAsia" w:ascii="仿宋_GB2312" w:hAnsi="仿宋_GB2312" w:eastAsia="仿宋_GB2312" w:cs="仿宋_GB2312"/>
          <w:sz w:val="28"/>
          <w:szCs w:val="28"/>
        </w:rPr>
        <w:t>。</w:t>
      </w:r>
    </w:p>
    <w:p w14:paraId="2279585F">
      <w:pPr>
        <w:pStyle w:val="5"/>
        <w:rPr>
          <w:rFonts w:hint="eastAsia" w:ascii="仿宋_GB2312" w:hAnsi="仿宋_GB2312" w:eastAsia="仿宋_GB2312" w:cs="仿宋_GB2312"/>
          <w:sz w:val="15"/>
          <w:szCs w:val="15"/>
        </w:rPr>
      </w:pPr>
    </w:p>
    <w:p w14:paraId="6DD457E6">
      <w:pPr>
        <w:rPr>
          <w:rFonts w:hint="eastAsia" w:ascii="仿宋_GB2312" w:hAnsi="仿宋_GB2312" w:eastAsia="仿宋_GB2312" w:cs="仿宋_GB2312"/>
          <w:sz w:val="15"/>
          <w:szCs w:val="15"/>
        </w:rPr>
      </w:pPr>
    </w:p>
    <w:p w14:paraId="3846644C">
      <w:pPr>
        <w:rPr>
          <w:rFonts w:hint="eastAsia" w:ascii="仿宋_GB2312" w:hAnsi="仿宋_GB2312" w:eastAsia="仿宋_GB2312" w:cs="仿宋_GB2312"/>
          <w:sz w:val="15"/>
          <w:szCs w:val="15"/>
        </w:rPr>
      </w:pPr>
    </w:p>
    <w:p w14:paraId="621B61DA">
      <w:pPr>
        <w:rPr>
          <w:rFonts w:hint="eastAsia" w:ascii="仿宋_GB2312" w:hAnsi="仿宋_GB2312" w:eastAsia="仿宋_GB2312" w:cs="仿宋_GB2312"/>
          <w:sz w:val="15"/>
          <w:szCs w:val="15"/>
        </w:rPr>
      </w:pPr>
    </w:p>
    <w:p w14:paraId="5DE2CB50">
      <w:pPr>
        <w:rPr>
          <w:rFonts w:hint="eastAsia" w:ascii="仿宋_GB2312" w:hAnsi="仿宋_GB2312" w:eastAsia="仿宋_GB2312" w:cs="仿宋_GB2312"/>
          <w:sz w:val="15"/>
          <w:szCs w:val="15"/>
        </w:rPr>
      </w:pPr>
    </w:p>
    <w:p w14:paraId="6319C7E3"/>
    <w:tbl>
      <w:tblPr>
        <w:tblStyle w:val="13"/>
        <w:tblW w:w="0" w:type="auto"/>
        <w:jc w:val="center"/>
        <w:tblLayout w:type="fixed"/>
        <w:tblCellMar>
          <w:top w:w="0" w:type="dxa"/>
          <w:left w:w="108" w:type="dxa"/>
          <w:bottom w:w="0" w:type="dxa"/>
          <w:right w:w="108" w:type="dxa"/>
        </w:tblCellMar>
      </w:tblPr>
      <w:tblGrid>
        <w:gridCol w:w="4201"/>
        <w:gridCol w:w="4202"/>
      </w:tblGrid>
      <w:tr w14:paraId="7ADEF8A1">
        <w:tblPrEx>
          <w:tblCellMar>
            <w:top w:w="0" w:type="dxa"/>
            <w:left w:w="108" w:type="dxa"/>
            <w:bottom w:w="0" w:type="dxa"/>
            <w:right w:w="108" w:type="dxa"/>
          </w:tblCellMar>
        </w:tblPrEx>
        <w:trPr>
          <w:trHeight w:val="567" w:hRule="exact"/>
          <w:jc w:val="center"/>
        </w:trPr>
        <w:tc>
          <w:tcPr>
            <w:tcW w:w="4201" w:type="dxa"/>
            <w:noWrap w:val="0"/>
            <w:vAlign w:val="center"/>
          </w:tcPr>
          <w:p w14:paraId="304D2A9B">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甲  方</w:t>
            </w:r>
          </w:p>
        </w:tc>
        <w:tc>
          <w:tcPr>
            <w:tcW w:w="4202" w:type="dxa"/>
            <w:noWrap w:val="0"/>
            <w:vAlign w:val="center"/>
          </w:tcPr>
          <w:p w14:paraId="4499C4AD">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乙  方</w:t>
            </w:r>
          </w:p>
        </w:tc>
      </w:tr>
      <w:tr w14:paraId="1AD84AED">
        <w:tblPrEx>
          <w:tblCellMar>
            <w:top w:w="0" w:type="dxa"/>
            <w:left w:w="108" w:type="dxa"/>
            <w:bottom w:w="0" w:type="dxa"/>
            <w:right w:w="108" w:type="dxa"/>
          </w:tblCellMar>
        </w:tblPrEx>
        <w:trPr>
          <w:trHeight w:val="567" w:hRule="exact"/>
          <w:jc w:val="center"/>
        </w:trPr>
        <w:tc>
          <w:tcPr>
            <w:tcW w:w="4201" w:type="dxa"/>
            <w:noWrap w:val="0"/>
            <w:vAlign w:val="center"/>
          </w:tcPr>
          <w:p w14:paraId="25776D00">
            <w:pPr>
              <w:ind w:firstLine="840" w:firstLineChars="350"/>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（盖章）</w:t>
            </w:r>
          </w:p>
        </w:tc>
        <w:tc>
          <w:tcPr>
            <w:tcW w:w="4202" w:type="dxa"/>
            <w:noWrap w:val="0"/>
            <w:vAlign w:val="center"/>
          </w:tcPr>
          <w:p w14:paraId="3006333B">
            <w:pPr>
              <w:ind w:firstLine="960" w:firstLineChars="400"/>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（盖章）</w:t>
            </w:r>
          </w:p>
        </w:tc>
      </w:tr>
      <w:tr w14:paraId="05448D3B">
        <w:tblPrEx>
          <w:tblCellMar>
            <w:top w:w="0" w:type="dxa"/>
            <w:left w:w="108" w:type="dxa"/>
            <w:bottom w:w="0" w:type="dxa"/>
            <w:right w:w="108" w:type="dxa"/>
          </w:tblCellMar>
        </w:tblPrEx>
        <w:trPr>
          <w:trHeight w:val="567" w:hRule="exact"/>
          <w:jc w:val="center"/>
        </w:trPr>
        <w:tc>
          <w:tcPr>
            <w:tcW w:w="4201" w:type="dxa"/>
            <w:noWrap w:val="0"/>
            <w:vAlign w:val="center"/>
          </w:tcPr>
          <w:p w14:paraId="6899C4CC">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 xml:space="preserve">地址： </w:t>
            </w:r>
          </w:p>
        </w:tc>
        <w:tc>
          <w:tcPr>
            <w:tcW w:w="4202" w:type="dxa"/>
            <w:noWrap w:val="0"/>
            <w:vAlign w:val="center"/>
          </w:tcPr>
          <w:p w14:paraId="13194C5F">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地址：</w:t>
            </w:r>
          </w:p>
        </w:tc>
      </w:tr>
      <w:tr w14:paraId="2E303375">
        <w:tblPrEx>
          <w:tblCellMar>
            <w:top w:w="0" w:type="dxa"/>
            <w:left w:w="108" w:type="dxa"/>
            <w:bottom w:w="0" w:type="dxa"/>
            <w:right w:w="108" w:type="dxa"/>
          </w:tblCellMar>
        </w:tblPrEx>
        <w:trPr>
          <w:trHeight w:val="567" w:hRule="exact"/>
          <w:jc w:val="center"/>
        </w:trPr>
        <w:tc>
          <w:tcPr>
            <w:tcW w:w="4201" w:type="dxa"/>
            <w:noWrap w:val="0"/>
            <w:vAlign w:val="center"/>
          </w:tcPr>
          <w:p w14:paraId="62A19121">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邮编：</w:t>
            </w:r>
          </w:p>
        </w:tc>
        <w:tc>
          <w:tcPr>
            <w:tcW w:w="4202" w:type="dxa"/>
            <w:noWrap w:val="0"/>
            <w:vAlign w:val="center"/>
          </w:tcPr>
          <w:p w14:paraId="280DA8CD">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邮编：</w:t>
            </w:r>
          </w:p>
        </w:tc>
      </w:tr>
      <w:tr w14:paraId="479507CB">
        <w:tblPrEx>
          <w:tblCellMar>
            <w:top w:w="0" w:type="dxa"/>
            <w:left w:w="108" w:type="dxa"/>
            <w:bottom w:w="0" w:type="dxa"/>
            <w:right w:w="108" w:type="dxa"/>
          </w:tblCellMar>
        </w:tblPrEx>
        <w:trPr>
          <w:trHeight w:val="567" w:hRule="exact"/>
          <w:jc w:val="center"/>
        </w:trPr>
        <w:tc>
          <w:tcPr>
            <w:tcW w:w="4201" w:type="dxa"/>
            <w:noWrap w:val="0"/>
            <w:vAlign w:val="center"/>
          </w:tcPr>
          <w:p w14:paraId="5C86B543">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 xml:space="preserve">法定代表人： </w:t>
            </w:r>
          </w:p>
        </w:tc>
        <w:tc>
          <w:tcPr>
            <w:tcW w:w="4202" w:type="dxa"/>
            <w:noWrap w:val="0"/>
            <w:vAlign w:val="center"/>
          </w:tcPr>
          <w:p w14:paraId="2B686AD0">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法定代表人：</w:t>
            </w:r>
          </w:p>
        </w:tc>
      </w:tr>
      <w:tr w14:paraId="3060D77D">
        <w:tblPrEx>
          <w:tblCellMar>
            <w:top w:w="0" w:type="dxa"/>
            <w:left w:w="108" w:type="dxa"/>
            <w:bottom w:w="0" w:type="dxa"/>
            <w:right w:w="108" w:type="dxa"/>
          </w:tblCellMar>
        </w:tblPrEx>
        <w:trPr>
          <w:trHeight w:val="567" w:hRule="exact"/>
          <w:jc w:val="center"/>
        </w:trPr>
        <w:tc>
          <w:tcPr>
            <w:tcW w:w="4201" w:type="dxa"/>
            <w:noWrap w:val="0"/>
            <w:vAlign w:val="center"/>
          </w:tcPr>
          <w:p w14:paraId="16FD4D53">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lang w:val="en-US" w:eastAsia="zh-CN"/>
              </w:rPr>
              <w:t>或</w:t>
            </w:r>
            <w:r>
              <w:rPr>
                <w:rFonts w:hint="eastAsia" w:ascii="仿宋_GB2312" w:hAnsi="仿宋_GB2312" w:eastAsia="仿宋_GB2312" w:cs="仿宋_GB2312"/>
                <w:spacing w:val="-20"/>
                <w:sz w:val="28"/>
                <w:szCs w:val="28"/>
              </w:rPr>
              <w:t>被授权代表：</w:t>
            </w:r>
          </w:p>
        </w:tc>
        <w:tc>
          <w:tcPr>
            <w:tcW w:w="4202" w:type="dxa"/>
            <w:noWrap w:val="0"/>
            <w:vAlign w:val="center"/>
          </w:tcPr>
          <w:p w14:paraId="00BE4039">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lang w:val="en-US" w:eastAsia="zh-CN"/>
              </w:rPr>
              <w:t>或</w:t>
            </w:r>
            <w:r>
              <w:rPr>
                <w:rFonts w:hint="eastAsia" w:ascii="仿宋_GB2312" w:hAnsi="仿宋_GB2312" w:eastAsia="仿宋_GB2312" w:cs="仿宋_GB2312"/>
                <w:spacing w:val="-20"/>
                <w:sz w:val="28"/>
                <w:szCs w:val="28"/>
              </w:rPr>
              <w:t>被授权代表：</w:t>
            </w:r>
          </w:p>
        </w:tc>
      </w:tr>
      <w:tr w14:paraId="0F9B1425">
        <w:tblPrEx>
          <w:tblCellMar>
            <w:top w:w="0" w:type="dxa"/>
            <w:left w:w="108" w:type="dxa"/>
            <w:bottom w:w="0" w:type="dxa"/>
            <w:right w:w="108" w:type="dxa"/>
          </w:tblCellMar>
        </w:tblPrEx>
        <w:trPr>
          <w:trHeight w:val="567" w:hRule="exact"/>
          <w:jc w:val="center"/>
        </w:trPr>
        <w:tc>
          <w:tcPr>
            <w:tcW w:w="4201" w:type="dxa"/>
            <w:noWrap w:val="0"/>
            <w:vAlign w:val="center"/>
          </w:tcPr>
          <w:p w14:paraId="0C433912">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电话：</w:t>
            </w:r>
          </w:p>
        </w:tc>
        <w:tc>
          <w:tcPr>
            <w:tcW w:w="4202" w:type="dxa"/>
            <w:noWrap w:val="0"/>
            <w:vAlign w:val="center"/>
          </w:tcPr>
          <w:p w14:paraId="381ED113">
            <w:pPr>
              <w:ind w:left="720" w:hanging="720" w:hangingChars="300"/>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电话：</w:t>
            </w:r>
          </w:p>
        </w:tc>
      </w:tr>
      <w:tr w14:paraId="4921C625">
        <w:tblPrEx>
          <w:tblCellMar>
            <w:top w:w="0" w:type="dxa"/>
            <w:left w:w="108" w:type="dxa"/>
            <w:bottom w:w="0" w:type="dxa"/>
            <w:right w:w="108" w:type="dxa"/>
          </w:tblCellMar>
        </w:tblPrEx>
        <w:trPr>
          <w:trHeight w:val="567" w:hRule="exact"/>
          <w:jc w:val="center"/>
        </w:trPr>
        <w:tc>
          <w:tcPr>
            <w:tcW w:w="4201" w:type="dxa"/>
            <w:noWrap w:val="0"/>
            <w:vAlign w:val="center"/>
          </w:tcPr>
          <w:p w14:paraId="3CA299B6">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传真：</w:t>
            </w:r>
          </w:p>
        </w:tc>
        <w:tc>
          <w:tcPr>
            <w:tcW w:w="4202" w:type="dxa"/>
            <w:noWrap w:val="0"/>
            <w:vAlign w:val="center"/>
          </w:tcPr>
          <w:p w14:paraId="28B6A229">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传真：</w:t>
            </w:r>
          </w:p>
        </w:tc>
      </w:tr>
      <w:tr w14:paraId="1D467A8A">
        <w:tblPrEx>
          <w:tblCellMar>
            <w:top w:w="0" w:type="dxa"/>
            <w:left w:w="108" w:type="dxa"/>
            <w:bottom w:w="0" w:type="dxa"/>
            <w:right w:w="108" w:type="dxa"/>
          </w:tblCellMar>
        </w:tblPrEx>
        <w:trPr>
          <w:trHeight w:val="567" w:hRule="exact"/>
          <w:jc w:val="center"/>
        </w:trPr>
        <w:tc>
          <w:tcPr>
            <w:tcW w:w="4201" w:type="dxa"/>
            <w:noWrap w:val="0"/>
            <w:vAlign w:val="center"/>
          </w:tcPr>
          <w:p w14:paraId="32092AEA">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开户银行：</w:t>
            </w:r>
          </w:p>
        </w:tc>
        <w:tc>
          <w:tcPr>
            <w:tcW w:w="4202" w:type="dxa"/>
            <w:noWrap w:val="0"/>
            <w:vAlign w:val="center"/>
          </w:tcPr>
          <w:p w14:paraId="48B74B7D">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开户银行：</w:t>
            </w:r>
          </w:p>
        </w:tc>
      </w:tr>
      <w:tr w14:paraId="2E0F058F">
        <w:tblPrEx>
          <w:tblCellMar>
            <w:top w:w="0" w:type="dxa"/>
            <w:left w:w="108" w:type="dxa"/>
            <w:bottom w:w="0" w:type="dxa"/>
            <w:right w:w="108" w:type="dxa"/>
          </w:tblCellMar>
        </w:tblPrEx>
        <w:trPr>
          <w:trHeight w:val="567" w:hRule="exact"/>
          <w:jc w:val="center"/>
        </w:trPr>
        <w:tc>
          <w:tcPr>
            <w:tcW w:w="4201" w:type="dxa"/>
            <w:noWrap w:val="0"/>
            <w:vAlign w:val="center"/>
          </w:tcPr>
          <w:p w14:paraId="1BF2D783">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日期：</w:t>
            </w:r>
          </w:p>
        </w:tc>
        <w:tc>
          <w:tcPr>
            <w:tcW w:w="4202" w:type="dxa"/>
            <w:noWrap w:val="0"/>
            <w:vAlign w:val="center"/>
          </w:tcPr>
          <w:p w14:paraId="4693EE1C">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日期：</w:t>
            </w:r>
          </w:p>
        </w:tc>
      </w:tr>
    </w:tbl>
    <w:p w14:paraId="0A1F7C6F"/>
    <w:sectPr>
      <w:headerReference r:id="rId3" w:type="default"/>
      <w:footerReference r:id="rId4" w:type="default"/>
      <w:pgSz w:w="11909" w:h="16841"/>
      <w:pgMar w:top="1417" w:right="1417" w:bottom="1417" w:left="1417" w:header="850" w:footer="10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8EF58B2E-C8DD-4729-BABC-72FB440B24ED}"/>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51DC06C4-D304-44EA-83DB-348508F3F7C2}"/>
  </w:font>
  <w:font w:name="仿宋_GB2312">
    <w:panose1 w:val="02010609030101010101"/>
    <w:charset w:val="86"/>
    <w:family w:val="modern"/>
    <w:pitch w:val="default"/>
    <w:sig w:usb0="00000001" w:usb1="080E0000" w:usb2="00000000" w:usb3="00000000" w:csb0="00040000" w:csb1="00000000"/>
    <w:embedRegular r:id="rId3" w:fontKey="{B7E9A893-87F7-4715-8539-83135E84D562}"/>
  </w:font>
  <w:font w:name="微软雅黑">
    <w:panose1 w:val="020B0503020204020204"/>
    <w:charset w:val="86"/>
    <w:family w:val="swiss"/>
    <w:pitch w:val="default"/>
    <w:sig w:usb0="80000287" w:usb1="2ACF3C50" w:usb2="00000016" w:usb3="00000000" w:csb0="0004001F" w:csb1="00000000"/>
    <w:embedRegular r:id="rId4" w:fontKey="{483EBA99-5116-425D-A980-CC1EDD4D8844}"/>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78FE8">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posOffset>2623820</wp:posOffset>
              </wp:positionH>
              <wp:positionV relativeFrom="paragraph">
                <wp:posOffset>-174625</wp:posOffset>
              </wp:positionV>
              <wp:extent cx="467360" cy="172720"/>
              <wp:effectExtent l="0" t="0" r="2540" b="11430"/>
              <wp:wrapNone/>
              <wp:docPr id="7" name="文本框 7"/>
              <wp:cNvGraphicFramePr/>
              <a:graphic xmlns:a="http://schemas.openxmlformats.org/drawingml/2006/main">
                <a:graphicData uri="http://schemas.microsoft.com/office/word/2010/wordprocessingShape">
                  <wps:wsp>
                    <wps:cNvSpPr txBox="1"/>
                    <wps:spPr>
                      <a:xfrm>
                        <a:off x="0" y="0"/>
                        <a:ext cx="467360" cy="172720"/>
                      </a:xfrm>
                      <a:prstGeom prst="rect">
                        <a:avLst/>
                      </a:prstGeom>
                      <a:noFill/>
                      <a:ln w="6350">
                        <a:noFill/>
                      </a:ln>
                    </wps:spPr>
                    <wps:txbx>
                      <w:txbxContent>
                        <w:p w14:paraId="0EFA8E70">
                          <w:pPr>
                            <w:pStyle w:val="8"/>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6.6pt;margin-top:-13.75pt;height:13.6pt;width:36.8pt;mso-position-horizontal-relative:margin;mso-wrap-style:none;z-index:251659264;mso-width-relative:page;mso-height-relative:page;" filled="f" stroked="f" coordsize="21600,21600" o:gfxdata="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svhy41gAAAAkBAAAPAAAAAAAAAAEAIAAAACIAAABkcnMvZG93bnJldi54bWxQSwEC&#10;FAAUAAAACACHTuJALEJu2i8CAABTBAAADgAAAAAAAAABACAAAAAlAQAAZHJzL2Uyb0RvYy54bWxQ&#10;SwUGAAAAAAYABgBZAQAAxgUAAAAA&#10;">
              <v:fill on="f" focussize="0,0"/>
              <v:stroke on="f" weight="0.5pt"/>
              <v:imagedata o:title=""/>
              <o:lock v:ext="edit" aspectratio="f"/>
              <v:textbox inset="0mm,0mm,0mm,0mm" style="mso-fit-shape-to-text:t;">
                <w:txbxContent>
                  <w:p w14:paraId="0EFA8E70">
                    <w:pPr>
                      <w:pStyle w:val="8"/>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C11F6">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29BB6BC2"/>
    <w:rsid w:val="00032C77"/>
    <w:rsid w:val="00042B50"/>
    <w:rsid w:val="0005444A"/>
    <w:rsid w:val="00055484"/>
    <w:rsid w:val="00196F8D"/>
    <w:rsid w:val="002134F5"/>
    <w:rsid w:val="00240D10"/>
    <w:rsid w:val="002A2C9E"/>
    <w:rsid w:val="00301B8C"/>
    <w:rsid w:val="00333158"/>
    <w:rsid w:val="00366B06"/>
    <w:rsid w:val="005C205E"/>
    <w:rsid w:val="00680F55"/>
    <w:rsid w:val="006B2966"/>
    <w:rsid w:val="006E04B8"/>
    <w:rsid w:val="007377F8"/>
    <w:rsid w:val="007646EA"/>
    <w:rsid w:val="008B1E38"/>
    <w:rsid w:val="009015B2"/>
    <w:rsid w:val="009F1E94"/>
    <w:rsid w:val="00AD6F4F"/>
    <w:rsid w:val="00B35765"/>
    <w:rsid w:val="00C65FC8"/>
    <w:rsid w:val="00CC3A78"/>
    <w:rsid w:val="00CE21B5"/>
    <w:rsid w:val="00CF6641"/>
    <w:rsid w:val="00E8712A"/>
    <w:rsid w:val="00EF3803"/>
    <w:rsid w:val="00F47186"/>
    <w:rsid w:val="00FA5ACA"/>
    <w:rsid w:val="00FC1B97"/>
    <w:rsid w:val="01981D96"/>
    <w:rsid w:val="02680F16"/>
    <w:rsid w:val="02FA3FDE"/>
    <w:rsid w:val="06044D8E"/>
    <w:rsid w:val="063C3527"/>
    <w:rsid w:val="071938B9"/>
    <w:rsid w:val="0B186D4E"/>
    <w:rsid w:val="0CF24C32"/>
    <w:rsid w:val="0DA008CC"/>
    <w:rsid w:val="0EBB3568"/>
    <w:rsid w:val="0EC60B07"/>
    <w:rsid w:val="10332904"/>
    <w:rsid w:val="10CF4970"/>
    <w:rsid w:val="10F63A27"/>
    <w:rsid w:val="14561BE7"/>
    <w:rsid w:val="172B4FA4"/>
    <w:rsid w:val="18940266"/>
    <w:rsid w:val="192A37C4"/>
    <w:rsid w:val="198577DD"/>
    <w:rsid w:val="19966094"/>
    <w:rsid w:val="1CA80820"/>
    <w:rsid w:val="1D6E70FD"/>
    <w:rsid w:val="1E6D5F03"/>
    <w:rsid w:val="21665943"/>
    <w:rsid w:val="244871F4"/>
    <w:rsid w:val="25295AB7"/>
    <w:rsid w:val="274E2D73"/>
    <w:rsid w:val="27EF733B"/>
    <w:rsid w:val="292902AA"/>
    <w:rsid w:val="29BB6BC2"/>
    <w:rsid w:val="2C0F4050"/>
    <w:rsid w:val="2EEA293E"/>
    <w:rsid w:val="2F1025C8"/>
    <w:rsid w:val="30104537"/>
    <w:rsid w:val="313868D1"/>
    <w:rsid w:val="325B49C3"/>
    <w:rsid w:val="326A7D77"/>
    <w:rsid w:val="33EF3E56"/>
    <w:rsid w:val="39094D4C"/>
    <w:rsid w:val="3CCE5611"/>
    <w:rsid w:val="3CE71A85"/>
    <w:rsid w:val="40D542D2"/>
    <w:rsid w:val="412A6A1E"/>
    <w:rsid w:val="414032D5"/>
    <w:rsid w:val="45FB0DB9"/>
    <w:rsid w:val="467E02E4"/>
    <w:rsid w:val="4A550DAE"/>
    <w:rsid w:val="4EC118A7"/>
    <w:rsid w:val="4F1C52C5"/>
    <w:rsid w:val="4FDA2485"/>
    <w:rsid w:val="528C1FD1"/>
    <w:rsid w:val="54F63A8A"/>
    <w:rsid w:val="57DF2953"/>
    <w:rsid w:val="5ABC66E5"/>
    <w:rsid w:val="5C7E1FD1"/>
    <w:rsid w:val="5D3B49BA"/>
    <w:rsid w:val="60E414E6"/>
    <w:rsid w:val="61E5759F"/>
    <w:rsid w:val="64A137DB"/>
    <w:rsid w:val="67493010"/>
    <w:rsid w:val="696F3399"/>
    <w:rsid w:val="734E36BE"/>
    <w:rsid w:val="741C09D0"/>
    <w:rsid w:val="74343D24"/>
    <w:rsid w:val="764F97C9"/>
    <w:rsid w:val="78C53AE4"/>
    <w:rsid w:val="7EB51055"/>
    <w:rsid w:val="7F3F399C"/>
    <w:rsid w:val="7FB46D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1"/>
    </w:rPr>
  </w:style>
  <w:style w:type="paragraph" w:styleId="4">
    <w:name w:val="annotation text"/>
    <w:basedOn w:val="1"/>
    <w:autoRedefine/>
    <w:qFormat/>
    <w:uiPriority w:val="0"/>
    <w:pPr>
      <w:jc w:val="left"/>
    </w:pPr>
  </w:style>
  <w:style w:type="paragraph" w:styleId="5">
    <w:name w:val="Body Text"/>
    <w:basedOn w:val="1"/>
    <w:next w:val="1"/>
    <w:autoRedefine/>
    <w:qFormat/>
    <w:uiPriority w:val="99"/>
    <w:pPr>
      <w:jc w:val="left"/>
    </w:pPr>
    <w:rPr>
      <w:kern w:val="0"/>
    </w:rPr>
  </w:style>
  <w:style w:type="paragraph" w:styleId="6">
    <w:name w:val="Plain Text"/>
    <w:basedOn w:val="1"/>
    <w:autoRedefine/>
    <w:qFormat/>
    <w:uiPriority w:val="0"/>
    <w:rPr>
      <w:rFonts w:ascii="宋体" w:hAnsi="Courier New"/>
      <w:kern w:val="0"/>
      <w:sz w:val="20"/>
    </w:rPr>
  </w:style>
  <w:style w:type="paragraph" w:styleId="7">
    <w:name w:val="Balloon Text"/>
    <w:basedOn w:val="1"/>
    <w:link w:val="18"/>
    <w:autoRedefine/>
    <w:qFormat/>
    <w:uiPriority w:val="0"/>
    <w:rPr>
      <w:sz w:val="18"/>
      <w:szCs w:val="18"/>
    </w:rPr>
  </w:style>
  <w:style w:type="paragraph" w:styleId="8">
    <w:name w:val="footer"/>
    <w:basedOn w:val="1"/>
    <w:autoRedefine/>
    <w:qFormat/>
    <w:uiPriority w:val="0"/>
    <w:pPr>
      <w:tabs>
        <w:tab w:val="center" w:pos="4140"/>
        <w:tab w:val="right" w:pos="8300"/>
      </w:tabs>
      <w:snapToGrid w:val="0"/>
      <w:jc w:val="left"/>
    </w:pPr>
    <w:rPr>
      <w:sz w:val="18"/>
      <w:szCs w:val="18"/>
    </w:rPr>
  </w:style>
  <w:style w:type="paragraph" w:styleId="9">
    <w:name w:val="header"/>
    <w:basedOn w:val="1"/>
    <w:link w:val="17"/>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1">
    <w:name w:val="Normal (Web)"/>
    <w:basedOn w:val="1"/>
    <w:autoRedefine/>
    <w:qFormat/>
    <w:uiPriority w:val="99"/>
    <w:pPr>
      <w:widowControl/>
      <w:spacing w:before="100" w:beforeAutospacing="1" w:after="100" w:afterAutospacing="1"/>
      <w:jc w:val="left"/>
    </w:pPr>
    <w:rPr>
      <w:rFonts w:ascii="宋体" w:cs="宋体"/>
      <w:kern w:val="0"/>
      <w:sz w:val="24"/>
      <w:szCs w:val="24"/>
    </w:rPr>
  </w:style>
  <w:style w:type="paragraph" w:styleId="12">
    <w:name w:val="Body Text First Indent"/>
    <w:basedOn w:val="5"/>
    <w:autoRedefine/>
    <w:qFormat/>
    <w:uiPriority w:val="0"/>
    <w:pPr>
      <w:spacing w:line="360" w:lineRule="auto"/>
      <w:ind w:firstLine="420"/>
    </w:pPr>
    <w:rPr>
      <w:rFonts w:ascii="宋体" w:hAnsi="宋体"/>
      <w:sz w:val="24"/>
    </w:rPr>
  </w:style>
  <w:style w:type="table" w:styleId="14">
    <w:name w:val="Table Grid"/>
    <w:basedOn w:val="1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autoRedefine/>
    <w:qFormat/>
    <w:uiPriority w:val="0"/>
    <w:rPr>
      <w:sz w:val="21"/>
      <w:szCs w:val="21"/>
    </w:rPr>
  </w:style>
  <w:style w:type="character" w:customStyle="1" w:styleId="17">
    <w:name w:val="页眉 Char"/>
    <w:basedOn w:val="15"/>
    <w:link w:val="9"/>
    <w:autoRedefine/>
    <w:qFormat/>
    <w:uiPriority w:val="0"/>
    <w:rPr>
      <w:kern w:val="2"/>
      <w:sz w:val="18"/>
      <w:szCs w:val="18"/>
    </w:rPr>
  </w:style>
  <w:style w:type="character" w:customStyle="1" w:styleId="18">
    <w:name w:val="批注框文本 Char"/>
    <w:basedOn w:val="15"/>
    <w:link w:val="7"/>
    <w:autoRedefine/>
    <w:qFormat/>
    <w:uiPriority w:val="0"/>
    <w:rPr>
      <w:kern w:val="2"/>
      <w:sz w:val="18"/>
      <w:szCs w:val="18"/>
    </w:rPr>
  </w:style>
  <w:style w:type="paragraph" w:customStyle="1" w:styleId="19">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
    <w:name w:val="正文空2格  1."/>
    <w:basedOn w:val="1"/>
    <w:autoRedefine/>
    <w:qFormat/>
    <w:uiPriority w:val="0"/>
    <w:pPr>
      <w:adjustRightInd w:val="0"/>
      <w:spacing w:line="360" w:lineRule="auto"/>
      <w:ind w:firstLine="480" w:firstLineChars="200"/>
    </w:pPr>
    <w:rPr>
      <w:rFonts w:hint="eastAsia" w:ascii="宋体" w:eastAsia="仿宋" w:cs="宋体"/>
      <w:kern w:val="0"/>
      <w:sz w:val="28"/>
    </w:rPr>
  </w:style>
  <w:style w:type="paragraph" w:customStyle="1" w:styleId="21">
    <w:name w:val="Default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6</Pages>
  <Words>2826</Words>
  <Characters>2854</Characters>
  <Lines>12</Lines>
  <Paragraphs>3</Paragraphs>
  <TotalTime>0</TotalTime>
  <ScaleCrop>false</ScaleCrop>
  <LinksUpToDate>false</LinksUpToDate>
  <CharactersWithSpaces>2916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独舞的蒲公英</dc:creator>
  <cp:lastModifiedBy>陕西华采招标有限公司</cp:lastModifiedBy>
  <cp:lastPrinted>2022-09-28T14:56:00Z</cp:lastPrinted>
  <dcterms:modified xsi:type="dcterms:W3CDTF">2026-08-21T09:45:20Z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E79E879024B94D3FB100E7468F0D228F</vt:lpwstr>
  </property>
  <property fmtid="{D5CDD505-2E9C-101B-9397-08002B2CF9AE}" pid="4" name="KSOTemplateDocerSaveRecord">
    <vt:lpwstr>eyJoZGlkIjoiYjZjMDgwYWJjZmNiM2YzZmU4MTk1ZjZmYmY1NWU1OTEiLCJ1c2VySWQiOiI5MzY1NjA0ODAifQ==</vt:lpwstr>
  </property>
</Properties>
</file>