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472FF6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</w:pPr>
      <w:r>
        <w:rPr>
          <w:rStyle w:val="5"/>
          <w:rFonts w:hint="eastAsia" w:ascii="仿宋_GB2312" w:hAnsi="仿宋_GB2312" w:eastAsia="仿宋_GB2312" w:cs="仿宋_GB2312"/>
          <w:b/>
          <w:bCs/>
          <w:sz w:val="36"/>
          <w:szCs w:val="36"/>
          <w:highlight w:val="none"/>
          <w:lang w:eastAsia="zh-CN"/>
        </w:rPr>
        <w:t>设备技术条款响应偏离表</w:t>
      </w:r>
    </w:p>
    <w:tbl>
      <w:tblPr>
        <w:tblStyle w:val="3"/>
        <w:tblW w:w="888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0"/>
        <w:gridCol w:w="1413"/>
        <w:gridCol w:w="2638"/>
        <w:gridCol w:w="2318"/>
        <w:gridCol w:w="1488"/>
      </w:tblGrid>
      <w:tr w14:paraId="325D77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1030" w:type="dxa"/>
            <w:noWrap w:val="0"/>
            <w:vAlign w:val="center"/>
          </w:tcPr>
          <w:p w14:paraId="2E02AFF4">
            <w:pPr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413" w:type="dxa"/>
            <w:noWrap w:val="0"/>
            <w:vAlign w:val="center"/>
          </w:tcPr>
          <w:p w14:paraId="217FF71F">
            <w:pPr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  <w:t>设备</w:t>
            </w: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名称</w:t>
            </w:r>
          </w:p>
        </w:tc>
        <w:tc>
          <w:tcPr>
            <w:tcW w:w="2638" w:type="dxa"/>
            <w:noWrap w:val="0"/>
            <w:vAlign w:val="center"/>
          </w:tcPr>
          <w:p w14:paraId="45C0EE1A">
            <w:pPr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谈判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文件</w:t>
            </w:r>
          </w:p>
          <w:p w14:paraId="5C0F641A">
            <w:pPr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技术参数要求</w:t>
            </w:r>
          </w:p>
        </w:tc>
        <w:tc>
          <w:tcPr>
            <w:tcW w:w="2318" w:type="dxa"/>
            <w:noWrap w:val="0"/>
            <w:vAlign w:val="center"/>
          </w:tcPr>
          <w:p w14:paraId="4AD739CF">
            <w:pPr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响应文件</w:t>
            </w:r>
          </w:p>
          <w:p w14:paraId="39E4DD17">
            <w:pPr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技术参数响应</w:t>
            </w:r>
          </w:p>
        </w:tc>
        <w:tc>
          <w:tcPr>
            <w:tcW w:w="1488" w:type="dxa"/>
            <w:noWrap w:val="0"/>
            <w:vAlign w:val="center"/>
          </w:tcPr>
          <w:p w14:paraId="4786006E">
            <w:pPr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偏离</w:t>
            </w:r>
          </w:p>
          <w:p w14:paraId="6D594765">
            <w:pPr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70D864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1030" w:type="dxa"/>
            <w:noWrap w:val="0"/>
            <w:vAlign w:val="top"/>
          </w:tcPr>
          <w:p w14:paraId="4FAC6577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13" w:type="dxa"/>
            <w:noWrap w:val="0"/>
            <w:vAlign w:val="top"/>
          </w:tcPr>
          <w:p w14:paraId="08CB4D44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38" w:type="dxa"/>
            <w:noWrap w:val="0"/>
            <w:vAlign w:val="top"/>
          </w:tcPr>
          <w:p w14:paraId="64EE35F4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318" w:type="dxa"/>
            <w:noWrap w:val="0"/>
            <w:vAlign w:val="top"/>
          </w:tcPr>
          <w:p w14:paraId="2FA2739A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88" w:type="dxa"/>
            <w:noWrap w:val="0"/>
            <w:vAlign w:val="top"/>
          </w:tcPr>
          <w:p w14:paraId="44AD57FC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4EF7BD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1030" w:type="dxa"/>
            <w:noWrap w:val="0"/>
            <w:vAlign w:val="top"/>
          </w:tcPr>
          <w:p w14:paraId="7468E65D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13" w:type="dxa"/>
            <w:noWrap w:val="0"/>
            <w:vAlign w:val="top"/>
          </w:tcPr>
          <w:p w14:paraId="7E7E2363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38" w:type="dxa"/>
            <w:noWrap w:val="0"/>
            <w:vAlign w:val="top"/>
          </w:tcPr>
          <w:p w14:paraId="74C167B0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318" w:type="dxa"/>
            <w:noWrap w:val="0"/>
            <w:vAlign w:val="top"/>
          </w:tcPr>
          <w:p w14:paraId="0E1FC600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88" w:type="dxa"/>
            <w:noWrap w:val="0"/>
            <w:vAlign w:val="top"/>
          </w:tcPr>
          <w:p w14:paraId="770430ED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7BEF65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1030" w:type="dxa"/>
            <w:noWrap w:val="0"/>
            <w:vAlign w:val="top"/>
          </w:tcPr>
          <w:p w14:paraId="321B7A3A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13" w:type="dxa"/>
            <w:noWrap w:val="0"/>
            <w:vAlign w:val="top"/>
          </w:tcPr>
          <w:p w14:paraId="66AF4FBB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38" w:type="dxa"/>
            <w:noWrap w:val="0"/>
            <w:vAlign w:val="top"/>
          </w:tcPr>
          <w:p w14:paraId="0D400F75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318" w:type="dxa"/>
            <w:noWrap w:val="0"/>
            <w:vAlign w:val="top"/>
          </w:tcPr>
          <w:p w14:paraId="5944BA45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88" w:type="dxa"/>
            <w:noWrap w:val="0"/>
            <w:vAlign w:val="top"/>
          </w:tcPr>
          <w:p w14:paraId="013F9487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5234A5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1030" w:type="dxa"/>
            <w:noWrap w:val="0"/>
            <w:vAlign w:val="top"/>
          </w:tcPr>
          <w:p w14:paraId="5384EF15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13" w:type="dxa"/>
            <w:noWrap w:val="0"/>
            <w:vAlign w:val="top"/>
          </w:tcPr>
          <w:p w14:paraId="780D2A98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38" w:type="dxa"/>
            <w:noWrap w:val="0"/>
            <w:vAlign w:val="top"/>
          </w:tcPr>
          <w:p w14:paraId="5C346F95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318" w:type="dxa"/>
            <w:noWrap w:val="0"/>
            <w:vAlign w:val="top"/>
          </w:tcPr>
          <w:p w14:paraId="65772F68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88" w:type="dxa"/>
            <w:noWrap w:val="0"/>
            <w:vAlign w:val="top"/>
          </w:tcPr>
          <w:p w14:paraId="7AE9547E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175FFE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1030" w:type="dxa"/>
            <w:noWrap w:val="0"/>
            <w:vAlign w:val="top"/>
          </w:tcPr>
          <w:p w14:paraId="586FB826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13" w:type="dxa"/>
            <w:noWrap w:val="0"/>
            <w:vAlign w:val="top"/>
          </w:tcPr>
          <w:p w14:paraId="38477891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38" w:type="dxa"/>
            <w:noWrap w:val="0"/>
            <w:vAlign w:val="top"/>
          </w:tcPr>
          <w:p w14:paraId="1CD1455E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318" w:type="dxa"/>
            <w:noWrap w:val="0"/>
            <w:vAlign w:val="top"/>
          </w:tcPr>
          <w:p w14:paraId="37CD848F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88" w:type="dxa"/>
            <w:noWrap w:val="0"/>
            <w:vAlign w:val="top"/>
          </w:tcPr>
          <w:p w14:paraId="2FFFFE77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597BD8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1030" w:type="dxa"/>
            <w:noWrap w:val="0"/>
            <w:vAlign w:val="top"/>
          </w:tcPr>
          <w:p w14:paraId="17E2F986">
            <w:pPr>
              <w:spacing w:line="360" w:lineRule="auto"/>
              <w:ind w:right="24"/>
              <w:rPr>
                <w:rFonts w:hint="eastAsia" w:ascii="宋体" w:hAnsi="宋体" w:eastAsia="宋体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eastAsia="zh-CN"/>
              </w:rPr>
              <w:t>……</w:t>
            </w:r>
          </w:p>
        </w:tc>
        <w:tc>
          <w:tcPr>
            <w:tcW w:w="1413" w:type="dxa"/>
            <w:noWrap w:val="0"/>
            <w:vAlign w:val="top"/>
          </w:tcPr>
          <w:p w14:paraId="0C63BD75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eastAsia="zh-CN"/>
              </w:rPr>
              <w:t>……</w:t>
            </w:r>
          </w:p>
        </w:tc>
        <w:tc>
          <w:tcPr>
            <w:tcW w:w="2638" w:type="dxa"/>
            <w:noWrap w:val="0"/>
            <w:vAlign w:val="top"/>
          </w:tcPr>
          <w:p w14:paraId="4A2FD4CB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eastAsia="zh-CN"/>
              </w:rPr>
              <w:t>……</w:t>
            </w:r>
          </w:p>
        </w:tc>
        <w:tc>
          <w:tcPr>
            <w:tcW w:w="2318" w:type="dxa"/>
            <w:noWrap w:val="0"/>
            <w:vAlign w:val="top"/>
          </w:tcPr>
          <w:p w14:paraId="4B8ACA8F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eastAsia="zh-CN"/>
              </w:rPr>
              <w:t>……</w:t>
            </w:r>
          </w:p>
        </w:tc>
        <w:tc>
          <w:tcPr>
            <w:tcW w:w="1488" w:type="dxa"/>
            <w:noWrap w:val="0"/>
            <w:vAlign w:val="top"/>
          </w:tcPr>
          <w:p w14:paraId="4DE354A4">
            <w:pPr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eastAsia="zh-CN"/>
              </w:rPr>
              <w:t>……</w:t>
            </w:r>
          </w:p>
        </w:tc>
      </w:tr>
    </w:tbl>
    <w:p w14:paraId="5D4D2507">
      <w:pPr>
        <w:spacing w:line="540" w:lineRule="exact"/>
        <w:ind w:right="-197" w:rightChars="-94" w:firstLine="560" w:firstLineChars="200"/>
        <w:rPr>
          <w:rFonts w:hint="eastAsia"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</w:rPr>
        <w:t>说明：</w:t>
      </w:r>
    </w:p>
    <w:p w14:paraId="10626656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eastAsia="仿宋_GB2312"/>
          <w:color w:val="auto"/>
          <w:sz w:val="28"/>
          <w:szCs w:val="28"/>
          <w:lang w:val="zh-CN" w:eastAsia="zh-CN"/>
        </w:rPr>
      </w:pPr>
      <w:r>
        <w:rPr>
          <w:rFonts w:hint="eastAsia" w:ascii="仿宋_GB2312" w:eastAsia="仿宋_GB2312"/>
          <w:color w:val="auto"/>
          <w:sz w:val="28"/>
          <w:szCs w:val="28"/>
          <w:lang w:eastAsia="zh-CN"/>
        </w:rPr>
        <w:t>1、本表须对谈判文件</w:t>
      </w:r>
      <w:r>
        <w:rPr>
          <w:rFonts w:hint="eastAsia" w:ascii="仿宋_GB2312" w:eastAsia="仿宋_GB2312"/>
          <w:b/>
          <w:bCs/>
          <w:color w:val="auto"/>
          <w:sz w:val="28"/>
          <w:szCs w:val="28"/>
          <w:lang w:eastAsia="zh-CN"/>
        </w:rPr>
        <w:t xml:space="preserve">“第三章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招标项目技术、服务、商务及其他要求-3.3 技术要求-二、采购清单</w:t>
      </w:r>
      <w:r>
        <w:rPr>
          <w:rFonts w:hint="eastAsia" w:ascii="仿宋_GB2312" w:eastAsia="仿宋_GB2312"/>
          <w:b/>
          <w:bCs/>
          <w:color w:val="auto"/>
          <w:sz w:val="28"/>
          <w:szCs w:val="28"/>
          <w:lang w:eastAsia="zh-CN"/>
        </w:rPr>
        <w:t>”</w:t>
      </w:r>
      <w:r>
        <w:rPr>
          <w:rFonts w:hint="eastAsia" w:ascii="仿宋_GB2312" w:eastAsia="仿宋_GB2312"/>
          <w:color w:val="auto"/>
          <w:sz w:val="28"/>
          <w:szCs w:val="28"/>
          <w:lang w:eastAsia="zh-CN"/>
        </w:rPr>
        <w:t>中的内容按照顺序逐项填写，不得空缺；如</w:t>
      </w:r>
      <w:r>
        <w:rPr>
          <w:rFonts w:hint="eastAsia" w:ascii="仿宋_GB2312" w:eastAsia="仿宋_GB2312"/>
          <w:color w:val="auto"/>
          <w:sz w:val="28"/>
          <w:szCs w:val="28"/>
          <w:lang w:val="zh-CN" w:eastAsia="zh-CN"/>
        </w:rPr>
        <w:t>空缺将视为没有实质性响应谈判文件。</w:t>
      </w:r>
    </w:p>
    <w:p w14:paraId="1688E0EA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eastAsia="仿宋_GB2312"/>
          <w:color w:val="auto"/>
          <w:sz w:val="28"/>
          <w:szCs w:val="28"/>
          <w:lang w:val="zh-CN" w:eastAsia="zh-CN"/>
        </w:rPr>
      </w:pPr>
      <w:r>
        <w:rPr>
          <w:rFonts w:hint="eastAsia" w:ascii="仿宋_GB2312" w:eastAsia="仿宋_GB2312"/>
          <w:color w:val="auto"/>
          <w:sz w:val="28"/>
          <w:szCs w:val="28"/>
          <w:lang w:val="zh-CN" w:eastAsia="zh-CN"/>
        </w:rPr>
        <w:t>2、偏离填写：正偏离、负偏离、相同。</w:t>
      </w:r>
    </w:p>
    <w:p w14:paraId="2979AEFE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  <w:lang w:val="zh-CN" w:eastAsia="zh-CN"/>
        </w:rPr>
        <w:t>3、供应商必须据实填写设备功能技术参</w:t>
      </w:r>
      <w:bookmarkStart w:id="0" w:name="_GoBack"/>
      <w:bookmarkEnd w:id="0"/>
      <w:r>
        <w:rPr>
          <w:rFonts w:hint="eastAsia" w:ascii="仿宋_GB2312" w:eastAsia="仿宋_GB2312"/>
          <w:color w:val="auto"/>
          <w:sz w:val="28"/>
          <w:szCs w:val="28"/>
          <w:lang w:val="zh-CN" w:eastAsia="zh-CN"/>
        </w:rPr>
        <w:t>数响应情况，★参数必须按照谈判文件要求提供相应</w:t>
      </w:r>
      <w:r>
        <w:rPr>
          <w:rFonts w:hint="eastAsia" w:ascii="仿宋_GB2312" w:eastAsia="仿宋_GB2312"/>
          <w:color w:val="auto"/>
          <w:sz w:val="28"/>
          <w:szCs w:val="28"/>
          <w:lang w:val="zh-CN" w:eastAsia="zh-CN"/>
        </w:rPr>
        <w:t>的佐证材料予以证明参数的技术响应情况并加盖公章，如若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未响应或负偏离，按无效标处理，</w:t>
      </w:r>
      <w:r>
        <w:rPr>
          <w:rFonts w:hint="eastAsia" w:ascii="仿宋_GB2312" w:eastAsia="仿宋_GB2312"/>
          <w:color w:val="auto"/>
          <w:sz w:val="28"/>
          <w:szCs w:val="28"/>
          <w:lang w:val="zh-CN" w:eastAsia="zh-CN"/>
        </w:rPr>
        <w:t>如若虚假响应，将取消其投标或成交资格，并按有关规定进行处罚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7609F34C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</w:p>
    <w:p w14:paraId="679EE194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供应商名称</w:t>
      </w: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盖</w:t>
      </w:r>
      <w:r>
        <w:rPr>
          <w:rFonts w:hint="eastAsia" w:ascii="仿宋_GB2312" w:hAnsi="宋体" w:eastAsia="仿宋_GB2312"/>
          <w:sz w:val="28"/>
          <w:szCs w:val="28"/>
        </w:rPr>
        <w:t>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</w:p>
    <w:p w14:paraId="4ED693FE">
      <w:pPr>
        <w:adjustRightInd w:val="0"/>
        <w:snapToGrid w:val="0"/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或盖章</w:t>
      </w:r>
      <w:r>
        <w:rPr>
          <w:rFonts w:hint="eastAsia" w:ascii="仿宋_GB2312" w:hAnsi="宋体" w:eastAsia="仿宋_GB2312"/>
          <w:sz w:val="28"/>
          <w:szCs w:val="28"/>
        </w:rPr>
        <w:t>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6350D214">
      <w:pPr>
        <w:adjustRightInd w:val="0"/>
        <w:snapToGrid w:val="0"/>
        <w:spacing w:line="360" w:lineRule="auto"/>
        <w:ind w:firstLine="2520" w:firstLineChars="900"/>
        <w:rPr>
          <w:rFonts w:hint="default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</w:t>
      </w:r>
    </w:p>
    <w:p w14:paraId="53FC2B27"/>
    <w:sectPr>
      <w:pgSz w:w="11906" w:h="16838"/>
      <w:pgMar w:top="1440" w:right="1474" w:bottom="1440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15A04A1"/>
    <w:rsid w:val="05BB44A6"/>
    <w:rsid w:val="0E4F7C80"/>
    <w:rsid w:val="16DC3ED5"/>
    <w:rsid w:val="25DE597E"/>
    <w:rsid w:val="334718A4"/>
    <w:rsid w:val="5BCF2B8D"/>
    <w:rsid w:val="61152276"/>
    <w:rsid w:val="63B235F6"/>
    <w:rsid w:val="6A04035A"/>
    <w:rsid w:val="6C4F17F7"/>
    <w:rsid w:val="6DE67792"/>
    <w:rsid w:val="76BF3D13"/>
    <w:rsid w:val="77100B47"/>
    <w:rsid w:val="773504DF"/>
    <w:rsid w:val="79C8125A"/>
    <w:rsid w:val="7CB719FC"/>
    <w:rsid w:val="7DC20740"/>
    <w:rsid w:val="7F5F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link w:val="2"/>
    <w:qFormat/>
    <w:uiPriority w:val="0"/>
    <w:rPr>
      <w:rFonts w:ascii="黑体" w:eastAsia="黑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338</Words>
  <Characters>341</Characters>
  <Lines>0</Lines>
  <Paragraphs>0</Paragraphs>
  <TotalTime>0</TotalTime>
  <ScaleCrop>false</ScaleCrop>
  <LinksUpToDate>false</LinksUpToDate>
  <CharactersWithSpaces>418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2023-09-17T12:55:00Z</dcterms:created>
  <dc:creator>mac</dc:creator>
  <cp:lastModifiedBy>陕西华采招标有限公司</cp:lastModifiedBy>
  <dcterms:modified xsi:type="dcterms:W3CDTF">2026-08-21T09:49:05Z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1C94B0E881C749A5B121DE9048B0591B_12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